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79116" w14:textId="77777777" w:rsidR="00507BA1" w:rsidRDefault="00507BA1"/>
    <w:p w14:paraId="2234CCE6" w14:textId="77777777" w:rsidR="00507BA1" w:rsidRPr="00BB71BC" w:rsidRDefault="00507BA1" w:rsidP="00507BA1">
      <w:pPr>
        <w:pStyle w:val="paragraph"/>
        <w:spacing w:before="0" w:beforeAutospacing="0" w:afterLines="30" w:after="72" w:afterAutospacing="0" w:line="360" w:lineRule="auto"/>
        <w:jc w:val="center"/>
        <w:textAlignment w:val="baseline"/>
        <w:rPr>
          <w:rStyle w:val="normaltextrun"/>
          <w:rFonts w:ascii="Arial" w:hAnsi="Arial" w:cs="Arial"/>
          <w:sz w:val="22"/>
          <w:szCs w:val="22"/>
        </w:rPr>
      </w:pPr>
      <w:r w:rsidRPr="00BB71BC">
        <w:rPr>
          <w:rFonts w:ascii="Arial" w:hAnsi="Arial" w:cs="Arial"/>
          <w:noProof/>
          <w:sz w:val="22"/>
          <w:szCs w:val="22"/>
        </w:rPr>
        <w:drawing>
          <wp:inline distT="0" distB="0" distL="0" distR="0" wp14:anchorId="361EDEB4" wp14:editId="59527BA0">
            <wp:extent cx="3495675" cy="1238250"/>
            <wp:effectExtent l="0" t="0" r="9525" b="0"/>
            <wp:docPr id="552756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95675" cy="1238250"/>
                    </a:xfrm>
                    <a:prstGeom prst="rect">
                      <a:avLst/>
                    </a:prstGeom>
                    <a:noFill/>
                    <a:ln>
                      <a:noFill/>
                    </a:ln>
                  </pic:spPr>
                </pic:pic>
              </a:graphicData>
            </a:graphic>
          </wp:inline>
        </w:drawing>
      </w:r>
    </w:p>
    <w:p w14:paraId="5EA549E0" w14:textId="77777777" w:rsidR="00507BA1" w:rsidRPr="005F0F70" w:rsidRDefault="00507BA1" w:rsidP="005F0F70">
      <w:pPr>
        <w:pStyle w:val="paragraph"/>
        <w:spacing w:before="0" w:beforeAutospacing="0" w:afterLines="150" w:after="360" w:afterAutospacing="0" w:line="360" w:lineRule="auto"/>
        <w:textAlignment w:val="baseline"/>
        <w:rPr>
          <w:rStyle w:val="normaltextrun"/>
          <w:rFonts w:ascii="Arial" w:hAnsi="Arial" w:cs="Arial"/>
          <w:sz w:val="22"/>
          <w:szCs w:val="22"/>
        </w:rPr>
      </w:pPr>
    </w:p>
    <w:p w14:paraId="06100AAB" w14:textId="77777777" w:rsidR="00507BA1" w:rsidRPr="005F0F70" w:rsidRDefault="00507BA1" w:rsidP="005F0F70">
      <w:pPr>
        <w:pStyle w:val="paragraph"/>
        <w:spacing w:before="0" w:beforeAutospacing="0" w:afterLines="150" w:after="360" w:afterAutospacing="0" w:line="360" w:lineRule="auto"/>
        <w:jc w:val="center"/>
        <w:textAlignment w:val="baseline"/>
        <w:rPr>
          <w:rFonts w:ascii="Arial" w:hAnsi="Arial" w:cs="Arial"/>
          <w:b/>
          <w:bCs/>
          <w:sz w:val="22"/>
          <w:szCs w:val="22"/>
        </w:rPr>
      </w:pPr>
      <w:r w:rsidRPr="005F0F70">
        <w:rPr>
          <w:rStyle w:val="normaltextrun"/>
          <w:rFonts w:ascii="Arial" w:hAnsi="Arial" w:cs="Arial"/>
          <w:b/>
          <w:bCs/>
          <w:sz w:val="22"/>
          <w:szCs w:val="22"/>
        </w:rPr>
        <w:t>University of Wales Trinity Saint David Birmingham</w:t>
      </w:r>
    </w:p>
    <w:p w14:paraId="3075F200" w14:textId="5A62B384" w:rsidR="00507BA1" w:rsidRPr="005F0F70" w:rsidRDefault="00507BA1" w:rsidP="005F0F70">
      <w:pPr>
        <w:pStyle w:val="paragraph"/>
        <w:spacing w:before="0" w:beforeAutospacing="0" w:afterLines="150" w:after="360" w:afterAutospacing="0" w:line="360" w:lineRule="auto"/>
        <w:jc w:val="center"/>
        <w:textAlignment w:val="baseline"/>
        <w:rPr>
          <w:rFonts w:ascii="Arial" w:hAnsi="Arial" w:cs="Arial"/>
          <w:b/>
          <w:bCs/>
          <w:sz w:val="22"/>
          <w:szCs w:val="22"/>
        </w:rPr>
      </w:pPr>
      <w:r w:rsidRPr="005F0F70">
        <w:rPr>
          <w:rStyle w:val="normaltextrun"/>
          <w:rFonts w:ascii="Arial" w:hAnsi="Arial" w:cs="Arial"/>
          <w:b/>
          <w:bCs/>
          <w:sz w:val="22"/>
          <w:szCs w:val="22"/>
        </w:rPr>
        <w:t xml:space="preserve">Module: </w:t>
      </w:r>
      <w:r w:rsidR="00AE4FE2">
        <w:rPr>
          <w:rStyle w:val="normaltextrun"/>
          <w:rFonts w:ascii="Arial" w:hAnsi="Arial" w:cs="Arial"/>
          <w:b/>
          <w:bCs/>
          <w:sz w:val="22"/>
          <w:szCs w:val="22"/>
        </w:rPr>
        <w:t xml:space="preserve">Employability Skills </w:t>
      </w:r>
    </w:p>
    <w:p w14:paraId="37D1C676" w14:textId="0B6E9779" w:rsidR="00507BA1" w:rsidRPr="005F0F70" w:rsidRDefault="00507BA1" w:rsidP="005F0F70">
      <w:pPr>
        <w:pStyle w:val="paragraph"/>
        <w:spacing w:before="0" w:beforeAutospacing="0" w:afterLines="150" w:after="360" w:afterAutospacing="0" w:line="360" w:lineRule="auto"/>
        <w:jc w:val="center"/>
        <w:textAlignment w:val="baseline"/>
        <w:rPr>
          <w:rFonts w:ascii="Arial" w:hAnsi="Arial" w:cs="Arial"/>
          <w:b/>
          <w:bCs/>
          <w:sz w:val="22"/>
          <w:szCs w:val="22"/>
        </w:rPr>
      </w:pPr>
      <w:r w:rsidRPr="005F0F70">
        <w:rPr>
          <w:rStyle w:val="normaltextrun"/>
          <w:rFonts w:ascii="Arial" w:hAnsi="Arial" w:cs="Arial"/>
          <w:b/>
          <w:bCs/>
          <w:sz w:val="22"/>
          <w:szCs w:val="22"/>
        </w:rPr>
        <w:t>Module Code: LCHS400</w:t>
      </w:r>
      <w:r w:rsidR="00BB4474">
        <w:rPr>
          <w:rStyle w:val="normaltextrun"/>
          <w:rFonts w:ascii="Arial" w:hAnsi="Arial" w:cs="Arial"/>
          <w:b/>
          <w:bCs/>
          <w:sz w:val="22"/>
          <w:szCs w:val="22"/>
        </w:rPr>
        <w:t>1</w:t>
      </w:r>
    </w:p>
    <w:p w14:paraId="05B77C41" w14:textId="77777777" w:rsidR="00507BA1" w:rsidRPr="005F0F70" w:rsidRDefault="00507BA1" w:rsidP="005F0F70">
      <w:pPr>
        <w:pStyle w:val="paragraph"/>
        <w:spacing w:before="0" w:beforeAutospacing="0" w:afterLines="150" w:after="360" w:afterAutospacing="0" w:line="360" w:lineRule="auto"/>
        <w:jc w:val="center"/>
        <w:textAlignment w:val="baseline"/>
        <w:rPr>
          <w:rFonts w:ascii="Arial" w:hAnsi="Arial" w:cs="Arial"/>
          <w:b/>
          <w:bCs/>
          <w:sz w:val="22"/>
          <w:szCs w:val="22"/>
        </w:rPr>
      </w:pPr>
      <w:r w:rsidRPr="005F0F70">
        <w:rPr>
          <w:rStyle w:val="normaltextrun"/>
          <w:rFonts w:ascii="Arial" w:hAnsi="Arial" w:cs="Arial"/>
          <w:b/>
          <w:bCs/>
          <w:sz w:val="22"/>
          <w:szCs w:val="22"/>
        </w:rPr>
        <w:t>Submitted by: Prince Kallon</w:t>
      </w:r>
    </w:p>
    <w:p w14:paraId="6B2685DA" w14:textId="429F4D1F" w:rsidR="00507BA1" w:rsidRPr="005F0F70" w:rsidRDefault="001E2EF2" w:rsidP="005F0F70">
      <w:pPr>
        <w:pStyle w:val="paragraph"/>
        <w:spacing w:before="0" w:beforeAutospacing="0" w:afterLines="150" w:after="360" w:afterAutospacing="0" w:line="360" w:lineRule="auto"/>
        <w:jc w:val="center"/>
        <w:textAlignment w:val="baseline"/>
        <w:rPr>
          <w:rFonts w:ascii="Arial" w:hAnsi="Arial" w:cs="Arial"/>
          <w:b/>
          <w:bCs/>
          <w:sz w:val="22"/>
          <w:szCs w:val="22"/>
        </w:rPr>
      </w:pPr>
      <w:r>
        <w:rPr>
          <w:rStyle w:val="normaltextrun"/>
          <w:rFonts w:ascii="Arial" w:hAnsi="Arial" w:cs="Arial"/>
          <w:b/>
          <w:bCs/>
          <w:sz w:val="22"/>
          <w:szCs w:val="22"/>
        </w:rPr>
        <w:t xml:space="preserve">Student </w:t>
      </w:r>
      <w:r w:rsidR="00507BA1" w:rsidRPr="005F0F70">
        <w:rPr>
          <w:rStyle w:val="normaltextrun"/>
          <w:rFonts w:ascii="Arial" w:hAnsi="Arial" w:cs="Arial"/>
          <w:b/>
          <w:bCs/>
          <w:sz w:val="22"/>
          <w:szCs w:val="22"/>
        </w:rPr>
        <w:t>ID number: 2519626</w:t>
      </w:r>
    </w:p>
    <w:p w14:paraId="3FE9FDE6" w14:textId="3ED246D1" w:rsidR="00507BA1" w:rsidRPr="005F0F70" w:rsidRDefault="00507BA1" w:rsidP="005F0F70">
      <w:pPr>
        <w:pStyle w:val="paragraph"/>
        <w:spacing w:before="0" w:beforeAutospacing="0" w:afterLines="150" w:after="360" w:afterAutospacing="0" w:line="360" w:lineRule="auto"/>
        <w:jc w:val="center"/>
        <w:textAlignment w:val="baseline"/>
        <w:rPr>
          <w:rStyle w:val="normaltextrun"/>
          <w:rFonts w:ascii="Arial" w:hAnsi="Arial" w:cs="Arial"/>
          <w:b/>
          <w:bCs/>
          <w:sz w:val="22"/>
          <w:szCs w:val="22"/>
        </w:rPr>
      </w:pPr>
      <w:r w:rsidRPr="005F0F70">
        <w:rPr>
          <w:rStyle w:val="normaltextrun"/>
          <w:rFonts w:ascii="Arial" w:hAnsi="Arial" w:cs="Arial"/>
          <w:b/>
          <w:bCs/>
          <w:sz w:val="22"/>
          <w:szCs w:val="22"/>
        </w:rPr>
        <w:t>Name of the lecturer</w:t>
      </w:r>
      <w:r w:rsidRPr="005F0F70">
        <w:rPr>
          <w:rStyle w:val="normaltextrun"/>
          <w:rFonts w:ascii="Arial" w:hAnsi="Arial" w:cs="Arial"/>
          <w:sz w:val="22"/>
          <w:szCs w:val="22"/>
        </w:rPr>
        <w:t>: </w:t>
      </w:r>
      <w:r w:rsidR="00BB4474">
        <w:rPr>
          <w:rStyle w:val="normaltextrun"/>
          <w:rFonts w:ascii="Arial" w:hAnsi="Arial" w:cs="Arial"/>
          <w:b/>
          <w:bCs/>
          <w:sz w:val="22"/>
          <w:szCs w:val="22"/>
        </w:rPr>
        <w:t>Abdulla Sodiq</w:t>
      </w:r>
    </w:p>
    <w:p w14:paraId="0EBE2438" w14:textId="6B4144FA" w:rsidR="00507BA1" w:rsidRPr="005F0F70" w:rsidRDefault="00BB4474" w:rsidP="00BB4474">
      <w:pPr>
        <w:pStyle w:val="paragraph"/>
        <w:spacing w:before="0" w:beforeAutospacing="0" w:afterLines="150" w:after="360" w:afterAutospacing="0" w:line="360" w:lineRule="auto"/>
        <w:ind w:left="720" w:hanging="720"/>
        <w:jc w:val="center"/>
        <w:textAlignment w:val="baseline"/>
        <w:rPr>
          <w:rStyle w:val="normaltextrun"/>
          <w:rFonts w:ascii="Arial" w:hAnsi="Arial" w:cs="Arial"/>
          <w:sz w:val="22"/>
          <w:szCs w:val="22"/>
        </w:rPr>
      </w:pPr>
      <w:r>
        <w:rPr>
          <w:rStyle w:val="normaltextrun"/>
          <w:rFonts w:ascii="Arial" w:hAnsi="Arial" w:cs="Arial"/>
          <w:b/>
          <w:bCs/>
          <w:sz w:val="22"/>
          <w:szCs w:val="22"/>
        </w:rPr>
        <w:t xml:space="preserve">TASK 3 Development Content, Structure and Style </w:t>
      </w:r>
    </w:p>
    <w:p w14:paraId="2F802CA5" w14:textId="77777777" w:rsidR="00507BA1" w:rsidRPr="005F0F70" w:rsidRDefault="00507BA1" w:rsidP="005F0F70">
      <w:pPr>
        <w:pStyle w:val="paragraph"/>
        <w:spacing w:before="0" w:beforeAutospacing="0" w:afterLines="150" w:after="360" w:afterAutospacing="0" w:line="360" w:lineRule="auto"/>
        <w:jc w:val="center"/>
        <w:textAlignment w:val="baseline"/>
        <w:rPr>
          <w:rStyle w:val="normaltextrun"/>
          <w:rFonts w:ascii="Arial" w:hAnsi="Arial" w:cs="Arial"/>
          <w:sz w:val="22"/>
          <w:szCs w:val="22"/>
        </w:rPr>
      </w:pPr>
      <w:r w:rsidRPr="005F0F70">
        <w:rPr>
          <w:rStyle w:val="normaltextrun"/>
          <w:rFonts w:ascii="Arial" w:hAnsi="Arial" w:cs="Arial"/>
          <w:b/>
          <w:bCs/>
          <w:sz w:val="22"/>
          <w:szCs w:val="22"/>
        </w:rPr>
        <w:t>Submitted on</w:t>
      </w:r>
      <w:r w:rsidRPr="005F0F70">
        <w:rPr>
          <w:rStyle w:val="normaltextrun"/>
          <w:rFonts w:ascii="Arial" w:hAnsi="Arial" w:cs="Arial"/>
          <w:sz w:val="22"/>
          <w:szCs w:val="22"/>
        </w:rPr>
        <w:t xml:space="preserve">: </w:t>
      </w:r>
      <w:r w:rsidRPr="005F0F70">
        <w:rPr>
          <w:rStyle w:val="normaltextrun"/>
          <w:rFonts w:ascii="Arial" w:hAnsi="Arial" w:cs="Arial"/>
          <w:b/>
          <w:bCs/>
          <w:sz w:val="22"/>
          <w:szCs w:val="22"/>
        </w:rPr>
        <w:t>19-07-2026</w:t>
      </w:r>
    </w:p>
    <w:p w14:paraId="5232B4D2" w14:textId="77777777" w:rsidR="005B23A0" w:rsidRDefault="005B23A0" w:rsidP="00BB4474">
      <w:pPr>
        <w:spacing w:before="100" w:beforeAutospacing="1" w:afterLines="150" w:after="360" w:line="240" w:lineRule="auto"/>
        <w:outlineLvl w:val="1"/>
        <w:rPr>
          <w:rFonts w:ascii="Arial" w:eastAsia="Times New Roman" w:hAnsi="Arial" w:cs="Arial"/>
          <w:b/>
          <w:bCs/>
          <w:kern w:val="0"/>
          <w:lang w:eastAsia="en-GB"/>
          <w14:ligatures w14:val="none"/>
        </w:rPr>
      </w:pPr>
    </w:p>
    <w:p w14:paraId="29278400" w14:textId="6A6F7D9C" w:rsidR="006F0A56" w:rsidRPr="005F0F70" w:rsidRDefault="006F0A56" w:rsidP="00BB4474">
      <w:pPr>
        <w:spacing w:before="100" w:beforeAutospacing="1" w:afterLines="150" w:after="360" w:line="240" w:lineRule="auto"/>
        <w:outlineLvl w:val="1"/>
        <w:rPr>
          <w:rFonts w:ascii="Arial" w:eastAsia="Times New Roman" w:hAnsi="Arial" w:cs="Arial"/>
          <w:b/>
          <w:bCs/>
          <w:kern w:val="0"/>
          <w:lang w:eastAsia="en-GB"/>
          <w14:ligatures w14:val="none"/>
        </w:rPr>
      </w:pPr>
      <w:r w:rsidRPr="005F0F70">
        <w:rPr>
          <w:rFonts w:ascii="Arial" w:eastAsia="Times New Roman" w:hAnsi="Arial" w:cs="Arial"/>
          <w:b/>
          <w:bCs/>
          <w:kern w:val="0"/>
          <w:lang w:eastAsia="en-GB"/>
          <w14:ligatures w14:val="none"/>
        </w:rPr>
        <w:t xml:space="preserve"> Introduction</w:t>
      </w:r>
      <w:r w:rsidR="00BB4474">
        <w:rPr>
          <w:rFonts w:ascii="Arial" w:eastAsia="Times New Roman" w:hAnsi="Arial" w:cs="Arial"/>
          <w:b/>
          <w:bCs/>
          <w:kern w:val="0"/>
          <w:lang w:eastAsia="en-GB"/>
          <w14:ligatures w14:val="none"/>
        </w:rPr>
        <w:t xml:space="preserve">:  </w:t>
      </w:r>
      <w:r w:rsidR="001E2EF2" w:rsidRPr="00EB7D9B">
        <w:rPr>
          <w:rFonts w:ascii="Arial" w:eastAsia="Times New Roman" w:hAnsi="Arial" w:cs="Arial"/>
          <w:b/>
          <w:bCs/>
          <w:kern w:val="0"/>
          <w:lang w:eastAsia="en-GB"/>
          <w14:ligatures w14:val="none"/>
        </w:rPr>
        <w:t>The role of the</w:t>
      </w:r>
      <w:r w:rsidR="001E2EF2" w:rsidRPr="005F0F70">
        <w:rPr>
          <w:rFonts w:ascii="Arial" w:eastAsia="Times New Roman" w:hAnsi="Arial" w:cs="Arial"/>
          <w:kern w:val="0"/>
          <w:lang w:eastAsia="en-GB"/>
          <w14:ligatures w14:val="none"/>
        </w:rPr>
        <w:t xml:space="preserve"> </w:t>
      </w:r>
      <w:r w:rsidR="001E2EF2" w:rsidRPr="005F0F70">
        <w:rPr>
          <w:rFonts w:ascii="Arial" w:eastAsia="Times New Roman" w:hAnsi="Arial" w:cs="Arial"/>
          <w:b/>
          <w:bCs/>
          <w:kern w:val="0"/>
          <w:lang w:eastAsia="en-GB"/>
          <w14:ligatures w14:val="none"/>
        </w:rPr>
        <w:t>Registered Nurse</w:t>
      </w:r>
      <w:r w:rsidR="001E2EF2">
        <w:rPr>
          <w:rFonts w:ascii="Arial" w:eastAsia="Times New Roman" w:hAnsi="Arial" w:cs="Arial"/>
          <w:b/>
          <w:bCs/>
          <w:kern w:val="0"/>
          <w:lang w:eastAsia="en-GB"/>
          <w14:ligatures w14:val="none"/>
        </w:rPr>
        <w:t xml:space="preserve"> in Healthcare Sectors</w:t>
      </w:r>
    </w:p>
    <w:p w14:paraId="66C6A925" w14:textId="79329182" w:rsidR="00BB4474" w:rsidRDefault="006F0A56" w:rsidP="00BB4474">
      <w:pPr>
        <w:spacing w:before="100" w:beforeAutospacing="1" w:afterLines="150" w:after="360" w:line="240" w:lineRule="auto"/>
        <w:rPr>
          <w:rFonts w:ascii="Arial" w:eastAsia="Times New Roman" w:hAnsi="Arial" w:cs="Arial"/>
          <w:kern w:val="0"/>
          <w:lang w:eastAsia="en-GB"/>
          <w14:ligatures w14:val="none"/>
        </w:rPr>
      </w:pPr>
      <w:r w:rsidRPr="00EB7D9B">
        <w:rPr>
          <w:rFonts w:ascii="Arial" w:eastAsia="Times New Roman" w:hAnsi="Arial" w:cs="Arial"/>
          <w:b/>
          <w:bCs/>
          <w:kern w:val="0"/>
          <w:lang w:eastAsia="en-GB"/>
          <w14:ligatures w14:val="none"/>
        </w:rPr>
        <w:t>The role of the</w:t>
      </w:r>
      <w:r w:rsidRPr="005F0F70">
        <w:rPr>
          <w:rFonts w:ascii="Arial" w:eastAsia="Times New Roman" w:hAnsi="Arial" w:cs="Arial"/>
          <w:kern w:val="0"/>
          <w:lang w:eastAsia="en-GB"/>
          <w14:ligatures w14:val="none"/>
        </w:rPr>
        <w:t xml:space="preserve"> </w:t>
      </w:r>
      <w:r w:rsidRPr="005F0F70">
        <w:rPr>
          <w:rFonts w:ascii="Arial" w:eastAsia="Times New Roman" w:hAnsi="Arial" w:cs="Arial"/>
          <w:b/>
          <w:bCs/>
          <w:kern w:val="0"/>
          <w:lang w:eastAsia="en-GB"/>
          <w14:ligatures w14:val="none"/>
        </w:rPr>
        <w:t>Registered Nurse</w:t>
      </w:r>
      <w:r w:rsidR="00015DFF">
        <w:rPr>
          <w:rFonts w:ascii="Arial" w:eastAsia="Times New Roman" w:hAnsi="Arial" w:cs="Arial"/>
          <w:b/>
          <w:bCs/>
          <w:kern w:val="0"/>
          <w:lang w:eastAsia="en-GB"/>
          <w14:ligatures w14:val="none"/>
        </w:rPr>
        <w:t xml:space="preserve"> in Healthcare </w:t>
      </w:r>
      <w:r w:rsidR="00CE4FC0">
        <w:rPr>
          <w:rFonts w:ascii="Arial" w:eastAsia="Times New Roman" w:hAnsi="Arial" w:cs="Arial"/>
          <w:b/>
          <w:bCs/>
          <w:kern w:val="0"/>
          <w:lang w:eastAsia="en-GB"/>
          <w14:ligatures w14:val="none"/>
        </w:rPr>
        <w:t xml:space="preserve">Sectors </w:t>
      </w:r>
      <w:r w:rsidR="00CE4FC0" w:rsidRPr="005F0F70">
        <w:rPr>
          <w:rFonts w:ascii="Arial" w:eastAsia="Times New Roman" w:hAnsi="Arial" w:cs="Arial"/>
          <w:kern w:val="0"/>
          <w:lang w:eastAsia="en-GB"/>
          <w14:ligatures w14:val="none"/>
        </w:rPr>
        <w:t>is</w:t>
      </w:r>
      <w:r w:rsidRPr="005F0F70">
        <w:rPr>
          <w:rFonts w:ascii="Arial" w:eastAsia="Times New Roman" w:hAnsi="Arial" w:cs="Arial"/>
          <w:kern w:val="0"/>
          <w:lang w:eastAsia="en-GB"/>
          <w14:ligatures w14:val="none"/>
        </w:rPr>
        <w:t xml:space="preserve"> central to the delivery of safe, evidence</w:t>
      </w:r>
      <w:r w:rsidRPr="005F0F70">
        <w:rPr>
          <w:rFonts w:ascii="Arial" w:eastAsia="Times New Roman" w:hAnsi="Arial" w:cs="Arial"/>
          <w:kern w:val="0"/>
          <w:lang w:eastAsia="en-GB"/>
          <w14:ligatures w14:val="none"/>
        </w:rPr>
        <w:noBreakHyphen/>
        <w:t>based, and patient</w:t>
      </w:r>
      <w:r w:rsidRPr="005F0F70">
        <w:rPr>
          <w:rFonts w:ascii="Arial" w:eastAsia="Times New Roman" w:hAnsi="Arial" w:cs="Arial"/>
          <w:kern w:val="0"/>
          <w:lang w:eastAsia="en-GB"/>
          <w14:ligatures w14:val="none"/>
        </w:rPr>
        <w:noBreakHyphen/>
        <w:t>centred healthcare. Within modern clinical environments, nurses act as the primary coordinators of multidisciplinary care, ensuring that patient needs are continuously assessed, communicated, and addressed. Their professional responsibilities extend far beyond basic bedside care; nurses influence patient safety, clinical outcomes, and organisational efficiency through their advanced clinical judgement and holistic approach to care.</w:t>
      </w:r>
      <w:r w:rsidR="00BB4474">
        <w:rPr>
          <w:rFonts w:ascii="Arial" w:eastAsia="Times New Roman" w:hAnsi="Arial" w:cs="Arial"/>
          <w:kern w:val="0"/>
          <w:lang w:eastAsia="en-GB"/>
          <w14:ligatures w14:val="none"/>
        </w:rPr>
        <w:t xml:space="preserve"> </w:t>
      </w:r>
      <w:r w:rsidRPr="005F0F70">
        <w:rPr>
          <w:rFonts w:ascii="Arial" w:eastAsia="Times New Roman" w:hAnsi="Arial" w:cs="Arial"/>
          <w:kern w:val="0"/>
          <w:lang w:eastAsia="en-GB"/>
          <w14:ligatures w14:val="none"/>
        </w:rPr>
        <w:t>This report outlines the core responsibilities associated with the nursing profession and examines the essential background context that makes this role indispensable within contemporary healthcare systems. It then evaluates three critical clinical skills</w:t>
      </w:r>
      <w:r w:rsidR="00CE4FC0">
        <w:rPr>
          <w:rFonts w:ascii="Arial" w:eastAsia="Times New Roman" w:hAnsi="Arial" w:cs="Arial"/>
          <w:kern w:val="0"/>
          <w:lang w:eastAsia="en-GB"/>
          <w14:ligatures w14:val="none"/>
        </w:rPr>
        <w:t xml:space="preserve">: </w:t>
      </w:r>
      <w:r w:rsidRPr="005F0F70">
        <w:rPr>
          <w:rFonts w:ascii="Arial" w:eastAsia="Times New Roman" w:hAnsi="Arial" w:cs="Arial"/>
          <w:b/>
          <w:bCs/>
          <w:kern w:val="0"/>
          <w:lang w:eastAsia="en-GB"/>
          <w14:ligatures w14:val="none"/>
        </w:rPr>
        <w:t>therapeutic communication</w:t>
      </w:r>
      <w:r w:rsidRPr="005F0F70">
        <w:rPr>
          <w:rFonts w:ascii="Arial" w:eastAsia="Times New Roman" w:hAnsi="Arial" w:cs="Arial"/>
          <w:kern w:val="0"/>
          <w:lang w:eastAsia="en-GB"/>
          <w14:ligatures w14:val="none"/>
        </w:rPr>
        <w:t xml:space="preserve">, </w:t>
      </w:r>
      <w:r w:rsidRPr="005F0F70">
        <w:rPr>
          <w:rFonts w:ascii="Arial" w:eastAsia="Times New Roman" w:hAnsi="Arial" w:cs="Arial"/>
          <w:b/>
          <w:bCs/>
          <w:kern w:val="0"/>
          <w:lang w:eastAsia="en-GB"/>
          <w14:ligatures w14:val="none"/>
        </w:rPr>
        <w:t>clinical decision</w:t>
      </w:r>
      <w:r w:rsidRPr="005F0F70">
        <w:rPr>
          <w:rFonts w:ascii="Arial" w:eastAsia="Times New Roman" w:hAnsi="Arial" w:cs="Arial"/>
          <w:b/>
          <w:bCs/>
          <w:kern w:val="0"/>
          <w:lang w:eastAsia="en-GB"/>
          <w14:ligatures w14:val="none"/>
        </w:rPr>
        <w:noBreakHyphen/>
        <w:t>making</w:t>
      </w:r>
      <w:r w:rsidRPr="005F0F70">
        <w:rPr>
          <w:rFonts w:ascii="Arial" w:eastAsia="Times New Roman" w:hAnsi="Arial" w:cs="Arial"/>
          <w:kern w:val="0"/>
          <w:lang w:eastAsia="en-GB"/>
          <w14:ligatures w14:val="none"/>
        </w:rPr>
        <w:t xml:space="preserve">, and </w:t>
      </w:r>
      <w:r w:rsidRPr="005F0F70">
        <w:rPr>
          <w:rFonts w:ascii="Arial" w:eastAsia="Times New Roman" w:hAnsi="Arial" w:cs="Arial"/>
          <w:b/>
          <w:bCs/>
          <w:kern w:val="0"/>
          <w:lang w:eastAsia="en-GB"/>
          <w14:ligatures w14:val="none"/>
        </w:rPr>
        <w:t>infection prevention and control</w:t>
      </w:r>
      <w:r w:rsidR="00CE4FC0">
        <w:rPr>
          <w:rFonts w:ascii="Arial" w:eastAsia="Times New Roman" w:hAnsi="Arial" w:cs="Arial"/>
          <w:kern w:val="0"/>
          <w:lang w:eastAsia="en-GB"/>
          <w14:ligatures w14:val="none"/>
        </w:rPr>
        <w:t xml:space="preserve">, </w:t>
      </w:r>
      <w:r w:rsidRPr="005F0F70">
        <w:rPr>
          <w:rFonts w:ascii="Arial" w:eastAsia="Times New Roman" w:hAnsi="Arial" w:cs="Arial"/>
          <w:kern w:val="0"/>
          <w:lang w:eastAsia="en-GB"/>
          <w14:ligatures w14:val="none"/>
        </w:rPr>
        <w:t>highlighting the operational consequences that arise when these competencies are absent. Finally, the report proposes three evidence</w:t>
      </w:r>
      <w:r w:rsidRPr="005F0F70">
        <w:rPr>
          <w:rFonts w:ascii="Arial" w:eastAsia="Times New Roman" w:hAnsi="Arial" w:cs="Arial"/>
          <w:kern w:val="0"/>
          <w:lang w:eastAsia="en-GB"/>
          <w14:ligatures w14:val="none"/>
        </w:rPr>
        <w:noBreakHyphen/>
        <w:t>based strategies to strengthen these skills and support ongoing professional development among nursing staff.</w:t>
      </w:r>
    </w:p>
    <w:p w14:paraId="40765C7A" w14:textId="77777777" w:rsidR="00EB7D9B" w:rsidRDefault="00EB7D9B" w:rsidP="00BB4474">
      <w:pPr>
        <w:spacing w:before="100" w:beforeAutospacing="1" w:afterLines="150" w:after="360" w:line="240" w:lineRule="auto"/>
        <w:rPr>
          <w:rFonts w:ascii="Arial" w:eastAsia="Times New Roman" w:hAnsi="Arial" w:cs="Arial"/>
          <w:b/>
          <w:bCs/>
          <w:kern w:val="0"/>
          <w:lang w:eastAsia="en-GB"/>
          <w14:ligatures w14:val="none"/>
        </w:rPr>
      </w:pPr>
    </w:p>
    <w:p w14:paraId="51954533" w14:textId="083A525D" w:rsidR="006F0A56" w:rsidRPr="00BB4474" w:rsidRDefault="006F0A56" w:rsidP="00BB4474">
      <w:pPr>
        <w:spacing w:before="100" w:beforeAutospacing="1" w:afterLines="150" w:after="360" w:line="240" w:lineRule="auto"/>
        <w:rPr>
          <w:rFonts w:ascii="Arial" w:eastAsia="Times New Roman" w:hAnsi="Arial" w:cs="Arial"/>
          <w:kern w:val="0"/>
          <w:lang w:eastAsia="en-GB"/>
          <w14:ligatures w14:val="none"/>
        </w:rPr>
      </w:pPr>
      <w:r w:rsidRPr="005F0F70">
        <w:rPr>
          <w:rFonts w:ascii="Arial" w:eastAsia="Times New Roman" w:hAnsi="Arial" w:cs="Arial"/>
          <w:b/>
          <w:bCs/>
          <w:kern w:val="0"/>
          <w:lang w:eastAsia="en-GB"/>
          <w14:ligatures w14:val="none"/>
        </w:rPr>
        <w:t>Description of, and background to, Registered Nurses in healthcare</w:t>
      </w:r>
    </w:p>
    <w:p w14:paraId="668C8819" w14:textId="77777777" w:rsidR="006F0A56" w:rsidRPr="005F0F70" w:rsidRDefault="006F0A56" w:rsidP="005F0F70">
      <w:pPr>
        <w:spacing w:before="100" w:beforeAutospacing="1" w:afterLines="150" w:after="360" w:line="240" w:lineRule="auto"/>
        <w:rPr>
          <w:rFonts w:ascii="Arial" w:eastAsia="Times New Roman" w:hAnsi="Arial" w:cs="Arial"/>
          <w:kern w:val="0"/>
          <w:lang w:eastAsia="en-GB"/>
          <w14:ligatures w14:val="none"/>
        </w:rPr>
      </w:pPr>
      <w:r w:rsidRPr="005F0F70">
        <w:rPr>
          <w:rFonts w:ascii="Arial" w:eastAsia="Times New Roman" w:hAnsi="Arial" w:cs="Arial"/>
          <w:kern w:val="0"/>
          <w:lang w:eastAsia="en-GB"/>
          <w14:ligatures w14:val="none"/>
        </w:rPr>
        <w:t>Registered Nurses fulfil a wide spectrum of clinical, organisational, and interpersonal duties across health and social care settings. Their responsibilities include administering complex medication regimes, conducting systematic patient assessments, managing acute and chronic wounds, and advocating for vulnerable individuals who may struggle to express their needs. One of the most vital aspects of the nursing role is the continuous monitoring of patient conditions to detect early signs of physiological deterioration. This vigilance is essential for preventing avoidable harm and ensuring timely escalation to senior clinicians.</w:t>
      </w:r>
    </w:p>
    <w:p w14:paraId="384E075E" w14:textId="77777777" w:rsidR="006F0A56" w:rsidRPr="005F0F70" w:rsidRDefault="006F0A56" w:rsidP="005F0F70">
      <w:pPr>
        <w:spacing w:before="100" w:beforeAutospacing="1" w:afterLines="150" w:after="360" w:line="240" w:lineRule="auto"/>
        <w:rPr>
          <w:rFonts w:ascii="Arial" w:eastAsia="Times New Roman" w:hAnsi="Arial" w:cs="Arial"/>
          <w:kern w:val="0"/>
          <w:lang w:eastAsia="en-GB"/>
          <w14:ligatures w14:val="none"/>
        </w:rPr>
      </w:pPr>
      <w:r w:rsidRPr="005F0F70">
        <w:rPr>
          <w:rFonts w:ascii="Arial" w:eastAsia="Times New Roman" w:hAnsi="Arial" w:cs="Arial"/>
          <w:kern w:val="0"/>
          <w:lang w:eastAsia="en-GB"/>
          <w14:ligatures w14:val="none"/>
        </w:rPr>
        <w:t xml:space="preserve">To perform these duties effectively, nurses must possess a comprehensive and adaptable skill set. Core competencies include advanced clinical reasoning, therapeutic communication, and strict adherence to infection prevention and control standards. These capabilities are reinforced by professional frameworks such as </w:t>
      </w:r>
      <w:r w:rsidRPr="005F0F70">
        <w:rPr>
          <w:rFonts w:ascii="Arial" w:eastAsia="Times New Roman" w:hAnsi="Arial" w:cs="Arial"/>
          <w:b/>
          <w:bCs/>
          <w:kern w:val="0"/>
          <w:lang w:eastAsia="en-GB"/>
          <w14:ligatures w14:val="none"/>
        </w:rPr>
        <w:t>The Code</w:t>
      </w:r>
      <w:r w:rsidRPr="005F0F70">
        <w:rPr>
          <w:rFonts w:ascii="Arial" w:eastAsia="Times New Roman" w:hAnsi="Arial" w:cs="Arial"/>
          <w:kern w:val="0"/>
          <w:lang w:eastAsia="en-GB"/>
          <w14:ligatures w14:val="none"/>
        </w:rPr>
        <w:t xml:space="preserve"> (NMC, 2018), which outlines the behaviours and standards expected of all registered practitioners. Together, these skills form the foundation of safe and competent nursing practice, ensuring that care delivery remains systematic, compassionate, and aligned with regulatory expectations.</w:t>
      </w:r>
    </w:p>
    <w:p w14:paraId="247D6449" w14:textId="7D0BE33C" w:rsidR="006F0A56" w:rsidRPr="005F0F70" w:rsidRDefault="006F0A56" w:rsidP="005F0F70">
      <w:pPr>
        <w:spacing w:before="100" w:beforeAutospacing="1" w:afterLines="150" w:after="360" w:line="240" w:lineRule="auto"/>
        <w:outlineLvl w:val="2"/>
        <w:rPr>
          <w:rFonts w:ascii="Arial" w:eastAsia="Times New Roman" w:hAnsi="Arial" w:cs="Arial"/>
          <w:b/>
          <w:bCs/>
          <w:kern w:val="0"/>
          <w:lang w:eastAsia="en-GB"/>
          <w14:ligatures w14:val="none"/>
        </w:rPr>
      </w:pPr>
      <w:r w:rsidRPr="005F0F70">
        <w:rPr>
          <w:rFonts w:ascii="Arial" w:eastAsia="Times New Roman" w:hAnsi="Arial" w:cs="Arial"/>
          <w:b/>
          <w:bCs/>
          <w:kern w:val="0"/>
          <w:lang w:eastAsia="en-GB"/>
          <w14:ligatures w14:val="none"/>
        </w:rPr>
        <w:t>Evaluation of the skills needed for Registered Nurses in healthcare</w:t>
      </w:r>
    </w:p>
    <w:p w14:paraId="797D14C4" w14:textId="77777777" w:rsidR="006F0A56" w:rsidRPr="005F0F70" w:rsidRDefault="006F0A56" w:rsidP="005F0F70">
      <w:pPr>
        <w:spacing w:before="100" w:beforeAutospacing="1" w:afterLines="150" w:after="360" w:line="240" w:lineRule="auto"/>
        <w:rPr>
          <w:rFonts w:ascii="Arial" w:eastAsia="Times New Roman" w:hAnsi="Arial" w:cs="Arial"/>
          <w:kern w:val="0"/>
          <w:lang w:eastAsia="en-GB"/>
          <w14:ligatures w14:val="none"/>
        </w:rPr>
      </w:pPr>
      <w:r w:rsidRPr="005F0F70">
        <w:rPr>
          <w:rFonts w:ascii="Arial" w:eastAsia="Times New Roman" w:hAnsi="Arial" w:cs="Arial"/>
          <w:kern w:val="0"/>
          <w:lang w:eastAsia="en-GB"/>
          <w14:ligatures w14:val="none"/>
        </w:rPr>
        <w:t>High</w:t>
      </w:r>
      <w:r w:rsidRPr="005F0F70">
        <w:rPr>
          <w:rFonts w:ascii="Arial" w:eastAsia="Times New Roman" w:hAnsi="Arial" w:cs="Arial"/>
          <w:kern w:val="0"/>
          <w:lang w:eastAsia="en-GB"/>
          <w14:ligatures w14:val="none"/>
        </w:rPr>
        <w:noBreakHyphen/>
        <w:t xml:space="preserve">quality nursing care relies on the consistent application of three essential skills: </w:t>
      </w:r>
      <w:r w:rsidRPr="005F0F70">
        <w:rPr>
          <w:rFonts w:ascii="Arial" w:eastAsia="Times New Roman" w:hAnsi="Arial" w:cs="Arial"/>
          <w:b/>
          <w:bCs/>
          <w:kern w:val="0"/>
          <w:lang w:eastAsia="en-GB"/>
          <w14:ligatures w14:val="none"/>
        </w:rPr>
        <w:t>therapeutic communication</w:t>
      </w:r>
      <w:r w:rsidRPr="005F0F70">
        <w:rPr>
          <w:rFonts w:ascii="Arial" w:eastAsia="Times New Roman" w:hAnsi="Arial" w:cs="Arial"/>
          <w:kern w:val="0"/>
          <w:lang w:eastAsia="en-GB"/>
          <w14:ligatures w14:val="none"/>
        </w:rPr>
        <w:t xml:space="preserve">, </w:t>
      </w:r>
      <w:r w:rsidRPr="005F0F70">
        <w:rPr>
          <w:rFonts w:ascii="Arial" w:eastAsia="Times New Roman" w:hAnsi="Arial" w:cs="Arial"/>
          <w:b/>
          <w:bCs/>
          <w:kern w:val="0"/>
          <w:lang w:eastAsia="en-GB"/>
          <w14:ligatures w14:val="none"/>
        </w:rPr>
        <w:t>clinical decision</w:t>
      </w:r>
      <w:r w:rsidRPr="005F0F70">
        <w:rPr>
          <w:rFonts w:ascii="Arial" w:eastAsia="Times New Roman" w:hAnsi="Arial" w:cs="Arial"/>
          <w:b/>
          <w:bCs/>
          <w:kern w:val="0"/>
          <w:lang w:eastAsia="en-GB"/>
          <w14:ligatures w14:val="none"/>
        </w:rPr>
        <w:noBreakHyphen/>
        <w:t>making</w:t>
      </w:r>
      <w:r w:rsidRPr="005F0F70">
        <w:rPr>
          <w:rFonts w:ascii="Arial" w:eastAsia="Times New Roman" w:hAnsi="Arial" w:cs="Arial"/>
          <w:kern w:val="0"/>
          <w:lang w:eastAsia="en-GB"/>
          <w14:ligatures w14:val="none"/>
        </w:rPr>
        <w:t xml:space="preserve">, and </w:t>
      </w:r>
      <w:r w:rsidRPr="005F0F70">
        <w:rPr>
          <w:rFonts w:ascii="Arial" w:eastAsia="Times New Roman" w:hAnsi="Arial" w:cs="Arial"/>
          <w:b/>
          <w:bCs/>
          <w:kern w:val="0"/>
          <w:lang w:eastAsia="en-GB"/>
          <w14:ligatures w14:val="none"/>
        </w:rPr>
        <w:t>infection prevention and control</w:t>
      </w:r>
      <w:r w:rsidRPr="005F0F70">
        <w:rPr>
          <w:rFonts w:ascii="Arial" w:eastAsia="Times New Roman" w:hAnsi="Arial" w:cs="Arial"/>
          <w:kern w:val="0"/>
          <w:lang w:eastAsia="en-GB"/>
          <w14:ligatures w14:val="none"/>
        </w:rPr>
        <w:t>. These competencies directly address the most common risks within healthcare environments, including medical errors, misdiagnoses, and hospital</w:t>
      </w:r>
      <w:r w:rsidRPr="005F0F70">
        <w:rPr>
          <w:rFonts w:ascii="Arial" w:eastAsia="Times New Roman" w:hAnsi="Arial" w:cs="Arial"/>
          <w:kern w:val="0"/>
          <w:lang w:eastAsia="en-GB"/>
          <w14:ligatures w14:val="none"/>
        </w:rPr>
        <w:noBreakHyphen/>
        <w:t>acquired infections.</w:t>
      </w:r>
    </w:p>
    <w:p w14:paraId="4E9291A6" w14:textId="77777777" w:rsidR="006F0A56" w:rsidRPr="005F0F70" w:rsidRDefault="006F0A56" w:rsidP="005F0F70">
      <w:pPr>
        <w:spacing w:before="100" w:beforeAutospacing="1" w:afterLines="150" w:after="360" w:line="240" w:lineRule="auto"/>
        <w:rPr>
          <w:rFonts w:ascii="Arial" w:eastAsia="Times New Roman" w:hAnsi="Arial" w:cs="Arial"/>
          <w:kern w:val="0"/>
          <w:lang w:eastAsia="en-GB"/>
          <w14:ligatures w14:val="none"/>
        </w:rPr>
      </w:pPr>
      <w:r w:rsidRPr="005F0F70">
        <w:rPr>
          <w:rFonts w:ascii="Arial" w:eastAsia="Times New Roman" w:hAnsi="Arial" w:cs="Arial"/>
          <w:b/>
          <w:bCs/>
          <w:kern w:val="0"/>
          <w:lang w:eastAsia="en-GB"/>
          <w14:ligatures w14:val="none"/>
        </w:rPr>
        <w:t>Therapeutic communication</w:t>
      </w:r>
      <w:r w:rsidRPr="005F0F70">
        <w:rPr>
          <w:rFonts w:ascii="Arial" w:eastAsia="Times New Roman" w:hAnsi="Arial" w:cs="Arial"/>
          <w:kern w:val="0"/>
          <w:lang w:eastAsia="en-GB"/>
          <w14:ligatures w14:val="none"/>
        </w:rPr>
        <w:t xml:space="preserve"> is fundamental to effective patient assessment and relationship</w:t>
      </w:r>
      <w:r w:rsidRPr="005F0F70">
        <w:rPr>
          <w:rFonts w:ascii="Arial" w:eastAsia="Times New Roman" w:hAnsi="Arial" w:cs="Arial"/>
          <w:kern w:val="0"/>
          <w:lang w:eastAsia="en-GB"/>
          <w14:ligatures w14:val="none"/>
        </w:rPr>
        <w:noBreakHyphen/>
        <w:t>building. Through active listening, open</w:t>
      </w:r>
      <w:r w:rsidRPr="005F0F70">
        <w:rPr>
          <w:rFonts w:ascii="Arial" w:eastAsia="Times New Roman" w:hAnsi="Arial" w:cs="Arial"/>
          <w:kern w:val="0"/>
          <w:lang w:eastAsia="en-GB"/>
          <w14:ligatures w14:val="none"/>
        </w:rPr>
        <w:noBreakHyphen/>
        <w:t>ended questioning, and empathetic engagement, nurses can elicit accurate patient histories and identify subtle symptoms that may otherwise go unnoticed. For example, a patient may disclose medication non</w:t>
      </w:r>
      <w:r w:rsidRPr="005F0F70">
        <w:rPr>
          <w:rFonts w:ascii="Arial" w:eastAsia="Times New Roman" w:hAnsi="Arial" w:cs="Arial"/>
          <w:kern w:val="0"/>
          <w:lang w:eastAsia="en-GB"/>
          <w14:ligatures w14:val="none"/>
        </w:rPr>
        <w:noBreakHyphen/>
        <w:t>compliance only when they feel understood and not judged. Communication also plays a critical role in multidisciplinary teamwork. Clear, structured handovers reduce the likelihood of information loss during shift changes, thereby preventing clinical oversights that could compromise patient safety (Aiken et al., 2018).</w:t>
      </w:r>
    </w:p>
    <w:p w14:paraId="67EA5D40" w14:textId="77777777" w:rsidR="006F0A56" w:rsidRPr="005F0F70" w:rsidRDefault="006F0A56" w:rsidP="005F0F70">
      <w:pPr>
        <w:spacing w:before="100" w:beforeAutospacing="1" w:afterLines="150" w:after="360" w:line="240" w:lineRule="auto"/>
        <w:rPr>
          <w:rFonts w:ascii="Arial" w:eastAsia="Times New Roman" w:hAnsi="Arial" w:cs="Arial"/>
          <w:kern w:val="0"/>
          <w:lang w:eastAsia="en-GB"/>
          <w14:ligatures w14:val="none"/>
        </w:rPr>
      </w:pPr>
      <w:r w:rsidRPr="00BB4474">
        <w:rPr>
          <w:rFonts w:ascii="Arial" w:eastAsia="Times New Roman" w:hAnsi="Arial" w:cs="Arial"/>
          <w:b/>
          <w:bCs/>
          <w:kern w:val="0"/>
          <w:lang w:eastAsia="en-GB"/>
          <w14:ligatures w14:val="none"/>
        </w:rPr>
        <w:t>Clinical decision</w:t>
      </w:r>
      <w:r w:rsidRPr="00BB4474">
        <w:rPr>
          <w:rFonts w:ascii="Arial" w:eastAsia="Times New Roman" w:hAnsi="Arial" w:cs="Arial"/>
          <w:b/>
          <w:bCs/>
          <w:kern w:val="0"/>
          <w:lang w:eastAsia="en-GB"/>
          <w14:ligatures w14:val="none"/>
        </w:rPr>
        <w:noBreakHyphen/>
        <w:t>making</w:t>
      </w:r>
      <w:r w:rsidRPr="005F0F70">
        <w:rPr>
          <w:rFonts w:ascii="Arial" w:eastAsia="Times New Roman" w:hAnsi="Arial" w:cs="Arial"/>
          <w:kern w:val="0"/>
          <w:lang w:eastAsia="en-GB"/>
          <w14:ligatures w14:val="none"/>
        </w:rPr>
        <w:t xml:space="preserve"> enables nurses to interpret complex physiological data and prioritise interventions appropriately. This skill becomes particularly crucial during acute deterioration. For instance, a sudden increase in a patient’s Early Warning Score (EWS) requires immediate escalation through established care pathways. When nurses lack confidence or competence in decision</w:t>
      </w:r>
      <w:r w:rsidRPr="005F0F70">
        <w:rPr>
          <w:rFonts w:ascii="Arial" w:eastAsia="Times New Roman" w:hAnsi="Arial" w:cs="Arial"/>
          <w:kern w:val="0"/>
          <w:lang w:eastAsia="en-GB"/>
          <w14:ligatures w14:val="none"/>
        </w:rPr>
        <w:noBreakHyphen/>
        <w:t>making, “failure to rescue” events become more likely, meaning preventable deterioration is not recognised or acted upon. Such failures significantly increase morbidity and mortality rates (Dalton et al., 2018).</w:t>
      </w:r>
    </w:p>
    <w:p w14:paraId="25085930" w14:textId="04B6178C" w:rsidR="006F0A56" w:rsidRPr="005F0F70" w:rsidRDefault="00BB4474" w:rsidP="005F0F70">
      <w:pPr>
        <w:spacing w:before="100" w:beforeAutospacing="1" w:afterLines="150" w:after="36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w:t>
      </w:r>
      <w:r w:rsidR="006F0A56" w:rsidRPr="005F0F70">
        <w:rPr>
          <w:rFonts w:ascii="Arial" w:eastAsia="Times New Roman" w:hAnsi="Arial" w:cs="Arial"/>
          <w:b/>
          <w:bCs/>
          <w:kern w:val="0"/>
          <w:lang w:eastAsia="en-GB"/>
          <w14:ligatures w14:val="none"/>
        </w:rPr>
        <w:t>nfection prevention and control</w:t>
      </w:r>
      <w:r w:rsidR="006F0A56" w:rsidRPr="005F0F70">
        <w:rPr>
          <w:rFonts w:ascii="Arial" w:eastAsia="Times New Roman" w:hAnsi="Arial" w:cs="Arial"/>
          <w:kern w:val="0"/>
          <w:lang w:eastAsia="en-GB"/>
          <w14:ligatures w14:val="none"/>
        </w:rPr>
        <w:t xml:space="preserve"> is essential for protecting vulnerable patients from harmful pathogens. Techniques such as aseptic non</w:t>
      </w:r>
      <w:r w:rsidR="006F0A56" w:rsidRPr="005F0F70">
        <w:rPr>
          <w:rFonts w:ascii="Arial" w:eastAsia="Times New Roman" w:hAnsi="Arial" w:cs="Arial"/>
          <w:kern w:val="0"/>
          <w:lang w:eastAsia="en-GB"/>
          <w14:ligatures w14:val="none"/>
        </w:rPr>
        <w:noBreakHyphen/>
        <w:t>touch technique (ANTT), correct use of personal protective equipment, and meticulous hand hygiene prevent cross</w:t>
      </w:r>
      <w:r w:rsidR="006F0A56" w:rsidRPr="005F0F70">
        <w:rPr>
          <w:rFonts w:ascii="Arial" w:eastAsia="Times New Roman" w:hAnsi="Arial" w:cs="Arial"/>
          <w:kern w:val="0"/>
          <w:lang w:eastAsia="en-GB"/>
          <w14:ligatures w14:val="none"/>
        </w:rPr>
        <w:noBreakHyphen/>
        <w:t xml:space="preserve">contamination during clinical procedures. If sterile fields are not maintained—for example, during central line dressing changes—pathogens may enter the bloodstream, resulting in severe </w:t>
      </w:r>
      <w:r w:rsidR="006F0A56" w:rsidRPr="005F0F70">
        <w:rPr>
          <w:rFonts w:ascii="Arial" w:eastAsia="Times New Roman" w:hAnsi="Arial" w:cs="Arial"/>
          <w:kern w:val="0"/>
          <w:lang w:eastAsia="en-GB"/>
          <w14:ligatures w14:val="none"/>
        </w:rPr>
        <w:lastRenderedPageBreak/>
        <w:t>healthcare</w:t>
      </w:r>
      <w:r w:rsidR="006F0A56" w:rsidRPr="005F0F70">
        <w:rPr>
          <w:rFonts w:ascii="Arial" w:eastAsia="Times New Roman" w:hAnsi="Arial" w:cs="Arial"/>
          <w:kern w:val="0"/>
          <w:lang w:eastAsia="en-GB"/>
          <w14:ligatures w14:val="none"/>
        </w:rPr>
        <w:noBreakHyphen/>
        <w:t>associated infections. These infections prolong hospital stays, increase treatment costs, and place additional strain on healthcare systems (World Health Organization, 2020).</w:t>
      </w:r>
    </w:p>
    <w:p w14:paraId="4C52405B" w14:textId="77777777" w:rsidR="006F0A56" w:rsidRPr="005F0F70" w:rsidRDefault="006F0A56" w:rsidP="005F0F70">
      <w:pPr>
        <w:spacing w:before="100" w:beforeAutospacing="1" w:afterLines="150" w:after="360" w:line="240" w:lineRule="auto"/>
        <w:rPr>
          <w:rFonts w:ascii="Arial" w:eastAsia="Times New Roman" w:hAnsi="Arial" w:cs="Arial"/>
          <w:kern w:val="0"/>
          <w:lang w:eastAsia="en-GB"/>
          <w14:ligatures w14:val="none"/>
        </w:rPr>
      </w:pPr>
      <w:r w:rsidRPr="005F0F70">
        <w:rPr>
          <w:rFonts w:ascii="Arial" w:eastAsia="Times New Roman" w:hAnsi="Arial" w:cs="Arial"/>
          <w:kern w:val="0"/>
          <w:lang w:eastAsia="en-GB"/>
          <w14:ligatures w14:val="none"/>
        </w:rPr>
        <w:t>Collectively, these three skills underpin safe, effective, and compassionate nursing practice. Their absence leads to compromised patient outcomes, increased organisational risk, and diminished public trust in healthcare services.</w:t>
      </w:r>
    </w:p>
    <w:p w14:paraId="0A7BCC90" w14:textId="77777777" w:rsidR="006F0A56" w:rsidRPr="005F0F70" w:rsidRDefault="006F0A56" w:rsidP="005F0F70">
      <w:pPr>
        <w:spacing w:before="100" w:beforeAutospacing="1" w:afterLines="150" w:after="360" w:line="240" w:lineRule="auto"/>
        <w:outlineLvl w:val="2"/>
        <w:rPr>
          <w:rFonts w:ascii="Arial" w:eastAsia="Times New Roman" w:hAnsi="Arial" w:cs="Arial"/>
          <w:b/>
          <w:bCs/>
          <w:kern w:val="0"/>
          <w:lang w:eastAsia="en-GB"/>
          <w14:ligatures w14:val="none"/>
        </w:rPr>
      </w:pPr>
      <w:r w:rsidRPr="005F0F70">
        <w:rPr>
          <w:rFonts w:ascii="Arial" w:eastAsia="Times New Roman" w:hAnsi="Arial" w:cs="Arial"/>
          <w:b/>
          <w:bCs/>
          <w:kern w:val="0"/>
          <w:lang w:eastAsia="en-GB"/>
          <w14:ligatures w14:val="none"/>
        </w:rPr>
        <w:t>1.4 Strategies to improve the skills for Registered Nurses</w:t>
      </w:r>
    </w:p>
    <w:p w14:paraId="4A635A32" w14:textId="77777777" w:rsidR="006F0A56" w:rsidRPr="005F0F70" w:rsidRDefault="006F0A56" w:rsidP="005F0F70">
      <w:pPr>
        <w:spacing w:before="100" w:beforeAutospacing="1" w:afterLines="150" w:after="360" w:line="240" w:lineRule="auto"/>
        <w:rPr>
          <w:rFonts w:ascii="Arial" w:eastAsia="Times New Roman" w:hAnsi="Arial" w:cs="Arial"/>
          <w:kern w:val="0"/>
          <w:lang w:eastAsia="en-GB"/>
          <w14:ligatures w14:val="none"/>
        </w:rPr>
      </w:pPr>
      <w:r w:rsidRPr="005F0F70">
        <w:rPr>
          <w:rFonts w:ascii="Arial" w:eastAsia="Times New Roman" w:hAnsi="Arial" w:cs="Arial"/>
          <w:kern w:val="0"/>
          <w:lang w:eastAsia="en-GB"/>
          <w14:ligatures w14:val="none"/>
        </w:rPr>
        <w:t>To strengthen these core competencies, healthcare organisations must adopt structured, evidence</w:t>
      </w:r>
      <w:r w:rsidRPr="005F0F70">
        <w:rPr>
          <w:rFonts w:ascii="Arial" w:eastAsia="Times New Roman" w:hAnsi="Arial" w:cs="Arial"/>
          <w:kern w:val="0"/>
          <w:lang w:eastAsia="en-GB"/>
          <w14:ligatures w14:val="none"/>
        </w:rPr>
        <w:noBreakHyphen/>
        <w:t xml:space="preserve">based strategies that support continuous professional development. Three highly effective interventions include </w:t>
      </w:r>
      <w:r w:rsidRPr="005F0F70">
        <w:rPr>
          <w:rFonts w:ascii="Arial" w:eastAsia="Times New Roman" w:hAnsi="Arial" w:cs="Arial"/>
          <w:b/>
          <w:bCs/>
          <w:kern w:val="0"/>
          <w:lang w:eastAsia="en-GB"/>
          <w14:ligatures w14:val="none"/>
        </w:rPr>
        <w:t>high</w:t>
      </w:r>
      <w:r w:rsidRPr="005F0F70">
        <w:rPr>
          <w:rFonts w:ascii="Arial" w:eastAsia="Times New Roman" w:hAnsi="Arial" w:cs="Arial"/>
          <w:b/>
          <w:bCs/>
          <w:kern w:val="0"/>
          <w:lang w:eastAsia="en-GB"/>
          <w14:ligatures w14:val="none"/>
        </w:rPr>
        <w:noBreakHyphen/>
        <w:t>fidelity simulation training</w:t>
      </w:r>
      <w:r w:rsidRPr="005F0F70">
        <w:rPr>
          <w:rFonts w:ascii="Arial" w:eastAsia="Times New Roman" w:hAnsi="Arial" w:cs="Arial"/>
          <w:kern w:val="0"/>
          <w:lang w:eastAsia="en-GB"/>
          <w14:ligatures w14:val="none"/>
        </w:rPr>
        <w:t xml:space="preserve">, </w:t>
      </w:r>
      <w:r w:rsidRPr="005F0F70">
        <w:rPr>
          <w:rFonts w:ascii="Arial" w:eastAsia="Times New Roman" w:hAnsi="Arial" w:cs="Arial"/>
          <w:b/>
          <w:bCs/>
          <w:kern w:val="0"/>
          <w:lang w:eastAsia="en-GB"/>
          <w14:ligatures w14:val="none"/>
        </w:rPr>
        <w:t>the SBAR communication protocol</w:t>
      </w:r>
      <w:r w:rsidRPr="005F0F70">
        <w:rPr>
          <w:rFonts w:ascii="Arial" w:eastAsia="Times New Roman" w:hAnsi="Arial" w:cs="Arial"/>
          <w:kern w:val="0"/>
          <w:lang w:eastAsia="en-GB"/>
          <w14:ligatures w14:val="none"/>
        </w:rPr>
        <w:t xml:space="preserve">, and </w:t>
      </w:r>
      <w:r w:rsidRPr="005F0F70">
        <w:rPr>
          <w:rFonts w:ascii="Arial" w:eastAsia="Times New Roman" w:hAnsi="Arial" w:cs="Arial"/>
          <w:b/>
          <w:bCs/>
          <w:kern w:val="0"/>
          <w:lang w:eastAsia="en-GB"/>
          <w14:ligatures w14:val="none"/>
        </w:rPr>
        <w:t>peer</w:t>
      </w:r>
      <w:r w:rsidRPr="005F0F70">
        <w:rPr>
          <w:rFonts w:ascii="Arial" w:eastAsia="Times New Roman" w:hAnsi="Arial" w:cs="Arial"/>
          <w:b/>
          <w:bCs/>
          <w:kern w:val="0"/>
          <w:lang w:eastAsia="en-GB"/>
          <w14:ligatures w14:val="none"/>
        </w:rPr>
        <w:noBreakHyphen/>
        <w:t>led infection control audits</w:t>
      </w:r>
      <w:r w:rsidRPr="005F0F70">
        <w:rPr>
          <w:rFonts w:ascii="Arial" w:eastAsia="Times New Roman" w:hAnsi="Arial" w:cs="Arial"/>
          <w:kern w:val="0"/>
          <w:lang w:eastAsia="en-GB"/>
          <w14:ligatures w14:val="none"/>
        </w:rPr>
        <w:t>.</w:t>
      </w:r>
    </w:p>
    <w:p w14:paraId="60881E9B" w14:textId="77777777" w:rsidR="006F0A56" w:rsidRPr="005F0F70" w:rsidRDefault="006F0A56" w:rsidP="005F0F70">
      <w:pPr>
        <w:spacing w:before="100" w:beforeAutospacing="1" w:afterLines="150" w:after="360" w:line="240" w:lineRule="auto"/>
        <w:rPr>
          <w:rFonts w:ascii="Arial" w:eastAsia="Times New Roman" w:hAnsi="Arial" w:cs="Arial"/>
          <w:kern w:val="0"/>
          <w:lang w:eastAsia="en-GB"/>
          <w14:ligatures w14:val="none"/>
        </w:rPr>
      </w:pPr>
      <w:r w:rsidRPr="005F0F70">
        <w:rPr>
          <w:rFonts w:ascii="Arial" w:eastAsia="Times New Roman" w:hAnsi="Arial" w:cs="Arial"/>
          <w:b/>
          <w:bCs/>
          <w:kern w:val="0"/>
          <w:lang w:eastAsia="en-GB"/>
          <w14:ligatures w14:val="none"/>
        </w:rPr>
        <w:t>High</w:t>
      </w:r>
      <w:r w:rsidRPr="005F0F70">
        <w:rPr>
          <w:rFonts w:ascii="Arial" w:eastAsia="Times New Roman" w:hAnsi="Arial" w:cs="Arial"/>
          <w:b/>
          <w:bCs/>
          <w:kern w:val="0"/>
          <w:lang w:eastAsia="en-GB"/>
          <w14:ligatures w14:val="none"/>
        </w:rPr>
        <w:noBreakHyphen/>
        <w:t>fidelity simulation training</w:t>
      </w:r>
      <w:r w:rsidRPr="005F0F70">
        <w:rPr>
          <w:rFonts w:ascii="Arial" w:eastAsia="Times New Roman" w:hAnsi="Arial" w:cs="Arial"/>
          <w:kern w:val="0"/>
          <w:lang w:eastAsia="en-GB"/>
          <w14:ligatures w14:val="none"/>
        </w:rPr>
        <w:t xml:space="preserve"> provides nurses with realistic, immersive learning experiences that replicate acute clinical emergencies. Computerised mannequins can simulate conditions such as cardiac arrest, sepsis, or anaphylaxis, allowing nurses to practise rapid assessment and intervention in a controlled environment. Research demonstrates that simulation enhances diagnostic confidence, improves teamwork, and reduces response times during real emergencies (Gore et al., 2019). By repeatedly rehearsing high</w:t>
      </w:r>
      <w:r w:rsidRPr="005F0F70">
        <w:rPr>
          <w:rFonts w:ascii="Arial" w:eastAsia="Times New Roman" w:hAnsi="Arial" w:cs="Arial"/>
          <w:kern w:val="0"/>
          <w:lang w:eastAsia="en-GB"/>
          <w14:ligatures w14:val="none"/>
        </w:rPr>
        <w:noBreakHyphen/>
        <w:t>risk scenarios, nurses develop stronger clinical reasoning skills and become more adept at managing complex patient presentations.</w:t>
      </w:r>
    </w:p>
    <w:p w14:paraId="610B1678" w14:textId="2C459A0E" w:rsidR="006F0A56" w:rsidRPr="005F0F70" w:rsidRDefault="006F0A56" w:rsidP="005F0F70">
      <w:pPr>
        <w:spacing w:before="100" w:beforeAutospacing="1" w:afterLines="150" w:after="360" w:line="240" w:lineRule="auto"/>
        <w:rPr>
          <w:rFonts w:ascii="Arial" w:eastAsia="Times New Roman" w:hAnsi="Arial" w:cs="Arial"/>
          <w:kern w:val="0"/>
          <w:lang w:eastAsia="en-GB"/>
          <w14:ligatures w14:val="none"/>
        </w:rPr>
      </w:pPr>
      <w:r w:rsidRPr="005F0F70">
        <w:rPr>
          <w:rFonts w:ascii="Arial" w:eastAsia="Times New Roman" w:hAnsi="Arial" w:cs="Arial"/>
          <w:kern w:val="0"/>
          <w:lang w:eastAsia="en-GB"/>
          <w14:ligatures w14:val="none"/>
        </w:rPr>
        <w:t xml:space="preserve">The implementation of the </w:t>
      </w:r>
      <w:r w:rsidRPr="005F0F70">
        <w:rPr>
          <w:rFonts w:ascii="Arial" w:eastAsia="Times New Roman" w:hAnsi="Arial" w:cs="Arial"/>
          <w:b/>
          <w:bCs/>
          <w:kern w:val="0"/>
          <w:lang w:eastAsia="en-GB"/>
          <w14:ligatures w14:val="none"/>
        </w:rPr>
        <w:t>SBAR communication framework</w:t>
      </w:r>
      <w:r w:rsidRPr="005F0F70">
        <w:rPr>
          <w:rFonts w:ascii="Arial" w:eastAsia="Times New Roman" w:hAnsi="Arial" w:cs="Arial"/>
          <w:kern w:val="0"/>
          <w:lang w:eastAsia="en-GB"/>
          <w14:ligatures w14:val="none"/>
        </w:rPr>
        <w:t xml:space="preserve"> is another powerful strategy for improving information exchange. SBAR</w:t>
      </w:r>
      <w:r w:rsidR="00EB7D9B">
        <w:rPr>
          <w:rFonts w:ascii="Arial" w:eastAsia="Times New Roman" w:hAnsi="Arial" w:cs="Arial"/>
          <w:kern w:val="0"/>
          <w:lang w:eastAsia="en-GB"/>
          <w14:ligatures w14:val="none"/>
        </w:rPr>
        <w:t xml:space="preserve"> </w:t>
      </w:r>
      <w:r w:rsidRPr="005F0F70">
        <w:rPr>
          <w:rFonts w:ascii="Arial" w:eastAsia="Times New Roman" w:hAnsi="Arial" w:cs="Arial"/>
          <w:kern w:val="0"/>
          <w:lang w:eastAsia="en-GB"/>
          <w14:ligatures w14:val="none"/>
        </w:rPr>
        <w:t>Situation, Background, Assessment, Recommendation</w:t>
      </w:r>
      <w:r w:rsidR="00EB7D9B">
        <w:rPr>
          <w:rFonts w:ascii="Arial" w:eastAsia="Times New Roman" w:hAnsi="Arial" w:cs="Arial"/>
          <w:kern w:val="0"/>
          <w:lang w:eastAsia="en-GB"/>
          <w14:ligatures w14:val="none"/>
        </w:rPr>
        <w:t xml:space="preserve"> that </w:t>
      </w:r>
      <w:r w:rsidRPr="005F0F70">
        <w:rPr>
          <w:rFonts w:ascii="Arial" w:eastAsia="Times New Roman" w:hAnsi="Arial" w:cs="Arial"/>
          <w:kern w:val="0"/>
          <w:lang w:eastAsia="en-GB"/>
          <w14:ligatures w14:val="none"/>
        </w:rPr>
        <w:t>provides a structured method for organising critical patient information before communicating with colleagues. During urgent clinical situations, SBAR ensures that nurses present concise, relevant data without omitting essential details. Evidence shows that widespread adoption of SBAR reduces communication errors, enhances interprofessional collaboration, and improves patient safety outcomes (Müller et al., 2018).</w:t>
      </w:r>
    </w:p>
    <w:p w14:paraId="0169E498" w14:textId="77777777" w:rsidR="006F0A56" w:rsidRPr="005F0F70" w:rsidRDefault="006F0A56" w:rsidP="005F0F70">
      <w:pPr>
        <w:spacing w:before="100" w:beforeAutospacing="1" w:afterLines="150" w:after="360" w:line="240" w:lineRule="auto"/>
        <w:rPr>
          <w:rFonts w:ascii="Arial" w:eastAsia="Times New Roman" w:hAnsi="Arial" w:cs="Arial"/>
          <w:kern w:val="0"/>
          <w:lang w:eastAsia="en-GB"/>
          <w14:ligatures w14:val="none"/>
        </w:rPr>
      </w:pPr>
      <w:r w:rsidRPr="00EB7D9B">
        <w:rPr>
          <w:rFonts w:ascii="Arial" w:eastAsia="Times New Roman" w:hAnsi="Arial" w:cs="Arial"/>
          <w:kern w:val="0"/>
          <w:lang w:eastAsia="en-GB"/>
          <w14:ligatures w14:val="none"/>
        </w:rPr>
        <w:t>Finally</w:t>
      </w:r>
      <w:r w:rsidRPr="00EB7D9B">
        <w:rPr>
          <w:rFonts w:ascii="Arial" w:eastAsia="Times New Roman" w:hAnsi="Arial" w:cs="Arial"/>
          <w:b/>
          <w:bCs/>
          <w:kern w:val="0"/>
          <w:lang w:eastAsia="en-GB"/>
          <w14:ligatures w14:val="none"/>
        </w:rPr>
        <w:t>,</w:t>
      </w:r>
      <w:r w:rsidRPr="005F0F70">
        <w:rPr>
          <w:rFonts w:ascii="Arial" w:eastAsia="Times New Roman" w:hAnsi="Arial" w:cs="Arial"/>
          <w:kern w:val="0"/>
          <w:lang w:eastAsia="en-GB"/>
          <w14:ligatures w14:val="none"/>
        </w:rPr>
        <w:t xml:space="preserve"> </w:t>
      </w:r>
      <w:r w:rsidRPr="005F0F70">
        <w:rPr>
          <w:rFonts w:ascii="Arial" w:eastAsia="Times New Roman" w:hAnsi="Arial" w:cs="Arial"/>
          <w:b/>
          <w:bCs/>
          <w:kern w:val="0"/>
          <w:lang w:eastAsia="en-GB"/>
          <w14:ligatures w14:val="none"/>
        </w:rPr>
        <w:t>peer</w:t>
      </w:r>
      <w:r w:rsidRPr="005F0F70">
        <w:rPr>
          <w:rFonts w:ascii="Arial" w:eastAsia="Times New Roman" w:hAnsi="Arial" w:cs="Arial"/>
          <w:b/>
          <w:bCs/>
          <w:kern w:val="0"/>
          <w:lang w:eastAsia="en-GB"/>
          <w14:ligatures w14:val="none"/>
        </w:rPr>
        <w:noBreakHyphen/>
        <w:t>led infection control audits</w:t>
      </w:r>
      <w:r w:rsidRPr="005F0F70">
        <w:rPr>
          <w:rFonts w:ascii="Arial" w:eastAsia="Times New Roman" w:hAnsi="Arial" w:cs="Arial"/>
          <w:kern w:val="0"/>
          <w:lang w:eastAsia="en-GB"/>
          <w14:ligatures w14:val="none"/>
        </w:rPr>
        <w:t xml:space="preserve"> offer a practical and sustainable method for improving hygienic compliance. In this approach, trained nursing staff observe colleagues performing routine procedures—such as cannulation or wound care—and provide immediate feedback on infection control practices. This real</w:t>
      </w:r>
      <w:r w:rsidRPr="005F0F70">
        <w:rPr>
          <w:rFonts w:ascii="Arial" w:eastAsia="Times New Roman" w:hAnsi="Arial" w:cs="Arial"/>
          <w:kern w:val="0"/>
          <w:lang w:eastAsia="en-GB"/>
          <w14:ligatures w14:val="none"/>
        </w:rPr>
        <w:noBreakHyphen/>
        <w:t>time coaching fosters a culture of accountability and encourages reflective practice. Regular auditing has been shown to significantly reduce cross</w:t>
      </w:r>
      <w:r w:rsidRPr="005F0F70">
        <w:rPr>
          <w:rFonts w:ascii="Arial" w:eastAsia="Times New Roman" w:hAnsi="Arial" w:cs="Arial"/>
          <w:kern w:val="0"/>
          <w:lang w:eastAsia="en-GB"/>
          <w14:ligatures w14:val="none"/>
        </w:rPr>
        <w:noBreakHyphen/>
        <w:t>contamination rates and strengthen adherence to infection control standards (Cullen et al., 2022).</w:t>
      </w:r>
    </w:p>
    <w:p w14:paraId="4C6DEC2B" w14:textId="6FE54169" w:rsidR="00EB7D9B" w:rsidRDefault="006F0A56" w:rsidP="00EB7D9B">
      <w:pPr>
        <w:spacing w:before="100" w:beforeAutospacing="1" w:afterLines="150" w:after="360" w:line="240" w:lineRule="auto"/>
        <w:rPr>
          <w:rFonts w:ascii="Arial" w:eastAsia="Times New Roman" w:hAnsi="Arial" w:cs="Arial"/>
          <w:kern w:val="0"/>
          <w:lang w:eastAsia="en-GB"/>
          <w14:ligatures w14:val="none"/>
        </w:rPr>
      </w:pPr>
      <w:r w:rsidRPr="005F0F70">
        <w:rPr>
          <w:rFonts w:ascii="Arial" w:eastAsia="Times New Roman" w:hAnsi="Arial" w:cs="Arial"/>
          <w:kern w:val="0"/>
          <w:lang w:eastAsia="en-GB"/>
          <w14:ligatures w14:val="none"/>
        </w:rPr>
        <w:t>Together, these strategies create a robust framework for enhancing nursing competence. They promote experiential learning, structured communication, and collaborative quality improvement</w:t>
      </w:r>
      <w:r w:rsidR="00EB7D9B">
        <w:rPr>
          <w:rFonts w:ascii="Arial" w:eastAsia="Times New Roman" w:hAnsi="Arial" w:cs="Arial"/>
          <w:kern w:val="0"/>
          <w:lang w:eastAsia="en-GB"/>
          <w14:ligatures w14:val="none"/>
        </w:rPr>
        <w:t xml:space="preserve"> in </w:t>
      </w:r>
      <w:r w:rsidRPr="005F0F70">
        <w:rPr>
          <w:rFonts w:ascii="Arial" w:eastAsia="Times New Roman" w:hAnsi="Arial" w:cs="Arial"/>
          <w:kern w:val="0"/>
          <w:lang w:eastAsia="en-GB"/>
          <w14:ligatures w14:val="none"/>
        </w:rPr>
        <w:t>three pillars essential for maintaining safe and effective healthcare environments.</w:t>
      </w:r>
    </w:p>
    <w:p w14:paraId="22D23AFE" w14:textId="25D3E110" w:rsidR="006F0A56" w:rsidRPr="00EB7D9B" w:rsidRDefault="006F0A56" w:rsidP="00EB7D9B">
      <w:pPr>
        <w:spacing w:before="100" w:beforeAutospacing="1" w:afterLines="150" w:after="360" w:line="240" w:lineRule="auto"/>
        <w:rPr>
          <w:rFonts w:ascii="Arial" w:eastAsia="Times New Roman" w:hAnsi="Arial" w:cs="Arial"/>
          <w:kern w:val="0"/>
          <w:lang w:eastAsia="en-GB"/>
          <w14:ligatures w14:val="none"/>
        </w:rPr>
      </w:pPr>
      <w:r w:rsidRPr="005F0F70">
        <w:rPr>
          <w:rFonts w:ascii="Arial" w:eastAsia="Times New Roman" w:hAnsi="Arial" w:cs="Arial"/>
          <w:b/>
          <w:bCs/>
          <w:kern w:val="0"/>
          <w:lang w:eastAsia="en-GB"/>
          <w14:ligatures w14:val="none"/>
        </w:rPr>
        <w:t>Conclusion</w:t>
      </w:r>
    </w:p>
    <w:p w14:paraId="762DDEAA" w14:textId="77777777" w:rsidR="006F0A56" w:rsidRPr="005F0F70" w:rsidRDefault="006F0A56" w:rsidP="005F0F70">
      <w:pPr>
        <w:spacing w:before="100" w:beforeAutospacing="1" w:afterLines="150" w:after="360" w:line="240" w:lineRule="auto"/>
        <w:rPr>
          <w:rFonts w:ascii="Arial" w:eastAsia="Times New Roman" w:hAnsi="Arial" w:cs="Arial"/>
          <w:kern w:val="0"/>
          <w:lang w:eastAsia="en-GB"/>
          <w14:ligatures w14:val="none"/>
        </w:rPr>
      </w:pPr>
      <w:r w:rsidRPr="005F0F70">
        <w:rPr>
          <w:rFonts w:ascii="Arial" w:eastAsia="Times New Roman" w:hAnsi="Arial" w:cs="Arial"/>
          <w:kern w:val="0"/>
          <w:lang w:eastAsia="en-GB"/>
          <w14:ligatures w14:val="none"/>
        </w:rPr>
        <w:t>In conclusion, the role of the Registered Nurse is indispensable to the functioning of modern healthcare systems. Nurses provide continuous clinical monitoring, coordinate multidisciplinary care, and uphold professional standards that safeguard patient wellbeing. This report has emphasised the importance of therapeutic communication, clinical decision</w:t>
      </w:r>
      <w:r w:rsidRPr="005F0F70">
        <w:rPr>
          <w:rFonts w:ascii="Arial" w:eastAsia="Times New Roman" w:hAnsi="Arial" w:cs="Arial"/>
          <w:kern w:val="0"/>
          <w:lang w:eastAsia="en-GB"/>
          <w14:ligatures w14:val="none"/>
        </w:rPr>
        <w:noBreakHyphen/>
        <w:t xml:space="preserve">making, and infection prevention and control—skills that directly influence patient </w:t>
      </w:r>
      <w:r w:rsidRPr="005F0F70">
        <w:rPr>
          <w:rFonts w:ascii="Arial" w:eastAsia="Times New Roman" w:hAnsi="Arial" w:cs="Arial"/>
          <w:kern w:val="0"/>
          <w:lang w:eastAsia="en-GB"/>
          <w14:ligatures w14:val="none"/>
        </w:rPr>
        <w:lastRenderedPageBreak/>
        <w:t>safety and clinical outcomes. When these competencies are lacking, the consequences can be severe, including diagnostic delays, preventable deterioration, and increased infection rates.</w:t>
      </w:r>
    </w:p>
    <w:p w14:paraId="58C40908" w14:textId="318494C0" w:rsidR="006F0A56" w:rsidRPr="005F0F70" w:rsidRDefault="006F0A56" w:rsidP="005F0F70">
      <w:pPr>
        <w:spacing w:before="100" w:beforeAutospacing="1" w:afterLines="150" w:after="360" w:line="240" w:lineRule="auto"/>
        <w:rPr>
          <w:rFonts w:ascii="Arial" w:eastAsia="Times New Roman" w:hAnsi="Arial" w:cs="Arial"/>
          <w:kern w:val="0"/>
          <w:lang w:eastAsia="en-GB"/>
          <w14:ligatures w14:val="none"/>
        </w:rPr>
      </w:pPr>
      <w:r w:rsidRPr="005F0F70">
        <w:rPr>
          <w:rFonts w:ascii="Arial" w:eastAsia="Times New Roman" w:hAnsi="Arial" w:cs="Arial"/>
          <w:kern w:val="0"/>
          <w:lang w:eastAsia="en-GB"/>
          <w14:ligatures w14:val="none"/>
        </w:rPr>
        <w:t>By implementing high</w:t>
      </w:r>
      <w:r w:rsidRPr="005F0F70">
        <w:rPr>
          <w:rFonts w:ascii="Arial" w:eastAsia="Times New Roman" w:hAnsi="Arial" w:cs="Arial"/>
          <w:kern w:val="0"/>
          <w:lang w:eastAsia="en-GB"/>
          <w14:ligatures w14:val="none"/>
        </w:rPr>
        <w:noBreakHyphen/>
        <w:t>fidelity simulation training, SBAR communication frameworks, and peer</w:t>
      </w:r>
      <w:r w:rsidRPr="005F0F70">
        <w:rPr>
          <w:rFonts w:ascii="Arial" w:eastAsia="Times New Roman" w:hAnsi="Arial" w:cs="Arial"/>
          <w:kern w:val="0"/>
          <w:lang w:eastAsia="en-GB"/>
          <w14:ligatures w14:val="none"/>
        </w:rPr>
        <w:noBreakHyphen/>
        <w:t>led infection control audits, healthcare organisations can systematically strengthen nursing performance. Continuous investment in professional development remains the most reliable method for improving patient outcomes and ensuring that nursing practice evolves in line with emerging evidence and clinical demands</w:t>
      </w:r>
      <w:r w:rsidR="00EC4A3C">
        <w:rPr>
          <w:rFonts w:ascii="Arial" w:eastAsia="Times New Roman" w:hAnsi="Arial" w:cs="Arial"/>
          <w:kern w:val="0"/>
          <w:lang w:eastAsia="en-GB"/>
          <w14:ligatures w14:val="none"/>
        </w:rPr>
        <w:t>.</w:t>
      </w:r>
    </w:p>
    <w:p w14:paraId="30720BA0" w14:textId="720FE3F4" w:rsidR="00507BA1" w:rsidRPr="005F0F70" w:rsidRDefault="006F0A56" w:rsidP="005F0F70">
      <w:pPr>
        <w:spacing w:afterLines="150" w:after="360"/>
        <w:rPr>
          <w:rFonts w:ascii="Arial" w:hAnsi="Arial" w:cs="Arial"/>
        </w:rPr>
      </w:pPr>
      <w:r w:rsidRPr="005F0F70">
        <w:rPr>
          <w:rFonts w:ascii="Arial" w:hAnsi="Arial" w:cs="Arial"/>
        </w:rPr>
        <w:t>1.5 Reference List Aiken, L. H., Sloane, D. M., Barnes, H., Louis, C. J. and McHugh, M. D. (2018) 'Nurse staffing and patient outcomes in healthcare systems', The Lancet, 392(10159), pp. 1735-1742. Cullen, L., Hanrahan, K., Farrington, M., Tucker, S. and Edmonds, S. (2022) 'Peer auditing strategies for sustainable infection prevention compliance', American Journal of Infection Control, 50(4), pp. 410-416. Dalton, L., Harrison, J., Malin, A. and Leavey, C. (2018) 'Factors contributing to failure to rescue in acute care settings: A systematic review', Journal of Advanced Nursing, 74(11), pp. 2511-2524. Gore, T., Thomson, W. and Hunt, R. (2019) 'The impact of high-fidelity simulation training on clinical decision-making and patient safety', Clinical Simulation in Nursing, 32, pp. 15-22. Müller, M., Jürgens, J., Redaèlli, M., Klingberg, K. and Hautz, W. E. (2018) 'Impact of the communication tool SBAR on patient safety: A systematic review', BMJ Open, 8(8), e022249. Royal College of Nursing (2021) Infection prevention and control clinical standards for professional practice. London: RCN. The Nursing and Midwifery Council (2018) The Code: Professional standards of practice and behaviour for nurses, midwives and nursing associates. London: NMC. World Health Organization (2020) Global report on infection prevention and control. Geneva: World Health Organization.</w:t>
      </w:r>
    </w:p>
    <w:sectPr w:rsidR="00507BA1" w:rsidRPr="005F0F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BA1"/>
    <w:rsid w:val="00015DFF"/>
    <w:rsid w:val="001B3BD7"/>
    <w:rsid w:val="001E2EF2"/>
    <w:rsid w:val="00287A09"/>
    <w:rsid w:val="003B3E0C"/>
    <w:rsid w:val="00507BA1"/>
    <w:rsid w:val="005B23A0"/>
    <w:rsid w:val="005F0F70"/>
    <w:rsid w:val="006F0A56"/>
    <w:rsid w:val="00AE4FE2"/>
    <w:rsid w:val="00B129BD"/>
    <w:rsid w:val="00BB4474"/>
    <w:rsid w:val="00CE4FC0"/>
    <w:rsid w:val="00EB40B4"/>
    <w:rsid w:val="00EB7D9B"/>
    <w:rsid w:val="00EC4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C255E"/>
  <w15:chartTrackingRefBased/>
  <w15:docId w15:val="{F23D3564-00B0-44D4-BB64-8598BCEA8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B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07B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7BA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07BA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7BA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7B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7B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7B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7B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BA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07B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7B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07B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07B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7B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7B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7B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7BA1"/>
    <w:rPr>
      <w:rFonts w:eastAsiaTheme="majorEastAsia" w:cstheme="majorBidi"/>
      <w:color w:val="272727" w:themeColor="text1" w:themeTint="D8"/>
    </w:rPr>
  </w:style>
  <w:style w:type="paragraph" w:styleId="Title">
    <w:name w:val="Title"/>
    <w:basedOn w:val="Normal"/>
    <w:next w:val="Normal"/>
    <w:link w:val="TitleChar"/>
    <w:uiPriority w:val="10"/>
    <w:qFormat/>
    <w:rsid w:val="00507B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7B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7B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7B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7BA1"/>
    <w:pPr>
      <w:spacing w:before="160"/>
      <w:jc w:val="center"/>
    </w:pPr>
    <w:rPr>
      <w:i/>
      <w:iCs/>
      <w:color w:val="404040" w:themeColor="text1" w:themeTint="BF"/>
    </w:rPr>
  </w:style>
  <w:style w:type="character" w:customStyle="1" w:styleId="QuoteChar">
    <w:name w:val="Quote Char"/>
    <w:basedOn w:val="DefaultParagraphFont"/>
    <w:link w:val="Quote"/>
    <w:uiPriority w:val="29"/>
    <w:rsid w:val="00507BA1"/>
    <w:rPr>
      <w:i/>
      <w:iCs/>
      <w:color w:val="404040" w:themeColor="text1" w:themeTint="BF"/>
    </w:rPr>
  </w:style>
  <w:style w:type="paragraph" w:styleId="ListParagraph">
    <w:name w:val="List Paragraph"/>
    <w:basedOn w:val="Normal"/>
    <w:uiPriority w:val="34"/>
    <w:qFormat/>
    <w:rsid w:val="00507BA1"/>
    <w:pPr>
      <w:ind w:left="720"/>
      <w:contextualSpacing/>
    </w:pPr>
  </w:style>
  <w:style w:type="character" w:styleId="IntenseEmphasis">
    <w:name w:val="Intense Emphasis"/>
    <w:basedOn w:val="DefaultParagraphFont"/>
    <w:uiPriority w:val="21"/>
    <w:qFormat/>
    <w:rsid w:val="00507BA1"/>
    <w:rPr>
      <w:i/>
      <w:iCs/>
      <w:color w:val="2F5496" w:themeColor="accent1" w:themeShade="BF"/>
    </w:rPr>
  </w:style>
  <w:style w:type="paragraph" w:styleId="IntenseQuote">
    <w:name w:val="Intense Quote"/>
    <w:basedOn w:val="Normal"/>
    <w:next w:val="Normal"/>
    <w:link w:val="IntenseQuoteChar"/>
    <w:uiPriority w:val="30"/>
    <w:qFormat/>
    <w:rsid w:val="00507B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7BA1"/>
    <w:rPr>
      <w:i/>
      <w:iCs/>
      <w:color w:val="2F5496" w:themeColor="accent1" w:themeShade="BF"/>
    </w:rPr>
  </w:style>
  <w:style w:type="character" w:styleId="IntenseReference">
    <w:name w:val="Intense Reference"/>
    <w:basedOn w:val="DefaultParagraphFont"/>
    <w:uiPriority w:val="32"/>
    <w:qFormat/>
    <w:rsid w:val="00507BA1"/>
    <w:rPr>
      <w:b/>
      <w:bCs/>
      <w:smallCaps/>
      <w:color w:val="2F5496" w:themeColor="accent1" w:themeShade="BF"/>
      <w:spacing w:val="5"/>
    </w:rPr>
  </w:style>
  <w:style w:type="paragraph" w:customStyle="1" w:styleId="paragraph">
    <w:name w:val="paragraph"/>
    <w:basedOn w:val="Normal"/>
    <w:rsid w:val="00507B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507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1522</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 Kallon (2519626)</dc:creator>
  <cp:keywords/>
  <dc:description/>
  <cp:lastModifiedBy>Prince Kallon (2519626)</cp:lastModifiedBy>
  <cp:revision>7</cp:revision>
  <dcterms:created xsi:type="dcterms:W3CDTF">2026-07-19T16:08:00Z</dcterms:created>
  <dcterms:modified xsi:type="dcterms:W3CDTF">2026-07-19T17:54:00Z</dcterms:modified>
</cp:coreProperties>
</file>