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2842BE3" w:rsidR="7908378C" w:rsidRDefault="7908378C" w:rsidP="33572C6E">
            <w:pPr>
              <w:ind w:right="237"/>
              <w:rPr>
                <w:b/>
                <w:bCs/>
                <w:color w:val="auto"/>
                <w:sz w:val="32"/>
                <w:szCs w:val="32"/>
              </w:rPr>
            </w:pPr>
            <w:r w:rsidRPr="33572C6E">
              <w:rPr>
                <w:b/>
                <w:bCs/>
                <w:color w:val="auto"/>
                <w:sz w:val="32"/>
                <w:szCs w:val="32"/>
              </w:rPr>
              <w:t xml:space="preserve">Learner name: </w:t>
            </w:r>
            <w:r w:rsidR="00B2312F">
              <w:rPr>
                <w:b/>
                <w:bCs/>
                <w:color w:val="auto"/>
                <w:sz w:val="32"/>
                <w:szCs w:val="32"/>
              </w:rPr>
              <w:t>Ellen Morris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06C72807" w:rsidR="33572C6E" w:rsidRDefault="00B2312F" w:rsidP="33572C6E">
            <w:pPr>
              <w:ind w:right="237"/>
              <w:rPr>
                <w:b/>
                <w:bCs/>
                <w:color w:val="auto"/>
                <w:sz w:val="32"/>
                <w:szCs w:val="32"/>
              </w:rPr>
            </w:pPr>
            <w:r>
              <w:rPr>
                <w:b/>
                <w:bCs/>
                <w:color w:val="auto"/>
                <w:sz w:val="32"/>
                <w:szCs w:val="32"/>
              </w:rPr>
              <w:t>2236357</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2312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Default="5B843AF0" w:rsidP="5B843AF0">
      <w:pPr>
        <w:ind w:right="237"/>
        <w:jc w:val="center"/>
        <w:rPr>
          <w:b/>
          <w:bCs/>
          <w:sz w:val="24"/>
          <w:szCs w:val="24"/>
        </w:rPr>
      </w:pPr>
    </w:p>
    <w:p w14:paraId="0ABB677E" w14:textId="77777777" w:rsidR="00DC1332" w:rsidRDefault="00DC1332" w:rsidP="5B843AF0">
      <w:pPr>
        <w:ind w:right="237"/>
        <w:jc w:val="center"/>
        <w:rPr>
          <w:b/>
          <w:bCs/>
          <w:sz w:val="24"/>
          <w:szCs w:val="24"/>
        </w:rPr>
      </w:pPr>
    </w:p>
    <w:p w14:paraId="4497C30C" w14:textId="77777777" w:rsidR="00DC1332" w:rsidRDefault="00DC1332" w:rsidP="00DC1332">
      <w:pPr>
        <w:ind w:right="237"/>
        <w:rPr>
          <w:b/>
          <w:bCs/>
          <w:sz w:val="24"/>
          <w:szCs w:val="24"/>
        </w:rPr>
      </w:pPr>
    </w:p>
    <w:p w14:paraId="465E8C9B" w14:textId="77777777" w:rsidR="00DC1332" w:rsidRDefault="00DC1332" w:rsidP="00DC1332">
      <w:pPr>
        <w:ind w:right="237"/>
        <w:rPr>
          <w:b/>
          <w:bCs/>
          <w:sz w:val="24"/>
          <w:szCs w:val="24"/>
        </w:rPr>
      </w:pPr>
    </w:p>
    <w:p w14:paraId="52F49388" w14:textId="77777777" w:rsidR="00DC1332" w:rsidRDefault="00DC1332" w:rsidP="00DC1332">
      <w:pPr>
        <w:ind w:right="237"/>
        <w:rPr>
          <w:b/>
          <w:bCs/>
          <w:sz w:val="24"/>
          <w:szCs w:val="24"/>
        </w:rPr>
      </w:pPr>
    </w:p>
    <w:p w14:paraId="4608AA95" w14:textId="77777777" w:rsidR="00DC1332" w:rsidRDefault="00DC1332" w:rsidP="00DC1332">
      <w:pPr>
        <w:ind w:right="237"/>
        <w:rPr>
          <w:b/>
          <w:bCs/>
          <w:sz w:val="24"/>
          <w:szCs w:val="24"/>
        </w:rPr>
      </w:pPr>
    </w:p>
    <w:p w14:paraId="684A2B03" w14:textId="77777777" w:rsidR="00DC1332" w:rsidRDefault="00DC1332" w:rsidP="00DC1332">
      <w:pPr>
        <w:ind w:right="237"/>
        <w:rPr>
          <w:b/>
          <w:bCs/>
          <w:sz w:val="24"/>
          <w:szCs w:val="24"/>
        </w:rPr>
      </w:pPr>
    </w:p>
    <w:p w14:paraId="264CC153" w14:textId="77777777" w:rsidR="00DC1332" w:rsidRDefault="00DC1332" w:rsidP="00DC1332">
      <w:pPr>
        <w:ind w:right="237"/>
        <w:rPr>
          <w:b/>
          <w:bCs/>
          <w:sz w:val="24"/>
          <w:szCs w:val="24"/>
        </w:rPr>
      </w:pPr>
    </w:p>
    <w:p w14:paraId="6FCDE045" w14:textId="77777777" w:rsidR="00DC1332" w:rsidRDefault="00DC1332" w:rsidP="00DC1332">
      <w:pPr>
        <w:ind w:right="237"/>
        <w:rPr>
          <w:b/>
          <w:bCs/>
          <w:sz w:val="24"/>
          <w:szCs w:val="24"/>
        </w:rPr>
      </w:pPr>
    </w:p>
    <w:p w14:paraId="4D7B66AD" w14:textId="77777777" w:rsidR="00DC1332" w:rsidRDefault="00DC1332" w:rsidP="00DC1332">
      <w:pPr>
        <w:ind w:right="237"/>
        <w:rPr>
          <w:b/>
          <w:bCs/>
          <w:sz w:val="24"/>
          <w:szCs w:val="24"/>
        </w:rPr>
      </w:pPr>
    </w:p>
    <w:p w14:paraId="453F452F" w14:textId="77777777" w:rsidR="00DC1332" w:rsidRDefault="00DC1332" w:rsidP="00DC1332">
      <w:pPr>
        <w:ind w:right="237"/>
        <w:rPr>
          <w:b/>
          <w:bCs/>
          <w:sz w:val="24"/>
          <w:szCs w:val="24"/>
        </w:rPr>
      </w:pPr>
    </w:p>
    <w:p w14:paraId="76DCACC9" w14:textId="77777777" w:rsidR="00DC1332" w:rsidRDefault="00DC1332" w:rsidP="00DC1332">
      <w:pPr>
        <w:ind w:right="237"/>
        <w:rPr>
          <w:b/>
          <w:bCs/>
          <w:sz w:val="24"/>
          <w:szCs w:val="24"/>
        </w:rPr>
      </w:pPr>
    </w:p>
    <w:p w14:paraId="72734D35" w14:textId="77777777" w:rsidR="00DC1332" w:rsidRDefault="00DC1332" w:rsidP="00DC1332">
      <w:pPr>
        <w:ind w:right="237"/>
        <w:rPr>
          <w:b/>
          <w:bCs/>
          <w:sz w:val="24"/>
          <w:szCs w:val="24"/>
        </w:rPr>
      </w:pPr>
    </w:p>
    <w:p w14:paraId="7B6D8D01" w14:textId="77777777" w:rsidR="00DC1332" w:rsidRDefault="00DC1332" w:rsidP="00DC1332">
      <w:pPr>
        <w:ind w:right="237"/>
        <w:rPr>
          <w:b/>
          <w:bCs/>
          <w:sz w:val="24"/>
          <w:szCs w:val="24"/>
        </w:rPr>
      </w:pPr>
    </w:p>
    <w:p w14:paraId="60DDA1A8" w14:textId="77777777" w:rsidR="00DC1332" w:rsidRDefault="00DC1332" w:rsidP="00DC1332">
      <w:pPr>
        <w:ind w:right="237"/>
        <w:rPr>
          <w:b/>
          <w:bCs/>
          <w:sz w:val="24"/>
          <w:szCs w:val="24"/>
        </w:rPr>
      </w:pPr>
    </w:p>
    <w:p w14:paraId="6EB0BAE8" w14:textId="77777777" w:rsidR="00DC1332" w:rsidRDefault="00DC1332" w:rsidP="00DC1332">
      <w:pPr>
        <w:ind w:right="237"/>
        <w:rPr>
          <w:b/>
          <w:bCs/>
          <w:sz w:val="24"/>
          <w:szCs w:val="24"/>
        </w:rPr>
      </w:pPr>
    </w:p>
    <w:p w14:paraId="39AB8FF9" w14:textId="77777777" w:rsidR="00DC1332" w:rsidRDefault="00DC1332" w:rsidP="00DC1332">
      <w:pPr>
        <w:ind w:right="237"/>
        <w:rPr>
          <w:b/>
          <w:bCs/>
          <w:sz w:val="24"/>
          <w:szCs w:val="24"/>
        </w:rPr>
      </w:pPr>
    </w:p>
    <w:p w14:paraId="0BFF8A63" w14:textId="77777777" w:rsidR="00DC1332" w:rsidRDefault="00DC1332" w:rsidP="00DC1332">
      <w:pPr>
        <w:ind w:right="237"/>
        <w:rPr>
          <w:b/>
          <w:bCs/>
          <w:sz w:val="24"/>
          <w:szCs w:val="24"/>
        </w:rPr>
      </w:pPr>
    </w:p>
    <w:p w14:paraId="12C958F2" w14:textId="77777777" w:rsidR="00DC1332" w:rsidRDefault="00DC1332" w:rsidP="00DC1332">
      <w:pPr>
        <w:ind w:right="237"/>
        <w:rPr>
          <w:b/>
          <w:bCs/>
          <w:sz w:val="24"/>
          <w:szCs w:val="24"/>
        </w:rPr>
      </w:pPr>
    </w:p>
    <w:p w14:paraId="4E3EC544" w14:textId="77777777" w:rsidR="00DC1332" w:rsidRDefault="00DC1332" w:rsidP="00DC1332">
      <w:pPr>
        <w:ind w:right="237"/>
        <w:rPr>
          <w:b/>
          <w:bCs/>
          <w:sz w:val="24"/>
          <w:szCs w:val="24"/>
        </w:rPr>
      </w:pPr>
    </w:p>
    <w:p w14:paraId="22C6B1DD" w14:textId="77777777" w:rsidR="00DC1332" w:rsidRDefault="00DC1332" w:rsidP="00DC1332">
      <w:pPr>
        <w:ind w:right="237"/>
        <w:rPr>
          <w:b/>
          <w:bCs/>
          <w:sz w:val="24"/>
          <w:szCs w:val="24"/>
        </w:rPr>
      </w:pPr>
    </w:p>
    <w:p w14:paraId="595164AB" w14:textId="77777777" w:rsidR="00DC1332" w:rsidRDefault="00DC1332" w:rsidP="00DC1332">
      <w:pPr>
        <w:ind w:right="237"/>
        <w:rPr>
          <w:b/>
          <w:bCs/>
          <w:sz w:val="24"/>
          <w:szCs w:val="24"/>
        </w:rPr>
      </w:pPr>
    </w:p>
    <w:p w14:paraId="05276227" w14:textId="77777777" w:rsidR="00DC1332" w:rsidRDefault="00DC1332" w:rsidP="00DC1332">
      <w:pPr>
        <w:ind w:right="237"/>
        <w:rPr>
          <w:b/>
          <w:bCs/>
          <w:sz w:val="24"/>
          <w:szCs w:val="24"/>
        </w:rPr>
      </w:pPr>
    </w:p>
    <w:p w14:paraId="6BFE3CD0" w14:textId="77777777" w:rsidR="00DC1332" w:rsidRDefault="00DC1332" w:rsidP="00DC1332">
      <w:pPr>
        <w:ind w:right="237"/>
        <w:rPr>
          <w:b/>
          <w:bCs/>
          <w:sz w:val="24"/>
          <w:szCs w:val="24"/>
        </w:rPr>
      </w:pPr>
    </w:p>
    <w:p w14:paraId="4624635C" w14:textId="77777777" w:rsidR="00DC1332" w:rsidRDefault="00DC1332" w:rsidP="00DC1332">
      <w:pPr>
        <w:ind w:right="237"/>
        <w:rPr>
          <w:b/>
          <w:bCs/>
          <w:sz w:val="24"/>
          <w:szCs w:val="24"/>
        </w:rPr>
      </w:pPr>
    </w:p>
    <w:p w14:paraId="3321D8A4" w14:textId="77777777" w:rsidR="00842771" w:rsidRDefault="00842771" w:rsidP="00DC1332">
      <w:pPr>
        <w:pStyle w:val="NormalWeb"/>
        <w:spacing w:before="0" w:beforeAutospacing="0" w:after="0" w:afterAutospacing="0"/>
        <w:rPr>
          <w:rFonts w:ascii="Calibri" w:hAnsi="Calibri" w:cs="Calibri"/>
          <w:sz w:val="22"/>
          <w:szCs w:val="22"/>
        </w:rPr>
      </w:pPr>
    </w:p>
    <w:p w14:paraId="78AC65F6" w14:textId="2B3B5DED" w:rsidR="005E607C" w:rsidRPr="002D5D2E" w:rsidRDefault="00842771" w:rsidP="002D5D2E">
      <w:pPr>
        <w:pStyle w:val="NormalWeb"/>
        <w:spacing w:before="0" w:beforeAutospacing="0" w:after="0" w:afterAutospacing="0" w:line="480" w:lineRule="auto"/>
        <w:rPr>
          <w:rFonts w:ascii="Arial" w:hAnsi="Arial" w:cs="Arial"/>
        </w:rPr>
      </w:pPr>
      <w:r w:rsidRPr="002D5D2E">
        <w:rPr>
          <w:rFonts w:ascii="Arial" w:hAnsi="Arial" w:cs="Arial"/>
        </w:rPr>
        <w:t>In this essay I will critically evaluate how appropriate different approaches taken by different professionals both inside and outside the police were in supporting and managing vulnerable people and people at risk of harm during the investigative process. I will also explore different approaches to tackling repeat victimisation and repeat offending during the investigation.</w:t>
      </w:r>
      <w:r w:rsidR="005E607C" w:rsidRPr="002D5D2E">
        <w:rPr>
          <w:rFonts w:ascii="Arial" w:hAnsi="Arial" w:cs="Arial"/>
        </w:rPr>
        <w:t xml:space="preserve"> As stated </w:t>
      </w:r>
      <w:r w:rsidR="00114917" w:rsidRPr="002D5D2E">
        <w:rPr>
          <w:rFonts w:ascii="Arial" w:hAnsi="Arial" w:cs="Arial"/>
        </w:rPr>
        <w:t xml:space="preserve">by Caring for Care </w:t>
      </w:r>
      <w:r w:rsidR="005E607C" w:rsidRPr="002D5D2E">
        <w:rPr>
          <w:rFonts w:ascii="Arial" w:hAnsi="Arial" w:cs="Arial"/>
        </w:rPr>
        <w:t xml:space="preserve">(2023), safeguarding requires a shared vigilance to ensure that the most vulnerable people in society are not left isolated and exposed to harm which could be prevented.  </w:t>
      </w:r>
    </w:p>
    <w:p w14:paraId="76E4F884" w14:textId="77777777" w:rsidR="00842771" w:rsidRPr="002D5D2E" w:rsidRDefault="00842771" w:rsidP="002D5D2E">
      <w:pPr>
        <w:pStyle w:val="NormalWeb"/>
        <w:spacing w:before="0" w:beforeAutospacing="0" w:after="0" w:afterAutospacing="0" w:line="480" w:lineRule="auto"/>
        <w:rPr>
          <w:rFonts w:ascii="Arial" w:hAnsi="Arial" w:cs="Arial"/>
        </w:rPr>
      </w:pPr>
    </w:p>
    <w:p w14:paraId="2D8DEE8B" w14:textId="61B25C58" w:rsidR="00DC1332" w:rsidRPr="002D5D2E" w:rsidRDefault="00842771" w:rsidP="002D5D2E">
      <w:pPr>
        <w:pStyle w:val="NormalWeb"/>
        <w:spacing w:before="0" w:beforeAutospacing="0" w:after="0" w:afterAutospacing="0" w:line="480" w:lineRule="auto"/>
        <w:rPr>
          <w:rFonts w:ascii="Arial" w:hAnsi="Arial" w:cs="Arial"/>
        </w:rPr>
      </w:pPr>
      <w:r w:rsidRPr="002D5D2E">
        <w:rPr>
          <w:rFonts w:ascii="Arial" w:hAnsi="Arial" w:cs="Arial"/>
        </w:rPr>
        <w:t>The investigation I will be discussing will be an incident of burglary in which I was the officer in the case</w:t>
      </w:r>
      <w:r w:rsidR="00DC1332" w:rsidRPr="002D5D2E">
        <w:rPr>
          <w:rFonts w:ascii="Arial" w:hAnsi="Arial" w:cs="Arial"/>
        </w:rPr>
        <w:t>. As per Section 9 of the Theft act 1968, a person is guilty of burglary if they enter a building or part of a building as a trespasser with intent to either steal anything therein or, inflict grievous bodily harm on any person therein or, damage any property therein (</w:t>
      </w:r>
      <w:r w:rsidR="00114917" w:rsidRPr="002D5D2E">
        <w:rPr>
          <w:rFonts w:ascii="Arial" w:hAnsi="Arial" w:cs="Arial"/>
        </w:rPr>
        <w:t xml:space="preserve">College of </w:t>
      </w:r>
      <w:r w:rsidR="00C2176B" w:rsidRPr="002D5D2E">
        <w:rPr>
          <w:rFonts w:ascii="Arial" w:hAnsi="Arial" w:cs="Arial"/>
        </w:rPr>
        <w:t>Policing</w:t>
      </w:r>
      <w:r w:rsidR="00DC1332" w:rsidRPr="002D5D2E">
        <w:rPr>
          <w:rFonts w:ascii="Arial" w:hAnsi="Arial" w:cs="Arial"/>
        </w:rPr>
        <w:t>, 2023</w:t>
      </w:r>
      <w:r w:rsidR="00D166BF" w:rsidRPr="002D5D2E">
        <w:rPr>
          <w:rFonts w:ascii="Arial" w:hAnsi="Arial" w:cs="Arial"/>
        </w:rPr>
        <w:t>a</w:t>
      </w:r>
      <w:r w:rsidR="00DC1332" w:rsidRPr="002D5D2E">
        <w:rPr>
          <w:rFonts w:ascii="Arial" w:hAnsi="Arial" w:cs="Arial"/>
        </w:rPr>
        <w:t xml:space="preserve">). In this case, the complainant was a white male in his 50s who was suffering from multiple chronic illnesses and physical disabilities. </w:t>
      </w:r>
      <w:r w:rsidR="00C2176B" w:rsidRPr="002D5D2E">
        <w:rPr>
          <w:rFonts w:ascii="Arial" w:hAnsi="Arial" w:cs="Arial"/>
        </w:rPr>
        <w:t>The</w:t>
      </w:r>
      <w:r w:rsidR="002F2EA2" w:rsidRPr="002D5D2E">
        <w:rPr>
          <w:rFonts w:ascii="Arial" w:hAnsi="Arial" w:cs="Arial"/>
        </w:rPr>
        <w:t xml:space="preserve"> College of Policing</w:t>
      </w:r>
      <w:r w:rsidR="00C2176B" w:rsidRPr="002D5D2E">
        <w:rPr>
          <w:rFonts w:ascii="Arial" w:hAnsi="Arial" w:cs="Arial"/>
        </w:rPr>
        <w:t xml:space="preserve"> (2021)</w:t>
      </w:r>
      <w:r w:rsidR="00DC1332" w:rsidRPr="002D5D2E">
        <w:rPr>
          <w:rFonts w:ascii="Arial" w:hAnsi="Arial" w:cs="Arial"/>
        </w:rPr>
        <w:t xml:space="preserve"> define a person as being vulnerable if, 'as a result of their situation or circumstances, they are unable to take care of or protect themselves or others from harm or exploitation’. Under this definition, the complainant is </w:t>
      </w:r>
      <w:r w:rsidR="00522993" w:rsidRPr="002D5D2E">
        <w:rPr>
          <w:rFonts w:ascii="Arial" w:hAnsi="Arial" w:cs="Arial"/>
        </w:rPr>
        <w:t>considered vulnerable</w:t>
      </w:r>
      <w:r w:rsidR="00DC1332" w:rsidRPr="002D5D2E">
        <w:rPr>
          <w:rFonts w:ascii="Arial" w:hAnsi="Arial" w:cs="Arial"/>
        </w:rPr>
        <w:t xml:space="preserve"> as due to his illnesses and disability he is unable to take care of himself or protect himself from harm. </w:t>
      </w:r>
    </w:p>
    <w:p w14:paraId="390503E4" w14:textId="3F18D006"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t xml:space="preserve">This incident was reported by a friend of the complainant who was unofficially supporting the complainant as he is qualified as a support worker. The complainant's friend had not heard from him that day and decided to visit him at his home address where he found the complainant in an injured state. The report was made for this incident approximately an hour after </w:t>
      </w:r>
      <w:r w:rsidR="00810AFD" w:rsidRPr="002D5D2E">
        <w:rPr>
          <w:rFonts w:ascii="Arial" w:hAnsi="Arial" w:cs="Arial"/>
        </w:rPr>
        <w:t>it</w:t>
      </w:r>
      <w:r w:rsidRPr="002D5D2E">
        <w:rPr>
          <w:rFonts w:ascii="Arial" w:hAnsi="Arial" w:cs="Arial"/>
        </w:rPr>
        <w:t xml:space="preserve"> is alleged to have taken place. </w:t>
      </w:r>
    </w:p>
    <w:p w14:paraId="02F6A1CB" w14:textId="77777777" w:rsidR="00810AFD" w:rsidRPr="002D5D2E" w:rsidRDefault="00810AFD" w:rsidP="002D5D2E">
      <w:pPr>
        <w:pStyle w:val="NormalWeb"/>
        <w:spacing w:before="0" w:beforeAutospacing="0" w:after="0" w:afterAutospacing="0" w:line="480" w:lineRule="auto"/>
        <w:rPr>
          <w:rFonts w:ascii="Arial" w:hAnsi="Arial" w:cs="Arial"/>
        </w:rPr>
      </w:pPr>
      <w:r w:rsidRPr="002D5D2E">
        <w:rPr>
          <w:rFonts w:ascii="Arial" w:hAnsi="Arial" w:cs="Arial"/>
        </w:rPr>
        <w:lastRenderedPageBreak/>
        <w:t xml:space="preserve">Throughout the course of this investigation, it was evident that a multi-agency approach was necessary to support and manage the complainant as he is a very vulnerable individual. Different departments and agencies had to take different approaches to helping the complainant during this investigation which are all appropriate in their own way. </w:t>
      </w:r>
    </w:p>
    <w:p w14:paraId="4AA99374" w14:textId="77777777" w:rsidR="00810AFD" w:rsidRPr="002D5D2E" w:rsidRDefault="00810AFD"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668AB783" w14:textId="40B2BB0F" w:rsidR="00810AFD" w:rsidRPr="002D5D2E" w:rsidRDefault="00810AFD" w:rsidP="002D5D2E">
      <w:pPr>
        <w:pStyle w:val="NormalWeb"/>
        <w:spacing w:before="0" w:beforeAutospacing="0" w:after="0" w:afterAutospacing="0" w:line="480" w:lineRule="auto"/>
        <w:rPr>
          <w:rFonts w:ascii="Arial" w:hAnsi="Arial" w:cs="Arial"/>
        </w:rPr>
      </w:pPr>
      <w:r w:rsidRPr="002D5D2E">
        <w:rPr>
          <w:rFonts w:ascii="Arial" w:hAnsi="Arial" w:cs="Arial"/>
        </w:rPr>
        <w:t>When a call is reported to the control room, the call handlers undertake an initial assessment of risk or harm using THRIVE (College of Policing, 2013</w:t>
      </w:r>
      <w:r w:rsidR="00684360" w:rsidRPr="002D5D2E">
        <w:rPr>
          <w:rFonts w:ascii="Arial" w:hAnsi="Arial" w:cs="Arial"/>
        </w:rPr>
        <w:t>b</w:t>
      </w:r>
      <w:r w:rsidRPr="002D5D2E">
        <w:rPr>
          <w:rFonts w:ascii="Arial" w:hAnsi="Arial" w:cs="Arial"/>
        </w:rPr>
        <w:t xml:space="preserve">). THRIVE stands for threat, harm, risk, investigation, </w:t>
      </w:r>
      <w:proofErr w:type="gramStart"/>
      <w:r w:rsidRPr="002D5D2E">
        <w:rPr>
          <w:rFonts w:ascii="Arial" w:hAnsi="Arial" w:cs="Arial"/>
        </w:rPr>
        <w:t>vulnerability</w:t>
      </w:r>
      <w:proofErr w:type="gramEnd"/>
      <w:r w:rsidRPr="002D5D2E">
        <w:rPr>
          <w:rFonts w:ascii="Arial" w:hAnsi="Arial" w:cs="Arial"/>
        </w:rPr>
        <w:t xml:space="preserve"> and engagement which helps the call handler with grading the level of response needed for each incident. </w:t>
      </w:r>
    </w:p>
    <w:p w14:paraId="72AEFC6C" w14:textId="77777777" w:rsidR="00810AFD" w:rsidRPr="002D5D2E" w:rsidRDefault="00810AFD"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3E16A14A" w14:textId="77777777" w:rsidR="00810AFD" w:rsidRPr="002D5D2E" w:rsidRDefault="00810AFD" w:rsidP="002D5D2E">
      <w:pPr>
        <w:pStyle w:val="NormalWeb"/>
        <w:spacing w:before="0" w:beforeAutospacing="0" w:after="0" w:afterAutospacing="0" w:line="480" w:lineRule="auto"/>
        <w:rPr>
          <w:rFonts w:ascii="Arial" w:hAnsi="Arial" w:cs="Arial"/>
        </w:rPr>
      </w:pPr>
      <w:r w:rsidRPr="002D5D2E">
        <w:rPr>
          <w:rFonts w:ascii="Arial" w:hAnsi="Arial" w:cs="Arial"/>
        </w:rPr>
        <w:t xml:space="preserve">Based on the initial information provided by the reporting person, the call handler made the appropriate call for the level of response required and was able to provide the reporting person with advice to assist in safeguarding the complainant whilst awaiting a police response. In hindsight, the decisions made by call handlers are not always the most appropriate for the circumstances however they are only able to work with the information that they are provided with by the person reporting. The initial report was that the complainant was asleep alone in his ground floor flat when he was awoken by the sound of a male shouting words to the effect of, "paedophile" and two males climbing through the bedroom window. Once inside the flat, the complainant stated that the two males pushed him onto the floor, stamped on his head and body whilst demanding money and poured cold kettle water over his head. The two males are then said to have taken a bag containing the complainant's prescription medication and a money box before leaving the flat where the complainant remained with his injuries. The call handler's approach to safeguarding </w:t>
      </w:r>
      <w:r w:rsidRPr="002D5D2E">
        <w:rPr>
          <w:rFonts w:ascii="Arial" w:hAnsi="Arial" w:cs="Arial"/>
        </w:rPr>
        <w:lastRenderedPageBreak/>
        <w:t xml:space="preserve">the complainant consisted of asking questions about what had happened, to ensure that any responders knew what they were dealing with prior to their arrival and ensuring the correct people were alerted. In this case, the suspects had fled the scene and an ambulance had been called to assist with the complainant's injuries therefore the threat was removed and the risk of the complainant coming to any further harm was minimised. </w:t>
      </w:r>
    </w:p>
    <w:p w14:paraId="014A9623" w14:textId="73B33037"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190F36C3" w14:textId="4CF41100"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t xml:space="preserve">Response police officers play an important role in recognising the vulnerabilities of members of the public and victims of crime. One of the many ways that response officers do this is by submitting Public Protection Notices (PPNs) for any individuals involved in an incident. A PPN is a document which contains any safeguarding concerns the officers have about a person involved in an incident and it is shared with partner agencies to inform a multi-agency response (HMICFRS, 2023). If used correctly, PPNs be a very useful way to manage vulnerable people as they help in identifying key areas where the individual may be struggling and how to best safeguard them from any future incidents. In this incident, the PPN submitted was very effective in identifying that the complainant suffered majorly with his health </w:t>
      </w:r>
      <w:r w:rsidR="00522993" w:rsidRPr="002D5D2E">
        <w:rPr>
          <w:rFonts w:ascii="Arial" w:hAnsi="Arial" w:cs="Arial"/>
        </w:rPr>
        <w:t>and</w:t>
      </w:r>
      <w:r w:rsidRPr="002D5D2E">
        <w:rPr>
          <w:rFonts w:ascii="Arial" w:hAnsi="Arial" w:cs="Arial"/>
        </w:rPr>
        <w:t xml:space="preserve"> his living situation as there was mould growth throughout his property. From the PPN, the housing association were notified which meant that they could open a case </w:t>
      </w:r>
      <w:r w:rsidR="00522993" w:rsidRPr="002D5D2E">
        <w:rPr>
          <w:rFonts w:ascii="Arial" w:hAnsi="Arial" w:cs="Arial"/>
        </w:rPr>
        <w:t>to</w:t>
      </w:r>
      <w:r w:rsidRPr="002D5D2E">
        <w:rPr>
          <w:rFonts w:ascii="Arial" w:hAnsi="Arial" w:cs="Arial"/>
        </w:rPr>
        <w:t xml:space="preserve"> best support the complainant. PPNs are reviewed prior to being shared with partner agencies which is very useful in ensuring that no information is missed which means that the vulnerable person receives an appropriate response once the partner agencies are notified. </w:t>
      </w:r>
    </w:p>
    <w:p w14:paraId="77B48B8C" w14:textId="77777777"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645A84F6" w14:textId="790B1B0B"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lastRenderedPageBreak/>
        <w:t xml:space="preserve">As this was an investigation into a burglary, the Criminal Investigations Department (CID) took primacy over investigating. At the time of the report, no suspects were identified therefore as part of the CID, I conducted house to house enquiries and CCTV enquiries in the area surrounding the address where the incident took place </w:t>
      </w:r>
      <w:r w:rsidR="00522993" w:rsidRPr="002D5D2E">
        <w:rPr>
          <w:rFonts w:ascii="Arial" w:hAnsi="Arial" w:cs="Arial"/>
        </w:rPr>
        <w:t>to</w:t>
      </w:r>
      <w:r w:rsidRPr="002D5D2E">
        <w:rPr>
          <w:rFonts w:ascii="Arial" w:hAnsi="Arial" w:cs="Arial"/>
        </w:rPr>
        <w:t xml:space="preserve"> try and identify the offenders. Two witness statements were taken from two friends of the complainant who resided in the neighbouring block of flats. Contained in these statements were descriptions and the names of two males matching the initial description provided by the complainant of the suspects. </w:t>
      </w:r>
      <w:r w:rsidR="00522993" w:rsidRPr="002D5D2E">
        <w:rPr>
          <w:rFonts w:ascii="Arial" w:hAnsi="Arial" w:cs="Arial"/>
        </w:rPr>
        <w:t>For</w:t>
      </w:r>
      <w:r w:rsidRPr="002D5D2E">
        <w:rPr>
          <w:rFonts w:ascii="Arial" w:hAnsi="Arial" w:cs="Arial"/>
        </w:rPr>
        <w:t xml:space="preserve"> an arrest to be made lawfully is must meet at least one of the necessities provided by code G of the Police and Criminal Evidence Act 1984 (G</w:t>
      </w:r>
      <w:r w:rsidR="00C2176B" w:rsidRPr="002D5D2E">
        <w:rPr>
          <w:rFonts w:ascii="Arial" w:hAnsi="Arial" w:cs="Arial"/>
        </w:rPr>
        <w:t>OV</w:t>
      </w:r>
      <w:r w:rsidRPr="002D5D2E">
        <w:rPr>
          <w:rFonts w:ascii="Arial" w:hAnsi="Arial" w:cs="Arial"/>
        </w:rPr>
        <w:t xml:space="preserve">.UK, 2022). One of the necessities is to protect a vulnerable person, which the complainant in this case is therefore the two suspects were arrested and interviewed in relation to the incident. Although arresting the suspects helped in safeguarding the complainant whilst they were in custody, there was not enough evidence to charge therefore they had to be released from police custody. To minimise the risk of the suspects harming the complainant upon their release from custody, pre charge bail conditions were imposed. As per the CPS guidance (2023), pre-charge bail conditions can be imposed on the suspects whilst further investigation is conducted. This approach is appropriate as it allows the police to decide on conditions to put on the suspects </w:t>
      </w:r>
      <w:r w:rsidR="00522993" w:rsidRPr="002D5D2E">
        <w:rPr>
          <w:rFonts w:ascii="Arial" w:hAnsi="Arial" w:cs="Arial"/>
        </w:rPr>
        <w:t>to</w:t>
      </w:r>
      <w:r w:rsidRPr="002D5D2E">
        <w:rPr>
          <w:rFonts w:ascii="Arial" w:hAnsi="Arial" w:cs="Arial"/>
        </w:rPr>
        <w:t xml:space="preserve"> safeguard the complainant from any further offences and it gives the police the power to arrest the suspect if they breach those conditions. </w:t>
      </w:r>
    </w:p>
    <w:p w14:paraId="7FABC6C7" w14:textId="77777777"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7BF5B255" w14:textId="6275A1B1" w:rsidR="00DC1332" w:rsidRPr="002D5D2E" w:rsidRDefault="00DC1332" w:rsidP="002D5D2E">
      <w:pPr>
        <w:pStyle w:val="NormalWeb"/>
        <w:spacing w:before="0" w:beforeAutospacing="0" w:after="0" w:afterAutospacing="0" w:line="480" w:lineRule="auto"/>
        <w:rPr>
          <w:rFonts w:ascii="Arial" w:hAnsi="Arial" w:cs="Arial"/>
        </w:rPr>
      </w:pPr>
      <w:r w:rsidRPr="002D5D2E">
        <w:rPr>
          <w:rFonts w:ascii="Arial" w:hAnsi="Arial" w:cs="Arial"/>
        </w:rPr>
        <w:t xml:space="preserve">Neighbourhood policing teams (NPTs) play an integral part in police investigations as they contribute to intelligence gathering as well as community engagement (Bullock, 2012). They are also important as they can provide a visible police </w:t>
      </w:r>
      <w:r w:rsidRPr="002D5D2E">
        <w:rPr>
          <w:rFonts w:ascii="Arial" w:hAnsi="Arial" w:cs="Arial"/>
        </w:rPr>
        <w:lastRenderedPageBreak/>
        <w:t xml:space="preserve">presence in specific areas. In the following days after the incident occurred, NPT were tasked with patrolling the area where this incident took place. A review conducted by Braga et al. (2019) found that targeting patrols in specific crime </w:t>
      </w:r>
      <w:r w:rsidR="00522993" w:rsidRPr="002D5D2E">
        <w:rPr>
          <w:rFonts w:ascii="Arial" w:hAnsi="Arial" w:cs="Arial"/>
        </w:rPr>
        <w:t>hot spots</w:t>
      </w:r>
      <w:r w:rsidRPr="002D5D2E">
        <w:rPr>
          <w:rFonts w:ascii="Arial" w:hAnsi="Arial" w:cs="Arial"/>
        </w:rPr>
        <w:t xml:space="preserve"> helped in reducing the volume of crime in that area which in turn helps in supporting the vulnerable. Research has found that having an active police presence in an area helps in increasing the public's confidence in the police which in turn will make them more likely to support police with ongoing investigations (</w:t>
      </w:r>
      <w:r w:rsidR="00D166BF" w:rsidRPr="002D5D2E">
        <w:rPr>
          <w:rFonts w:ascii="Arial" w:hAnsi="Arial" w:cs="Arial"/>
        </w:rPr>
        <w:t>Tuffin, Morris and Poole,</w:t>
      </w:r>
      <w:r w:rsidRPr="002D5D2E">
        <w:rPr>
          <w:rFonts w:ascii="Arial" w:hAnsi="Arial" w:cs="Arial"/>
        </w:rPr>
        <w:t xml:space="preserve"> 2006). This proved useful in this investigation as there were witnesses who were willing to come forward with helpful information </w:t>
      </w:r>
      <w:r w:rsidR="00522993" w:rsidRPr="002D5D2E">
        <w:rPr>
          <w:rFonts w:ascii="Arial" w:hAnsi="Arial" w:cs="Arial"/>
        </w:rPr>
        <w:t>during</w:t>
      </w:r>
      <w:r w:rsidRPr="002D5D2E">
        <w:rPr>
          <w:rFonts w:ascii="Arial" w:hAnsi="Arial" w:cs="Arial"/>
        </w:rPr>
        <w:t xml:space="preserve"> the investigation who felt that due to the police </w:t>
      </w:r>
      <w:r w:rsidR="00522993" w:rsidRPr="002D5D2E">
        <w:rPr>
          <w:rFonts w:ascii="Arial" w:hAnsi="Arial" w:cs="Arial"/>
        </w:rPr>
        <w:t>presence,</w:t>
      </w:r>
      <w:r w:rsidRPr="002D5D2E">
        <w:rPr>
          <w:rFonts w:ascii="Arial" w:hAnsi="Arial" w:cs="Arial"/>
        </w:rPr>
        <w:t xml:space="preserve"> they were not at risk of coming to harm. </w:t>
      </w:r>
      <w:r w:rsidR="00522993" w:rsidRPr="002D5D2E">
        <w:rPr>
          <w:rFonts w:ascii="Arial" w:hAnsi="Arial" w:cs="Arial"/>
        </w:rPr>
        <w:t>However,</w:t>
      </w:r>
      <w:r w:rsidRPr="002D5D2E">
        <w:rPr>
          <w:rFonts w:ascii="Arial" w:hAnsi="Arial" w:cs="Arial"/>
        </w:rPr>
        <w:t xml:space="preserve"> there are some limitations to the appropriateness of neighbourhood patrols in supporting those at risk of harm as research has found that having targeted patrols in certain crime hotspots only drives the crime to other areas nearby </w:t>
      </w:r>
      <w:r w:rsidR="00522993" w:rsidRPr="002D5D2E">
        <w:rPr>
          <w:rFonts w:ascii="Arial" w:hAnsi="Arial" w:cs="Arial"/>
        </w:rPr>
        <w:t>and</w:t>
      </w:r>
      <w:r w:rsidRPr="002D5D2E">
        <w:rPr>
          <w:rFonts w:ascii="Arial" w:hAnsi="Arial" w:cs="Arial"/>
        </w:rPr>
        <w:t xml:space="preserve"> the crime levels return to normal once the patrols are stopped (College of Policing, 2021). </w:t>
      </w:r>
    </w:p>
    <w:p w14:paraId="371A116E" w14:textId="77777777" w:rsidR="00DC1332" w:rsidRPr="002D5D2E" w:rsidRDefault="00DC1332" w:rsidP="002D5D2E">
      <w:pPr>
        <w:spacing w:line="480" w:lineRule="auto"/>
        <w:ind w:right="237"/>
        <w:rPr>
          <w:b/>
          <w:bCs/>
          <w:sz w:val="24"/>
          <w:szCs w:val="24"/>
        </w:rPr>
      </w:pPr>
    </w:p>
    <w:p w14:paraId="5039EA1F" w14:textId="4D7D10A0" w:rsidR="00522993" w:rsidRPr="002D5D2E" w:rsidRDefault="00522993" w:rsidP="002D5D2E">
      <w:pPr>
        <w:pStyle w:val="NormalWeb"/>
        <w:spacing w:before="0" w:beforeAutospacing="0" w:after="0" w:afterAutospacing="0" w:line="480" w:lineRule="auto"/>
        <w:rPr>
          <w:rFonts w:ascii="Arial" w:hAnsi="Arial" w:cs="Arial"/>
        </w:rPr>
      </w:pPr>
      <w:r w:rsidRPr="002D5D2E">
        <w:rPr>
          <w:rFonts w:ascii="Arial" w:hAnsi="Arial" w:cs="Arial"/>
        </w:rPr>
        <w:t xml:space="preserve">During this investigation, the healthcare providers played a vital role in safeguarding the vulnerable complainant due to the level of injury which he sustained. Following the incident, the complainant spent a significant amount of time at the hospital where he could not be discharged as he was receiving vital treatment. Whilst in hospital, to protect the complainant, the healthcare providers remained vigilant with any requests made over the phone in relation to the location and condition of the complainant to ensure that the suspects are anyone acting on behalf of the suspects were not able to locate the complainant. This proved useful in supporting the complainant as he was very worried about the suspects finding out where he was and causing him </w:t>
      </w:r>
      <w:r w:rsidRPr="002D5D2E">
        <w:rPr>
          <w:rFonts w:ascii="Arial" w:hAnsi="Arial" w:cs="Arial"/>
        </w:rPr>
        <w:lastRenderedPageBreak/>
        <w:t xml:space="preserve">further harm as they had threatened to kill him if he spoke to the police. Ensuring his security whilst in hospital gave the complainant the confidence he needed to make a formal complaint, proving to be a very beneficial approach to safeguarding. </w:t>
      </w:r>
    </w:p>
    <w:p w14:paraId="58D77902" w14:textId="036E6D15" w:rsidR="00522993" w:rsidRPr="002D5D2E" w:rsidRDefault="00522993" w:rsidP="002D5D2E">
      <w:pPr>
        <w:pStyle w:val="NormalWeb"/>
        <w:spacing w:before="0" w:beforeAutospacing="0" w:after="0" w:afterAutospacing="0" w:line="480" w:lineRule="auto"/>
        <w:rPr>
          <w:rFonts w:ascii="Arial" w:hAnsi="Arial" w:cs="Arial"/>
        </w:rPr>
      </w:pPr>
      <w:r w:rsidRPr="002D5D2E">
        <w:rPr>
          <w:rFonts w:ascii="Arial" w:hAnsi="Arial" w:cs="Arial"/>
        </w:rPr>
        <w:t xml:space="preserve">The property where the complainant was living was also in a very poor condition with mould growing throughout which was negatively affecting the complainant's breathing, which the healthcare providers were aware of. This information assisted them with their decision to keep the complainant in the hospital as he did not have an appropriate place to return to where he would be best able to recover. In addition to the PPN from the police, the hospital made a referral to the housing association to help find alternative accommodation for the complainant. As per Government Guidance (Gov.UK, 2018), the NHS have a duty to refer people to their local housing authority if they have concerns for any patients. The guidance indicates that people who are vulnerable due to physical disability and who refuse to return to their home because of violence or a threat of violence are a priority when it comes to rehoming. This is a very appropriate way of managing and supporting vulnerable people and people at risk of harm as it ensures that they feel safe and do not feel pressured to return to an environment where they may be at risk of coming to further harm. </w:t>
      </w:r>
    </w:p>
    <w:p w14:paraId="3E00FB11" w14:textId="77777777" w:rsidR="00842771" w:rsidRPr="002D5D2E" w:rsidRDefault="00842771" w:rsidP="002D5D2E">
      <w:pPr>
        <w:pStyle w:val="NormalWeb"/>
        <w:spacing w:before="0" w:beforeAutospacing="0" w:after="0" w:afterAutospacing="0" w:line="480" w:lineRule="auto"/>
        <w:rPr>
          <w:rFonts w:ascii="Arial" w:hAnsi="Arial" w:cs="Arial"/>
        </w:rPr>
      </w:pPr>
    </w:p>
    <w:p w14:paraId="6744DBF5" w14:textId="378C3D8D" w:rsidR="00842771" w:rsidRPr="002D5D2E" w:rsidRDefault="00842771" w:rsidP="002D5D2E">
      <w:pPr>
        <w:pStyle w:val="NormalWeb"/>
        <w:spacing w:before="0" w:beforeAutospacing="0" w:after="0" w:afterAutospacing="0" w:line="480" w:lineRule="auto"/>
        <w:rPr>
          <w:rFonts w:ascii="Arial" w:hAnsi="Arial" w:cs="Arial"/>
        </w:rPr>
      </w:pPr>
      <w:r w:rsidRPr="002D5D2E">
        <w:rPr>
          <w:rFonts w:ascii="Arial" w:hAnsi="Arial" w:cs="Arial"/>
        </w:rPr>
        <w:t>The local housing authority took a good approach to this incident as they were in communication with the complainant, the healthcare professionals treating his injuries, and myself who could give them brief circumstances of the case to assist in their decision regarding rehousing the complainant. The housing authority then had the correct information regarding the circumstances therefore their decision regarding rehousing the complainant is one that is informed and most appropriate to ensure he is safeguarded.</w:t>
      </w:r>
    </w:p>
    <w:p w14:paraId="7592370F" w14:textId="6E0AC692" w:rsidR="00522993" w:rsidRPr="002D5D2E" w:rsidRDefault="00522993" w:rsidP="002D5D2E">
      <w:pPr>
        <w:pStyle w:val="NormalWeb"/>
        <w:spacing w:before="0" w:beforeAutospacing="0" w:after="0" w:afterAutospacing="0" w:line="480" w:lineRule="auto"/>
        <w:rPr>
          <w:rFonts w:ascii="Arial" w:hAnsi="Arial" w:cs="Arial"/>
        </w:rPr>
      </w:pPr>
      <w:r w:rsidRPr="002D5D2E">
        <w:rPr>
          <w:rFonts w:ascii="Arial" w:hAnsi="Arial" w:cs="Arial"/>
        </w:rPr>
        <w:lastRenderedPageBreak/>
        <w:t> </w:t>
      </w:r>
    </w:p>
    <w:p w14:paraId="34C7D4A1" w14:textId="1D79B8C7" w:rsidR="00200023" w:rsidRPr="002D5D2E" w:rsidRDefault="00200023" w:rsidP="002D5D2E">
      <w:pPr>
        <w:pStyle w:val="NormalWeb"/>
        <w:spacing w:before="0" w:beforeAutospacing="0" w:after="0" w:afterAutospacing="0" w:line="480" w:lineRule="auto"/>
        <w:rPr>
          <w:rFonts w:ascii="Arial" w:hAnsi="Arial" w:cs="Arial"/>
        </w:rPr>
      </w:pPr>
      <w:r w:rsidRPr="002D5D2E">
        <w:rPr>
          <w:rFonts w:ascii="Arial" w:hAnsi="Arial" w:cs="Arial"/>
        </w:rPr>
        <w:t>As there was no indication as to this being a targeted attack on the individual, it appeared that this was an opportunistic attack on the property with the window being open in a ground floor flat. To prevent a further attack on the property, target hardening advice was given to the complainant in addition to additional security measures at the property to make it harder for any offenders to burgle the property. Evidence suggests that target hardening in addition to other measures is an effective way to prevent repeat victimisation as it makes the target less appealing (College of Policing, 2023</w:t>
      </w:r>
      <w:r w:rsidR="00D166BF" w:rsidRPr="002D5D2E">
        <w:rPr>
          <w:rFonts w:ascii="Arial" w:hAnsi="Arial" w:cs="Arial"/>
        </w:rPr>
        <w:t>b</w:t>
      </w:r>
      <w:r w:rsidRPr="002D5D2E">
        <w:rPr>
          <w:rFonts w:ascii="Arial" w:hAnsi="Arial" w:cs="Arial"/>
        </w:rPr>
        <w:t xml:space="preserve">). </w:t>
      </w:r>
    </w:p>
    <w:p w14:paraId="7134FE2D" w14:textId="77777777" w:rsidR="00200023" w:rsidRPr="002D5D2E" w:rsidRDefault="00200023"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4EABAE6C" w14:textId="08718131" w:rsidR="00211695" w:rsidRPr="002D5D2E" w:rsidRDefault="00200023" w:rsidP="002D5D2E">
      <w:pPr>
        <w:pStyle w:val="NormalWeb"/>
        <w:spacing w:before="0" w:beforeAutospacing="0" w:after="0" w:afterAutospacing="0" w:line="480" w:lineRule="auto"/>
        <w:rPr>
          <w:rFonts w:ascii="Arial" w:hAnsi="Arial" w:cs="Arial"/>
        </w:rPr>
      </w:pPr>
      <w:r w:rsidRPr="002D5D2E">
        <w:rPr>
          <w:rFonts w:ascii="Arial" w:hAnsi="Arial" w:cs="Arial"/>
        </w:rPr>
        <w:t xml:space="preserve">Although placing bail conditions on the suspects safeguards the complainant, it also helps with tackling repeat offending. In this case, the bail conditions prevented the suspects from having any contact with the complainant therefore preventing them from committing any further offences against him. Another condition imposed was that the two suspects do not contact each other. As per research by </w:t>
      </w:r>
      <w:proofErr w:type="spellStart"/>
      <w:r w:rsidRPr="002D5D2E">
        <w:rPr>
          <w:rFonts w:ascii="Arial" w:hAnsi="Arial" w:cs="Arial"/>
        </w:rPr>
        <w:t>Gallup</w:t>
      </w:r>
      <w:r w:rsidR="008228E9" w:rsidRPr="002D5D2E">
        <w:rPr>
          <w:rFonts w:ascii="Arial" w:hAnsi="Arial" w:cs="Arial"/>
        </w:rPr>
        <w:t>e</w:t>
      </w:r>
      <w:proofErr w:type="spellEnd"/>
      <w:r w:rsidR="008228E9" w:rsidRPr="002D5D2E">
        <w:rPr>
          <w:rFonts w:ascii="Arial" w:hAnsi="Arial" w:cs="Arial"/>
        </w:rPr>
        <w:t xml:space="preserve">, </w:t>
      </w:r>
      <w:proofErr w:type="spellStart"/>
      <w:r w:rsidR="008228E9" w:rsidRPr="002D5D2E">
        <w:rPr>
          <w:rFonts w:ascii="Arial" w:hAnsi="Arial" w:cs="Arial"/>
        </w:rPr>
        <w:t>McLevey</w:t>
      </w:r>
      <w:proofErr w:type="spellEnd"/>
      <w:r w:rsidR="008228E9" w:rsidRPr="002D5D2E">
        <w:rPr>
          <w:rFonts w:ascii="Arial" w:hAnsi="Arial" w:cs="Arial"/>
        </w:rPr>
        <w:t xml:space="preserve"> and Brown</w:t>
      </w:r>
      <w:r w:rsidRPr="002D5D2E">
        <w:rPr>
          <w:rFonts w:ascii="Arial" w:hAnsi="Arial" w:cs="Arial"/>
        </w:rPr>
        <w:t xml:space="preserve"> (2018), people are often influenced by the offending habits of their </w:t>
      </w:r>
      <w:r w:rsidR="00842771" w:rsidRPr="002D5D2E">
        <w:rPr>
          <w:rFonts w:ascii="Arial" w:hAnsi="Arial" w:cs="Arial"/>
        </w:rPr>
        <w:t>peers,</w:t>
      </w:r>
      <w:r w:rsidRPr="002D5D2E">
        <w:rPr>
          <w:rFonts w:ascii="Arial" w:hAnsi="Arial" w:cs="Arial"/>
        </w:rPr>
        <w:t xml:space="preserve"> </w:t>
      </w:r>
      <w:r w:rsidR="00810AFD" w:rsidRPr="002D5D2E">
        <w:rPr>
          <w:rFonts w:ascii="Arial" w:hAnsi="Arial" w:cs="Arial"/>
        </w:rPr>
        <w:t>and</w:t>
      </w:r>
      <w:r w:rsidRPr="002D5D2E">
        <w:rPr>
          <w:rFonts w:ascii="Arial" w:hAnsi="Arial" w:cs="Arial"/>
        </w:rPr>
        <w:t xml:space="preserve"> </w:t>
      </w:r>
      <w:r w:rsidR="00810AFD" w:rsidRPr="002D5D2E">
        <w:rPr>
          <w:rFonts w:ascii="Arial" w:hAnsi="Arial" w:cs="Arial"/>
        </w:rPr>
        <w:t xml:space="preserve">they </w:t>
      </w:r>
      <w:r w:rsidRPr="002D5D2E">
        <w:rPr>
          <w:rFonts w:ascii="Arial" w:hAnsi="Arial" w:cs="Arial"/>
        </w:rPr>
        <w:t>pick their friends based on having similar methods of offending therefore removing the influence helped with preventing reoffending in the short term. However, once the bail conditions are no longer in place, it is more than likely that the offenders will get back in contact with each other and continue with their pattern of offending</w:t>
      </w:r>
      <w:r w:rsidR="00FE5B25" w:rsidRPr="002D5D2E">
        <w:rPr>
          <w:rFonts w:ascii="Arial" w:hAnsi="Arial" w:cs="Arial"/>
        </w:rPr>
        <w:t>.</w:t>
      </w:r>
    </w:p>
    <w:p w14:paraId="2EBF6502" w14:textId="77777777" w:rsidR="00FE5B25" w:rsidRPr="002D5D2E" w:rsidRDefault="00FE5B25" w:rsidP="002D5D2E">
      <w:pPr>
        <w:pStyle w:val="NormalWeb"/>
        <w:spacing w:before="0" w:beforeAutospacing="0" w:after="0" w:afterAutospacing="0" w:line="480" w:lineRule="auto"/>
        <w:rPr>
          <w:rFonts w:ascii="Arial" w:hAnsi="Arial" w:cs="Arial"/>
        </w:rPr>
      </w:pPr>
    </w:p>
    <w:p w14:paraId="12705429" w14:textId="187361C0" w:rsidR="00842771" w:rsidRPr="002D5D2E" w:rsidRDefault="00842771" w:rsidP="002D5D2E">
      <w:pPr>
        <w:pStyle w:val="NormalWeb"/>
        <w:spacing w:before="0" w:beforeAutospacing="0" w:after="0" w:afterAutospacing="0" w:line="480" w:lineRule="auto"/>
        <w:rPr>
          <w:rFonts w:ascii="Arial" w:hAnsi="Arial" w:cs="Arial"/>
        </w:rPr>
      </w:pPr>
      <w:r w:rsidRPr="002D5D2E">
        <w:rPr>
          <w:rFonts w:ascii="Arial" w:hAnsi="Arial" w:cs="Arial"/>
        </w:rPr>
        <w:t xml:space="preserve">In conclusion, it is necessary for different professionals inside the police as well as outside the police to take different approaches when considering the wellbeing and management of vulnerable people and people at risk of harm </w:t>
      </w:r>
      <w:r w:rsidR="004C0963" w:rsidRPr="002D5D2E">
        <w:rPr>
          <w:rFonts w:ascii="Arial" w:hAnsi="Arial" w:cs="Arial"/>
        </w:rPr>
        <w:t>during</w:t>
      </w:r>
      <w:r w:rsidRPr="002D5D2E">
        <w:rPr>
          <w:rFonts w:ascii="Arial" w:hAnsi="Arial" w:cs="Arial"/>
        </w:rPr>
        <w:t xml:space="preserve"> an investigation. </w:t>
      </w:r>
      <w:r w:rsidRPr="002D5D2E">
        <w:rPr>
          <w:rFonts w:ascii="Arial" w:hAnsi="Arial" w:cs="Arial"/>
        </w:rPr>
        <w:lastRenderedPageBreak/>
        <w:t>To ensure the best outcome for the complainant, the different approaches must be used in conjunction with one whilst also considering the wishes of the complainant. It is easier for different professionals within the police to communicate with each other, such as airwave communications between call handlers and response officers allowing an efficient response to the incident.</w:t>
      </w:r>
      <w:r w:rsidR="00351A1A" w:rsidRPr="002D5D2E">
        <w:rPr>
          <w:rFonts w:ascii="Arial" w:hAnsi="Arial" w:cs="Arial"/>
        </w:rPr>
        <w:t xml:space="preserve"> Systems have been created to ensure efficiency of information sharing between internal police departments and partner agencies who also play a vital role in safeguarding and managing vulnerable </w:t>
      </w:r>
      <w:r w:rsidR="00D166BF" w:rsidRPr="002D5D2E">
        <w:rPr>
          <w:rFonts w:ascii="Arial" w:hAnsi="Arial" w:cs="Arial"/>
        </w:rPr>
        <w:t>people and</w:t>
      </w:r>
      <w:r w:rsidR="00351A1A" w:rsidRPr="002D5D2E">
        <w:rPr>
          <w:rFonts w:ascii="Arial" w:hAnsi="Arial" w:cs="Arial"/>
        </w:rPr>
        <w:t xml:space="preserve"> reducing the risk of re-victimisation. </w:t>
      </w:r>
    </w:p>
    <w:p w14:paraId="19C3729F" w14:textId="7A10F80D" w:rsidR="00211695" w:rsidRPr="002D5D2E" w:rsidRDefault="00211695" w:rsidP="002D5D2E">
      <w:pPr>
        <w:overflowPunct/>
        <w:autoSpaceDE/>
        <w:autoSpaceDN/>
        <w:adjustRightInd/>
        <w:spacing w:line="480" w:lineRule="auto"/>
        <w:textAlignment w:val="auto"/>
        <w:rPr>
          <w:b/>
          <w:bCs/>
          <w:sz w:val="24"/>
          <w:szCs w:val="24"/>
        </w:rPr>
      </w:pPr>
    </w:p>
    <w:p w14:paraId="7809170F" w14:textId="73A5089C" w:rsidR="00211695" w:rsidRPr="002D5D2E" w:rsidRDefault="00E075AC" w:rsidP="002D5D2E">
      <w:pPr>
        <w:overflowPunct/>
        <w:autoSpaceDE/>
        <w:autoSpaceDN/>
        <w:adjustRightInd/>
        <w:spacing w:line="480" w:lineRule="auto"/>
        <w:textAlignment w:val="auto"/>
        <w:rPr>
          <w:b/>
          <w:bCs/>
          <w:sz w:val="24"/>
          <w:szCs w:val="24"/>
        </w:rPr>
      </w:pPr>
      <w:r w:rsidRPr="002D5D2E">
        <w:rPr>
          <w:b/>
          <w:bCs/>
          <w:sz w:val="24"/>
          <w:szCs w:val="24"/>
        </w:rPr>
        <w:t>Word count: 2188</w:t>
      </w: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79AD64B5" w14:textId="77777777" w:rsidR="00E075AC" w:rsidRDefault="00E075AC" w:rsidP="00211695">
      <w:pPr>
        <w:ind w:right="237"/>
        <w:jc w:val="center"/>
        <w:rPr>
          <w:rFonts w:eastAsia="Arial"/>
          <w:b/>
          <w:bCs/>
          <w:color w:val="000000" w:themeColor="text1"/>
          <w:sz w:val="28"/>
          <w:szCs w:val="28"/>
          <w:u w:val="single"/>
        </w:rPr>
      </w:pPr>
    </w:p>
    <w:p w14:paraId="13C10210" w14:textId="77777777" w:rsidR="00E075AC" w:rsidRDefault="00E075AC" w:rsidP="00211695">
      <w:pPr>
        <w:ind w:right="237"/>
        <w:jc w:val="center"/>
        <w:rPr>
          <w:rFonts w:eastAsia="Arial"/>
          <w:b/>
          <w:bCs/>
          <w:color w:val="000000" w:themeColor="text1"/>
          <w:sz w:val="28"/>
          <w:szCs w:val="28"/>
          <w:u w:val="single"/>
        </w:rPr>
      </w:pPr>
    </w:p>
    <w:p w14:paraId="2F2B8E94" w14:textId="77777777" w:rsidR="00E075AC" w:rsidRDefault="00E075AC" w:rsidP="00211695">
      <w:pPr>
        <w:ind w:right="237"/>
        <w:jc w:val="center"/>
        <w:rPr>
          <w:rFonts w:eastAsia="Arial"/>
          <w:b/>
          <w:bCs/>
          <w:color w:val="000000" w:themeColor="text1"/>
          <w:sz w:val="28"/>
          <w:szCs w:val="28"/>
          <w:u w:val="single"/>
        </w:rPr>
      </w:pPr>
    </w:p>
    <w:p w14:paraId="4A9FEF9F" w14:textId="77777777" w:rsidR="00E075AC" w:rsidRDefault="00E075AC" w:rsidP="00211695">
      <w:pPr>
        <w:ind w:right="237"/>
        <w:jc w:val="center"/>
        <w:rPr>
          <w:rFonts w:eastAsia="Arial"/>
          <w:b/>
          <w:bCs/>
          <w:color w:val="000000" w:themeColor="text1"/>
          <w:sz w:val="28"/>
          <w:szCs w:val="28"/>
          <w:u w:val="single"/>
        </w:rPr>
      </w:pPr>
    </w:p>
    <w:p w14:paraId="65D6DDDB" w14:textId="77777777" w:rsidR="00E075AC" w:rsidRDefault="00E075AC" w:rsidP="00211695">
      <w:pPr>
        <w:ind w:right="237"/>
        <w:jc w:val="center"/>
        <w:rPr>
          <w:rFonts w:eastAsia="Arial"/>
          <w:b/>
          <w:bCs/>
          <w:color w:val="000000" w:themeColor="text1"/>
          <w:sz w:val="28"/>
          <w:szCs w:val="28"/>
          <w:u w:val="single"/>
        </w:rPr>
      </w:pPr>
    </w:p>
    <w:p w14:paraId="3F169A84" w14:textId="77777777" w:rsidR="00E075AC" w:rsidRDefault="00E075AC" w:rsidP="00211695">
      <w:pPr>
        <w:ind w:right="237"/>
        <w:jc w:val="center"/>
        <w:rPr>
          <w:rFonts w:eastAsia="Arial"/>
          <w:b/>
          <w:bCs/>
          <w:color w:val="000000" w:themeColor="text1"/>
          <w:sz w:val="28"/>
          <w:szCs w:val="28"/>
          <w:u w:val="single"/>
        </w:rPr>
      </w:pPr>
    </w:p>
    <w:p w14:paraId="6BDE2A1B" w14:textId="77777777" w:rsidR="00E075AC" w:rsidRDefault="00E075AC" w:rsidP="00211695">
      <w:pPr>
        <w:ind w:right="237"/>
        <w:jc w:val="center"/>
        <w:rPr>
          <w:rFonts w:eastAsia="Arial"/>
          <w:b/>
          <w:bCs/>
          <w:color w:val="000000" w:themeColor="text1"/>
          <w:sz w:val="28"/>
          <w:szCs w:val="28"/>
          <w:u w:val="single"/>
        </w:rPr>
      </w:pPr>
    </w:p>
    <w:p w14:paraId="02D3EDB9" w14:textId="77777777" w:rsidR="00E075AC" w:rsidRDefault="00E075AC" w:rsidP="00211695">
      <w:pPr>
        <w:ind w:right="237"/>
        <w:jc w:val="center"/>
        <w:rPr>
          <w:rFonts w:eastAsia="Arial"/>
          <w:b/>
          <w:bCs/>
          <w:color w:val="000000" w:themeColor="text1"/>
          <w:sz w:val="28"/>
          <w:szCs w:val="28"/>
          <w:u w:val="single"/>
        </w:rPr>
      </w:pPr>
    </w:p>
    <w:p w14:paraId="6204C541" w14:textId="77777777" w:rsidR="002D5D2E" w:rsidRDefault="002D5D2E" w:rsidP="002D5D2E">
      <w:pPr>
        <w:ind w:right="237"/>
        <w:rPr>
          <w:rFonts w:eastAsia="Arial"/>
          <w:b/>
          <w:bCs/>
          <w:color w:val="000000" w:themeColor="text1"/>
          <w:sz w:val="28"/>
          <w:szCs w:val="28"/>
          <w:u w:val="single"/>
        </w:rPr>
      </w:pPr>
    </w:p>
    <w:p w14:paraId="58751063" w14:textId="58EB9D77" w:rsidR="13AD8C62" w:rsidRDefault="13AD8C62" w:rsidP="002D5D2E">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F79612C" w14:textId="4E91C753" w:rsidR="009370AE" w:rsidRDefault="009370AE" w:rsidP="009370AE">
      <w:pPr>
        <w:ind w:right="237"/>
        <w:jc w:val="both"/>
        <w:rPr>
          <w:b/>
          <w:bCs/>
          <w:color w:val="000000" w:themeColor="text1"/>
          <w:sz w:val="28"/>
          <w:szCs w:val="28"/>
        </w:rPr>
      </w:pPr>
    </w:p>
    <w:p w14:paraId="43FBFBF7" w14:textId="77777777" w:rsidR="00520A1A" w:rsidRDefault="00520A1A" w:rsidP="009370AE">
      <w:pPr>
        <w:ind w:right="237"/>
        <w:jc w:val="both"/>
        <w:rPr>
          <w:b/>
          <w:bCs/>
          <w:color w:val="000000" w:themeColor="text1"/>
          <w:sz w:val="28"/>
          <w:szCs w:val="28"/>
        </w:rPr>
      </w:pPr>
    </w:p>
    <w:p w14:paraId="122C4398" w14:textId="77777777" w:rsidR="00520A1A" w:rsidRDefault="00520A1A" w:rsidP="009370AE">
      <w:pPr>
        <w:ind w:right="237"/>
        <w:jc w:val="both"/>
        <w:rPr>
          <w:b/>
          <w:bCs/>
          <w:color w:val="000000" w:themeColor="text1"/>
          <w:sz w:val="28"/>
          <w:szCs w:val="28"/>
        </w:rPr>
      </w:pPr>
    </w:p>
    <w:p w14:paraId="28EE7BE4" w14:textId="77777777" w:rsidR="00520A1A" w:rsidRDefault="00520A1A" w:rsidP="009370AE">
      <w:pPr>
        <w:ind w:right="237"/>
        <w:jc w:val="both"/>
        <w:rPr>
          <w:b/>
          <w:bCs/>
          <w:color w:val="000000" w:themeColor="text1"/>
          <w:sz w:val="28"/>
          <w:szCs w:val="28"/>
        </w:rPr>
      </w:pPr>
    </w:p>
    <w:p w14:paraId="6D5F4A1F" w14:textId="77777777" w:rsidR="00520A1A" w:rsidRDefault="00520A1A" w:rsidP="009370AE">
      <w:pPr>
        <w:ind w:right="237"/>
        <w:jc w:val="both"/>
        <w:rPr>
          <w:b/>
          <w:bCs/>
          <w:color w:val="000000" w:themeColor="text1"/>
          <w:sz w:val="28"/>
          <w:szCs w:val="28"/>
        </w:rPr>
      </w:pPr>
    </w:p>
    <w:p w14:paraId="7AEC5AD7" w14:textId="77777777" w:rsidR="00520A1A" w:rsidRDefault="00520A1A" w:rsidP="009370AE">
      <w:pPr>
        <w:ind w:right="237"/>
        <w:jc w:val="both"/>
        <w:rPr>
          <w:b/>
          <w:bCs/>
          <w:color w:val="000000" w:themeColor="text1"/>
          <w:sz w:val="28"/>
          <w:szCs w:val="28"/>
        </w:rPr>
      </w:pPr>
    </w:p>
    <w:p w14:paraId="598722AF" w14:textId="77777777" w:rsidR="00520A1A" w:rsidRDefault="00520A1A" w:rsidP="009370AE">
      <w:pPr>
        <w:ind w:right="237"/>
        <w:jc w:val="both"/>
        <w:rPr>
          <w:b/>
          <w:bCs/>
          <w:color w:val="000000" w:themeColor="text1"/>
          <w:sz w:val="28"/>
          <w:szCs w:val="28"/>
        </w:rPr>
      </w:pPr>
    </w:p>
    <w:p w14:paraId="367EBD33" w14:textId="77777777" w:rsidR="00520A1A" w:rsidRDefault="00520A1A" w:rsidP="009370AE">
      <w:pPr>
        <w:ind w:right="237"/>
        <w:jc w:val="both"/>
        <w:rPr>
          <w:b/>
          <w:bCs/>
          <w:color w:val="000000" w:themeColor="text1"/>
          <w:sz w:val="28"/>
          <w:szCs w:val="28"/>
        </w:rPr>
      </w:pPr>
    </w:p>
    <w:p w14:paraId="5B1269E5" w14:textId="77777777" w:rsidR="00520A1A" w:rsidRDefault="00520A1A" w:rsidP="009370AE">
      <w:pPr>
        <w:ind w:right="237"/>
        <w:jc w:val="both"/>
        <w:rPr>
          <w:b/>
          <w:bCs/>
          <w:color w:val="000000" w:themeColor="text1"/>
          <w:sz w:val="28"/>
          <w:szCs w:val="28"/>
        </w:rPr>
      </w:pPr>
    </w:p>
    <w:p w14:paraId="6EDC0E6D" w14:textId="77777777" w:rsidR="00520A1A" w:rsidRDefault="00520A1A" w:rsidP="009370AE">
      <w:pPr>
        <w:ind w:right="237"/>
        <w:jc w:val="both"/>
        <w:rPr>
          <w:b/>
          <w:bCs/>
          <w:color w:val="000000" w:themeColor="text1"/>
          <w:sz w:val="28"/>
          <w:szCs w:val="28"/>
        </w:rPr>
      </w:pPr>
    </w:p>
    <w:p w14:paraId="3E895785" w14:textId="77777777" w:rsidR="00520A1A" w:rsidRDefault="00520A1A" w:rsidP="009370AE">
      <w:pPr>
        <w:ind w:right="237"/>
        <w:jc w:val="both"/>
        <w:rPr>
          <w:b/>
          <w:bCs/>
          <w:color w:val="000000" w:themeColor="text1"/>
          <w:sz w:val="28"/>
          <w:szCs w:val="28"/>
        </w:rPr>
      </w:pPr>
    </w:p>
    <w:p w14:paraId="3996BFE8" w14:textId="77777777" w:rsidR="00520A1A" w:rsidRDefault="00520A1A" w:rsidP="009370AE">
      <w:pPr>
        <w:ind w:right="237"/>
        <w:jc w:val="both"/>
        <w:rPr>
          <w:b/>
          <w:bCs/>
          <w:color w:val="000000" w:themeColor="text1"/>
          <w:sz w:val="28"/>
          <w:szCs w:val="28"/>
        </w:rPr>
      </w:pPr>
    </w:p>
    <w:p w14:paraId="0D5994A8" w14:textId="77777777" w:rsidR="00520A1A" w:rsidRDefault="00520A1A" w:rsidP="009370AE">
      <w:pPr>
        <w:ind w:right="237"/>
        <w:jc w:val="both"/>
        <w:rPr>
          <w:b/>
          <w:bCs/>
          <w:color w:val="000000" w:themeColor="text1"/>
          <w:sz w:val="28"/>
          <w:szCs w:val="28"/>
        </w:rPr>
      </w:pPr>
    </w:p>
    <w:p w14:paraId="21B035E8" w14:textId="77777777" w:rsidR="00520A1A" w:rsidRDefault="00520A1A" w:rsidP="009370AE">
      <w:pPr>
        <w:ind w:right="237"/>
        <w:jc w:val="both"/>
        <w:rPr>
          <w:b/>
          <w:bCs/>
          <w:color w:val="000000" w:themeColor="text1"/>
          <w:sz w:val="28"/>
          <w:szCs w:val="28"/>
        </w:rPr>
      </w:pPr>
    </w:p>
    <w:p w14:paraId="217AA360" w14:textId="77777777" w:rsidR="00520A1A" w:rsidRDefault="00520A1A" w:rsidP="009370AE">
      <w:pPr>
        <w:ind w:right="237"/>
        <w:jc w:val="both"/>
        <w:rPr>
          <w:b/>
          <w:bCs/>
          <w:color w:val="000000" w:themeColor="text1"/>
          <w:sz w:val="28"/>
          <w:szCs w:val="28"/>
        </w:rPr>
      </w:pPr>
    </w:p>
    <w:p w14:paraId="6E9BFE0A" w14:textId="77777777" w:rsidR="00520A1A" w:rsidRDefault="00520A1A" w:rsidP="009370AE">
      <w:pPr>
        <w:ind w:right="237"/>
        <w:jc w:val="both"/>
        <w:rPr>
          <w:b/>
          <w:bCs/>
          <w:color w:val="000000" w:themeColor="text1"/>
          <w:sz w:val="28"/>
          <w:szCs w:val="28"/>
        </w:rPr>
      </w:pPr>
    </w:p>
    <w:p w14:paraId="17D05C95" w14:textId="77777777" w:rsidR="00520A1A" w:rsidRDefault="00520A1A" w:rsidP="009370AE">
      <w:pPr>
        <w:ind w:right="237"/>
        <w:jc w:val="both"/>
        <w:rPr>
          <w:b/>
          <w:bCs/>
          <w:color w:val="000000" w:themeColor="text1"/>
          <w:sz w:val="28"/>
          <w:szCs w:val="28"/>
        </w:rPr>
      </w:pPr>
    </w:p>
    <w:p w14:paraId="572373AF" w14:textId="77777777" w:rsidR="00520A1A" w:rsidRDefault="00520A1A" w:rsidP="009370AE">
      <w:pPr>
        <w:ind w:right="237"/>
        <w:jc w:val="both"/>
        <w:rPr>
          <w:b/>
          <w:bCs/>
          <w:color w:val="000000" w:themeColor="text1"/>
          <w:sz w:val="28"/>
          <w:szCs w:val="28"/>
        </w:rPr>
      </w:pPr>
    </w:p>
    <w:p w14:paraId="28D166B3" w14:textId="77777777" w:rsidR="00520A1A" w:rsidRDefault="00520A1A" w:rsidP="009370AE">
      <w:pPr>
        <w:ind w:right="237"/>
        <w:jc w:val="both"/>
        <w:rPr>
          <w:b/>
          <w:bCs/>
          <w:color w:val="000000" w:themeColor="text1"/>
          <w:sz w:val="28"/>
          <w:szCs w:val="28"/>
        </w:rPr>
      </w:pPr>
    </w:p>
    <w:p w14:paraId="177E0EDD" w14:textId="77777777" w:rsidR="00520A1A" w:rsidRDefault="00520A1A" w:rsidP="009370AE">
      <w:pPr>
        <w:ind w:right="237"/>
        <w:jc w:val="both"/>
        <w:rPr>
          <w:b/>
          <w:bCs/>
          <w:color w:val="000000" w:themeColor="text1"/>
          <w:sz w:val="28"/>
          <w:szCs w:val="28"/>
        </w:rPr>
      </w:pPr>
    </w:p>
    <w:p w14:paraId="5D92654A" w14:textId="2A47C01F"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lastRenderedPageBreak/>
        <w:t xml:space="preserve">During a complex investigation into a report of criminal damage and affray, I utilised </w:t>
      </w:r>
      <w:r w:rsidR="00F54C8C" w:rsidRPr="002D5D2E">
        <w:rPr>
          <w:rFonts w:ascii="Arial" w:hAnsi="Arial" w:cs="Arial"/>
        </w:rPr>
        <w:t>several</w:t>
      </w:r>
      <w:r w:rsidRPr="002D5D2E">
        <w:rPr>
          <w:rFonts w:ascii="Arial" w:hAnsi="Arial" w:cs="Arial"/>
        </w:rPr>
        <w:t xml:space="preserve"> fast-track actions to progress the investigation. Fast track actions are a set of principles best utilised during the "Golden Hour" which is the initial stage of an investigation when material is most abundant</w:t>
      </w:r>
      <w:r w:rsidR="00A53C61" w:rsidRPr="002D5D2E">
        <w:rPr>
          <w:rFonts w:ascii="Arial" w:hAnsi="Arial" w:cs="Arial"/>
        </w:rPr>
        <w:t xml:space="preserve"> (Stainton et al., 2022</w:t>
      </w:r>
      <w:r w:rsidRPr="002D5D2E">
        <w:rPr>
          <w:rFonts w:ascii="Arial" w:hAnsi="Arial" w:cs="Arial"/>
        </w:rPr>
        <w:t>).</w:t>
      </w:r>
      <w:r w:rsidR="00DE36D3" w:rsidRPr="002D5D2E">
        <w:rPr>
          <w:rFonts w:ascii="Arial" w:hAnsi="Arial" w:cs="Arial"/>
        </w:rPr>
        <w:t xml:space="preserve"> This essay will include a critical evaluation of the use of fast-track actions during the investigation along with an evaluation in to how I supported the victim, witnesses and the offender throughout the investigative process whilst managing my own personal values and attitudes. </w:t>
      </w:r>
      <w:r w:rsidRPr="002D5D2E">
        <w:rPr>
          <w:rFonts w:ascii="Arial" w:hAnsi="Arial" w:cs="Arial"/>
        </w:rPr>
        <w:t xml:space="preserve">  </w:t>
      </w:r>
    </w:p>
    <w:p w14:paraId="5444B2E1" w14:textId="77777777"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6A8F4A43" w14:textId="3FDD40F9"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xml:space="preserve">A person commits criminal damage if without lawful excuse they destroy or damage property belonging to another, either intending to destroy or damage the property or they are reckless as to whether the property would be destroyed or damaged </w:t>
      </w:r>
      <w:r w:rsidR="00A53C61" w:rsidRPr="002D5D2E">
        <w:rPr>
          <w:rFonts w:ascii="Arial" w:hAnsi="Arial" w:cs="Arial"/>
        </w:rPr>
        <w:t>(CPS, 2007</w:t>
      </w:r>
      <w:r w:rsidRPr="002D5D2E">
        <w:rPr>
          <w:rFonts w:ascii="Arial" w:hAnsi="Arial" w:cs="Arial"/>
        </w:rPr>
        <w:t xml:space="preserve">). In this report, the complainant states an unknown male approached her car holding what she described as a large knife which he used to smash the rear windshield of her car. As the suspect is alleged to have been wielding a knife in her direction causing her to fear for her safety, the suspect was arrested for affray. As per the definition, a person </w:t>
      </w:r>
    </w:p>
    <w:p w14:paraId="1620D518" w14:textId="2C8C272B"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xml:space="preserve">is guilty of affray if he uses or threatens unlawful violence towards another and his conduct is such as would cause a person of reasonable firmness present at the scene to fear for his personal safety </w:t>
      </w:r>
      <w:r w:rsidR="00C04315" w:rsidRPr="002D5D2E">
        <w:rPr>
          <w:rFonts w:ascii="Arial" w:hAnsi="Arial" w:cs="Arial"/>
        </w:rPr>
        <w:t>(CPS, 2022</w:t>
      </w:r>
      <w:r w:rsidRPr="002D5D2E">
        <w:rPr>
          <w:rFonts w:ascii="Arial" w:hAnsi="Arial" w:cs="Arial"/>
        </w:rPr>
        <w:t xml:space="preserve">). </w:t>
      </w:r>
    </w:p>
    <w:p w14:paraId="049BAAA7" w14:textId="77777777"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62EE6D3B" w14:textId="14A91708"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xml:space="preserve">One of the fast-track actions utilised during this investigation was house to house enquiries in the streets surrounding the area where this incident took place. The reason for conducting house to house enquiries is to help identify any potential witnesses to the incident or anyone who may be in possession of information which </w:t>
      </w:r>
      <w:r w:rsidRPr="002D5D2E">
        <w:rPr>
          <w:rFonts w:ascii="Arial" w:hAnsi="Arial" w:cs="Arial"/>
        </w:rPr>
        <w:lastRenderedPageBreak/>
        <w:t xml:space="preserve">is useful for the investigation. This was conducted by response police officers immediately after the incident took place which is very important as it will be when the information is most fresh in people's minds. It also provides reassurance to the victim and others that the police are </w:t>
      </w:r>
      <w:proofErr w:type="gramStart"/>
      <w:r w:rsidRPr="002D5D2E">
        <w:rPr>
          <w:rFonts w:ascii="Arial" w:hAnsi="Arial" w:cs="Arial"/>
        </w:rPr>
        <w:t>taking action</w:t>
      </w:r>
      <w:proofErr w:type="gramEnd"/>
      <w:r w:rsidRPr="002D5D2E">
        <w:rPr>
          <w:rFonts w:ascii="Arial" w:hAnsi="Arial" w:cs="Arial"/>
        </w:rPr>
        <w:t xml:space="preserve"> which will help increase confidence and trust in the police. It is important that the officers conducting house to house enquiries record any detail and information gathered so that the investigating officers can follow up where necessary. In this case, information was left out meaning that house to house had to be revisited. This can make the police look incompetent and there is a risk that people may lose trust in the police therefore making them less likely to share information which could help with the investigation. Overall, house to house enquiries are very useful in the early stages of an investigation but it is important that the people conducting these enquiries document it in a detailed way to ensure efficiency and most importantly that no information is lost or ignored. </w:t>
      </w:r>
    </w:p>
    <w:p w14:paraId="6FE162D9" w14:textId="77777777"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xml:space="preserve"> </w:t>
      </w:r>
    </w:p>
    <w:p w14:paraId="349A06AF" w14:textId="7D677DF5"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Whilst conducting house to house enquiries, officers can also look for any CCTV cameras that cover the area where the incident took place. CCTV allows those viewing it to visualise aspects of the crime being described, and it can assist in identifying any witnesses, suspects and offences being committed</w:t>
      </w:r>
      <w:r w:rsidR="00C04315" w:rsidRPr="002D5D2E">
        <w:rPr>
          <w:rFonts w:ascii="Arial" w:hAnsi="Arial" w:cs="Arial"/>
        </w:rPr>
        <w:t xml:space="preserve"> (College of Policing, 2024). </w:t>
      </w:r>
      <w:r w:rsidRPr="002D5D2E">
        <w:rPr>
          <w:rFonts w:ascii="Arial" w:hAnsi="Arial" w:cs="Arial"/>
        </w:rPr>
        <w:t>In a world where technology is advancing at a fast pace, CCTV, and other forms of surveillance such as ring doorbell cameras are more prevalent than ever, therefore increasing the likelihood of crime being captured on camera. A study where CCTV cameras on a British railway network were analysed and found that of the 251,195 crimes recorded over a four-year period, CCTV video was available in 45% of those cases</w:t>
      </w:r>
      <w:r w:rsidR="00C04315" w:rsidRPr="002D5D2E">
        <w:rPr>
          <w:rFonts w:ascii="Arial" w:hAnsi="Arial" w:cs="Arial"/>
        </w:rPr>
        <w:t xml:space="preserve"> (Ashby, 2017).</w:t>
      </w:r>
    </w:p>
    <w:p w14:paraId="13FF3820" w14:textId="77777777"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lastRenderedPageBreak/>
        <w:t xml:space="preserve">In this case, it was found that one person in a nearby house had filmed part of the lead up to the incident on their mobile phone. Although the footage wasn’t of the best quality, the make and model of a vehicle involved could be identified. The only other form of CCTV that could be found of this incident was from a bus which stopped at the scene of the incident therefore the two clips when played together helped in identifying a timeline of events. In conclusion, when CCTV is available it is very useful during the investigation process however it is not always available therefore it is important to always consider other actions. </w:t>
      </w:r>
    </w:p>
    <w:p w14:paraId="4118E137" w14:textId="77777777" w:rsidR="002A39A3" w:rsidRPr="002D5D2E" w:rsidRDefault="002A39A3"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3492EDC4" w14:textId="7C74176D" w:rsidR="00520A1A" w:rsidRPr="002D5D2E" w:rsidRDefault="004021B8" w:rsidP="002D5D2E">
      <w:pPr>
        <w:pStyle w:val="NormalWeb"/>
        <w:spacing w:before="0" w:beforeAutospacing="0" w:after="0" w:afterAutospacing="0" w:line="480" w:lineRule="auto"/>
        <w:rPr>
          <w:rFonts w:ascii="Arial" w:hAnsi="Arial" w:cs="Arial"/>
        </w:rPr>
      </w:pPr>
      <w:r w:rsidRPr="002D5D2E">
        <w:rPr>
          <w:rFonts w:ascii="Arial" w:hAnsi="Arial" w:cs="Arial"/>
        </w:rPr>
        <w:t xml:space="preserve">As this was an incident where the victim did not know the suspect and CCTV footage was limited, forensic analysis became a priority fast track action. The </w:t>
      </w:r>
      <w:proofErr w:type="spellStart"/>
      <w:r w:rsidRPr="002D5D2E">
        <w:rPr>
          <w:rFonts w:ascii="Arial" w:hAnsi="Arial" w:cs="Arial"/>
        </w:rPr>
        <w:t>Locard's</w:t>
      </w:r>
      <w:proofErr w:type="spellEnd"/>
      <w:r w:rsidRPr="002D5D2E">
        <w:rPr>
          <w:rFonts w:ascii="Arial" w:hAnsi="Arial" w:cs="Arial"/>
        </w:rPr>
        <w:t xml:space="preserve"> Principle of exchange was formulated by Dr Edward </w:t>
      </w:r>
      <w:proofErr w:type="spellStart"/>
      <w:r w:rsidRPr="002D5D2E">
        <w:rPr>
          <w:rFonts w:ascii="Arial" w:hAnsi="Arial" w:cs="Arial"/>
        </w:rPr>
        <w:t>Locard</w:t>
      </w:r>
      <w:proofErr w:type="spellEnd"/>
      <w:r w:rsidRPr="002D5D2E">
        <w:rPr>
          <w:rFonts w:ascii="Arial" w:hAnsi="Arial" w:cs="Arial"/>
        </w:rPr>
        <w:t xml:space="preserve"> and states that every contact leaves a trace. What this means is that anyone who enters a scene takes something from the scene away with them and leaves something of themselves behind</w:t>
      </w:r>
      <w:r w:rsidR="00C04315" w:rsidRPr="002D5D2E">
        <w:rPr>
          <w:rFonts w:ascii="Arial" w:hAnsi="Arial" w:cs="Arial"/>
        </w:rPr>
        <w:t>, for example DNA, fingerprints, footwear marks, or fibres</w:t>
      </w:r>
      <w:r w:rsidRPr="002D5D2E">
        <w:rPr>
          <w:rFonts w:ascii="Arial" w:hAnsi="Arial" w:cs="Arial"/>
        </w:rPr>
        <w:t xml:space="preserve"> </w:t>
      </w:r>
      <w:r w:rsidR="00C04315" w:rsidRPr="002D5D2E">
        <w:rPr>
          <w:rFonts w:ascii="Arial" w:hAnsi="Arial" w:cs="Arial"/>
        </w:rPr>
        <w:t xml:space="preserve">(College of Policing, 2017). </w:t>
      </w:r>
      <w:r w:rsidRPr="002D5D2E">
        <w:rPr>
          <w:rFonts w:ascii="Arial" w:hAnsi="Arial" w:cs="Arial"/>
        </w:rPr>
        <w:t>As stated by</w:t>
      </w:r>
      <w:r w:rsidR="00C04315" w:rsidRPr="002D5D2E">
        <w:rPr>
          <w:rFonts w:ascii="Arial" w:hAnsi="Arial" w:cs="Arial"/>
        </w:rPr>
        <w:t xml:space="preserve"> (Rose, 2021</w:t>
      </w:r>
      <w:r w:rsidRPr="002D5D2E">
        <w:rPr>
          <w:rFonts w:ascii="Arial" w:hAnsi="Arial" w:cs="Arial"/>
        </w:rPr>
        <w:t>), there is no</w:t>
      </w:r>
      <w:r w:rsidR="00F54C8C" w:rsidRPr="002D5D2E">
        <w:rPr>
          <w:rFonts w:ascii="Arial" w:hAnsi="Arial" w:cs="Arial"/>
        </w:rPr>
        <w:t>t a</w:t>
      </w:r>
      <w:r w:rsidRPr="002D5D2E">
        <w:rPr>
          <w:rFonts w:ascii="Arial" w:hAnsi="Arial" w:cs="Arial"/>
        </w:rPr>
        <w:t xml:space="preserve"> second chance to recover evidence that has been damaged or destroyed by poor decision making in the early stages. There was apparent blood splatter on the vehicle which had come from the suspect therefore the initial actions taken ensured that this was preserved until a Crime Scene Examiner was available to photograph and swab this material. As science develops, the opportunities to use forensic analysis in investigations increase making it very useful, however there is a lot of room for error. The decisions made by every individual who </w:t>
      </w:r>
      <w:proofErr w:type="gramStart"/>
      <w:r w:rsidRPr="002D5D2E">
        <w:rPr>
          <w:rFonts w:ascii="Arial" w:hAnsi="Arial" w:cs="Arial"/>
        </w:rPr>
        <w:t>comes into contact with</w:t>
      </w:r>
      <w:proofErr w:type="gramEnd"/>
      <w:r w:rsidRPr="002D5D2E">
        <w:rPr>
          <w:rFonts w:ascii="Arial" w:hAnsi="Arial" w:cs="Arial"/>
        </w:rPr>
        <w:t xml:space="preserve"> the evidence is vital in maintaining the integrity therefore it is important that during retrieval, packaging, transportation and </w:t>
      </w:r>
      <w:r w:rsidRPr="002D5D2E">
        <w:rPr>
          <w:rFonts w:ascii="Arial" w:hAnsi="Arial" w:cs="Arial"/>
        </w:rPr>
        <w:lastRenderedPageBreak/>
        <w:t xml:space="preserve">storage that the correct protocols are followed to ensure that by the time the material reaches a laboratory it is still in its original form. </w:t>
      </w:r>
    </w:p>
    <w:p w14:paraId="34E5C819" w14:textId="147BC87F" w:rsidR="00AD7979" w:rsidRPr="002D5D2E" w:rsidRDefault="00AD7979"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505E6B1C" w14:textId="316ED96A" w:rsidR="00520A1A" w:rsidRPr="002D5D2E" w:rsidRDefault="005B009A" w:rsidP="002D5D2E">
      <w:pPr>
        <w:spacing w:line="480" w:lineRule="auto"/>
        <w:ind w:right="237"/>
        <w:jc w:val="both"/>
        <w:rPr>
          <w:b/>
          <w:bCs/>
          <w:color w:val="000000" w:themeColor="text1"/>
          <w:sz w:val="32"/>
          <w:szCs w:val="32"/>
        </w:rPr>
      </w:pPr>
      <w:r w:rsidRPr="002D5D2E">
        <w:rPr>
          <w:sz w:val="24"/>
          <w:szCs w:val="24"/>
        </w:rPr>
        <w:t xml:space="preserve">Another fast-track action identified and utilised during this investigation was the use of Automatic Number Plate Recognition (ANPR) as it was identified that a vehicle was used by the suspect to flee the scene of the incident. ANPR automatically reads vehicle registration marks (VRM) and compares them against database records, and it is used by the police as a tactical option to disrupt, prevent and detect criminal activity </w:t>
      </w:r>
      <w:r w:rsidR="001D3C3B" w:rsidRPr="002D5D2E">
        <w:rPr>
          <w:sz w:val="24"/>
          <w:szCs w:val="24"/>
        </w:rPr>
        <w:t xml:space="preserve">(College of Policing, 2013a). </w:t>
      </w:r>
      <w:r w:rsidRPr="002D5D2E">
        <w:rPr>
          <w:sz w:val="24"/>
          <w:szCs w:val="24"/>
        </w:rPr>
        <w:t>In this case the VRM was not known however the make and model of the car was which could also be used to compare against the records held. ANPR is a very useful resource when there is sufficient information known to use it such as the VRM or information regarding the make and model of the car. In this case, ANPR was not the most useful action as the direction of travel of the vehicle was unknown. The make and model of the vehicle was very popular therefore there were several matches on the database however none of the matches were relevant to the investigation. In conclusion, it is good to consider ANPR as an option, but it cannot be relied upon as it does not capture everything.</w:t>
      </w:r>
    </w:p>
    <w:p w14:paraId="1B2D8F04" w14:textId="77777777" w:rsidR="00520A1A" w:rsidRPr="002D5D2E" w:rsidRDefault="00520A1A" w:rsidP="002D5D2E">
      <w:pPr>
        <w:spacing w:line="480" w:lineRule="auto"/>
        <w:ind w:right="237"/>
        <w:jc w:val="both"/>
        <w:rPr>
          <w:b/>
          <w:bCs/>
          <w:color w:val="000000" w:themeColor="text1"/>
          <w:sz w:val="32"/>
          <w:szCs w:val="32"/>
        </w:rPr>
      </w:pPr>
    </w:p>
    <w:p w14:paraId="18912809" w14:textId="4FB3D301" w:rsidR="001D3C3B" w:rsidRPr="002D5D2E" w:rsidRDefault="001D3C3B" w:rsidP="002D5D2E">
      <w:pPr>
        <w:pStyle w:val="NormalWeb"/>
        <w:spacing w:before="0" w:beforeAutospacing="0" w:after="0" w:afterAutospacing="0" w:line="480" w:lineRule="auto"/>
        <w:rPr>
          <w:rFonts w:ascii="Arial" w:hAnsi="Arial" w:cs="Arial"/>
        </w:rPr>
      </w:pPr>
      <w:r w:rsidRPr="002D5D2E">
        <w:rPr>
          <w:rFonts w:ascii="Arial" w:hAnsi="Arial" w:cs="Arial"/>
        </w:rPr>
        <w:t xml:space="preserve">As per the Ministry of Justice definition embedded in the Code of Practice of Crime in England and Wales (GOV.UK, 2024), a victim is a person who has suffered harm, including physical, mental, or emotional harm or economic loss which was directly caused by a criminal offence. The victim in this case suffered economic harm </w:t>
      </w:r>
      <w:proofErr w:type="gramStart"/>
      <w:r w:rsidRPr="002D5D2E">
        <w:rPr>
          <w:rFonts w:ascii="Arial" w:hAnsi="Arial" w:cs="Arial"/>
        </w:rPr>
        <w:t>as a result of</w:t>
      </w:r>
      <w:proofErr w:type="gramEnd"/>
      <w:r w:rsidRPr="002D5D2E">
        <w:rPr>
          <w:rFonts w:ascii="Arial" w:hAnsi="Arial" w:cs="Arial"/>
        </w:rPr>
        <w:t xml:space="preserve"> the damage to her vehicle as well as mental and emotional harm as a result of the incident. Victims are also classed as witnesses in criminal investigations therefore it is important that the material obtained from these witnesses is detailed </w:t>
      </w:r>
      <w:r w:rsidRPr="002D5D2E">
        <w:rPr>
          <w:rFonts w:ascii="Arial" w:hAnsi="Arial" w:cs="Arial"/>
        </w:rPr>
        <w:lastRenderedPageBreak/>
        <w:t xml:space="preserve">and accurate. Investigators must treat all victims and witnesses with dignity and respect and follow the victims code of practice. How this is carried out will hugely impact the success of the investigation and how the victim cooperates with the investigation. In a case such as this, it is vital that the victim remains supportive of the police and the investigation as they </w:t>
      </w:r>
      <w:proofErr w:type="gramStart"/>
      <w:r w:rsidRPr="002D5D2E">
        <w:rPr>
          <w:rFonts w:ascii="Arial" w:hAnsi="Arial" w:cs="Arial"/>
        </w:rPr>
        <w:t>are able to</w:t>
      </w:r>
      <w:proofErr w:type="gramEnd"/>
      <w:r w:rsidRPr="002D5D2E">
        <w:rPr>
          <w:rFonts w:ascii="Arial" w:hAnsi="Arial" w:cs="Arial"/>
        </w:rPr>
        <w:t xml:space="preserve"> provide key evidence to be used in the prosecution of the offender. Therefore, to ensure the victim remains supportive, it is important that the police offer them support tailored to their individual needs (College of Policing, 2013</w:t>
      </w:r>
      <w:r w:rsidR="00684360" w:rsidRPr="002D5D2E">
        <w:rPr>
          <w:rFonts w:ascii="Arial" w:hAnsi="Arial" w:cs="Arial"/>
        </w:rPr>
        <w:t>c</w:t>
      </w:r>
      <w:r w:rsidRPr="002D5D2E">
        <w:rPr>
          <w:rFonts w:ascii="Arial" w:hAnsi="Arial" w:cs="Arial"/>
        </w:rPr>
        <w:t>).</w:t>
      </w:r>
    </w:p>
    <w:p w14:paraId="17B32F66" w14:textId="77777777" w:rsidR="00BA28E0" w:rsidRPr="002D5D2E" w:rsidRDefault="00BA28E0" w:rsidP="002D5D2E">
      <w:pPr>
        <w:pStyle w:val="NormalWeb"/>
        <w:spacing w:before="0" w:beforeAutospacing="0" w:after="0" w:afterAutospacing="0" w:line="480" w:lineRule="auto"/>
        <w:rPr>
          <w:rFonts w:ascii="Arial" w:hAnsi="Arial" w:cs="Arial"/>
        </w:rPr>
      </w:pPr>
      <w:r w:rsidRPr="002D5D2E">
        <w:rPr>
          <w:rFonts w:ascii="Arial" w:hAnsi="Arial" w:cs="Arial"/>
        </w:rPr>
        <w:t> </w:t>
      </w:r>
    </w:p>
    <w:p w14:paraId="502E1F0A" w14:textId="7AF06950" w:rsidR="00BA28E0" w:rsidRPr="002D5D2E" w:rsidRDefault="00BA28E0" w:rsidP="002D5D2E">
      <w:pPr>
        <w:pStyle w:val="NormalWeb"/>
        <w:spacing w:before="0" w:beforeAutospacing="0" w:after="0" w:afterAutospacing="0" w:line="480" w:lineRule="auto"/>
        <w:rPr>
          <w:rFonts w:ascii="Arial" w:hAnsi="Arial" w:cs="Arial"/>
        </w:rPr>
      </w:pPr>
      <w:r w:rsidRPr="002D5D2E">
        <w:rPr>
          <w:rFonts w:ascii="Arial" w:hAnsi="Arial" w:cs="Arial"/>
        </w:rPr>
        <w:t>One of the ways that I supported the victim of this case throughout the investigation was through frequent communication. As stated by</w:t>
      </w:r>
      <w:r w:rsidR="007A7D5D" w:rsidRPr="002D5D2E">
        <w:rPr>
          <w:rFonts w:ascii="Arial" w:hAnsi="Arial" w:cs="Arial"/>
        </w:rPr>
        <w:t xml:space="preserve"> Barker (2022), </w:t>
      </w:r>
      <w:r w:rsidRPr="002D5D2E">
        <w:rPr>
          <w:rFonts w:ascii="Arial" w:hAnsi="Arial" w:cs="Arial"/>
        </w:rPr>
        <w:t>communication does not start with the transition of a message but with understanding. It does not matter how often I relay information to the victim if they do not understand the information that I am giving them. To me, the most important part of the code of Ethics and Values is honesty and integrity, two things that all Police officers should be. When communicating with the victim, I ensured that I remained open and transparent about everything which helped in managing their expectations. The victim in this investigation did not have much previous experience in dealing with the police therefore I was aware that the way in which I dealt with them could shape and influence the way in which they feel about the police as an organisation. To ensure that I was dealing with the victim as an individual and I was meeting their needs, it was important that the communication was sincere. This form of communication helped build trust and a bond which fostered cooperation and mutual respect which also resulted in the victim allowing themselves to be vulnerable and open about the extent to which this incident affected the</w:t>
      </w:r>
      <w:r w:rsidR="007A7D5D" w:rsidRPr="002D5D2E">
        <w:rPr>
          <w:rFonts w:ascii="Arial" w:hAnsi="Arial" w:cs="Arial"/>
        </w:rPr>
        <w:t>m (Vivekananda and Meenakshi, 2024).</w:t>
      </w:r>
      <w:r w:rsidRPr="002D5D2E">
        <w:rPr>
          <w:rFonts w:ascii="Arial" w:hAnsi="Arial" w:cs="Arial"/>
        </w:rPr>
        <w:t xml:space="preserve"> </w:t>
      </w:r>
    </w:p>
    <w:p w14:paraId="1469AB50" w14:textId="77777777" w:rsidR="00BA28E0" w:rsidRPr="002D5D2E" w:rsidRDefault="00BA28E0" w:rsidP="002D5D2E">
      <w:pPr>
        <w:pStyle w:val="NormalWeb"/>
        <w:spacing w:before="0" w:beforeAutospacing="0" w:after="0" w:afterAutospacing="0" w:line="480" w:lineRule="auto"/>
        <w:rPr>
          <w:rFonts w:ascii="Arial" w:hAnsi="Arial" w:cs="Arial"/>
        </w:rPr>
      </w:pPr>
      <w:r w:rsidRPr="002D5D2E">
        <w:rPr>
          <w:rFonts w:ascii="Arial" w:hAnsi="Arial" w:cs="Arial"/>
        </w:rPr>
        <w:lastRenderedPageBreak/>
        <w:t> </w:t>
      </w:r>
    </w:p>
    <w:p w14:paraId="34DDC606" w14:textId="5C0951CD" w:rsidR="00BA28E0" w:rsidRPr="002D5D2E" w:rsidRDefault="00BA28E0" w:rsidP="002D5D2E">
      <w:pPr>
        <w:pStyle w:val="NormalWeb"/>
        <w:spacing w:before="0" w:beforeAutospacing="0" w:after="0" w:afterAutospacing="0" w:line="480" w:lineRule="auto"/>
        <w:rPr>
          <w:rFonts w:ascii="Arial" w:hAnsi="Arial" w:cs="Arial"/>
        </w:rPr>
      </w:pPr>
      <w:r w:rsidRPr="002D5D2E">
        <w:rPr>
          <w:rFonts w:ascii="Arial" w:hAnsi="Arial" w:cs="Arial"/>
        </w:rPr>
        <w:t xml:space="preserve">In addition to providing support to the victim, it is also important that offenders are offered support during the investigative process as their welfare and wellbeing is important. I personally believe in treating everyone fairly and with respect even when there is a serious allegation against them. When dealing with the offender, he remained calm and compliant therefore I used only the level of force necessary for my own and my colleague's protection. Using excessive force when dealing with members of the public can tarnish the police force's reputation and negatively impact the person that is being dealt with therefore by only using the relevant level of force the situation does not escalate. I also believe in completing work in a timely and efficient manner. During this investigation I made sure not to delay anything unnecessarily for example I prepared for interview beforehand therefore when the offender was brought into custody there were no delays in his processing, and he was not kept in custody for any longer than necessary. Sometimes this is taken out of our control such as when a solicitor is requested, or an interpreter is required however I always do what I can on my part to ensure no offenders are held in custody for a long time without good reason. </w:t>
      </w:r>
    </w:p>
    <w:p w14:paraId="1D23063A" w14:textId="77777777" w:rsidR="00684360" w:rsidRPr="002D5D2E" w:rsidRDefault="00684360" w:rsidP="002D5D2E">
      <w:pPr>
        <w:pStyle w:val="NormalWeb"/>
        <w:spacing w:before="0" w:beforeAutospacing="0" w:after="0" w:afterAutospacing="0" w:line="480" w:lineRule="auto"/>
        <w:rPr>
          <w:rFonts w:ascii="Arial" w:hAnsi="Arial" w:cs="Arial"/>
        </w:rPr>
      </w:pPr>
    </w:p>
    <w:p w14:paraId="48D71BB9" w14:textId="5EBC298B" w:rsidR="007C22B1" w:rsidRPr="002D5D2E" w:rsidRDefault="00803B11" w:rsidP="002D5D2E">
      <w:pPr>
        <w:pStyle w:val="NormalWeb"/>
        <w:spacing w:before="0" w:beforeAutospacing="0" w:after="0" w:afterAutospacing="0" w:line="480" w:lineRule="auto"/>
        <w:rPr>
          <w:rFonts w:ascii="Arial" w:hAnsi="Arial" w:cs="Arial"/>
        </w:rPr>
      </w:pPr>
      <w:r w:rsidRPr="002D5D2E">
        <w:rPr>
          <w:rFonts w:ascii="Arial" w:hAnsi="Arial" w:cs="Arial"/>
        </w:rPr>
        <w:t xml:space="preserve">To conclude, </w:t>
      </w:r>
      <w:r w:rsidR="007C22B1" w:rsidRPr="002D5D2E">
        <w:rPr>
          <w:rFonts w:ascii="Arial" w:hAnsi="Arial" w:cs="Arial"/>
        </w:rPr>
        <w:t xml:space="preserve">for an investigation to be a success it is important that police use an array of skills such as that of evidence gathering in combination with communication skills to support the victims and witnesses through the investigation. As was done during this investigation, the fast-track actions must be completed efficiently in the first instance to ensure that evidence is not lost. This requires cooperation from different departments within the police along with cooperation from members of </w:t>
      </w:r>
      <w:r w:rsidR="005510E9" w:rsidRPr="002D5D2E">
        <w:rPr>
          <w:rFonts w:ascii="Arial" w:hAnsi="Arial" w:cs="Arial"/>
        </w:rPr>
        <w:t xml:space="preserve">the public therefore it is vital that policing values and ethics are upheld. During this </w:t>
      </w:r>
      <w:r w:rsidR="005510E9" w:rsidRPr="002D5D2E">
        <w:rPr>
          <w:rFonts w:ascii="Arial" w:hAnsi="Arial" w:cs="Arial"/>
        </w:rPr>
        <w:lastRenderedPageBreak/>
        <w:t xml:space="preserve">investigation, the fast-track actions were completed successfully leading to the identification and the apprehension of the offender. </w:t>
      </w:r>
    </w:p>
    <w:p w14:paraId="54DAD476" w14:textId="77777777" w:rsidR="00684360" w:rsidRPr="002D5D2E" w:rsidRDefault="00684360" w:rsidP="002D5D2E">
      <w:pPr>
        <w:pStyle w:val="NormalWeb"/>
        <w:spacing w:before="0" w:beforeAutospacing="0" w:after="0" w:afterAutospacing="0" w:line="480" w:lineRule="auto"/>
        <w:rPr>
          <w:rFonts w:ascii="Arial" w:hAnsi="Arial" w:cs="Arial"/>
        </w:rPr>
      </w:pPr>
    </w:p>
    <w:p w14:paraId="6A15970B" w14:textId="11E4F149" w:rsidR="00684360" w:rsidRPr="002D5D2E" w:rsidRDefault="005510E9" w:rsidP="002D5D2E">
      <w:pPr>
        <w:pStyle w:val="NormalWeb"/>
        <w:spacing w:before="0" w:beforeAutospacing="0" w:after="0" w:afterAutospacing="0" w:line="480" w:lineRule="auto"/>
        <w:rPr>
          <w:rFonts w:ascii="Arial" w:hAnsi="Arial" w:cs="Arial"/>
        </w:rPr>
      </w:pPr>
      <w:r w:rsidRPr="002D5D2E">
        <w:rPr>
          <w:rFonts w:ascii="Arial" w:hAnsi="Arial" w:cs="Arial"/>
        </w:rPr>
        <w:t>The investigation did not end with the apprehension of the offender therefore it was vital that the victim felt supported the entire way through the investigation. Through frequent, meaningful communication the victim remained supportive of the investigation and her trust and confidence in the police increased.</w:t>
      </w:r>
      <w:r w:rsidR="00684360" w:rsidRPr="002D5D2E">
        <w:rPr>
          <w:rFonts w:ascii="Arial" w:hAnsi="Arial" w:cs="Arial"/>
        </w:rPr>
        <w:t xml:space="preserve"> </w:t>
      </w:r>
      <w:r w:rsidR="00684360" w:rsidRPr="002D5D2E">
        <w:rPr>
          <w:rFonts w:ascii="Arial" w:hAnsi="Arial" w:cs="Arial"/>
        </w:rPr>
        <w:t xml:space="preserve">When dealing with victims, witnesses, offenders, and every member of the public that I came across during this investigation and all other investigations, I ensure that I remain proud, </w:t>
      </w:r>
      <w:proofErr w:type="gramStart"/>
      <w:r w:rsidR="00684360" w:rsidRPr="002D5D2E">
        <w:rPr>
          <w:rFonts w:ascii="Arial" w:hAnsi="Arial" w:cs="Arial"/>
        </w:rPr>
        <w:t>professional</w:t>
      </w:r>
      <w:proofErr w:type="gramEnd"/>
      <w:r w:rsidR="00684360" w:rsidRPr="002D5D2E">
        <w:rPr>
          <w:rFonts w:ascii="Arial" w:hAnsi="Arial" w:cs="Arial"/>
        </w:rPr>
        <w:t xml:space="preserve"> and positive as per my own values and the values of South Wales Police (South Wales Police, 2024).  By following these values, a stronger relationship is formed between the public and the police which is necessary as policing in the United Kingdom follows the principle of policing by consent. This means that the power of the police comes from the common consent of the public as opposed to the power of the state (College of Policing, 2015).</w:t>
      </w:r>
      <w:r w:rsidR="00684360" w:rsidRPr="002D5D2E">
        <w:rPr>
          <w:rFonts w:ascii="Arial" w:hAnsi="Arial" w:cs="Arial"/>
        </w:rPr>
        <w:t xml:space="preserve"> From my actions during this investigation, I believe that all members of the public involved felt supported and valued whether they were a victim, witness, suspect or if they </w:t>
      </w:r>
      <w:proofErr w:type="gramStart"/>
      <w:r w:rsidR="00684360" w:rsidRPr="002D5D2E">
        <w:rPr>
          <w:rFonts w:ascii="Arial" w:hAnsi="Arial" w:cs="Arial"/>
        </w:rPr>
        <w:t>had no involvement</w:t>
      </w:r>
      <w:proofErr w:type="gramEnd"/>
      <w:r w:rsidR="00684360" w:rsidRPr="002D5D2E">
        <w:rPr>
          <w:rFonts w:ascii="Arial" w:hAnsi="Arial" w:cs="Arial"/>
        </w:rPr>
        <w:t xml:space="preserve"> at all in the investigation.  </w:t>
      </w:r>
    </w:p>
    <w:p w14:paraId="21DA0D37" w14:textId="59507B94" w:rsidR="005510E9" w:rsidRDefault="005510E9" w:rsidP="008D730B">
      <w:pPr>
        <w:pStyle w:val="NormalWeb"/>
        <w:spacing w:before="0" w:beforeAutospacing="0" w:after="0" w:afterAutospacing="0"/>
        <w:rPr>
          <w:rFonts w:ascii="Calibri" w:hAnsi="Calibri" w:cs="Calibri"/>
          <w:sz w:val="22"/>
          <w:szCs w:val="22"/>
        </w:rPr>
      </w:pPr>
    </w:p>
    <w:p w14:paraId="3A682060" w14:textId="77777777" w:rsidR="005510E9" w:rsidRDefault="005510E9" w:rsidP="008D730B">
      <w:pPr>
        <w:pStyle w:val="NormalWeb"/>
        <w:spacing w:before="0" w:beforeAutospacing="0" w:after="0" w:afterAutospacing="0"/>
        <w:rPr>
          <w:rFonts w:ascii="Calibri" w:hAnsi="Calibri" w:cs="Calibri"/>
          <w:sz w:val="22"/>
          <w:szCs w:val="22"/>
        </w:rPr>
      </w:pPr>
    </w:p>
    <w:p w14:paraId="08427130" w14:textId="77777777" w:rsidR="00520A1A" w:rsidRDefault="00520A1A" w:rsidP="009370AE">
      <w:pPr>
        <w:ind w:right="237"/>
        <w:jc w:val="both"/>
        <w:rPr>
          <w:b/>
          <w:bCs/>
          <w:color w:val="000000" w:themeColor="text1"/>
          <w:sz w:val="28"/>
          <w:szCs w:val="28"/>
        </w:rPr>
      </w:pPr>
    </w:p>
    <w:p w14:paraId="3B63EC01" w14:textId="604178BD" w:rsidR="00520A1A" w:rsidRDefault="00DE36D3" w:rsidP="009370AE">
      <w:pPr>
        <w:ind w:right="237"/>
        <w:jc w:val="both"/>
        <w:rPr>
          <w:b/>
          <w:bCs/>
          <w:color w:val="000000" w:themeColor="text1"/>
          <w:sz w:val="28"/>
          <w:szCs w:val="28"/>
        </w:rPr>
      </w:pPr>
      <w:r>
        <w:rPr>
          <w:b/>
          <w:bCs/>
          <w:color w:val="000000" w:themeColor="text1"/>
          <w:sz w:val="28"/>
          <w:szCs w:val="28"/>
        </w:rPr>
        <w:t>Word count: 20</w:t>
      </w:r>
      <w:r w:rsidR="00684360">
        <w:rPr>
          <w:b/>
          <w:bCs/>
          <w:color w:val="000000" w:themeColor="text1"/>
          <w:sz w:val="28"/>
          <w:szCs w:val="28"/>
        </w:rPr>
        <w:t>7</w:t>
      </w:r>
      <w:r>
        <w:rPr>
          <w:b/>
          <w:bCs/>
          <w:color w:val="000000" w:themeColor="text1"/>
          <w:sz w:val="28"/>
          <w:szCs w:val="28"/>
        </w:rPr>
        <w:t xml:space="preserve">3 </w:t>
      </w:r>
    </w:p>
    <w:p w14:paraId="54B508A2" w14:textId="77777777" w:rsidR="00520A1A" w:rsidRDefault="00520A1A" w:rsidP="009370AE">
      <w:pPr>
        <w:ind w:right="237"/>
        <w:jc w:val="both"/>
        <w:rPr>
          <w:b/>
          <w:bCs/>
          <w:color w:val="000000" w:themeColor="text1"/>
          <w:sz w:val="28"/>
          <w:szCs w:val="28"/>
        </w:rPr>
      </w:pPr>
    </w:p>
    <w:p w14:paraId="1F0CD655" w14:textId="77777777" w:rsidR="00520A1A" w:rsidRDefault="00520A1A" w:rsidP="009370AE">
      <w:pPr>
        <w:ind w:right="237"/>
        <w:jc w:val="both"/>
        <w:rPr>
          <w:b/>
          <w:bCs/>
          <w:color w:val="000000" w:themeColor="text1"/>
          <w:sz w:val="28"/>
          <w:szCs w:val="28"/>
        </w:rPr>
      </w:pPr>
    </w:p>
    <w:p w14:paraId="41549059" w14:textId="77777777" w:rsidR="00520A1A" w:rsidRDefault="00520A1A" w:rsidP="009370AE">
      <w:pPr>
        <w:ind w:right="237"/>
        <w:jc w:val="both"/>
        <w:rPr>
          <w:b/>
          <w:bCs/>
          <w:color w:val="000000" w:themeColor="text1"/>
          <w:sz w:val="28"/>
          <w:szCs w:val="28"/>
        </w:rPr>
      </w:pPr>
    </w:p>
    <w:p w14:paraId="00D924BF" w14:textId="77777777" w:rsidR="00520A1A" w:rsidRDefault="00520A1A" w:rsidP="009370AE">
      <w:pPr>
        <w:ind w:right="237"/>
        <w:jc w:val="both"/>
        <w:rPr>
          <w:b/>
          <w:bCs/>
          <w:color w:val="000000" w:themeColor="text1"/>
          <w:sz w:val="28"/>
          <w:szCs w:val="28"/>
        </w:rPr>
      </w:pPr>
    </w:p>
    <w:p w14:paraId="70E4042A" w14:textId="77777777" w:rsidR="00520A1A" w:rsidRDefault="00520A1A" w:rsidP="009370AE">
      <w:pPr>
        <w:ind w:right="237"/>
        <w:jc w:val="both"/>
        <w:rPr>
          <w:b/>
          <w:bCs/>
          <w:color w:val="000000" w:themeColor="text1"/>
          <w:sz w:val="28"/>
          <w:szCs w:val="28"/>
        </w:rPr>
      </w:pPr>
    </w:p>
    <w:p w14:paraId="410C1872" w14:textId="77777777" w:rsidR="00520A1A" w:rsidRDefault="00520A1A" w:rsidP="009370AE">
      <w:pPr>
        <w:ind w:right="237"/>
        <w:jc w:val="both"/>
        <w:rPr>
          <w:b/>
          <w:bCs/>
          <w:color w:val="000000" w:themeColor="text1"/>
          <w:sz w:val="28"/>
          <w:szCs w:val="28"/>
        </w:rPr>
      </w:pPr>
    </w:p>
    <w:p w14:paraId="4DA485ED" w14:textId="77777777" w:rsidR="00520A1A" w:rsidRDefault="00520A1A" w:rsidP="009370AE">
      <w:pPr>
        <w:ind w:right="237"/>
        <w:jc w:val="both"/>
        <w:rPr>
          <w:b/>
          <w:bCs/>
          <w:color w:val="000000" w:themeColor="text1"/>
          <w:sz w:val="28"/>
          <w:szCs w:val="28"/>
        </w:rPr>
      </w:pPr>
    </w:p>
    <w:p w14:paraId="474529C3" w14:textId="77777777" w:rsidR="002D5D2E" w:rsidRDefault="002D5D2E" w:rsidP="5CE196A1">
      <w:pPr>
        <w:rPr>
          <w:b/>
          <w:bCs/>
          <w:color w:val="000000" w:themeColor="text1"/>
          <w:sz w:val="28"/>
          <w:szCs w:val="28"/>
        </w:rPr>
      </w:pPr>
    </w:p>
    <w:p w14:paraId="1ADEFAE5" w14:textId="6C104572"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0536B6F" w14:textId="0B4D5865" w:rsidR="00BC3C8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FAE5129" w14:textId="77777777" w:rsidR="00DF6DDC" w:rsidRDefault="00DF6DDC" w:rsidP="00EA28F1">
      <w:pPr>
        <w:keepNext/>
        <w:spacing w:before="240" w:after="60"/>
        <w:ind w:right="237"/>
        <w:jc w:val="both"/>
        <w:rPr>
          <w:sz w:val="24"/>
          <w:szCs w:val="24"/>
        </w:rPr>
      </w:pPr>
    </w:p>
    <w:p w14:paraId="350B2705" w14:textId="07E4C3AF" w:rsidR="004A0447"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Ashby, M.P. (2017) ‘The value of CCTV surveillance cameras as an investigative tool: An empirical analysis’, </w:t>
      </w:r>
      <w:r w:rsidRPr="00DF6DDC">
        <w:rPr>
          <w:rFonts w:ascii="Arial" w:hAnsi="Arial" w:cs="Arial"/>
          <w:i/>
          <w:iCs/>
        </w:rPr>
        <w:t xml:space="preserve">European Journal on Criminal </w:t>
      </w:r>
      <w:proofErr w:type="gramStart"/>
      <w:r w:rsidRPr="00DF6DDC">
        <w:rPr>
          <w:rFonts w:ascii="Arial" w:hAnsi="Arial" w:cs="Arial"/>
          <w:i/>
          <w:iCs/>
        </w:rPr>
        <w:t>Policy</w:t>
      </w:r>
      <w:proofErr w:type="gramEnd"/>
      <w:r w:rsidRPr="00DF6DDC">
        <w:rPr>
          <w:rFonts w:ascii="Arial" w:hAnsi="Arial" w:cs="Arial"/>
          <w:i/>
          <w:iCs/>
        </w:rPr>
        <w:t xml:space="preserve"> and Research</w:t>
      </w:r>
      <w:r w:rsidRPr="00DF6DDC">
        <w:rPr>
          <w:rFonts w:ascii="Arial" w:hAnsi="Arial" w:cs="Arial"/>
        </w:rPr>
        <w:t>, 23(3), pp. 441–459. doi:10.1007/s10610-017-9341-6.</w:t>
      </w:r>
    </w:p>
    <w:p w14:paraId="3D1A130E" w14:textId="77777777" w:rsidR="004A0447" w:rsidRDefault="004A0447" w:rsidP="004A0447">
      <w:pPr>
        <w:pStyle w:val="NormalWeb"/>
        <w:spacing w:before="0" w:beforeAutospacing="0" w:after="0" w:afterAutospacing="0" w:line="480" w:lineRule="auto"/>
        <w:jc w:val="both"/>
        <w:rPr>
          <w:rFonts w:ascii="Arial" w:hAnsi="Arial" w:cs="Arial"/>
        </w:rPr>
      </w:pPr>
    </w:p>
    <w:p w14:paraId="5F53D6E0" w14:textId="4B71B65F" w:rsidR="00A605B3" w:rsidRDefault="00A605B3" w:rsidP="004A0447">
      <w:pPr>
        <w:pStyle w:val="NormalWeb"/>
        <w:spacing w:before="0" w:beforeAutospacing="0" w:after="0" w:afterAutospacing="0" w:line="480" w:lineRule="auto"/>
        <w:rPr>
          <w:rFonts w:ascii="Arial" w:hAnsi="Arial" w:cs="Arial"/>
        </w:rPr>
      </w:pPr>
      <w:r w:rsidRPr="00DF6DDC">
        <w:rPr>
          <w:rFonts w:ascii="Arial" w:hAnsi="Arial" w:cs="Arial"/>
        </w:rPr>
        <w:t xml:space="preserve">Barker, A. (2022) </w:t>
      </w:r>
      <w:r w:rsidRPr="00DF6DDC">
        <w:rPr>
          <w:rFonts w:ascii="Arial" w:hAnsi="Arial" w:cs="Arial"/>
          <w:i/>
          <w:iCs/>
        </w:rPr>
        <w:t>Improve your communication skills: How to build trust, be heard and communicate with confidence</w:t>
      </w:r>
      <w:r w:rsidRPr="00DF6DDC">
        <w:rPr>
          <w:rFonts w:ascii="Arial" w:hAnsi="Arial" w:cs="Arial"/>
        </w:rPr>
        <w:t>. London: Kogan Page.</w:t>
      </w:r>
    </w:p>
    <w:p w14:paraId="779E9D79" w14:textId="77777777" w:rsidR="004A0447" w:rsidRDefault="004A0447" w:rsidP="004A0447">
      <w:pPr>
        <w:pStyle w:val="NormalWeb"/>
        <w:spacing w:before="0" w:beforeAutospacing="0" w:after="180" w:afterAutospacing="0" w:line="480" w:lineRule="auto"/>
        <w:rPr>
          <w:rFonts w:ascii="Arial" w:hAnsi="Arial" w:cs="Arial"/>
        </w:rPr>
      </w:pPr>
    </w:p>
    <w:p w14:paraId="4AF7A2DD" w14:textId="2CE22949" w:rsidR="00A605B3" w:rsidRDefault="00A605B3" w:rsidP="004A0447">
      <w:pPr>
        <w:pStyle w:val="NormalWeb"/>
        <w:spacing w:before="0" w:beforeAutospacing="0" w:after="0" w:afterAutospacing="0" w:line="480" w:lineRule="auto"/>
        <w:rPr>
          <w:rFonts w:ascii="Arial" w:hAnsi="Arial" w:cs="Arial"/>
        </w:rPr>
      </w:pPr>
      <w:r w:rsidRPr="00DF6DDC">
        <w:rPr>
          <w:rFonts w:ascii="Arial" w:hAnsi="Arial" w:cs="Arial"/>
        </w:rPr>
        <w:t xml:space="preserve">Braga, A.A. </w:t>
      </w:r>
      <w:r w:rsidRPr="00DF6DDC">
        <w:rPr>
          <w:rFonts w:ascii="Arial" w:hAnsi="Arial" w:cs="Arial"/>
          <w:i/>
          <w:iCs/>
        </w:rPr>
        <w:t>et al.</w:t>
      </w:r>
      <w:r w:rsidRPr="00DF6DDC">
        <w:rPr>
          <w:rFonts w:ascii="Arial" w:hAnsi="Arial" w:cs="Arial"/>
        </w:rPr>
        <w:t xml:space="preserve"> (2019) ‘Hot spots policing of small geographic areas effects on crime’, </w:t>
      </w:r>
      <w:r w:rsidRPr="00DF6DDC">
        <w:rPr>
          <w:rFonts w:ascii="Arial" w:hAnsi="Arial" w:cs="Arial"/>
          <w:i/>
          <w:iCs/>
        </w:rPr>
        <w:t>Campbell Systematic Reviews</w:t>
      </w:r>
      <w:r w:rsidRPr="00DF6DDC">
        <w:rPr>
          <w:rFonts w:ascii="Arial" w:hAnsi="Arial" w:cs="Arial"/>
        </w:rPr>
        <w:t>, 15(3). doi:10.1002/cl2.1046.</w:t>
      </w:r>
    </w:p>
    <w:p w14:paraId="356BDFFA"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587D9FBD" w14:textId="78035EEC"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Bullock, K. (2012) ‘Community, intelligence-led policing and crime control’, </w:t>
      </w:r>
      <w:r w:rsidRPr="00DF6DDC">
        <w:rPr>
          <w:rFonts w:ascii="Arial" w:hAnsi="Arial" w:cs="Arial"/>
          <w:i/>
          <w:iCs/>
          <w:color w:val="333333"/>
          <w:shd w:val="clear" w:color="auto" w:fill="FFFFFF"/>
        </w:rPr>
        <w:t>Policing and Society</w:t>
      </w:r>
      <w:r w:rsidRPr="00DF6DDC">
        <w:rPr>
          <w:rFonts w:ascii="Arial" w:hAnsi="Arial" w:cs="Arial"/>
        </w:rPr>
        <w:t xml:space="preserve">, 23(2), pp. 125–144. </w:t>
      </w:r>
      <w:proofErr w:type="spellStart"/>
      <w:r w:rsidRPr="00DF6DDC">
        <w:rPr>
          <w:rFonts w:ascii="Arial" w:hAnsi="Arial" w:cs="Arial"/>
        </w:rPr>
        <w:t>doi</w:t>
      </w:r>
      <w:proofErr w:type="spellEnd"/>
      <w:r w:rsidRPr="00DF6DDC">
        <w:rPr>
          <w:rFonts w:ascii="Arial" w:hAnsi="Arial" w:cs="Arial"/>
        </w:rPr>
        <w:t>: 10.1080/10439463.2012.671822.</w:t>
      </w:r>
    </w:p>
    <w:p w14:paraId="6951FB32"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714E1FE6" w14:textId="7B56A40B"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Caring for Care (2023) </w:t>
      </w:r>
      <w:r w:rsidRPr="00DF6DDC">
        <w:rPr>
          <w:rFonts w:ascii="Arial" w:hAnsi="Arial" w:cs="Arial"/>
          <w:i/>
          <w:iCs/>
        </w:rPr>
        <w:t xml:space="preserve">Safeguarding vulnerable adults: Advocating for their </w:t>
      </w:r>
      <w:proofErr w:type="gramStart"/>
      <w:r w:rsidRPr="00DF6DDC">
        <w:rPr>
          <w:rFonts w:ascii="Arial" w:hAnsi="Arial" w:cs="Arial"/>
          <w:i/>
          <w:iCs/>
        </w:rPr>
        <w:t xml:space="preserve">protection </w:t>
      </w:r>
      <w:r w:rsidRPr="00DF6DDC">
        <w:rPr>
          <w:rFonts w:ascii="Arial" w:hAnsi="Arial" w:cs="Arial"/>
        </w:rPr>
        <w:t>,</w:t>
      </w:r>
      <w:proofErr w:type="gramEnd"/>
      <w:r w:rsidRPr="00DF6DDC">
        <w:rPr>
          <w:rFonts w:ascii="Arial" w:hAnsi="Arial" w:cs="Arial"/>
        </w:rPr>
        <w:t xml:space="preserve"> </w:t>
      </w:r>
      <w:r w:rsidRPr="00DF6DDC">
        <w:rPr>
          <w:rFonts w:ascii="Arial" w:hAnsi="Arial" w:cs="Arial"/>
          <w:i/>
          <w:iCs/>
        </w:rPr>
        <w:t>Caring For Care</w:t>
      </w:r>
      <w:r w:rsidRPr="00DF6DDC">
        <w:rPr>
          <w:rFonts w:ascii="Arial" w:hAnsi="Arial" w:cs="Arial"/>
        </w:rPr>
        <w:t xml:space="preserve">. Available at: </w:t>
      </w:r>
      <w:hyperlink r:id="rId21" w:anchor=":~:text=Vulnerable%20people%20face%20a%20multitude%20of%20challenges%20that,abuse%2C%20neglect%2C%20and%20barriers%20to%20healthcare%20and%20education" w:history="1">
        <w:r w:rsidRPr="00DF6DDC">
          <w:rPr>
            <w:rStyle w:val="Hyperlink"/>
            <w:rFonts w:ascii="Arial" w:hAnsi="Arial" w:cs="Arial"/>
          </w:rPr>
          <w:t>https://caringforcare.co.uk/safeguarding-vulnerable-adults/#:~:text=Vulnerable%20people%20face%20a%20multitude%20of%20challenges%20that,abuse%2C%20neglect%2C%20and%20barriers%20to%20healthcare%20and%20education</w:t>
        </w:r>
      </w:hyperlink>
      <w:r w:rsidRPr="00DF6DDC">
        <w:rPr>
          <w:rFonts w:ascii="Arial" w:hAnsi="Arial" w:cs="Arial"/>
        </w:rPr>
        <w:t>. (Accessed: 04 July 2024).</w:t>
      </w:r>
    </w:p>
    <w:p w14:paraId="76613E2D"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4B319776" w14:textId="6E64E244"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lastRenderedPageBreak/>
        <w:t xml:space="preserve">College of Policing (2013a) </w:t>
      </w:r>
      <w:r w:rsidRPr="00DF6DDC">
        <w:rPr>
          <w:rFonts w:ascii="Arial" w:hAnsi="Arial" w:cs="Arial"/>
          <w:i/>
          <w:iCs/>
        </w:rPr>
        <w:t>Automatic Number Plate Recognition (ANPR)</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2" w:history="1">
        <w:r w:rsidRPr="00DF6DDC">
          <w:rPr>
            <w:rStyle w:val="Hyperlink"/>
            <w:rFonts w:ascii="Arial" w:hAnsi="Arial" w:cs="Arial"/>
          </w:rPr>
          <w:t>https://www.college.police.uk/app/investigation/investigative-strategies/automatic-number-plate-recognition-anpr</w:t>
        </w:r>
      </w:hyperlink>
      <w:r w:rsidRPr="00DF6DDC">
        <w:rPr>
          <w:rFonts w:ascii="Arial" w:hAnsi="Arial" w:cs="Arial"/>
        </w:rPr>
        <w:t xml:space="preserve"> (Accessed: 16 July 2024).</w:t>
      </w:r>
    </w:p>
    <w:p w14:paraId="5B06F08E"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79522E51" w14:textId="4276B2B1" w:rsidR="002D5D2E"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College of Policing (2013b) </w:t>
      </w:r>
      <w:r w:rsidRPr="00DF6DDC">
        <w:rPr>
          <w:rFonts w:ascii="Arial" w:hAnsi="Arial" w:cs="Arial"/>
          <w:i/>
          <w:iCs/>
        </w:rPr>
        <w:t>Investigation process</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3" w:history="1">
        <w:r w:rsidRPr="00DF6DDC">
          <w:rPr>
            <w:rStyle w:val="Hyperlink"/>
            <w:rFonts w:ascii="Arial" w:hAnsi="Arial" w:cs="Arial"/>
          </w:rPr>
          <w:t>https://www.college.police.uk/app/investigation/investigation-process</w:t>
        </w:r>
      </w:hyperlink>
      <w:r w:rsidRPr="00DF6DDC">
        <w:rPr>
          <w:rFonts w:ascii="Arial" w:hAnsi="Arial" w:cs="Arial"/>
        </w:rPr>
        <w:t xml:space="preserve"> (Accessed: 04 July 2024).</w:t>
      </w:r>
    </w:p>
    <w:p w14:paraId="33D6FD0C" w14:textId="77777777" w:rsidR="004A0447" w:rsidRDefault="004A0447" w:rsidP="004A0447">
      <w:pPr>
        <w:pStyle w:val="NormalWeb"/>
        <w:spacing w:before="0" w:beforeAutospacing="0" w:after="0" w:afterAutospacing="0" w:line="480" w:lineRule="auto"/>
        <w:jc w:val="both"/>
        <w:rPr>
          <w:rFonts w:ascii="Arial" w:hAnsi="Arial" w:cs="Arial"/>
        </w:rPr>
      </w:pPr>
    </w:p>
    <w:p w14:paraId="3296A730" w14:textId="07A252E1"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College of Policing (2013c) </w:t>
      </w:r>
      <w:r w:rsidRPr="00DF6DDC">
        <w:rPr>
          <w:rFonts w:ascii="Arial" w:hAnsi="Arial" w:cs="Arial"/>
          <w:i/>
          <w:iCs/>
        </w:rPr>
        <w:t>Working with victims and witnesses</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4" w:history="1">
        <w:r w:rsidRPr="00DF6DDC">
          <w:rPr>
            <w:rStyle w:val="Hyperlink"/>
            <w:rFonts w:ascii="Arial" w:hAnsi="Arial" w:cs="Arial"/>
          </w:rPr>
          <w:t>https://www.college.police.uk/app/investigation/working-victims-and-witnesses</w:t>
        </w:r>
      </w:hyperlink>
      <w:r w:rsidRPr="00DF6DDC">
        <w:rPr>
          <w:rFonts w:ascii="Arial" w:hAnsi="Arial" w:cs="Arial"/>
        </w:rPr>
        <w:t xml:space="preserve"> (Accessed: 16 July 2024).</w:t>
      </w:r>
    </w:p>
    <w:p w14:paraId="4C4FC14F"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73AFC951" w14:textId="5EB219A6"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College of Policing (2015) </w:t>
      </w:r>
      <w:r w:rsidRPr="00DF6DDC">
        <w:rPr>
          <w:rFonts w:ascii="Arial" w:hAnsi="Arial" w:cs="Arial"/>
          <w:i/>
          <w:iCs/>
        </w:rPr>
        <w:t>Professional standards</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5" w:history="1">
        <w:r w:rsidRPr="00DF6DDC">
          <w:rPr>
            <w:rStyle w:val="Hyperlink"/>
            <w:rFonts w:ascii="Arial" w:hAnsi="Arial" w:cs="Arial"/>
          </w:rPr>
          <w:t>https://www.college.police.uk/app/professional-standards</w:t>
        </w:r>
      </w:hyperlink>
      <w:r w:rsidRPr="00DF6DDC">
        <w:rPr>
          <w:rFonts w:ascii="Arial" w:hAnsi="Arial" w:cs="Arial"/>
        </w:rPr>
        <w:t xml:space="preserve"> (Accessed: 16 July 2024).</w:t>
      </w:r>
    </w:p>
    <w:p w14:paraId="7423B7B8"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1E86FA34" w14:textId="718EDDFA" w:rsidR="002D5D2E"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College of Policing (2017) </w:t>
      </w:r>
      <w:r w:rsidRPr="00DF6DDC">
        <w:rPr>
          <w:rFonts w:ascii="Arial" w:hAnsi="Arial" w:cs="Arial"/>
          <w:i/>
          <w:iCs/>
        </w:rPr>
        <w:t>Forensics</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6" w:history="1">
        <w:r w:rsidRPr="00DF6DDC">
          <w:rPr>
            <w:rStyle w:val="Hyperlink"/>
            <w:rFonts w:ascii="Arial" w:hAnsi="Arial" w:cs="Arial"/>
          </w:rPr>
          <w:t>https://www.college.police.uk/app/investigation/forensics#:~:text=Dr%20Edmond%20Locard%20formulated%20the,leaves%20a%20trace%2C%20however%20minuscule</w:t>
        </w:r>
      </w:hyperlink>
      <w:r w:rsidRPr="00DF6DDC">
        <w:rPr>
          <w:rFonts w:ascii="Arial" w:hAnsi="Arial" w:cs="Arial"/>
        </w:rPr>
        <w:t>. (Accessed: 16 July 2024).</w:t>
      </w:r>
    </w:p>
    <w:p w14:paraId="6AD5FBF6" w14:textId="77777777" w:rsidR="004A0447" w:rsidRDefault="004A0447" w:rsidP="004A0447">
      <w:pPr>
        <w:pStyle w:val="NormalWeb"/>
        <w:spacing w:before="0" w:beforeAutospacing="0" w:after="180" w:afterAutospacing="0" w:line="480" w:lineRule="auto"/>
        <w:jc w:val="both"/>
        <w:rPr>
          <w:rFonts w:ascii="Arial" w:hAnsi="Arial" w:cs="Arial"/>
        </w:rPr>
      </w:pPr>
    </w:p>
    <w:p w14:paraId="1A89824E" w14:textId="10E6B683" w:rsidR="00A605B3"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College of Policing (2021) </w:t>
      </w:r>
      <w:r w:rsidRPr="00DF6DDC">
        <w:rPr>
          <w:rFonts w:ascii="Arial" w:hAnsi="Arial" w:cs="Arial"/>
          <w:i/>
          <w:iCs/>
        </w:rPr>
        <w:t>The effectiveness of visible police patrol</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7" w:history="1">
        <w:r w:rsidRPr="00DF6DDC">
          <w:rPr>
            <w:rStyle w:val="Hyperlink"/>
            <w:rFonts w:ascii="Arial" w:hAnsi="Arial" w:cs="Arial"/>
          </w:rPr>
          <w:t>https://www.college.police.uk/research/what-works-policing-reduce-crime/visible-police-patrol</w:t>
        </w:r>
      </w:hyperlink>
      <w:r w:rsidRPr="00DF6DDC">
        <w:rPr>
          <w:rFonts w:ascii="Arial" w:hAnsi="Arial" w:cs="Arial"/>
        </w:rPr>
        <w:t xml:space="preserve"> (Accessed: 04 July 2024).</w:t>
      </w:r>
    </w:p>
    <w:p w14:paraId="048FEC84" w14:textId="77777777" w:rsidR="004A0447" w:rsidRPr="00DF6DDC" w:rsidRDefault="004A0447" w:rsidP="004A0447">
      <w:pPr>
        <w:pStyle w:val="NormalWeb"/>
        <w:spacing w:before="0" w:beforeAutospacing="0" w:after="180" w:afterAutospacing="0" w:line="480" w:lineRule="auto"/>
        <w:jc w:val="both"/>
        <w:rPr>
          <w:rFonts w:ascii="Arial" w:hAnsi="Arial" w:cs="Arial"/>
        </w:rPr>
      </w:pPr>
    </w:p>
    <w:p w14:paraId="6D06AB13" w14:textId="24513779"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lastRenderedPageBreak/>
        <w:t xml:space="preserve">College of Policing (2023a) </w:t>
      </w:r>
      <w:r w:rsidRPr="00DF6DDC">
        <w:rPr>
          <w:rFonts w:ascii="Arial" w:hAnsi="Arial" w:cs="Arial"/>
          <w:i/>
          <w:iCs/>
        </w:rPr>
        <w:t>Definitions</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8" w:history="1">
        <w:r w:rsidRPr="00DF6DDC">
          <w:rPr>
            <w:rStyle w:val="Hyperlink"/>
            <w:rFonts w:ascii="Arial" w:hAnsi="Arial" w:cs="Arial"/>
          </w:rPr>
          <w:t>https://www.college.police.uk/guidance/residential-burglary/definitions</w:t>
        </w:r>
      </w:hyperlink>
      <w:r w:rsidRPr="00DF6DDC">
        <w:rPr>
          <w:rFonts w:ascii="Arial" w:hAnsi="Arial" w:cs="Arial"/>
        </w:rPr>
        <w:t xml:space="preserve"> (Accessed: 04 July 2024).</w:t>
      </w:r>
    </w:p>
    <w:p w14:paraId="3356DDE6"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623C9B51" w14:textId="0DF4657B"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College of Policing (2023b) </w:t>
      </w:r>
      <w:r w:rsidRPr="00DF6DDC">
        <w:rPr>
          <w:rFonts w:ascii="Arial" w:hAnsi="Arial" w:cs="Arial"/>
          <w:i/>
          <w:iCs/>
        </w:rPr>
        <w:t>Measures to reduce repeat victimisation – burglary</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29" w:history="1">
        <w:r w:rsidRPr="00DF6DDC">
          <w:rPr>
            <w:rStyle w:val="Hyperlink"/>
            <w:rFonts w:ascii="Arial" w:hAnsi="Arial" w:cs="Arial"/>
          </w:rPr>
          <w:t>https://www.college.police.uk/research/crime-reduction-toolkit/measures-reduce-repeat-victimisation-burglary</w:t>
        </w:r>
      </w:hyperlink>
      <w:r w:rsidRPr="00DF6DDC">
        <w:rPr>
          <w:rFonts w:ascii="Arial" w:hAnsi="Arial" w:cs="Arial"/>
        </w:rPr>
        <w:t xml:space="preserve"> (Accessed: 04 July 2024).</w:t>
      </w:r>
    </w:p>
    <w:p w14:paraId="55194194"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30D41AD0" w14:textId="50CBF59F"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College of Policing (2024) </w:t>
      </w:r>
      <w:r w:rsidRPr="00DF6DDC">
        <w:rPr>
          <w:rFonts w:ascii="Arial" w:hAnsi="Arial" w:cs="Arial"/>
          <w:i/>
          <w:iCs/>
        </w:rPr>
        <w:t>CCTV</w:t>
      </w:r>
      <w:r w:rsidRPr="00DF6DDC">
        <w:rPr>
          <w:rFonts w:ascii="Arial" w:hAnsi="Arial" w:cs="Arial"/>
        </w:rPr>
        <w:t xml:space="preserve">, </w:t>
      </w:r>
      <w:r w:rsidRPr="00DF6DDC">
        <w:rPr>
          <w:rFonts w:ascii="Arial" w:hAnsi="Arial" w:cs="Arial"/>
          <w:i/>
          <w:iCs/>
        </w:rPr>
        <w:t>College of Policing</w:t>
      </w:r>
      <w:r w:rsidRPr="00DF6DDC">
        <w:rPr>
          <w:rFonts w:ascii="Arial" w:hAnsi="Arial" w:cs="Arial"/>
        </w:rPr>
        <w:t xml:space="preserve">. Available at: </w:t>
      </w:r>
      <w:hyperlink r:id="rId30" w:history="1">
        <w:r w:rsidRPr="00DF6DDC">
          <w:rPr>
            <w:rStyle w:val="Hyperlink"/>
            <w:rFonts w:ascii="Arial" w:hAnsi="Arial" w:cs="Arial"/>
          </w:rPr>
          <w:t>https://www.college.police.uk/guidance/investigation/investigative-strategies/cctv</w:t>
        </w:r>
      </w:hyperlink>
      <w:r w:rsidRPr="00DF6DDC">
        <w:rPr>
          <w:rFonts w:ascii="Arial" w:hAnsi="Arial" w:cs="Arial"/>
        </w:rPr>
        <w:t xml:space="preserve"> (Accessed: 16 July 2024).</w:t>
      </w:r>
    </w:p>
    <w:p w14:paraId="1ECCBF14"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5273B7E4" w14:textId="3B9AAD67" w:rsidR="002D5D2E"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CPS (2007) </w:t>
      </w:r>
      <w:r w:rsidRPr="00DF6DDC">
        <w:rPr>
          <w:rFonts w:ascii="Arial" w:hAnsi="Arial" w:cs="Arial"/>
          <w:i/>
          <w:iCs/>
        </w:rPr>
        <w:t>Criminal damage</w:t>
      </w:r>
      <w:r w:rsidRPr="00DF6DDC">
        <w:rPr>
          <w:rFonts w:ascii="Arial" w:hAnsi="Arial" w:cs="Arial"/>
        </w:rPr>
        <w:t xml:space="preserve">, </w:t>
      </w:r>
      <w:r w:rsidRPr="00DF6DDC">
        <w:rPr>
          <w:rFonts w:ascii="Arial" w:hAnsi="Arial" w:cs="Arial"/>
          <w:i/>
          <w:iCs/>
        </w:rPr>
        <w:t>Criminal Damage | The Crown Prosecution Service</w:t>
      </w:r>
      <w:r w:rsidRPr="00DF6DDC">
        <w:rPr>
          <w:rFonts w:ascii="Arial" w:hAnsi="Arial" w:cs="Arial"/>
        </w:rPr>
        <w:t xml:space="preserve">. Available at: </w:t>
      </w:r>
      <w:hyperlink r:id="rId31" w:history="1">
        <w:r w:rsidRPr="00DF6DDC">
          <w:rPr>
            <w:rStyle w:val="Hyperlink"/>
            <w:rFonts w:ascii="Arial" w:hAnsi="Arial" w:cs="Arial"/>
          </w:rPr>
          <w:t>https://cps.gov.uk/legal-guidance/criminal-damage</w:t>
        </w:r>
      </w:hyperlink>
      <w:r w:rsidRPr="00DF6DDC">
        <w:rPr>
          <w:rFonts w:ascii="Arial" w:hAnsi="Arial" w:cs="Arial"/>
        </w:rPr>
        <w:t xml:space="preserve"> (Accessed: 16 July 2024).</w:t>
      </w:r>
    </w:p>
    <w:p w14:paraId="1E69BC0D" w14:textId="77777777" w:rsidR="004A0447" w:rsidRDefault="004A0447" w:rsidP="004A0447">
      <w:pPr>
        <w:pStyle w:val="NormalWeb"/>
        <w:spacing w:before="0" w:beforeAutospacing="0" w:after="180" w:afterAutospacing="0" w:line="480" w:lineRule="auto"/>
        <w:jc w:val="both"/>
        <w:rPr>
          <w:rFonts w:ascii="Arial" w:hAnsi="Arial" w:cs="Arial"/>
        </w:rPr>
      </w:pPr>
    </w:p>
    <w:p w14:paraId="536500B0" w14:textId="72D78E1C" w:rsidR="00A605B3"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CPS (2022) </w:t>
      </w:r>
      <w:r w:rsidRPr="00DF6DDC">
        <w:rPr>
          <w:rFonts w:ascii="Arial" w:hAnsi="Arial" w:cs="Arial"/>
          <w:i/>
          <w:iCs/>
        </w:rPr>
        <w:t>Public order offences incorporating the charging standard</w:t>
      </w:r>
      <w:r w:rsidRPr="00DF6DDC">
        <w:rPr>
          <w:rFonts w:ascii="Arial" w:hAnsi="Arial" w:cs="Arial"/>
        </w:rPr>
        <w:t xml:space="preserve">, </w:t>
      </w:r>
      <w:r w:rsidRPr="00DF6DDC">
        <w:rPr>
          <w:rFonts w:ascii="Arial" w:hAnsi="Arial" w:cs="Arial"/>
          <w:i/>
          <w:iCs/>
        </w:rPr>
        <w:t>Public Order Offences incorporating the Charging Standard | The Crown Prosecution Service</w:t>
      </w:r>
      <w:r w:rsidRPr="00DF6DDC">
        <w:rPr>
          <w:rFonts w:ascii="Arial" w:hAnsi="Arial" w:cs="Arial"/>
        </w:rPr>
        <w:t xml:space="preserve">. Available at: </w:t>
      </w:r>
      <w:hyperlink r:id="rId32" w:history="1">
        <w:r w:rsidRPr="00DF6DDC">
          <w:rPr>
            <w:rStyle w:val="Hyperlink"/>
            <w:rFonts w:ascii="Arial" w:hAnsi="Arial" w:cs="Arial"/>
          </w:rPr>
          <w:t>https://www.cps.gov.uk/legal-guidance/public-order-offences-incorporating-charging-standard</w:t>
        </w:r>
      </w:hyperlink>
      <w:r w:rsidRPr="00DF6DDC">
        <w:rPr>
          <w:rFonts w:ascii="Arial" w:hAnsi="Arial" w:cs="Arial"/>
        </w:rPr>
        <w:t xml:space="preserve"> (Accessed: 16 July 2024).</w:t>
      </w:r>
    </w:p>
    <w:p w14:paraId="50CD00D8" w14:textId="77777777" w:rsidR="004A0447" w:rsidRDefault="004A0447" w:rsidP="004A0447">
      <w:pPr>
        <w:pStyle w:val="NormalWeb"/>
        <w:spacing w:before="0" w:beforeAutospacing="0" w:after="180" w:afterAutospacing="0" w:line="480" w:lineRule="auto"/>
        <w:jc w:val="both"/>
        <w:rPr>
          <w:rFonts w:ascii="Arial" w:hAnsi="Arial" w:cs="Arial"/>
        </w:rPr>
      </w:pPr>
    </w:p>
    <w:p w14:paraId="64D848AF" w14:textId="37FB1DB0" w:rsidR="00A605B3"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CPS (2023) </w:t>
      </w:r>
      <w:r w:rsidRPr="00DF6DDC">
        <w:rPr>
          <w:rFonts w:ascii="Arial" w:hAnsi="Arial" w:cs="Arial"/>
          <w:i/>
          <w:iCs/>
        </w:rPr>
        <w:t>Bail</w:t>
      </w:r>
      <w:r w:rsidRPr="00DF6DDC">
        <w:rPr>
          <w:rFonts w:ascii="Arial" w:hAnsi="Arial" w:cs="Arial"/>
        </w:rPr>
        <w:t xml:space="preserve">, </w:t>
      </w:r>
      <w:r w:rsidRPr="00DF6DDC">
        <w:rPr>
          <w:rFonts w:ascii="Arial" w:hAnsi="Arial" w:cs="Arial"/>
          <w:i/>
          <w:iCs/>
        </w:rPr>
        <w:t>Bail | The Crown Prosecution Service</w:t>
      </w:r>
      <w:r w:rsidRPr="00DF6DDC">
        <w:rPr>
          <w:rFonts w:ascii="Arial" w:hAnsi="Arial" w:cs="Arial"/>
        </w:rPr>
        <w:t xml:space="preserve">. Available at: </w:t>
      </w:r>
      <w:hyperlink r:id="rId33" w:history="1">
        <w:r w:rsidRPr="00DF6DDC">
          <w:rPr>
            <w:rStyle w:val="Hyperlink"/>
            <w:rFonts w:ascii="Arial" w:hAnsi="Arial" w:cs="Arial"/>
          </w:rPr>
          <w:t>https://www.cps.gov.uk/legal-guidance/bail</w:t>
        </w:r>
      </w:hyperlink>
      <w:r w:rsidRPr="00DF6DDC">
        <w:rPr>
          <w:rFonts w:ascii="Arial" w:hAnsi="Arial" w:cs="Arial"/>
        </w:rPr>
        <w:t xml:space="preserve"> (Accessed: 04 July 2024).</w:t>
      </w:r>
    </w:p>
    <w:p w14:paraId="7DD03D94" w14:textId="77777777" w:rsidR="004A0447" w:rsidRPr="00DF6DDC" w:rsidRDefault="004A0447" w:rsidP="004A0447">
      <w:pPr>
        <w:pStyle w:val="NormalWeb"/>
        <w:spacing w:before="0" w:beforeAutospacing="0" w:after="180" w:afterAutospacing="0" w:line="480" w:lineRule="auto"/>
        <w:jc w:val="both"/>
        <w:rPr>
          <w:rFonts w:ascii="Arial" w:hAnsi="Arial" w:cs="Arial"/>
        </w:rPr>
      </w:pPr>
    </w:p>
    <w:p w14:paraId="38B753D7" w14:textId="77777777" w:rsidR="004A0447" w:rsidRDefault="00A605B3" w:rsidP="004A0447">
      <w:pPr>
        <w:pStyle w:val="NormalWeb"/>
        <w:spacing w:before="0" w:beforeAutospacing="0" w:after="180" w:afterAutospacing="0" w:line="480" w:lineRule="auto"/>
        <w:jc w:val="both"/>
        <w:rPr>
          <w:rFonts w:ascii="Arial" w:hAnsi="Arial" w:cs="Arial"/>
        </w:rPr>
      </w:pPr>
      <w:proofErr w:type="spellStart"/>
      <w:r w:rsidRPr="00DF6DDC">
        <w:rPr>
          <w:rFonts w:ascii="Arial" w:hAnsi="Arial" w:cs="Arial"/>
        </w:rPr>
        <w:t>Gallupe</w:t>
      </w:r>
      <w:proofErr w:type="spellEnd"/>
      <w:r w:rsidRPr="00DF6DDC">
        <w:rPr>
          <w:rFonts w:ascii="Arial" w:hAnsi="Arial" w:cs="Arial"/>
        </w:rPr>
        <w:t xml:space="preserve">, O., </w:t>
      </w:r>
      <w:proofErr w:type="spellStart"/>
      <w:r w:rsidRPr="00DF6DDC">
        <w:rPr>
          <w:rFonts w:ascii="Arial" w:hAnsi="Arial" w:cs="Arial"/>
        </w:rPr>
        <w:t>McLevey</w:t>
      </w:r>
      <w:proofErr w:type="spellEnd"/>
      <w:r w:rsidRPr="00DF6DDC">
        <w:rPr>
          <w:rFonts w:ascii="Arial" w:hAnsi="Arial" w:cs="Arial"/>
        </w:rPr>
        <w:t xml:space="preserve">, J. and Brown, S. (2018) ‘Selection and influence: A meta-analysis of the association between Peer and Personal Offending’, </w:t>
      </w:r>
      <w:r w:rsidRPr="00DF6DDC">
        <w:rPr>
          <w:rFonts w:ascii="Arial" w:hAnsi="Arial" w:cs="Arial"/>
          <w:i/>
          <w:iCs/>
        </w:rPr>
        <w:t>Journal of Quantitative Criminology</w:t>
      </w:r>
      <w:r w:rsidRPr="00DF6DDC">
        <w:rPr>
          <w:rFonts w:ascii="Arial" w:hAnsi="Arial" w:cs="Arial"/>
        </w:rPr>
        <w:t xml:space="preserve">, 35(2), pp. 313–335. doi:10.1007/s10940-018-9384-y. </w:t>
      </w:r>
    </w:p>
    <w:p w14:paraId="744B3BC1" w14:textId="77777777" w:rsidR="004A0447" w:rsidRDefault="004A0447" w:rsidP="004A0447">
      <w:pPr>
        <w:pStyle w:val="NormalWeb"/>
        <w:spacing w:before="0" w:beforeAutospacing="0" w:after="180" w:afterAutospacing="0" w:line="480" w:lineRule="auto"/>
        <w:jc w:val="both"/>
        <w:rPr>
          <w:rFonts w:ascii="Arial" w:hAnsi="Arial" w:cs="Arial"/>
        </w:rPr>
      </w:pPr>
    </w:p>
    <w:p w14:paraId="557AE6CF" w14:textId="6C181E31" w:rsidR="002D5D2E"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GOV.UK (2018) </w:t>
      </w:r>
      <w:r w:rsidRPr="00DF6DDC">
        <w:rPr>
          <w:rFonts w:ascii="Arial" w:hAnsi="Arial" w:cs="Arial"/>
          <w:i/>
          <w:iCs/>
        </w:rPr>
        <w:t xml:space="preserve">Guidance for NHS trusts and Foundation Trusts providing emergency departments, Urgent Treatment </w:t>
      </w:r>
      <w:proofErr w:type="gramStart"/>
      <w:r w:rsidRPr="00DF6DDC">
        <w:rPr>
          <w:rFonts w:ascii="Arial" w:hAnsi="Arial" w:cs="Arial"/>
          <w:i/>
          <w:iCs/>
        </w:rPr>
        <w:t>Centres</w:t>
      </w:r>
      <w:proofErr w:type="gramEnd"/>
      <w:r w:rsidRPr="00DF6DDC">
        <w:rPr>
          <w:rFonts w:ascii="Arial" w:hAnsi="Arial" w:cs="Arial"/>
          <w:i/>
          <w:iCs/>
        </w:rPr>
        <w:t xml:space="preserve"> and inpatient services</w:t>
      </w:r>
      <w:r w:rsidRPr="00DF6DDC">
        <w:rPr>
          <w:rFonts w:ascii="Arial" w:hAnsi="Arial" w:cs="Arial"/>
        </w:rPr>
        <w:t xml:space="preserve">, </w:t>
      </w:r>
      <w:r w:rsidRPr="00DF6DDC">
        <w:rPr>
          <w:rFonts w:ascii="Arial" w:hAnsi="Arial" w:cs="Arial"/>
          <w:i/>
          <w:iCs/>
        </w:rPr>
        <w:t>GOV.UK</w:t>
      </w:r>
      <w:r w:rsidRPr="00DF6DDC">
        <w:rPr>
          <w:rFonts w:ascii="Arial" w:hAnsi="Arial" w:cs="Arial"/>
        </w:rPr>
        <w:t xml:space="preserve">. Available at: </w:t>
      </w:r>
      <w:hyperlink r:id="rId34" w:history="1">
        <w:r w:rsidRPr="00DF6DDC">
          <w:rPr>
            <w:rStyle w:val="Hyperlink"/>
            <w:rFonts w:ascii="Arial" w:hAnsi="Arial" w:cs="Arial"/>
          </w:rPr>
          <w:t>https://www.gov.uk/government/publications/homelessness-duty-to-refer-for-nhs-staff/guidance-for-nhs-trusts-and-foundation-trusts-providing-emergency-departments-urgent-treatment-centres-and-inpatient-services</w:t>
        </w:r>
      </w:hyperlink>
      <w:r w:rsidRPr="00DF6DDC">
        <w:rPr>
          <w:rFonts w:ascii="Arial" w:hAnsi="Arial" w:cs="Arial"/>
        </w:rPr>
        <w:t xml:space="preserve"> (Accessed: 04 July 2024).</w:t>
      </w:r>
    </w:p>
    <w:p w14:paraId="0D306FE3" w14:textId="77777777" w:rsidR="004A0447" w:rsidRDefault="004A0447" w:rsidP="004A0447">
      <w:pPr>
        <w:pStyle w:val="NormalWeb"/>
        <w:spacing w:before="0" w:beforeAutospacing="0" w:after="180" w:afterAutospacing="0" w:line="480" w:lineRule="auto"/>
        <w:jc w:val="both"/>
        <w:rPr>
          <w:rFonts w:ascii="Arial" w:hAnsi="Arial" w:cs="Arial"/>
        </w:rPr>
      </w:pPr>
    </w:p>
    <w:p w14:paraId="7528C4CD" w14:textId="2C0F5A86" w:rsidR="00DF6DDC"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GOV.UK (2022) </w:t>
      </w:r>
      <w:r w:rsidRPr="00DF6DDC">
        <w:rPr>
          <w:rFonts w:ascii="Arial" w:hAnsi="Arial" w:cs="Arial"/>
          <w:i/>
          <w:iCs/>
        </w:rPr>
        <w:t>Pace code G 2012 (accessible)</w:t>
      </w:r>
      <w:r w:rsidRPr="00DF6DDC">
        <w:rPr>
          <w:rFonts w:ascii="Arial" w:hAnsi="Arial" w:cs="Arial"/>
        </w:rPr>
        <w:t xml:space="preserve">, </w:t>
      </w:r>
      <w:r w:rsidRPr="00DF6DDC">
        <w:rPr>
          <w:rFonts w:ascii="Arial" w:hAnsi="Arial" w:cs="Arial"/>
          <w:i/>
          <w:iCs/>
        </w:rPr>
        <w:t>GOV.UK</w:t>
      </w:r>
      <w:r w:rsidRPr="00DF6DDC">
        <w:rPr>
          <w:rFonts w:ascii="Arial" w:hAnsi="Arial" w:cs="Arial"/>
        </w:rPr>
        <w:t xml:space="preserve">. Available at: </w:t>
      </w:r>
      <w:hyperlink r:id="rId35" w:history="1">
        <w:r w:rsidRPr="00DF6DDC">
          <w:rPr>
            <w:rStyle w:val="Hyperlink"/>
            <w:rFonts w:ascii="Arial" w:hAnsi="Arial" w:cs="Arial"/>
          </w:rPr>
          <w:t>https://www.gov.uk/government/publications/pace-code-g-2012/pace-code-g-2012-accessible</w:t>
        </w:r>
      </w:hyperlink>
      <w:r w:rsidRPr="00DF6DDC">
        <w:rPr>
          <w:rFonts w:ascii="Arial" w:hAnsi="Arial" w:cs="Arial"/>
        </w:rPr>
        <w:t xml:space="preserve"> (Accessed: 04 July 2024).</w:t>
      </w:r>
    </w:p>
    <w:p w14:paraId="5B0DD189" w14:textId="77777777" w:rsidR="004A0447" w:rsidRDefault="004A0447" w:rsidP="004A0447">
      <w:pPr>
        <w:pStyle w:val="NormalWeb"/>
        <w:spacing w:before="0" w:beforeAutospacing="0" w:after="180" w:afterAutospacing="0" w:line="480" w:lineRule="auto"/>
        <w:jc w:val="both"/>
        <w:rPr>
          <w:rFonts w:ascii="Arial" w:hAnsi="Arial" w:cs="Arial"/>
        </w:rPr>
      </w:pPr>
    </w:p>
    <w:p w14:paraId="6A2CA46B" w14:textId="64108312" w:rsidR="00A605B3"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GOV.UK (2024) </w:t>
      </w:r>
      <w:r w:rsidRPr="00DF6DDC">
        <w:rPr>
          <w:rFonts w:ascii="Arial" w:hAnsi="Arial" w:cs="Arial"/>
          <w:i/>
          <w:iCs/>
        </w:rPr>
        <w:t>Code of practice for victims of crime in England and Wales (victims’ code)</w:t>
      </w:r>
      <w:r w:rsidRPr="00DF6DDC">
        <w:rPr>
          <w:rFonts w:ascii="Arial" w:hAnsi="Arial" w:cs="Arial"/>
        </w:rPr>
        <w:t xml:space="preserve">, </w:t>
      </w:r>
      <w:r w:rsidRPr="00DF6DDC">
        <w:rPr>
          <w:rFonts w:ascii="Arial" w:hAnsi="Arial" w:cs="Arial"/>
          <w:i/>
          <w:iCs/>
        </w:rPr>
        <w:t>GOV.UK</w:t>
      </w:r>
      <w:r w:rsidRPr="00DF6DDC">
        <w:rPr>
          <w:rFonts w:ascii="Arial" w:hAnsi="Arial" w:cs="Arial"/>
        </w:rPr>
        <w:t xml:space="preserve">. Available at: </w:t>
      </w:r>
      <w:hyperlink r:id="rId36" w:history="1">
        <w:r w:rsidRPr="00DF6DDC">
          <w:rPr>
            <w:rStyle w:val="Hyperlink"/>
            <w:rFonts w:ascii="Arial" w:hAnsi="Arial" w:cs="Arial"/>
          </w:rPr>
          <w:t>https://www.gov.uk/government/publications/the-code-of-practice-for-victims-of-crime/code-of-practice-for-victims-of-crime-in-england-and-wales-victims-code</w:t>
        </w:r>
      </w:hyperlink>
      <w:r w:rsidRPr="00DF6DDC">
        <w:rPr>
          <w:rFonts w:ascii="Arial" w:hAnsi="Arial" w:cs="Arial"/>
        </w:rPr>
        <w:t xml:space="preserve"> (Accessed: 16 July 2024).</w:t>
      </w:r>
    </w:p>
    <w:p w14:paraId="0EAA7BFD" w14:textId="77777777" w:rsidR="004A0447" w:rsidRPr="00DF6DDC" w:rsidRDefault="004A0447" w:rsidP="004A0447">
      <w:pPr>
        <w:pStyle w:val="NormalWeb"/>
        <w:spacing w:before="0" w:beforeAutospacing="0" w:after="0" w:afterAutospacing="0" w:line="480" w:lineRule="auto"/>
        <w:jc w:val="both"/>
        <w:rPr>
          <w:rFonts w:ascii="Arial" w:hAnsi="Arial" w:cs="Arial"/>
        </w:rPr>
      </w:pPr>
    </w:p>
    <w:p w14:paraId="0CD9E723" w14:textId="688132D0" w:rsidR="002D5D2E"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HMICRFS (2023) </w:t>
      </w:r>
      <w:r w:rsidRPr="00DF6DDC">
        <w:rPr>
          <w:rFonts w:ascii="Arial" w:hAnsi="Arial" w:cs="Arial"/>
          <w:i/>
          <w:iCs/>
        </w:rPr>
        <w:t>Public protection notice (PPN)</w:t>
      </w:r>
      <w:r w:rsidRPr="00DF6DDC">
        <w:rPr>
          <w:rFonts w:ascii="Arial" w:hAnsi="Arial" w:cs="Arial"/>
        </w:rPr>
        <w:t xml:space="preserve">, </w:t>
      </w:r>
      <w:r w:rsidRPr="00DF6DDC">
        <w:rPr>
          <w:rFonts w:ascii="Arial" w:hAnsi="Arial" w:cs="Arial"/>
          <w:i/>
          <w:iCs/>
        </w:rPr>
        <w:t>His Majesty’s Inspectorate of Constabulary and Fire &amp; Rescue Services</w:t>
      </w:r>
      <w:r w:rsidRPr="00DF6DDC">
        <w:rPr>
          <w:rFonts w:ascii="Arial" w:hAnsi="Arial" w:cs="Arial"/>
        </w:rPr>
        <w:t xml:space="preserve">. Available at: </w:t>
      </w:r>
      <w:hyperlink r:id="rId37" w:history="1">
        <w:r w:rsidRPr="00DF6DDC">
          <w:rPr>
            <w:rStyle w:val="Hyperlink"/>
            <w:rFonts w:ascii="Arial" w:hAnsi="Arial" w:cs="Arial"/>
          </w:rPr>
          <w:t>https://hmicfrs.justiceinspectorates.gov.uk/glossary/public-protection-notice/</w:t>
        </w:r>
      </w:hyperlink>
      <w:r w:rsidRPr="00DF6DDC">
        <w:rPr>
          <w:rFonts w:ascii="Arial" w:hAnsi="Arial" w:cs="Arial"/>
        </w:rPr>
        <w:t xml:space="preserve"> (Accessed: 04 July 2024).</w:t>
      </w:r>
    </w:p>
    <w:p w14:paraId="26481A33" w14:textId="77777777" w:rsidR="004A0447" w:rsidRDefault="004A0447" w:rsidP="004A0447">
      <w:pPr>
        <w:pStyle w:val="NormalWeb"/>
        <w:spacing w:before="0" w:beforeAutospacing="0" w:after="0" w:afterAutospacing="0" w:line="480" w:lineRule="auto"/>
        <w:jc w:val="both"/>
        <w:rPr>
          <w:rFonts w:ascii="Arial" w:hAnsi="Arial" w:cs="Arial"/>
        </w:rPr>
      </w:pPr>
    </w:p>
    <w:p w14:paraId="4EBB0D13" w14:textId="3F873745" w:rsidR="002D5D2E"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Rose, A. (2021) ‘Forensics: The golden hour’, </w:t>
      </w:r>
      <w:r w:rsidRPr="00DF6DDC">
        <w:rPr>
          <w:rFonts w:ascii="Arial" w:hAnsi="Arial" w:cs="Arial"/>
          <w:i/>
          <w:iCs/>
        </w:rPr>
        <w:t>Modern Police Leadership</w:t>
      </w:r>
      <w:r w:rsidRPr="00DF6DDC">
        <w:rPr>
          <w:rFonts w:ascii="Arial" w:hAnsi="Arial" w:cs="Arial"/>
        </w:rPr>
        <w:t>, pp. 223–233. doi:10.1007/978-3-030-63930-3_18.</w:t>
      </w:r>
    </w:p>
    <w:p w14:paraId="2726F056" w14:textId="77777777" w:rsidR="004A0447" w:rsidRDefault="004A0447" w:rsidP="004A0447">
      <w:pPr>
        <w:pStyle w:val="NormalWeb"/>
        <w:spacing w:before="0" w:beforeAutospacing="0" w:after="0" w:afterAutospacing="0" w:line="480" w:lineRule="auto"/>
        <w:jc w:val="both"/>
        <w:rPr>
          <w:rFonts w:ascii="Arial" w:hAnsi="Arial" w:cs="Arial"/>
        </w:rPr>
      </w:pPr>
    </w:p>
    <w:p w14:paraId="2EC20D64" w14:textId="42DDB6CF" w:rsidR="002D5D2E" w:rsidRDefault="00A605B3" w:rsidP="004A0447">
      <w:pPr>
        <w:pStyle w:val="NormalWeb"/>
        <w:spacing w:before="0" w:beforeAutospacing="0" w:after="180" w:afterAutospacing="0" w:line="480" w:lineRule="auto"/>
        <w:jc w:val="both"/>
        <w:rPr>
          <w:rFonts w:ascii="Arial" w:hAnsi="Arial" w:cs="Arial"/>
        </w:rPr>
      </w:pPr>
      <w:r w:rsidRPr="00DF6DDC">
        <w:rPr>
          <w:rFonts w:ascii="Arial" w:hAnsi="Arial" w:cs="Arial"/>
        </w:rPr>
        <w:t xml:space="preserve">South Wales Police (2024) </w:t>
      </w:r>
      <w:r w:rsidRPr="00DF6DDC">
        <w:rPr>
          <w:rFonts w:ascii="Arial" w:hAnsi="Arial" w:cs="Arial"/>
          <w:i/>
          <w:iCs/>
        </w:rPr>
        <w:t xml:space="preserve">Our vision, </w:t>
      </w:r>
      <w:proofErr w:type="gramStart"/>
      <w:r w:rsidRPr="00DF6DDC">
        <w:rPr>
          <w:rFonts w:ascii="Arial" w:hAnsi="Arial" w:cs="Arial"/>
          <w:i/>
          <w:iCs/>
        </w:rPr>
        <w:t>values</w:t>
      </w:r>
      <w:proofErr w:type="gramEnd"/>
      <w:r w:rsidRPr="00DF6DDC">
        <w:rPr>
          <w:rFonts w:ascii="Arial" w:hAnsi="Arial" w:cs="Arial"/>
          <w:i/>
          <w:iCs/>
        </w:rPr>
        <w:t xml:space="preserve"> and ethics | south </w:t>
      </w:r>
      <w:proofErr w:type="spellStart"/>
      <w:r w:rsidRPr="00DF6DDC">
        <w:rPr>
          <w:rFonts w:ascii="Arial" w:hAnsi="Arial" w:cs="Arial"/>
          <w:i/>
          <w:iCs/>
        </w:rPr>
        <w:t>wales</w:t>
      </w:r>
      <w:proofErr w:type="spellEnd"/>
      <w:r w:rsidRPr="00DF6DDC">
        <w:rPr>
          <w:rFonts w:ascii="Arial" w:hAnsi="Arial" w:cs="Arial"/>
          <w:i/>
          <w:iCs/>
        </w:rPr>
        <w:t xml:space="preserve"> police</w:t>
      </w:r>
      <w:r w:rsidRPr="00DF6DDC">
        <w:rPr>
          <w:rFonts w:ascii="Arial" w:hAnsi="Arial" w:cs="Arial"/>
        </w:rPr>
        <w:t xml:space="preserve">, </w:t>
      </w:r>
      <w:r w:rsidRPr="00DF6DDC">
        <w:rPr>
          <w:rFonts w:ascii="Arial" w:hAnsi="Arial" w:cs="Arial"/>
          <w:i/>
          <w:iCs/>
        </w:rPr>
        <w:t>South Wales Police | Our vision, values, purpose and ethics</w:t>
      </w:r>
      <w:r w:rsidRPr="00DF6DDC">
        <w:rPr>
          <w:rFonts w:ascii="Arial" w:hAnsi="Arial" w:cs="Arial"/>
        </w:rPr>
        <w:t xml:space="preserve">. Available at: </w:t>
      </w:r>
      <w:hyperlink r:id="rId38" w:history="1">
        <w:r w:rsidRPr="00DF6DDC">
          <w:rPr>
            <w:rStyle w:val="Hyperlink"/>
            <w:rFonts w:ascii="Arial" w:hAnsi="Arial" w:cs="Arial"/>
          </w:rPr>
          <w:t>https://www.south-wales.police.uk/police-forces/south-wales-police/areas/about-us/about-us/our-vision-values-and-ethics/</w:t>
        </w:r>
      </w:hyperlink>
      <w:r w:rsidRPr="00DF6DDC">
        <w:rPr>
          <w:rFonts w:ascii="Arial" w:hAnsi="Arial" w:cs="Arial"/>
        </w:rPr>
        <w:t xml:space="preserve"> (Accessed: 16 July 2024).</w:t>
      </w:r>
    </w:p>
    <w:p w14:paraId="51D574D4" w14:textId="77777777" w:rsidR="004A0447" w:rsidRDefault="004A0447" w:rsidP="004A0447">
      <w:pPr>
        <w:pStyle w:val="NormalWeb"/>
        <w:spacing w:before="0" w:beforeAutospacing="0" w:after="180" w:afterAutospacing="0" w:line="480" w:lineRule="auto"/>
        <w:jc w:val="both"/>
        <w:rPr>
          <w:rFonts w:ascii="Arial" w:hAnsi="Arial" w:cs="Arial"/>
        </w:rPr>
      </w:pPr>
    </w:p>
    <w:p w14:paraId="55DBEE7F" w14:textId="41602683" w:rsidR="00A605B3" w:rsidRDefault="00A605B3" w:rsidP="004A0447">
      <w:pPr>
        <w:pStyle w:val="NormalWeb"/>
        <w:spacing w:before="0" w:beforeAutospacing="0" w:after="180" w:afterAutospacing="0" w:line="480" w:lineRule="auto"/>
        <w:jc w:val="both"/>
        <w:rPr>
          <w:rFonts w:ascii="Arial" w:hAnsi="Arial" w:cs="Arial"/>
          <w:color w:val="000000"/>
        </w:rPr>
      </w:pPr>
      <w:r w:rsidRPr="00DF6DDC">
        <w:rPr>
          <w:rFonts w:ascii="Arial" w:hAnsi="Arial" w:cs="Arial"/>
          <w:color w:val="000000"/>
        </w:rPr>
        <w:t xml:space="preserve">Tuffin, Morris and Poole (2006) </w:t>
      </w:r>
      <w:r w:rsidRPr="00DF6DDC">
        <w:rPr>
          <w:rFonts w:ascii="Arial" w:hAnsi="Arial" w:cs="Arial"/>
          <w:i/>
          <w:iCs/>
          <w:color w:val="000000"/>
        </w:rPr>
        <w:t>An evaluation of the impact of the National Reassurance Policing Programme</w:t>
      </w:r>
      <w:r w:rsidRPr="00DF6DDC">
        <w:rPr>
          <w:rFonts w:ascii="Arial" w:hAnsi="Arial" w:cs="Arial"/>
          <w:color w:val="000000"/>
        </w:rPr>
        <w:t xml:space="preserve">. rep. Available at: </w:t>
      </w:r>
      <w:hyperlink r:id="rId39" w:history="1">
        <w:r w:rsidRPr="00DF6DDC">
          <w:rPr>
            <w:rStyle w:val="Hyperlink"/>
            <w:rFonts w:ascii="Arial" w:hAnsi="Arial" w:cs="Arial"/>
          </w:rPr>
          <w:t>https://assets.publishing.service.gov.uk/media/5a7b4fd240f0b6425d5924e3/hors296.pdf</w:t>
        </w:r>
      </w:hyperlink>
      <w:r w:rsidRPr="00DF6DDC">
        <w:rPr>
          <w:rFonts w:ascii="Arial" w:hAnsi="Arial" w:cs="Arial"/>
          <w:color w:val="000000"/>
        </w:rPr>
        <w:t xml:space="preserve"> (Accessed: 02 July 2024).</w:t>
      </w:r>
    </w:p>
    <w:p w14:paraId="7BA04DE9" w14:textId="77777777" w:rsidR="004A0447" w:rsidRPr="00DF6DDC" w:rsidRDefault="004A0447" w:rsidP="004A0447">
      <w:pPr>
        <w:pStyle w:val="NormalWeb"/>
        <w:spacing w:before="0" w:beforeAutospacing="0" w:after="180" w:afterAutospacing="0" w:line="480" w:lineRule="auto"/>
        <w:jc w:val="both"/>
        <w:rPr>
          <w:rFonts w:ascii="Arial" w:hAnsi="Arial" w:cs="Arial"/>
        </w:rPr>
      </w:pPr>
    </w:p>
    <w:p w14:paraId="0A77302B" w14:textId="20B23E44" w:rsidR="00A605B3" w:rsidRPr="00DF6DDC" w:rsidRDefault="00A605B3" w:rsidP="004A0447">
      <w:pPr>
        <w:pStyle w:val="NormalWeb"/>
        <w:spacing w:before="0" w:beforeAutospacing="0" w:after="0" w:afterAutospacing="0" w:line="480" w:lineRule="auto"/>
        <w:jc w:val="both"/>
        <w:rPr>
          <w:rFonts w:ascii="Arial" w:hAnsi="Arial" w:cs="Arial"/>
        </w:rPr>
      </w:pPr>
      <w:r w:rsidRPr="00DF6DDC">
        <w:rPr>
          <w:rFonts w:ascii="Arial" w:hAnsi="Arial" w:cs="Arial"/>
        </w:rPr>
        <w:t xml:space="preserve">Vivekananda, N. and Meenakshi, </w:t>
      </w:r>
      <w:proofErr w:type="spellStart"/>
      <w:r w:rsidRPr="00DF6DDC">
        <w:rPr>
          <w:rFonts w:ascii="Arial" w:hAnsi="Arial" w:cs="Arial"/>
        </w:rPr>
        <w:t>Dr.R</w:t>
      </w:r>
      <w:proofErr w:type="spellEnd"/>
      <w:r w:rsidRPr="00DF6DDC">
        <w:rPr>
          <w:rFonts w:ascii="Arial" w:hAnsi="Arial" w:cs="Arial"/>
        </w:rPr>
        <w:t xml:space="preserve">. (2024) ‘Honesty and its role in maintaining social cohesion and Trust’, </w:t>
      </w:r>
      <w:r w:rsidRPr="00DF6DDC">
        <w:rPr>
          <w:rFonts w:ascii="Arial" w:hAnsi="Arial" w:cs="Arial"/>
          <w:i/>
          <w:iCs/>
        </w:rPr>
        <w:t>Educational Administration Theory and Practices</w:t>
      </w:r>
      <w:r w:rsidRPr="00DF6DDC">
        <w:rPr>
          <w:rFonts w:ascii="Arial" w:hAnsi="Arial" w:cs="Arial"/>
        </w:rPr>
        <w:t xml:space="preserve"> [Preprint]. doi:10.53555/</w:t>
      </w:r>
      <w:proofErr w:type="gramStart"/>
      <w:r w:rsidRPr="00DF6DDC">
        <w:rPr>
          <w:rFonts w:ascii="Arial" w:hAnsi="Arial" w:cs="Arial"/>
        </w:rPr>
        <w:t>kuey.v</w:t>
      </w:r>
      <w:proofErr w:type="gramEnd"/>
      <w:r w:rsidRPr="00DF6DDC">
        <w:rPr>
          <w:rFonts w:ascii="Arial" w:hAnsi="Arial" w:cs="Arial"/>
        </w:rPr>
        <w:t>30i2.1644.</w:t>
      </w:r>
    </w:p>
    <w:p w14:paraId="1973656A" w14:textId="77777777" w:rsidR="008228E9" w:rsidRDefault="008228E9" w:rsidP="00EA28F1">
      <w:pPr>
        <w:keepNext/>
        <w:spacing w:before="240" w:after="60"/>
        <w:ind w:right="237"/>
        <w:jc w:val="both"/>
      </w:pPr>
    </w:p>
    <w:sectPr w:rsidR="008228E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917"/>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3C3B"/>
    <w:rsid w:val="001D6162"/>
    <w:rsid w:val="001E6FAD"/>
    <w:rsid w:val="001E7592"/>
    <w:rsid w:val="001F3878"/>
    <w:rsid w:val="001F4552"/>
    <w:rsid w:val="00200023"/>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9A3"/>
    <w:rsid w:val="002A5604"/>
    <w:rsid w:val="002A69F4"/>
    <w:rsid w:val="002B1701"/>
    <w:rsid w:val="002B23C3"/>
    <w:rsid w:val="002B443A"/>
    <w:rsid w:val="002B5B35"/>
    <w:rsid w:val="002C256A"/>
    <w:rsid w:val="002C496D"/>
    <w:rsid w:val="002D05EB"/>
    <w:rsid w:val="002D25E7"/>
    <w:rsid w:val="002D2F29"/>
    <w:rsid w:val="002D2FD3"/>
    <w:rsid w:val="002D5D2E"/>
    <w:rsid w:val="002E7017"/>
    <w:rsid w:val="002F1739"/>
    <w:rsid w:val="002F2EA2"/>
    <w:rsid w:val="002F4F6E"/>
    <w:rsid w:val="003015C3"/>
    <w:rsid w:val="0030698D"/>
    <w:rsid w:val="0031350A"/>
    <w:rsid w:val="00316815"/>
    <w:rsid w:val="003168CA"/>
    <w:rsid w:val="00321255"/>
    <w:rsid w:val="0032230D"/>
    <w:rsid w:val="00322A0B"/>
    <w:rsid w:val="00323892"/>
    <w:rsid w:val="00332F54"/>
    <w:rsid w:val="00335FC5"/>
    <w:rsid w:val="00340E9A"/>
    <w:rsid w:val="003516C0"/>
    <w:rsid w:val="00351A1A"/>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21B8"/>
    <w:rsid w:val="004046F0"/>
    <w:rsid w:val="0040668F"/>
    <w:rsid w:val="00412677"/>
    <w:rsid w:val="00417925"/>
    <w:rsid w:val="004348AE"/>
    <w:rsid w:val="00435E9A"/>
    <w:rsid w:val="004376C0"/>
    <w:rsid w:val="0044115F"/>
    <w:rsid w:val="0044223A"/>
    <w:rsid w:val="00446792"/>
    <w:rsid w:val="00446F80"/>
    <w:rsid w:val="00450C83"/>
    <w:rsid w:val="00451851"/>
    <w:rsid w:val="004524E4"/>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447"/>
    <w:rsid w:val="004A07F1"/>
    <w:rsid w:val="004A14C4"/>
    <w:rsid w:val="004A2A49"/>
    <w:rsid w:val="004B600B"/>
    <w:rsid w:val="004B6822"/>
    <w:rsid w:val="004B69F6"/>
    <w:rsid w:val="004C096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0A1A"/>
    <w:rsid w:val="00521123"/>
    <w:rsid w:val="00521221"/>
    <w:rsid w:val="00522993"/>
    <w:rsid w:val="00536FA9"/>
    <w:rsid w:val="005414F4"/>
    <w:rsid w:val="00546187"/>
    <w:rsid w:val="005463F1"/>
    <w:rsid w:val="005510E9"/>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009A"/>
    <w:rsid w:val="005C1567"/>
    <w:rsid w:val="005C6CE5"/>
    <w:rsid w:val="005C76DE"/>
    <w:rsid w:val="005D3F07"/>
    <w:rsid w:val="005D583E"/>
    <w:rsid w:val="005E13EA"/>
    <w:rsid w:val="005E53BD"/>
    <w:rsid w:val="005E607C"/>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360"/>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A7D5D"/>
    <w:rsid w:val="007B0DE3"/>
    <w:rsid w:val="007B491F"/>
    <w:rsid w:val="007B5CB2"/>
    <w:rsid w:val="007B7191"/>
    <w:rsid w:val="007C1634"/>
    <w:rsid w:val="007C1D94"/>
    <w:rsid w:val="007C22B1"/>
    <w:rsid w:val="007C2879"/>
    <w:rsid w:val="007C6A87"/>
    <w:rsid w:val="007C705D"/>
    <w:rsid w:val="007D0A07"/>
    <w:rsid w:val="007D0C96"/>
    <w:rsid w:val="007D133D"/>
    <w:rsid w:val="007D3EB4"/>
    <w:rsid w:val="007D3F16"/>
    <w:rsid w:val="007D78CC"/>
    <w:rsid w:val="007F3F7E"/>
    <w:rsid w:val="007F5497"/>
    <w:rsid w:val="00803B11"/>
    <w:rsid w:val="00810AFD"/>
    <w:rsid w:val="00813CEC"/>
    <w:rsid w:val="0081534C"/>
    <w:rsid w:val="008171E4"/>
    <w:rsid w:val="008208EA"/>
    <w:rsid w:val="008228E9"/>
    <w:rsid w:val="00824E67"/>
    <w:rsid w:val="00825A64"/>
    <w:rsid w:val="00826F48"/>
    <w:rsid w:val="008308AE"/>
    <w:rsid w:val="0083166E"/>
    <w:rsid w:val="00831DC3"/>
    <w:rsid w:val="008322C7"/>
    <w:rsid w:val="00834F1D"/>
    <w:rsid w:val="00836FEC"/>
    <w:rsid w:val="00841F9D"/>
    <w:rsid w:val="008420E1"/>
    <w:rsid w:val="0084277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30B"/>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3C61"/>
    <w:rsid w:val="00A54D67"/>
    <w:rsid w:val="00A55A3F"/>
    <w:rsid w:val="00A56BC4"/>
    <w:rsid w:val="00A605B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979"/>
    <w:rsid w:val="00AE2564"/>
    <w:rsid w:val="00AE301F"/>
    <w:rsid w:val="00AE3302"/>
    <w:rsid w:val="00AE7077"/>
    <w:rsid w:val="00AF61C2"/>
    <w:rsid w:val="00AF6CC6"/>
    <w:rsid w:val="00B011CD"/>
    <w:rsid w:val="00B0296A"/>
    <w:rsid w:val="00B12295"/>
    <w:rsid w:val="00B137BE"/>
    <w:rsid w:val="00B17FA0"/>
    <w:rsid w:val="00B20793"/>
    <w:rsid w:val="00B2312F"/>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28E0"/>
    <w:rsid w:val="00BA7FF1"/>
    <w:rsid w:val="00BB06CB"/>
    <w:rsid w:val="00BB261F"/>
    <w:rsid w:val="00BB2887"/>
    <w:rsid w:val="00BB5EAA"/>
    <w:rsid w:val="00BB5F11"/>
    <w:rsid w:val="00BC0401"/>
    <w:rsid w:val="00BC04FA"/>
    <w:rsid w:val="00BC1C22"/>
    <w:rsid w:val="00BC3C8B"/>
    <w:rsid w:val="00BC460B"/>
    <w:rsid w:val="00BC5725"/>
    <w:rsid w:val="00BD30B1"/>
    <w:rsid w:val="00BE0F7B"/>
    <w:rsid w:val="00BE10C2"/>
    <w:rsid w:val="00C01D14"/>
    <w:rsid w:val="00C025B4"/>
    <w:rsid w:val="00C0275F"/>
    <w:rsid w:val="00C04315"/>
    <w:rsid w:val="00C11F61"/>
    <w:rsid w:val="00C161FD"/>
    <w:rsid w:val="00C2176B"/>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66BF"/>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1332"/>
    <w:rsid w:val="00DC4729"/>
    <w:rsid w:val="00DE36D3"/>
    <w:rsid w:val="00DE556F"/>
    <w:rsid w:val="00DF6DDC"/>
    <w:rsid w:val="00E03B6D"/>
    <w:rsid w:val="00E0649E"/>
    <w:rsid w:val="00E075AC"/>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615E"/>
    <w:rsid w:val="00F22AC5"/>
    <w:rsid w:val="00F254D1"/>
    <w:rsid w:val="00F32B82"/>
    <w:rsid w:val="00F4043E"/>
    <w:rsid w:val="00F40CB5"/>
    <w:rsid w:val="00F41BBC"/>
    <w:rsid w:val="00F43B9D"/>
    <w:rsid w:val="00F444F0"/>
    <w:rsid w:val="00F50847"/>
    <w:rsid w:val="00F53F27"/>
    <w:rsid w:val="00F546D1"/>
    <w:rsid w:val="00F54C8C"/>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5B25"/>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C133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66048516">
      <w:bodyDiv w:val="1"/>
      <w:marLeft w:val="0"/>
      <w:marRight w:val="0"/>
      <w:marTop w:val="0"/>
      <w:marBottom w:val="0"/>
      <w:divBdr>
        <w:top w:val="none" w:sz="0" w:space="0" w:color="auto"/>
        <w:left w:val="none" w:sz="0" w:space="0" w:color="auto"/>
        <w:bottom w:val="none" w:sz="0" w:space="0" w:color="auto"/>
        <w:right w:val="none" w:sz="0" w:space="0" w:color="auto"/>
      </w:divBdr>
    </w:div>
    <w:div w:id="482940015">
      <w:bodyDiv w:val="1"/>
      <w:marLeft w:val="0"/>
      <w:marRight w:val="0"/>
      <w:marTop w:val="0"/>
      <w:marBottom w:val="0"/>
      <w:divBdr>
        <w:top w:val="none" w:sz="0" w:space="0" w:color="auto"/>
        <w:left w:val="none" w:sz="0" w:space="0" w:color="auto"/>
        <w:bottom w:val="none" w:sz="0" w:space="0" w:color="auto"/>
        <w:right w:val="none" w:sz="0" w:space="0" w:color="auto"/>
      </w:divBdr>
    </w:div>
    <w:div w:id="515194655">
      <w:bodyDiv w:val="1"/>
      <w:marLeft w:val="0"/>
      <w:marRight w:val="0"/>
      <w:marTop w:val="0"/>
      <w:marBottom w:val="0"/>
      <w:divBdr>
        <w:top w:val="none" w:sz="0" w:space="0" w:color="auto"/>
        <w:left w:val="none" w:sz="0" w:space="0" w:color="auto"/>
        <w:bottom w:val="none" w:sz="0" w:space="0" w:color="auto"/>
        <w:right w:val="none" w:sz="0" w:space="0" w:color="auto"/>
      </w:divBdr>
    </w:div>
    <w:div w:id="591360280">
      <w:bodyDiv w:val="1"/>
      <w:marLeft w:val="0"/>
      <w:marRight w:val="0"/>
      <w:marTop w:val="0"/>
      <w:marBottom w:val="0"/>
      <w:divBdr>
        <w:top w:val="none" w:sz="0" w:space="0" w:color="auto"/>
        <w:left w:val="none" w:sz="0" w:space="0" w:color="auto"/>
        <w:bottom w:val="none" w:sz="0" w:space="0" w:color="auto"/>
        <w:right w:val="none" w:sz="0" w:space="0" w:color="auto"/>
      </w:divBdr>
    </w:div>
    <w:div w:id="726074285">
      <w:bodyDiv w:val="1"/>
      <w:marLeft w:val="0"/>
      <w:marRight w:val="0"/>
      <w:marTop w:val="0"/>
      <w:marBottom w:val="0"/>
      <w:divBdr>
        <w:top w:val="none" w:sz="0" w:space="0" w:color="auto"/>
        <w:left w:val="none" w:sz="0" w:space="0" w:color="auto"/>
        <w:bottom w:val="none" w:sz="0" w:space="0" w:color="auto"/>
        <w:right w:val="none" w:sz="0" w:space="0" w:color="auto"/>
      </w:divBdr>
    </w:div>
    <w:div w:id="1057893708">
      <w:bodyDiv w:val="1"/>
      <w:marLeft w:val="0"/>
      <w:marRight w:val="0"/>
      <w:marTop w:val="0"/>
      <w:marBottom w:val="0"/>
      <w:divBdr>
        <w:top w:val="none" w:sz="0" w:space="0" w:color="auto"/>
        <w:left w:val="none" w:sz="0" w:space="0" w:color="auto"/>
        <w:bottom w:val="none" w:sz="0" w:space="0" w:color="auto"/>
        <w:right w:val="none" w:sz="0" w:space="0" w:color="auto"/>
      </w:divBdr>
    </w:div>
    <w:div w:id="10648351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8785260">
      <w:bodyDiv w:val="1"/>
      <w:marLeft w:val="0"/>
      <w:marRight w:val="0"/>
      <w:marTop w:val="0"/>
      <w:marBottom w:val="0"/>
      <w:divBdr>
        <w:top w:val="none" w:sz="0" w:space="0" w:color="auto"/>
        <w:left w:val="none" w:sz="0" w:space="0" w:color="auto"/>
        <w:bottom w:val="none" w:sz="0" w:space="0" w:color="auto"/>
        <w:right w:val="none" w:sz="0" w:space="0" w:color="auto"/>
      </w:divBdr>
    </w:div>
    <w:div w:id="1490829263">
      <w:bodyDiv w:val="1"/>
      <w:marLeft w:val="0"/>
      <w:marRight w:val="0"/>
      <w:marTop w:val="0"/>
      <w:marBottom w:val="0"/>
      <w:divBdr>
        <w:top w:val="none" w:sz="0" w:space="0" w:color="auto"/>
        <w:left w:val="none" w:sz="0" w:space="0" w:color="auto"/>
        <w:bottom w:val="none" w:sz="0" w:space="0" w:color="auto"/>
        <w:right w:val="none" w:sz="0" w:space="0" w:color="auto"/>
      </w:divBdr>
    </w:div>
    <w:div w:id="1680235532">
      <w:bodyDiv w:val="1"/>
      <w:marLeft w:val="0"/>
      <w:marRight w:val="0"/>
      <w:marTop w:val="0"/>
      <w:marBottom w:val="0"/>
      <w:divBdr>
        <w:top w:val="none" w:sz="0" w:space="0" w:color="auto"/>
        <w:left w:val="none" w:sz="0" w:space="0" w:color="auto"/>
        <w:bottom w:val="none" w:sz="0" w:space="0" w:color="auto"/>
        <w:right w:val="none" w:sz="0" w:space="0" w:color="auto"/>
      </w:divBdr>
    </w:div>
    <w:div w:id="17239379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334872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891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gbr01.safelinks.protection.outlook.com/?url=https%3A%2F%2Fwww.college.police.uk%2Fapp%2Finvestigation%2Fforensics%23%3A~%3Atext%3DDr%2520Edmond%2520Locard%2520formulated%2520the%2Cleaves%2520a%2520trace%252C%2520however%2520minuscule&amp;data=05%7C02%7Cellen.morris%40south-wales.police.uk%7C05c3ac1bfd014f29b8c408dca5ba716d%7C270c2f4dfd0c4f0892a9e5bdd8a87e09%7C0%7C0%7C638567467395640051%7CUnknown%7CTWFpbGZsb3d8eyJWIjoiMC4wLjAwMDAiLCJQIjoiV2luMzIiLCJBTiI6Ik1haWwiLCJXVCI6Mn0%3D%7C0%7C%7C%7C&amp;sdata=xXPmVeUeAjv0wTP0Iw1LYGWoVNVoLWQ%2BRkAzKCh99Cg%3D&amp;reserved=0" TargetMode="External"/><Relationship Id="rId39" Type="http://schemas.openxmlformats.org/officeDocument/2006/relationships/hyperlink" Target="https://assets.publishing.service.gov.uk/media/5a7b4fd240f0b6425d5924e3/hors296.pdf" TargetMode="External"/><Relationship Id="rId21" Type="http://schemas.openxmlformats.org/officeDocument/2006/relationships/hyperlink" Target="https://caringforcare.co.uk/safeguarding-vulnerable-adults/" TargetMode="External"/><Relationship Id="rId34" Type="http://schemas.openxmlformats.org/officeDocument/2006/relationships/hyperlink" Target="https://www.gov.uk/government/publications/homelessness-duty-to-refer-for-nhs-staff/guidance-for-nhs-trusts-and-foundation-trusts-providing-emergency-departments-urgent-treatment-centres-and-inpatient-services"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college.police.uk/research/crime-reduction-toolkit/measures-reduce-repeat-victimisation-burglar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app%2Finvestigation%2Fworking-victims-and-witnesses&amp;data=05%7C02%7Cellen.morris%40south-wales.police.uk%7C05c3ac1bfd014f29b8c408dca5ba716d%7C270c2f4dfd0c4f0892a9e5bdd8a87e09%7C0%7C0%7C638567467395610683%7CUnknown%7CTWFpbGZsb3d8eyJWIjoiMC4wLjAwMDAiLCJQIjoiV2luMzIiLCJBTiI6Ik1haWwiLCJXVCI6Mn0%3D%7C0%7C%7C%7C&amp;sdata=8sh7bXTFWf8hwVjE%2BMXqtNlS%2Fc0zIIhHl1mzWz2xFMo%3D&amp;reserved=0" TargetMode="External"/><Relationship Id="rId32" Type="http://schemas.openxmlformats.org/officeDocument/2006/relationships/hyperlink" Target="https://gbr01.safelinks.protection.outlook.com/?url=https%3A%2F%2Fwww.cps.gov.uk%2Flegal-guidance%2Fpublic-order-offences-incorporating-charging-standard&amp;data=05%7C02%7Cellen.morris%40south-wales.police.uk%7C05c3ac1bfd014f29b8c408dca5ba716d%7C270c2f4dfd0c4f0892a9e5bdd8a87e09%7C0%7C0%7C638567467395668832%7CUnknown%7CTWFpbGZsb3d8eyJWIjoiMC4wLjAwMDAiLCJQIjoiV2luMzIiLCJBTiI6Ik1haWwiLCJXVCI6Mn0%3D%7C0%7C%7C%7C&amp;sdata=aoEsk45rdI4HAl94npdjOnDpSVvIQW6Gjxi%2FNsSs2Z8%3D&amp;reserved=0" TargetMode="External"/><Relationship Id="rId37" Type="http://schemas.openxmlformats.org/officeDocument/2006/relationships/hyperlink" Target="https://hmicfrs.justiceinspectorates.gov.uk/glossary/public-protection-notic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college.police.uk/guidance/residential-burglary/definitions" TargetMode="External"/><Relationship Id="rId36" Type="http://schemas.openxmlformats.org/officeDocument/2006/relationships/hyperlink" Target="https://gbr01.safelinks.protection.outlook.com/?url=https%3A%2F%2Fwww.gov.uk%2Fgovernment%2Fpublications%2Fthe-code-of-practice-for-victims-of-crime%2Fcode-of-practice-for-victims-of-crime-in-england-and-wales-victims-code&amp;data=05%7C02%7Cellen.morris%40south-wales.police.uk%7C05c3ac1bfd014f29b8c408dca5ba716d%7C270c2f4dfd0c4f0892a9e5bdd8a87e09%7C0%7C0%7C638567467395676639%7CUnknown%7CTWFpbGZsb3d8eyJWIjoiMC4wLjAwMDAiLCJQIjoiV2luMzIiLCJBTiI6Ik1haWwiLCJXVCI6Mn0%3D%7C0%7C%7C%7C&amp;sdata=dWwCkOLHK2tzw9ZdNTM%2F8Z1QodHixoyx8k4WEoeyKEM%3D&amp;reserved=0"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gbr01.safelinks.protection.outlook.com/?url=https%3A%2F%2Fcps.gov.uk%2Flegal-guidance%2Fcriminal-damage&amp;data=05%7C02%7Cellen.morris%40south-wales.police.uk%7C05c3ac1bfd014f29b8c408dca5ba716d%7C270c2f4dfd0c4f0892a9e5bdd8a87e09%7C0%7C0%7C638567467395660415%7CUnknown%7CTWFpbGZsb3d8eyJWIjoiMC4wLjAwMDAiLCJQIjoiV2luMzIiLCJBTiI6Ik1haWwiLCJXVCI6Mn0%3D%7C0%7C%7C%7C&amp;sdata=ADzHQOSrL7MSdXnpGuVY4hPqet56HgPOEOeeNTUE7Ho%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gbr01.safelinks.protection.outlook.com/?url=https%3A%2F%2Fwww.college.police.uk%2Fapp%2Finvestigation%2Finvestigative-strategies%2Fautomatic-number-plate-recognition-anpr&amp;data=05%7C02%7Cellen.morris%40south-wales.police.uk%7C05c3ac1bfd014f29b8c408dca5ba716d%7C270c2f4dfd0c4f0892a9e5bdd8a87e09%7C0%7C0%7C638567467395594307%7CUnknown%7CTWFpbGZsb3d8eyJWIjoiMC4wLjAwMDAiLCJQIjoiV2luMzIiLCJBTiI6Ik1haWwiLCJXVCI6Mn0%3D%7C0%7C%7C%7C&amp;sdata=wbUvDxNR6X%2F2zPgPZaq%2BbvzS99JcKnZn85RRdaAwyL8%3D&amp;reserved=0" TargetMode="External"/><Relationship Id="rId27" Type="http://schemas.openxmlformats.org/officeDocument/2006/relationships/hyperlink" Target="https://www.college.police.uk/research/what-works-policing-reduce-crime/visible-police-patrol" TargetMode="External"/><Relationship Id="rId30" Type="http://schemas.openxmlformats.org/officeDocument/2006/relationships/hyperlink" Target="https://gbr01.safelinks.protection.outlook.com/?url=https%3A%2F%2Fwww.college.police.uk%2Fguidance%2Finvestigation%2Finvestigative-strategies%2Fcctv&amp;data=05%7C02%7Cellen.morris%40south-wales.police.uk%7C05c3ac1bfd014f29b8c408dca5ba716d%7C270c2f4dfd0c4f0892a9e5bdd8a87e09%7C0%7C0%7C638567467395651070%7CUnknown%7CTWFpbGZsb3d8eyJWIjoiMC4wLjAwMDAiLCJQIjoiV2luMzIiLCJBTiI6Ik1haWwiLCJXVCI6Mn0%3D%7C0%7C%7C%7C&amp;sdata=giP3A%2FEZdil9Kkkko0s8Bce%2FN3bJUjgqlzacmSTvmBA%3D&amp;reserved=0" TargetMode="External"/><Relationship Id="rId35" Type="http://schemas.openxmlformats.org/officeDocument/2006/relationships/hyperlink" Target="https://www.gov.uk/government/publications/pace-code-g-2012/pace-code-g-2012-accessibl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gbr01.safelinks.protection.outlook.com/?url=https%3A%2F%2Fwww.college.police.uk%2Fapp%2Fprofessional-standards&amp;data=05%7C02%7Cellen.morris%40south-wales.police.uk%7C05c3ac1bfd014f29b8c408dca5ba716d%7C270c2f4dfd0c4f0892a9e5bdd8a87e09%7C0%7C0%7C638567467395626544%7CUnknown%7CTWFpbGZsb3d8eyJWIjoiMC4wLjAwMDAiLCJQIjoiV2luMzIiLCJBTiI6Ik1haWwiLCJXVCI6Mn0%3D%7C0%7C%7C%7C&amp;sdata=r6WzpurmeFpDSrECH6i7QB0xu%2BzdA2m7NWIp33kc%2BKw%3D&amp;reserved=0" TargetMode="External"/><Relationship Id="rId33" Type="http://schemas.openxmlformats.org/officeDocument/2006/relationships/hyperlink" Target="https://www.cps.gov.uk/legal-guidance/bail" TargetMode="External"/><Relationship Id="rId38" Type="http://schemas.openxmlformats.org/officeDocument/2006/relationships/hyperlink" Target="https://gbr01.safelinks.protection.outlook.com/?url=https%3A%2F%2Fwww.south-wales.police.uk%2Fpolice-forces%2Fsouth-wales-police%2Fareas%2Fabout-us%2Fabout-us%2Four-vision-values-and-ethics%2F&amp;data=05%7C02%7Cellen.morris%40south-wales.police.uk%7C05c3ac1bfd014f29b8c408dca5ba716d%7C270c2f4dfd0c4f0892a9e5bdd8a87e09%7C0%7C0%7C638567467395684597%7CUnknown%7CTWFpbGZsb3d8eyJWIjoiMC4wLjAwMDAiLCJQIjoiV2luMzIiLCJBTiI6Ik1haWwiLCJXVCI6Mn0%3D%7C0%7C%7C%7C&amp;sdata=3iMr9n7lTpJjgHI7g%2BdS7BaOZFtFLdGnsYTBojSZ8E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5902</Words>
  <Characters>39904</Characters>
  <Application>Microsoft Office Word</Application>
  <DocSecurity>0</DocSecurity>
  <Lines>332</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Morris,Ellen swp8633</cp:lastModifiedBy>
  <cp:revision>2</cp:revision>
  <cp:lastPrinted>2014-08-26T08:55:00Z</cp:lastPrinted>
  <dcterms:created xsi:type="dcterms:W3CDTF">2024-07-16T18:17:00Z</dcterms:created>
  <dcterms:modified xsi:type="dcterms:W3CDTF">2024-07-16T18:17:00Z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