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3EA1BAEB" w:rsidP="10AFA3F6" w:rsidRDefault="3EA1BAEB" w14:paraId="0F9F207D" w14:textId="1C9AA988">
      <w:pPr>
        <w:pStyle w:val="Normal"/>
        <w:spacing w:after="0" w:line="360" w:lineRule="auto"/>
        <w:ind w:left="0"/>
        <w:jc w:val="center"/>
        <w:rPr>
          <w:rFonts w:ascii="Arial" w:hAnsi="Arial" w:eastAsia="Times New Roman" w:cs="Arial"/>
        </w:rPr>
      </w:pPr>
      <w:r w:rsidRPr="10AFA3F6" w:rsidR="3EA1BAEB">
        <w:rPr>
          <w:rFonts w:ascii="Arial" w:hAnsi="Arial" w:eastAsia="Times New Roman" w:cs="Arial"/>
        </w:rPr>
        <w:t>Ahmad Habib (2317248)</w:t>
      </w:r>
    </w:p>
    <w:p w:rsidR="3EA1BAEB" w:rsidP="10AFA3F6" w:rsidRDefault="3EA1BAEB" w14:paraId="536D8782" w14:textId="6A094CA3">
      <w:pPr>
        <w:pStyle w:val="Normal"/>
        <w:spacing w:after="0" w:line="360" w:lineRule="auto"/>
        <w:ind w:left="0"/>
        <w:jc w:val="center"/>
        <w:rPr>
          <w:rFonts w:ascii="Arial" w:hAnsi="Arial" w:eastAsia="Times New Roman" w:cs="Arial"/>
        </w:rPr>
      </w:pPr>
      <w:r w:rsidRPr="10AFA3F6" w:rsidR="3EA1BAEB">
        <w:rPr>
          <w:rFonts w:ascii="Arial" w:hAnsi="Arial" w:eastAsia="Times New Roman" w:cs="Arial"/>
        </w:rPr>
        <w:t>Criminal Law BMLW4005</w:t>
      </w:r>
    </w:p>
    <w:p w:rsidR="3EA1BAEB" w:rsidP="10AFA3F6" w:rsidRDefault="3EA1BAEB" w14:paraId="1B638669" w14:textId="4BBB20FC">
      <w:pPr>
        <w:pStyle w:val="Normal"/>
        <w:spacing w:after="0" w:line="360" w:lineRule="auto"/>
        <w:ind w:left="0"/>
        <w:jc w:val="center"/>
        <w:rPr>
          <w:rFonts w:ascii="Arial" w:hAnsi="Arial" w:eastAsia="Times New Roman" w:cs="Arial"/>
        </w:rPr>
      </w:pPr>
      <w:r w:rsidRPr="10AFA3F6" w:rsidR="3EA1BAEB">
        <w:rPr>
          <w:rFonts w:ascii="Arial" w:hAnsi="Arial" w:eastAsia="Times New Roman" w:cs="Arial"/>
        </w:rPr>
        <w:t>Assignment 2</w:t>
      </w:r>
    </w:p>
    <w:p w:rsidRPr="00B87A9D" w:rsidR="00B87A9D" w:rsidP="00B87A9D" w:rsidRDefault="00B87A9D" w14:paraId="56F967F5" w14:textId="77777777">
      <w:pPr>
        <w:spacing w:line="360" w:lineRule="auto"/>
        <w:rPr>
          <w:rFonts w:ascii="Arial" w:hAnsi="Arial" w:cs="Arial"/>
        </w:rPr>
      </w:pPr>
    </w:p>
    <w:p w:rsidR="3EA1BAEB" w:rsidP="10AFA3F6" w:rsidRDefault="3EA1BAEB" w14:paraId="32762FBB" w14:textId="15603780">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paper will examine the offences using the concept of actus reus, or the physical elements, considering the scenario situation that has been provided. Men's rea, or the mental components, will also be considered pertinent case law. Vinnie committed various crimes and could be liable for some of the crimes if not all the crimes.  </w:t>
      </w:r>
    </w:p>
    <w:p w:rsidR="3EA1BAEB" w:rsidP="10AFA3F6" w:rsidRDefault="3EA1BAEB" w14:paraId="05F238A3" w14:textId="7CE9A03F">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EA1BAEB" w:rsidP="10AFA3F6" w:rsidRDefault="3EA1BAEB" w14:paraId="34850AF3" w14:textId="7BBE03C7">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EA1BAEB" w:rsidP="10AFA3F6" w:rsidRDefault="3EA1BAEB" w14:paraId="0C3DC7C6" w14:textId="4B43DE5C">
      <w:pPr>
        <w:pStyle w:val="ListParagraph"/>
        <w:numPr>
          <w:ilvl w:val="0"/>
          <w:numId w:val="3"/>
        </w:numPr>
        <w:spacing w:before="240" w:beforeAutospacing="off" w:after="240" w:afterAutospacing="off"/>
        <w:ind w:left="360" w:righ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0AFA3F6" w:rsidR="3EA1BAEB">
        <w:rPr>
          <w:rFonts w:ascii="Arial" w:hAnsi="Arial" w:eastAsia="Arial" w:cs="Arial"/>
          <w:b w:val="1"/>
          <w:bCs w:val="1"/>
          <w:i w:val="0"/>
          <w:iCs w:val="0"/>
          <w:strike w:val="0"/>
          <w:dstrike w:val="0"/>
          <w:noProof w:val="0"/>
          <w:color w:val="000000" w:themeColor="text1" w:themeTint="FF" w:themeShade="FF"/>
          <w:sz w:val="24"/>
          <w:szCs w:val="24"/>
          <w:u w:val="none"/>
          <w:lang w:val="en-GB"/>
        </w:rPr>
        <w:t>Theft (Section 1 of the Theft Act of 1968):</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EA1BAEB" w:rsidP="10AFA3F6" w:rsidRDefault="3EA1BAEB" w14:paraId="3989DCC6" w14:textId="2C5B7EA3">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0AFA3F6" w:rsidR="3EA1BAEB">
        <w:rPr>
          <w:rFonts w:ascii="Arial" w:hAnsi="Arial" w:eastAsia="Arial" w:cs="Arial"/>
          <w:b w:val="0"/>
          <w:bCs w:val="0"/>
          <w:i w:val="0"/>
          <w:iCs w:val="0"/>
          <w:strike w:val="0"/>
          <w:dstrike w:val="0"/>
          <w:noProof w:val="0"/>
          <w:color w:val="1E1E1E"/>
          <w:sz w:val="24"/>
          <w:szCs w:val="24"/>
          <w:u w:val="none"/>
          <w:lang w:val="en-GB"/>
        </w:rPr>
        <w:t xml:space="preserve">“A person is guilty of theft if he dishonestly appropriates property belonging to another with the intention of permanently depriving the other of it; and “thief” and “steal” shall be construed accordingly”. </w:t>
      </w:r>
    </w:p>
    <w:p w:rsidR="3EA1BAEB" w:rsidP="10AFA3F6" w:rsidRDefault="3EA1BAEB" w14:paraId="660E51B5" w14:textId="273869F6">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Actus Reus: Vinnie stole the watch to sell it after breaking into the elderly individual's bedroom without authorisation, indicating a trespass. Thus, this demonstrates that Vinnie took the watch rightfully belonging to another person and intentionally handled it as his own. Therefore, this action will be deemed theft by the Theft Act of 1968  </w:t>
      </w:r>
    </w:p>
    <w:p w:rsidR="3EA1BAEB" w:rsidP="10AFA3F6" w:rsidRDefault="3EA1BAEB" w14:paraId="23C874AC" w14:textId="79A4D9F4">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 would not constitute stealing if you borrowed something with the plan to return it. Here, the appropriation condition is satisfied because Vinnie clearly meant to trade in the watch and keep the money for himself.  </w:t>
      </w:r>
    </w:p>
    <w:p w:rsidR="3EA1BAEB" w:rsidP="10AFA3F6" w:rsidRDefault="3EA1BAEB" w14:paraId="2ACA1A24" w14:textId="3D9336A1">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Mens Rea:  Dishonesty is a crucial theft component. Being dishonest extends beyond merely taking things without authorization. It should permanently take the thing away from the owner. In this instance, it is evident that Vinnie planned to trade in the vintage watch and retain the sales money for himself. He was taking advantage of the older adult's possession and using it for his purposes. Thus, this satisfies the condition of dishonesty. </w:t>
      </w:r>
    </w:p>
    <w:p w:rsidR="3EA1BAEB" w:rsidP="10AFA3F6" w:rsidRDefault="3EA1BAEB" w14:paraId="6A645D2C" w14:textId="4CE772C4">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EA1BAEB" w:rsidP="10AFA3F6" w:rsidRDefault="3EA1BAEB" w14:paraId="5DE15646" w14:textId="38B3399F">
      <w:pPr>
        <w:shd w:val="clear" w:color="auto" w:fill="FFFFFF" w:themeFill="background1"/>
        <w:spacing w:before="0" w:beforeAutospacing="off" w:after="0" w:afterAutospacing="off"/>
      </w:pPr>
      <w:r w:rsidRPr="10AFA3F6" w:rsidR="3EA1BAEB">
        <w:rPr>
          <w:rFonts w:ascii="Arial" w:hAnsi="Arial" w:eastAsia="Arial" w:cs="Arial"/>
          <w:b w:val="1"/>
          <w:bCs w:val="1"/>
          <w:i w:val="0"/>
          <w:iCs w:val="0"/>
          <w:strike w:val="0"/>
          <w:dstrike w:val="0"/>
          <w:noProof w:val="0"/>
          <w:color w:val="000000" w:themeColor="text1" w:themeTint="FF" w:themeShade="FF"/>
          <w:sz w:val="24"/>
          <w:szCs w:val="24"/>
          <w:u w:val="none"/>
          <w:lang w:val="en-GB"/>
        </w:rPr>
        <w:t>2. Criminal Damage (Section 1 of the Criminal Damage Act of 1971):</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EA1BAEB" w:rsidP="10AFA3F6" w:rsidRDefault="3EA1BAEB" w14:paraId="6B28330E" w14:textId="1E0B7D10">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0AFA3F6" w:rsidR="3EA1BAEB">
        <w:rPr>
          <w:rFonts w:ascii="Arial" w:hAnsi="Arial" w:eastAsia="Arial" w:cs="Arial"/>
          <w:b w:val="0"/>
          <w:bCs w:val="0"/>
          <w:i w:val="0"/>
          <w:iCs w:val="0"/>
          <w:strike w:val="0"/>
          <w:dstrike w:val="0"/>
          <w:noProof w:val="0"/>
          <w:color w:val="1E1E1E"/>
          <w:sz w:val="24"/>
          <w:szCs w:val="24"/>
          <w:u w:val="none"/>
          <w:lang w:val="en-GB"/>
        </w:rPr>
        <w:t xml:space="preserve">A person who without lawful excuse destroys or damages any property belonging to another intending to destroy or damage any such property or being reckless as to whether any such property would be destroyed or damaged shall be guilty of an offence”. </w:t>
      </w:r>
    </w:p>
    <w:p w:rsidR="3EA1BAEB" w:rsidP="10AFA3F6" w:rsidRDefault="3EA1BAEB" w14:paraId="74BE7054" w14:textId="137E2E1B">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Actus Reus: Thus, it is evident that Vinnie committed a criminal offence since he used his key to scrape Louise's automobile, leaving noticeable marks.  </w:t>
      </w:r>
    </w:p>
    <w:p w:rsidR="3EA1BAEB" w:rsidP="10AFA3F6" w:rsidRDefault="3EA1BAEB" w14:paraId="15B66EBA" w14:textId="470DB8BF">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Mens Rea: Louise, also a staff member, had her automobile parked purposefully and wrecked by Vinnie. The intentional action of taking his vehicle's key and scraping it on the exterior surface of Louise's car can only reasonably harm the vehicle. Vinnie's acts are more than just a tiny disturbance or inconvenience. Using a key to scratch an automobile can substantially damage the appearance of Louise's vehicle and possibly lower the vehicle's resale price. Thus, criminal damages satisfy the actus reus and mens rea requirements.  </w:t>
      </w:r>
    </w:p>
    <w:p w:rsidR="10AFA3F6" w:rsidP="10AFA3F6" w:rsidRDefault="10AFA3F6" w14:paraId="32671103" w14:textId="6AB2333F">
      <w:pPr>
        <w:shd w:val="clear" w:color="auto" w:fill="FFFFFF" w:themeFill="background1"/>
        <w:spacing w:before="0" w:beforeAutospacing="off" w:after="0" w:afterAutospacing="off"/>
      </w:pPr>
    </w:p>
    <w:p w:rsidR="10AFA3F6" w:rsidP="10AFA3F6" w:rsidRDefault="10AFA3F6" w14:paraId="07ADA51A" w14:textId="5A5CAB78">
      <w:pPr>
        <w:shd w:val="clear" w:color="auto" w:fill="FFFFFF" w:themeFill="background1"/>
        <w:spacing w:before="0" w:beforeAutospacing="off" w:after="0" w:afterAutospacing="off"/>
      </w:pPr>
    </w:p>
    <w:p w:rsidR="3EA1BAEB" w:rsidP="10AFA3F6" w:rsidRDefault="3EA1BAEB" w14:paraId="68570118" w14:textId="18B046D3">
      <w:pPr>
        <w:shd w:val="clear" w:color="auto" w:fill="FFFFFF" w:themeFill="background1"/>
        <w:spacing w:before="0" w:beforeAutospacing="off" w:after="0" w:afterAutospacing="off"/>
      </w:pPr>
      <w:r w:rsidRPr="10AFA3F6" w:rsidR="3EA1BAEB">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3. </w:t>
      </w:r>
      <w:r w:rsidRPr="10AFA3F6" w:rsidR="3EA1BAEB">
        <w:rPr>
          <w:rFonts w:ascii="Arial" w:hAnsi="Arial" w:eastAsia="Arial" w:cs="Arial"/>
          <w:b w:val="1"/>
          <w:bCs w:val="1"/>
          <w:i w:val="0"/>
          <w:iCs w:val="0"/>
          <w:strike w:val="0"/>
          <w:dstrike w:val="0"/>
          <w:noProof w:val="0"/>
          <w:color w:val="1F1F1F"/>
          <w:sz w:val="24"/>
          <w:szCs w:val="24"/>
          <w:u w:val="none"/>
          <w:lang w:val="en-GB"/>
        </w:rPr>
        <w:t>Attempted Murder (Offences Against the Person Act 1861, Section 4):</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p>
    <w:p w:rsidR="3EA1BAEB" w:rsidP="10AFA3F6" w:rsidRDefault="3EA1BAEB" w14:paraId="1D0C6A38" w14:textId="303E479E">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w:t>
      </w:r>
      <w:r w:rsidRPr="10AFA3F6" w:rsidR="3EA1BAEB">
        <w:rPr>
          <w:rFonts w:ascii="Arial" w:hAnsi="Arial" w:eastAsia="Arial" w:cs="Arial"/>
          <w:b w:val="0"/>
          <w:bCs w:val="0"/>
          <w:i w:val="0"/>
          <w:iCs w:val="0"/>
          <w:strike w:val="0"/>
          <w:dstrike w:val="0"/>
          <w:noProof w:val="0"/>
          <w:color w:val="1E1E1E"/>
          <w:sz w:val="24"/>
          <w:szCs w:val="24"/>
          <w:u w:val="none"/>
          <w:lang w:val="en-GB"/>
        </w:rPr>
        <w:t xml:space="preserve">Whosoever shall solicit, encourage, persuade, or endeavour to persuade, or shall propose to any person, to murder any other person, whether he be a subject of Her Majesty or not, and whether he be within the Queen’s dominions or not, shall be guilty of a misdemeanour, and being convicted thereof shall be liable” </w:t>
      </w:r>
    </w:p>
    <w:p w:rsidR="3EA1BAEB" w:rsidP="10AFA3F6" w:rsidRDefault="3EA1BAEB" w14:paraId="32F4D09E" w14:textId="47460EC2">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Actus Reus: Normally, aiming and shooting another individual is a straightforward act which, when practical, possibly will lead to death. Furthermore, the leading case of R v Jones &amp; Smith [1976] recognised that when someone is attempting any action that might result in death, even if this murder act fails, the individual can be charged with attempted murder. Thus, in this case scenario, Vinnie's action, which involves pointing and shooting a firearm at these police officers, fully contains the actus reus of attempted murder. </w:t>
      </w:r>
    </w:p>
    <w:p w:rsidR="3EA1BAEB" w:rsidP="10AFA3F6" w:rsidRDefault="3EA1BAEB" w14:paraId="45C0216C" w14:textId="2A0D5E67">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Mens Rea: It is worth noting that Mens rea regarding murder characteristically necessitates malice aforethought; thus, this means an intention to murder or inflict serious physical injury. Therefore, in this situation, Vinnie's action of pointing the firearm at the first time indicates a determination to murder the law enforcement officer. However, the unintentional casualty by Vinnie was the death of Mrs Quinn. R v Woollin (1998) recognised a new assessment for murder initiated by recklessness through a greater degree of possibility of leading to a death. At this point, whereas Vinnie may not have precisely envisioned murdering the officer, directing a gun and shooting in an inhabited and populated neighbourhood indicates carelessness, which might partake in a high probability of triggering death. Thus, it is evident that these actions could be enough to fulfil the men's rea for attempted murder  </w:t>
      </w:r>
    </w:p>
    <w:p w:rsidR="3EA1BAEB" w:rsidP="10AFA3F6" w:rsidRDefault="3EA1BAEB" w14:paraId="68EA3FE9" w14:textId="1A5844CE">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p>
    <w:p w:rsidR="3EA1BAEB" w:rsidP="10AFA3F6" w:rsidRDefault="3EA1BAEB" w14:paraId="6F93B42C" w14:textId="2EAA6B45">
      <w:pPr>
        <w:shd w:val="clear" w:color="auto" w:fill="FFFFFF" w:themeFill="background1"/>
        <w:spacing w:before="0" w:beforeAutospacing="off" w:after="0" w:afterAutospacing="off"/>
      </w:pPr>
      <w:r w:rsidRPr="10AFA3F6" w:rsidR="3EA1BAEB">
        <w:rPr>
          <w:rFonts w:ascii="Arial" w:hAnsi="Arial" w:eastAsia="Arial" w:cs="Arial"/>
          <w:b w:val="1"/>
          <w:bCs w:val="1"/>
          <w:i w:val="0"/>
          <w:iCs w:val="0"/>
          <w:strike w:val="0"/>
          <w:dstrike w:val="0"/>
          <w:noProof w:val="0"/>
          <w:color w:val="1F1F1F"/>
          <w:sz w:val="24"/>
          <w:szCs w:val="24"/>
          <w:u w:val="none"/>
          <w:lang w:val="en-GB"/>
        </w:rPr>
        <w:t>4.</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r w:rsidRPr="10AFA3F6" w:rsidR="3EA1BAEB">
        <w:rPr>
          <w:rFonts w:ascii="Arial" w:hAnsi="Arial" w:eastAsia="Arial" w:cs="Arial"/>
          <w:b w:val="1"/>
          <w:bCs w:val="1"/>
          <w:i w:val="0"/>
          <w:iCs w:val="0"/>
          <w:strike w:val="0"/>
          <w:dstrike w:val="0"/>
          <w:noProof w:val="0"/>
          <w:color w:val="1F1F1F"/>
          <w:sz w:val="24"/>
          <w:szCs w:val="24"/>
          <w:u w:val="none"/>
          <w:lang w:val="en-GB"/>
        </w:rPr>
        <w:t>Murder (Offences Against the Person Act 1861, Section 1):</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p>
    <w:p w:rsidR="3EA1BAEB" w:rsidP="10AFA3F6" w:rsidRDefault="3EA1BAEB" w14:paraId="674ED705" w14:textId="5E209788">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Actus Reus: Vinnie's action of aiming and then later firing the firearm involuntarily led to Mrs Quinn's demise. Despite the shooting being accidental and unintended, Vinnie shall face charges for the crime of murdering Mrs Quinn. Vinnie himself possessed the gun, which he pointed and shot at Mrs Quinn. Nobody forced Vinny to carry out the shooting act; however, it is also worth noting that his intention was not to kill Mrs Quinn.  </w:t>
      </w:r>
    </w:p>
    <w:p w:rsidR="3EA1BAEB" w:rsidP="10AFA3F6" w:rsidRDefault="3EA1BAEB" w14:paraId="18589648" w14:textId="0CD2A338">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Mens Rea: In this scenario, Mens Rea regarding murder or the malice aforethought is not present. Mrs Quinn and Vinnie did not have any prior altercations or grudges; thus, Vinnie lacked the malice aforethought to commit the murder. Since Mrs Quinn's death was accidental, it is worth noting that Vinnie's actions were not premeditated in any way. </w:t>
      </w:r>
    </w:p>
    <w:p w:rsidR="3EA1BAEB" w:rsidP="10AFA3F6" w:rsidRDefault="3EA1BAEB" w14:paraId="5E84E62A" w14:textId="7E1A179E">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However, for this situation, the Felony Murder Rule may still be applicable. Felony Murder Rule, although it is dependent on the jurisdiction, clearly indicates that if an individual’s death arises through another crime, for instance, attempted murder, the offender might be charged with murder regardless of whether it was unintended or deliberate. Notably, R v Mitchell (1983) is a relevant case for this scenario.  </w:t>
      </w:r>
    </w:p>
    <w:p w:rsidR="3EA1BAEB" w:rsidP="10AFA3F6" w:rsidRDefault="3EA1BAEB" w14:paraId="137C88E2" w14:textId="140F2900">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EA1BAEB" w:rsidP="10AFA3F6" w:rsidRDefault="3EA1BAEB" w14:paraId="380A43D5" w14:textId="70292F57">
      <w:pPr>
        <w:shd w:val="clear" w:color="auto" w:fill="FFFFFF" w:themeFill="background1"/>
        <w:spacing w:before="0" w:beforeAutospacing="off" w:after="0" w:afterAutospacing="off"/>
      </w:pPr>
      <w:r w:rsidRPr="10AFA3F6" w:rsidR="3EA1BAEB">
        <w:rPr>
          <w:rFonts w:ascii="Arial" w:hAnsi="Arial" w:eastAsia="Arial" w:cs="Arial"/>
          <w:b w:val="1"/>
          <w:bCs w:val="1"/>
          <w:i w:val="0"/>
          <w:iCs w:val="0"/>
          <w:strike w:val="0"/>
          <w:dstrike w:val="0"/>
          <w:noProof w:val="0"/>
          <w:color w:val="1F1F1F"/>
          <w:sz w:val="24"/>
          <w:szCs w:val="24"/>
          <w:u w:val="none"/>
          <w:lang w:val="en-GB"/>
        </w:rPr>
        <w:t>5. Further Considerations for the Case Scenario</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p>
    <w:p w:rsidR="3EA1BAEB" w:rsidP="10AFA3F6" w:rsidRDefault="3EA1BAEB" w14:paraId="64329BA3" w14:textId="6A5CF188">
      <w:pPr>
        <w:shd w:val="clear" w:color="auto" w:fill="FFFFFF" w:themeFill="background1"/>
        <w:spacing w:before="0" w:beforeAutospacing="off" w:after="0" w:afterAutospacing="off"/>
      </w:pPr>
      <w:r w:rsidRPr="10AFA3F6" w:rsidR="3EA1BAEB">
        <w:rPr>
          <w:rFonts w:ascii="Arial" w:hAnsi="Arial" w:eastAsia="Arial" w:cs="Arial"/>
          <w:b w:val="1"/>
          <w:bCs w:val="1"/>
          <w:i w:val="0"/>
          <w:iCs w:val="0"/>
          <w:strike w:val="0"/>
          <w:dstrike w:val="0"/>
          <w:noProof w:val="0"/>
          <w:color w:val="1F1F1F"/>
          <w:sz w:val="24"/>
          <w:szCs w:val="24"/>
          <w:u w:val="none"/>
          <w:lang w:val="en-GB"/>
        </w:rPr>
        <w:t xml:space="preserve">(I). R v Latimer (1886) </w:t>
      </w:r>
      <w:r w:rsidRPr="10AFA3F6" w:rsidR="3EA1BAEB">
        <w:rPr>
          <w:rFonts w:ascii="Arial" w:hAnsi="Arial" w:eastAsia="Arial" w:cs="Arial"/>
          <w:b w:val="0"/>
          <w:bCs w:val="0"/>
          <w:i w:val="0"/>
          <w:iCs w:val="0"/>
          <w:strike w:val="0"/>
          <w:dstrike w:val="0"/>
          <w:noProof w:val="0"/>
          <w:color w:val="1F1F1F"/>
          <w:sz w:val="24"/>
          <w:szCs w:val="24"/>
          <w:u w:val="none"/>
          <w:lang w:val="en-GB"/>
        </w:rPr>
        <w:t>and </w:t>
      </w:r>
      <w:r w:rsidRPr="10AFA3F6" w:rsidR="3EA1BAEB">
        <w:rPr>
          <w:rFonts w:ascii="Arial" w:hAnsi="Arial" w:eastAsia="Arial" w:cs="Arial"/>
          <w:b w:val="1"/>
          <w:bCs w:val="1"/>
          <w:i w:val="0"/>
          <w:iCs w:val="0"/>
          <w:strike w:val="0"/>
          <w:dstrike w:val="0"/>
          <w:noProof w:val="0"/>
          <w:color w:val="1F1F1F"/>
          <w:sz w:val="24"/>
          <w:szCs w:val="24"/>
          <w:u w:val="none"/>
          <w:lang w:val="en-GB"/>
        </w:rPr>
        <w:t xml:space="preserve">R v Meade and Belt (1823) </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p>
    <w:p w:rsidR="3EA1BAEB" w:rsidP="10AFA3F6" w:rsidRDefault="3EA1BAEB" w14:paraId="60BA92A8" w14:textId="30A14767">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It encompasses an individual’s recklessness and negligence when committing a crime or the actions that were carried out slightly earlier but directly affect the crime committed.  </w:t>
      </w:r>
    </w:p>
    <w:p w:rsidR="3EA1BAEB" w:rsidP="10AFA3F6" w:rsidRDefault="3EA1BAEB" w14:paraId="591AD175" w14:textId="79828C87">
      <w:pPr>
        <w:shd w:val="clear" w:color="auto" w:fill="FFFFFF" w:themeFill="background1"/>
        <w:spacing w:before="0" w:beforeAutospacing="off" w:after="0" w:afterAutospacing="off"/>
      </w:pPr>
      <w:r w:rsidRPr="10AFA3F6" w:rsidR="3EA1BAEB">
        <w:rPr>
          <w:rFonts w:ascii="Arial" w:hAnsi="Arial" w:eastAsia="Arial" w:cs="Arial"/>
          <w:b w:val="1"/>
          <w:bCs w:val="1"/>
          <w:i w:val="0"/>
          <w:iCs w:val="0"/>
          <w:strike w:val="0"/>
          <w:dstrike w:val="0"/>
          <w:noProof w:val="0"/>
          <w:color w:val="1F1F1F"/>
          <w:sz w:val="24"/>
          <w:szCs w:val="24"/>
          <w:u w:val="none"/>
          <w:lang w:val="en-GB"/>
        </w:rPr>
        <w:t>(II). Fagan v Commissioner of Police for the Metropolis [1969]</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p>
    <w:p w:rsidR="3EA1BAEB" w:rsidP="10AFA3F6" w:rsidRDefault="3EA1BAEB" w14:paraId="533433F7" w14:textId="50F0DBA3">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Here, it indicates the vital and practical nature of truthful certainty for mistake-based ultimate defences by the wrongdoer. Thus, the offender may be sincere and argue that he did not intend to commit the crime if accessed and found faithful. However, this might not stand relevant here in any of Vinnie’s case scenarios; this may be attributed to the nature and magnitude of his offences. </w:t>
      </w:r>
    </w:p>
    <w:p w:rsidR="3EA1BAEB" w:rsidP="10AFA3F6" w:rsidRDefault="3EA1BAEB" w14:paraId="14508C80" w14:textId="7D114BA1">
      <w:pPr>
        <w:shd w:val="clear" w:color="auto" w:fill="FFFFFF" w:themeFill="background1"/>
        <w:spacing w:before="0" w:beforeAutospacing="off" w:after="0" w:afterAutospacing="off"/>
      </w:pPr>
      <w:r w:rsidRPr="10AFA3F6" w:rsidR="3EA1BAEB">
        <w:rPr>
          <w:rFonts w:ascii="Arial" w:hAnsi="Arial" w:eastAsia="Arial" w:cs="Arial"/>
          <w:b w:val="1"/>
          <w:bCs w:val="1"/>
          <w:i w:val="0"/>
          <w:iCs w:val="0"/>
          <w:strike w:val="0"/>
          <w:dstrike w:val="0"/>
          <w:noProof w:val="0"/>
          <w:color w:val="1F1F1F"/>
          <w:sz w:val="24"/>
          <w:szCs w:val="24"/>
          <w:u w:val="none"/>
          <w:lang w:val="en-GB"/>
        </w:rPr>
        <w:t xml:space="preserve">(III). R v Darroux [2018] </w:t>
      </w:r>
      <w:r w:rsidRPr="10AFA3F6" w:rsidR="3EA1BAEB">
        <w:rPr>
          <w:rFonts w:ascii="Arial" w:hAnsi="Arial" w:eastAsia="Arial" w:cs="Arial"/>
          <w:b w:val="0"/>
          <w:bCs w:val="0"/>
          <w:i w:val="0"/>
          <w:iCs w:val="0"/>
          <w:strike w:val="0"/>
          <w:dstrike w:val="0"/>
          <w:noProof w:val="0"/>
          <w:color w:val="1F1F1F"/>
          <w:sz w:val="24"/>
          <w:szCs w:val="24"/>
          <w:u w:val="none"/>
          <w:lang w:val="en-GB"/>
        </w:rPr>
        <w:t>and </w:t>
      </w:r>
      <w:r w:rsidRPr="10AFA3F6" w:rsidR="3EA1BAEB">
        <w:rPr>
          <w:rFonts w:ascii="Arial" w:hAnsi="Arial" w:eastAsia="Arial" w:cs="Arial"/>
          <w:b w:val="1"/>
          <w:bCs w:val="1"/>
          <w:i w:val="0"/>
          <w:iCs w:val="0"/>
          <w:strike w:val="0"/>
          <w:dstrike w:val="0"/>
          <w:noProof w:val="0"/>
          <w:color w:val="1F1F1F"/>
          <w:sz w:val="24"/>
          <w:szCs w:val="24"/>
          <w:u w:val="none"/>
          <w:lang w:val="en-GB"/>
        </w:rPr>
        <w:t xml:space="preserve">R v Woollin (1998) </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p>
    <w:p w:rsidR="3EA1BAEB" w:rsidP="10AFA3F6" w:rsidRDefault="3EA1BAEB" w14:paraId="1D8C850B" w14:textId="5E25CD4B">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This case law discusses the concept of intention for murder; for instance, was the murder premeditated or just an unavoidable accident? Thus, this is vital in Vinnie's situation, which has unintentional consequences as per the murder. Vinnie did not initially intend to shoot Mrs Quinn, but later, after pointing and firing the firearm, this unexpected event occurred, leading to Mrs Quinn's death. </w:t>
      </w:r>
    </w:p>
    <w:p w:rsidR="3EA1BAEB" w:rsidP="10AFA3F6" w:rsidRDefault="3EA1BAEB" w14:paraId="1C5BE7C1" w14:textId="26E3CF5A">
      <w:pPr>
        <w:shd w:val="clear" w:color="auto" w:fill="FFFFFF" w:themeFill="background1"/>
        <w:spacing w:before="0" w:beforeAutospacing="off" w:after="0" w:afterAutospacing="off"/>
      </w:pPr>
      <w:r w:rsidRPr="10AFA3F6" w:rsidR="3EA1BAEB">
        <w:rPr>
          <w:rFonts w:ascii="Arial" w:hAnsi="Arial" w:eastAsia="Arial" w:cs="Arial"/>
          <w:b w:val="1"/>
          <w:bCs w:val="1"/>
          <w:i w:val="0"/>
          <w:iCs w:val="0"/>
          <w:strike w:val="0"/>
          <w:dstrike w:val="0"/>
          <w:noProof w:val="0"/>
          <w:color w:val="1F1F1F"/>
          <w:sz w:val="24"/>
          <w:szCs w:val="24"/>
          <w:u w:val="none"/>
          <w:lang w:val="en-GB"/>
        </w:rPr>
        <w:t xml:space="preserve">(IV). R v Cunningham (1957) </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p>
    <w:p w:rsidR="3EA1BAEB" w:rsidP="10AFA3F6" w:rsidRDefault="3EA1BAEB" w14:paraId="46CA285A" w14:textId="54F25367">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Since it deals with the notion of shifted malice, it might be appropriate regarding the precise evidence of the case. In Vinnie's situation, it can be said that he had an altercation with Louise after she filed a complaint against him. However, Vinnie has never met Louise eye to eye, and he is envied by the complaint filed against him. Vinnie further goes to a point where he even damages Louise's vehicle using his keys when it's parked next to his. It is clear that despite not knowing one another physically, Vinnie has a grudge against Louise. If he did not possess shifted malice towards Louise, he could neither be begrudged nor damage Louise's vehicle. </w:t>
      </w:r>
    </w:p>
    <w:p w:rsidR="3EA1BAEB" w:rsidP="10AFA3F6" w:rsidRDefault="3EA1BAEB" w14:paraId="47F4D0CA" w14:textId="53EBE81B">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p>
    <w:p w:rsidR="3EA1BAEB" w:rsidP="10AFA3F6" w:rsidRDefault="3EA1BAEB" w14:paraId="68EC0BC5" w14:textId="2890054D">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To conclude, it is vital to note that the specific set of charges that Vinnie might face will be subject to the jurisdiction in addition to the detailed facts regarding the case. Vinnie does not really know why the police officers were knocking on his door in the first instance. Vinnie had earlier wronged Louise by damaging her car; in addition, he entered the older adult's room unauthorised and stole a watch. After the police officers arrived at his doorstep, Vinnie also committed additional crimes. He threatened the life of police officers and attempted to kill them; in addition, he fired a gun and killed Mrs Quinn. Vinnie shouldn't say anything to the police before he has a lawyer present; the lawyer will give him informed and vital legal advice and probably come to you with a defence strategy.</w:t>
      </w:r>
    </w:p>
    <w:p w:rsidR="3EA1BAEB" w:rsidP="10AFA3F6" w:rsidRDefault="3EA1BAEB" w14:paraId="45ED5643" w14:textId="3FCC54BD">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p>
    <w:p w:rsidR="3EA1BAEB" w:rsidP="10AFA3F6" w:rsidRDefault="3EA1BAEB" w14:paraId="68DD402E" w14:textId="6374E05A">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p>
    <w:p w:rsidR="3EA1BAEB" w:rsidP="10AFA3F6" w:rsidRDefault="3EA1BAEB" w14:paraId="300B5319" w14:textId="0A5CDBB6">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p>
    <w:p w:rsidR="3EA1BAEB" w:rsidP="10AFA3F6" w:rsidRDefault="3EA1BAEB" w14:paraId="07406459" w14:textId="33095E05">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p>
    <w:p w:rsidR="3EA1BAEB" w:rsidP="10AFA3F6" w:rsidRDefault="3EA1BAEB" w14:paraId="77CEB662" w14:textId="6809C5B4">
      <w:pPr>
        <w:shd w:val="clear" w:color="auto" w:fill="FFFFFF" w:themeFill="background1"/>
        <w:spacing w:before="0" w:beforeAutospacing="off" w:after="0" w:afterAutospacing="off"/>
      </w:pPr>
      <w:r w:rsidRPr="10AFA3F6" w:rsidR="3EA1BAEB">
        <w:rPr>
          <w:rFonts w:ascii="Arial" w:hAnsi="Arial" w:eastAsia="Arial" w:cs="Arial"/>
          <w:b w:val="1"/>
          <w:bCs w:val="1"/>
          <w:i w:val="0"/>
          <w:iCs w:val="0"/>
          <w:strike w:val="0"/>
          <w:dstrike w:val="0"/>
          <w:noProof w:val="0"/>
          <w:color w:val="000000" w:themeColor="text1" w:themeTint="FF" w:themeShade="FF"/>
          <w:sz w:val="24"/>
          <w:szCs w:val="24"/>
          <w:u w:val="none"/>
          <w:lang w:val="en-GB"/>
        </w:rPr>
        <w:t>Reference list</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EA1BAEB" w:rsidP="10AFA3F6" w:rsidRDefault="3EA1BAEB" w14:paraId="5B37B809" w14:textId="1EB32435">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Cavaliere, P. (2019) ‘Digital platforms and the rise of global regulation of hate speech’, </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Cambridge International Law Journal</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8(2), pp.282–304. doi:</w:t>
      </w:r>
      <w:hyperlink r:id="R09fd387fdcc04bce">
        <w:r w:rsidRPr="10AFA3F6" w:rsidR="3EA1BAEB">
          <w:rPr>
            <w:rStyle w:val="Hyperlink"/>
            <w:rFonts w:ascii="Arial" w:hAnsi="Arial" w:eastAsia="Arial" w:cs="Arial"/>
            <w:b w:val="0"/>
            <w:bCs w:val="0"/>
            <w:i w:val="0"/>
            <w:iCs w:val="0"/>
            <w:strike w:val="0"/>
            <w:dstrike w:val="0"/>
            <w:noProof w:val="0"/>
            <w:color w:val="1155CC"/>
            <w:sz w:val="24"/>
            <w:szCs w:val="24"/>
            <w:u w:val="none"/>
            <w:lang w:val="en-GB"/>
          </w:rPr>
          <w:t>https://doi.org/10.4337/cilj.2019.02.06</w:t>
        </w:r>
      </w:hyperlink>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EA1BAEB" w:rsidP="10AFA3F6" w:rsidRDefault="3EA1BAEB" w14:paraId="6E7FF16E" w14:textId="16160576">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Gooderson, R.N. (1957) ‘Criminal Law. ‘Maliciously’. ‘Knowingly’,</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The Cambridge Law Journal</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15(2), pp.129–131.</w:t>
      </w:r>
      <w:hyperlink r:id="R4ce2c3fd58f04530">
        <w:r w:rsidRPr="10AFA3F6" w:rsidR="3EA1BAEB">
          <w:rPr>
            <w:rStyle w:val="Hyperlink"/>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w:hyperlink r:id="Racccc292697c4902">
        <w:r w:rsidRPr="10AFA3F6" w:rsidR="3EA1BAEB">
          <w:rPr>
            <w:rStyle w:val="Hyperlink"/>
            <w:rFonts w:ascii="Arial" w:hAnsi="Arial" w:eastAsia="Arial" w:cs="Arial"/>
            <w:b w:val="0"/>
            <w:bCs w:val="0"/>
            <w:i w:val="0"/>
            <w:iCs w:val="0"/>
            <w:strike w:val="0"/>
            <w:dstrike w:val="0"/>
            <w:noProof w:val="0"/>
            <w:color w:val="006FCA"/>
            <w:sz w:val="24"/>
            <w:szCs w:val="24"/>
            <w:u w:val="none"/>
            <w:lang w:val="en-GB"/>
          </w:rPr>
          <w:t>https://doi.org/10.1017/S0008197300081939</w:t>
        </w:r>
      </w:hyperlink>
    </w:p>
    <w:p w:rsidR="3EA1BAEB" w:rsidP="10AFA3F6" w:rsidRDefault="3EA1BAEB" w14:paraId="60128C9C" w14:textId="5CD66EC2">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Hossain, M.B. and Rahi, S.T. (2018) Murder: A Critical Analysis of the Common Law Definition. </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Beijing Law Review</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9(03), pp.460–480. doi:</w:t>
      </w:r>
      <w:hyperlink r:id="Rc98ed7625bd040e2">
        <w:r w:rsidRPr="10AFA3F6" w:rsidR="3EA1BAEB">
          <w:rPr>
            <w:rStyle w:val="Hyperlink"/>
            <w:rFonts w:ascii="Arial" w:hAnsi="Arial" w:eastAsia="Arial" w:cs="Arial"/>
            <w:b w:val="0"/>
            <w:bCs w:val="0"/>
            <w:i w:val="0"/>
            <w:iCs w:val="0"/>
            <w:strike w:val="0"/>
            <w:dstrike w:val="0"/>
            <w:noProof w:val="0"/>
            <w:color w:val="1155CC"/>
            <w:sz w:val="24"/>
            <w:szCs w:val="24"/>
            <w:u w:val="none"/>
            <w:lang w:val="en-GB"/>
          </w:rPr>
          <w:t>https://doi.org/10.4236/blr.2018.93028</w:t>
        </w:r>
      </w:hyperlink>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EA1BAEB" w:rsidP="10AFA3F6" w:rsidRDefault="3EA1BAEB" w14:paraId="7FDD40FE" w14:textId="752BC933">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Leggett, Z. (2018) Court of Appeal: Theft: Appropriation through submitting false claims?’, </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The Journal of Criminal Law</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82(4), pp.287–291. doi:</w:t>
      </w:r>
      <w:hyperlink r:id="Rddf6a6750f30498f">
        <w:r w:rsidRPr="10AFA3F6" w:rsidR="3EA1BAEB">
          <w:rPr>
            <w:rStyle w:val="Hyperlink"/>
            <w:rFonts w:ascii="Arial" w:hAnsi="Arial" w:eastAsia="Arial" w:cs="Arial"/>
            <w:b w:val="0"/>
            <w:bCs w:val="0"/>
            <w:i w:val="0"/>
            <w:iCs w:val="0"/>
            <w:strike w:val="0"/>
            <w:dstrike w:val="0"/>
            <w:noProof w:val="0"/>
            <w:color w:val="1155CC"/>
            <w:sz w:val="24"/>
            <w:szCs w:val="24"/>
            <w:u w:val="none"/>
            <w:lang w:val="en-GB"/>
          </w:rPr>
          <w:t>https://doi.org/10.1177/0022018318790805</w:t>
        </w:r>
      </w:hyperlink>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EA1BAEB" w:rsidP="10AFA3F6" w:rsidRDefault="3EA1BAEB" w14:paraId="1B55F286" w14:textId="629F30F0">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Legislation.gov.uk. (no date) </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Offences against the Person Act 1861. </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w:anchor=":~:text=Whosoever%20shall%20solicit%2C%20encourage%2C%20persuade,shall%20be%20liable%20F2.%20.%20" r:id="R781a2697de1e4b24">
        <w:r w:rsidRPr="10AFA3F6" w:rsidR="3EA1BAEB">
          <w:rPr>
            <w:rStyle w:val="Hyperlink"/>
            <w:rFonts w:ascii="Arial" w:hAnsi="Arial" w:eastAsia="Arial" w:cs="Arial"/>
            <w:b w:val="0"/>
            <w:bCs w:val="0"/>
            <w:i w:val="0"/>
            <w:iCs w:val="0"/>
            <w:strike w:val="0"/>
            <w:dstrike w:val="0"/>
            <w:noProof w:val="0"/>
            <w:color w:val="1155CC"/>
            <w:sz w:val="24"/>
            <w:szCs w:val="24"/>
            <w:u w:val="none"/>
            <w:lang w:val="en-GB"/>
          </w:rPr>
          <w:t>https://www.legislation.gov.uk/ukpga/Vict/24-25/100/section/4#:~:text=Whosoever%20shall%20solicit%2C%20encourage%2C%20persuade,shall%20be%20liable%20F2.%20.%20</w:t>
        </w:r>
      </w:hyperlink>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 May 2024). </w:t>
      </w:r>
    </w:p>
    <w:p w:rsidR="3EA1BAEB" w:rsidP="10AFA3F6" w:rsidRDefault="3EA1BAEB" w14:paraId="036559EA" w14:textId="5551BAA7">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LexisNexis. (no date) </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Section 1 Basic definition of theft. </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w:anchor=":~:text=(1)%20A%20person%20is%20guilty,steal%E2%80%9D%20shall%20be%20construed%20accordingly" r:id="Rc330220d607e4be6">
        <w:r w:rsidRPr="10AFA3F6" w:rsidR="3EA1BAEB">
          <w:rPr>
            <w:rStyle w:val="Hyperlink"/>
            <w:rFonts w:ascii="Arial" w:hAnsi="Arial" w:eastAsia="Arial" w:cs="Arial"/>
            <w:b w:val="0"/>
            <w:bCs w:val="0"/>
            <w:i w:val="0"/>
            <w:iCs w:val="0"/>
            <w:strike w:val="0"/>
            <w:dstrike w:val="0"/>
            <w:noProof w:val="0"/>
            <w:color w:val="1155CC"/>
            <w:sz w:val="24"/>
            <w:szCs w:val="24"/>
            <w:u w:val="none"/>
            <w:lang w:val="en-GB"/>
          </w:rPr>
          <w:t>https://www.lexisnexis.co.uk/legal/legislation/uk-parliament-acts/theft-act-1968-c60/section-1#:~:text=(1)%20A%20person%20is%20guilty,steal%E2%80%9D%20shall%20be%20construed%20accordingly</w:t>
        </w:r>
      </w:hyperlink>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 May 2024).</w:t>
      </w:r>
    </w:p>
    <w:p w:rsidR="3EA1BAEB" w:rsidP="10AFA3F6" w:rsidRDefault="3EA1BAEB" w14:paraId="26080BF4" w14:textId="45CC034B">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SAGE Publications. (2004) ‘Divisional Court’, </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The Journal of Criminal Law,</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68(6), pp.459–465. </w:t>
      </w:r>
      <w:hyperlink r:id="Re5019c1420614399">
        <w:r w:rsidRPr="10AFA3F6" w:rsidR="3EA1BAEB">
          <w:rPr>
            <w:rStyle w:val="Hyperlink"/>
            <w:rFonts w:ascii="Arial" w:hAnsi="Arial" w:eastAsia="Arial" w:cs="Arial"/>
            <w:b w:val="0"/>
            <w:bCs w:val="0"/>
            <w:i w:val="0"/>
            <w:iCs w:val="0"/>
            <w:strike w:val="0"/>
            <w:dstrike w:val="0"/>
            <w:noProof w:val="0"/>
            <w:color w:val="1155CC"/>
            <w:sz w:val="24"/>
            <w:szCs w:val="24"/>
            <w:u w:val="none"/>
            <w:lang w:val="en-GB"/>
          </w:rPr>
          <w:t>https://doi.org/10.1350/jcla.68.6.459.54142</w:t>
        </w:r>
      </w:hyperlink>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EA1BAEB" w:rsidP="10AFA3F6" w:rsidRDefault="3EA1BAEB" w14:paraId="22061C33" w14:textId="19770EF4">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Seatons Solicitors. (2024) </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The definition of Criminal Damage</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w:anchor=":~:text=The%20definition%20of%20Criminal%20Damage" r:id="R110762c8d8ae4841">
        <w:r w:rsidRPr="10AFA3F6" w:rsidR="3EA1BAEB">
          <w:rPr>
            <w:rStyle w:val="Hyperlink"/>
            <w:rFonts w:ascii="Arial" w:hAnsi="Arial" w:eastAsia="Arial" w:cs="Arial"/>
            <w:b w:val="0"/>
            <w:bCs w:val="0"/>
            <w:i w:val="0"/>
            <w:iCs w:val="0"/>
            <w:strike w:val="0"/>
            <w:dstrike w:val="0"/>
            <w:noProof w:val="0"/>
            <w:color w:val="1155CC"/>
            <w:sz w:val="24"/>
            <w:szCs w:val="24"/>
            <w:u w:val="none"/>
            <w:lang w:val="en-GB"/>
          </w:rPr>
          <w:t>https://seatons.co.uk/legal-services/criminal-law/criminal-damage-offences/#:~:text=The%20definition%20of%20Criminal%20Damage</w:t>
        </w:r>
      </w:hyperlink>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 May 2024).</w:t>
      </w:r>
    </w:p>
    <w:p w:rsidR="3EA1BAEB" w:rsidP="10AFA3F6" w:rsidRDefault="3EA1BAEB" w14:paraId="57C2D4B8" w14:textId="50430A44">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Seneviratne, M. (1996) ‘Pre-Natal Injury and Transferred Malice: The Invented Other’, </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The Modern Law Review</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59(6), pp.884–892. </w:t>
      </w:r>
      <w:hyperlink r:id="R9c3f8efdb8c34a15">
        <w:r w:rsidRPr="10AFA3F6" w:rsidR="3EA1BAEB">
          <w:rPr>
            <w:rStyle w:val="Hyperlink"/>
            <w:rFonts w:ascii="Arial" w:hAnsi="Arial" w:eastAsia="Arial" w:cs="Arial"/>
            <w:b w:val="0"/>
            <w:bCs w:val="0"/>
            <w:i w:val="0"/>
            <w:iCs w:val="0"/>
            <w:strike w:val="0"/>
            <w:dstrike w:val="0"/>
            <w:noProof w:val="0"/>
            <w:color w:val="0000FF"/>
            <w:sz w:val="24"/>
            <w:szCs w:val="24"/>
            <w:u w:val="none"/>
            <w:lang w:val="en-GB"/>
          </w:rPr>
          <w:t>https://www.jstor.org/stable/1097452</w:t>
        </w:r>
      </w:hyperlink>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EA1BAEB" w:rsidP="10AFA3F6" w:rsidRDefault="3EA1BAEB" w14:paraId="05C40EE2" w14:textId="1A1485D0">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Shute, S., Gardner, J. and Horder, J.  (1993) </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Action and Value in Criminal Law. </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Oxford: University Press.</w:t>
      </w:r>
    </w:p>
    <w:p w:rsidR="3EA1BAEB" w:rsidP="10AFA3F6" w:rsidRDefault="3EA1BAEB" w14:paraId="63DB065A" w14:textId="19D94202">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Stasi, A. (2021) </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Actus Reus and Mens Rea’, </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ResearchGate. </w:t>
      </w:r>
      <w:r w:rsidRPr="10AFA3F6" w:rsidR="3EA1BAEB">
        <w:rPr>
          <w:rFonts w:ascii="Arial" w:hAnsi="Arial" w:eastAsia="Arial" w:cs="Arial"/>
          <w:b w:val="0"/>
          <w:bCs w:val="0"/>
          <w:i w:val="0"/>
          <w:iCs w:val="0"/>
          <w:strike w:val="0"/>
          <w:dstrike w:val="0"/>
          <w:noProof w:val="0"/>
          <w:color w:val="555555"/>
          <w:sz w:val="24"/>
          <w:szCs w:val="24"/>
          <w:u w:val="none"/>
          <w:lang w:val="en-GB"/>
        </w:rPr>
        <w:t>DOI:</w:t>
      </w:r>
      <w:hyperlink r:id="Rd8873755674b49c8">
        <w:r w:rsidRPr="10AFA3F6" w:rsidR="3EA1BAEB">
          <w:rPr>
            <w:rStyle w:val="Hyperlink"/>
            <w:rFonts w:ascii="Arial" w:hAnsi="Arial" w:eastAsia="Arial" w:cs="Arial"/>
            <w:b w:val="0"/>
            <w:bCs w:val="0"/>
            <w:i w:val="0"/>
            <w:iCs w:val="0"/>
            <w:strike w:val="0"/>
            <w:dstrike w:val="0"/>
            <w:noProof w:val="0"/>
            <w:color w:val="1155CC"/>
            <w:sz w:val="24"/>
            <w:szCs w:val="24"/>
            <w:u w:val="none"/>
            <w:lang w:val="en-GB"/>
          </w:rPr>
          <w:t>10.1007/978-981-15-8708-5_3</w:t>
        </w:r>
      </w:hyperlink>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EA1BAEB" w:rsidP="10AFA3F6" w:rsidRDefault="3EA1BAEB" w14:paraId="3AD2C1AF" w14:textId="7679521A">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Trindade, F.A. (1982) ‘Intentional Torts: Some Thoughts on Assault and Battery’, </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Oxford Journal of Legal Studies</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2(2), pp.211–237. </w:t>
      </w:r>
      <w:hyperlink r:id="R1032390342874728">
        <w:r w:rsidRPr="10AFA3F6" w:rsidR="3EA1BAEB">
          <w:rPr>
            <w:rStyle w:val="Hyperlink"/>
            <w:rFonts w:ascii="Arial" w:hAnsi="Arial" w:eastAsia="Arial" w:cs="Arial"/>
            <w:b w:val="0"/>
            <w:bCs w:val="0"/>
            <w:i w:val="0"/>
            <w:iCs w:val="0"/>
            <w:strike w:val="0"/>
            <w:dstrike w:val="0"/>
            <w:noProof w:val="0"/>
            <w:color w:val="0000FF"/>
            <w:sz w:val="24"/>
            <w:szCs w:val="24"/>
            <w:u w:val="none"/>
            <w:lang w:val="en-GB"/>
          </w:rPr>
          <w:t>https://www.jstor.org/stable/764278</w:t>
        </w:r>
      </w:hyperlink>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EA1BAEB" w:rsidP="10AFA3F6" w:rsidRDefault="3EA1BAEB" w14:paraId="6AA4F1A0" w14:textId="3BD32A42">
      <w:pPr>
        <w:shd w:val="clear" w:color="auto" w:fill="FFFFFF" w:themeFill="background1"/>
        <w:spacing w:before="0" w:beforeAutospacing="off" w:after="0" w:afterAutospacing="off"/>
      </w:pPr>
      <w:r w:rsidRPr="10AFA3F6" w:rsidR="3EA1BAEB">
        <w:rPr>
          <w:rFonts w:ascii="Arial" w:hAnsi="Arial" w:eastAsia="Arial" w:cs="Arial"/>
          <w:b w:val="1"/>
          <w:bCs w:val="1"/>
          <w:i w:val="0"/>
          <w:iCs w:val="0"/>
          <w:strike w:val="0"/>
          <w:dstrike w:val="0"/>
          <w:noProof w:val="0"/>
          <w:color w:val="000000" w:themeColor="text1" w:themeTint="FF" w:themeShade="FF"/>
          <w:sz w:val="24"/>
          <w:szCs w:val="24"/>
          <w:u w:val="none"/>
          <w:lang w:val="en-GB"/>
        </w:rPr>
        <w:t>Case Law Refrences</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EA1BAEB" w:rsidP="10AFA3F6" w:rsidRDefault="3EA1BAEB" w14:paraId="629A6B4B" w14:textId="3D86C9B5">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‘R v Jones &amp; Smith’ (1976)1 </w:t>
      </w:r>
      <w:r w:rsidRPr="10AFA3F6" w:rsidR="3EA1BAEB">
        <w:rPr>
          <w:rFonts w:ascii="Arial" w:hAnsi="Arial" w:eastAsia="Arial" w:cs="Arial"/>
          <w:b w:val="0"/>
          <w:bCs w:val="0"/>
          <w:i w:val="1"/>
          <w:iCs w:val="1"/>
          <w:strike w:val="0"/>
          <w:dstrike w:val="0"/>
          <w:noProof w:val="0"/>
          <w:color w:val="1F1F1F"/>
          <w:sz w:val="24"/>
          <w:szCs w:val="24"/>
          <w:u w:val="none"/>
          <w:lang w:val="en-GB"/>
        </w:rPr>
        <w:t>WLR,</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672.  </w:t>
      </w:r>
    </w:p>
    <w:p w:rsidR="3EA1BAEB" w:rsidP="10AFA3F6" w:rsidRDefault="3EA1BAEB" w14:paraId="247B0DEE" w14:textId="5A273E84">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‘R v Fiak’ (2005) </w:t>
      </w:r>
      <w:r w:rsidRPr="10AFA3F6" w:rsidR="3EA1BAEB">
        <w:rPr>
          <w:rFonts w:ascii="Arial" w:hAnsi="Arial" w:eastAsia="Arial" w:cs="Arial"/>
          <w:b w:val="0"/>
          <w:bCs w:val="0"/>
          <w:i w:val="1"/>
          <w:iCs w:val="1"/>
          <w:strike w:val="0"/>
          <w:dstrike w:val="0"/>
          <w:noProof w:val="0"/>
          <w:color w:val="1F1F1F"/>
          <w:sz w:val="24"/>
          <w:szCs w:val="24"/>
          <w:u w:val="none"/>
          <w:lang w:val="en-GB"/>
        </w:rPr>
        <w:t>EWCA</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Crim, 2381.</w:t>
      </w:r>
      <w:r w:rsidRPr="10AFA3F6" w:rsidR="3EA1BAEB">
        <w:rPr>
          <w:rFonts w:ascii="Arial" w:hAnsi="Arial" w:eastAsia="Arial" w:cs="Arial"/>
          <w:b w:val="0"/>
          <w:bCs w:val="0"/>
          <w:i w:val="1"/>
          <w:iCs w:val="1"/>
          <w:strike w:val="0"/>
          <w:dstrike w:val="0"/>
          <w:noProof w:val="0"/>
          <w:color w:val="1F1F1F"/>
          <w:sz w:val="24"/>
          <w:szCs w:val="24"/>
          <w:u w:val="none"/>
          <w:lang w:val="en-GB"/>
        </w:rPr>
        <w:t xml:space="preserve"> Lexis Plus UK. </w:t>
      </w:r>
      <w:r w:rsidRPr="10AFA3F6" w:rsidR="3EA1BAEB">
        <w:rPr>
          <w:rFonts w:ascii="Arial" w:hAnsi="Arial" w:eastAsia="Arial" w:cs="Arial"/>
          <w:b w:val="0"/>
          <w:bCs w:val="0"/>
          <w:i w:val="0"/>
          <w:iCs w:val="0"/>
          <w:strike w:val="0"/>
          <w:dstrike w:val="0"/>
          <w:noProof w:val="0"/>
          <w:color w:val="1F1F1F"/>
          <w:sz w:val="24"/>
          <w:szCs w:val="24"/>
          <w:u w:val="none"/>
          <w:lang w:val="en-GB"/>
        </w:rPr>
        <w:t xml:space="preserve">Available at: </w:t>
      </w:r>
      <w:hyperlink r:id="R8ac4868f694c4ceb">
        <w:r w:rsidRPr="10AFA3F6" w:rsidR="3EA1BAEB">
          <w:rPr>
            <w:rStyle w:val="Hyperlink"/>
            <w:rFonts w:ascii="Arial" w:hAnsi="Arial" w:eastAsia="Arial" w:cs="Arial"/>
            <w:b w:val="0"/>
            <w:bCs w:val="0"/>
            <w:i w:val="0"/>
            <w:iCs w:val="0"/>
            <w:strike w:val="0"/>
            <w:dstrike w:val="0"/>
            <w:noProof w:val="0"/>
            <w:color w:val="1155CC"/>
            <w:sz w:val="24"/>
            <w:szCs w:val="24"/>
            <w:u w:val="none"/>
            <w:lang w:val="en-GB"/>
          </w:rPr>
          <w:t>https://plus-lexis-com.ezproxy.uwtsd.ac.uk/uk/document/?pdmfid=1001073&amp;crid=be8655c6-4b2a-48bd-92ab-0e26b0961ebf&amp;pddocfullpath=%2Fshared%2Fdocument%2Fcases-uk%2Furn:contentItem:59MP-VG31-DYBP-P0NB-00000-00&amp;pdcontentcomponentid=274662&amp;pdteaserkey=&amp;pdislpamode=false&amp;pddocumentnumber=3&amp;ecomp=dt5k&amp;earg=sr2&amp;prid=0e433234-3b31-447b-9301-5fdd67a9eb8a</w:t>
        </w:r>
      </w:hyperlink>
      <w:r w:rsidRPr="10AFA3F6" w:rsidR="3EA1BAEB">
        <w:rPr>
          <w:rFonts w:ascii="Arial" w:hAnsi="Arial" w:eastAsia="Arial" w:cs="Arial"/>
          <w:b w:val="0"/>
          <w:bCs w:val="0"/>
          <w:i w:val="0"/>
          <w:iCs w:val="0"/>
          <w:strike w:val="0"/>
          <w:dstrike w:val="0"/>
          <w:noProof w:val="0"/>
          <w:color w:val="1F1F1F"/>
          <w:sz w:val="24"/>
          <w:szCs w:val="24"/>
          <w:u w:val="none"/>
          <w:lang w:val="en-GB"/>
        </w:rPr>
        <w:t xml:space="preserve"> (Accessed: 2nd May 2024).</w:t>
      </w:r>
    </w:p>
    <w:p w:rsidR="10AFA3F6" w:rsidP="10AFA3F6" w:rsidRDefault="10AFA3F6" w14:paraId="072E7D2A" w14:textId="376BB0D5">
      <w:pPr>
        <w:shd w:val="clear" w:color="auto" w:fill="FFFFFF" w:themeFill="background1"/>
        <w:spacing w:before="0" w:beforeAutospacing="off" w:after="0" w:afterAutospacing="off"/>
      </w:pPr>
    </w:p>
    <w:p w:rsidR="3EA1BAEB" w:rsidP="10AFA3F6" w:rsidRDefault="3EA1BAEB" w14:paraId="70163A23" w14:textId="28B38DB4">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‘R v Mitchell’ (1983) 2 </w:t>
      </w:r>
      <w:r w:rsidRPr="10AFA3F6" w:rsidR="3EA1BAEB">
        <w:rPr>
          <w:rFonts w:ascii="Arial" w:hAnsi="Arial" w:eastAsia="Arial" w:cs="Arial"/>
          <w:b w:val="0"/>
          <w:bCs w:val="0"/>
          <w:i w:val="1"/>
          <w:iCs w:val="1"/>
          <w:strike w:val="0"/>
          <w:dstrike w:val="0"/>
          <w:noProof w:val="0"/>
          <w:color w:val="1F1F1F"/>
          <w:sz w:val="24"/>
          <w:szCs w:val="24"/>
          <w:u w:val="none"/>
          <w:lang w:val="en-GB"/>
        </w:rPr>
        <w:t>WLR</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r w:rsidRPr="10AFA3F6" w:rsidR="3EA1BAEB">
        <w:rPr>
          <w:rFonts w:ascii="Arial" w:hAnsi="Arial" w:eastAsia="Arial" w:cs="Arial"/>
          <w:b w:val="0"/>
          <w:bCs w:val="0"/>
          <w:i w:val="1"/>
          <w:iCs w:val="1"/>
          <w:strike w:val="0"/>
          <w:dstrike w:val="0"/>
          <w:noProof w:val="0"/>
          <w:color w:val="1F1F1F"/>
          <w:sz w:val="24"/>
          <w:szCs w:val="24"/>
          <w:u w:val="none"/>
          <w:lang w:val="en-GB"/>
        </w:rPr>
        <w:t>Q.B</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938.  </w:t>
      </w:r>
    </w:p>
    <w:p w:rsidR="3EA1BAEB" w:rsidP="10AFA3F6" w:rsidRDefault="3EA1BAEB" w14:paraId="4ED0A341" w14:textId="5AB2BD31">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‘R v Latimer’ (1886) 17 </w:t>
      </w:r>
      <w:r w:rsidRPr="10AFA3F6" w:rsidR="3EA1BAEB">
        <w:rPr>
          <w:rFonts w:ascii="Arial" w:hAnsi="Arial" w:eastAsia="Arial" w:cs="Arial"/>
          <w:b w:val="0"/>
          <w:bCs w:val="0"/>
          <w:i w:val="1"/>
          <w:iCs w:val="1"/>
          <w:strike w:val="0"/>
          <w:dstrike w:val="0"/>
          <w:noProof w:val="0"/>
          <w:color w:val="1F1F1F"/>
          <w:sz w:val="24"/>
          <w:szCs w:val="24"/>
          <w:u w:val="none"/>
          <w:lang w:val="en-GB"/>
        </w:rPr>
        <w:t>QBD,</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359.  </w:t>
      </w:r>
    </w:p>
    <w:p w:rsidR="3EA1BAEB" w:rsidP="10AFA3F6" w:rsidRDefault="3EA1BAEB" w14:paraId="42FDBB9B" w14:textId="18DCAB58">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‘R v Meade and Belt’ (1823) 1 </w:t>
      </w:r>
      <w:r w:rsidRPr="10AFA3F6" w:rsidR="3EA1BAEB">
        <w:rPr>
          <w:rFonts w:ascii="Arial" w:hAnsi="Arial" w:eastAsia="Arial" w:cs="Arial"/>
          <w:b w:val="0"/>
          <w:bCs w:val="0"/>
          <w:i w:val="1"/>
          <w:iCs w:val="1"/>
          <w:strike w:val="0"/>
          <w:dstrike w:val="0"/>
          <w:noProof w:val="0"/>
          <w:color w:val="1F1F1F"/>
          <w:sz w:val="24"/>
          <w:szCs w:val="24"/>
          <w:u w:val="none"/>
          <w:lang w:val="en-GB"/>
        </w:rPr>
        <w:t>Lew. C.C,</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184.  </w:t>
      </w:r>
    </w:p>
    <w:p w:rsidR="3EA1BAEB" w:rsidP="10AFA3F6" w:rsidRDefault="3EA1BAEB" w14:paraId="008FF45D" w14:textId="52940325">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‘R v Darroux’ (2018) </w:t>
      </w:r>
      <w:r w:rsidRPr="10AFA3F6" w:rsidR="3EA1BAEB">
        <w:rPr>
          <w:rFonts w:ascii="Arial" w:hAnsi="Arial" w:eastAsia="Arial" w:cs="Arial"/>
          <w:b w:val="0"/>
          <w:bCs w:val="0"/>
          <w:i w:val="1"/>
          <w:iCs w:val="1"/>
          <w:strike w:val="0"/>
          <w:dstrike w:val="0"/>
          <w:noProof w:val="0"/>
          <w:color w:val="1F1F1F"/>
          <w:sz w:val="24"/>
          <w:szCs w:val="24"/>
          <w:u w:val="none"/>
          <w:lang w:val="en-GB"/>
        </w:rPr>
        <w:t xml:space="preserve">EWCA Crim, </w:t>
      </w:r>
      <w:r w:rsidRPr="10AFA3F6" w:rsidR="3EA1BAEB">
        <w:rPr>
          <w:rFonts w:ascii="Arial" w:hAnsi="Arial" w:eastAsia="Arial" w:cs="Arial"/>
          <w:b w:val="0"/>
          <w:bCs w:val="0"/>
          <w:i w:val="0"/>
          <w:iCs w:val="0"/>
          <w:strike w:val="0"/>
          <w:dstrike w:val="0"/>
          <w:noProof w:val="0"/>
          <w:color w:val="1F1F1F"/>
          <w:sz w:val="24"/>
          <w:szCs w:val="24"/>
          <w:u w:val="none"/>
          <w:lang w:val="en-GB"/>
        </w:rPr>
        <w:t xml:space="preserve">1009. Lexis Plus UK. Available at: </w:t>
      </w:r>
      <w:hyperlink r:id="R5ea8b6a4f5c9411e">
        <w:r w:rsidRPr="10AFA3F6" w:rsidR="3EA1BAEB">
          <w:rPr>
            <w:rStyle w:val="Hyperlink"/>
            <w:rFonts w:ascii="Arial" w:hAnsi="Arial" w:eastAsia="Arial" w:cs="Arial"/>
            <w:b w:val="0"/>
            <w:bCs w:val="0"/>
            <w:i w:val="0"/>
            <w:iCs w:val="0"/>
            <w:strike w:val="0"/>
            <w:dstrike w:val="0"/>
            <w:noProof w:val="0"/>
            <w:color w:val="1155CC"/>
            <w:sz w:val="24"/>
            <w:szCs w:val="24"/>
            <w:u w:val="none"/>
            <w:lang w:val="en-GB"/>
          </w:rPr>
          <w:t>https://plus-lexis-com.ezproxy.uwtsd.ac.uk/uk/analytical-materials-uk/court-of-appeal-theft-appropriation-through-s/?crid=2552020d-0dd3-4a07-9ce1-2b4c455f1be4</w:t>
        </w:r>
      </w:hyperlink>
      <w:r w:rsidRPr="10AFA3F6" w:rsidR="3EA1BAEB">
        <w:rPr>
          <w:rFonts w:ascii="Arial" w:hAnsi="Arial" w:eastAsia="Arial" w:cs="Arial"/>
          <w:b w:val="0"/>
          <w:bCs w:val="0"/>
          <w:i w:val="0"/>
          <w:iCs w:val="0"/>
          <w:strike w:val="0"/>
          <w:dstrike w:val="0"/>
          <w:noProof w:val="0"/>
          <w:color w:val="1F1F1F"/>
          <w:sz w:val="24"/>
          <w:szCs w:val="24"/>
          <w:u w:val="none"/>
          <w:lang w:val="en-GB"/>
        </w:rPr>
        <w:t xml:space="preserve"> </w:t>
      </w:r>
    </w:p>
    <w:p w:rsidR="3EA1BAEB" w:rsidP="10AFA3F6" w:rsidRDefault="3EA1BAEB" w14:paraId="41E26ED5" w14:textId="40602528">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‘Ivey v Genting Casinos Ltd’ (2017) </w:t>
      </w:r>
      <w:r w:rsidRPr="10AFA3F6" w:rsidR="3EA1BAEB">
        <w:rPr>
          <w:rFonts w:ascii="Arial" w:hAnsi="Arial" w:eastAsia="Arial" w:cs="Arial"/>
          <w:b w:val="0"/>
          <w:bCs w:val="0"/>
          <w:i w:val="1"/>
          <w:iCs w:val="1"/>
          <w:strike w:val="0"/>
          <w:dstrike w:val="0"/>
          <w:noProof w:val="0"/>
          <w:color w:val="1F1F1F"/>
          <w:sz w:val="24"/>
          <w:szCs w:val="24"/>
          <w:u w:val="none"/>
          <w:lang w:val="en-GB"/>
        </w:rPr>
        <w:t>UKSC,</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67.  </w:t>
      </w:r>
      <w:r w:rsidRPr="10AFA3F6" w:rsidR="3EA1BAEB">
        <w:rPr>
          <w:rFonts w:ascii="Arial" w:hAnsi="Arial" w:eastAsia="Arial" w:cs="Arial"/>
          <w:b w:val="0"/>
          <w:bCs w:val="0"/>
          <w:i w:val="1"/>
          <w:iCs w:val="1"/>
          <w:strike w:val="0"/>
          <w:dstrike w:val="0"/>
          <w:noProof w:val="0"/>
          <w:color w:val="1F1F1F"/>
          <w:sz w:val="24"/>
          <w:szCs w:val="24"/>
          <w:u w:val="none"/>
          <w:lang w:val="en-GB"/>
        </w:rPr>
        <w:t xml:space="preserve">Lexis Plus UK. </w:t>
      </w:r>
      <w:r w:rsidRPr="10AFA3F6" w:rsidR="3EA1BAEB">
        <w:rPr>
          <w:rFonts w:ascii="Arial" w:hAnsi="Arial" w:eastAsia="Arial" w:cs="Arial"/>
          <w:b w:val="0"/>
          <w:bCs w:val="0"/>
          <w:i w:val="0"/>
          <w:iCs w:val="0"/>
          <w:strike w:val="0"/>
          <w:dstrike w:val="0"/>
          <w:noProof w:val="0"/>
          <w:color w:val="1F1F1F"/>
          <w:sz w:val="24"/>
          <w:szCs w:val="24"/>
          <w:u w:val="none"/>
          <w:lang w:val="en-GB"/>
        </w:rPr>
        <w:t xml:space="preserve">Available at: </w:t>
      </w:r>
      <w:hyperlink r:id="R5b5a075d550d4637">
        <w:r w:rsidRPr="10AFA3F6" w:rsidR="3EA1BAEB">
          <w:rPr>
            <w:rStyle w:val="Hyperlink"/>
            <w:rFonts w:ascii="Arial" w:hAnsi="Arial" w:eastAsia="Arial" w:cs="Arial"/>
            <w:b w:val="0"/>
            <w:bCs w:val="0"/>
            <w:i w:val="0"/>
            <w:iCs w:val="0"/>
            <w:strike w:val="0"/>
            <w:dstrike w:val="0"/>
            <w:noProof w:val="0"/>
            <w:color w:val="1155CC"/>
            <w:sz w:val="24"/>
            <w:szCs w:val="24"/>
            <w:u w:val="none"/>
            <w:lang w:val="en-GB"/>
          </w:rPr>
          <w:t>https://plus-lexis-com.ezproxy.uwtsd.ac.uk/uk/document/?pdmfid=1001073&amp;crid=2601fb87-ff9a-4c9c-8633-878c2396aadc&amp;pddocfullpath=%2Fshared%2Fdocument%2Fcases-uk%2Furn:contentItem:5PT4-8X21-F0JY-C0N5-00000-00&amp;pdcontentcomponentid=504460&amp;pdteaserkey=&amp;pdislpamode=false&amp;pddocumentnumber=1&amp;ecomp=dt5k&amp;earg=sr0&amp;prid=965181e6-e763-480c-80a2-f8b73e9f38f5</w:t>
        </w:r>
      </w:hyperlink>
      <w:r w:rsidRPr="10AFA3F6" w:rsidR="3EA1BAEB">
        <w:rPr>
          <w:rFonts w:ascii="Arial" w:hAnsi="Arial" w:eastAsia="Arial" w:cs="Arial"/>
          <w:b w:val="0"/>
          <w:bCs w:val="0"/>
          <w:i w:val="0"/>
          <w:iCs w:val="0"/>
          <w:strike w:val="0"/>
          <w:dstrike w:val="0"/>
          <w:noProof w:val="0"/>
          <w:color w:val="1F1F1F"/>
          <w:sz w:val="24"/>
          <w:szCs w:val="24"/>
          <w:u w:val="none"/>
          <w:lang w:val="en-GB"/>
        </w:rPr>
        <w:t xml:space="preserve"> (Accessed: 2nd May 2024).</w:t>
      </w:r>
    </w:p>
    <w:p w:rsidR="10AFA3F6" w:rsidP="10AFA3F6" w:rsidRDefault="10AFA3F6" w14:paraId="13E14EFB" w14:textId="61FB60AF">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1F1F1F"/>
          <w:sz w:val="24"/>
          <w:szCs w:val="24"/>
          <w:u w:val="none"/>
          <w:lang w:val="en-GB"/>
        </w:rPr>
      </w:pPr>
    </w:p>
    <w:p w:rsidR="3EA1BAEB" w:rsidP="10AFA3F6" w:rsidRDefault="3EA1BAEB" w14:paraId="7474884F" w14:textId="292AB6F3">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‘R v Cunningham’ (1957) 3 </w:t>
      </w:r>
      <w:r w:rsidRPr="10AFA3F6" w:rsidR="3EA1BAEB">
        <w:rPr>
          <w:rFonts w:ascii="Arial" w:hAnsi="Arial" w:eastAsia="Arial" w:cs="Arial"/>
          <w:b w:val="0"/>
          <w:bCs w:val="0"/>
          <w:i w:val="1"/>
          <w:iCs w:val="1"/>
          <w:strike w:val="0"/>
          <w:dstrike w:val="0"/>
          <w:noProof w:val="0"/>
          <w:color w:val="1F1F1F"/>
          <w:sz w:val="24"/>
          <w:szCs w:val="24"/>
          <w:u w:val="none"/>
          <w:lang w:val="en-GB"/>
        </w:rPr>
        <w:t xml:space="preserve">WLR, </w:t>
      </w:r>
      <w:r w:rsidRPr="10AFA3F6" w:rsidR="3EA1BAEB">
        <w:rPr>
          <w:rFonts w:ascii="Arial" w:hAnsi="Arial" w:eastAsia="Arial" w:cs="Arial"/>
          <w:b w:val="0"/>
          <w:bCs w:val="0"/>
          <w:i w:val="0"/>
          <w:iCs w:val="0"/>
          <w:strike w:val="0"/>
          <w:dstrike w:val="0"/>
          <w:noProof w:val="0"/>
          <w:color w:val="1F1F1F"/>
          <w:sz w:val="24"/>
          <w:szCs w:val="24"/>
          <w:u w:val="none"/>
          <w:lang w:val="en-GB"/>
        </w:rPr>
        <w:t xml:space="preserve">76.  </w:t>
      </w:r>
    </w:p>
    <w:p w:rsidR="3EA1BAEB" w:rsidP="10AFA3F6" w:rsidRDefault="3EA1BAEB" w14:paraId="097AB4AA" w14:textId="25AD76A0">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1F1F1F"/>
          <w:sz w:val="24"/>
          <w:szCs w:val="24"/>
          <w:u w:val="none"/>
          <w:lang w:val="en-GB"/>
        </w:rPr>
        <w:t xml:space="preserve">‘R v Woollin’ (1998) </w:t>
      </w:r>
      <w:r w:rsidRPr="10AFA3F6" w:rsidR="3EA1BAEB">
        <w:rPr>
          <w:rFonts w:ascii="Arial" w:hAnsi="Arial" w:eastAsia="Arial" w:cs="Arial"/>
          <w:b w:val="0"/>
          <w:bCs w:val="0"/>
          <w:i w:val="1"/>
          <w:iCs w:val="1"/>
          <w:strike w:val="0"/>
          <w:dstrike w:val="0"/>
          <w:noProof w:val="0"/>
          <w:color w:val="1F1F1F"/>
          <w:sz w:val="24"/>
          <w:szCs w:val="24"/>
          <w:u w:val="none"/>
          <w:lang w:val="en-GB"/>
        </w:rPr>
        <w:t>AC,</w:t>
      </w:r>
      <w:r w:rsidRPr="10AFA3F6" w:rsidR="3EA1BAEB">
        <w:rPr>
          <w:rFonts w:ascii="Arial" w:hAnsi="Arial" w:eastAsia="Arial" w:cs="Arial"/>
          <w:b w:val="0"/>
          <w:bCs w:val="0"/>
          <w:i w:val="0"/>
          <w:iCs w:val="0"/>
          <w:strike w:val="0"/>
          <w:dstrike w:val="0"/>
          <w:noProof w:val="0"/>
          <w:color w:val="1F1F1F"/>
          <w:sz w:val="24"/>
          <w:szCs w:val="24"/>
          <w:u w:val="none"/>
          <w:lang w:val="en-GB"/>
        </w:rPr>
        <w:t xml:space="preserve"> 82.  </w:t>
      </w:r>
    </w:p>
    <w:p w:rsidR="3EA1BAEB" w:rsidP="10AFA3F6" w:rsidRDefault="3EA1BAEB" w14:paraId="53D70732" w14:textId="6C8A0A64">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‘Fagan v MPC’ (1969)1 </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QB</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439, [1968] 3 </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W.L.R</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1120.  </w:t>
      </w:r>
    </w:p>
    <w:p w:rsidR="3EA1BAEB" w:rsidP="10AFA3F6" w:rsidRDefault="3EA1BAEB" w14:paraId="5DF85CD8" w14:textId="5B078E5D">
      <w:pPr>
        <w:shd w:val="clear" w:color="auto" w:fill="FFFFFF" w:themeFill="background1"/>
        <w:spacing w:before="0" w:beforeAutospacing="off" w:after="0" w:afterAutospacing="off"/>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‘Jones and Smith’ (1976) 1 </w:t>
      </w:r>
      <w:r w:rsidRPr="10AFA3F6" w:rsidR="3EA1BAEB">
        <w:rPr>
          <w:rFonts w:ascii="Arial" w:hAnsi="Arial" w:eastAsia="Arial" w:cs="Arial"/>
          <w:b w:val="0"/>
          <w:bCs w:val="0"/>
          <w:i w:val="1"/>
          <w:iCs w:val="1"/>
          <w:strike w:val="0"/>
          <w:dstrike w:val="0"/>
          <w:noProof w:val="0"/>
          <w:color w:val="000000" w:themeColor="text1" w:themeTint="FF" w:themeShade="FF"/>
          <w:sz w:val="24"/>
          <w:szCs w:val="24"/>
          <w:u w:val="none"/>
          <w:lang w:val="en-GB"/>
        </w:rPr>
        <w:t>WLR</w:t>
      </w: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672.  </w:t>
      </w:r>
    </w:p>
    <w:p w:rsidR="3EA1BAEB" w:rsidP="10AFA3F6" w:rsidRDefault="3EA1BAEB" w14:paraId="7463333B" w14:textId="66E89C06">
      <w:pPr>
        <w:shd w:val="clear" w:color="auto" w:fill="FFFFFF" w:themeFill="background1"/>
        <w:spacing w:before="0" w:beforeAutospacing="off" w:after="0" w:afterAutospacing="off"/>
        <w:ind w:left="360" w:right="0"/>
      </w:pPr>
      <w:r w:rsidRPr="10AFA3F6" w:rsidR="3EA1BA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10AFA3F6" w:rsidP="10AFA3F6" w:rsidRDefault="10AFA3F6" w14:paraId="22799129" w14:textId="4CD1BA10">
      <w:pPr>
        <w:shd w:val="clear" w:color="auto" w:fill="FFFFFF" w:themeFill="background1"/>
        <w:spacing w:before="0" w:beforeAutospacing="off" w:after="0" w:afterAutospacing="off"/>
      </w:pPr>
    </w:p>
    <w:p w:rsidR="10AFA3F6" w:rsidP="10AFA3F6" w:rsidRDefault="10AFA3F6" w14:paraId="69742B13" w14:textId="72A99F6F">
      <w:pPr>
        <w:shd w:val="clear" w:color="auto" w:fill="FFFFFF" w:themeFill="background1"/>
        <w:spacing w:before="0" w:beforeAutospacing="off" w:after="0" w:afterAutospacing="off"/>
        <w:ind w:left="360" w:right="0"/>
      </w:pPr>
    </w:p>
    <w:p w:rsidR="10AFA3F6" w:rsidRDefault="10AFA3F6" w14:paraId="5A859D19" w14:textId="33170F9B"/>
    <w:p w:rsidR="10AFA3F6" w:rsidP="10AFA3F6" w:rsidRDefault="10AFA3F6" w14:paraId="16578505" w14:textId="38A67E70">
      <w:pPr>
        <w:pStyle w:val="Normal"/>
        <w:spacing w:line="360" w:lineRule="auto"/>
        <w:rPr>
          <w:rFonts w:ascii="Arial" w:hAnsi="Arial" w:cs="Arial"/>
        </w:rPr>
      </w:pPr>
    </w:p>
    <w:sectPr w:rsidRPr="00B87A9D" w:rsidR="00B87A9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
    <w:nsid w:val="754ed1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8dd1ff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70A7062F"/>
    <w:multiLevelType w:val="hybridMultilevel"/>
    <w:tmpl w:val="95904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3">
    <w:abstractNumId w:val="2"/>
  </w:num>
  <w:num w:numId="2">
    <w:abstractNumId w:val="1"/>
  </w:num>
  <w:num w:numId="1" w16cid:durableId="107360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A9D"/>
    <w:rsid w:val="000273BF"/>
    <w:rsid w:val="005B330F"/>
    <w:rsid w:val="00690875"/>
    <w:rsid w:val="00722FA2"/>
    <w:rsid w:val="00755D45"/>
    <w:rsid w:val="00860127"/>
    <w:rsid w:val="00B87A9D"/>
    <w:rsid w:val="00CA12DD"/>
    <w:rsid w:val="00D4333D"/>
    <w:rsid w:val="10AFA3F6"/>
    <w:rsid w:val="13D81205"/>
    <w:rsid w:val="2258A47E"/>
    <w:rsid w:val="2C04C770"/>
    <w:rsid w:val="3EA1BAEB"/>
    <w:rsid w:val="44F64147"/>
    <w:rsid w:val="601A7D25"/>
    <w:rsid w:val="66C3A4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C92A7"/>
  <w15:chartTrackingRefBased/>
  <w15:docId w15:val="{197E732A-933E-4389-9E6A-6CDB6C401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87A9D"/>
    <w:pPr>
      <w:spacing w:line="276" w:lineRule="auto"/>
    </w:pPr>
  </w:style>
  <w:style w:type="paragraph" w:styleId="Heading1">
    <w:name w:val="heading 1"/>
    <w:basedOn w:val="Normal"/>
    <w:next w:val="Normal"/>
    <w:link w:val="Heading1Char"/>
    <w:uiPriority w:val="9"/>
    <w:qFormat/>
    <w:rsid w:val="00B87A9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7A9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7A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7A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7A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7A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7A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7A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7A9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87A9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87A9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87A9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87A9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87A9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87A9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87A9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87A9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87A9D"/>
    <w:rPr>
      <w:rFonts w:eastAsiaTheme="majorEastAsia" w:cstheme="majorBidi"/>
      <w:color w:val="272727" w:themeColor="text1" w:themeTint="D8"/>
    </w:rPr>
  </w:style>
  <w:style w:type="paragraph" w:styleId="Title">
    <w:name w:val="Title"/>
    <w:basedOn w:val="Normal"/>
    <w:next w:val="Normal"/>
    <w:link w:val="TitleChar"/>
    <w:uiPriority w:val="10"/>
    <w:qFormat/>
    <w:rsid w:val="00B87A9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87A9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87A9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87A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7A9D"/>
    <w:pPr>
      <w:spacing w:before="160"/>
      <w:jc w:val="center"/>
    </w:pPr>
    <w:rPr>
      <w:i/>
      <w:iCs/>
      <w:color w:val="404040" w:themeColor="text1" w:themeTint="BF"/>
    </w:rPr>
  </w:style>
  <w:style w:type="character" w:styleId="QuoteChar" w:customStyle="1">
    <w:name w:val="Quote Char"/>
    <w:basedOn w:val="DefaultParagraphFont"/>
    <w:link w:val="Quote"/>
    <w:uiPriority w:val="29"/>
    <w:rsid w:val="00B87A9D"/>
    <w:rPr>
      <w:i/>
      <w:iCs/>
      <w:color w:val="404040" w:themeColor="text1" w:themeTint="BF"/>
    </w:rPr>
  </w:style>
  <w:style w:type="paragraph" w:styleId="ListParagraph">
    <w:name w:val="List Paragraph"/>
    <w:basedOn w:val="Normal"/>
    <w:uiPriority w:val="34"/>
    <w:qFormat/>
    <w:rsid w:val="00B87A9D"/>
    <w:pPr>
      <w:ind w:left="720"/>
      <w:contextualSpacing/>
    </w:pPr>
  </w:style>
  <w:style w:type="character" w:styleId="IntenseEmphasis">
    <w:name w:val="Intense Emphasis"/>
    <w:basedOn w:val="DefaultParagraphFont"/>
    <w:uiPriority w:val="21"/>
    <w:qFormat/>
    <w:rsid w:val="00B87A9D"/>
    <w:rPr>
      <w:i/>
      <w:iCs/>
      <w:color w:val="0F4761" w:themeColor="accent1" w:themeShade="BF"/>
    </w:rPr>
  </w:style>
  <w:style w:type="paragraph" w:styleId="IntenseQuote">
    <w:name w:val="Intense Quote"/>
    <w:basedOn w:val="Normal"/>
    <w:next w:val="Normal"/>
    <w:link w:val="IntenseQuoteChar"/>
    <w:uiPriority w:val="30"/>
    <w:qFormat/>
    <w:rsid w:val="00B87A9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87A9D"/>
    <w:rPr>
      <w:i/>
      <w:iCs/>
      <w:color w:val="0F4761" w:themeColor="accent1" w:themeShade="BF"/>
    </w:rPr>
  </w:style>
  <w:style w:type="character" w:styleId="IntenseReference">
    <w:name w:val="Intense Reference"/>
    <w:basedOn w:val="DefaultParagraphFont"/>
    <w:uiPriority w:val="32"/>
    <w:qFormat/>
    <w:rsid w:val="00B87A9D"/>
    <w:rPr>
      <w:b/>
      <w:bCs/>
      <w:smallCaps/>
      <w:color w:val="0F4761" w:themeColor="accent1" w:themeShade="BF"/>
      <w:spacing w:val="5"/>
    </w:rPr>
  </w:style>
  <w:style w:type="character" w:styleId="Hyperlink">
    <w:name w:val="Hyperlink"/>
    <w:basedOn w:val="DefaultParagraphFont"/>
    <w:uiPriority w:val="99"/>
    <w:semiHidden/>
    <w:unhideWhenUsed/>
    <w:rsid w:val="00B87A9D"/>
    <w:rPr>
      <w:color w:val="467886" w:themeColor="hyperlink"/>
      <w:u w:val="single"/>
    </w:rPr>
  </w:style>
  <w:style w:type="paragraph" w:styleId="paragraph" w:customStyle="1">
    <w:name w:val="paragraph"/>
    <w:basedOn w:val="Normal"/>
    <w:rsid w:val="00B87A9D"/>
    <w:pPr>
      <w:spacing w:before="100" w:beforeAutospacing="1" w:after="100" w:afterAutospacing="1" w:line="240" w:lineRule="auto"/>
    </w:pPr>
    <w:rPr>
      <w:rFonts w:ascii="Times New Roman" w:hAnsi="Times New Roman" w:eastAsia="Times New Roman" w:cs="Times New Roman"/>
      <w:kern w:val="0"/>
      <w14:ligatures w14:val="none"/>
    </w:rPr>
  </w:style>
  <w:style w:type="character" w:styleId="normaltextrun" w:customStyle="1">
    <w:name w:val="normaltextrun"/>
    <w:basedOn w:val="DefaultParagraphFont"/>
    <w:rsid w:val="00B87A9D"/>
  </w:style>
  <w:style w:type="character" w:styleId="eop" w:customStyle="1">
    <w:name w:val="eop"/>
    <w:basedOn w:val="DefaultParagraphFont"/>
    <w:rsid w:val="00B87A9D"/>
  </w:style>
  <w:style w:type="character" w:styleId="legterm" w:customStyle="1">
    <w:name w:val="legterm"/>
    <w:basedOn w:val="DefaultParagraphFont"/>
    <w:rsid w:val="00B87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0276339">
      <w:bodyDiv w:val="1"/>
      <w:marLeft w:val="0"/>
      <w:marRight w:val="0"/>
      <w:marTop w:val="0"/>
      <w:marBottom w:val="0"/>
      <w:divBdr>
        <w:top w:val="none" w:sz="0" w:space="0" w:color="auto"/>
        <w:left w:val="none" w:sz="0" w:space="0" w:color="auto"/>
        <w:bottom w:val="none" w:sz="0" w:space="0" w:color="auto"/>
        <w:right w:val="none" w:sz="0" w:space="0" w:color="auto"/>
      </w:divBdr>
      <w:divsChild>
        <w:div w:id="17586878">
          <w:marLeft w:val="0"/>
          <w:marRight w:val="0"/>
          <w:marTop w:val="0"/>
          <w:marBottom w:val="0"/>
          <w:divBdr>
            <w:top w:val="none" w:sz="0" w:space="0" w:color="auto"/>
            <w:left w:val="none" w:sz="0" w:space="0" w:color="auto"/>
            <w:bottom w:val="none" w:sz="0" w:space="0" w:color="auto"/>
            <w:right w:val="none" w:sz="0" w:space="0" w:color="auto"/>
          </w:divBdr>
        </w:div>
        <w:div w:id="185485657">
          <w:marLeft w:val="0"/>
          <w:marRight w:val="0"/>
          <w:marTop w:val="0"/>
          <w:marBottom w:val="0"/>
          <w:divBdr>
            <w:top w:val="none" w:sz="0" w:space="0" w:color="auto"/>
            <w:left w:val="none" w:sz="0" w:space="0" w:color="auto"/>
            <w:bottom w:val="none" w:sz="0" w:space="0" w:color="auto"/>
            <w:right w:val="none" w:sz="0" w:space="0" w:color="auto"/>
          </w:divBdr>
        </w:div>
        <w:div w:id="592318516">
          <w:marLeft w:val="0"/>
          <w:marRight w:val="0"/>
          <w:marTop w:val="0"/>
          <w:marBottom w:val="0"/>
          <w:divBdr>
            <w:top w:val="none" w:sz="0" w:space="0" w:color="auto"/>
            <w:left w:val="none" w:sz="0" w:space="0" w:color="auto"/>
            <w:bottom w:val="none" w:sz="0" w:space="0" w:color="auto"/>
            <w:right w:val="none" w:sz="0" w:space="0" w:color="auto"/>
          </w:divBdr>
        </w:div>
        <w:div w:id="975257303">
          <w:marLeft w:val="0"/>
          <w:marRight w:val="0"/>
          <w:marTop w:val="0"/>
          <w:marBottom w:val="0"/>
          <w:divBdr>
            <w:top w:val="none" w:sz="0" w:space="0" w:color="auto"/>
            <w:left w:val="none" w:sz="0" w:space="0" w:color="auto"/>
            <w:bottom w:val="none" w:sz="0" w:space="0" w:color="auto"/>
            <w:right w:val="none" w:sz="0" w:space="0" w:color="auto"/>
          </w:divBdr>
        </w:div>
        <w:div w:id="1051079562">
          <w:marLeft w:val="0"/>
          <w:marRight w:val="0"/>
          <w:marTop w:val="0"/>
          <w:marBottom w:val="0"/>
          <w:divBdr>
            <w:top w:val="none" w:sz="0" w:space="0" w:color="auto"/>
            <w:left w:val="none" w:sz="0" w:space="0" w:color="auto"/>
            <w:bottom w:val="none" w:sz="0" w:space="0" w:color="auto"/>
            <w:right w:val="none" w:sz="0" w:space="0" w:color="auto"/>
          </w:divBdr>
        </w:div>
        <w:div w:id="1196044287">
          <w:marLeft w:val="0"/>
          <w:marRight w:val="0"/>
          <w:marTop w:val="0"/>
          <w:marBottom w:val="0"/>
          <w:divBdr>
            <w:top w:val="none" w:sz="0" w:space="0" w:color="auto"/>
            <w:left w:val="none" w:sz="0" w:space="0" w:color="auto"/>
            <w:bottom w:val="none" w:sz="0" w:space="0" w:color="auto"/>
            <w:right w:val="none" w:sz="0" w:space="0" w:color="auto"/>
          </w:divBdr>
        </w:div>
        <w:div w:id="1302031189">
          <w:marLeft w:val="0"/>
          <w:marRight w:val="0"/>
          <w:marTop w:val="0"/>
          <w:marBottom w:val="0"/>
          <w:divBdr>
            <w:top w:val="none" w:sz="0" w:space="0" w:color="auto"/>
            <w:left w:val="none" w:sz="0" w:space="0" w:color="auto"/>
            <w:bottom w:val="none" w:sz="0" w:space="0" w:color="auto"/>
            <w:right w:val="none" w:sz="0" w:space="0" w:color="auto"/>
          </w:divBdr>
        </w:div>
        <w:div w:id="1360735408">
          <w:marLeft w:val="0"/>
          <w:marRight w:val="0"/>
          <w:marTop w:val="0"/>
          <w:marBottom w:val="0"/>
          <w:divBdr>
            <w:top w:val="none" w:sz="0" w:space="0" w:color="auto"/>
            <w:left w:val="none" w:sz="0" w:space="0" w:color="auto"/>
            <w:bottom w:val="none" w:sz="0" w:space="0" w:color="auto"/>
            <w:right w:val="none" w:sz="0" w:space="0" w:color="auto"/>
          </w:divBdr>
        </w:div>
        <w:div w:id="1389838952">
          <w:marLeft w:val="0"/>
          <w:marRight w:val="0"/>
          <w:marTop w:val="0"/>
          <w:marBottom w:val="0"/>
          <w:divBdr>
            <w:top w:val="none" w:sz="0" w:space="0" w:color="auto"/>
            <w:left w:val="none" w:sz="0" w:space="0" w:color="auto"/>
            <w:bottom w:val="none" w:sz="0" w:space="0" w:color="auto"/>
            <w:right w:val="none" w:sz="0" w:space="0" w:color="auto"/>
          </w:divBdr>
        </w:div>
        <w:div w:id="1410883252">
          <w:marLeft w:val="0"/>
          <w:marRight w:val="0"/>
          <w:marTop w:val="0"/>
          <w:marBottom w:val="0"/>
          <w:divBdr>
            <w:top w:val="none" w:sz="0" w:space="0" w:color="auto"/>
            <w:left w:val="none" w:sz="0" w:space="0" w:color="auto"/>
            <w:bottom w:val="none" w:sz="0" w:space="0" w:color="auto"/>
            <w:right w:val="none" w:sz="0" w:space="0" w:color="auto"/>
          </w:divBdr>
        </w:div>
        <w:div w:id="1439564799">
          <w:marLeft w:val="0"/>
          <w:marRight w:val="0"/>
          <w:marTop w:val="0"/>
          <w:marBottom w:val="0"/>
          <w:divBdr>
            <w:top w:val="none" w:sz="0" w:space="0" w:color="auto"/>
            <w:left w:val="none" w:sz="0" w:space="0" w:color="auto"/>
            <w:bottom w:val="none" w:sz="0" w:space="0" w:color="auto"/>
            <w:right w:val="none" w:sz="0" w:space="0" w:color="auto"/>
          </w:divBdr>
        </w:div>
        <w:div w:id="1450316710">
          <w:marLeft w:val="0"/>
          <w:marRight w:val="0"/>
          <w:marTop w:val="0"/>
          <w:marBottom w:val="0"/>
          <w:divBdr>
            <w:top w:val="none" w:sz="0" w:space="0" w:color="auto"/>
            <w:left w:val="none" w:sz="0" w:space="0" w:color="auto"/>
            <w:bottom w:val="none" w:sz="0" w:space="0" w:color="auto"/>
            <w:right w:val="none" w:sz="0" w:space="0" w:color="auto"/>
          </w:divBdr>
        </w:div>
        <w:div w:id="1585798626">
          <w:marLeft w:val="0"/>
          <w:marRight w:val="0"/>
          <w:marTop w:val="0"/>
          <w:marBottom w:val="0"/>
          <w:divBdr>
            <w:top w:val="none" w:sz="0" w:space="0" w:color="auto"/>
            <w:left w:val="none" w:sz="0" w:space="0" w:color="auto"/>
            <w:bottom w:val="none" w:sz="0" w:space="0" w:color="auto"/>
            <w:right w:val="none" w:sz="0" w:space="0" w:color="auto"/>
          </w:divBdr>
        </w:div>
        <w:div w:id="1608344016">
          <w:marLeft w:val="0"/>
          <w:marRight w:val="0"/>
          <w:marTop w:val="0"/>
          <w:marBottom w:val="0"/>
          <w:divBdr>
            <w:top w:val="none" w:sz="0" w:space="0" w:color="auto"/>
            <w:left w:val="none" w:sz="0" w:space="0" w:color="auto"/>
            <w:bottom w:val="none" w:sz="0" w:space="0" w:color="auto"/>
            <w:right w:val="none" w:sz="0" w:space="0" w:color="auto"/>
          </w:divBdr>
        </w:div>
        <w:div w:id="1804272126">
          <w:marLeft w:val="0"/>
          <w:marRight w:val="0"/>
          <w:marTop w:val="0"/>
          <w:marBottom w:val="0"/>
          <w:divBdr>
            <w:top w:val="none" w:sz="0" w:space="0" w:color="auto"/>
            <w:left w:val="none" w:sz="0" w:space="0" w:color="auto"/>
            <w:bottom w:val="none" w:sz="0" w:space="0" w:color="auto"/>
            <w:right w:val="none" w:sz="0" w:space="0" w:color="auto"/>
          </w:divBdr>
        </w:div>
      </w:divsChild>
    </w:div>
    <w:div w:id="1310675777">
      <w:bodyDiv w:val="1"/>
      <w:marLeft w:val="0"/>
      <w:marRight w:val="0"/>
      <w:marTop w:val="0"/>
      <w:marBottom w:val="0"/>
      <w:divBdr>
        <w:top w:val="none" w:sz="0" w:space="0" w:color="auto"/>
        <w:left w:val="none" w:sz="0" w:space="0" w:color="auto"/>
        <w:bottom w:val="none" w:sz="0" w:space="0" w:color="auto"/>
        <w:right w:val="none" w:sz="0" w:space="0" w:color="auto"/>
      </w:divBdr>
      <w:divsChild>
        <w:div w:id="169881687">
          <w:marLeft w:val="0"/>
          <w:marRight w:val="0"/>
          <w:marTop w:val="0"/>
          <w:marBottom w:val="0"/>
          <w:divBdr>
            <w:top w:val="none" w:sz="0" w:space="0" w:color="auto"/>
            <w:left w:val="none" w:sz="0" w:space="0" w:color="auto"/>
            <w:bottom w:val="none" w:sz="0" w:space="0" w:color="auto"/>
            <w:right w:val="none" w:sz="0" w:space="0" w:color="auto"/>
          </w:divBdr>
        </w:div>
        <w:div w:id="225141187">
          <w:marLeft w:val="0"/>
          <w:marRight w:val="0"/>
          <w:marTop w:val="0"/>
          <w:marBottom w:val="0"/>
          <w:divBdr>
            <w:top w:val="none" w:sz="0" w:space="0" w:color="auto"/>
            <w:left w:val="none" w:sz="0" w:space="0" w:color="auto"/>
            <w:bottom w:val="none" w:sz="0" w:space="0" w:color="auto"/>
            <w:right w:val="none" w:sz="0" w:space="0" w:color="auto"/>
          </w:divBdr>
        </w:div>
        <w:div w:id="240334171">
          <w:marLeft w:val="0"/>
          <w:marRight w:val="0"/>
          <w:marTop w:val="0"/>
          <w:marBottom w:val="0"/>
          <w:divBdr>
            <w:top w:val="none" w:sz="0" w:space="0" w:color="auto"/>
            <w:left w:val="none" w:sz="0" w:space="0" w:color="auto"/>
            <w:bottom w:val="none" w:sz="0" w:space="0" w:color="auto"/>
            <w:right w:val="none" w:sz="0" w:space="0" w:color="auto"/>
          </w:divBdr>
        </w:div>
        <w:div w:id="348020941">
          <w:marLeft w:val="0"/>
          <w:marRight w:val="0"/>
          <w:marTop w:val="0"/>
          <w:marBottom w:val="0"/>
          <w:divBdr>
            <w:top w:val="none" w:sz="0" w:space="0" w:color="auto"/>
            <w:left w:val="none" w:sz="0" w:space="0" w:color="auto"/>
            <w:bottom w:val="none" w:sz="0" w:space="0" w:color="auto"/>
            <w:right w:val="none" w:sz="0" w:space="0" w:color="auto"/>
          </w:divBdr>
        </w:div>
        <w:div w:id="492260460">
          <w:marLeft w:val="0"/>
          <w:marRight w:val="0"/>
          <w:marTop w:val="0"/>
          <w:marBottom w:val="0"/>
          <w:divBdr>
            <w:top w:val="none" w:sz="0" w:space="0" w:color="auto"/>
            <w:left w:val="none" w:sz="0" w:space="0" w:color="auto"/>
            <w:bottom w:val="none" w:sz="0" w:space="0" w:color="auto"/>
            <w:right w:val="none" w:sz="0" w:space="0" w:color="auto"/>
          </w:divBdr>
        </w:div>
        <w:div w:id="736248547">
          <w:marLeft w:val="0"/>
          <w:marRight w:val="0"/>
          <w:marTop w:val="0"/>
          <w:marBottom w:val="0"/>
          <w:divBdr>
            <w:top w:val="none" w:sz="0" w:space="0" w:color="auto"/>
            <w:left w:val="none" w:sz="0" w:space="0" w:color="auto"/>
            <w:bottom w:val="none" w:sz="0" w:space="0" w:color="auto"/>
            <w:right w:val="none" w:sz="0" w:space="0" w:color="auto"/>
          </w:divBdr>
        </w:div>
        <w:div w:id="1169518683">
          <w:marLeft w:val="0"/>
          <w:marRight w:val="0"/>
          <w:marTop w:val="0"/>
          <w:marBottom w:val="0"/>
          <w:divBdr>
            <w:top w:val="none" w:sz="0" w:space="0" w:color="auto"/>
            <w:left w:val="none" w:sz="0" w:space="0" w:color="auto"/>
            <w:bottom w:val="none" w:sz="0" w:space="0" w:color="auto"/>
            <w:right w:val="none" w:sz="0" w:space="0" w:color="auto"/>
          </w:divBdr>
        </w:div>
        <w:div w:id="1301301138">
          <w:marLeft w:val="0"/>
          <w:marRight w:val="0"/>
          <w:marTop w:val="0"/>
          <w:marBottom w:val="0"/>
          <w:divBdr>
            <w:top w:val="none" w:sz="0" w:space="0" w:color="auto"/>
            <w:left w:val="none" w:sz="0" w:space="0" w:color="auto"/>
            <w:bottom w:val="none" w:sz="0" w:space="0" w:color="auto"/>
            <w:right w:val="none" w:sz="0" w:space="0" w:color="auto"/>
          </w:divBdr>
        </w:div>
        <w:div w:id="1345942041">
          <w:marLeft w:val="0"/>
          <w:marRight w:val="0"/>
          <w:marTop w:val="0"/>
          <w:marBottom w:val="0"/>
          <w:divBdr>
            <w:top w:val="none" w:sz="0" w:space="0" w:color="auto"/>
            <w:left w:val="none" w:sz="0" w:space="0" w:color="auto"/>
            <w:bottom w:val="none" w:sz="0" w:space="0" w:color="auto"/>
            <w:right w:val="none" w:sz="0" w:space="0" w:color="auto"/>
          </w:divBdr>
        </w:div>
        <w:div w:id="1484541347">
          <w:marLeft w:val="0"/>
          <w:marRight w:val="0"/>
          <w:marTop w:val="0"/>
          <w:marBottom w:val="0"/>
          <w:divBdr>
            <w:top w:val="none" w:sz="0" w:space="0" w:color="auto"/>
            <w:left w:val="none" w:sz="0" w:space="0" w:color="auto"/>
            <w:bottom w:val="none" w:sz="0" w:space="0" w:color="auto"/>
            <w:right w:val="none" w:sz="0" w:space="0" w:color="auto"/>
          </w:divBdr>
        </w:div>
        <w:div w:id="1622226951">
          <w:marLeft w:val="0"/>
          <w:marRight w:val="0"/>
          <w:marTop w:val="0"/>
          <w:marBottom w:val="0"/>
          <w:divBdr>
            <w:top w:val="none" w:sz="0" w:space="0" w:color="auto"/>
            <w:left w:val="none" w:sz="0" w:space="0" w:color="auto"/>
            <w:bottom w:val="none" w:sz="0" w:space="0" w:color="auto"/>
            <w:right w:val="none" w:sz="0" w:space="0" w:color="auto"/>
          </w:divBdr>
        </w:div>
        <w:div w:id="1801024979">
          <w:marLeft w:val="0"/>
          <w:marRight w:val="0"/>
          <w:marTop w:val="0"/>
          <w:marBottom w:val="0"/>
          <w:divBdr>
            <w:top w:val="none" w:sz="0" w:space="0" w:color="auto"/>
            <w:left w:val="none" w:sz="0" w:space="0" w:color="auto"/>
            <w:bottom w:val="none" w:sz="0" w:space="0" w:color="auto"/>
            <w:right w:val="none" w:sz="0" w:space="0" w:color="auto"/>
          </w:divBdr>
        </w:div>
        <w:div w:id="1841920193">
          <w:marLeft w:val="0"/>
          <w:marRight w:val="0"/>
          <w:marTop w:val="0"/>
          <w:marBottom w:val="0"/>
          <w:divBdr>
            <w:top w:val="none" w:sz="0" w:space="0" w:color="auto"/>
            <w:left w:val="none" w:sz="0" w:space="0" w:color="auto"/>
            <w:bottom w:val="none" w:sz="0" w:space="0" w:color="auto"/>
            <w:right w:val="none" w:sz="0" w:space="0" w:color="auto"/>
          </w:divBdr>
        </w:div>
        <w:div w:id="1974434160">
          <w:marLeft w:val="0"/>
          <w:marRight w:val="0"/>
          <w:marTop w:val="0"/>
          <w:marBottom w:val="0"/>
          <w:divBdr>
            <w:top w:val="none" w:sz="0" w:space="0" w:color="auto"/>
            <w:left w:val="none" w:sz="0" w:space="0" w:color="auto"/>
            <w:bottom w:val="none" w:sz="0" w:space="0" w:color="auto"/>
            <w:right w:val="none" w:sz="0" w:space="0" w:color="auto"/>
          </w:divBdr>
        </w:div>
        <w:div w:id="2078356132">
          <w:marLeft w:val="0"/>
          <w:marRight w:val="0"/>
          <w:marTop w:val="0"/>
          <w:marBottom w:val="0"/>
          <w:divBdr>
            <w:top w:val="none" w:sz="0" w:space="0" w:color="auto"/>
            <w:left w:val="none" w:sz="0" w:space="0" w:color="auto"/>
            <w:bottom w:val="none" w:sz="0" w:space="0" w:color="auto"/>
            <w:right w:val="none" w:sz="0" w:space="0" w:color="auto"/>
          </w:divBdr>
        </w:div>
      </w:divsChild>
    </w:div>
    <w:div w:id="199236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hyperlink" Target="https://doi.org/10.4337/cilj.2019.02.06" TargetMode="External" Id="R09fd387fdcc04bce" /><Relationship Type="http://schemas.openxmlformats.org/officeDocument/2006/relationships/hyperlink" Target="https://www.jstor.org/stable/4504449" TargetMode="External" Id="R4ce2c3fd58f04530" /><Relationship Type="http://schemas.openxmlformats.org/officeDocument/2006/relationships/hyperlink" Target="https://doi.org/10.1017/S0008197300081939" TargetMode="External" Id="Racccc292697c4902" /><Relationship Type="http://schemas.openxmlformats.org/officeDocument/2006/relationships/hyperlink" Target="https://doi.org/10.4236/blr.2018.93028" TargetMode="External" Id="Rc98ed7625bd040e2" /><Relationship Type="http://schemas.openxmlformats.org/officeDocument/2006/relationships/hyperlink" Target="https://doi.org/10.1177/0022018318790805" TargetMode="External" Id="Rddf6a6750f30498f" /><Relationship Type="http://schemas.openxmlformats.org/officeDocument/2006/relationships/hyperlink" Target="https://www.legislation.gov.uk/ukpga/Vict/24-25/100/section/4" TargetMode="External" Id="R781a2697de1e4b24" /><Relationship Type="http://schemas.openxmlformats.org/officeDocument/2006/relationships/hyperlink" Target="https://www.lexisnexis.co.uk/legal/legislation/uk-parliament-acts/theft-act-1968-c60/section-1" TargetMode="External" Id="Rc330220d607e4be6" /><Relationship Type="http://schemas.openxmlformats.org/officeDocument/2006/relationships/hyperlink" Target="https://doi.org/10.1350/jcla.68.6.459.54142" TargetMode="External" Id="Re5019c1420614399" /><Relationship Type="http://schemas.openxmlformats.org/officeDocument/2006/relationships/hyperlink" Target="https://seatons.co.uk/legal-services/criminal-law/criminal-damage-offences/" TargetMode="External" Id="R110762c8d8ae4841" /><Relationship Type="http://schemas.openxmlformats.org/officeDocument/2006/relationships/hyperlink" Target="https://www.jstor.org/stable/1097452" TargetMode="External" Id="R9c3f8efdb8c34a15" /><Relationship Type="http://schemas.openxmlformats.org/officeDocument/2006/relationships/hyperlink" Target="http://dx.doi.org/10.1007/978-981-15-8708-5_3" TargetMode="External" Id="Rd8873755674b49c8" /><Relationship Type="http://schemas.openxmlformats.org/officeDocument/2006/relationships/hyperlink" Target="https://www.jstor.org/stable/764278" TargetMode="External" Id="R1032390342874728" /><Relationship Type="http://schemas.openxmlformats.org/officeDocument/2006/relationships/hyperlink" Target="https://plus-lexis-com.ezproxy.uwtsd.ac.uk/uk/document/?pdmfid=1001073&amp;crid=be8655c6-4b2a-48bd-92ab-0e26b0961ebf&amp;pddocfullpath=%2Fshared%2Fdocument%2Fcases-uk%2Furn:contentItem:59MP-VG31-DYBP-P0NB-00000-00&amp;pdcontentcomponentid=274662&amp;pdteaserkey=&amp;pdislpamode=false&amp;pddocumentnumber=3&amp;ecomp=dt5k&amp;earg=sr2&amp;prid=0e433234-3b31-447b-9301-5fdd67a9eb8a" TargetMode="External" Id="R8ac4868f694c4ceb" /><Relationship Type="http://schemas.openxmlformats.org/officeDocument/2006/relationships/hyperlink" Target="https://plus-lexis-com.ezproxy.uwtsd.ac.uk/uk/analytical-materials-uk/court-of-appeal-theft-appropriation-through-s/?crid=2552020d-0dd3-4a07-9ce1-2b4c455f1be4" TargetMode="External" Id="R5ea8b6a4f5c9411e" /><Relationship Type="http://schemas.openxmlformats.org/officeDocument/2006/relationships/hyperlink" Target="https://plus-lexis-com.ezproxy.uwtsd.ac.uk/uk/document/?pdmfid=1001073&amp;crid=2601fb87-ff9a-4c9c-8633-878c2396aadc&amp;pddocfullpath=%2Fshared%2Fdocument%2Fcases-uk%2Furn:contentItem:5PT4-8X21-F0JY-C0N5-00000-00&amp;pdcontentcomponentid=504460&amp;pdteaserkey=&amp;pdislpamode=false&amp;pddocumentnumber=1&amp;ecomp=dt5k&amp;earg=sr0&amp;prid=965181e6-e763-480c-80a2-f8b73e9f38f5" TargetMode="External" Id="R5b5a075d550d46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d68df2686ef564fab2f4e9aee51e932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95bdf9589e7e8979f432f699273c481f"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8A6EF778-DAD7-476F-AACE-CAC71F594CB6}">
  <ds:schemaRefs>
    <ds:schemaRef ds:uri="http://schemas.microsoft.com/sharepoint/v3/contenttype/forms"/>
  </ds:schemaRefs>
</ds:datastoreItem>
</file>

<file path=customXml/itemProps2.xml><?xml version="1.0" encoding="utf-8"?>
<ds:datastoreItem xmlns:ds="http://schemas.openxmlformats.org/officeDocument/2006/customXml" ds:itemID="{99DCC42A-32AC-4F77-AF7F-4BE88AD10A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D9198D-1C22-4AA8-84FA-5EC9604EF9AB}">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Ahmad Habib (2317248)</dc:creator>
  <keywords/>
  <dc:description/>
  <lastModifiedBy>Ahmad Habib (2317248)</lastModifiedBy>
  <revision>7</revision>
  <dcterms:created xsi:type="dcterms:W3CDTF">2024-04-30T19:09:00.0000000Z</dcterms:created>
  <dcterms:modified xsi:type="dcterms:W3CDTF">2024-05-03T00:29:30.1316172Z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