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F9C01" w14:textId="6CA04969" w:rsidR="007843F9" w:rsidRDefault="008232E3" w:rsidP="008232E3">
      <w:pPr>
        <w:jc w:val="center"/>
        <w:rPr>
          <w:rFonts w:ascii="Arial" w:hAnsi="Arial" w:cs="Arial"/>
          <w:b/>
          <w:bCs/>
          <w:lang w:val="en-US"/>
        </w:rPr>
      </w:pPr>
      <w:r>
        <w:rPr>
          <w:noProof/>
        </w:rPr>
        <w:drawing>
          <wp:inline distT="0" distB="0" distL="0" distR="0" wp14:anchorId="5C2D3F3F" wp14:editId="3CCF2208">
            <wp:extent cx="3533775" cy="1323975"/>
            <wp:effectExtent l="0" t="0" r="9525" b="9525"/>
            <wp:docPr id="1275624857"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24857" name="Picture 1" descr="A close up of a sign&#10;&#10;AI-generated content may be incorrect."/>
                    <pic:cNvPicPr/>
                  </pic:nvPicPr>
                  <pic:blipFill>
                    <a:blip r:embed="rId8"/>
                    <a:stretch>
                      <a:fillRect/>
                    </a:stretch>
                  </pic:blipFill>
                  <pic:spPr>
                    <a:xfrm>
                      <a:off x="0" y="0"/>
                      <a:ext cx="3533775" cy="1323975"/>
                    </a:xfrm>
                    <a:prstGeom prst="rect">
                      <a:avLst/>
                    </a:prstGeom>
                  </pic:spPr>
                </pic:pic>
              </a:graphicData>
            </a:graphic>
          </wp:inline>
        </w:drawing>
      </w:r>
    </w:p>
    <w:p w14:paraId="57FD75CF" w14:textId="740A6F2D" w:rsidR="00AF3557" w:rsidRDefault="007101C9" w:rsidP="003E6FAE">
      <w:pPr>
        <w:jc w:val="center"/>
        <w:rPr>
          <w:rFonts w:ascii="Arial" w:hAnsi="Arial" w:cs="Arial"/>
          <w:b/>
          <w:bCs/>
        </w:rPr>
      </w:pPr>
      <w:r w:rsidRPr="007101C9">
        <w:rPr>
          <w:rFonts w:ascii="Arial" w:hAnsi="Arial" w:cs="Arial"/>
          <w:b/>
          <w:bCs/>
        </w:rPr>
        <w:t>Assessment component 1: Marketing Environment Analysis</w:t>
      </w:r>
    </w:p>
    <w:p w14:paraId="77C4EB0E" w14:textId="77777777" w:rsidR="00233C2A" w:rsidRDefault="00233C2A" w:rsidP="003E6FAE">
      <w:pPr>
        <w:jc w:val="center"/>
        <w:rPr>
          <w:rFonts w:ascii="Arial" w:hAnsi="Arial" w:cs="Arial"/>
          <w:b/>
          <w:bCs/>
          <w:lang w:val="en-US"/>
        </w:rPr>
      </w:pPr>
    </w:p>
    <w:p w14:paraId="4B22516B" w14:textId="6829DED6" w:rsidR="003E6FAE" w:rsidRPr="00233C2A" w:rsidRDefault="003E6FAE" w:rsidP="003E6FAE">
      <w:pPr>
        <w:spacing w:before="240" w:after="240"/>
        <w:jc w:val="center"/>
        <w:rPr>
          <w:rFonts w:ascii="Arial" w:hAnsi="Arial" w:cs="Arial"/>
          <w:b/>
          <w:bCs/>
        </w:rPr>
      </w:pPr>
      <w:r w:rsidRPr="00233C2A">
        <w:rPr>
          <w:rFonts w:ascii="Arial" w:hAnsi="Arial" w:cs="Arial"/>
          <w:b/>
          <w:bCs/>
        </w:rPr>
        <w:t>Programme Name: Master of Business Administration</w:t>
      </w:r>
    </w:p>
    <w:p w14:paraId="0A57E6A3" w14:textId="7D469632" w:rsidR="008232E3" w:rsidRDefault="007843F9" w:rsidP="00AF3557">
      <w:pPr>
        <w:jc w:val="center"/>
        <w:rPr>
          <w:rFonts w:ascii="Arial" w:hAnsi="Arial" w:cs="Arial"/>
          <w:b/>
          <w:bCs/>
          <w:lang w:val="en-US"/>
        </w:rPr>
      </w:pPr>
      <w:r w:rsidRPr="007843F9">
        <w:rPr>
          <w:rFonts w:ascii="Arial" w:hAnsi="Arial" w:cs="Arial"/>
          <w:b/>
          <w:bCs/>
          <w:lang w:val="en-US"/>
        </w:rPr>
        <w:t>Student Name:</w:t>
      </w:r>
      <w:r w:rsidR="001221FB">
        <w:rPr>
          <w:rFonts w:ascii="Arial" w:hAnsi="Arial" w:cs="Arial"/>
          <w:b/>
          <w:bCs/>
          <w:lang w:val="en-US"/>
        </w:rPr>
        <w:t xml:space="preserve"> </w:t>
      </w:r>
      <w:r w:rsidR="001221FB" w:rsidRPr="00B54363">
        <w:rPr>
          <w:b/>
          <w:bCs/>
        </w:rPr>
        <w:t>Delwar Hussen Raju</w:t>
      </w:r>
    </w:p>
    <w:p w14:paraId="55C69AB8" w14:textId="2533C991" w:rsidR="008232E3" w:rsidRDefault="007843F9" w:rsidP="00AF3557">
      <w:pPr>
        <w:jc w:val="center"/>
        <w:rPr>
          <w:rFonts w:ascii="Arial" w:hAnsi="Arial" w:cs="Arial"/>
          <w:b/>
          <w:bCs/>
          <w:lang w:val="en-US"/>
        </w:rPr>
      </w:pPr>
      <w:r w:rsidRPr="007843F9">
        <w:rPr>
          <w:rFonts w:ascii="Arial" w:hAnsi="Arial" w:cs="Arial"/>
          <w:b/>
          <w:bCs/>
          <w:lang w:val="en-US"/>
        </w:rPr>
        <w:t>Student ID:</w:t>
      </w:r>
      <w:r w:rsidR="006C3B02" w:rsidRPr="006C3B02">
        <w:rPr>
          <w:b/>
          <w:bCs/>
        </w:rPr>
        <w:t xml:space="preserve"> </w:t>
      </w:r>
      <w:r w:rsidR="001221FB" w:rsidRPr="00B54363">
        <w:rPr>
          <w:b/>
          <w:bCs/>
        </w:rPr>
        <w:t>2506700</w:t>
      </w:r>
    </w:p>
    <w:p w14:paraId="577691A2" w14:textId="533DF472" w:rsidR="008232E3" w:rsidRDefault="007843F9" w:rsidP="00AF3557">
      <w:pPr>
        <w:jc w:val="center"/>
        <w:rPr>
          <w:rFonts w:ascii="Arial" w:hAnsi="Arial" w:cs="Arial"/>
          <w:b/>
          <w:bCs/>
          <w:lang w:val="en-US"/>
        </w:rPr>
      </w:pPr>
      <w:r w:rsidRPr="007843F9">
        <w:rPr>
          <w:rFonts w:ascii="Arial" w:hAnsi="Arial" w:cs="Arial"/>
          <w:b/>
          <w:bCs/>
          <w:lang w:val="en-US"/>
        </w:rPr>
        <w:t>Module Name: Marketing Management Module</w:t>
      </w:r>
    </w:p>
    <w:p w14:paraId="6051DC68" w14:textId="0AD7A683" w:rsidR="008232E3" w:rsidRDefault="007843F9" w:rsidP="00AF3557">
      <w:pPr>
        <w:jc w:val="center"/>
        <w:rPr>
          <w:rFonts w:ascii="Arial" w:hAnsi="Arial" w:cs="Arial"/>
          <w:b/>
          <w:bCs/>
          <w:lang w:val="en-US"/>
        </w:rPr>
      </w:pPr>
      <w:r w:rsidRPr="007843F9">
        <w:rPr>
          <w:rFonts w:ascii="Arial" w:hAnsi="Arial" w:cs="Arial"/>
          <w:b/>
          <w:bCs/>
          <w:lang w:val="en-US"/>
        </w:rPr>
        <w:t>Code: LCMB7024</w:t>
      </w:r>
    </w:p>
    <w:p w14:paraId="65E0382A" w14:textId="6C71FE54" w:rsidR="008232E3" w:rsidRDefault="007843F9" w:rsidP="00AF3557">
      <w:pPr>
        <w:jc w:val="center"/>
        <w:rPr>
          <w:rFonts w:ascii="Arial" w:hAnsi="Arial" w:cs="Arial"/>
          <w:b/>
          <w:bCs/>
          <w:lang w:val="en-US"/>
        </w:rPr>
      </w:pPr>
      <w:r w:rsidRPr="007843F9">
        <w:rPr>
          <w:rFonts w:ascii="Arial" w:hAnsi="Arial" w:cs="Arial"/>
          <w:b/>
          <w:bCs/>
          <w:lang w:val="en-US"/>
        </w:rPr>
        <w:t xml:space="preserve">Lecturer’s Name: </w:t>
      </w:r>
      <w:r w:rsidR="001E70D3">
        <w:rPr>
          <w:rFonts w:ascii="Arial" w:hAnsi="Arial" w:cs="Arial"/>
          <w:b/>
          <w:bCs/>
          <w:lang w:val="en-US"/>
        </w:rPr>
        <w:t>Dr</w:t>
      </w:r>
      <w:r w:rsidR="00D271F4">
        <w:rPr>
          <w:rFonts w:ascii="Arial" w:hAnsi="Arial" w:cs="Arial"/>
          <w:b/>
          <w:bCs/>
          <w:lang w:val="en-US"/>
        </w:rPr>
        <w:t xml:space="preserve"> Laila Maazouz (London)</w:t>
      </w:r>
    </w:p>
    <w:p w14:paraId="6558547E" w14:textId="7B22B9AA" w:rsidR="007843F9" w:rsidRDefault="007843F9" w:rsidP="00AF3557">
      <w:pPr>
        <w:jc w:val="center"/>
        <w:rPr>
          <w:rFonts w:ascii="Arial" w:hAnsi="Arial" w:cs="Arial"/>
          <w:b/>
          <w:bCs/>
          <w:lang w:val="en-US"/>
        </w:rPr>
      </w:pPr>
      <w:r w:rsidRPr="007843F9">
        <w:rPr>
          <w:rFonts w:ascii="Arial" w:hAnsi="Arial" w:cs="Arial"/>
          <w:b/>
          <w:bCs/>
          <w:lang w:val="en-US"/>
        </w:rPr>
        <w:t xml:space="preserve">Work Count: </w:t>
      </w:r>
      <w:r w:rsidR="00A44CD3">
        <w:rPr>
          <w:rFonts w:ascii="Arial" w:hAnsi="Arial" w:cs="Arial"/>
          <w:b/>
          <w:bCs/>
          <w:lang w:val="en-US"/>
        </w:rPr>
        <w:t>26</w:t>
      </w:r>
      <w:r w:rsidR="0059006A">
        <w:rPr>
          <w:rFonts w:ascii="Arial" w:hAnsi="Arial" w:cs="Arial"/>
          <w:b/>
          <w:bCs/>
          <w:lang w:val="en-US"/>
        </w:rPr>
        <w:t>89</w:t>
      </w:r>
    </w:p>
    <w:p w14:paraId="37249827" w14:textId="028BDAEA" w:rsidR="00811FC5" w:rsidRPr="007843F9" w:rsidRDefault="00811FC5" w:rsidP="00AF3557">
      <w:pPr>
        <w:jc w:val="center"/>
        <w:rPr>
          <w:rFonts w:ascii="Arial" w:hAnsi="Arial" w:cs="Arial"/>
          <w:b/>
          <w:bCs/>
          <w:lang w:val="en-US"/>
        </w:rPr>
      </w:pPr>
      <w:r>
        <w:rPr>
          <w:rFonts w:ascii="Arial" w:hAnsi="Arial" w:cs="Arial"/>
          <w:b/>
          <w:bCs/>
          <w:lang w:val="en-US"/>
        </w:rPr>
        <w:t xml:space="preserve">Submission Date: 20 </w:t>
      </w:r>
      <w:r w:rsidR="00233C2A">
        <w:rPr>
          <w:rFonts w:ascii="Arial" w:hAnsi="Arial" w:cs="Arial"/>
          <w:b/>
          <w:bCs/>
          <w:lang w:val="en-US"/>
        </w:rPr>
        <w:t>November</w:t>
      </w:r>
      <w:r>
        <w:rPr>
          <w:rFonts w:ascii="Arial" w:hAnsi="Arial" w:cs="Arial"/>
          <w:b/>
          <w:bCs/>
          <w:lang w:val="en-US"/>
        </w:rPr>
        <w:t xml:space="preserve"> 2025</w:t>
      </w:r>
    </w:p>
    <w:p w14:paraId="0A87B304" w14:textId="2CD2ECA3" w:rsidR="00AF3557" w:rsidRDefault="008305F4">
      <w:pPr>
        <w:rPr>
          <w:rFonts w:ascii="Arial" w:hAnsi="Arial" w:cs="Arial"/>
          <w:b/>
          <w:bCs/>
        </w:rPr>
      </w:pPr>
      <w:r>
        <w:rPr>
          <w:rFonts w:ascii="Arial" w:hAnsi="Arial" w:cs="Arial"/>
          <w:b/>
          <w:bCs/>
        </w:rPr>
        <w:br w:type="page"/>
      </w:r>
    </w:p>
    <w:sdt>
      <w:sdtPr>
        <w:rPr>
          <w:rFonts w:asciiTheme="minorHAnsi" w:eastAsiaTheme="minorEastAsia" w:hAnsiTheme="minorHAnsi" w:cstheme="minorBidi"/>
          <w:color w:val="auto"/>
          <w:kern w:val="2"/>
          <w:sz w:val="24"/>
          <w:szCs w:val="24"/>
          <w:lang w:val=""/>
          <w14:ligatures w14:val="standardContextual"/>
        </w:rPr>
        <w:id w:val="-796830652"/>
        <w:docPartObj>
          <w:docPartGallery w:val="Table of Contents"/>
          <w:docPartUnique/>
        </w:docPartObj>
      </w:sdtPr>
      <w:sdtEndPr>
        <w:rPr>
          <w:b/>
          <w:bCs/>
          <w:noProof/>
        </w:rPr>
      </w:sdtEndPr>
      <w:sdtContent>
        <w:p w14:paraId="67D75314" w14:textId="4C1F4FB2" w:rsidR="00AF3557" w:rsidRDefault="00AF3557">
          <w:pPr>
            <w:pStyle w:val="TOCHeading"/>
          </w:pPr>
          <w:r>
            <w:t>Contents</w:t>
          </w:r>
        </w:p>
        <w:p w14:paraId="22674A71" w14:textId="71B903FE" w:rsidR="00965EEA" w:rsidRDefault="00AF3557">
          <w:pPr>
            <w:pStyle w:val="TOC1"/>
            <w:tabs>
              <w:tab w:val="right" w:leader="dot" w:pos="9350"/>
            </w:tabs>
            <w:rPr>
              <w:noProof/>
              <w:lang w:val="en-US"/>
            </w:rPr>
          </w:pPr>
          <w:r>
            <w:fldChar w:fldCharType="begin"/>
          </w:r>
          <w:r>
            <w:instrText xml:space="preserve"> TOC \o "1-3" \h \z \u </w:instrText>
          </w:r>
          <w:r>
            <w:fldChar w:fldCharType="separate"/>
          </w:r>
          <w:hyperlink w:anchor="_Toc214216957" w:history="1">
            <w:r w:rsidR="00965EEA" w:rsidRPr="00E04EE8">
              <w:rPr>
                <w:rStyle w:val="Hyperlink"/>
                <w:rFonts w:ascii="Arial" w:hAnsi="Arial" w:cs="Arial"/>
                <w:b/>
                <w:bCs/>
                <w:noProof/>
              </w:rPr>
              <w:t>1. Introduction</w:t>
            </w:r>
            <w:r w:rsidR="00965EEA">
              <w:rPr>
                <w:noProof/>
                <w:webHidden/>
              </w:rPr>
              <w:tab/>
            </w:r>
            <w:r w:rsidR="00965EEA">
              <w:rPr>
                <w:noProof/>
                <w:webHidden/>
              </w:rPr>
              <w:fldChar w:fldCharType="begin"/>
            </w:r>
            <w:r w:rsidR="00965EEA">
              <w:rPr>
                <w:noProof/>
                <w:webHidden/>
              </w:rPr>
              <w:instrText xml:space="preserve"> PAGEREF _Toc214216957 \h </w:instrText>
            </w:r>
            <w:r w:rsidR="00965EEA">
              <w:rPr>
                <w:noProof/>
                <w:webHidden/>
              </w:rPr>
            </w:r>
            <w:r w:rsidR="00965EEA">
              <w:rPr>
                <w:noProof/>
                <w:webHidden/>
              </w:rPr>
              <w:fldChar w:fldCharType="separate"/>
            </w:r>
            <w:r w:rsidR="00965EEA">
              <w:rPr>
                <w:noProof/>
                <w:webHidden/>
              </w:rPr>
              <w:t>3</w:t>
            </w:r>
            <w:r w:rsidR="00965EEA">
              <w:rPr>
                <w:noProof/>
                <w:webHidden/>
              </w:rPr>
              <w:fldChar w:fldCharType="end"/>
            </w:r>
          </w:hyperlink>
        </w:p>
        <w:p w14:paraId="6F9FA50B" w14:textId="2CE88347" w:rsidR="00965EEA" w:rsidRDefault="00965EEA">
          <w:pPr>
            <w:pStyle w:val="TOC1"/>
            <w:tabs>
              <w:tab w:val="right" w:leader="dot" w:pos="9350"/>
            </w:tabs>
            <w:rPr>
              <w:noProof/>
              <w:lang w:val="en-US"/>
            </w:rPr>
          </w:pPr>
          <w:hyperlink w:anchor="_Toc214216958" w:history="1">
            <w:r w:rsidRPr="00E04EE8">
              <w:rPr>
                <w:rStyle w:val="Hyperlink"/>
                <w:rFonts w:ascii="Arial" w:hAnsi="Arial" w:cs="Arial"/>
                <w:b/>
                <w:bCs/>
                <w:noProof/>
              </w:rPr>
              <w:t>2.1 Macro Marketing Environment Overview.</w:t>
            </w:r>
            <w:r>
              <w:rPr>
                <w:noProof/>
                <w:webHidden/>
              </w:rPr>
              <w:tab/>
            </w:r>
            <w:r>
              <w:rPr>
                <w:noProof/>
                <w:webHidden/>
              </w:rPr>
              <w:fldChar w:fldCharType="begin"/>
            </w:r>
            <w:r>
              <w:rPr>
                <w:noProof/>
                <w:webHidden/>
              </w:rPr>
              <w:instrText xml:space="preserve"> PAGEREF _Toc214216958 \h </w:instrText>
            </w:r>
            <w:r>
              <w:rPr>
                <w:noProof/>
                <w:webHidden/>
              </w:rPr>
            </w:r>
            <w:r>
              <w:rPr>
                <w:noProof/>
                <w:webHidden/>
              </w:rPr>
              <w:fldChar w:fldCharType="separate"/>
            </w:r>
            <w:r>
              <w:rPr>
                <w:noProof/>
                <w:webHidden/>
              </w:rPr>
              <w:t>4</w:t>
            </w:r>
            <w:r>
              <w:rPr>
                <w:noProof/>
                <w:webHidden/>
              </w:rPr>
              <w:fldChar w:fldCharType="end"/>
            </w:r>
          </w:hyperlink>
        </w:p>
        <w:p w14:paraId="5A8B8896" w14:textId="13F22586" w:rsidR="00965EEA" w:rsidRDefault="00965EEA">
          <w:pPr>
            <w:pStyle w:val="TOC1"/>
            <w:tabs>
              <w:tab w:val="right" w:leader="dot" w:pos="9350"/>
            </w:tabs>
            <w:rPr>
              <w:noProof/>
              <w:lang w:val="en-US"/>
            </w:rPr>
          </w:pPr>
          <w:hyperlink w:anchor="_Toc214216959" w:history="1">
            <w:r w:rsidRPr="00E04EE8">
              <w:rPr>
                <w:rStyle w:val="Hyperlink"/>
                <w:rFonts w:ascii="Arial" w:hAnsi="Arial" w:cs="Arial"/>
                <w:b/>
                <w:bCs/>
                <w:noProof/>
              </w:rPr>
              <w:t>2.2 Two External Macro Marketing Actors Chosen.</w:t>
            </w:r>
            <w:r>
              <w:rPr>
                <w:noProof/>
                <w:webHidden/>
              </w:rPr>
              <w:tab/>
            </w:r>
            <w:r>
              <w:rPr>
                <w:noProof/>
                <w:webHidden/>
              </w:rPr>
              <w:fldChar w:fldCharType="begin"/>
            </w:r>
            <w:r>
              <w:rPr>
                <w:noProof/>
                <w:webHidden/>
              </w:rPr>
              <w:instrText xml:space="preserve"> PAGEREF _Toc214216959 \h </w:instrText>
            </w:r>
            <w:r>
              <w:rPr>
                <w:noProof/>
                <w:webHidden/>
              </w:rPr>
            </w:r>
            <w:r>
              <w:rPr>
                <w:noProof/>
                <w:webHidden/>
              </w:rPr>
              <w:fldChar w:fldCharType="separate"/>
            </w:r>
            <w:r>
              <w:rPr>
                <w:noProof/>
                <w:webHidden/>
              </w:rPr>
              <w:t>6</w:t>
            </w:r>
            <w:r>
              <w:rPr>
                <w:noProof/>
                <w:webHidden/>
              </w:rPr>
              <w:fldChar w:fldCharType="end"/>
            </w:r>
          </w:hyperlink>
        </w:p>
        <w:p w14:paraId="3603CA6B" w14:textId="5D5AC25B" w:rsidR="00965EEA" w:rsidRDefault="00965EEA">
          <w:pPr>
            <w:pStyle w:val="TOC2"/>
            <w:tabs>
              <w:tab w:val="right" w:leader="dot" w:pos="9350"/>
            </w:tabs>
            <w:rPr>
              <w:noProof/>
              <w:lang w:val="en-US"/>
            </w:rPr>
          </w:pPr>
          <w:hyperlink w:anchor="_Toc214216960" w:history="1">
            <w:r w:rsidRPr="00E04EE8">
              <w:rPr>
                <w:rStyle w:val="Hyperlink"/>
                <w:rFonts w:ascii="Arial" w:hAnsi="Arial" w:cs="Arial"/>
                <w:b/>
                <w:bCs/>
                <w:noProof/>
              </w:rPr>
              <w:t>Technological Factors</w:t>
            </w:r>
            <w:r>
              <w:rPr>
                <w:noProof/>
                <w:webHidden/>
              </w:rPr>
              <w:tab/>
            </w:r>
            <w:r>
              <w:rPr>
                <w:noProof/>
                <w:webHidden/>
              </w:rPr>
              <w:fldChar w:fldCharType="begin"/>
            </w:r>
            <w:r>
              <w:rPr>
                <w:noProof/>
                <w:webHidden/>
              </w:rPr>
              <w:instrText xml:space="preserve"> PAGEREF _Toc214216960 \h </w:instrText>
            </w:r>
            <w:r>
              <w:rPr>
                <w:noProof/>
                <w:webHidden/>
              </w:rPr>
            </w:r>
            <w:r>
              <w:rPr>
                <w:noProof/>
                <w:webHidden/>
              </w:rPr>
              <w:fldChar w:fldCharType="separate"/>
            </w:r>
            <w:r>
              <w:rPr>
                <w:noProof/>
                <w:webHidden/>
              </w:rPr>
              <w:t>6</w:t>
            </w:r>
            <w:r>
              <w:rPr>
                <w:noProof/>
                <w:webHidden/>
              </w:rPr>
              <w:fldChar w:fldCharType="end"/>
            </w:r>
          </w:hyperlink>
        </w:p>
        <w:p w14:paraId="4A79423D" w14:textId="714A7DD7" w:rsidR="00965EEA" w:rsidRDefault="00965EEA">
          <w:pPr>
            <w:pStyle w:val="TOC2"/>
            <w:tabs>
              <w:tab w:val="right" w:leader="dot" w:pos="9350"/>
            </w:tabs>
            <w:rPr>
              <w:noProof/>
              <w:lang w:val="en-US"/>
            </w:rPr>
          </w:pPr>
          <w:hyperlink w:anchor="_Toc214216961" w:history="1">
            <w:r w:rsidRPr="00E04EE8">
              <w:rPr>
                <w:rStyle w:val="Hyperlink"/>
                <w:rFonts w:ascii="Arial" w:hAnsi="Arial" w:cs="Arial"/>
                <w:b/>
                <w:bCs/>
                <w:noProof/>
              </w:rPr>
              <w:t>Environmental Factors</w:t>
            </w:r>
            <w:r>
              <w:rPr>
                <w:noProof/>
                <w:webHidden/>
              </w:rPr>
              <w:tab/>
            </w:r>
            <w:r>
              <w:rPr>
                <w:noProof/>
                <w:webHidden/>
              </w:rPr>
              <w:fldChar w:fldCharType="begin"/>
            </w:r>
            <w:r>
              <w:rPr>
                <w:noProof/>
                <w:webHidden/>
              </w:rPr>
              <w:instrText xml:space="preserve"> PAGEREF _Toc214216961 \h </w:instrText>
            </w:r>
            <w:r>
              <w:rPr>
                <w:noProof/>
                <w:webHidden/>
              </w:rPr>
            </w:r>
            <w:r>
              <w:rPr>
                <w:noProof/>
                <w:webHidden/>
              </w:rPr>
              <w:fldChar w:fldCharType="separate"/>
            </w:r>
            <w:r>
              <w:rPr>
                <w:noProof/>
                <w:webHidden/>
              </w:rPr>
              <w:t>7</w:t>
            </w:r>
            <w:r>
              <w:rPr>
                <w:noProof/>
                <w:webHidden/>
              </w:rPr>
              <w:fldChar w:fldCharType="end"/>
            </w:r>
          </w:hyperlink>
        </w:p>
        <w:p w14:paraId="28EEF00F" w14:textId="6367BECB" w:rsidR="00965EEA" w:rsidRDefault="00965EEA">
          <w:pPr>
            <w:pStyle w:val="TOC1"/>
            <w:tabs>
              <w:tab w:val="right" w:leader="dot" w:pos="9350"/>
            </w:tabs>
            <w:rPr>
              <w:noProof/>
              <w:lang w:val="en-US"/>
            </w:rPr>
          </w:pPr>
          <w:hyperlink w:anchor="_Toc214216962" w:history="1">
            <w:r w:rsidRPr="00E04EE8">
              <w:rPr>
                <w:rStyle w:val="Hyperlink"/>
                <w:rFonts w:ascii="Arial" w:hAnsi="Arial" w:cs="Arial"/>
                <w:b/>
                <w:bCs/>
                <w:noProof/>
              </w:rPr>
              <w:t>2.3 Actor Critical Analysis.</w:t>
            </w:r>
            <w:r>
              <w:rPr>
                <w:noProof/>
                <w:webHidden/>
              </w:rPr>
              <w:tab/>
            </w:r>
            <w:r>
              <w:rPr>
                <w:noProof/>
                <w:webHidden/>
              </w:rPr>
              <w:fldChar w:fldCharType="begin"/>
            </w:r>
            <w:r>
              <w:rPr>
                <w:noProof/>
                <w:webHidden/>
              </w:rPr>
              <w:instrText xml:space="preserve"> PAGEREF _Toc214216962 \h </w:instrText>
            </w:r>
            <w:r>
              <w:rPr>
                <w:noProof/>
                <w:webHidden/>
              </w:rPr>
            </w:r>
            <w:r>
              <w:rPr>
                <w:noProof/>
                <w:webHidden/>
              </w:rPr>
              <w:fldChar w:fldCharType="separate"/>
            </w:r>
            <w:r>
              <w:rPr>
                <w:noProof/>
                <w:webHidden/>
              </w:rPr>
              <w:t>8</w:t>
            </w:r>
            <w:r>
              <w:rPr>
                <w:noProof/>
                <w:webHidden/>
              </w:rPr>
              <w:fldChar w:fldCharType="end"/>
            </w:r>
          </w:hyperlink>
        </w:p>
        <w:p w14:paraId="717C3761" w14:textId="4D1E1C4B" w:rsidR="00965EEA" w:rsidRDefault="00965EEA">
          <w:pPr>
            <w:pStyle w:val="TOC2"/>
            <w:tabs>
              <w:tab w:val="right" w:leader="dot" w:pos="9350"/>
            </w:tabs>
            <w:rPr>
              <w:noProof/>
              <w:lang w:val="en-US"/>
            </w:rPr>
          </w:pPr>
          <w:hyperlink w:anchor="_Toc214216963" w:history="1">
            <w:r w:rsidRPr="00E04EE8">
              <w:rPr>
                <w:rStyle w:val="Hyperlink"/>
                <w:rFonts w:ascii="Arial" w:hAnsi="Arial" w:cs="Arial"/>
                <w:b/>
                <w:bCs/>
                <w:noProof/>
              </w:rPr>
              <w:t>A.Technological Actor</w:t>
            </w:r>
            <w:r>
              <w:rPr>
                <w:noProof/>
                <w:webHidden/>
              </w:rPr>
              <w:tab/>
            </w:r>
            <w:r>
              <w:rPr>
                <w:noProof/>
                <w:webHidden/>
              </w:rPr>
              <w:fldChar w:fldCharType="begin"/>
            </w:r>
            <w:r>
              <w:rPr>
                <w:noProof/>
                <w:webHidden/>
              </w:rPr>
              <w:instrText xml:space="preserve"> PAGEREF _Toc214216963 \h </w:instrText>
            </w:r>
            <w:r>
              <w:rPr>
                <w:noProof/>
                <w:webHidden/>
              </w:rPr>
            </w:r>
            <w:r>
              <w:rPr>
                <w:noProof/>
                <w:webHidden/>
              </w:rPr>
              <w:fldChar w:fldCharType="separate"/>
            </w:r>
            <w:r>
              <w:rPr>
                <w:noProof/>
                <w:webHidden/>
              </w:rPr>
              <w:t>8</w:t>
            </w:r>
            <w:r>
              <w:rPr>
                <w:noProof/>
                <w:webHidden/>
              </w:rPr>
              <w:fldChar w:fldCharType="end"/>
            </w:r>
          </w:hyperlink>
        </w:p>
        <w:p w14:paraId="45656C77" w14:textId="2F70ECD9" w:rsidR="00965EEA" w:rsidRDefault="00965EEA">
          <w:pPr>
            <w:pStyle w:val="TOC2"/>
            <w:tabs>
              <w:tab w:val="right" w:leader="dot" w:pos="9350"/>
            </w:tabs>
            <w:rPr>
              <w:noProof/>
              <w:lang w:val="en-US"/>
            </w:rPr>
          </w:pPr>
          <w:hyperlink w:anchor="_Toc214216964" w:history="1">
            <w:r w:rsidRPr="00E04EE8">
              <w:rPr>
                <w:rStyle w:val="Hyperlink"/>
                <w:rFonts w:ascii="Arial" w:eastAsia="Times New Roman" w:hAnsi="Arial" w:cs="Arial"/>
                <w:b/>
                <w:bCs/>
                <w:noProof/>
              </w:rPr>
              <w:t>Figure: Technological Advantage Curve  Pioneers vs. Followers in the EV Industry</w:t>
            </w:r>
            <w:r>
              <w:rPr>
                <w:noProof/>
                <w:webHidden/>
              </w:rPr>
              <w:tab/>
            </w:r>
            <w:r>
              <w:rPr>
                <w:noProof/>
                <w:webHidden/>
              </w:rPr>
              <w:fldChar w:fldCharType="begin"/>
            </w:r>
            <w:r>
              <w:rPr>
                <w:noProof/>
                <w:webHidden/>
              </w:rPr>
              <w:instrText xml:space="preserve"> PAGEREF _Toc214216964 \h </w:instrText>
            </w:r>
            <w:r>
              <w:rPr>
                <w:noProof/>
                <w:webHidden/>
              </w:rPr>
            </w:r>
            <w:r>
              <w:rPr>
                <w:noProof/>
                <w:webHidden/>
              </w:rPr>
              <w:fldChar w:fldCharType="separate"/>
            </w:r>
            <w:r>
              <w:rPr>
                <w:noProof/>
                <w:webHidden/>
              </w:rPr>
              <w:t>9</w:t>
            </w:r>
            <w:r>
              <w:rPr>
                <w:noProof/>
                <w:webHidden/>
              </w:rPr>
              <w:fldChar w:fldCharType="end"/>
            </w:r>
          </w:hyperlink>
        </w:p>
        <w:p w14:paraId="5EFEDE2E" w14:textId="68EB251C" w:rsidR="00965EEA" w:rsidRDefault="00965EEA">
          <w:pPr>
            <w:pStyle w:val="TOC2"/>
            <w:tabs>
              <w:tab w:val="right" w:leader="dot" w:pos="9350"/>
            </w:tabs>
            <w:rPr>
              <w:noProof/>
              <w:lang w:val="en-US"/>
            </w:rPr>
          </w:pPr>
          <w:hyperlink w:anchor="_Toc214216965" w:history="1">
            <w:r w:rsidRPr="00E04EE8">
              <w:rPr>
                <w:rStyle w:val="Hyperlink"/>
                <w:rFonts w:ascii="Arial" w:hAnsi="Arial" w:cs="Arial"/>
                <w:b/>
                <w:bCs/>
                <w:noProof/>
              </w:rPr>
              <w:t>B. Environmental Actor</w:t>
            </w:r>
            <w:r>
              <w:rPr>
                <w:noProof/>
                <w:webHidden/>
              </w:rPr>
              <w:tab/>
            </w:r>
            <w:r>
              <w:rPr>
                <w:noProof/>
                <w:webHidden/>
              </w:rPr>
              <w:fldChar w:fldCharType="begin"/>
            </w:r>
            <w:r>
              <w:rPr>
                <w:noProof/>
                <w:webHidden/>
              </w:rPr>
              <w:instrText xml:space="preserve"> PAGEREF _Toc214216965 \h </w:instrText>
            </w:r>
            <w:r>
              <w:rPr>
                <w:noProof/>
                <w:webHidden/>
              </w:rPr>
            </w:r>
            <w:r>
              <w:rPr>
                <w:noProof/>
                <w:webHidden/>
              </w:rPr>
              <w:fldChar w:fldCharType="separate"/>
            </w:r>
            <w:r>
              <w:rPr>
                <w:noProof/>
                <w:webHidden/>
              </w:rPr>
              <w:t>9</w:t>
            </w:r>
            <w:r>
              <w:rPr>
                <w:noProof/>
                <w:webHidden/>
              </w:rPr>
              <w:fldChar w:fldCharType="end"/>
            </w:r>
          </w:hyperlink>
        </w:p>
        <w:p w14:paraId="729E7974" w14:textId="128F58DF" w:rsidR="00965EEA" w:rsidRDefault="00965EEA">
          <w:pPr>
            <w:pStyle w:val="TOC2"/>
            <w:tabs>
              <w:tab w:val="right" w:leader="dot" w:pos="9350"/>
            </w:tabs>
            <w:rPr>
              <w:noProof/>
              <w:lang w:val="en-US"/>
            </w:rPr>
          </w:pPr>
          <w:hyperlink w:anchor="_Toc214216966" w:history="1">
            <w:r w:rsidRPr="00E04EE8">
              <w:rPr>
                <w:rStyle w:val="Hyperlink"/>
                <w:rFonts w:ascii="Arial" w:eastAsia="Times New Roman" w:hAnsi="Arial" w:cs="Arial"/>
                <w:b/>
                <w:bCs/>
                <w:noProof/>
              </w:rPr>
              <w:t>Table 2: Environmental Opportunities and Threats for Tesla (Pioneer) and BYD (Follower)</w:t>
            </w:r>
            <w:r>
              <w:rPr>
                <w:noProof/>
                <w:webHidden/>
              </w:rPr>
              <w:tab/>
            </w:r>
            <w:r>
              <w:rPr>
                <w:noProof/>
                <w:webHidden/>
              </w:rPr>
              <w:fldChar w:fldCharType="begin"/>
            </w:r>
            <w:r>
              <w:rPr>
                <w:noProof/>
                <w:webHidden/>
              </w:rPr>
              <w:instrText xml:space="preserve"> PAGEREF _Toc214216966 \h </w:instrText>
            </w:r>
            <w:r>
              <w:rPr>
                <w:noProof/>
                <w:webHidden/>
              </w:rPr>
            </w:r>
            <w:r>
              <w:rPr>
                <w:noProof/>
                <w:webHidden/>
              </w:rPr>
              <w:fldChar w:fldCharType="separate"/>
            </w:r>
            <w:r>
              <w:rPr>
                <w:noProof/>
                <w:webHidden/>
              </w:rPr>
              <w:t>10</w:t>
            </w:r>
            <w:r>
              <w:rPr>
                <w:noProof/>
                <w:webHidden/>
              </w:rPr>
              <w:fldChar w:fldCharType="end"/>
            </w:r>
          </w:hyperlink>
        </w:p>
        <w:p w14:paraId="44A642D0" w14:textId="62262797" w:rsidR="00965EEA" w:rsidRDefault="00965EEA">
          <w:pPr>
            <w:pStyle w:val="TOC1"/>
            <w:tabs>
              <w:tab w:val="right" w:leader="dot" w:pos="9350"/>
            </w:tabs>
            <w:rPr>
              <w:noProof/>
              <w:lang w:val="en-US"/>
            </w:rPr>
          </w:pPr>
          <w:hyperlink w:anchor="_Toc214216967" w:history="1">
            <w:r w:rsidRPr="00E04EE8">
              <w:rPr>
                <w:rStyle w:val="Hyperlink"/>
                <w:rFonts w:ascii="Arial" w:eastAsia="Times New Roman" w:hAnsi="Arial" w:cs="Arial"/>
                <w:b/>
                <w:bCs/>
                <w:noProof/>
              </w:rPr>
              <w:t>3.1 Pioneering Organisations’ Strategic Responses</w:t>
            </w:r>
            <w:r>
              <w:rPr>
                <w:noProof/>
                <w:webHidden/>
              </w:rPr>
              <w:tab/>
            </w:r>
            <w:r>
              <w:rPr>
                <w:noProof/>
                <w:webHidden/>
              </w:rPr>
              <w:fldChar w:fldCharType="begin"/>
            </w:r>
            <w:r>
              <w:rPr>
                <w:noProof/>
                <w:webHidden/>
              </w:rPr>
              <w:instrText xml:space="preserve"> PAGEREF _Toc214216967 \h </w:instrText>
            </w:r>
            <w:r>
              <w:rPr>
                <w:noProof/>
                <w:webHidden/>
              </w:rPr>
            </w:r>
            <w:r>
              <w:rPr>
                <w:noProof/>
                <w:webHidden/>
              </w:rPr>
              <w:fldChar w:fldCharType="separate"/>
            </w:r>
            <w:r>
              <w:rPr>
                <w:noProof/>
                <w:webHidden/>
              </w:rPr>
              <w:t>10</w:t>
            </w:r>
            <w:r>
              <w:rPr>
                <w:noProof/>
                <w:webHidden/>
              </w:rPr>
              <w:fldChar w:fldCharType="end"/>
            </w:r>
          </w:hyperlink>
        </w:p>
        <w:p w14:paraId="395E0027" w14:textId="0F67C985" w:rsidR="00965EEA" w:rsidRDefault="00965EEA">
          <w:pPr>
            <w:pStyle w:val="TOC2"/>
            <w:tabs>
              <w:tab w:val="right" w:leader="dot" w:pos="9350"/>
            </w:tabs>
            <w:rPr>
              <w:noProof/>
              <w:lang w:val="en-US"/>
            </w:rPr>
          </w:pPr>
          <w:hyperlink w:anchor="_Toc214216968" w:history="1">
            <w:r w:rsidRPr="00E04EE8">
              <w:rPr>
                <w:rStyle w:val="Hyperlink"/>
                <w:rFonts w:ascii="Arial" w:eastAsia="Times New Roman" w:hAnsi="Arial" w:cs="Arial"/>
                <w:b/>
                <w:bCs/>
                <w:noProof/>
              </w:rPr>
              <w:t>Ansoff’s Growth Matrix and Tesla’s Strategy</w:t>
            </w:r>
            <w:r>
              <w:rPr>
                <w:noProof/>
                <w:webHidden/>
              </w:rPr>
              <w:tab/>
            </w:r>
            <w:r>
              <w:rPr>
                <w:noProof/>
                <w:webHidden/>
              </w:rPr>
              <w:fldChar w:fldCharType="begin"/>
            </w:r>
            <w:r>
              <w:rPr>
                <w:noProof/>
                <w:webHidden/>
              </w:rPr>
              <w:instrText xml:space="preserve"> PAGEREF _Toc214216968 \h </w:instrText>
            </w:r>
            <w:r>
              <w:rPr>
                <w:noProof/>
                <w:webHidden/>
              </w:rPr>
            </w:r>
            <w:r>
              <w:rPr>
                <w:noProof/>
                <w:webHidden/>
              </w:rPr>
              <w:fldChar w:fldCharType="separate"/>
            </w:r>
            <w:r>
              <w:rPr>
                <w:noProof/>
                <w:webHidden/>
              </w:rPr>
              <w:t>11</w:t>
            </w:r>
            <w:r>
              <w:rPr>
                <w:noProof/>
                <w:webHidden/>
              </w:rPr>
              <w:fldChar w:fldCharType="end"/>
            </w:r>
          </w:hyperlink>
        </w:p>
        <w:p w14:paraId="6638A2CB" w14:textId="7DB38112" w:rsidR="00965EEA" w:rsidRDefault="00965EEA">
          <w:pPr>
            <w:pStyle w:val="TOC2"/>
            <w:tabs>
              <w:tab w:val="right" w:leader="dot" w:pos="9350"/>
            </w:tabs>
            <w:rPr>
              <w:noProof/>
              <w:lang w:val="en-US"/>
            </w:rPr>
          </w:pPr>
          <w:hyperlink w:anchor="_Toc214216969" w:history="1">
            <w:r w:rsidRPr="00E04EE8">
              <w:rPr>
                <w:rStyle w:val="Hyperlink"/>
                <w:rFonts w:ascii="Arial" w:eastAsia="Times New Roman" w:hAnsi="Arial" w:cs="Arial"/>
                <w:b/>
                <w:bCs/>
                <w:noProof/>
              </w:rPr>
              <w:t>Porter’s Generic Strategies and Tesla’s Competitive Position</w:t>
            </w:r>
            <w:r>
              <w:rPr>
                <w:noProof/>
                <w:webHidden/>
              </w:rPr>
              <w:tab/>
            </w:r>
            <w:r>
              <w:rPr>
                <w:noProof/>
                <w:webHidden/>
              </w:rPr>
              <w:fldChar w:fldCharType="begin"/>
            </w:r>
            <w:r>
              <w:rPr>
                <w:noProof/>
                <w:webHidden/>
              </w:rPr>
              <w:instrText xml:space="preserve"> PAGEREF _Toc214216969 \h </w:instrText>
            </w:r>
            <w:r>
              <w:rPr>
                <w:noProof/>
                <w:webHidden/>
              </w:rPr>
            </w:r>
            <w:r>
              <w:rPr>
                <w:noProof/>
                <w:webHidden/>
              </w:rPr>
              <w:fldChar w:fldCharType="separate"/>
            </w:r>
            <w:r>
              <w:rPr>
                <w:noProof/>
                <w:webHidden/>
              </w:rPr>
              <w:t>11</w:t>
            </w:r>
            <w:r>
              <w:rPr>
                <w:noProof/>
                <w:webHidden/>
              </w:rPr>
              <w:fldChar w:fldCharType="end"/>
            </w:r>
          </w:hyperlink>
        </w:p>
        <w:p w14:paraId="25CA42A7" w14:textId="37FB25DD" w:rsidR="00965EEA" w:rsidRDefault="00965EEA">
          <w:pPr>
            <w:pStyle w:val="TOC2"/>
            <w:tabs>
              <w:tab w:val="right" w:leader="dot" w:pos="9350"/>
            </w:tabs>
            <w:rPr>
              <w:noProof/>
              <w:lang w:val="en-US"/>
            </w:rPr>
          </w:pPr>
          <w:hyperlink w:anchor="_Toc214216970" w:history="1">
            <w:r w:rsidRPr="00E04EE8">
              <w:rPr>
                <w:rStyle w:val="Hyperlink"/>
                <w:rFonts w:ascii="Arial" w:hAnsi="Arial" w:cs="Arial"/>
                <w:b/>
                <w:bCs/>
                <w:noProof/>
              </w:rPr>
              <w:t>Strategic Implications</w:t>
            </w:r>
            <w:r>
              <w:rPr>
                <w:noProof/>
                <w:webHidden/>
              </w:rPr>
              <w:tab/>
            </w:r>
            <w:r>
              <w:rPr>
                <w:noProof/>
                <w:webHidden/>
              </w:rPr>
              <w:fldChar w:fldCharType="begin"/>
            </w:r>
            <w:r>
              <w:rPr>
                <w:noProof/>
                <w:webHidden/>
              </w:rPr>
              <w:instrText xml:space="preserve"> PAGEREF _Toc214216970 \h </w:instrText>
            </w:r>
            <w:r>
              <w:rPr>
                <w:noProof/>
                <w:webHidden/>
              </w:rPr>
            </w:r>
            <w:r>
              <w:rPr>
                <w:noProof/>
                <w:webHidden/>
              </w:rPr>
              <w:fldChar w:fldCharType="separate"/>
            </w:r>
            <w:r>
              <w:rPr>
                <w:noProof/>
                <w:webHidden/>
              </w:rPr>
              <w:t>12</w:t>
            </w:r>
            <w:r>
              <w:rPr>
                <w:noProof/>
                <w:webHidden/>
              </w:rPr>
              <w:fldChar w:fldCharType="end"/>
            </w:r>
          </w:hyperlink>
        </w:p>
        <w:p w14:paraId="5B6BD2A3" w14:textId="440AC558" w:rsidR="00965EEA" w:rsidRDefault="00965EEA">
          <w:pPr>
            <w:pStyle w:val="TOC1"/>
            <w:tabs>
              <w:tab w:val="right" w:leader="dot" w:pos="9350"/>
            </w:tabs>
            <w:rPr>
              <w:noProof/>
              <w:lang w:val="en-US"/>
            </w:rPr>
          </w:pPr>
          <w:hyperlink w:anchor="_Toc214216971" w:history="1">
            <w:r w:rsidRPr="00E04EE8">
              <w:rPr>
                <w:rStyle w:val="Hyperlink"/>
                <w:rFonts w:ascii="Arial" w:hAnsi="Arial" w:cs="Arial"/>
                <w:b/>
                <w:bCs/>
                <w:noProof/>
              </w:rPr>
              <w:t>3.2 Strategic Responses of Follower Organisations.</w:t>
            </w:r>
            <w:r>
              <w:rPr>
                <w:noProof/>
                <w:webHidden/>
              </w:rPr>
              <w:tab/>
            </w:r>
            <w:r>
              <w:rPr>
                <w:noProof/>
                <w:webHidden/>
              </w:rPr>
              <w:fldChar w:fldCharType="begin"/>
            </w:r>
            <w:r>
              <w:rPr>
                <w:noProof/>
                <w:webHidden/>
              </w:rPr>
              <w:instrText xml:space="preserve"> PAGEREF _Toc214216971 \h </w:instrText>
            </w:r>
            <w:r>
              <w:rPr>
                <w:noProof/>
                <w:webHidden/>
              </w:rPr>
            </w:r>
            <w:r>
              <w:rPr>
                <w:noProof/>
                <w:webHidden/>
              </w:rPr>
              <w:fldChar w:fldCharType="separate"/>
            </w:r>
            <w:r>
              <w:rPr>
                <w:noProof/>
                <w:webHidden/>
              </w:rPr>
              <w:t>12</w:t>
            </w:r>
            <w:r>
              <w:rPr>
                <w:noProof/>
                <w:webHidden/>
              </w:rPr>
              <w:fldChar w:fldCharType="end"/>
            </w:r>
          </w:hyperlink>
        </w:p>
        <w:p w14:paraId="527CAC7A" w14:textId="2C6F6247" w:rsidR="00965EEA" w:rsidRDefault="00965EEA">
          <w:pPr>
            <w:pStyle w:val="TOC2"/>
            <w:tabs>
              <w:tab w:val="right" w:leader="dot" w:pos="9350"/>
            </w:tabs>
            <w:rPr>
              <w:noProof/>
              <w:lang w:val="en-US"/>
            </w:rPr>
          </w:pPr>
          <w:hyperlink w:anchor="_Toc214216972" w:history="1">
            <w:r w:rsidRPr="00E04EE8">
              <w:rPr>
                <w:rStyle w:val="Hyperlink"/>
                <w:rFonts w:ascii="Arial" w:hAnsi="Arial" w:cs="Arial"/>
                <w:b/>
                <w:bCs/>
                <w:noProof/>
              </w:rPr>
              <w:t>Follower Strategies through Growth Matrix Ansoff.</w:t>
            </w:r>
            <w:r>
              <w:rPr>
                <w:noProof/>
                <w:webHidden/>
              </w:rPr>
              <w:tab/>
            </w:r>
            <w:r>
              <w:rPr>
                <w:noProof/>
                <w:webHidden/>
              </w:rPr>
              <w:fldChar w:fldCharType="begin"/>
            </w:r>
            <w:r>
              <w:rPr>
                <w:noProof/>
                <w:webHidden/>
              </w:rPr>
              <w:instrText xml:space="preserve"> PAGEREF _Toc214216972 \h </w:instrText>
            </w:r>
            <w:r>
              <w:rPr>
                <w:noProof/>
                <w:webHidden/>
              </w:rPr>
            </w:r>
            <w:r>
              <w:rPr>
                <w:noProof/>
                <w:webHidden/>
              </w:rPr>
              <w:fldChar w:fldCharType="separate"/>
            </w:r>
            <w:r>
              <w:rPr>
                <w:noProof/>
                <w:webHidden/>
              </w:rPr>
              <w:t>13</w:t>
            </w:r>
            <w:r>
              <w:rPr>
                <w:noProof/>
                <w:webHidden/>
              </w:rPr>
              <w:fldChar w:fldCharType="end"/>
            </w:r>
          </w:hyperlink>
        </w:p>
        <w:p w14:paraId="13F1A86D" w14:textId="293AD3DB" w:rsidR="00965EEA" w:rsidRDefault="00965EEA">
          <w:pPr>
            <w:pStyle w:val="TOC3"/>
            <w:tabs>
              <w:tab w:val="right" w:leader="dot" w:pos="9350"/>
            </w:tabs>
            <w:rPr>
              <w:noProof/>
              <w:lang w:val="en-US"/>
            </w:rPr>
          </w:pPr>
          <w:hyperlink w:anchor="_Toc214216973" w:history="1">
            <w:r w:rsidRPr="00E04EE8">
              <w:rPr>
                <w:rStyle w:val="Hyperlink"/>
                <w:rFonts w:ascii="Arial" w:hAnsi="Arial" w:cs="Arial"/>
                <w:b/>
                <w:bCs/>
                <w:noProof/>
              </w:rPr>
              <w:t>Follower Strategies</w:t>
            </w:r>
            <w:r>
              <w:rPr>
                <w:noProof/>
                <w:webHidden/>
              </w:rPr>
              <w:tab/>
            </w:r>
            <w:r>
              <w:rPr>
                <w:noProof/>
                <w:webHidden/>
              </w:rPr>
              <w:fldChar w:fldCharType="begin"/>
            </w:r>
            <w:r>
              <w:rPr>
                <w:noProof/>
                <w:webHidden/>
              </w:rPr>
              <w:instrText xml:space="preserve"> PAGEREF _Toc214216973 \h </w:instrText>
            </w:r>
            <w:r>
              <w:rPr>
                <w:noProof/>
                <w:webHidden/>
              </w:rPr>
            </w:r>
            <w:r>
              <w:rPr>
                <w:noProof/>
                <w:webHidden/>
              </w:rPr>
              <w:fldChar w:fldCharType="separate"/>
            </w:r>
            <w:r>
              <w:rPr>
                <w:noProof/>
                <w:webHidden/>
              </w:rPr>
              <w:t>13</w:t>
            </w:r>
            <w:r>
              <w:rPr>
                <w:noProof/>
                <w:webHidden/>
              </w:rPr>
              <w:fldChar w:fldCharType="end"/>
            </w:r>
          </w:hyperlink>
        </w:p>
        <w:p w14:paraId="38D72AD9" w14:textId="7B25EF12" w:rsidR="00965EEA" w:rsidRDefault="00965EEA">
          <w:pPr>
            <w:pStyle w:val="TOC2"/>
            <w:tabs>
              <w:tab w:val="right" w:leader="dot" w:pos="9350"/>
            </w:tabs>
            <w:rPr>
              <w:noProof/>
              <w:lang w:val="en-US"/>
            </w:rPr>
          </w:pPr>
          <w:hyperlink w:anchor="_Toc214216974" w:history="1">
            <w:r w:rsidRPr="00E04EE8">
              <w:rPr>
                <w:rStyle w:val="Hyperlink"/>
                <w:rFonts w:ascii="Arial" w:hAnsi="Arial" w:cs="Arial"/>
                <w:b/>
                <w:bCs/>
                <w:noProof/>
              </w:rPr>
              <w:t>Critical Assessment</w:t>
            </w:r>
            <w:r>
              <w:rPr>
                <w:noProof/>
                <w:webHidden/>
              </w:rPr>
              <w:tab/>
            </w:r>
            <w:r>
              <w:rPr>
                <w:noProof/>
                <w:webHidden/>
              </w:rPr>
              <w:fldChar w:fldCharType="begin"/>
            </w:r>
            <w:r>
              <w:rPr>
                <w:noProof/>
                <w:webHidden/>
              </w:rPr>
              <w:instrText xml:space="preserve"> PAGEREF _Toc214216974 \h </w:instrText>
            </w:r>
            <w:r>
              <w:rPr>
                <w:noProof/>
                <w:webHidden/>
              </w:rPr>
            </w:r>
            <w:r>
              <w:rPr>
                <w:noProof/>
                <w:webHidden/>
              </w:rPr>
              <w:fldChar w:fldCharType="separate"/>
            </w:r>
            <w:r>
              <w:rPr>
                <w:noProof/>
                <w:webHidden/>
              </w:rPr>
              <w:t>13</w:t>
            </w:r>
            <w:r>
              <w:rPr>
                <w:noProof/>
                <w:webHidden/>
              </w:rPr>
              <w:fldChar w:fldCharType="end"/>
            </w:r>
          </w:hyperlink>
        </w:p>
        <w:p w14:paraId="3193AB16" w14:textId="451D7772" w:rsidR="00965EEA" w:rsidRDefault="00965EEA">
          <w:pPr>
            <w:pStyle w:val="TOC1"/>
            <w:tabs>
              <w:tab w:val="right" w:leader="dot" w:pos="9350"/>
            </w:tabs>
            <w:rPr>
              <w:noProof/>
              <w:lang w:val="en-US"/>
            </w:rPr>
          </w:pPr>
          <w:hyperlink w:anchor="_Toc214216975" w:history="1">
            <w:r w:rsidRPr="00E04EE8">
              <w:rPr>
                <w:rStyle w:val="Hyperlink"/>
                <w:rFonts w:ascii="Arial" w:hAnsi="Arial" w:cs="Arial"/>
                <w:b/>
                <w:bCs/>
                <w:noProof/>
              </w:rPr>
              <w:t>4. Conclusion</w:t>
            </w:r>
            <w:r>
              <w:rPr>
                <w:noProof/>
                <w:webHidden/>
              </w:rPr>
              <w:tab/>
            </w:r>
            <w:r>
              <w:rPr>
                <w:noProof/>
                <w:webHidden/>
              </w:rPr>
              <w:fldChar w:fldCharType="begin"/>
            </w:r>
            <w:r>
              <w:rPr>
                <w:noProof/>
                <w:webHidden/>
              </w:rPr>
              <w:instrText xml:space="preserve"> PAGEREF _Toc214216975 \h </w:instrText>
            </w:r>
            <w:r>
              <w:rPr>
                <w:noProof/>
                <w:webHidden/>
              </w:rPr>
            </w:r>
            <w:r>
              <w:rPr>
                <w:noProof/>
                <w:webHidden/>
              </w:rPr>
              <w:fldChar w:fldCharType="separate"/>
            </w:r>
            <w:r>
              <w:rPr>
                <w:noProof/>
                <w:webHidden/>
              </w:rPr>
              <w:t>13</w:t>
            </w:r>
            <w:r>
              <w:rPr>
                <w:noProof/>
                <w:webHidden/>
              </w:rPr>
              <w:fldChar w:fldCharType="end"/>
            </w:r>
          </w:hyperlink>
        </w:p>
        <w:p w14:paraId="0917462F" w14:textId="355986AE" w:rsidR="00965EEA" w:rsidRDefault="00965EEA">
          <w:pPr>
            <w:pStyle w:val="TOC1"/>
            <w:tabs>
              <w:tab w:val="right" w:leader="dot" w:pos="9350"/>
            </w:tabs>
            <w:rPr>
              <w:noProof/>
              <w:lang w:val="en-US"/>
            </w:rPr>
          </w:pPr>
          <w:hyperlink w:anchor="_Toc214216976" w:history="1">
            <w:r w:rsidRPr="00E04EE8">
              <w:rPr>
                <w:rStyle w:val="Hyperlink"/>
                <w:rFonts w:ascii="Arial" w:hAnsi="Arial" w:cs="Arial"/>
                <w:b/>
                <w:bCs/>
                <w:noProof/>
              </w:rPr>
              <w:t>5.References</w:t>
            </w:r>
            <w:r>
              <w:rPr>
                <w:noProof/>
                <w:webHidden/>
              </w:rPr>
              <w:tab/>
            </w:r>
            <w:r>
              <w:rPr>
                <w:noProof/>
                <w:webHidden/>
              </w:rPr>
              <w:fldChar w:fldCharType="begin"/>
            </w:r>
            <w:r>
              <w:rPr>
                <w:noProof/>
                <w:webHidden/>
              </w:rPr>
              <w:instrText xml:space="preserve"> PAGEREF _Toc214216976 \h </w:instrText>
            </w:r>
            <w:r>
              <w:rPr>
                <w:noProof/>
                <w:webHidden/>
              </w:rPr>
            </w:r>
            <w:r>
              <w:rPr>
                <w:noProof/>
                <w:webHidden/>
              </w:rPr>
              <w:fldChar w:fldCharType="separate"/>
            </w:r>
            <w:r>
              <w:rPr>
                <w:noProof/>
                <w:webHidden/>
              </w:rPr>
              <w:t>15</w:t>
            </w:r>
            <w:r>
              <w:rPr>
                <w:noProof/>
                <w:webHidden/>
              </w:rPr>
              <w:fldChar w:fldCharType="end"/>
            </w:r>
          </w:hyperlink>
        </w:p>
        <w:p w14:paraId="4A9B1FE0" w14:textId="5CEC2EB9" w:rsidR="00AF3557" w:rsidRDefault="00AF3557">
          <w:r>
            <w:rPr>
              <w:b/>
              <w:bCs/>
              <w:noProof/>
            </w:rPr>
            <w:fldChar w:fldCharType="end"/>
          </w:r>
        </w:p>
      </w:sdtContent>
    </w:sdt>
    <w:p w14:paraId="4C375E38" w14:textId="7AA5359D" w:rsidR="008305F4" w:rsidRDefault="00DD4CF4">
      <w:pPr>
        <w:rPr>
          <w:rFonts w:ascii="Arial" w:eastAsiaTheme="majorEastAsia" w:hAnsi="Arial" w:cs="Arial"/>
          <w:b/>
          <w:bCs/>
        </w:rPr>
      </w:pPr>
      <w:r>
        <w:rPr>
          <w:rFonts w:ascii="Arial" w:eastAsiaTheme="majorEastAsia" w:hAnsi="Arial" w:cs="Arial"/>
          <w:b/>
          <w:bCs/>
        </w:rPr>
        <w:br w:type="page"/>
      </w:r>
    </w:p>
    <w:p w14:paraId="6FB4C642" w14:textId="0E5FC14F" w:rsidR="00D7592C" w:rsidRPr="000661A6" w:rsidRDefault="00D7592C" w:rsidP="003C0F86">
      <w:pPr>
        <w:pStyle w:val="Heading1"/>
        <w:rPr>
          <w:rFonts w:ascii="Arial" w:hAnsi="Arial" w:cs="Arial"/>
          <w:b/>
          <w:bCs/>
          <w:color w:val="auto"/>
          <w:sz w:val="24"/>
          <w:szCs w:val="24"/>
        </w:rPr>
      </w:pPr>
      <w:bookmarkStart w:id="0" w:name="_Toc214216957"/>
      <w:r w:rsidRPr="000661A6">
        <w:rPr>
          <w:rFonts w:ascii="Arial" w:hAnsi="Arial" w:cs="Arial"/>
          <w:b/>
          <w:bCs/>
          <w:color w:val="auto"/>
          <w:sz w:val="24"/>
          <w:szCs w:val="24"/>
        </w:rPr>
        <w:lastRenderedPageBreak/>
        <w:t>1. Introduction</w:t>
      </w:r>
      <w:bookmarkEnd w:id="0"/>
      <w:r w:rsidRPr="000661A6">
        <w:rPr>
          <w:rFonts w:ascii="Arial" w:hAnsi="Arial" w:cs="Arial"/>
          <w:b/>
          <w:bCs/>
          <w:color w:val="auto"/>
          <w:sz w:val="24"/>
          <w:szCs w:val="24"/>
        </w:rPr>
        <w:t xml:space="preserve">  </w:t>
      </w:r>
    </w:p>
    <w:p w14:paraId="0BB02B05" w14:textId="32B86D44" w:rsidR="00495123" w:rsidRPr="00BD5055" w:rsidRDefault="00495123" w:rsidP="006C546D">
      <w:pPr>
        <w:spacing w:after="0" w:line="360" w:lineRule="auto"/>
        <w:jc w:val="both"/>
        <w:rPr>
          <w:rFonts w:ascii="Arial" w:hAnsi="Arial" w:cs="Arial"/>
        </w:rPr>
      </w:pPr>
      <w:r w:rsidRPr="00BD5055">
        <w:rPr>
          <w:rFonts w:ascii="Arial" w:hAnsi="Arial" w:cs="Arial"/>
        </w:rPr>
        <w:t>The market conditions today are very dynamic and organisations have to constantly evaluate their external environments to ensure that they have a competitive advantage. Macro-environmental analysis is the basis of evidence-based decision-making and long-term positioning in strategic marketing management. This report discusses the impact of macro-environmental changes on pioneer and follower companies in the global electric-vehicle (EV) industry, where the high-speed technological change, sustainability, and changing consumer demands are overriding.</w:t>
      </w:r>
    </w:p>
    <w:p w14:paraId="3E2F2F2A" w14:textId="2075D091" w:rsidR="00495123" w:rsidRPr="00BD5055" w:rsidRDefault="00495123" w:rsidP="006C546D">
      <w:pPr>
        <w:spacing w:after="0" w:line="360" w:lineRule="auto"/>
        <w:jc w:val="both"/>
        <w:rPr>
          <w:rFonts w:ascii="Arial" w:hAnsi="Arial" w:cs="Arial"/>
        </w:rPr>
      </w:pPr>
      <w:r w:rsidRPr="00BD5055">
        <w:rPr>
          <w:rFonts w:ascii="Arial" w:hAnsi="Arial" w:cs="Arial"/>
        </w:rPr>
        <w:t>Environmental scanning enables managers to predict market turbulence and coordinate strategies with new opportunities and threats (Kotler and Keller, 2022). The PESTEL framework offers an organized approach to evaluating political, economical, social, technological, environmental, and legal forces that influence the strategic results (Makvandi, 2024). In the case of EV leaders like Tesla and BYD, technology advancement and environmental regulation are the strongest forces and they affect the competitive processes, developmental paths, and strategies.</w:t>
      </w:r>
    </w:p>
    <w:p w14:paraId="0B780392" w14:textId="77777777" w:rsidR="000661A6" w:rsidRDefault="00495123" w:rsidP="006C546D">
      <w:pPr>
        <w:spacing w:after="0" w:line="360" w:lineRule="auto"/>
        <w:jc w:val="both"/>
        <w:rPr>
          <w:rFonts w:ascii="Arial" w:hAnsi="Arial" w:cs="Arial"/>
        </w:rPr>
      </w:pPr>
      <w:r w:rsidRPr="00BD5055">
        <w:rPr>
          <w:rFonts w:ascii="Arial" w:hAnsi="Arial" w:cs="Arial"/>
        </w:rPr>
        <w:t>In this regard therefore, this report critically examines the macro marketing environment with a particular focus on the technological and environmental determinants and assesses the reactions of pioneer and follower firms through models like the Ansoff Growth Matrix and Porters Generic Strategies. It will be based on the academic theory and the industry evidence to illustrate the strategic importance of continuous</w:t>
      </w:r>
    </w:p>
    <w:p w14:paraId="4B805AB6" w14:textId="77777777" w:rsidR="007E7559" w:rsidRDefault="00495123" w:rsidP="006C546D">
      <w:pPr>
        <w:spacing w:after="0" w:line="360" w:lineRule="auto"/>
        <w:jc w:val="both"/>
        <w:rPr>
          <w:rFonts w:ascii="Arial" w:hAnsi="Arial" w:cs="Arial"/>
        </w:rPr>
      </w:pPr>
      <w:r w:rsidRPr="00BD5055">
        <w:rPr>
          <w:rFonts w:ascii="Arial" w:hAnsi="Arial" w:cs="Arial"/>
        </w:rPr>
        <w:t>environmental scanning to maintain a market leadership.</w:t>
      </w:r>
    </w:p>
    <w:p w14:paraId="5F7811E6" w14:textId="273C3314" w:rsidR="00345114" w:rsidRPr="00BD5055" w:rsidRDefault="008275A9" w:rsidP="003C0F86">
      <w:pPr>
        <w:spacing w:after="0" w:line="360" w:lineRule="auto"/>
        <w:jc w:val="both"/>
        <w:rPr>
          <w:rFonts w:ascii="Arial" w:hAnsi="Arial" w:cs="Arial"/>
        </w:rPr>
      </w:pPr>
      <w:r w:rsidRPr="00BD5055">
        <w:rPr>
          <w:rFonts w:ascii="Arial" w:hAnsi="Arial" w:cs="Arial"/>
          <w:noProof/>
        </w:rPr>
        <w:drawing>
          <wp:inline distT="0" distB="0" distL="0" distR="0" wp14:anchorId="72D47752" wp14:editId="5406E2EB">
            <wp:extent cx="5448300" cy="2190750"/>
            <wp:effectExtent l="0" t="0" r="0" b="0"/>
            <wp:docPr id="495715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715460" name="Picture 49571546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48300" cy="2190750"/>
                    </a:xfrm>
                    <a:prstGeom prst="rect">
                      <a:avLst/>
                    </a:prstGeom>
                  </pic:spPr>
                </pic:pic>
              </a:graphicData>
            </a:graphic>
          </wp:inline>
        </w:drawing>
      </w:r>
    </w:p>
    <w:p w14:paraId="32C2FA46" w14:textId="4EC9E30C" w:rsidR="00A14591" w:rsidRPr="007E7559" w:rsidRDefault="00A14591" w:rsidP="007E7559">
      <w:pPr>
        <w:spacing w:after="0" w:line="360" w:lineRule="auto"/>
        <w:jc w:val="center"/>
        <w:rPr>
          <w:rFonts w:ascii="Arial" w:hAnsi="Arial" w:cs="Arial"/>
          <w:i/>
          <w:iCs/>
          <w:sz w:val="22"/>
          <w:szCs w:val="22"/>
        </w:rPr>
      </w:pPr>
      <w:r w:rsidRPr="007E7559">
        <w:rPr>
          <w:rFonts w:ascii="Arial" w:hAnsi="Arial" w:cs="Arial"/>
          <w:i/>
          <w:iCs/>
          <w:sz w:val="22"/>
          <w:szCs w:val="22"/>
        </w:rPr>
        <w:t>(Source: International Energy Agency [IEA], 2024; Statista, 2024)</w:t>
      </w:r>
    </w:p>
    <w:p w14:paraId="4D5AAD80" w14:textId="5FCF7129" w:rsidR="00A14591" w:rsidRPr="00BD5055" w:rsidRDefault="002553B1" w:rsidP="003C0F86">
      <w:pPr>
        <w:pStyle w:val="NormalWeb"/>
        <w:spacing w:before="0" w:beforeAutospacing="0" w:after="0" w:afterAutospacing="0" w:line="360" w:lineRule="auto"/>
        <w:jc w:val="both"/>
        <w:rPr>
          <w:rFonts w:ascii="Arial" w:hAnsi="Arial" w:cs="Arial"/>
        </w:rPr>
      </w:pPr>
      <w:r w:rsidRPr="00BD5055">
        <w:rPr>
          <w:rFonts w:ascii="Arial" w:hAnsi="Arial" w:cs="Arial"/>
        </w:rPr>
        <w:lastRenderedPageBreak/>
        <w:t xml:space="preserve">As Figure 1 shows, the sale of electric vehicles (EV) has grown by almost twenty times between 2015 and 2023, which is explained by the technological progress and the decreased price of batteries, as well as the introduction of environmental policies.The future prognosis of 2025 supports the fact that technology and sustainability are now the driving factors in automotive strategy, which is able to afford early-mover benefits to companies like Tesla and also provide the scalability opportunities to companies like BYD.  </w:t>
      </w:r>
    </w:p>
    <w:p w14:paraId="2281C578" w14:textId="77777777" w:rsidR="00016064" w:rsidRPr="006C546D" w:rsidRDefault="00016064" w:rsidP="006C546D">
      <w:pPr>
        <w:pStyle w:val="Heading1"/>
        <w:rPr>
          <w:rFonts w:ascii="Arial" w:hAnsi="Arial" w:cs="Arial"/>
          <w:b/>
          <w:bCs/>
          <w:sz w:val="24"/>
          <w:szCs w:val="24"/>
        </w:rPr>
      </w:pPr>
      <w:bookmarkStart w:id="1" w:name="_Toc214216958"/>
      <w:r w:rsidRPr="006C546D">
        <w:rPr>
          <w:rFonts w:ascii="Arial" w:hAnsi="Arial" w:cs="Arial"/>
          <w:b/>
          <w:bCs/>
          <w:color w:val="auto"/>
          <w:sz w:val="24"/>
          <w:szCs w:val="24"/>
        </w:rPr>
        <w:t>2.1 Macro Marketing Environment Overview.</w:t>
      </w:r>
      <w:bookmarkEnd w:id="1"/>
    </w:p>
    <w:p w14:paraId="6AF27A60" w14:textId="661C7EA1" w:rsidR="00904DAB" w:rsidRPr="00904DAB" w:rsidRDefault="00EC2F33" w:rsidP="00904DAB">
      <w:pPr>
        <w:spacing w:after="0" w:line="360" w:lineRule="auto"/>
        <w:jc w:val="both"/>
        <w:rPr>
          <w:rFonts w:ascii="Arial" w:hAnsi="Arial" w:cs="Arial"/>
        </w:rPr>
      </w:pPr>
      <w:r w:rsidRPr="00BD5055">
        <w:rPr>
          <w:rFonts w:ascii="Arial" w:hAnsi="Arial" w:cs="Arial"/>
        </w:rPr>
        <w:t xml:space="preserve">The macro marketing environment is a set of wide external forces influencing all organisations in an industry and is not much in the control of managers. These forces influence the market opportunities, consumer behaviour and strategic direction (Kotler &amp; Keller 2022). </w:t>
      </w:r>
      <w:r w:rsidR="00904DAB" w:rsidRPr="00904DAB">
        <w:rPr>
          <w:rFonts w:ascii="Arial" w:hAnsi="Arial" w:cs="Arial"/>
        </w:rPr>
        <w:t>Once managers understand these dynamics in a holistic manner, they are able to predict risks and develop flexible strategies which are sensitive to change.</w:t>
      </w:r>
    </w:p>
    <w:p w14:paraId="059BE3DD" w14:textId="2757C1BF" w:rsidR="00904DAB" w:rsidRPr="00904DAB" w:rsidRDefault="00904DAB" w:rsidP="00904DAB">
      <w:pPr>
        <w:spacing w:after="0" w:line="360" w:lineRule="auto"/>
        <w:jc w:val="both"/>
        <w:rPr>
          <w:rFonts w:ascii="Arial" w:hAnsi="Arial" w:cs="Arial"/>
        </w:rPr>
      </w:pPr>
      <w:r w:rsidRPr="00904DAB">
        <w:rPr>
          <w:rFonts w:ascii="Arial" w:hAnsi="Arial" w:cs="Arial"/>
        </w:rPr>
        <w:t>One of the most popular analytical tools to analyse these influences on six dimensions is the PESTEL model that includes Political, Economic, Social, Technological, Environmental and Legal (Yuksel 2012). It helps the marketer to be aware of external trends that influence the industry performance and competitiveness.</w:t>
      </w:r>
    </w:p>
    <w:p w14:paraId="5549E0C2" w14:textId="4881489C" w:rsidR="003E6B5B" w:rsidRDefault="00904DAB" w:rsidP="00904DAB">
      <w:pPr>
        <w:spacing w:after="0" w:line="360" w:lineRule="auto"/>
        <w:jc w:val="both"/>
        <w:rPr>
          <w:rFonts w:ascii="Arial" w:hAnsi="Arial" w:cs="Arial"/>
        </w:rPr>
      </w:pPr>
      <w:r w:rsidRPr="00904DAB">
        <w:rPr>
          <w:rFonts w:ascii="Arial" w:hAnsi="Arial" w:cs="Arial"/>
        </w:rPr>
        <w:t>The macro environment has a significant impact on the demand and strategy in the electric-vehicle (EV) industry. The car industry is changing due to the high rate of technological development, growing environmental consciousness, and decarbonisation policies of governments (Zaino et al. 2024). The change in social interests towards sustainability, as well as the unstable state of world economies, also influence the development of EV markets.</w:t>
      </w:r>
      <w:r w:rsidR="00016064" w:rsidRPr="00BD5055">
        <w:rPr>
          <w:rFonts w:ascii="Arial" w:hAnsi="Arial" w:cs="Arial"/>
        </w:rPr>
        <w:t>The following figure shows the macro factors that affect the EV sector in the form of a PESTEL analysis.</w:t>
      </w:r>
    </w:p>
    <w:p w14:paraId="68B4C2A1" w14:textId="77777777" w:rsidR="003E6B5B" w:rsidRDefault="003E6B5B">
      <w:pPr>
        <w:rPr>
          <w:rFonts w:ascii="Arial" w:hAnsi="Arial" w:cs="Arial"/>
        </w:rPr>
      </w:pPr>
      <w:r>
        <w:rPr>
          <w:rFonts w:ascii="Arial" w:hAnsi="Arial" w:cs="Arial"/>
        </w:rPr>
        <w:br w:type="page"/>
      </w:r>
    </w:p>
    <w:p w14:paraId="228406B4" w14:textId="77777777" w:rsidR="00543D2C" w:rsidRPr="00BD5055" w:rsidRDefault="00543D2C" w:rsidP="003C0F86">
      <w:pPr>
        <w:spacing w:after="0" w:line="360" w:lineRule="auto"/>
        <w:jc w:val="both"/>
        <w:rPr>
          <w:rFonts w:ascii="Arial" w:hAnsi="Arial" w:cs="Arial"/>
        </w:rPr>
      </w:pPr>
    </w:p>
    <w:tbl>
      <w:tblPr>
        <w:tblStyle w:val="GridTable4-Accent3"/>
        <w:tblW w:w="0" w:type="auto"/>
        <w:tblLook w:val="04A0" w:firstRow="1" w:lastRow="0" w:firstColumn="1" w:lastColumn="0" w:noHBand="0" w:noVBand="1"/>
      </w:tblPr>
      <w:tblGrid>
        <w:gridCol w:w="1883"/>
        <w:gridCol w:w="3444"/>
        <w:gridCol w:w="4023"/>
      </w:tblGrid>
      <w:tr w:rsidR="00543D2C" w:rsidRPr="00BD5055" w14:paraId="7625A9E2" w14:textId="77777777" w:rsidTr="00BC4E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02DB7D" w14:textId="77777777" w:rsidR="00543D2C" w:rsidRPr="00BD5055" w:rsidRDefault="00543D2C" w:rsidP="003E6B5B">
            <w:pPr>
              <w:spacing w:line="360" w:lineRule="auto"/>
              <w:jc w:val="center"/>
              <w:rPr>
                <w:rFonts w:ascii="Arial" w:eastAsia="Times New Roman" w:hAnsi="Arial" w:cs="Arial"/>
                <w:kern w:val="0"/>
                <w14:ligatures w14:val="none"/>
              </w:rPr>
            </w:pPr>
            <w:r w:rsidRPr="00BD5055">
              <w:rPr>
                <w:rFonts w:ascii="Arial" w:eastAsia="Times New Roman" w:hAnsi="Arial" w:cs="Arial"/>
              </w:rPr>
              <w:t>Factor</w:t>
            </w:r>
          </w:p>
        </w:tc>
        <w:tc>
          <w:tcPr>
            <w:tcW w:w="0" w:type="auto"/>
            <w:hideMark/>
          </w:tcPr>
          <w:p w14:paraId="15AB406D" w14:textId="77777777" w:rsidR="00543D2C" w:rsidRPr="00BD5055" w:rsidRDefault="00543D2C" w:rsidP="003E6B5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BD5055">
              <w:rPr>
                <w:rFonts w:ascii="Arial" w:eastAsia="Times New Roman" w:hAnsi="Arial" w:cs="Arial"/>
              </w:rPr>
              <w:t>Key Drivers</w:t>
            </w:r>
          </w:p>
        </w:tc>
        <w:tc>
          <w:tcPr>
            <w:tcW w:w="0" w:type="auto"/>
            <w:hideMark/>
          </w:tcPr>
          <w:p w14:paraId="65D34C5E" w14:textId="77777777" w:rsidR="00543D2C" w:rsidRPr="00BD5055" w:rsidRDefault="00543D2C" w:rsidP="003E6B5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BD5055">
              <w:rPr>
                <w:rFonts w:ascii="Arial" w:eastAsia="Times New Roman" w:hAnsi="Arial" w:cs="Arial"/>
              </w:rPr>
              <w:t>Impact on EV Industry</w:t>
            </w:r>
          </w:p>
        </w:tc>
      </w:tr>
      <w:tr w:rsidR="00543D2C" w:rsidRPr="00BD5055" w14:paraId="2964795F" w14:textId="77777777" w:rsidTr="00BC4E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326FC" w14:textId="77777777" w:rsidR="00543D2C" w:rsidRPr="00BD5055" w:rsidRDefault="00543D2C" w:rsidP="003C0F86">
            <w:pPr>
              <w:spacing w:line="360" w:lineRule="auto"/>
              <w:jc w:val="both"/>
              <w:rPr>
                <w:rFonts w:ascii="Arial" w:eastAsia="Times New Roman" w:hAnsi="Arial" w:cs="Arial"/>
              </w:rPr>
            </w:pPr>
            <w:r w:rsidRPr="00BD5055">
              <w:rPr>
                <w:rFonts w:ascii="Arial" w:eastAsia="Times New Roman" w:hAnsi="Arial" w:cs="Arial"/>
              </w:rPr>
              <w:t>Political</w:t>
            </w:r>
          </w:p>
        </w:tc>
        <w:tc>
          <w:tcPr>
            <w:tcW w:w="0" w:type="auto"/>
            <w:hideMark/>
          </w:tcPr>
          <w:p w14:paraId="142B49F9" w14:textId="2874646D" w:rsidR="00543D2C" w:rsidRPr="00BD5055" w:rsidRDefault="00A80F7E"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80F7E">
              <w:rPr>
                <w:rFonts w:ascii="Arial" w:eastAsia="Times New Roman" w:hAnsi="Arial" w:cs="Arial"/>
              </w:rPr>
              <w:t xml:space="preserve">The aims and subsidies of carbon neutrality by government.  </w:t>
            </w:r>
          </w:p>
        </w:tc>
        <w:tc>
          <w:tcPr>
            <w:tcW w:w="0" w:type="auto"/>
            <w:hideMark/>
          </w:tcPr>
          <w:p w14:paraId="5BC18051" w14:textId="774FBF47" w:rsidR="00543D2C" w:rsidRPr="00BD5055" w:rsidRDefault="003B3F0E"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3B3F0E">
              <w:rPr>
                <w:rFonts w:ascii="Arial" w:eastAsia="Times New Roman" w:hAnsi="Arial" w:cs="Arial"/>
              </w:rPr>
              <w:t xml:space="preserve">Promote the use of electric cars by taxes and infrastructure.  </w:t>
            </w:r>
          </w:p>
        </w:tc>
      </w:tr>
      <w:tr w:rsidR="00543D2C" w:rsidRPr="00BD5055" w14:paraId="2B993007" w14:textId="77777777" w:rsidTr="00BC4ECC">
        <w:tc>
          <w:tcPr>
            <w:cnfStyle w:val="001000000000" w:firstRow="0" w:lastRow="0" w:firstColumn="1" w:lastColumn="0" w:oddVBand="0" w:evenVBand="0" w:oddHBand="0" w:evenHBand="0" w:firstRowFirstColumn="0" w:firstRowLastColumn="0" w:lastRowFirstColumn="0" w:lastRowLastColumn="0"/>
            <w:tcW w:w="0" w:type="auto"/>
            <w:hideMark/>
          </w:tcPr>
          <w:p w14:paraId="0E90F21A" w14:textId="77777777" w:rsidR="00543D2C" w:rsidRPr="00BD5055" w:rsidRDefault="00543D2C" w:rsidP="003C0F86">
            <w:pPr>
              <w:spacing w:line="360" w:lineRule="auto"/>
              <w:jc w:val="both"/>
              <w:rPr>
                <w:rFonts w:ascii="Arial" w:eastAsia="Times New Roman" w:hAnsi="Arial" w:cs="Arial"/>
              </w:rPr>
            </w:pPr>
            <w:r w:rsidRPr="00BD5055">
              <w:rPr>
                <w:rFonts w:ascii="Arial" w:eastAsia="Times New Roman" w:hAnsi="Arial" w:cs="Arial"/>
              </w:rPr>
              <w:t>Economic</w:t>
            </w:r>
          </w:p>
        </w:tc>
        <w:tc>
          <w:tcPr>
            <w:tcW w:w="0" w:type="auto"/>
            <w:hideMark/>
          </w:tcPr>
          <w:p w14:paraId="69A498F3" w14:textId="3D52E5E8" w:rsidR="00543D2C" w:rsidRPr="00BD5055" w:rsidRDefault="00CF4E74"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t xml:space="preserve">Inflation, battery prices, interest charges.  </w:t>
            </w:r>
          </w:p>
        </w:tc>
        <w:tc>
          <w:tcPr>
            <w:tcW w:w="0" w:type="auto"/>
            <w:hideMark/>
          </w:tcPr>
          <w:p w14:paraId="6A8C8362" w14:textId="25C5BBAC" w:rsidR="00543D2C" w:rsidRPr="00BD5055" w:rsidRDefault="00AC07DD"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t xml:space="preserve">Influences the cost of production, price, and the affordability of consumers.  </w:t>
            </w:r>
          </w:p>
        </w:tc>
      </w:tr>
      <w:tr w:rsidR="00543D2C" w:rsidRPr="00BD5055" w14:paraId="15B43EB5" w14:textId="77777777" w:rsidTr="00BC4E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D445D3" w14:textId="77777777" w:rsidR="00543D2C" w:rsidRPr="00BD5055" w:rsidRDefault="00543D2C" w:rsidP="003C0F86">
            <w:pPr>
              <w:spacing w:line="360" w:lineRule="auto"/>
              <w:jc w:val="both"/>
              <w:rPr>
                <w:rFonts w:ascii="Arial" w:eastAsia="Times New Roman" w:hAnsi="Arial" w:cs="Arial"/>
              </w:rPr>
            </w:pPr>
            <w:r w:rsidRPr="00BD5055">
              <w:rPr>
                <w:rFonts w:ascii="Arial" w:eastAsia="Times New Roman" w:hAnsi="Arial" w:cs="Arial"/>
              </w:rPr>
              <w:t>Social</w:t>
            </w:r>
          </w:p>
        </w:tc>
        <w:tc>
          <w:tcPr>
            <w:tcW w:w="0" w:type="auto"/>
            <w:hideMark/>
          </w:tcPr>
          <w:p w14:paraId="20877BDB" w14:textId="19C39FFD" w:rsidR="00543D2C" w:rsidRPr="00BD5055" w:rsidRDefault="0063021F"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t xml:space="preserve">Green awareness and behaviour modification.  </w:t>
            </w:r>
          </w:p>
        </w:tc>
        <w:tc>
          <w:tcPr>
            <w:tcW w:w="0" w:type="auto"/>
            <w:hideMark/>
          </w:tcPr>
          <w:p w14:paraId="08A74FFC" w14:textId="18950688" w:rsidR="00543D2C" w:rsidRPr="00BD5055" w:rsidRDefault="00622B83"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t xml:space="preserve">Raise the level of sustainable transport.  </w:t>
            </w:r>
          </w:p>
        </w:tc>
      </w:tr>
      <w:tr w:rsidR="00543D2C" w:rsidRPr="00BD5055" w14:paraId="4E7B3970" w14:textId="77777777" w:rsidTr="00BC4ECC">
        <w:tc>
          <w:tcPr>
            <w:cnfStyle w:val="001000000000" w:firstRow="0" w:lastRow="0" w:firstColumn="1" w:lastColumn="0" w:oddVBand="0" w:evenVBand="0" w:oddHBand="0" w:evenHBand="0" w:firstRowFirstColumn="0" w:firstRowLastColumn="0" w:lastRowFirstColumn="0" w:lastRowLastColumn="0"/>
            <w:tcW w:w="0" w:type="auto"/>
            <w:hideMark/>
          </w:tcPr>
          <w:p w14:paraId="3ED65628" w14:textId="77777777" w:rsidR="00543D2C" w:rsidRPr="00BD5055" w:rsidRDefault="00543D2C" w:rsidP="003C0F86">
            <w:pPr>
              <w:spacing w:line="360" w:lineRule="auto"/>
              <w:jc w:val="both"/>
              <w:rPr>
                <w:rFonts w:ascii="Arial" w:eastAsia="Times New Roman" w:hAnsi="Arial" w:cs="Arial"/>
              </w:rPr>
            </w:pPr>
            <w:r w:rsidRPr="00BD5055">
              <w:rPr>
                <w:rFonts w:ascii="Arial" w:eastAsia="Times New Roman" w:hAnsi="Arial" w:cs="Arial"/>
              </w:rPr>
              <w:t>Technological</w:t>
            </w:r>
          </w:p>
        </w:tc>
        <w:tc>
          <w:tcPr>
            <w:tcW w:w="0" w:type="auto"/>
            <w:hideMark/>
          </w:tcPr>
          <w:p w14:paraId="3FB42368" w14:textId="0DA5A363" w:rsidR="00543D2C" w:rsidRPr="00BD5055" w:rsidRDefault="00402DF8"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t xml:space="preserve">Innovation in batteries, AI and charging networks.  </w:t>
            </w:r>
          </w:p>
        </w:tc>
        <w:tc>
          <w:tcPr>
            <w:tcW w:w="0" w:type="auto"/>
            <w:hideMark/>
          </w:tcPr>
          <w:p w14:paraId="78018C16" w14:textId="77777777" w:rsidR="005F4FAB" w:rsidRDefault="005F4FAB" w:rsidP="005F4FAB">
            <w:pPr>
              <w:cnfStyle w:val="000000000000" w:firstRow="0" w:lastRow="0" w:firstColumn="0" w:lastColumn="0" w:oddVBand="0" w:evenVBand="0" w:oddHBand="0" w:evenHBand="0" w:firstRowFirstColumn="0" w:firstRowLastColumn="0" w:lastRowFirstColumn="0" w:lastRowLastColumn="0"/>
            </w:pPr>
            <w:r>
              <w:t xml:space="preserve">Motivate product differentiation and operational effectiveness.  </w:t>
            </w:r>
          </w:p>
          <w:p w14:paraId="7CBF35AD" w14:textId="22A6E73B" w:rsidR="00543D2C" w:rsidRPr="00BD5055" w:rsidRDefault="00543D2C"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543D2C" w:rsidRPr="00BD5055" w14:paraId="355852AD" w14:textId="77777777" w:rsidTr="00BC4E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5766CF" w14:textId="77777777" w:rsidR="00543D2C" w:rsidRPr="00BD5055" w:rsidRDefault="00543D2C" w:rsidP="003C0F86">
            <w:pPr>
              <w:spacing w:line="360" w:lineRule="auto"/>
              <w:jc w:val="both"/>
              <w:rPr>
                <w:rFonts w:ascii="Arial" w:eastAsia="Times New Roman" w:hAnsi="Arial" w:cs="Arial"/>
              </w:rPr>
            </w:pPr>
            <w:r w:rsidRPr="00BD5055">
              <w:rPr>
                <w:rFonts w:ascii="Arial" w:eastAsia="Times New Roman" w:hAnsi="Arial" w:cs="Arial"/>
              </w:rPr>
              <w:t>Environmental</w:t>
            </w:r>
          </w:p>
        </w:tc>
        <w:tc>
          <w:tcPr>
            <w:tcW w:w="0" w:type="auto"/>
            <w:hideMark/>
          </w:tcPr>
          <w:p w14:paraId="7C100D54" w14:textId="1CC536EB" w:rsidR="00543D2C" w:rsidRPr="00BD5055" w:rsidRDefault="00EF60C8"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t xml:space="preserve">Resource sustainability and emission.  </w:t>
            </w:r>
          </w:p>
        </w:tc>
        <w:tc>
          <w:tcPr>
            <w:tcW w:w="0" w:type="auto"/>
            <w:hideMark/>
          </w:tcPr>
          <w:p w14:paraId="0EDC5292" w14:textId="644AFD2D" w:rsidR="00543D2C" w:rsidRPr="00BD5055" w:rsidRDefault="00221893"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t xml:space="preserve">Establish innovation regulatory pressure and incentives.  </w:t>
            </w:r>
          </w:p>
        </w:tc>
      </w:tr>
      <w:tr w:rsidR="00543D2C" w:rsidRPr="00BD5055" w14:paraId="16BBA82A" w14:textId="77777777" w:rsidTr="00BC4ECC">
        <w:tc>
          <w:tcPr>
            <w:cnfStyle w:val="001000000000" w:firstRow="0" w:lastRow="0" w:firstColumn="1" w:lastColumn="0" w:oddVBand="0" w:evenVBand="0" w:oddHBand="0" w:evenHBand="0" w:firstRowFirstColumn="0" w:firstRowLastColumn="0" w:lastRowFirstColumn="0" w:lastRowLastColumn="0"/>
            <w:tcW w:w="0" w:type="auto"/>
            <w:hideMark/>
          </w:tcPr>
          <w:p w14:paraId="18689410" w14:textId="77777777" w:rsidR="00543D2C" w:rsidRPr="00BD5055" w:rsidRDefault="00543D2C" w:rsidP="003C0F86">
            <w:pPr>
              <w:spacing w:line="360" w:lineRule="auto"/>
              <w:jc w:val="both"/>
              <w:rPr>
                <w:rFonts w:ascii="Arial" w:eastAsia="Times New Roman" w:hAnsi="Arial" w:cs="Arial"/>
              </w:rPr>
            </w:pPr>
            <w:r w:rsidRPr="00BD5055">
              <w:rPr>
                <w:rFonts w:ascii="Arial" w:eastAsia="Times New Roman" w:hAnsi="Arial" w:cs="Arial"/>
              </w:rPr>
              <w:t>Legal</w:t>
            </w:r>
          </w:p>
        </w:tc>
        <w:tc>
          <w:tcPr>
            <w:tcW w:w="0" w:type="auto"/>
            <w:hideMark/>
          </w:tcPr>
          <w:p w14:paraId="7F04DBC9" w14:textId="4418AA39" w:rsidR="00543D2C" w:rsidRPr="00BD5055" w:rsidRDefault="006F33C4"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t xml:space="preserve">Trade laws and regulations on safety.  </w:t>
            </w:r>
          </w:p>
        </w:tc>
        <w:tc>
          <w:tcPr>
            <w:tcW w:w="0" w:type="auto"/>
            <w:hideMark/>
          </w:tcPr>
          <w:p w14:paraId="7870B423" w14:textId="73265D00" w:rsidR="00543D2C" w:rsidRPr="00BD5055" w:rsidRDefault="00EF7A82"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t xml:space="preserve">They influence international growth and conformity expenses.  </w:t>
            </w:r>
          </w:p>
        </w:tc>
      </w:tr>
    </w:tbl>
    <w:p w14:paraId="6D30E940" w14:textId="601B3FE0" w:rsidR="00016064" w:rsidRPr="00BD5055" w:rsidRDefault="00C31AC1" w:rsidP="003C0F86">
      <w:pPr>
        <w:spacing w:after="0" w:line="360" w:lineRule="auto"/>
        <w:jc w:val="both"/>
        <w:rPr>
          <w:rFonts w:ascii="Arial" w:eastAsia="Times New Roman" w:hAnsi="Arial" w:cs="Arial"/>
        </w:rPr>
      </w:pPr>
      <w:r w:rsidRPr="00C31AC1">
        <w:rPr>
          <w:rFonts w:ascii="Arial" w:eastAsia="Times New Roman" w:hAnsi="Arial" w:cs="Arial"/>
        </w:rPr>
        <w:t>Systematic review of these determinants will allow organisations to determine the emerging opportunities e.g. improvements in battery efficiency and threats e.g. disruption in the supply chain or stricter emission regulations</w:t>
      </w:r>
      <w:r w:rsidR="00DB2D07" w:rsidRPr="00BD5055">
        <w:rPr>
          <w:rFonts w:ascii="Arial" w:eastAsia="Times New Roman" w:hAnsi="Arial" w:cs="Arial"/>
        </w:rPr>
        <w:t>. The lessons learned in such an analytical process can be used as a strategic guiding template not only by the front runners in innovation, as in the case of Tesla, but also by later entrants to the market, as in the case of BYD, in determining how to maintain a competitive edge in a dynamically changing market environment.</w:t>
      </w:r>
    </w:p>
    <w:p w14:paraId="0B5D9782" w14:textId="6BAB842A" w:rsidR="00424E95" w:rsidRPr="00BD5055" w:rsidRDefault="00424E95" w:rsidP="003C0F86">
      <w:pPr>
        <w:spacing w:after="0" w:line="360" w:lineRule="auto"/>
        <w:jc w:val="both"/>
        <w:rPr>
          <w:rFonts w:ascii="Arial" w:eastAsia="Times New Roman" w:hAnsi="Arial" w:cs="Arial"/>
        </w:rPr>
      </w:pPr>
      <w:r w:rsidRPr="00BD5055">
        <w:rPr>
          <w:rFonts w:ascii="Arial" w:eastAsia="Times New Roman" w:hAnsi="Arial" w:cs="Arial"/>
          <w:noProof/>
        </w:rPr>
        <w:lastRenderedPageBreak/>
        <w:drawing>
          <wp:inline distT="0" distB="0" distL="0" distR="0" wp14:anchorId="2DFA1D25" wp14:editId="0CDACB28">
            <wp:extent cx="5943600" cy="3566160"/>
            <wp:effectExtent l="0" t="0" r="0" b="0"/>
            <wp:docPr id="1756674734" name="Picture 2" descr="A green bar char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74734" name="Picture 2" descr="A green bar chart with whit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p w14:paraId="45FD9570" w14:textId="1635AB20" w:rsidR="00FA6060" w:rsidRPr="00FA6060" w:rsidRDefault="00FA6060" w:rsidP="003E6B5B">
      <w:pPr>
        <w:spacing w:after="0" w:line="360" w:lineRule="auto"/>
        <w:jc w:val="center"/>
        <w:rPr>
          <w:rFonts w:ascii="Arial" w:eastAsia="Times New Roman" w:hAnsi="Arial" w:cs="Arial"/>
          <w:i/>
          <w:iCs/>
          <w:sz w:val="22"/>
          <w:szCs w:val="22"/>
          <w:lang w:val="en-US"/>
        </w:rPr>
      </w:pPr>
      <w:r w:rsidRPr="00FA6060">
        <w:rPr>
          <w:rFonts w:ascii="Arial" w:eastAsia="Times New Roman" w:hAnsi="Arial" w:cs="Arial"/>
          <w:i/>
          <w:iCs/>
          <w:sz w:val="22"/>
          <w:szCs w:val="22"/>
          <w:lang w:val="en-US"/>
        </w:rPr>
        <w:t xml:space="preserve">(Source: Adapted from </w:t>
      </w:r>
      <w:r w:rsidR="003133A1" w:rsidRPr="003E6B5B">
        <w:rPr>
          <w:rFonts w:ascii="Arial" w:eastAsia="Times New Roman" w:hAnsi="Arial" w:cs="Arial"/>
          <w:i/>
          <w:iCs/>
          <w:sz w:val="22"/>
          <w:szCs w:val="22"/>
          <w:lang w:val="en-US"/>
        </w:rPr>
        <w:t>(BIELEWSKI et al., 2024)</w:t>
      </w:r>
      <w:r w:rsidRPr="00FA6060">
        <w:rPr>
          <w:rFonts w:ascii="Arial" w:eastAsia="Times New Roman" w:hAnsi="Arial" w:cs="Arial"/>
          <w:i/>
          <w:iCs/>
          <w:sz w:val="22"/>
          <w:szCs w:val="22"/>
          <w:lang w:val="en-US"/>
        </w:rPr>
        <w:t xml:space="preserve">; IEA 2024; </w:t>
      </w:r>
      <w:r w:rsidR="00121D18" w:rsidRPr="003E6B5B">
        <w:rPr>
          <w:rFonts w:ascii="Arial" w:eastAsia="Times New Roman" w:hAnsi="Arial" w:cs="Arial"/>
          <w:i/>
          <w:iCs/>
          <w:sz w:val="22"/>
          <w:szCs w:val="22"/>
          <w:lang w:val="en-US"/>
        </w:rPr>
        <w:t>European Commission 202</w:t>
      </w:r>
      <w:r w:rsidR="006442BE" w:rsidRPr="003E6B5B">
        <w:rPr>
          <w:rFonts w:ascii="Arial" w:eastAsia="Times New Roman" w:hAnsi="Arial" w:cs="Arial"/>
          <w:i/>
          <w:iCs/>
          <w:sz w:val="22"/>
          <w:szCs w:val="22"/>
          <w:lang w:val="en-US"/>
        </w:rPr>
        <w:t>3</w:t>
      </w:r>
      <w:r w:rsidRPr="00FA6060">
        <w:rPr>
          <w:rFonts w:ascii="Arial" w:eastAsia="Times New Roman" w:hAnsi="Arial" w:cs="Arial"/>
          <w:i/>
          <w:iCs/>
          <w:sz w:val="22"/>
          <w:szCs w:val="22"/>
          <w:lang w:val="en-US"/>
        </w:rPr>
        <w:t>)</w:t>
      </w:r>
    </w:p>
    <w:p w14:paraId="2E3AB686" w14:textId="77777777" w:rsidR="003E6B5B" w:rsidRDefault="003E6B5B" w:rsidP="003C0F86">
      <w:pPr>
        <w:pStyle w:val="NormalWeb"/>
        <w:spacing w:before="0" w:beforeAutospacing="0" w:after="0" w:afterAutospacing="0" w:line="360" w:lineRule="auto"/>
        <w:jc w:val="both"/>
        <w:rPr>
          <w:rFonts w:ascii="Arial" w:hAnsi="Arial" w:cs="Arial"/>
        </w:rPr>
      </w:pPr>
    </w:p>
    <w:p w14:paraId="4C92E3E6" w14:textId="6496D569" w:rsidR="00424E95" w:rsidRPr="00652EBD" w:rsidRDefault="00652EBD" w:rsidP="00652EBD">
      <w:pPr>
        <w:spacing w:line="276" w:lineRule="auto"/>
        <w:jc w:val="both"/>
        <w:rPr>
          <w:rFonts w:ascii="Arial" w:hAnsi="Arial" w:cs="Arial"/>
          <w:kern w:val="0"/>
          <w14:ligatures w14:val="none"/>
        </w:rPr>
      </w:pPr>
      <w:r w:rsidRPr="00652EBD">
        <w:rPr>
          <w:rFonts w:ascii="Arial" w:hAnsi="Arial" w:cs="Arial"/>
          <w:kern w:val="0"/>
          <w14:ligatures w14:val="none"/>
        </w:rPr>
        <w:t xml:space="preserve">Figure 2 demonstrates the two forces rated as 5/5 that include technology and environment and which are the most significant external forces of the EV industry. Technological forces drive innovation in battery chemistry and autonomous capabilities and environmental pressures drive long-term strategic direction, especially decarbonisation targets (European Commission 2023). Both the economic and legal variables have moderate but strong implications on the cost structures and the growth of global markets.  </w:t>
      </w:r>
    </w:p>
    <w:p w14:paraId="1DDC96D9" w14:textId="77777777" w:rsidR="003C6B71" w:rsidRPr="002A03A3" w:rsidRDefault="003C6B71" w:rsidP="002A03A3">
      <w:pPr>
        <w:pStyle w:val="Heading1"/>
        <w:rPr>
          <w:rFonts w:ascii="Arial" w:hAnsi="Arial" w:cs="Arial"/>
          <w:b/>
          <w:bCs/>
          <w:color w:val="auto"/>
          <w:sz w:val="24"/>
          <w:szCs w:val="24"/>
        </w:rPr>
      </w:pPr>
      <w:bookmarkStart w:id="2" w:name="_Toc214216959"/>
      <w:r w:rsidRPr="002A03A3">
        <w:rPr>
          <w:rFonts w:ascii="Arial" w:hAnsi="Arial" w:cs="Arial"/>
          <w:b/>
          <w:bCs/>
          <w:color w:val="auto"/>
          <w:sz w:val="24"/>
          <w:szCs w:val="24"/>
        </w:rPr>
        <w:t>2.2 Two External Macro Marketing Actors Chosen.</w:t>
      </w:r>
      <w:bookmarkEnd w:id="2"/>
      <w:r w:rsidRPr="002A03A3">
        <w:rPr>
          <w:rFonts w:ascii="Arial" w:hAnsi="Arial" w:cs="Arial"/>
          <w:b/>
          <w:bCs/>
          <w:color w:val="auto"/>
          <w:sz w:val="24"/>
          <w:szCs w:val="24"/>
        </w:rPr>
        <w:t xml:space="preserve">  </w:t>
      </w:r>
    </w:p>
    <w:p w14:paraId="6CAB0DFC" w14:textId="796E8BC0" w:rsidR="003C6B71" w:rsidRPr="00BD5055" w:rsidRDefault="003C6B71" w:rsidP="003C0F86">
      <w:pPr>
        <w:spacing w:after="0" w:line="360" w:lineRule="auto"/>
        <w:jc w:val="both"/>
        <w:rPr>
          <w:rFonts w:ascii="Arial" w:hAnsi="Arial" w:cs="Arial"/>
        </w:rPr>
      </w:pPr>
      <w:r w:rsidRPr="00BD5055">
        <w:rPr>
          <w:rFonts w:ascii="Arial" w:hAnsi="Arial" w:cs="Arial"/>
        </w:rPr>
        <w:t xml:space="preserve">The technological and environmental aspects of the EV industry have the greatest and most transformative effect on the industry as compared to the other five dimensions of PESTEL. The forces have been chosen to be analyzed due to their powerful, connected influence on the innovation, cost efficiency, and sustainability as three essential forces of competitive advantage in the industry.  </w:t>
      </w:r>
    </w:p>
    <w:p w14:paraId="79445C3A" w14:textId="77777777" w:rsidR="003C6B71" w:rsidRPr="00685771" w:rsidRDefault="003C6B71" w:rsidP="002A03A3">
      <w:pPr>
        <w:pStyle w:val="Heading2"/>
        <w:rPr>
          <w:rFonts w:ascii="Arial" w:hAnsi="Arial" w:cs="Arial"/>
          <w:b/>
          <w:bCs/>
          <w:color w:val="auto"/>
          <w:sz w:val="24"/>
          <w:szCs w:val="24"/>
        </w:rPr>
      </w:pPr>
      <w:bookmarkStart w:id="3" w:name="_Toc214216960"/>
      <w:r w:rsidRPr="00685771">
        <w:rPr>
          <w:rFonts w:ascii="Arial" w:hAnsi="Arial" w:cs="Arial"/>
          <w:b/>
          <w:bCs/>
          <w:color w:val="auto"/>
          <w:sz w:val="24"/>
          <w:szCs w:val="24"/>
        </w:rPr>
        <w:t>Technological Factors</w:t>
      </w:r>
      <w:bookmarkEnd w:id="3"/>
      <w:r w:rsidRPr="00685771">
        <w:rPr>
          <w:rFonts w:ascii="Arial" w:hAnsi="Arial" w:cs="Arial"/>
          <w:b/>
          <w:bCs/>
          <w:color w:val="auto"/>
          <w:sz w:val="24"/>
          <w:szCs w:val="24"/>
        </w:rPr>
        <w:t xml:space="preserve">  </w:t>
      </w:r>
    </w:p>
    <w:p w14:paraId="26EDFC92" w14:textId="7C7973D5" w:rsidR="004E6649" w:rsidRPr="00BD5055" w:rsidRDefault="004E6649" w:rsidP="003C0F86">
      <w:pPr>
        <w:spacing w:after="0" w:line="360" w:lineRule="auto"/>
        <w:jc w:val="both"/>
        <w:rPr>
          <w:rFonts w:ascii="Arial" w:hAnsi="Arial" w:cs="Arial"/>
        </w:rPr>
      </w:pPr>
      <w:r w:rsidRPr="004E6649">
        <w:rPr>
          <w:rFonts w:ascii="Arial" w:hAnsi="Arial" w:cs="Arial"/>
        </w:rPr>
        <w:t xml:space="preserve">Technological advances are the key factors that define the pace and trend of development in the EV industry. The developments in battery chemistry, energy density, the growth of </w:t>
      </w:r>
      <w:r w:rsidRPr="004E6649">
        <w:rPr>
          <w:rFonts w:ascii="Arial" w:hAnsi="Arial" w:cs="Arial"/>
        </w:rPr>
        <w:lastRenderedPageBreak/>
        <w:t xml:space="preserve">charging networks, and the digital connectivity have changed the way that companies develop and generate value. The report by BloombergNEF (2024) states that the average price of battery packs dropped to USD 115 per 1000Wh in 2024, which is a decrease of 9 percent relative to the year before. This price cut has helped innovators like Tesla to gain margins, and imitators like BYD to gain cost competitiveness due to economies of scale. </w:t>
      </w:r>
      <w:r w:rsidR="008A2608" w:rsidRPr="008A2608">
        <w:rPr>
          <w:rFonts w:ascii="Arial" w:hAnsi="Arial" w:cs="Arial"/>
        </w:rPr>
        <w:t>Self-driving cars and artificial intelligence (AI) have also become one of the main differentiators. The examples of Tesla and BYD with Autopilot and DiPilot can show how leaders and followers can use AI to promote brand perception and user experience. The rate of technological adoption also has an impact on strategic responses: first movers have to constantly innovate to remain differentiated, and followers can more easily adopt established technologies with less risk (Grant, 2023).</w:t>
      </w:r>
    </w:p>
    <w:p w14:paraId="44702CEE" w14:textId="77777777" w:rsidR="003C6B71" w:rsidRPr="00685771" w:rsidRDefault="003C6B71" w:rsidP="00685771">
      <w:pPr>
        <w:pStyle w:val="Heading2"/>
        <w:rPr>
          <w:rFonts w:ascii="Arial" w:hAnsi="Arial" w:cs="Arial"/>
          <w:b/>
          <w:bCs/>
          <w:color w:val="auto"/>
          <w:sz w:val="24"/>
          <w:szCs w:val="24"/>
        </w:rPr>
      </w:pPr>
      <w:bookmarkStart w:id="4" w:name="_Toc214216961"/>
      <w:r w:rsidRPr="00685771">
        <w:rPr>
          <w:rFonts w:ascii="Arial" w:hAnsi="Arial" w:cs="Arial"/>
          <w:b/>
          <w:bCs/>
          <w:color w:val="auto"/>
          <w:sz w:val="24"/>
          <w:szCs w:val="24"/>
        </w:rPr>
        <w:t>Environmental Factors</w:t>
      </w:r>
      <w:bookmarkEnd w:id="4"/>
      <w:r w:rsidRPr="00685771">
        <w:rPr>
          <w:rFonts w:ascii="Arial" w:hAnsi="Arial" w:cs="Arial"/>
          <w:b/>
          <w:bCs/>
          <w:color w:val="auto"/>
          <w:sz w:val="24"/>
          <w:szCs w:val="24"/>
        </w:rPr>
        <w:t xml:space="preserve">  </w:t>
      </w:r>
    </w:p>
    <w:p w14:paraId="12C611FF" w14:textId="437C852B" w:rsidR="00685771" w:rsidRDefault="008F2EA2" w:rsidP="003C0F86">
      <w:pPr>
        <w:spacing w:after="0" w:line="360" w:lineRule="auto"/>
        <w:jc w:val="both"/>
        <w:rPr>
          <w:rFonts w:ascii="Arial" w:hAnsi="Arial" w:cs="Arial"/>
        </w:rPr>
      </w:pPr>
      <w:r w:rsidRPr="008F2EA2">
        <w:rPr>
          <w:rFonts w:ascii="Arial" w:hAnsi="Arial" w:cs="Arial"/>
        </w:rPr>
        <w:t>The issue of environmental sustainability has become a regulatory demand and a demand by the consumer. Increasing environmental awareness, tighter emission rules and global net-zero towards the world are accelerating the change to cleaner mobility. The uptake of electric vehicles is one of the key aspects of the Fit for 55 package of the EU, which aims at lowering the greenhouse-gas emissions by 55 percent by 2030 (European Commission, 2023).</w:t>
      </w:r>
      <w:r w:rsidR="003C6B71" w:rsidRPr="00BD5055">
        <w:rPr>
          <w:rFonts w:ascii="Arial" w:hAnsi="Arial" w:cs="Arial"/>
        </w:rPr>
        <w:t xml:space="preserve">These policies present both opportunities and challenges to the industry players in terms of green incentives and reputational benefits and also compliance costs, material shortages, and recycling requirements (Statista 2024). The sustainability plan of Tesla focuses on the full life-cycle control with the help of renewable energy, whereas BYD uses the governmental-backed recycling and a very localised Chinese supply chain to decrease the carbon intensity.  </w:t>
      </w:r>
    </w:p>
    <w:p w14:paraId="1E55004E" w14:textId="26D16015" w:rsidR="003C6B71" w:rsidRPr="00BD5055" w:rsidRDefault="00685771" w:rsidP="00685771">
      <w:pPr>
        <w:rPr>
          <w:rFonts w:ascii="Arial" w:hAnsi="Arial" w:cs="Arial"/>
        </w:rPr>
      </w:pPr>
      <w:r>
        <w:rPr>
          <w:rFonts w:ascii="Arial" w:hAnsi="Arial" w:cs="Arial"/>
        </w:rPr>
        <w:br w:type="page"/>
      </w:r>
    </w:p>
    <w:tbl>
      <w:tblPr>
        <w:tblStyle w:val="GridTable4-Accent6"/>
        <w:tblW w:w="0" w:type="auto"/>
        <w:tblLook w:val="04A0" w:firstRow="1" w:lastRow="0" w:firstColumn="1" w:lastColumn="0" w:noHBand="0" w:noVBand="1"/>
      </w:tblPr>
      <w:tblGrid>
        <w:gridCol w:w="1883"/>
        <w:gridCol w:w="2866"/>
        <w:gridCol w:w="2387"/>
        <w:gridCol w:w="2214"/>
      </w:tblGrid>
      <w:tr w:rsidR="00E84A4D" w:rsidRPr="00BD5055" w14:paraId="541951A6" w14:textId="77777777" w:rsidTr="00194F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F70191" w14:textId="77777777" w:rsidR="00E84A4D" w:rsidRPr="00685771" w:rsidRDefault="00E84A4D" w:rsidP="00685771">
            <w:pPr>
              <w:spacing w:line="360" w:lineRule="auto"/>
              <w:jc w:val="center"/>
              <w:rPr>
                <w:rFonts w:ascii="Arial" w:eastAsia="Times New Roman" w:hAnsi="Arial" w:cs="Arial"/>
                <w:b w:val="0"/>
                <w:bCs w:val="0"/>
                <w:color w:val="1B1C1D"/>
                <w:kern w:val="0"/>
                <w14:ligatures w14:val="none"/>
              </w:rPr>
            </w:pPr>
            <w:r w:rsidRPr="00685771">
              <w:rPr>
                <w:rStyle w:val="Strong"/>
                <w:rFonts w:ascii="Arial" w:eastAsia="Times New Roman" w:hAnsi="Arial" w:cs="Arial"/>
                <w:b/>
                <w:bCs/>
                <w:color w:val="1B1C1D"/>
                <w:bdr w:val="none" w:sz="0" w:space="0" w:color="auto" w:frame="1"/>
              </w:rPr>
              <w:lastRenderedPageBreak/>
              <w:t>Factor</w:t>
            </w:r>
          </w:p>
        </w:tc>
        <w:tc>
          <w:tcPr>
            <w:tcW w:w="0" w:type="auto"/>
            <w:hideMark/>
          </w:tcPr>
          <w:p w14:paraId="09040E84" w14:textId="77777777" w:rsidR="00E84A4D" w:rsidRPr="00685771" w:rsidRDefault="00E84A4D" w:rsidP="0068577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1B1C1D"/>
              </w:rPr>
            </w:pPr>
            <w:r w:rsidRPr="00685771">
              <w:rPr>
                <w:rStyle w:val="Strong"/>
                <w:rFonts w:ascii="Arial" w:eastAsia="Times New Roman" w:hAnsi="Arial" w:cs="Arial"/>
                <w:b/>
                <w:bCs/>
                <w:color w:val="1B1C1D"/>
                <w:bdr w:val="none" w:sz="0" w:space="0" w:color="auto" w:frame="1"/>
              </w:rPr>
              <w:t>Current Trend (2024–2025)</w:t>
            </w:r>
          </w:p>
        </w:tc>
        <w:tc>
          <w:tcPr>
            <w:tcW w:w="0" w:type="auto"/>
            <w:hideMark/>
          </w:tcPr>
          <w:p w14:paraId="7BAD9493" w14:textId="77777777" w:rsidR="00E84A4D" w:rsidRPr="00685771" w:rsidRDefault="00E84A4D" w:rsidP="0068577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1B1C1D"/>
              </w:rPr>
            </w:pPr>
            <w:r w:rsidRPr="00685771">
              <w:rPr>
                <w:rStyle w:val="Strong"/>
                <w:rFonts w:ascii="Arial" w:eastAsia="Times New Roman" w:hAnsi="Arial" w:cs="Arial"/>
                <w:b/>
                <w:bCs/>
                <w:color w:val="1B1C1D"/>
                <w:bdr w:val="none" w:sz="0" w:space="0" w:color="auto" w:frame="1"/>
              </w:rPr>
              <w:t>Opportunity</w:t>
            </w:r>
          </w:p>
        </w:tc>
        <w:tc>
          <w:tcPr>
            <w:tcW w:w="0" w:type="auto"/>
            <w:hideMark/>
          </w:tcPr>
          <w:p w14:paraId="4D29B533" w14:textId="77777777" w:rsidR="00E84A4D" w:rsidRPr="00685771" w:rsidRDefault="00E84A4D" w:rsidP="0068577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1B1C1D"/>
              </w:rPr>
            </w:pPr>
            <w:r w:rsidRPr="00685771">
              <w:rPr>
                <w:rStyle w:val="Strong"/>
                <w:rFonts w:ascii="Arial" w:eastAsia="Times New Roman" w:hAnsi="Arial" w:cs="Arial"/>
                <w:b/>
                <w:bCs/>
                <w:color w:val="1B1C1D"/>
                <w:bdr w:val="none" w:sz="0" w:space="0" w:color="auto" w:frame="1"/>
              </w:rPr>
              <w:t>Threat</w:t>
            </w:r>
          </w:p>
        </w:tc>
      </w:tr>
      <w:tr w:rsidR="00E84A4D" w:rsidRPr="00BD5055" w14:paraId="34A06C47" w14:textId="77777777" w:rsidTr="00194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5E2B43" w14:textId="77777777" w:rsidR="00E84A4D" w:rsidRPr="00BD5055" w:rsidRDefault="00E84A4D" w:rsidP="003C0F86">
            <w:pPr>
              <w:spacing w:line="360" w:lineRule="auto"/>
              <w:jc w:val="both"/>
              <w:rPr>
                <w:rFonts w:ascii="Arial" w:eastAsia="Times New Roman" w:hAnsi="Arial" w:cs="Arial"/>
                <w:color w:val="1B1C1D"/>
              </w:rPr>
            </w:pPr>
            <w:r w:rsidRPr="00BD5055">
              <w:rPr>
                <w:rFonts w:ascii="Arial" w:eastAsia="Times New Roman" w:hAnsi="Arial" w:cs="Arial"/>
                <w:color w:val="1B1C1D"/>
                <w:bdr w:val="none" w:sz="0" w:space="0" w:color="auto" w:frame="1"/>
              </w:rPr>
              <w:t>Technological</w:t>
            </w:r>
          </w:p>
        </w:tc>
        <w:tc>
          <w:tcPr>
            <w:tcW w:w="0" w:type="auto"/>
            <w:hideMark/>
          </w:tcPr>
          <w:p w14:paraId="39AEA100" w14:textId="77777777" w:rsidR="00E84A4D" w:rsidRPr="00BD5055" w:rsidRDefault="00E84A4D"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rPr>
            </w:pPr>
            <w:r w:rsidRPr="00BD5055">
              <w:rPr>
                <w:rFonts w:ascii="Arial" w:eastAsia="Times New Roman" w:hAnsi="Arial" w:cs="Arial"/>
                <w:color w:val="1B1C1D"/>
              </w:rPr>
              <w:t>Falling battery costs; AI-based driving systems; smart-grid charging</w:t>
            </w:r>
          </w:p>
        </w:tc>
        <w:tc>
          <w:tcPr>
            <w:tcW w:w="0" w:type="auto"/>
            <w:hideMark/>
          </w:tcPr>
          <w:p w14:paraId="7B6359E8" w14:textId="77777777" w:rsidR="00E84A4D" w:rsidRPr="00BD5055" w:rsidRDefault="00E84A4D"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rPr>
            </w:pPr>
            <w:r w:rsidRPr="00BD5055">
              <w:rPr>
                <w:rFonts w:ascii="Arial" w:eastAsia="Times New Roman" w:hAnsi="Arial" w:cs="Arial"/>
                <w:color w:val="1B1C1D"/>
              </w:rPr>
              <w:t>Innovation leadership; new business models</w:t>
            </w:r>
          </w:p>
        </w:tc>
        <w:tc>
          <w:tcPr>
            <w:tcW w:w="0" w:type="auto"/>
            <w:hideMark/>
          </w:tcPr>
          <w:p w14:paraId="2D7D227A" w14:textId="77777777" w:rsidR="00E84A4D" w:rsidRPr="00BD5055" w:rsidRDefault="00E84A4D"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rPr>
            </w:pPr>
            <w:r w:rsidRPr="00BD5055">
              <w:rPr>
                <w:rFonts w:ascii="Arial" w:eastAsia="Times New Roman" w:hAnsi="Arial" w:cs="Arial"/>
                <w:color w:val="1B1C1D"/>
              </w:rPr>
              <w:t>Short product cycles; high R&amp;D costs</w:t>
            </w:r>
          </w:p>
        </w:tc>
      </w:tr>
      <w:tr w:rsidR="00E84A4D" w:rsidRPr="00BD5055" w14:paraId="494B9ACC" w14:textId="77777777" w:rsidTr="00194FC3">
        <w:tc>
          <w:tcPr>
            <w:cnfStyle w:val="001000000000" w:firstRow="0" w:lastRow="0" w:firstColumn="1" w:lastColumn="0" w:oddVBand="0" w:evenVBand="0" w:oddHBand="0" w:evenHBand="0" w:firstRowFirstColumn="0" w:firstRowLastColumn="0" w:lastRowFirstColumn="0" w:lastRowLastColumn="0"/>
            <w:tcW w:w="0" w:type="auto"/>
            <w:hideMark/>
          </w:tcPr>
          <w:p w14:paraId="09669DFD" w14:textId="77777777" w:rsidR="00E84A4D" w:rsidRPr="00BD5055" w:rsidRDefault="00E84A4D" w:rsidP="003C0F86">
            <w:pPr>
              <w:spacing w:line="360" w:lineRule="auto"/>
              <w:jc w:val="both"/>
              <w:rPr>
                <w:rFonts w:ascii="Arial" w:eastAsia="Times New Roman" w:hAnsi="Arial" w:cs="Arial"/>
                <w:color w:val="1B1C1D"/>
              </w:rPr>
            </w:pPr>
            <w:r w:rsidRPr="00BD5055">
              <w:rPr>
                <w:rFonts w:ascii="Arial" w:eastAsia="Times New Roman" w:hAnsi="Arial" w:cs="Arial"/>
                <w:color w:val="1B1C1D"/>
                <w:bdr w:val="none" w:sz="0" w:space="0" w:color="auto" w:frame="1"/>
              </w:rPr>
              <w:t>Environmental</w:t>
            </w:r>
          </w:p>
        </w:tc>
        <w:tc>
          <w:tcPr>
            <w:tcW w:w="0" w:type="auto"/>
            <w:hideMark/>
          </w:tcPr>
          <w:p w14:paraId="40C79D3F" w14:textId="77777777" w:rsidR="00E84A4D" w:rsidRPr="00BD5055" w:rsidRDefault="00E84A4D"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rPr>
            </w:pPr>
            <w:r w:rsidRPr="00BD5055">
              <w:rPr>
                <w:rFonts w:ascii="Arial" w:eastAsia="Times New Roman" w:hAnsi="Arial" w:cs="Arial"/>
                <w:color w:val="1B1C1D"/>
              </w:rPr>
              <w:t>Net-zero regulations; consumer eco-awareness; recycling policies</w:t>
            </w:r>
          </w:p>
        </w:tc>
        <w:tc>
          <w:tcPr>
            <w:tcW w:w="0" w:type="auto"/>
            <w:hideMark/>
          </w:tcPr>
          <w:p w14:paraId="44E8456A" w14:textId="77777777" w:rsidR="00E84A4D" w:rsidRPr="00BD5055" w:rsidRDefault="00E84A4D"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rPr>
            </w:pPr>
            <w:r w:rsidRPr="00BD5055">
              <w:rPr>
                <w:rFonts w:ascii="Arial" w:eastAsia="Times New Roman" w:hAnsi="Arial" w:cs="Arial"/>
                <w:color w:val="1B1C1D"/>
              </w:rPr>
              <w:t>Green incentives; enhanced brand image</w:t>
            </w:r>
          </w:p>
        </w:tc>
        <w:tc>
          <w:tcPr>
            <w:tcW w:w="0" w:type="auto"/>
            <w:hideMark/>
          </w:tcPr>
          <w:p w14:paraId="1DBBD0F2" w14:textId="77777777" w:rsidR="00E84A4D" w:rsidRPr="00BD5055" w:rsidRDefault="00E84A4D"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rPr>
            </w:pPr>
            <w:r w:rsidRPr="00BD5055">
              <w:rPr>
                <w:rFonts w:ascii="Arial" w:eastAsia="Times New Roman" w:hAnsi="Arial" w:cs="Arial"/>
                <w:color w:val="1B1C1D"/>
              </w:rPr>
              <w:t>Resource shortages; compliance pressure</w:t>
            </w:r>
          </w:p>
        </w:tc>
      </w:tr>
    </w:tbl>
    <w:p w14:paraId="68B9E155" w14:textId="1487C7F5" w:rsidR="00355E79" w:rsidRPr="00BD5055" w:rsidRDefault="00223F26" w:rsidP="00685771">
      <w:pPr>
        <w:spacing w:after="0" w:line="360" w:lineRule="auto"/>
        <w:jc w:val="center"/>
        <w:rPr>
          <w:rFonts w:ascii="Arial" w:hAnsi="Arial" w:cs="Arial"/>
          <w:i/>
          <w:iCs/>
        </w:rPr>
      </w:pPr>
      <w:r w:rsidRPr="00685771">
        <w:rPr>
          <w:rFonts w:ascii="Arial" w:hAnsi="Arial" w:cs="Arial"/>
          <w:i/>
          <w:iCs/>
          <w:sz w:val="22"/>
          <w:szCs w:val="22"/>
        </w:rPr>
        <w:t>(Source: BloombergNEF 2024; European Commission 2023; Statista 2024)</w:t>
      </w:r>
    </w:p>
    <w:p w14:paraId="2674CB72" w14:textId="2BBF3862" w:rsidR="00223F26" w:rsidRPr="00BD5055" w:rsidRDefault="004A0EDF" w:rsidP="003C0F86">
      <w:pPr>
        <w:spacing w:after="0" w:line="360" w:lineRule="auto"/>
        <w:jc w:val="both"/>
        <w:rPr>
          <w:rFonts w:ascii="Arial" w:hAnsi="Arial" w:cs="Arial"/>
        </w:rPr>
      </w:pPr>
      <w:r w:rsidRPr="00BD5055">
        <w:rPr>
          <w:rFonts w:ascii="Arial" w:hAnsi="Arial" w:cs="Arial"/>
        </w:rPr>
        <w:t>The combination of these two macro actors explains a significant share of the structural change that has been experienced in the electric vehicle industry. The technological advancement offers the basis of the greater affordability and performance, but the environmental requirements act to justify and hasten the process of the internal-combustion engine replacement. Taken together, these forces define the strategic environment within which pioneering and following firms are operating.</w:t>
      </w:r>
    </w:p>
    <w:p w14:paraId="5FE3D678" w14:textId="77777777" w:rsidR="009C7CB8" w:rsidRDefault="00BA4B4A" w:rsidP="00685771">
      <w:pPr>
        <w:pStyle w:val="Heading1"/>
        <w:rPr>
          <w:rFonts w:ascii="Arial" w:hAnsi="Arial" w:cs="Arial"/>
          <w:b/>
          <w:bCs/>
          <w:color w:val="auto"/>
          <w:sz w:val="24"/>
          <w:szCs w:val="24"/>
        </w:rPr>
      </w:pPr>
      <w:bookmarkStart w:id="5" w:name="_Toc214216962"/>
      <w:r w:rsidRPr="00685771">
        <w:rPr>
          <w:rFonts w:ascii="Arial" w:hAnsi="Arial" w:cs="Arial"/>
          <w:b/>
          <w:bCs/>
          <w:color w:val="auto"/>
          <w:sz w:val="24"/>
          <w:szCs w:val="24"/>
        </w:rPr>
        <w:t>2.3 Actor Critical Analysis.</w:t>
      </w:r>
      <w:bookmarkEnd w:id="5"/>
      <w:r w:rsidRPr="00685771">
        <w:rPr>
          <w:rFonts w:ascii="Arial" w:hAnsi="Arial" w:cs="Arial"/>
          <w:b/>
          <w:bCs/>
          <w:color w:val="auto"/>
          <w:sz w:val="24"/>
          <w:szCs w:val="24"/>
        </w:rPr>
        <w:t xml:space="preserve"> </w:t>
      </w:r>
    </w:p>
    <w:p w14:paraId="693FDDCB" w14:textId="635A8C10" w:rsidR="00BA4B4A" w:rsidRPr="009C7CB8" w:rsidRDefault="009C7CB8" w:rsidP="009C7CB8">
      <w:pPr>
        <w:pStyle w:val="Heading2"/>
        <w:rPr>
          <w:rFonts w:ascii="Arial" w:hAnsi="Arial" w:cs="Arial"/>
          <w:b/>
          <w:bCs/>
          <w:sz w:val="24"/>
          <w:szCs w:val="24"/>
        </w:rPr>
      </w:pPr>
      <w:bookmarkStart w:id="6" w:name="_Toc214216963"/>
      <w:r w:rsidRPr="008C41C0">
        <w:rPr>
          <w:rFonts w:ascii="Arial" w:hAnsi="Arial" w:cs="Arial"/>
          <w:b/>
          <w:bCs/>
          <w:color w:val="auto"/>
          <w:sz w:val="24"/>
          <w:szCs w:val="24"/>
        </w:rPr>
        <w:t>A.Technological Actor</w:t>
      </w:r>
      <w:bookmarkEnd w:id="6"/>
      <w:r w:rsidR="00BA4B4A" w:rsidRPr="008C41C0">
        <w:rPr>
          <w:rFonts w:ascii="Arial" w:hAnsi="Arial" w:cs="Arial"/>
          <w:b/>
          <w:bCs/>
          <w:color w:val="auto"/>
          <w:sz w:val="24"/>
          <w:szCs w:val="24"/>
        </w:rPr>
        <w:t xml:space="preserve"> </w:t>
      </w:r>
    </w:p>
    <w:p w14:paraId="12BFFE28" w14:textId="321B01B0" w:rsidR="00BA4B4A" w:rsidRPr="00BD5055" w:rsidRDefault="00BA4B4A" w:rsidP="003C0F86">
      <w:pPr>
        <w:spacing w:after="0" w:line="360" w:lineRule="auto"/>
        <w:jc w:val="both"/>
        <w:rPr>
          <w:rFonts w:ascii="Arial" w:hAnsi="Arial" w:cs="Arial"/>
        </w:rPr>
      </w:pPr>
      <w:r w:rsidRPr="00BD5055">
        <w:rPr>
          <w:rFonts w:ascii="Arial" w:hAnsi="Arial" w:cs="Arial"/>
        </w:rPr>
        <w:t xml:space="preserve">The most important competitive force in the EV industry is technological development that affects the production costs, performance, and market penetration. Proprietary innovations, ecosystem development, and cumulative learning effects are all advantages enjoyed by first movers like Tesla. Initial investments in large-scale battery manufacturing and internal software have helped Tesla to gain economies of scale and high brand differentiation (Rakesh Chinta, 2025).  </w:t>
      </w:r>
    </w:p>
    <w:p w14:paraId="6A861141" w14:textId="77777777" w:rsidR="00BA4B4A" w:rsidRPr="00BD5055" w:rsidRDefault="00BA4B4A" w:rsidP="003C0F86">
      <w:pPr>
        <w:spacing w:after="0" w:line="360" w:lineRule="auto"/>
        <w:jc w:val="both"/>
        <w:rPr>
          <w:rFonts w:ascii="Arial" w:hAnsi="Arial" w:cs="Arial"/>
        </w:rPr>
      </w:pPr>
      <w:r w:rsidRPr="00BD5055">
        <w:rPr>
          <w:rFonts w:ascii="Arial" w:hAnsi="Arial" w:cs="Arial"/>
        </w:rPr>
        <w:t xml:space="preserve">Technological leadership is however risky. The cost of R&amp;D is high and the pace of technological obsolescence is fast and thus the early innovation may be rendered useless and hence has to be reinvested again and again. This poses strategic weakness. Conversely, late entrants like BYD enjoy the advantage of late entrants by adopting mature, less risky technologies with less cost curves (Islam &amp; Islam, 2025). The fully </w:t>
      </w:r>
      <w:r w:rsidRPr="00BD5055">
        <w:rPr>
          <w:rFonts w:ascii="Arial" w:hAnsi="Arial" w:cs="Arial"/>
        </w:rPr>
        <w:lastRenderedPageBreak/>
        <w:t>battery assembly at BYD enables scaling much quicker and more efficiently than the time-consuming trial and error Tesla undertook (Islam, 2025).</w:t>
      </w:r>
    </w:p>
    <w:p w14:paraId="461B6F40" w14:textId="29E56EF2" w:rsidR="00A56292" w:rsidRPr="00685771" w:rsidRDefault="00A56292" w:rsidP="00685771">
      <w:pPr>
        <w:pStyle w:val="Heading2"/>
        <w:rPr>
          <w:rFonts w:eastAsia="Times New Roman"/>
        </w:rPr>
      </w:pPr>
      <w:bookmarkStart w:id="7" w:name="_Toc214216964"/>
      <w:r w:rsidRPr="00685771">
        <w:rPr>
          <w:rStyle w:val="Strong"/>
          <w:rFonts w:ascii="Arial" w:eastAsia="Times New Roman" w:hAnsi="Arial" w:cs="Arial"/>
          <w:color w:val="auto"/>
          <w:sz w:val="24"/>
          <w:szCs w:val="24"/>
        </w:rPr>
        <w:t xml:space="preserve">Figure: Technological Advantage Curve </w:t>
      </w:r>
      <w:r w:rsidR="00FF1F29" w:rsidRPr="00685771">
        <w:rPr>
          <w:rStyle w:val="Strong"/>
          <w:rFonts w:ascii="Arial" w:eastAsia="Times New Roman" w:hAnsi="Arial" w:cs="Arial"/>
          <w:color w:val="auto"/>
          <w:sz w:val="24"/>
          <w:szCs w:val="24"/>
        </w:rPr>
        <w:t xml:space="preserve"> </w:t>
      </w:r>
      <w:r w:rsidRPr="00685771">
        <w:rPr>
          <w:rStyle w:val="Strong"/>
          <w:rFonts w:ascii="Arial" w:eastAsia="Times New Roman" w:hAnsi="Arial" w:cs="Arial"/>
          <w:color w:val="auto"/>
          <w:sz w:val="24"/>
          <w:szCs w:val="24"/>
        </w:rPr>
        <w:t>Pioneers vs. Followers in the EV Industry</w:t>
      </w:r>
      <w:bookmarkEnd w:id="7"/>
    </w:p>
    <w:tbl>
      <w:tblPr>
        <w:tblStyle w:val="TableGrid"/>
        <w:tblW w:w="0" w:type="auto"/>
        <w:tblLook w:val="04A0" w:firstRow="1" w:lastRow="0" w:firstColumn="1" w:lastColumn="0" w:noHBand="0" w:noVBand="1"/>
      </w:tblPr>
      <w:tblGrid>
        <w:gridCol w:w="1640"/>
        <w:gridCol w:w="3009"/>
        <w:gridCol w:w="2665"/>
        <w:gridCol w:w="2036"/>
      </w:tblGrid>
      <w:tr w:rsidR="00A56292" w:rsidRPr="00BD5055" w14:paraId="788ECFD8" w14:textId="77777777" w:rsidTr="00877387">
        <w:tc>
          <w:tcPr>
            <w:tcW w:w="0" w:type="auto"/>
            <w:hideMark/>
          </w:tcPr>
          <w:p w14:paraId="2587D22D" w14:textId="77777777" w:rsidR="00A56292" w:rsidRPr="00BD5055" w:rsidRDefault="00A56292" w:rsidP="003C0F86">
            <w:pPr>
              <w:spacing w:line="360" w:lineRule="auto"/>
              <w:jc w:val="both"/>
              <w:rPr>
                <w:rFonts w:ascii="Arial" w:eastAsia="Times New Roman" w:hAnsi="Arial" w:cs="Arial"/>
                <w:b/>
                <w:bCs/>
              </w:rPr>
            </w:pPr>
            <w:r w:rsidRPr="00BD5055">
              <w:rPr>
                <w:rStyle w:val="Strong"/>
                <w:rFonts w:ascii="Arial" w:eastAsia="Times New Roman" w:hAnsi="Arial" w:cs="Arial"/>
              </w:rPr>
              <w:t>Stage</w:t>
            </w:r>
          </w:p>
        </w:tc>
        <w:tc>
          <w:tcPr>
            <w:tcW w:w="0" w:type="auto"/>
            <w:hideMark/>
          </w:tcPr>
          <w:p w14:paraId="6696DFB6" w14:textId="77777777" w:rsidR="00A56292" w:rsidRPr="00BD5055" w:rsidRDefault="00A56292" w:rsidP="003C0F86">
            <w:pPr>
              <w:spacing w:line="360" w:lineRule="auto"/>
              <w:jc w:val="both"/>
              <w:rPr>
                <w:rFonts w:ascii="Arial" w:eastAsia="Times New Roman" w:hAnsi="Arial" w:cs="Arial"/>
                <w:b/>
                <w:bCs/>
              </w:rPr>
            </w:pPr>
            <w:r w:rsidRPr="00BD5055">
              <w:rPr>
                <w:rStyle w:val="Strong"/>
                <w:rFonts w:ascii="Arial" w:eastAsia="Times New Roman" w:hAnsi="Arial" w:cs="Arial"/>
              </w:rPr>
              <w:t>Pioneer Advantage (Tesla)</w:t>
            </w:r>
          </w:p>
        </w:tc>
        <w:tc>
          <w:tcPr>
            <w:tcW w:w="0" w:type="auto"/>
            <w:hideMark/>
          </w:tcPr>
          <w:p w14:paraId="45114161" w14:textId="77777777" w:rsidR="00A56292" w:rsidRPr="00BD5055" w:rsidRDefault="00A56292" w:rsidP="003C0F86">
            <w:pPr>
              <w:spacing w:line="360" w:lineRule="auto"/>
              <w:jc w:val="both"/>
              <w:rPr>
                <w:rFonts w:ascii="Arial" w:eastAsia="Times New Roman" w:hAnsi="Arial" w:cs="Arial"/>
                <w:b/>
                <w:bCs/>
              </w:rPr>
            </w:pPr>
            <w:r w:rsidRPr="00BD5055">
              <w:rPr>
                <w:rStyle w:val="Strong"/>
                <w:rFonts w:ascii="Arial" w:eastAsia="Times New Roman" w:hAnsi="Arial" w:cs="Arial"/>
              </w:rPr>
              <w:t>Follower Response (BYD)</w:t>
            </w:r>
          </w:p>
        </w:tc>
        <w:tc>
          <w:tcPr>
            <w:tcW w:w="0" w:type="auto"/>
            <w:hideMark/>
          </w:tcPr>
          <w:p w14:paraId="4205EE2B" w14:textId="77777777" w:rsidR="00A56292" w:rsidRPr="00BD5055" w:rsidRDefault="00A56292" w:rsidP="003C0F86">
            <w:pPr>
              <w:spacing w:line="360" w:lineRule="auto"/>
              <w:jc w:val="both"/>
              <w:rPr>
                <w:rFonts w:ascii="Arial" w:eastAsia="Times New Roman" w:hAnsi="Arial" w:cs="Arial"/>
                <w:b/>
                <w:bCs/>
              </w:rPr>
            </w:pPr>
            <w:r w:rsidRPr="00BD5055">
              <w:rPr>
                <w:rStyle w:val="Strong"/>
                <w:rFonts w:ascii="Arial" w:eastAsia="Times New Roman" w:hAnsi="Arial" w:cs="Arial"/>
              </w:rPr>
              <w:t>Strategic Outcome</w:t>
            </w:r>
          </w:p>
        </w:tc>
      </w:tr>
      <w:tr w:rsidR="00A56292" w:rsidRPr="00BD5055" w14:paraId="107DE549" w14:textId="77777777" w:rsidTr="00877387">
        <w:tc>
          <w:tcPr>
            <w:tcW w:w="0" w:type="auto"/>
            <w:hideMark/>
          </w:tcPr>
          <w:p w14:paraId="19C884B6"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Early Innovation</w:t>
            </w:r>
          </w:p>
        </w:tc>
        <w:tc>
          <w:tcPr>
            <w:tcW w:w="0" w:type="auto"/>
            <w:hideMark/>
          </w:tcPr>
          <w:p w14:paraId="3C97FB88"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R&amp;D leadership, patents, brand prestige</w:t>
            </w:r>
          </w:p>
        </w:tc>
        <w:tc>
          <w:tcPr>
            <w:tcW w:w="0" w:type="auto"/>
            <w:hideMark/>
          </w:tcPr>
          <w:p w14:paraId="2D9959D6"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Observation and benchmarking</w:t>
            </w:r>
          </w:p>
        </w:tc>
        <w:tc>
          <w:tcPr>
            <w:tcW w:w="0" w:type="auto"/>
            <w:hideMark/>
          </w:tcPr>
          <w:p w14:paraId="6F1840E1"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Knowledge spillover</w:t>
            </w:r>
          </w:p>
        </w:tc>
      </w:tr>
      <w:tr w:rsidR="00A56292" w:rsidRPr="00BD5055" w14:paraId="6F666769" w14:textId="77777777" w:rsidTr="00877387">
        <w:tc>
          <w:tcPr>
            <w:tcW w:w="0" w:type="auto"/>
            <w:hideMark/>
          </w:tcPr>
          <w:p w14:paraId="48D1EA6D"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Market Growth</w:t>
            </w:r>
          </w:p>
        </w:tc>
        <w:tc>
          <w:tcPr>
            <w:tcW w:w="0" w:type="auto"/>
            <w:hideMark/>
          </w:tcPr>
          <w:p w14:paraId="381B2752"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Rapid scaling, high margins</w:t>
            </w:r>
          </w:p>
        </w:tc>
        <w:tc>
          <w:tcPr>
            <w:tcW w:w="0" w:type="auto"/>
            <w:hideMark/>
          </w:tcPr>
          <w:p w14:paraId="04C058D3"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Fast adoption, cost imitation</w:t>
            </w:r>
          </w:p>
        </w:tc>
        <w:tc>
          <w:tcPr>
            <w:tcW w:w="0" w:type="auto"/>
            <w:hideMark/>
          </w:tcPr>
          <w:p w14:paraId="621C3692"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Market share diffusion</w:t>
            </w:r>
          </w:p>
        </w:tc>
      </w:tr>
      <w:tr w:rsidR="00A56292" w:rsidRPr="00BD5055" w14:paraId="0FCE2D28" w14:textId="77777777" w:rsidTr="00877387">
        <w:tc>
          <w:tcPr>
            <w:tcW w:w="0" w:type="auto"/>
            <w:hideMark/>
          </w:tcPr>
          <w:p w14:paraId="469A2852"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Maturity</w:t>
            </w:r>
          </w:p>
        </w:tc>
        <w:tc>
          <w:tcPr>
            <w:tcW w:w="0" w:type="auto"/>
            <w:hideMark/>
          </w:tcPr>
          <w:p w14:paraId="2309B153"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Tech saturation, high upgrade costs</w:t>
            </w:r>
          </w:p>
        </w:tc>
        <w:tc>
          <w:tcPr>
            <w:tcW w:w="0" w:type="auto"/>
            <w:hideMark/>
          </w:tcPr>
          <w:p w14:paraId="45E48755"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Efficiency focus, localisation</w:t>
            </w:r>
          </w:p>
        </w:tc>
        <w:tc>
          <w:tcPr>
            <w:tcW w:w="0" w:type="auto"/>
            <w:hideMark/>
          </w:tcPr>
          <w:p w14:paraId="6B289AF9" w14:textId="77777777" w:rsidR="00A56292" w:rsidRPr="00BD5055" w:rsidRDefault="00A56292" w:rsidP="003C0F86">
            <w:pPr>
              <w:spacing w:line="360" w:lineRule="auto"/>
              <w:jc w:val="both"/>
              <w:rPr>
                <w:rFonts w:ascii="Arial" w:eastAsia="Times New Roman" w:hAnsi="Arial" w:cs="Arial"/>
              </w:rPr>
            </w:pPr>
            <w:r w:rsidRPr="00BD5055">
              <w:rPr>
                <w:rFonts w:ascii="Arial" w:eastAsia="Times New Roman" w:hAnsi="Arial" w:cs="Arial"/>
              </w:rPr>
              <w:t>Cost-based advantage</w:t>
            </w:r>
          </w:p>
        </w:tc>
      </w:tr>
    </w:tbl>
    <w:p w14:paraId="6E23F1F1" w14:textId="02F2F17C" w:rsidR="00A56292" w:rsidRPr="00BD5055" w:rsidRDefault="00A56292" w:rsidP="00685771">
      <w:pPr>
        <w:pStyle w:val="NormalWeb"/>
        <w:tabs>
          <w:tab w:val="center" w:pos="4680"/>
          <w:tab w:val="right" w:pos="9360"/>
        </w:tabs>
        <w:spacing w:before="0" w:beforeAutospacing="0" w:after="0" w:afterAutospacing="0" w:line="360" w:lineRule="auto"/>
        <w:jc w:val="center"/>
        <w:rPr>
          <w:rFonts w:ascii="Arial" w:hAnsi="Arial" w:cs="Arial"/>
          <w:i/>
          <w:iCs/>
          <w:lang w:val="en-US"/>
        </w:rPr>
      </w:pPr>
      <w:r w:rsidRPr="00BD5055">
        <w:rPr>
          <w:rStyle w:val="Emphasis"/>
          <w:rFonts w:ascii="Arial" w:hAnsi="Arial" w:cs="Arial"/>
        </w:rPr>
        <w:t xml:space="preserve">(Source: Adapted from </w:t>
      </w:r>
      <w:r w:rsidR="00B44E97" w:rsidRPr="00BD5055">
        <w:rPr>
          <w:rFonts w:ascii="Arial" w:hAnsi="Arial" w:cs="Arial"/>
          <w:i/>
          <w:iCs/>
          <w:lang w:val="en-US"/>
        </w:rPr>
        <w:t>Islam and Islam, 2025;</w:t>
      </w:r>
      <w:r w:rsidR="00E157F3" w:rsidRPr="00BD5055">
        <w:rPr>
          <w:rFonts w:ascii="Arial" w:hAnsi="Arial" w:cs="Arial"/>
        </w:rPr>
        <w:t xml:space="preserve"> </w:t>
      </w:r>
      <w:r w:rsidR="00E157F3" w:rsidRPr="00BD5055">
        <w:rPr>
          <w:rFonts w:ascii="Arial" w:hAnsi="Arial" w:cs="Arial"/>
          <w:i/>
          <w:iCs/>
          <w:lang w:val="en-US"/>
        </w:rPr>
        <w:t>Rakesh Chinta Rakesh Chinta, 2025</w:t>
      </w:r>
      <w:r w:rsidRPr="00BD5055">
        <w:rPr>
          <w:rStyle w:val="Emphasis"/>
          <w:rFonts w:ascii="Arial" w:hAnsi="Arial" w:cs="Arial"/>
        </w:rPr>
        <w:t>)</w:t>
      </w:r>
    </w:p>
    <w:p w14:paraId="6524CE78" w14:textId="3B148CEE" w:rsidR="00685771" w:rsidRPr="00BD5055" w:rsidRDefault="00FB1FD9" w:rsidP="003C0F86">
      <w:pPr>
        <w:pStyle w:val="NormalWeb"/>
        <w:spacing w:before="0" w:beforeAutospacing="0" w:after="0" w:afterAutospacing="0" w:line="360" w:lineRule="auto"/>
        <w:jc w:val="both"/>
        <w:rPr>
          <w:rFonts w:ascii="Arial" w:hAnsi="Arial" w:cs="Arial"/>
          <w:color w:val="000000"/>
        </w:rPr>
      </w:pPr>
      <w:r w:rsidRPr="00BD5055">
        <w:rPr>
          <w:rFonts w:ascii="Arial" w:hAnsi="Arial" w:cs="Arial"/>
          <w:color w:val="000000"/>
        </w:rPr>
        <w:t>Technological change helps in consolidating leadership by pioneers with continuous innovation and the followers narrow the performance gap by emulating best practices and making operations more efficient. The decreasing cost of batteries and the growing modularity of software make the barriers to entry lower, giving innovators the motivation to seek service-based differentiation as an example, Tesla offers over-the-air software updates, and it has its own charging network.</w:t>
      </w:r>
    </w:p>
    <w:p w14:paraId="1509F262" w14:textId="22C92A8D" w:rsidR="00FB1FD9" w:rsidRPr="008C41C0" w:rsidRDefault="00FB1FD9" w:rsidP="00685771">
      <w:pPr>
        <w:pStyle w:val="Heading2"/>
        <w:rPr>
          <w:rFonts w:ascii="Arial" w:hAnsi="Arial" w:cs="Arial"/>
          <w:b/>
          <w:bCs/>
          <w:color w:val="auto"/>
          <w:sz w:val="24"/>
          <w:szCs w:val="24"/>
        </w:rPr>
      </w:pPr>
      <w:bookmarkStart w:id="8" w:name="_Toc214216965"/>
      <w:r w:rsidRPr="008C41C0">
        <w:rPr>
          <w:rFonts w:ascii="Arial" w:hAnsi="Arial" w:cs="Arial"/>
          <w:b/>
          <w:bCs/>
          <w:color w:val="auto"/>
          <w:sz w:val="24"/>
          <w:szCs w:val="24"/>
        </w:rPr>
        <w:t>B. Environmental Actor</w:t>
      </w:r>
      <w:bookmarkEnd w:id="8"/>
    </w:p>
    <w:p w14:paraId="71F0EA1F" w14:textId="647B21A1" w:rsidR="00FB1FD9" w:rsidRPr="00BD5055" w:rsidRDefault="00FB1FD9" w:rsidP="003C0F86">
      <w:pPr>
        <w:pStyle w:val="NormalWeb"/>
        <w:spacing w:before="0" w:beforeAutospacing="0" w:after="0" w:afterAutospacing="0" w:line="360" w:lineRule="auto"/>
        <w:jc w:val="both"/>
        <w:rPr>
          <w:rFonts w:ascii="Arial" w:hAnsi="Arial" w:cs="Arial"/>
          <w:color w:val="000000"/>
        </w:rPr>
      </w:pPr>
      <w:r w:rsidRPr="00BD5055">
        <w:rPr>
          <w:rFonts w:ascii="Arial" w:hAnsi="Arial" w:cs="Arial"/>
          <w:color w:val="000000"/>
        </w:rPr>
        <w:t>Regulatory frameworks, consumer expectations and global sustainability agendas are determined by environmental forces. Early conformity to the environmental laws gives strategic legitimacy to innovators. The Tesla business model also conforms to the global trends of decarbonisation, which in turn allows the company to affect the market share as well as the policies (Rakesh Chinta, 2025). Environmental pressures have therefore become strategic necessities making carbon neutrality a part of corporate identity.</w:t>
      </w:r>
    </w:p>
    <w:p w14:paraId="76091706" w14:textId="425296AE" w:rsidR="00A56292" w:rsidRPr="00BD5055" w:rsidRDefault="00FB1FD9" w:rsidP="003C0F86">
      <w:pPr>
        <w:pStyle w:val="NormalWeb"/>
        <w:spacing w:before="0" w:beforeAutospacing="0" w:after="0" w:afterAutospacing="0" w:line="360" w:lineRule="auto"/>
        <w:jc w:val="both"/>
        <w:rPr>
          <w:rFonts w:ascii="Arial" w:hAnsi="Arial" w:cs="Arial"/>
        </w:rPr>
      </w:pPr>
      <w:r w:rsidRPr="00BD5055">
        <w:rPr>
          <w:rFonts w:ascii="Arial" w:hAnsi="Arial" w:cs="Arial"/>
          <w:color w:val="000000"/>
        </w:rPr>
        <w:t xml:space="preserve">To followers like BYD, environmental changes offer the chance to exploit the localized policy incentives, as well as to increase the output in a sustainability context. The growth of BYD goes hand in hand with the goals of carbon duality and green-technology subsidies in China, thus being able to afford cost-effective growth. Nevertheless, the change in the environment presents the risks that are concomitant, which include the lack </w:t>
      </w:r>
      <w:r w:rsidRPr="00BD5055">
        <w:rPr>
          <w:rFonts w:ascii="Arial" w:hAnsi="Arial" w:cs="Arial"/>
          <w:color w:val="000000"/>
        </w:rPr>
        <w:lastRenderedPageBreak/>
        <w:t>of raw-materials, increased recycling, and supply chains that are energy-intensive (Masieri et al., 2016).</w:t>
      </w:r>
      <w:r w:rsidR="00F02852" w:rsidRPr="00BD5055">
        <w:rPr>
          <w:rFonts w:ascii="Arial" w:hAnsi="Arial" w:cs="Arial"/>
          <w:color w:val="000000"/>
        </w:rPr>
        <w:t>These dynamics are compared below. </w:t>
      </w:r>
    </w:p>
    <w:p w14:paraId="55C54773" w14:textId="77777777" w:rsidR="00A56292" w:rsidRPr="001E4D89" w:rsidRDefault="00A56292" w:rsidP="001E4D89">
      <w:pPr>
        <w:pStyle w:val="Heading2"/>
        <w:rPr>
          <w:rFonts w:eastAsia="Times New Roman"/>
          <w:color w:val="auto"/>
        </w:rPr>
      </w:pPr>
      <w:bookmarkStart w:id="9" w:name="_Toc214216966"/>
      <w:r w:rsidRPr="001E4D89">
        <w:rPr>
          <w:rStyle w:val="Strong"/>
          <w:rFonts w:ascii="Arial" w:eastAsia="Times New Roman" w:hAnsi="Arial" w:cs="Arial"/>
          <w:color w:val="auto"/>
          <w:sz w:val="24"/>
          <w:szCs w:val="24"/>
        </w:rPr>
        <w:t>Table 2: Environmental Opportunities and Threats for Tesla (Pioneer) and BYD (Follower)</w:t>
      </w:r>
      <w:bookmarkEnd w:id="9"/>
    </w:p>
    <w:tbl>
      <w:tblPr>
        <w:tblStyle w:val="GridTable4"/>
        <w:tblW w:w="0" w:type="auto"/>
        <w:tblLook w:val="04A0" w:firstRow="1" w:lastRow="0" w:firstColumn="1" w:lastColumn="0" w:noHBand="0" w:noVBand="1"/>
      </w:tblPr>
      <w:tblGrid>
        <w:gridCol w:w="1727"/>
        <w:gridCol w:w="3640"/>
        <w:gridCol w:w="3983"/>
      </w:tblGrid>
      <w:tr w:rsidR="00A56292" w:rsidRPr="00BD5055" w14:paraId="29D14299" w14:textId="77777777" w:rsidTr="00487F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52F3CD" w14:textId="77777777" w:rsidR="00A56292" w:rsidRPr="00BD5055" w:rsidRDefault="00A56292" w:rsidP="001E4D89">
            <w:pPr>
              <w:spacing w:line="360" w:lineRule="auto"/>
              <w:jc w:val="center"/>
              <w:rPr>
                <w:rFonts w:ascii="Arial" w:eastAsia="Times New Roman" w:hAnsi="Arial" w:cs="Arial"/>
                <w:b w:val="0"/>
                <w:bCs w:val="0"/>
              </w:rPr>
            </w:pPr>
            <w:r w:rsidRPr="00BD5055">
              <w:rPr>
                <w:rStyle w:val="Strong"/>
                <w:rFonts w:ascii="Arial" w:eastAsia="Times New Roman" w:hAnsi="Arial" w:cs="Arial"/>
              </w:rPr>
              <w:t>Dimension</w:t>
            </w:r>
          </w:p>
        </w:tc>
        <w:tc>
          <w:tcPr>
            <w:tcW w:w="0" w:type="auto"/>
            <w:hideMark/>
          </w:tcPr>
          <w:p w14:paraId="655FBDF6" w14:textId="77777777" w:rsidR="00A56292" w:rsidRPr="00BD5055" w:rsidRDefault="00A56292" w:rsidP="001E4D8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BD5055">
              <w:rPr>
                <w:rStyle w:val="Strong"/>
                <w:rFonts w:ascii="Arial" w:eastAsia="Times New Roman" w:hAnsi="Arial" w:cs="Arial"/>
              </w:rPr>
              <w:t>Tesla (Pioneer)</w:t>
            </w:r>
          </w:p>
        </w:tc>
        <w:tc>
          <w:tcPr>
            <w:tcW w:w="0" w:type="auto"/>
            <w:hideMark/>
          </w:tcPr>
          <w:p w14:paraId="250772F1" w14:textId="77777777" w:rsidR="00A56292" w:rsidRPr="00BD5055" w:rsidRDefault="00A56292" w:rsidP="001E4D8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BD5055">
              <w:rPr>
                <w:rStyle w:val="Strong"/>
                <w:rFonts w:ascii="Arial" w:eastAsia="Times New Roman" w:hAnsi="Arial" w:cs="Arial"/>
              </w:rPr>
              <w:t>BYD (Follower)</w:t>
            </w:r>
          </w:p>
        </w:tc>
      </w:tr>
      <w:tr w:rsidR="00A56292" w:rsidRPr="00BD5055" w14:paraId="1CBA48AF" w14:textId="77777777" w:rsidTr="00487F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F4A027" w14:textId="77777777" w:rsidR="00A56292" w:rsidRPr="00BD5055" w:rsidRDefault="00A56292" w:rsidP="003C0F86">
            <w:pPr>
              <w:spacing w:line="360" w:lineRule="auto"/>
              <w:jc w:val="both"/>
              <w:rPr>
                <w:rFonts w:ascii="Arial" w:eastAsia="Times New Roman" w:hAnsi="Arial" w:cs="Arial"/>
              </w:rPr>
            </w:pPr>
            <w:r w:rsidRPr="00BD5055">
              <w:rPr>
                <w:rStyle w:val="Strong"/>
                <w:rFonts w:ascii="Arial" w:eastAsia="Times New Roman" w:hAnsi="Arial" w:cs="Arial"/>
              </w:rPr>
              <w:t>Opportunities</w:t>
            </w:r>
          </w:p>
        </w:tc>
        <w:tc>
          <w:tcPr>
            <w:tcW w:w="0" w:type="auto"/>
            <w:hideMark/>
          </w:tcPr>
          <w:p w14:paraId="52B0D753" w14:textId="77777777" w:rsidR="00A56292" w:rsidRPr="00BD5055" w:rsidRDefault="00A56292"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BD5055">
              <w:rPr>
                <w:rFonts w:ascii="Arial" w:eastAsia="Times New Roman" w:hAnsi="Arial" w:cs="Arial"/>
              </w:rPr>
              <w:t>Global sustainability leadership; policy influence; carbon credit sales</w:t>
            </w:r>
          </w:p>
        </w:tc>
        <w:tc>
          <w:tcPr>
            <w:tcW w:w="0" w:type="auto"/>
            <w:hideMark/>
          </w:tcPr>
          <w:p w14:paraId="65417F37" w14:textId="77777777" w:rsidR="00A56292" w:rsidRPr="00BD5055" w:rsidRDefault="00A56292"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BD5055">
              <w:rPr>
                <w:rFonts w:ascii="Arial" w:eastAsia="Times New Roman" w:hAnsi="Arial" w:cs="Arial"/>
              </w:rPr>
              <w:t>Domestic green subsidies; cost-efficient compliance; sustainability branding</w:t>
            </w:r>
          </w:p>
        </w:tc>
      </w:tr>
      <w:tr w:rsidR="00A56292" w:rsidRPr="00BD5055" w14:paraId="3F847568" w14:textId="77777777" w:rsidTr="00487FC6">
        <w:tc>
          <w:tcPr>
            <w:cnfStyle w:val="001000000000" w:firstRow="0" w:lastRow="0" w:firstColumn="1" w:lastColumn="0" w:oddVBand="0" w:evenVBand="0" w:oddHBand="0" w:evenHBand="0" w:firstRowFirstColumn="0" w:firstRowLastColumn="0" w:lastRowFirstColumn="0" w:lastRowLastColumn="0"/>
            <w:tcW w:w="0" w:type="auto"/>
            <w:hideMark/>
          </w:tcPr>
          <w:p w14:paraId="31832409" w14:textId="77777777" w:rsidR="00A56292" w:rsidRPr="00BD5055" w:rsidRDefault="00A56292" w:rsidP="003C0F86">
            <w:pPr>
              <w:spacing w:line="360" w:lineRule="auto"/>
              <w:jc w:val="both"/>
              <w:rPr>
                <w:rFonts w:ascii="Arial" w:eastAsia="Times New Roman" w:hAnsi="Arial" w:cs="Arial"/>
              </w:rPr>
            </w:pPr>
            <w:r w:rsidRPr="00BD5055">
              <w:rPr>
                <w:rStyle w:val="Strong"/>
                <w:rFonts w:ascii="Arial" w:eastAsia="Times New Roman" w:hAnsi="Arial" w:cs="Arial"/>
              </w:rPr>
              <w:t>Threats</w:t>
            </w:r>
          </w:p>
        </w:tc>
        <w:tc>
          <w:tcPr>
            <w:tcW w:w="0" w:type="auto"/>
            <w:hideMark/>
          </w:tcPr>
          <w:p w14:paraId="0F0A4B88" w14:textId="77777777" w:rsidR="00A56292" w:rsidRPr="00BD5055" w:rsidRDefault="00A56292"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BD5055">
              <w:rPr>
                <w:rFonts w:ascii="Arial" w:eastAsia="Times New Roman" w:hAnsi="Arial" w:cs="Arial"/>
              </w:rPr>
              <w:t>Supply-chain vulnerability (lithium, cobalt); recycling mandates</w:t>
            </w:r>
          </w:p>
        </w:tc>
        <w:tc>
          <w:tcPr>
            <w:tcW w:w="0" w:type="auto"/>
            <w:hideMark/>
          </w:tcPr>
          <w:p w14:paraId="19006737" w14:textId="77777777" w:rsidR="00A56292" w:rsidRPr="00BD5055" w:rsidRDefault="00A56292" w:rsidP="003C0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BD5055">
              <w:rPr>
                <w:rFonts w:ascii="Arial" w:eastAsia="Times New Roman" w:hAnsi="Arial" w:cs="Arial"/>
              </w:rPr>
              <w:t>Environmental compliance costs; international trade barriers</w:t>
            </w:r>
          </w:p>
        </w:tc>
      </w:tr>
      <w:tr w:rsidR="00A56292" w:rsidRPr="00BD5055" w14:paraId="1CEF0318" w14:textId="77777777" w:rsidTr="00487F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98FB1C" w14:textId="77777777" w:rsidR="00A56292" w:rsidRPr="00BD5055" w:rsidRDefault="00A56292" w:rsidP="003C0F86">
            <w:pPr>
              <w:spacing w:line="360" w:lineRule="auto"/>
              <w:jc w:val="both"/>
              <w:rPr>
                <w:rFonts w:ascii="Arial" w:eastAsia="Times New Roman" w:hAnsi="Arial" w:cs="Arial"/>
              </w:rPr>
            </w:pPr>
            <w:r w:rsidRPr="00BD5055">
              <w:rPr>
                <w:rStyle w:val="Strong"/>
                <w:rFonts w:ascii="Arial" w:eastAsia="Times New Roman" w:hAnsi="Arial" w:cs="Arial"/>
              </w:rPr>
              <w:t>Strategic Focus</w:t>
            </w:r>
          </w:p>
        </w:tc>
        <w:tc>
          <w:tcPr>
            <w:tcW w:w="0" w:type="auto"/>
            <w:hideMark/>
          </w:tcPr>
          <w:p w14:paraId="22E64354" w14:textId="77777777" w:rsidR="00A56292" w:rsidRPr="00BD5055" w:rsidRDefault="00A56292"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BD5055">
              <w:rPr>
                <w:rFonts w:ascii="Arial" w:eastAsia="Times New Roman" w:hAnsi="Arial" w:cs="Arial"/>
              </w:rPr>
              <w:t>Life-cycle sustainability, global EV infrastructure</w:t>
            </w:r>
          </w:p>
        </w:tc>
        <w:tc>
          <w:tcPr>
            <w:tcW w:w="0" w:type="auto"/>
            <w:hideMark/>
          </w:tcPr>
          <w:p w14:paraId="76B1C567" w14:textId="77777777" w:rsidR="00A56292" w:rsidRPr="00BD5055" w:rsidRDefault="00A56292" w:rsidP="003C0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BD5055">
              <w:rPr>
                <w:rFonts w:ascii="Arial" w:eastAsia="Times New Roman" w:hAnsi="Arial" w:cs="Arial"/>
              </w:rPr>
              <w:t>Localised production, green branding for mass market</w:t>
            </w:r>
          </w:p>
        </w:tc>
      </w:tr>
    </w:tbl>
    <w:p w14:paraId="1856812B" w14:textId="532FD064" w:rsidR="00A56292" w:rsidRPr="001E4D89" w:rsidRDefault="00A56292" w:rsidP="001E4D89">
      <w:pPr>
        <w:pStyle w:val="NormalWeb"/>
        <w:spacing w:before="0" w:beforeAutospacing="0" w:after="0" w:afterAutospacing="0" w:line="360" w:lineRule="auto"/>
        <w:jc w:val="center"/>
        <w:rPr>
          <w:rFonts w:ascii="Arial" w:hAnsi="Arial" w:cs="Arial"/>
          <w:i/>
          <w:iCs/>
          <w:sz w:val="22"/>
          <w:szCs w:val="22"/>
          <w:lang w:val="en-US"/>
        </w:rPr>
      </w:pPr>
      <w:r w:rsidRPr="001E4D89">
        <w:rPr>
          <w:rStyle w:val="Emphasis"/>
          <w:rFonts w:ascii="Arial" w:hAnsi="Arial" w:cs="Arial"/>
          <w:sz w:val="22"/>
          <w:szCs w:val="22"/>
        </w:rPr>
        <w:t>(Source:</w:t>
      </w:r>
      <w:r w:rsidR="00E65F8F" w:rsidRPr="001E4D89">
        <w:rPr>
          <w:rFonts w:ascii="Arial" w:hAnsi="Arial" w:cs="Arial"/>
          <w:i/>
          <w:iCs/>
          <w:sz w:val="22"/>
          <w:szCs w:val="22"/>
          <w:lang w:val="en-US"/>
        </w:rPr>
        <w:t>Masiero et al., 2016)</w:t>
      </w:r>
    </w:p>
    <w:p w14:paraId="7570D28C" w14:textId="4D363958" w:rsidR="00E51FE0" w:rsidRPr="001E4D89" w:rsidRDefault="00E4550F" w:rsidP="003C0F86">
      <w:pPr>
        <w:spacing w:after="0" w:line="360" w:lineRule="auto"/>
        <w:jc w:val="both"/>
        <w:rPr>
          <w:rFonts w:ascii="Arial" w:eastAsia="Times New Roman" w:hAnsi="Arial" w:cs="Arial"/>
          <w:color w:val="000000"/>
        </w:rPr>
      </w:pPr>
      <w:r w:rsidRPr="00BD5055">
        <w:rPr>
          <w:rFonts w:ascii="Arial" w:eastAsia="Times New Roman" w:hAnsi="Arial" w:cs="Arial"/>
          <w:color w:val="000000"/>
        </w:rPr>
        <w:t>To conclude, the changes in technology and the environment simultaneously create differentiation opportunities and provoke the threats of disruption. Innovation, especially in Tesla, should be an unstoppable process that gives the company a competitive advantage, but the followers, such as BYD, can benefit by adapting swiftly, leading in cost, and complying with national sustainability policies. It is the interaction between these players that, therefore, coordinates the strategic development of the electric-vehicle sector.</w:t>
      </w:r>
    </w:p>
    <w:p w14:paraId="044A3C99" w14:textId="77777777" w:rsidR="00E51FE0" w:rsidRPr="001E4D89" w:rsidRDefault="00E51FE0" w:rsidP="001E4D89">
      <w:pPr>
        <w:pStyle w:val="Heading1"/>
        <w:rPr>
          <w:rFonts w:eastAsia="Times New Roman"/>
          <w:color w:val="auto"/>
        </w:rPr>
      </w:pPr>
      <w:bookmarkStart w:id="10" w:name="_Toc214216967"/>
      <w:r w:rsidRPr="001E4D89">
        <w:rPr>
          <w:rStyle w:val="Strong"/>
          <w:rFonts w:ascii="Arial" w:eastAsia="Times New Roman" w:hAnsi="Arial" w:cs="Arial"/>
          <w:color w:val="auto"/>
          <w:sz w:val="24"/>
          <w:szCs w:val="24"/>
        </w:rPr>
        <w:t>3.1 Pioneering Organisations’ Strategic Responses</w:t>
      </w:r>
      <w:bookmarkEnd w:id="10"/>
    </w:p>
    <w:p w14:paraId="1B5CD3DA" w14:textId="1E3CCC25" w:rsidR="00A51001" w:rsidRPr="00BD5055" w:rsidRDefault="00A51001" w:rsidP="003C0F86">
      <w:pPr>
        <w:spacing w:after="0" w:line="360" w:lineRule="auto"/>
        <w:jc w:val="both"/>
        <w:rPr>
          <w:rFonts w:ascii="Arial" w:eastAsia="Times New Roman" w:hAnsi="Arial" w:cs="Arial"/>
          <w:kern w:val="0"/>
          <w14:ligatures w14:val="none"/>
        </w:rPr>
      </w:pPr>
      <w:r w:rsidRPr="00A51001">
        <w:rPr>
          <w:rFonts w:ascii="Arial" w:eastAsia="Times New Roman" w:hAnsi="Arial" w:cs="Arial"/>
        </w:rPr>
        <w:t>Pioneering companies have to constantly change with technology and environment changes that can be attributed to their first-mover advantage to remain competitive. As a result of the unremitting innovation, vertical integration, and strategic development, Tesla, the prototypical leader of the EV market, is an example of strategic adaptability. Its responses can be analysed using the Porters Generic Strategies and the Growth Matrix by Ansoff.</w:t>
      </w:r>
    </w:p>
    <w:p w14:paraId="32FCD8CB" w14:textId="77777777" w:rsidR="00E51FE0" w:rsidRPr="001E4D89" w:rsidRDefault="00E51FE0" w:rsidP="001E4D89">
      <w:pPr>
        <w:pStyle w:val="Heading2"/>
        <w:rPr>
          <w:rFonts w:eastAsia="Times New Roman"/>
          <w:color w:val="auto"/>
        </w:rPr>
      </w:pPr>
      <w:bookmarkStart w:id="11" w:name="_Toc214216968"/>
      <w:r w:rsidRPr="001E4D89">
        <w:rPr>
          <w:rStyle w:val="Strong"/>
          <w:rFonts w:ascii="Arial" w:eastAsia="Times New Roman" w:hAnsi="Arial" w:cs="Arial"/>
          <w:color w:val="auto"/>
          <w:sz w:val="24"/>
          <w:szCs w:val="24"/>
        </w:rPr>
        <w:lastRenderedPageBreak/>
        <w:t>Ansoff’s Growth Matrix and Tesla’s Strategy</w:t>
      </w:r>
      <w:bookmarkEnd w:id="11"/>
    </w:p>
    <w:p w14:paraId="5CF67CB4" w14:textId="2FEAF217" w:rsidR="00E51FE0" w:rsidRPr="00BD5055" w:rsidRDefault="00E51FE0" w:rsidP="003C0F86">
      <w:pPr>
        <w:pStyle w:val="NormalWeb"/>
        <w:spacing w:before="0" w:beforeAutospacing="0" w:after="0" w:afterAutospacing="0" w:line="360" w:lineRule="auto"/>
        <w:jc w:val="both"/>
        <w:rPr>
          <w:rFonts w:ascii="Arial" w:hAnsi="Arial" w:cs="Arial"/>
        </w:rPr>
      </w:pPr>
      <w:r w:rsidRPr="00BD5055">
        <w:rPr>
          <w:rFonts w:ascii="Arial" w:hAnsi="Arial" w:cs="Arial"/>
        </w:rPr>
        <w:t>Tesla has applied multiple growth dimensions simultaneously to maintain its pioneering edge.</w:t>
      </w:r>
    </w:p>
    <w:tbl>
      <w:tblPr>
        <w:tblStyle w:val="TableGrid"/>
        <w:tblW w:w="0" w:type="auto"/>
        <w:tblLook w:val="04A0" w:firstRow="1" w:lastRow="0" w:firstColumn="1" w:lastColumn="0" w:noHBand="0" w:noVBand="1"/>
      </w:tblPr>
      <w:tblGrid>
        <w:gridCol w:w="1977"/>
        <w:gridCol w:w="5087"/>
        <w:gridCol w:w="2286"/>
      </w:tblGrid>
      <w:tr w:rsidR="00E51FE0" w:rsidRPr="00BD5055" w14:paraId="156C7369" w14:textId="77777777" w:rsidTr="00964C2E">
        <w:tc>
          <w:tcPr>
            <w:tcW w:w="0" w:type="auto"/>
            <w:hideMark/>
          </w:tcPr>
          <w:p w14:paraId="3FC11010" w14:textId="77777777" w:rsidR="00E51FE0" w:rsidRPr="00BD5055" w:rsidRDefault="00E51FE0" w:rsidP="003C0F86">
            <w:pPr>
              <w:spacing w:line="360" w:lineRule="auto"/>
              <w:jc w:val="both"/>
              <w:rPr>
                <w:rFonts w:ascii="Arial" w:eastAsia="Times New Roman" w:hAnsi="Arial" w:cs="Arial"/>
                <w:b/>
                <w:bCs/>
              </w:rPr>
            </w:pPr>
            <w:r w:rsidRPr="00BD5055">
              <w:rPr>
                <w:rStyle w:val="Strong"/>
                <w:rFonts w:ascii="Arial" w:eastAsia="Times New Roman" w:hAnsi="Arial" w:cs="Arial"/>
              </w:rPr>
              <w:t>Ansoff Strategy</w:t>
            </w:r>
          </w:p>
        </w:tc>
        <w:tc>
          <w:tcPr>
            <w:tcW w:w="0" w:type="auto"/>
            <w:hideMark/>
          </w:tcPr>
          <w:p w14:paraId="6C921C63" w14:textId="77777777" w:rsidR="00E51FE0" w:rsidRPr="00BD5055" w:rsidRDefault="00E51FE0" w:rsidP="001E4D89">
            <w:pPr>
              <w:spacing w:line="360" w:lineRule="auto"/>
              <w:jc w:val="center"/>
              <w:rPr>
                <w:rFonts w:ascii="Arial" w:eastAsia="Times New Roman" w:hAnsi="Arial" w:cs="Arial"/>
                <w:b/>
                <w:bCs/>
              </w:rPr>
            </w:pPr>
            <w:r w:rsidRPr="00BD5055">
              <w:rPr>
                <w:rStyle w:val="Strong"/>
                <w:rFonts w:ascii="Arial" w:eastAsia="Times New Roman" w:hAnsi="Arial" w:cs="Arial"/>
              </w:rPr>
              <w:t>Tesla’s Action</w:t>
            </w:r>
          </w:p>
        </w:tc>
        <w:tc>
          <w:tcPr>
            <w:tcW w:w="0" w:type="auto"/>
            <w:hideMark/>
          </w:tcPr>
          <w:p w14:paraId="3C57F55B" w14:textId="77777777" w:rsidR="00E51FE0" w:rsidRPr="00BD5055" w:rsidRDefault="00E51FE0" w:rsidP="001E4D89">
            <w:pPr>
              <w:spacing w:line="360" w:lineRule="auto"/>
              <w:jc w:val="center"/>
              <w:rPr>
                <w:rFonts w:ascii="Arial" w:eastAsia="Times New Roman" w:hAnsi="Arial" w:cs="Arial"/>
                <w:b/>
                <w:bCs/>
              </w:rPr>
            </w:pPr>
            <w:r w:rsidRPr="00BD5055">
              <w:rPr>
                <w:rStyle w:val="Strong"/>
                <w:rFonts w:ascii="Arial" w:eastAsia="Times New Roman" w:hAnsi="Arial" w:cs="Arial"/>
              </w:rPr>
              <w:t>Outcome</w:t>
            </w:r>
          </w:p>
        </w:tc>
      </w:tr>
      <w:tr w:rsidR="00E51FE0" w:rsidRPr="00BD5055" w14:paraId="645BB9AE" w14:textId="77777777" w:rsidTr="00964C2E">
        <w:tc>
          <w:tcPr>
            <w:tcW w:w="0" w:type="auto"/>
            <w:hideMark/>
          </w:tcPr>
          <w:p w14:paraId="7C944454" w14:textId="77777777" w:rsidR="00E51FE0" w:rsidRPr="00BD5055" w:rsidRDefault="00E51FE0" w:rsidP="003C0F86">
            <w:pPr>
              <w:spacing w:line="360" w:lineRule="auto"/>
              <w:jc w:val="both"/>
              <w:rPr>
                <w:rFonts w:ascii="Arial" w:eastAsia="Times New Roman" w:hAnsi="Arial" w:cs="Arial"/>
              </w:rPr>
            </w:pPr>
            <w:r w:rsidRPr="00BD5055">
              <w:rPr>
                <w:rStyle w:val="Strong"/>
                <w:rFonts w:ascii="Arial" w:eastAsia="Times New Roman" w:hAnsi="Arial" w:cs="Arial"/>
              </w:rPr>
              <w:t>Market Penetration</w:t>
            </w:r>
          </w:p>
        </w:tc>
        <w:tc>
          <w:tcPr>
            <w:tcW w:w="0" w:type="auto"/>
            <w:hideMark/>
          </w:tcPr>
          <w:p w14:paraId="5F0E4BC4" w14:textId="3CB4F408" w:rsidR="00E51FE0" w:rsidRPr="00BD5055" w:rsidRDefault="00D578AF" w:rsidP="003C0F86">
            <w:pPr>
              <w:spacing w:line="360" w:lineRule="auto"/>
              <w:jc w:val="both"/>
              <w:rPr>
                <w:rFonts w:ascii="Arial" w:eastAsia="Times New Roman" w:hAnsi="Arial" w:cs="Arial"/>
              </w:rPr>
            </w:pPr>
            <w:r w:rsidRPr="00D578AF">
              <w:rPr>
                <w:rFonts w:ascii="Arial" w:eastAsia="Times New Roman" w:hAnsi="Arial" w:cs="Arial"/>
              </w:rPr>
              <w:t>The approaches to market penetration include intensive price cuts and financing schemes to stimulate the adoption of EV in the developed markets, including the United States and Europe, and, therefore, gain a broader market share and a larger consumer base.</w:t>
            </w:r>
          </w:p>
        </w:tc>
        <w:tc>
          <w:tcPr>
            <w:tcW w:w="0" w:type="auto"/>
            <w:hideMark/>
          </w:tcPr>
          <w:p w14:paraId="427D84C8"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Broader consumer base and higher market share.</w:t>
            </w:r>
          </w:p>
        </w:tc>
      </w:tr>
      <w:tr w:rsidR="00E51FE0" w:rsidRPr="00BD5055" w14:paraId="060E9949" w14:textId="77777777" w:rsidTr="00964C2E">
        <w:tc>
          <w:tcPr>
            <w:tcW w:w="0" w:type="auto"/>
            <w:hideMark/>
          </w:tcPr>
          <w:p w14:paraId="2DEF3DED" w14:textId="77777777" w:rsidR="00E51FE0" w:rsidRPr="00BD5055" w:rsidRDefault="00E51FE0" w:rsidP="003C0F86">
            <w:pPr>
              <w:spacing w:line="360" w:lineRule="auto"/>
              <w:jc w:val="both"/>
              <w:rPr>
                <w:rFonts w:ascii="Arial" w:eastAsia="Times New Roman" w:hAnsi="Arial" w:cs="Arial"/>
              </w:rPr>
            </w:pPr>
            <w:r w:rsidRPr="00BD5055">
              <w:rPr>
                <w:rStyle w:val="Strong"/>
                <w:rFonts w:ascii="Arial" w:eastAsia="Times New Roman" w:hAnsi="Arial" w:cs="Arial"/>
              </w:rPr>
              <w:t>Product Development</w:t>
            </w:r>
          </w:p>
        </w:tc>
        <w:tc>
          <w:tcPr>
            <w:tcW w:w="0" w:type="auto"/>
            <w:hideMark/>
          </w:tcPr>
          <w:p w14:paraId="4E276E49"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Launch of new models (Cybertruck, Semi) and enhancement of Autopilot features through OTA software updates.</w:t>
            </w:r>
          </w:p>
        </w:tc>
        <w:tc>
          <w:tcPr>
            <w:tcW w:w="0" w:type="auto"/>
            <w:hideMark/>
          </w:tcPr>
          <w:p w14:paraId="59BEC168"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Product innovation reinforces brand leadership.</w:t>
            </w:r>
          </w:p>
        </w:tc>
      </w:tr>
      <w:tr w:rsidR="00E51FE0" w:rsidRPr="00BD5055" w14:paraId="185742DF" w14:textId="77777777" w:rsidTr="00964C2E">
        <w:tc>
          <w:tcPr>
            <w:tcW w:w="0" w:type="auto"/>
            <w:hideMark/>
          </w:tcPr>
          <w:p w14:paraId="791B4B93" w14:textId="77777777" w:rsidR="00E51FE0" w:rsidRPr="00BD5055" w:rsidRDefault="00E51FE0" w:rsidP="003C0F86">
            <w:pPr>
              <w:spacing w:line="360" w:lineRule="auto"/>
              <w:jc w:val="both"/>
              <w:rPr>
                <w:rFonts w:ascii="Arial" w:eastAsia="Times New Roman" w:hAnsi="Arial" w:cs="Arial"/>
              </w:rPr>
            </w:pPr>
            <w:r w:rsidRPr="00BD5055">
              <w:rPr>
                <w:rStyle w:val="Strong"/>
                <w:rFonts w:ascii="Arial" w:eastAsia="Times New Roman" w:hAnsi="Arial" w:cs="Arial"/>
              </w:rPr>
              <w:t>Market Development</w:t>
            </w:r>
          </w:p>
        </w:tc>
        <w:tc>
          <w:tcPr>
            <w:tcW w:w="0" w:type="auto"/>
            <w:hideMark/>
          </w:tcPr>
          <w:p w14:paraId="272F403D"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Expansion into emerging markets such as India and Southeast Asia.</w:t>
            </w:r>
          </w:p>
        </w:tc>
        <w:tc>
          <w:tcPr>
            <w:tcW w:w="0" w:type="auto"/>
            <w:hideMark/>
          </w:tcPr>
          <w:p w14:paraId="5AC024F9"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Geographic diversification mitigates regional risk.</w:t>
            </w:r>
          </w:p>
        </w:tc>
      </w:tr>
      <w:tr w:rsidR="00E51FE0" w:rsidRPr="00BD5055" w14:paraId="3D721041" w14:textId="77777777" w:rsidTr="00964C2E">
        <w:tc>
          <w:tcPr>
            <w:tcW w:w="0" w:type="auto"/>
            <w:hideMark/>
          </w:tcPr>
          <w:p w14:paraId="66AD1364" w14:textId="77777777" w:rsidR="00E51FE0" w:rsidRPr="00BD5055" w:rsidRDefault="00E51FE0" w:rsidP="003C0F86">
            <w:pPr>
              <w:spacing w:line="360" w:lineRule="auto"/>
              <w:jc w:val="both"/>
              <w:rPr>
                <w:rFonts w:ascii="Arial" w:eastAsia="Times New Roman" w:hAnsi="Arial" w:cs="Arial"/>
              </w:rPr>
            </w:pPr>
            <w:r w:rsidRPr="00BD5055">
              <w:rPr>
                <w:rStyle w:val="Strong"/>
                <w:rFonts w:ascii="Arial" w:eastAsia="Times New Roman" w:hAnsi="Arial" w:cs="Arial"/>
              </w:rPr>
              <w:t>Diversification</w:t>
            </w:r>
          </w:p>
        </w:tc>
        <w:tc>
          <w:tcPr>
            <w:tcW w:w="0" w:type="auto"/>
            <w:hideMark/>
          </w:tcPr>
          <w:p w14:paraId="18CDCDE1"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Investment in solar panels, energy storage, and AI-driven vehicle software.</w:t>
            </w:r>
          </w:p>
        </w:tc>
        <w:tc>
          <w:tcPr>
            <w:tcW w:w="0" w:type="auto"/>
            <w:hideMark/>
          </w:tcPr>
          <w:p w14:paraId="2A5FEF74"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Strengthens ecosystem and future-proofs business model.</w:t>
            </w:r>
          </w:p>
        </w:tc>
      </w:tr>
    </w:tbl>
    <w:p w14:paraId="5BE662A8" w14:textId="77777777" w:rsidR="00E51FE0" w:rsidRPr="001E4D89" w:rsidRDefault="00E51FE0" w:rsidP="001E4D89">
      <w:pPr>
        <w:pStyle w:val="NormalWeb"/>
        <w:spacing w:before="0" w:beforeAutospacing="0" w:after="0" w:afterAutospacing="0" w:line="360" w:lineRule="auto"/>
        <w:jc w:val="center"/>
        <w:rPr>
          <w:rFonts w:ascii="Arial" w:hAnsi="Arial" w:cs="Arial"/>
          <w:sz w:val="22"/>
          <w:szCs w:val="22"/>
        </w:rPr>
      </w:pPr>
      <w:r w:rsidRPr="001E4D89">
        <w:rPr>
          <w:rStyle w:val="Emphasis"/>
          <w:rFonts w:ascii="Arial" w:hAnsi="Arial" w:cs="Arial"/>
          <w:sz w:val="22"/>
          <w:szCs w:val="22"/>
        </w:rPr>
        <w:t>(Source: Ansoff 1988; Tesla Annual Report 2024)</w:t>
      </w:r>
    </w:p>
    <w:p w14:paraId="5FC98497" w14:textId="45E8BB02" w:rsidR="00620DA3" w:rsidRPr="00620DA3" w:rsidRDefault="00620DA3" w:rsidP="00620DA3">
      <w:pPr>
        <w:spacing w:line="276" w:lineRule="auto"/>
        <w:jc w:val="both"/>
        <w:rPr>
          <w:rStyle w:val="Strong"/>
          <w:rFonts w:ascii="Arial" w:eastAsia="Times New Roman" w:hAnsi="Arial" w:cs="Arial"/>
          <w:b w:val="0"/>
          <w:bCs w:val="0"/>
        </w:rPr>
      </w:pPr>
      <w:r w:rsidRPr="00620DA3">
        <w:rPr>
          <w:rStyle w:val="Strong"/>
          <w:rFonts w:ascii="Arial" w:eastAsia="Times New Roman" w:hAnsi="Arial" w:cs="Arial"/>
          <w:b w:val="0"/>
          <w:bCs w:val="0"/>
        </w:rPr>
        <w:t>This end-to-end approach helps Tesla to achieve long-term growth using its technological ecosystem and brand equity. However, the capacity of the company to maintain its innovative advantage is more of a matter of its innovation rate rather than its originality, since technology is diffusing very fast (Grant 2023).</w:t>
      </w:r>
    </w:p>
    <w:p w14:paraId="3B5898C9" w14:textId="085C80E5" w:rsidR="00E51FE0" w:rsidRPr="001E4D89" w:rsidRDefault="00E51FE0" w:rsidP="001E4D89">
      <w:pPr>
        <w:pStyle w:val="Heading2"/>
        <w:rPr>
          <w:rStyle w:val="Strong"/>
          <w:rFonts w:ascii="Arial" w:hAnsi="Arial" w:cs="Arial"/>
          <w:color w:val="auto"/>
          <w:sz w:val="24"/>
          <w:szCs w:val="24"/>
        </w:rPr>
      </w:pPr>
      <w:bookmarkStart w:id="12" w:name="_Toc214216969"/>
      <w:r w:rsidRPr="001E4D89">
        <w:rPr>
          <w:rStyle w:val="Strong"/>
          <w:rFonts w:ascii="Arial" w:eastAsia="Times New Roman" w:hAnsi="Arial" w:cs="Arial"/>
          <w:color w:val="auto"/>
          <w:sz w:val="24"/>
          <w:szCs w:val="24"/>
        </w:rPr>
        <w:t>Porter’s Generic Strategies and Tesla’s Competitive Position</w:t>
      </w:r>
      <w:bookmarkEnd w:id="12"/>
    </w:p>
    <w:p w14:paraId="40347B88" w14:textId="752428DF" w:rsidR="00917CFD" w:rsidRPr="00BD5055" w:rsidRDefault="005D22DF" w:rsidP="003C0F86">
      <w:pPr>
        <w:spacing w:after="0" w:line="360" w:lineRule="auto"/>
        <w:jc w:val="both"/>
        <w:rPr>
          <w:rFonts w:ascii="Arial" w:hAnsi="Arial" w:cs="Arial"/>
        </w:rPr>
      </w:pPr>
      <w:r w:rsidRPr="005D22DF">
        <w:rPr>
          <w:rFonts w:ascii="Arial" w:eastAsia="Times New Roman" w:hAnsi="Arial" w:cs="Arial"/>
        </w:rPr>
        <w:t>In the model provided by Porter, Tesla can be combined to both focus and differentiation strategies (Porter 1980). Through software integration, sustainable branding and innovation leadership, it attains premium pricing and customer loyalty. Strategic Element Implementation Effect on Strategy.</w:t>
      </w:r>
    </w:p>
    <w:tbl>
      <w:tblPr>
        <w:tblStyle w:val="TableGrid"/>
        <w:tblW w:w="0" w:type="auto"/>
        <w:tblLook w:val="04A0" w:firstRow="1" w:lastRow="0" w:firstColumn="1" w:lastColumn="0" w:noHBand="0" w:noVBand="1"/>
      </w:tblPr>
      <w:tblGrid>
        <w:gridCol w:w="2143"/>
        <w:gridCol w:w="4382"/>
        <w:gridCol w:w="2825"/>
      </w:tblGrid>
      <w:tr w:rsidR="00E51FE0" w:rsidRPr="00BD5055" w14:paraId="0D564152" w14:textId="77777777" w:rsidTr="0071543A">
        <w:tc>
          <w:tcPr>
            <w:tcW w:w="0" w:type="auto"/>
            <w:hideMark/>
          </w:tcPr>
          <w:p w14:paraId="50EA3162" w14:textId="77777777" w:rsidR="00E51FE0" w:rsidRPr="00BD5055" w:rsidRDefault="00E51FE0" w:rsidP="003C0F86">
            <w:pPr>
              <w:spacing w:line="360" w:lineRule="auto"/>
              <w:jc w:val="both"/>
              <w:rPr>
                <w:rFonts w:ascii="Arial" w:eastAsia="Times New Roman" w:hAnsi="Arial" w:cs="Arial"/>
                <w:b/>
                <w:bCs/>
              </w:rPr>
            </w:pPr>
            <w:r w:rsidRPr="00BD5055">
              <w:rPr>
                <w:rStyle w:val="Strong"/>
                <w:rFonts w:ascii="Arial" w:eastAsia="Times New Roman" w:hAnsi="Arial" w:cs="Arial"/>
              </w:rPr>
              <w:lastRenderedPageBreak/>
              <w:t>Strategic Element</w:t>
            </w:r>
          </w:p>
        </w:tc>
        <w:tc>
          <w:tcPr>
            <w:tcW w:w="0" w:type="auto"/>
            <w:hideMark/>
          </w:tcPr>
          <w:p w14:paraId="437558B0" w14:textId="77777777" w:rsidR="00E51FE0" w:rsidRPr="00BD5055" w:rsidRDefault="00E51FE0" w:rsidP="001E4D89">
            <w:pPr>
              <w:spacing w:line="360" w:lineRule="auto"/>
              <w:jc w:val="center"/>
              <w:rPr>
                <w:rFonts w:ascii="Arial" w:eastAsia="Times New Roman" w:hAnsi="Arial" w:cs="Arial"/>
                <w:b/>
                <w:bCs/>
              </w:rPr>
            </w:pPr>
            <w:r w:rsidRPr="00BD5055">
              <w:rPr>
                <w:rStyle w:val="Strong"/>
                <w:rFonts w:ascii="Arial" w:eastAsia="Times New Roman" w:hAnsi="Arial" w:cs="Arial"/>
              </w:rPr>
              <w:t>Implementation Example</w:t>
            </w:r>
          </w:p>
        </w:tc>
        <w:tc>
          <w:tcPr>
            <w:tcW w:w="0" w:type="auto"/>
            <w:hideMark/>
          </w:tcPr>
          <w:p w14:paraId="07D83AD9" w14:textId="77777777" w:rsidR="00E51FE0" w:rsidRPr="00BD5055" w:rsidRDefault="00E51FE0" w:rsidP="001E4D89">
            <w:pPr>
              <w:spacing w:line="360" w:lineRule="auto"/>
              <w:jc w:val="center"/>
              <w:rPr>
                <w:rFonts w:ascii="Arial" w:eastAsia="Times New Roman" w:hAnsi="Arial" w:cs="Arial"/>
                <w:b/>
                <w:bCs/>
              </w:rPr>
            </w:pPr>
            <w:r w:rsidRPr="00BD5055">
              <w:rPr>
                <w:rStyle w:val="Strong"/>
                <w:rFonts w:ascii="Arial" w:eastAsia="Times New Roman" w:hAnsi="Arial" w:cs="Arial"/>
              </w:rPr>
              <w:t>Strategic Impact</w:t>
            </w:r>
          </w:p>
        </w:tc>
      </w:tr>
      <w:tr w:rsidR="00E51FE0" w:rsidRPr="00BD5055" w14:paraId="79A7CDE9" w14:textId="77777777" w:rsidTr="0071543A">
        <w:tc>
          <w:tcPr>
            <w:tcW w:w="0" w:type="auto"/>
            <w:hideMark/>
          </w:tcPr>
          <w:p w14:paraId="411499E4" w14:textId="77777777" w:rsidR="00E51FE0" w:rsidRPr="00BD5055" w:rsidRDefault="00E51FE0" w:rsidP="003C0F86">
            <w:pPr>
              <w:spacing w:line="360" w:lineRule="auto"/>
              <w:jc w:val="both"/>
              <w:rPr>
                <w:rFonts w:ascii="Arial" w:eastAsia="Times New Roman" w:hAnsi="Arial" w:cs="Arial"/>
              </w:rPr>
            </w:pPr>
            <w:r w:rsidRPr="00BD5055">
              <w:rPr>
                <w:rStyle w:val="Strong"/>
                <w:rFonts w:ascii="Arial" w:eastAsia="Times New Roman" w:hAnsi="Arial" w:cs="Arial"/>
              </w:rPr>
              <w:t>Differentiation</w:t>
            </w:r>
          </w:p>
        </w:tc>
        <w:tc>
          <w:tcPr>
            <w:tcW w:w="0" w:type="auto"/>
            <w:hideMark/>
          </w:tcPr>
          <w:p w14:paraId="4E609505"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Proprietary battery management and over-the-air updates enhance performance and customer experience.</w:t>
            </w:r>
          </w:p>
        </w:tc>
        <w:tc>
          <w:tcPr>
            <w:tcW w:w="0" w:type="auto"/>
            <w:hideMark/>
          </w:tcPr>
          <w:p w14:paraId="6A41CECF"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Strengthens unique value proposition and brand prestige.</w:t>
            </w:r>
          </w:p>
        </w:tc>
      </w:tr>
      <w:tr w:rsidR="00E51FE0" w:rsidRPr="00BD5055" w14:paraId="1AED705F" w14:textId="77777777" w:rsidTr="0071543A">
        <w:tc>
          <w:tcPr>
            <w:tcW w:w="0" w:type="auto"/>
            <w:hideMark/>
          </w:tcPr>
          <w:p w14:paraId="3593675F" w14:textId="77777777" w:rsidR="00E51FE0" w:rsidRPr="00BD5055" w:rsidRDefault="00E51FE0" w:rsidP="003C0F86">
            <w:pPr>
              <w:spacing w:line="360" w:lineRule="auto"/>
              <w:jc w:val="both"/>
              <w:rPr>
                <w:rFonts w:ascii="Arial" w:eastAsia="Times New Roman" w:hAnsi="Arial" w:cs="Arial"/>
              </w:rPr>
            </w:pPr>
            <w:r w:rsidRPr="00BD5055">
              <w:rPr>
                <w:rStyle w:val="Strong"/>
                <w:rFonts w:ascii="Arial" w:eastAsia="Times New Roman" w:hAnsi="Arial" w:cs="Arial"/>
              </w:rPr>
              <w:t>Focus</w:t>
            </w:r>
          </w:p>
        </w:tc>
        <w:tc>
          <w:tcPr>
            <w:tcW w:w="0" w:type="auto"/>
            <w:hideMark/>
          </w:tcPr>
          <w:p w14:paraId="72F1676C"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Concentration on environmentally conscious and tech-oriented consumers.</w:t>
            </w:r>
          </w:p>
        </w:tc>
        <w:tc>
          <w:tcPr>
            <w:tcW w:w="0" w:type="auto"/>
            <w:hideMark/>
          </w:tcPr>
          <w:p w14:paraId="3219981D"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Builds niche loyalty and community advocacy.</w:t>
            </w:r>
          </w:p>
        </w:tc>
      </w:tr>
      <w:tr w:rsidR="00E51FE0" w:rsidRPr="00BD5055" w14:paraId="30381498" w14:textId="77777777" w:rsidTr="0071543A">
        <w:tc>
          <w:tcPr>
            <w:tcW w:w="0" w:type="auto"/>
            <w:hideMark/>
          </w:tcPr>
          <w:p w14:paraId="21FCAC34" w14:textId="77777777" w:rsidR="00E51FE0" w:rsidRPr="00BD5055" w:rsidRDefault="00E51FE0" w:rsidP="003C0F86">
            <w:pPr>
              <w:spacing w:line="360" w:lineRule="auto"/>
              <w:jc w:val="both"/>
              <w:rPr>
                <w:rFonts w:ascii="Arial" w:eastAsia="Times New Roman" w:hAnsi="Arial" w:cs="Arial"/>
              </w:rPr>
            </w:pPr>
            <w:r w:rsidRPr="00BD5055">
              <w:rPr>
                <w:rStyle w:val="Strong"/>
                <w:rFonts w:ascii="Arial" w:eastAsia="Times New Roman" w:hAnsi="Arial" w:cs="Arial"/>
              </w:rPr>
              <w:t>Cost Leadership (partial)</w:t>
            </w:r>
          </w:p>
        </w:tc>
        <w:tc>
          <w:tcPr>
            <w:tcW w:w="0" w:type="auto"/>
            <w:hideMark/>
          </w:tcPr>
          <w:p w14:paraId="75670980"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Gigafactory scale lowers per-unit costs over time.</w:t>
            </w:r>
          </w:p>
        </w:tc>
        <w:tc>
          <w:tcPr>
            <w:tcW w:w="0" w:type="auto"/>
            <w:hideMark/>
          </w:tcPr>
          <w:p w14:paraId="0CE45FB3" w14:textId="77777777" w:rsidR="00E51FE0" w:rsidRPr="00BD5055" w:rsidRDefault="00E51FE0" w:rsidP="003C0F86">
            <w:pPr>
              <w:spacing w:line="360" w:lineRule="auto"/>
              <w:jc w:val="both"/>
              <w:rPr>
                <w:rFonts w:ascii="Arial" w:eastAsia="Times New Roman" w:hAnsi="Arial" w:cs="Arial"/>
              </w:rPr>
            </w:pPr>
            <w:r w:rsidRPr="00BD5055">
              <w:rPr>
                <w:rFonts w:ascii="Arial" w:eastAsia="Times New Roman" w:hAnsi="Arial" w:cs="Arial"/>
              </w:rPr>
              <w:t>Supports profitability and cost efficiency against new entrants.</w:t>
            </w:r>
          </w:p>
        </w:tc>
      </w:tr>
    </w:tbl>
    <w:p w14:paraId="727AD864" w14:textId="158D8D3C" w:rsidR="00E51FE0" w:rsidRPr="00BD5055" w:rsidRDefault="00E51FE0" w:rsidP="001E4D89">
      <w:pPr>
        <w:pStyle w:val="NormalWeb"/>
        <w:spacing w:before="0" w:beforeAutospacing="0" w:after="0" w:afterAutospacing="0" w:line="360" w:lineRule="auto"/>
        <w:jc w:val="center"/>
        <w:rPr>
          <w:rFonts w:ascii="Arial" w:hAnsi="Arial" w:cs="Arial"/>
          <w:i/>
          <w:iCs/>
          <w:lang w:val="en-US"/>
        </w:rPr>
      </w:pPr>
      <w:r w:rsidRPr="001E4D89">
        <w:rPr>
          <w:rStyle w:val="Emphasis"/>
          <w:rFonts w:ascii="Arial" w:hAnsi="Arial" w:cs="Arial"/>
          <w:sz w:val="22"/>
          <w:szCs w:val="22"/>
        </w:rPr>
        <w:t xml:space="preserve">(Source: Porter 1980; </w:t>
      </w:r>
      <w:r w:rsidR="002A6354" w:rsidRPr="001E4D89">
        <w:rPr>
          <w:rFonts w:ascii="Arial" w:hAnsi="Arial" w:cs="Arial"/>
          <w:i/>
          <w:iCs/>
          <w:sz w:val="22"/>
          <w:szCs w:val="22"/>
          <w:lang w:val="en-US"/>
        </w:rPr>
        <w:t>Lu, 2025</w:t>
      </w:r>
      <w:r w:rsidRPr="001E4D89">
        <w:rPr>
          <w:rStyle w:val="Emphasis"/>
          <w:rFonts w:ascii="Arial" w:hAnsi="Arial" w:cs="Arial"/>
          <w:sz w:val="22"/>
          <w:szCs w:val="22"/>
        </w:rPr>
        <w:t>)</w:t>
      </w:r>
    </w:p>
    <w:p w14:paraId="3359610D" w14:textId="77777777" w:rsidR="00136CC9" w:rsidRPr="00136CC9" w:rsidRDefault="00136CC9" w:rsidP="00136CC9">
      <w:pPr>
        <w:spacing w:line="360" w:lineRule="auto"/>
        <w:jc w:val="both"/>
        <w:rPr>
          <w:rFonts w:ascii="Arial" w:hAnsi="Arial" w:cs="Arial"/>
        </w:rPr>
      </w:pPr>
      <w:r w:rsidRPr="00136CC9">
        <w:rPr>
          <w:rFonts w:ascii="Arial" w:hAnsi="Arial" w:cs="Arial"/>
        </w:rPr>
        <w:t>The closed-loop competitive advantage is the integration of a hardware and software ecosystem, to which Tesla is less reliant on external suppliers, and user lock-in is reinforced. However, the weaknesses of this strategy are high capital intensity, increased responsiveness to material availability and extreme vulnerability to regulatory and policy changes.</w:t>
      </w:r>
    </w:p>
    <w:p w14:paraId="32B79971" w14:textId="31A8C9FB" w:rsidR="005B49B0" w:rsidRPr="00E42790" w:rsidRDefault="005B49B0" w:rsidP="00E42790">
      <w:pPr>
        <w:pStyle w:val="Heading2"/>
        <w:rPr>
          <w:rFonts w:ascii="Arial" w:hAnsi="Arial" w:cs="Arial"/>
          <w:b/>
          <w:bCs/>
          <w:color w:val="auto"/>
          <w:sz w:val="24"/>
          <w:szCs w:val="24"/>
        </w:rPr>
      </w:pPr>
      <w:bookmarkStart w:id="13" w:name="_Toc214216970"/>
      <w:r w:rsidRPr="00E42790">
        <w:rPr>
          <w:rFonts w:ascii="Arial" w:hAnsi="Arial" w:cs="Arial"/>
          <w:b/>
          <w:bCs/>
          <w:color w:val="auto"/>
          <w:sz w:val="24"/>
          <w:szCs w:val="24"/>
        </w:rPr>
        <w:t>Strategic Implications</w:t>
      </w:r>
      <w:bookmarkEnd w:id="13"/>
      <w:r w:rsidRPr="00E42790">
        <w:rPr>
          <w:rFonts w:ascii="Arial" w:hAnsi="Arial" w:cs="Arial"/>
          <w:b/>
          <w:bCs/>
          <w:color w:val="auto"/>
          <w:sz w:val="24"/>
          <w:szCs w:val="24"/>
        </w:rPr>
        <w:t xml:space="preserve">  </w:t>
      </w:r>
    </w:p>
    <w:p w14:paraId="615798D7" w14:textId="45EBE857" w:rsidR="005B49B0" w:rsidRPr="00BD5055" w:rsidRDefault="005B49B0" w:rsidP="003C0F86">
      <w:pPr>
        <w:pStyle w:val="NormalWeb"/>
        <w:spacing w:before="0" w:beforeAutospacing="0" w:after="0" w:afterAutospacing="0" w:line="360" w:lineRule="auto"/>
        <w:jc w:val="both"/>
        <w:rPr>
          <w:rFonts w:ascii="Arial" w:hAnsi="Arial" w:cs="Arial"/>
        </w:rPr>
      </w:pPr>
      <w:r w:rsidRPr="00BD5055">
        <w:rPr>
          <w:rFonts w:ascii="Arial" w:hAnsi="Arial" w:cs="Arial"/>
        </w:rPr>
        <w:t>Tesla has a pioneering strategy in overcoming the interwoven technological and environmental macro-actors, which is an active approach to innovation. The company redefines the environmental requirements, including the strict emission laws, as sources of strategic differentiation, becoming one of the leaders of sustainability. Maintaining this high end status, however, requires a delicate balancing act between the speed of innovation and cost effectiveness as rivals such as BYD continue to close the technological divide due to economies of scale and localized implementation.</w:t>
      </w:r>
    </w:p>
    <w:p w14:paraId="39BD22B5" w14:textId="2C9A9DB1" w:rsidR="0015546B" w:rsidRPr="001E4D89" w:rsidRDefault="0015546B" w:rsidP="001E4D89">
      <w:pPr>
        <w:pStyle w:val="Heading1"/>
        <w:rPr>
          <w:rFonts w:ascii="Arial" w:hAnsi="Arial" w:cs="Arial"/>
          <w:b/>
          <w:bCs/>
          <w:color w:val="auto"/>
          <w:sz w:val="24"/>
          <w:szCs w:val="24"/>
        </w:rPr>
      </w:pPr>
      <w:bookmarkStart w:id="14" w:name="_Toc214216971"/>
      <w:r w:rsidRPr="001E4D89">
        <w:rPr>
          <w:rFonts w:ascii="Arial" w:hAnsi="Arial" w:cs="Arial"/>
          <w:b/>
          <w:bCs/>
          <w:color w:val="auto"/>
          <w:sz w:val="24"/>
          <w:szCs w:val="24"/>
        </w:rPr>
        <w:t>3.2 Strategic Responses of Follower Organisations.</w:t>
      </w:r>
      <w:bookmarkEnd w:id="14"/>
      <w:r w:rsidRPr="001E4D89">
        <w:rPr>
          <w:rFonts w:ascii="Arial" w:hAnsi="Arial" w:cs="Arial"/>
          <w:b/>
          <w:bCs/>
          <w:color w:val="auto"/>
          <w:sz w:val="24"/>
          <w:szCs w:val="24"/>
        </w:rPr>
        <w:t xml:space="preserve">  </w:t>
      </w:r>
    </w:p>
    <w:p w14:paraId="1E42CA32" w14:textId="7522E0BB" w:rsidR="0015546B" w:rsidRPr="00BD5055" w:rsidRDefault="0015546B" w:rsidP="003C0F86">
      <w:pPr>
        <w:pStyle w:val="NormalWeb"/>
        <w:spacing w:before="0" w:beforeAutospacing="0" w:after="0" w:afterAutospacing="0" w:line="360" w:lineRule="auto"/>
        <w:jc w:val="both"/>
        <w:rPr>
          <w:rFonts w:ascii="Arial" w:hAnsi="Arial" w:cs="Arial"/>
        </w:rPr>
      </w:pPr>
      <w:r w:rsidRPr="00BD5055">
        <w:rPr>
          <w:rFonts w:ascii="Arial" w:hAnsi="Arial" w:cs="Arial"/>
        </w:rPr>
        <w:t xml:space="preserve">Late entrants to the strategic environment face a different strategic environment (follower organisations). Instead of spending a lot of resources on uncertain breakthrough innovation, followers focus on learning, cost-effectiveness, and incremental improvement and convert pioneer-borne risk into operational advantage </w:t>
      </w:r>
      <w:r w:rsidRPr="00BD5055">
        <w:rPr>
          <w:rFonts w:ascii="Arial" w:hAnsi="Arial" w:cs="Arial"/>
        </w:rPr>
        <w:lastRenderedPageBreak/>
        <w:t xml:space="preserve">(Lieberman &amp; Montgomery 1998). The theoretical models of Growth Matrix and Generics Strategies by Ansoff and Porter can explain how the followers can maintain competitiveness in the dynamic industries.  </w:t>
      </w:r>
    </w:p>
    <w:p w14:paraId="2136B685" w14:textId="0157F743" w:rsidR="0015546B" w:rsidRPr="00B41E23" w:rsidRDefault="0015546B" w:rsidP="00B41E23">
      <w:pPr>
        <w:pStyle w:val="Heading2"/>
        <w:rPr>
          <w:rFonts w:ascii="Arial" w:hAnsi="Arial" w:cs="Arial"/>
          <w:b/>
          <w:bCs/>
          <w:color w:val="auto"/>
          <w:sz w:val="24"/>
          <w:szCs w:val="24"/>
        </w:rPr>
      </w:pPr>
      <w:bookmarkStart w:id="15" w:name="_Toc214216972"/>
      <w:r w:rsidRPr="00B41E23">
        <w:rPr>
          <w:rFonts w:ascii="Arial" w:hAnsi="Arial" w:cs="Arial"/>
          <w:b/>
          <w:bCs/>
          <w:color w:val="auto"/>
          <w:sz w:val="24"/>
          <w:szCs w:val="24"/>
        </w:rPr>
        <w:t>Follower Strategies through Growth Matrix Ansoff.</w:t>
      </w:r>
      <w:bookmarkEnd w:id="15"/>
      <w:r w:rsidRPr="00B41E23">
        <w:rPr>
          <w:rFonts w:ascii="Arial" w:hAnsi="Arial" w:cs="Arial"/>
          <w:b/>
          <w:bCs/>
          <w:color w:val="auto"/>
          <w:sz w:val="24"/>
          <w:szCs w:val="24"/>
        </w:rPr>
        <w:t xml:space="preserve">  </w:t>
      </w:r>
    </w:p>
    <w:p w14:paraId="1518688D" w14:textId="62E19F32" w:rsidR="0015546B" w:rsidRPr="00BD5055" w:rsidRDefault="0015546B" w:rsidP="003C0F86">
      <w:pPr>
        <w:pStyle w:val="NormalWeb"/>
        <w:spacing w:before="0" w:beforeAutospacing="0" w:after="0" w:afterAutospacing="0" w:line="360" w:lineRule="auto"/>
        <w:jc w:val="both"/>
        <w:rPr>
          <w:rFonts w:ascii="Arial" w:hAnsi="Arial" w:cs="Arial"/>
        </w:rPr>
      </w:pPr>
      <w:r w:rsidRPr="00BD5055">
        <w:rPr>
          <w:rFonts w:ascii="Arial" w:hAnsi="Arial" w:cs="Arial"/>
        </w:rPr>
        <w:t xml:space="preserve">The followers enhance market penetration, use competitive prices and effective production systems to achieve volumes when the technologies stabilise. Followers can grow fast by avoiding the uncertainty of high R&amp;D by using well-established designs and enjoying the benefits of learning curves (Klepper 1996).  </w:t>
      </w:r>
    </w:p>
    <w:p w14:paraId="24482622" w14:textId="64B8D925" w:rsidR="009E634E" w:rsidRPr="00B41E23" w:rsidRDefault="009E634E" w:rsidP="00B41E23">
      <w:pPr>
        <w:pStyle w:val="Heading3"/>
        <w:rPr>
          <w:rFonts w:ascii="Arial" w:hAnsi="Arial" w:cs="Arial"/>
          <w:b/>
          <w:bCs/>
          <w:color w:val="auto"/>
          <w:sz w:val="24"/>
          <w:szCs w:val="24"/>
        </w:rPr>
      </w:pPr>
      <w:bookmarkStart w:id="16" w:name="_Toc214216973"/>
      <w:r w:rsidRPr="00B41E23">
        <w:rPr>
          <w:rFonts w:ascii="Arial" w:hAnsi="Arial" w:cs="Arial"/>
          <w:b/>
          <w:bCs/>
          <w:color w:val="auto"/>
          <w:sz w:val="24"/>
          <w:szCs w:val="24"/>
        </w:rPr>
        <w:t>Follower Strategies</w:t>
      </w:r>
      <w:bookmarkEnd w:id="16"/>
    </w:p>
    <w:tbl>
      <w:tblPr>
        <w:tblW w:w="0" w:type="auto"/>
        <w:jc w:val="center"/>
        <w:tblLook w:val="04A0" w:firstRow="1" w:lastRow="0" w:firstColumn="1" w:lastColumn="0" w:noHBand="0" w:noVBand="1"/>
      </w:tblPr>
      <w:tblGrid>
        <w:gridCol w:w="2880"/>
        <w:gridCol w:w="2880"/>
        <w:gridCol w:w="2880"/>
      </w:tblGrid>
      <w:tr w:rsidR="009E634E" w:rsidRPr="00BD5055" w14:paraId="47E97637" w14:textId="77777777" w:rsidTr="00073CF2">
        <w:trPr>
          <w:jc w:val="center"/>
        </w:trPr>
        <w:tc>
          <w:tcPr>
            <w:tcW w:w="2880" w:type="dxa"/>
            <w:shd w:val="clear" w:color="auto" w:fill="D9E1F2"/>
            <w:vAlign w:val="center"/>
          </w:tcPr>
          <w:p w14:paraId="7EEBB506" w14:textId="77777777" w:rsidR="009E634E" w:rsidRPr="00BD5055" w:rsidRDefault="009E634E" w:rsidP="00DD111A">
            <w:pPr>
              <w:spacing w:after="0" w:line="360" w:lineRule="auto"/>
              <w:jc w:val="center"/>
              <w:rPr>
                <w:rFonts w:ascii="Arial" w:hAnsi="Arial" w:cs="Arial"/>
              </w:rPr>
            </w:pPr>
            <w:r w:rsidRPr="00BD5055">
              <w:rPr>
                <w:rFonts w:ascii="Arial" w:hAnsi="Arial" w:cs="Arial"/>
                <w:b/>
                <w:bCs/>
              </w:rPr>
              <w:t>Product Development</w:t>
            </w:r>
            <w:r w:rsidRPr="00BD5055">
              <w:rPr>
                <w:rFonts w:ascii="Arial" w:hAnsi="Arial" w:cs="Arial"/>
                <w:b/>
                <w:bCs/>
              </w:rPr>
              <w:br/>
            </w:r>
            <w:r w:rsidRPr="00BD5055">
              <w:rPr>
                <w:rFonts w:ascii="Arial" w:hAnsi="Arial" w:cs="Arial"/>
              </w:rPr>
              <w:t>Followers focus on incremental innovation to reduce risk and improve reliability (Teece, 1986).</w:t>
            </w:r>
          </w:p>
        </w:tc>
        <w:tc>
          <w:tcPr>
            <w:tcW w:w="2880" w:type="dxa"/>
            <w:shd w:val="clear" w:color="auto" w:fill="E2EFDA"/>
            <w:vAlign w:val="center"/>
          </w:tcPr>
          <w:p w14:paraId="1E078DED" w14:textId="77777777" w:rsidR="00541D57" w:rsidRPr="00BD5055" w:rsidRDefault="00541D57" w:rsidP="003C0F86">
            <w:pPr>
              <w:spacing w:after="0" w:line="360" w:lineRule="auto"/>
              <w:jc w:val="both"/>
              <w:rPr>
                <w:rFonts w:ascii="Arial" w:hAnsi="Arial" w:cs="Arial"/>
              </w:rPr>
            </w:pPr>
          </w:p>
          <w:p w14:paraId="338C9CBE" w14:textId="476C3A5B" w:rsidR="009E634E" w:rsidRPr="00BD5055" w:rsidRDefault="009E634E" w:rsidP="00DD111A">
            <w:pPr>
              <w:spacing w:after="0" w:line="360" w:lineRule="auto"/>
              <w:jc w:val="center"/>
              <w:rPr>
                <w:rFonts w:ascii="Arial" w:hAnsi="Arial" w:cs="Arial"/>
              </w:rPr>
            </w:pPr>
            <w:r w:rsidRPr="00DD111A">
              <w:rPr>
                <w:rFonts w:ascii="Arial" w:hAnsi="Arial" w:cs="Arial"/>
                <w:b/>
                <w:bCs/>
              </w:rPr>
              <w:t>Market Development</w:t>
            </w:r>
            <w:r w:rsidRPr="00BD5055">
              <w:rPr>
                <w:rFonts w:ascii="Arial" w:hAnsi="Arial" w:cs="Arial"/>
              </w:rPr>
              <w:br/>
              <w:t>Followers target underserved, price-sensitive markets waiting for mature alternatives (Rogers, 2003).</w:t>
            </w:r>
          </w:p>
        </w:tc>
        <w:tc>
          <w:tcPr>
            <w:tcW w:w="2880" w:type="dxa"/>
            <w:shd w:val="clear" w:color="auto" w:fill="FCE4D6"/>
            <w:vAlign w:val="center"/>
          </w:tcPr>
          <w:p w14:paraId="24CDB9F1" w14:textId="77777777" w:rsidR="0094246E" w:rsidRPr="00DD111A" w:rsidRDefault="0094246E" w:rsidP="003C0F86">
            <w:pPr>
              <w:spacing w:after="0" w:line="360" w:lineRule="auto"/>
              <w:jc w:val="both"/>
              <w:rPr>
                <w:rFonts w:ascii="Arial" w:hAnsi="Arial" w:cs="Arial"/>
                <w:sz w:val="2"/>
                <w:szCs w:val="2"/>
              </w:rPr>
            </w:pPr>
          </w:p>
          <w:p w14:paraId="3465FEB7" w14:textId="551F174D" w:rsidR="009E634E" w:rsidRPr="00BD5055" w:rsidRDefault="009E634E" w:rsidP="00DD111A">
            <w:pPr>
              <w:spacing w:after="0" w:line="360" w:lineRule="auto"/>
              <w:jc w:val="center"/>
              <w:rPr>
                <w:rFonts w:ascii="Arial" w:hAnsi="Arial" w:cs="Arial"/>
              </w:rPr>
            </w:pPr>
            <w:r w:rsidRPr="00DD111A">
              <w:rPr>
                <w:rFonts w:ascii="Arial" w:hAnsi="Arial" w:cs="Arial"/>
                <w:b/>
                <w:bCs/>
              </w:rPr>
              <w:t>Related Diversification</w:t>
            </w:r>
            <w:r w:rsidRPr="00BD5055">
              <w:rPr>
                <w:rFonts w:ascii="Arial" w:hAnsi="Arial" w:cs="Arial"/>
              </w:rPr>
              <w:br/>
              <w:t>Followers integrate upstream into battery and component manufacturing (Zhou &amp; Li, 2023).</w:t>
            </w:r>
          </w:p>
        </w:tc>
      </w:tr>
    </w:tbl>
    <w:p w14:paraId="47E39563" w14:textId="3399B4B8" w:rsidR="0015546B" w:rsidRPr="004177E8" w:rsidRDefault="0015546B" w:rsidP="004177E8">
      <w:pPr>
        <w:pStyle w:val="Heading2"/>
        <w:rPr>
          <w:rFonts w:ascii="Arial" w:hAnsi="Arial" w:cs="Arial"/>
          <w:b/>
          <w:bCs/>
          <w:color w:val="auto"/>
          <w:sz w:val="24"/>
          <w:szCs w:val="24"/>
        </w:rPr>
      </w:pPr>
      <w:bookmarkStart w:id="17" w:name="_Toc214216974"/>
      <w:r w:rsidRPr="004177E8">
        <w:rPr>
          <w:rFonts w:ascii="Arial" w:hAnsi="Arial" w:cs="Arial"/>
          <w:b/>
          <w:bCs/>
          <w:color w:val="auto"/>
          <w:sz w:val="24"/>
          <w:szCs w:val="24"/>
        </w:rPr>
        <w:t>Critical Assessment</w:t>
      </w:r>
      <w:bookmarkEnd w:id="17"/>
      <w:r w:rsidRPr="004177E8">
        <w:rPr>
          <w:rFonts w:ascii="Arial" w:hAnsi="Arial" w:cs="Arial"/>
          <w:b/>
          <w:bCs/>
          <w:color w:val="auto"/>
          <w:sz w:val="24"/>
          <w:szCs w:val="24"/>
        </w:rPr>
        <w:t xml:space="preserve">  </w:t>
      </w:r>
    </w:p>
    <w:p w14:paraId="507BE081" w14:textId="00E6C33F" w:rsidR="0015546B" w:rsidRPr="00BD5055" w:rsidRDefault="0015546B" w:rsidP="003C0F86">
      <w:pPr>
        <w:pStyle w:val="NormalWeb"/>
        <w:spacing w:before="0" w:beforeAutospacing="0" w:after="0" w:afterAutospacing="0" w:line="360" w:lineRule="auto"/>
        <w:jc w:val="both"/>
        <w:rPr>
          <w:rFonts w:ascii="Arial" w:hAnsi="Arial" w:cs="Arial"/>
        </w:rPr>
      </w:pPr>
      <w:r w:rsidRPr="00BD5055">
        <w:rPr>
          <w:rFonts w:ascii="Arial" w:hAnsi="Arial" w:cs="Arial"/>
        </w:rPr>
        <w:t>In general, the competitiveness of the follower is dependent on the synthesis of absorptive capacity, effective scaling, and incremental innovation. According to Cohen and Levinthal (1990), followers with strong learning abilities are able to internalize any external knowledge better and therefore overcome pioneers in terms of cost, volume and market penetrations. Despite the increased risk faced by followers in case of sudden shifts in technological paradigms, the literature suggests that well-trained capability building and strategic flexibility can enable most of the followers to achieve high and sustainable competitive advantage.</w:t>
      </w:r>
    </w:p>
    <w:p w14:paraId="0B7BC8F3" w14:textId="4D1FA311" w:rsidR="007F39A2" w:rsidRPr="004177E8" w:rsidRDefault="007F39A2" w:rsidP="004177E8">
      <w:pPr>
        <w:pStyle w:val="Heading1"/>
        <w:rPr>
          <w:rFonts w:ascii="Arial" w:hAnsi="Arial" w:cs="Arial"/>
          <w:b/>
          <w:bCs/>
          <w:color w:val="auto"/>
          <w:sz w:val="24"/>
          <w:szCs w:val="24"/>
        </w:rPr>
      </w:pPr>
      <w:bookmarkStart w:id="18" w:name="_Toc214216975"/>
      <w:r w:rsidRPr="004177E8">
        <w:rPr>
          <w:rFonts w:ascii="Arial" w:hAnsi="Arial" w:cs="Arial"/>
          <w:b/>
          <w:bCs/>
          <w:color w:val="auto"/>
          <w:sz w:val="24"/>
          <w:szCs w:val="24"/>
        </w:rPr>
        <w:t>4. Conclusion</w:t>
      </w:r>
      <w:bookmarkEnd w:id="18"/>
      <w:r w:rsidRPr="004177E8">
        <w:rPr>
          <w:rFonts w:ascii="Arial" w:hAnsi="Arial" w:cs="Arial"/>
          <w:b/>
          <w:bCs/>
          <w:color w:val="auto"/>
          <w:sz w:val="24"/>
          <w:szCs w:val="24"/>
        </w:rPr>
        <w:t xml:space="preserve"> </w:t>
      </w:r>
    </w:p>
    <w:p w14:paraId="0CD50907" w14:textId="26D8CD19" w:rsidR="00C037CF" w:rsidRPr="00BD5055" w:rsidRDefault="007F39A2" w:rsidP="003C0F86">
      <w:pPr>
        <w:spacing w:after="0" w:line="360" w:lineRule="auto"/>
        <w:jc w:val="both"/>
        <w:rPr>
          <w:rFonts w:ascii="Arial" w:hAnsi="Arial" w:cs="Arial"/>
        </w:rPr>
      </w:pPr>
      <w:r w:rsidRPr="00BD5055">
        <w:rPr>
          <w:rFonts w:ascii="Arial" w:hAnsi="Arial" w:cs="Arial"/>
        </w:rPr>
        <w:t>This paper illustrates that technological and environmental forces are the strongest macro-environmental forces that determine strategic marketing choices in the electric-</w:t>
      </w:r>
      <w:r w:rsidRPr="00BD5055">
        <w:rPr>
          <w:rFonts w:ascii="Arial" w:hAnsi="Arial" w:cs="Arial"/>
        </w:rPr>
        <w:lastRenderedPageBreak/>
        <w:t>vehicle industry. Empirical evidence suggests that the early innovators, the pioneering firms, depend on radical technological development, product differentiation and long term capability building to maintain competitive advantage. Conversely, follower organisations maintain market standing by being cost efficient, incremental, geographically expansive, and strong absorptive capacity. Application of analytic models like PESTEL, Growth Matrix of Ansoff, and the Generic Strategies of Porter explain how every type of firm perceives and responds to the external forces differently. Finally, the results highlight the need to conduct ongoing environmental scanning and strategic adaptation. Companies that manage to match the technological opportunities with the environmental sustainability needs are better placed to achieve sustainable competitive advantage regardless of whether they are pioneers or followers.</w:t>
      </w:r>
    </w:p>
    <w:p w14:paraId="04B86195" w14:textId="77777777" w:rsidR="00301C20" w:rsidRPr="00BD5055" w:rsidRDefault="00301C20" w:rsidP="003C0F86">
      <w:pPr>
        <w:spacing w:after="0" w:line="360" w:lineRule="auto"/>
        <w:jc w:val="both"/>
        <w:rPr>
          <w:rFonts w:ascii="Arial" w:hAnsi="Arial" w:cs="Arial"/>
        </w:rPr>
      </w:pPr>
      <w:r w:rsidRPr="00BD5055">
        <w:rPr>
          <w:rFonts w:ascii="Arial" w:hAnsi="Arial" w:cs="Arial"/>
        </w:rPr>
        <w:br w:type="page"/>
      </w:r>
    </w:p>
    <w:p w14:paraId="44A5CBD3" w14:textId="78F92266" w:rsidR="004E67A5" w:rsidRPr="004E67A5" w:rsidRDefault="00B41E23" w:rsidP="004E67A5">
      <w:pPr>
        <w:pStyle w:val="Heading1"/>
        <w:rPr>
          <w:rFonts w:ascii="Arial" w:hAnsi="Arial" w:cs="Arial"/>
          <w:b/>
          <w:bCs/>
          <w:color w:val="auto"/>
          <w:sz w:val="24"/>
          <w:szCs w:val="24"/>
        </w:rPr>
      </w:pPr>
      <w:bookmarkStart w:id="19" w:name="_Toc214216976"/>
      <w:r w:rsidRPr="004E67A5">
        <w:rPr>
          <w:rFonts w:ascii="Arial" w:hAnsi="Arial" w:cs="Arial"/>
          <w:b/>
          <w:bCs/>
          <w:color w:val="auto"/>
          <w:sz w:val="24"/>
          <w:szCs w:val="24"/>
        </w:rPr>
        <w:lastRenderedPageBreak/>
        <w:t>5.</w:t>
      </w:r>
      <w:r w:rsidR="002B5695" w:rsidRPr="004E67A5">
        <w:rPr>
          <w:rFonts w:ascii="Arial" w:hAnsi="Arial" w:cs="Arial"/>
          <w:b/>
          <w:bCs/>
          <w:color w:val="auto"/>
          <w:sz w:val="24"/>
          <w:szCs w:val="24"/>
        </w:rPr>
        <w:t>References</w:t>
      </w:r>
      <w:bookmarkEnd w:id="19"/>
    </w:p>
    <w:p w14:paraId="11E4ED5B" w14:textId="77777777" w:rsidR="00C24D53" w:rsidRPr="004B0C7C" w:rsidRDefault="00C24D53" w:rsidP="004E67A5">
      <w:pPr>
        <w:numPr>
          <w:ilvl w:val="0"/>
          <w:numId w:val="5"/>
        </w:numPr>
        <w:spacing w:after="0" w:line="360" w:lineRule="auto"/>
        <w:jc w:val="both"/>
        <w:rPr>
          <w:rFonts w:ascii="Arial" w:eastAsia="Times New Roman" w:hAnsi="Arial" w:cs="Arial"/>
          <w:kern w:val="0"/>
          <w:lang w:val="en-US"/>
          <w14:ligatures w14:val="none"/>
        </w:rPr>
      </w:pPr>
      <w:r w:rsidRPr="004B0C7C">
        <w:rPr>
          <w:rFonts w:ascii="Arial" w:eastAsia="Times New Roman" w:hAnsi="Arial" w:cs="Arial"/>
          <w:kern w:val="0"/>
          <w:lang w:val="en-US"/>
          <w14:ligatures w14:val="none"/>
        </w:rPr>
        <w:t xml:space="preserve">Ansoff, H. I. (1988) </w:t>
      </w:r>
      <w:r w:rsidRPr="004B0C7C">
        <w:rPr>
          <w:rFonts w:ascii="Arial" w:eastAsia="Times New Roman" w:hAnsi="Arial" w:cs="Arial"/>
          <w:i/>
          <w:iCs/>
          <w:kern w:val="0"/>
          <w:lang w:val="en-US"/>
          <w14:ligatures w14:val="none"/>
        </w:rPr>
        <w:t>Corporate Strategy.</w:t>
      </w:r>
      <w:r w:rsidRPr="004B0C7C">
        <w:rPr>
          <w:rFonts w:ascii="Arial" w:eastAsia="Times New Roman" w:hAnsi="Arial" w:cs="Arial"/>
          <w:kern w:val="0"/>
          <w:lang w:val="en-US"/>
          <w14:ligatures w14:val="none"/>
        </w:rPr>
        <w:t xml:space="preserve"> Rev. ed. New York: McGraw-Hill.</w:t>
      </w:r>
    </w:p>
    <w:p w14:paraId="16726E1D"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t xml:space="preserve">BIELEWSKI, M., PFRANG, A., QUINTERO, P.D., BOBBA, S., SCHADE, B., GEORGAKAKI, A., LETOUT, S., MOUNTRAKI, A. and INCE, E. (2024). Clean Energy Technology Observatory: Battery Technology in the European Union - 2024 Status Report on Technology Development, Trends, Value Chains and Markets. </w:t>
      </w:r>
      <w:r w:rsidRPr="00BD5055">
        <w:rPr>
          <w:rFonts w:ascii="Arial" w:hAnsi="Arial" w:cs="Arial"/>
          <w:i/>
          <w:iCs/>
        </w:rPr>
        <w:t>JRC Publications Repository</w:t>
      </w:r>
      <w:r w:rsidRPr="00BD5055">
        <w:rPr>
          <w:rFonts w:ascii="Arial" w:hAnsi="Arial" w:cs="Arial"/>
        </w:rPr>
        <w:t>. [online] doi:https://doi.org/10.2760/4852968.</w:t>
      </w:r>
    </w:p>
    <w:p w14:paraId="3EF70EE6" w14:textId="77777777" w:rsidR="00C24D53" w:rsidRPr="00F75551" w:rsidRDefault="00C24D53" w:rsidP="004E67A5">
      <w:pPr>
        <w:numPr>
          <w:ilvl w:val="0"/>
          <w:numId w:val="5"/>
        </w:numPr>
        <w:spacing w:after="0" w:line="360" w:lineRule="auto"/>
        <w:jc w:val="both"/>
        <w:rPr>
          <w:rFonts w:ascii="Arial" w:hAnsi="Arial" w:cs="Arial"/>
          <w:lang w:val="en-US"/>
        </w:rPr>
      </w:pPr>
      <w:proofErr w:type="spellStart"/>
      <w:r w:rsidRPr="00F75551">
        <w:rPr>
          <w:rFonts w:ascii="Arial" w:hAnsi="Arial" w:cs="Arial"/>
          <w:lang w:val="en-US"/>
        </w:rPr>
        <w:t>BloombergNEF</w:t>
      </w:r>
      <w:proofErr w:type="spellEnd"/>
      <w:r w:rsidRPr="00F75551">
        <w:rPr>
          <w:rFonts w:ascii="Arial" w:hAnsi="Arial" w:cs="Arial"/>
          <w:lang w:val="en-US"/>
        </w:rPr>
        <w:t xml:space="preserve"> (2024) </w:t>
      </w:r>
      <w:r w:rsidRPr="00F75551">
        <w:rPr>
          <w:rFonts w:ascii="Arial" w:hAnsi="Arial" w:cs="Arial"/>
          <w:i/>
          <w:iCs/>
          <w:lang w:val="en-US"/>
        </w:rPr>
        <w:t>Battery Price Survey 2024: Market Outlook and Cost Trends.</w:t>
      </w:r>
      <w:r w:rsidRPr="00F75551">
        <w:rPr>
          <w:rFonts w:ascii="Arial" w:hAnsi="Arial" w:cs="Arial"/>
          <w:lang w:val="en-US"/>
        </w:rPr>
        <w:t xml:space="preserve"> London: Bloomberg New Energy Finance.</w:t>
      </w:r>
    </w:p>
    <w:p w14:paraId="27036885" w14:textId="77777777" w:rsidR="00C24D53" w:rsidRPr="00BD5055" w:rsidRDefault="00C24D53" w:rsidP="004E67A5">
      <w:pPr>
        <w:pStyle w:val="ListParagraph"/>
        <w:numPr>
          <w:ilvl w:val="0"/>
          <w:numId w:val="5"/>
        </w:numPr>
        <w:spacing w:after="0" w:line="360" w:lineRule="auto"/>
        <w:jc w:val="both"/>
        <w:rPr>
          <w:rFonts w:ascii="Arial" w:eastAsia="Times New Roman" w:hAnsi="Arial" w:cs="Arial"/>
          <w:kern w:val="0"/>
          <w:lang w:val="en-US"/>
          <w14:ligatures w14:val="none"/>
        </w:rPr>
      </w:pPr>
      <w:r w:rsidRPr="00BD5055">
        <w:rPr>
          <w:rFonts w:ascii="Arial" w:eastAsia="Times New Roman" w:hAnsi="Arial" w:cs="Arial"/>
          <w:kern w:val="0"/>
          <w:lang w:val="en-US"/>
          <w14:ligatures w14:val="none"/>
        </w:rPr>
        <w:t xml:space="preserve">Cohen, W.M. &amp; Levinthal, D.A. (1990) ‘Absorptive capacity’, </w:t>
      </w:r>
      <w:r w:rsidRPr="00BD5055">
        <w:rPr>
          <w:rFonts w:ascii="Arial" w:eastAsia="Times New Roman" w:hAnsi="Arial" w:cs="Arial"/>
          <w:i/>
          <w:iCs/>
          <w:kern w:val="0"/>
          <w:lang w:val="en-US"/>
          <w14:ligatures w14:val="none"/>
        </w:rPr>
        <w:t>Administrative Science Quarterly</w:t>
      </w:r>
      <w:r w:rsidRPr="00BD5055">
        <w:rPr>
          <w:rFonts w:ascii="Arial" w:eastAsia="Times New Roman" w:hAnsi="Arial" w:cs="Arial"/>
          <w:kern w:val="0"/>
          <w:lang w:val="en-US"/>
          <w14:ligatures w14:val="none"/>
        </w:rPr>
        <w:t>, 35(1), pp. 128–152.</w:t>
      </w:r>
    </w:p>
    <w:p w14:paraId="48CD7D6C" w14:textId="77777777" w:rsidR="00C24D53" w:rsidRPr="004E67A5" w:rsidRDefault="00C24D53" w:rsidP="004E67A5">
      <w:pPr>
        <w:pStyle w:val="ListParagraph"/>
        <w:numPr>
          <w:ilvl w:val="0"/>
          <w:numId w:val="5"/>
        </w:numPr>
        <w:spacing w:after="0" w:line="360" w:lineRule="auto"/>
        <w:jc w:val="both"/>
        <w:rPr>
          <w:rFonts w:ascii="Arial" w:hAnsi="Arial" w:cs="Arial"/>
          <w:lang w:val="en-US"/>
        </w:rPr>
      </w:pPr>
      <w:r w:rsidRPr="004E67A5">
        <w:rPr>
          <w:rFonts w:ascii="Arial" w:hAnsi="Arial" w:cs="Arial"/>
          <w:lang w:val="en-US"/>
        </w:rPr>
        <w:t xml:space="preserve">European Commission (2023) </w:t>
      </w:r>
      <w:r w:rsidRPr="004E67A5">
        <w:rPr>
          <w:rFonts w:ascii="Arial" w:hAnsi="Arial" w:cs="Arial"/>
          <w:i/>
          <w:iCs/>
          <w:lang w:val="en-US"/>
        </w:rPr>
        <w:t>Fit for 55: Delivering the EU’s 2030 Climate Target.</w:t>
      </w:r>
      <w:r w:rsidRPr="004E67A5">
        <w:rPr>
          <w:rFonts w:ascii="Arial" w:hAnsi="Arial" w:cs="Arial"/>
          <w:lang w:val="en-US"/>
        </w:rPr>
        <w:t xml:space="preserve"> Brussels: Publications Office of the European Union.</w:t>
      </w:r>
    </w:p>
    <w:p w14:paraId="0E51808A" w14:textId="77777777" w:rsidR="00C24D53" w:rsidRPr="00F75551" w:rsidRDefault="00C24D53" w:rsidP="004E67A5">
      <w:pPr>
        <w:numPr>
          <w:ilvl w:val="0"/>
          <w:numId w:val="5"/>
        </w:numPr>
        <w:spacing w:after="0" w:line="360" w:lineRule="auto"/>
        <w:jc w:val="both"/>
        <w:rPr>
          <w:rFonts w:ascii="Arial" w:hAnsi="Arial" w:cs="Arial"/>
          <w:lang w:val="en-US"/>
        </w:rPr>
      </w:pPr>
      <w:r w:rsidRPr="00F75551">
        <w:rPr>
          <w:rFonts w:ascii="Arial" w:hAnsi="Arial" w:cs="Arial"/>
          <w:lang w:val="en-US"/>
        </w:rPr>
        <w:t xml:space="preserve">Grant, R. M. (2023) </w:t>
      </w:r>
      <w:r w:rsidRPr="00F75551">
        <w:rPr>
          <w:rFonts w:ascii="Arial" w:hAnsi="Arial" w:cs="Arial"/>
          <w:i/>
          <w:iCs/>
          <w:lang w:val="en-US"/>
        </w:rPr>
        <w:t>Contemporary Strategy Analysis.</w:t>
      </w:r>
      <w:r w:rsidRPr="00F75551">
        <w:rPr>
          <w:rFonts w:ascii="Arial" w:hAnsi="Arial" w:cs="Arial"/>
          <w:lang w:val="en-US"/>
        </w:rPr>
        <w:t xml:space="preserve"> 12th ed. Oxford: Wiley-Blackwell.</w:t>
      </w:r>
    </w:p>
    <w:p w14:paraId="67BCDB9D" w14:textId="77777777" w:rsidR="00C24D53" w:rsidRPr="004E67A5" w:rsidRDefault="00C24D53" w:rsidP="004E67A5">
      <w:pPr>
        <w:pStyle w:val="ListParagraph"/>
        <w:numPr>
          <w:ilvl w:val="0"/>
          <w:numId w:val="5"/>
        </w:numPr>
        <w:spacing w:after="0" w:line="360" w:lineRule="auto"/>
        <w:jc w:val="both"/>
        <w:rPr>
          <w:rFonts w:ascii="Arial" w:hAnsi="Arial" w:cs="Arial"/>
          <w:lang w:val="en-US"/>
        </w:rPr>
      </w:pPr>
      <w:r w:rsidRPr="004E67A5">
        <w:rPr>
          <w:rFonts w:ascii="Arial" w:hAnsi="Arial" w:cs="Arial"/>
          <w:lang w:val="en-US"/>
        </w:rPr>
        <w:t xml:space="preserve">International Energy Agency (IEA) (2024) </w:t>
      </w:r>
      <w:r w:rsidRPr="004E67A5">
        <w:rPr>
          <w:rFonts w:ascii="Arial" w:hAnsi="Arial" w:cs="Arial"/>
          <w:i/>
          <w:iCs/>
          <w:lang w:val="en-US"/>
        </w:rPr>
        <w:t>Global EV Outlook 2024: Driving the Transition to Electric Mobility.</w:t>
      </w:r>
      <w:r w:rsidRPr="004E67A5">
        <w:rPr>
          <w:rFonts w:ascii="Arial" w:hAnsi="Arial" w:cs="Arial"/>
          <w:lang w:val="en-US"/>
        </w:rPr>
        <w:t xml:space="preserve"> Paris: IEA Publications.</w:t>
      </w:r>
    </w:p>
    <w:p w14:paraId="5341F9B0"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t xml:space="preserve">Islam, Q.T. and Islam, Q.T. (2025). </w:t>
      </w:r>
      <w:r w:rsidRPr="00BD5055">
        <w:rPr>
          <w:rFonts w:ascii="Arial" w:hAnsi="Arial" w:cs="Arial"/>
          <w:i/>
          <w:iCs/>
        </w:rPr>
        <w:t>Strategic Leap: BYD’s Forward Vertical Integration Into the EV Market</w:t>
      </w:r>
      <w:r w:rsidRPr="00BD5055">
        <w:rPr>
          <w:rFonts w:ascii="Arial" w:hAnsi="Arial" w:cs="Arial"/>
        </w:rPr>
        <w:t xml:space="preserve">. [online] </w:t>
      </w:r>
      <w:r w:rsidRPr="00BD5055">
        <w:rPr>
          <w:rFonts w:ascii="Arial" w:hAnsi="Arial" w:cs="Arial"/>
          <w:i/>
          <w:iCs/>
        </w:rPr>
        <w:t>SAGE Publications: SAGE Business Cases Originals eBooks</w:t>
      </w:r>
      <w:r w:rsidRPr="00BD5055">
        <w:rPr>
          <w:rFonts w:ascii="Arial" w:hAnsi="Arial" w:cs="Arial"/>
        </w:rPr>
        <w:t>. SAGE Publishing. doi:https://doi.org/10.4135/9781071968819.</w:t>
      </w:r>
    </w:p>
    <w:p w14:paraId="2514C51B" w14:textId="77777777" w:rsidR="00C24D53" w:rsidRPr="00BD5055" w:rsidRDefault="00C24D53" w:rsidP="004E67A5">
      <w:pPr>
        <w:pStyle w:val="ListParagraph"/>
        <w:numPr>
          <w:ilvl w:val="0"/>
          <w:numId w:val="5"/>
        </w:numPr>
        <w:spacing w:after="0" w:line="360" w:lineRule="auto"/>
        <w:jc w:val="both"/>
        <w:rPr>
          <w:rFonts w:ascii="Arial" w:eastAsia="Times New Roman" w:hAnsi="Arial" w:cs="Arial"/>
          <w:kern w:val="0"/>
          <w:lang w:val="en-US"/>
          <w14:ligatures w14:val="none"/>
        </w:rPr>
      </w:pPr>
      <w:r w:rsidRPr="00BD5055">
        <w:rPr>
          <w:rFonts w:ascii="Arial" w:eastAsia="Times New Roman" w:hAnsi="Arial" w:cs="Arial"/>
          <w:kern w:val="0"/>
          <w:lang w:val="en-US"/>
          <w14:ligatures w14:val="none"/>
        </w:rPr>
        <w:t xml:space="preserve">Klepper, S. (1996) ‘Entry, exit, and shakeouts’, </w:t>
      </w:r>
      <w:r w:rsidRPr="00BD5055">
        <w:rPr>
          <w:rFonts w:ascii="Arial" w:eastAsia="Times New Roman" w:hAnsi="Arial" w:cs="Arial"/>
          <w:i/>
          <w:iCs/>
          <w:kern w:val="0"/>
          <w:lang w:val="en-US"/>
          <w14:ligatures w14:val="none"/>
        </w:rPr>
        <w:t>International Journal of Industrial Organization</w:t>
      </w:r>
      <w:r w:rsidRPr="00BD5055">
        <w:rPr>
          <w:rFonts w:ascii="Arial" w:eastAsia="Times New Roman" w:hAnsi="Arial" w:cs="Arial"/>
          <w:kern w:val="0"/>
          <w:lang w:val="en-US"/>
          <w14:ligatures w14:val="none"/>
        </w:rPr>
        <w:t>, 14(4), pp. 667–698.</w:t>
      </w:r>
    </w:p>
    <w:p w14:paraId="28DA736D" w14:textId="77777777" w:rsidR="00C24D53" w:rsidRPr="004E67A5" w:rsidRDefault="00C24D53" w:rsidP="004E67A5">
      <w:pPr>
        <w:pStyle w:val="ListParagraph"/>
        <w:numPr>
          <w:ilvl w:val="0"/>
          <w:numId w:val="5"/>
        </w:numPr>
        <w:spacing w:after="0" w:line="360" w:lineRule="auto"/>
        <w:jc w:val="both"/>
        <w:rPr>
          <w:rFonts w:ascii="Arial" w:hAnsi="Arial" w:cs="Arial"/>
        </w:rPr>
      </w:pPr>
      <w:r w:rsidRPr="004E67A5">
        <w:rPr>
          <w:rFonts w:ascii="Arial" w:hAnsi="Arial" w:cs="Arial"/>
        </w:rPr>
        <w:t xml:space="preserve">Kotler, P. &amp; Keller, K. L. (2022) </w:t>
      </w:r>
      <w:r w:rsidRPr="004E67A5">
        <w:rPr>
          <w:rFonts w:ascii="Arial" w:hAnsi="Arial" w:cs="Arial"/>
          <w:i/>
          <w:iCs/>
        </w:rPr>
        <w:t>Marketing Management.</w:t>
      </w:r>
      <w:r w:rsidRPr="004E67A5">
        <w:rPr>
          <w:rFonts w:ascii="Arial" w:hAnsi="Arial" w:cs="Arial"/>
        </w:rPr>
        <w:t xml:space="preserve"> 16th ed. Harlow: Pearson Education.</w:t>
      </w:r>
    </w:p>
    <w:p w14:paraId="5F8AF589" w14:textId="77777777" w:rsidR="00C24D53" w:rsidRPr="00BD5055" w:rsidRDefault="00C24D53" w:rsidP="004E67A5">
      <w:pPr>
        <w:pStyle w:val="ListParagraph"/>
        <w:numPr>
          <w:ilvl w:val="0"/>
          <w:numId w:val="5"/>
        </w:numPr>
        <w:spacing w:after="0" w:line="360" w:lineRule="auto"/>
        <w:jc w:val="both"/>
        <w:rPr>
          <w:rFonts w:ascii="Arial" w:eastAsia="Times New Roman" w:hAnsi="Arial" w:cs="Arial"/>
          <w:kern w:val="0"/>
          <w:lang w:val="en-US"/>
          <w14:ligatures w14:val="none"/>
        </w:rPr>
      </w:pPr>
      <w:r w:rsidRPr="00BD5055">
        <w:rPr>
          <w:rFonts w:ascii="Arial" w:eastAsia="Times New Roman" w:hAnsi="Arial" w:cs="Arial"/>
          <w:kern w:val="0"/>
          <w:lang w:val="en-US"/>
          <w14:ligatures w14:val="none"/>
        </w:rPr>
        <w:t xml:space="preserve">Lieberman, M.B. &amp; Montgomery, D.B. (1998) ‘First-mover (dis)advantages’, </w:t>
      </w:r>
      <w:r w:rsidRPr="00BD5055">
        <w:rPr>
          <w:rFonts w:ascii="Arial" w:eastAsia="Times New Roman" w:hAnsi="Arial" w:cs="Arial"/>
          <w:i/>
          <w:iCs/>
          <w:kern w:val="0"/>
          <w:lang w:val="en-US"/>
          <w14:ligatures w14:val="none"/>
        </w:rPr>
        <w:t>Strategic Management Journal</w:t>
      </w:r>
      <w:r w:rsidRPr="00BD5055">
        <w:rPr>
          <w:rFonts w:ascii="Arial" w:eastAsia="Times New Roman" w:hAnsi="Arial" w:cs="Arial"/>
          <w:kern w:val="0"/>
          <w:lang w:val="en-US"/>
          <w14:ligatures w14:val="none"/>
        </w:rPr>
        <w:t>, 19(12), pp. 1111–1125.</w:t>
      </w:r>
    </w:p>
    <w:p w14:paraId="70FA79E9"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t xml:space="preserve">Lu, Z. (2025). An Analysis of Tesla’s Market Position and Future Prospects. </w:t>
      </w:r>
      <w:r w:rsidRPr="00BD5055">
        <w:rPr>
          <w:rFonts w:ascii="Arial" w:hAnsi="Arial" w:cs="Arial"/>
          <w:i/>
          <w:iCs/>
        </w:rPr>
        <w:t>Advances in economics, business and management research/Advances in Economics, Business and Management Research</w:t>
      </w:r>
      <w:r w:rsidRPr="00BD5055">
        <w:rPr>
          <w:rFonts w:ascii="Arial" w:hAnsi="Arial" w:cs="Arial"/>
        </w:rPr>
        <w:t>, [online] pp.919–928. doi:https://doi.org/10.2991/978-94-6463-748-9_100.</w:t>
      </w:r>
    </w:p>
    <w:p w14:paraId="5423C41F"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lastRenderedPageBreak/>
        <w:t xml:space="preserve">Makvandi, R. (2024). Analysis of the Impact of Macroeconomic Factors on the Development of Financial Products: Application of the PESTEL Model in Identifying Opportunities and Threats. </w:t>
      </w:r>
      <w:r w:rsidRPr="00BD5055">
        <w:rPr>
          <w:rFonts w:ascii="Arial" w:hAnsi="Arial" w:cs="Arial"/>
          <w:i/>
          <w:iCs/>
        </w:rPr>
        <w:t>Transactions on Quantitative Finance and Beyond</w:t>
      </w:r>
      <w:r w:rsidRPr="00BD5055">
        <w:rPr>
          <w:rFonts w:ascii="Arial" w:hAnsi="Arial" w:cs="Arial"/>
        </w:rPr>
        <w:t>, [online] 1(2), pp.233–246. doi:https://doi.org/10.22105/tqfb.v1i2.40.</w:t>
      </w:r>
    </w:p>
    <w:p w14:paraId="7B27C96D"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t xml:space="preserve">Masiero, G., Ogasavara, M.H., Jussani, A.C. and Risso, M.L. (2016). Electric Vehicles in China: BYD Strategies and Government Subsidies. </w:t>
      </w:r>
      <w:r w:rsidRPr="00BD5055">
        <w:rPr>
          <w:rFonts w:ascii="Arial" w:hAnsi="Arial" w:cs="Arial"/>
          <w:i/>
          <w:iCs/>
        </w:rPr>
        <w:t>RAI Revista De Administração E Inovação</w:t>
      </w:r>
      <w:r w:rsidRPr="00BD5055">
        <w:rPr>
          <w:rFonts w:ascii="Arial" w:hAnsi="Arial" w:cs="Arial"/>
        </w:rPr>
        <w:t>, [online] 13(1), pp.3–11. doi:https://doi.org/10.1016/j.rai.2016.01.001.</w:t>
      </w:r>
    </w:p>
    <w:p w14:paraId="40675794" w14:textId="77777777" w:rsidR="00C24D53" w:rsidRPr="004B0C7C" w:rsidRDefault="00C24D53" w:rsidP="004E67A5">
      <w:pPr>
        <w:numPr>
          <w:ilvl w:val="0"/>
          <w:numId w:val="5"/>
        </w:numPr>
        <w:spacing w:after="0" w:line="360" w:lineRule="auto"/>
        <w:jc w:val="both"/>
        <w:rPr>
          <w:rFonts w:ascii="Arial" w:eastAsia="Times New Roman" w:hAnsi="Arial" w:cs="Arial"/>
          <w:kern w:val="0"/>
          <w:lang w:val="en-US"/>
          <w14:ligatures w14:val="none"/>
        </w:rPr>
      </w:pPr>
      <w:r w:rsidRPr="004B0C7C">
        <w:rPr>
          <w:rFonts w:ascii="Arial" w:eastAsia="Times New Roman" w:hAnsi="Arial" w:cs="Arial"/>
          <w:kern w:val="0"/>
          <w:lang w:val="en-US"/>
          <w14:ligatures w14:val="none"/>
        </w:rPr>
        <w:t xml:space="preserve">Porter, M. E. (1980) </w:t>
      </w:r>
      <w:r w:rsidRPr="004B0C7C">
        <w:rPr>
          <w:rFonts w:ascii="Arial" w:eastAsia="Times New Roman" w:hAnsi="Arial" w:cs="Arial"/>
          <w:i/>
          <w:iCs/>
          <w:kern w:val="0"/>
          <w:lang w:val="en-US"/>
          <w14:ligatures w14:val="none"/>
        </w:rPr>
        <w:t>Competitive Strategy: Techniques for Analyzing Industries and Competitors.</w:t>
      </w:r>
      <w:r w:rsidRPr="004B0C7C">
        <w:rPr>
          <w:rFonts w:ascii="Arial" w:eastAsia="Times New Roman" w:hAnsi="Arial" w:cs="Arial"/>
          <w:kern w:val="0"/>
          <w:lang w:val="en-US"/>
          <w14:ligatures w14:val="none"/>
        </w:rPr>
        <w:t xml:space="preserve"> New York: Free Press.</w:t>
      </w:r>
    </w:p>
    <w:p w14:paraId="6F236788"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t xml:space="preserve">Rakesh Chinta Rakesh Chinta (2025). Tesla PESTEL Analysis -Harvard. </w:t>
      </w:r>
      <w:r w:rsidRPr="00BD5055">
        <w:rPr>
          <w:rFonts w:ascii="Arial" w:hAnsi="Arial" w:cs="Arial"/>
          <w:i/>
          <w:iCs/>
        </w:rPr>
        <w:t>SSRN Electronic Journal</w:t>
      </w:r>
      <w:r w:rsidRPr="00BD5055">
        <w:rPr>
          <w:rFonts w:ascii="Arial" w:hAnsi="Arial" w:cs="Arial"/>
        </w:rPr>
        <w:t>. doi:https://doi.org/10.2139/ssrn.5539158.</w:t>
      </w:r>
    </w:p>
    <w:p w14:paraId="3C47B0E3" w14:textId="77777777" w:rsidR="00C24D53" w:rsidRPr="00BD5055" w:rsidRDefault="00C24D53" w:rsidP="004E67A5">
      <w:pPr>
        <w:pStyle w:val="ListParagraph"/>
        <w:numPr>
          <w:ilvl w:val="0"/>
          <w:numId w:val="5"/>
        </w:numPr>
        <w:spacing w:after="0" w:line="360" w:lineRule="auto"/>
        <w:jc w:val="both"/>
        <w:rPr>
          <w:rFonts w:ascii="Arial" w:eastAsia="Times New Roman" w:hAnsi="Arial" w:cs="Arial"/>
          <w:kern w:val="0"/>
          <w:lang w:val="en-US"/>
          <w14:ligatures w14:val="none"/>
        </w:rPr>
      </w:pPr>
      <w:r w:rsidRPr="00BD5055">
        <w:rPr>
          <w:rFonts w:ascii="Arial" w:eastAsia="Times New Roman" w:hAnsi="Arial" w:cs="Arial"/>
          <w:kern w:val="0"/>
          <w:lang w:val="en-US"/>
          <w14:ligatures w14:val="none"/>
        </w:rPr>
        <w:t xml:space="preserve">Rogers, E.M. (2003) </w:t>
      </w:r>
      <w:r w:rsidRPr="00BD5055">
        <w:rPr>
          <w:rFonts w:ascii="Arial" w:eastAsia="Times New Roman" w:hAnsi="Arial" w:cs="Arial"/>
          <w:i/>
          <w:iCs/>
          <w:kern w:val="0"/>
          <w:lang w:val="en-US"/>
          <w14:ligatures w14:val="none"/>
        </w:rPr>
        <w:t>Diffusion of Innovations</w:t>
      </w:r>
      <w:r w:rsidRPr="00BD5055">
        <w:rPr>
          <w:rFonts w:ascii="Arial" w:eastAsia="Times New Roman" w:hAnsi="Arial" w:cs="Arial"/>
          <w:kern w:val="0"/>
          <w:lang w:val="en-US"/>
          <w14:ligatures w14:val="none"/>
        </w:rPr>
        <w:t xml:space="preserve">. 5th </w:t>
      </w:r>
      <w:proofErr w:type="spellStart"/>
      <w:proofErr w:type="gramStart"/>
      <w:r w:rsidRPr="00BD5055">
        <w:rPr>
          <w:rFonts w:ascii="Arial" w:eastAsia="Times New Roman" w:hAnsi="Arial" w:cs="Arial"/>
          <w:kern w:val="0"/>
          <w:lang w:val="en-US"/>
          <w14:ligatures w14:val="none"/>
        </w:rPr>
        <w:t>edn</w:t>
      </w:r>
      <w:proofErr w:type="spellEnd"/>
      <w:proofErr w:type="gramEnd"/>
      <w:r w:rsidRPr="00BD5055">
        <w:rPr>
          <w:rFonts w:ascii="Arial" w:eastAsia="Times New Roman" w:hAnsi="Arial" w:cs="Arial"/>
          <w:kern w:val="0"/>
          <w:lang w:val="en-US"/>
          <w14:ligatures w14:val="none"/>
        </w:rPr>
        <w:t>. New York: Free Press.</w:t>
      </w:r>
    </w:p>
    <w:p w14:paraId="2559BE45" w14:textId="77777777" w:rsidR="00C24D53" w:rsidRPr="00BD5055" w:rsidRDefault="00C24D53" w:rsidP="004E67A5">
      <w:pPr>
        <w:numPr>
          <w:ilvl w:val="0"/>
          <w:numId w:val="5"/>
        </w:numPr>
        <w:spacing w:after="0" w:line="360" w:lineRule="auto"/>
        <w:jc w:val="both"/>
        <w:rPr>
          <w:rFonts w:ascii="Arial" w:hAnsi="Arial" w:cs="Arial"/>
          <w:lang w:val="en-US"/>
        </w:rPr>
      </w:pPr>
      <w:r w:rsidRPr="00F75551">
        <w:rPr>
          <w:rFonts w:ascii="Arial" w:hAnsi="Arial" w:cs="Arial"/>
          <w:lang w:val="en-US"/>
        </w:rPr>
        <w:t xml:space="preserve">Statista (2024) </w:t>
      </w:r>
      <w:r w:rsidRPr="00F75551">
        <w:rPr>
          <w:rFonts w:ascii="Arial" w:hAnsi="Arial" w:cs="Arial"/>
          <w:i/>
          <w:iCs/>
          <w:lang w:val="en-US"/>
        </w:rPr>
        <w:t>Global Electric Vehicle Market – Sustainability and Recycling Trends 2024.</w:t>
      </w:r>
      <w:r w:rsidRPr="00F75551">
        <w:rPr>
          <w:rFonts w:ascii="Arial" w:hAnsi="Arial" w:cs="Arial"/>
          <w:lang w:val="en-US"/>
        </w:rPr>
        <w:t xml:space="preserve"> Hamburg: Statista GmbH.</w:t>
      </w:r>
    </w:p>
    <w:p w14:paraId="7EE533AE" w14:textId="77777777" w:rsidR="00C24D53" w:rsidRPr="00BD5055" w:rsidRDefault="00C24D53" w:rsidP="004E67A5">
      <w:pPr>
        <w:pStyle w:val="ListParagraph"/>
        <w:numPr>
          <w:ilvl w:val="0"/>
          <w:numId w:val="5"/>
        </w:numPr>
        <w:spacing w:after="0" w:line="360" w:lineRule="auto"/>
        <w:jc w:val="both"/>
        <w:rPr>
          <w:rFonts w:ascii="Arial" w:eastAsia="Times New Roman" w:hAnsi="Arial" w:cs="Arial"/>
          <w:kern w:val="0"/>
          <w:lang w:val="en-US"/>
          <w14:ligatures w14:val="none"/>
        </w:rPr>
      </w:pPr>
      <w:r w:rsidRPr="00BD5055">
        <w:rPr>
          <w:rFonts w:ascii="Arial" w:eastAsia="Times New Roman" w:hAnsi="Arial" w:cs="Arial"/>
          <w:kern w:val="0"/>
          <w:lang w:val="en-US"/>
          <w14:ligatures w14:val="none"/>
        </w:rPr>
        <w:t xml:space="preserve">Teece, D.J. (1986) ‘Profiting from technological innovation’, </w:t>
      </w:r>
      <w:r w:rsidRPr="00BD5055">
        <w:rPr>
          <w:rFonts w:ascii="Arial" w:eastAsia="Times New Roman" w:hAnsi="Arial" w:cs="Arial"/>
          <w:i/>
          <w:iCs/>
          <w:kern w:val="0"/>
          <w:lang w:val="en-US"/>
          <w14:ligatures w14:val="none"/>
        </w:rPr>
        <w:t>Research Policy</w:t>
      </w:r>
      <w:r w:rsidRPr="00BD5055">
        <w:rPr>
          <w:rFonts w:ascii="Arial" w:eastAsia="Times New Roman" w:hAnsi="Arial" w:cs="Arial"/>
          <w:kern w:val="0"/>
          <w:lang w:val="en-US"/>
          <w14:ligatures w14:val="none"/>
        </w:rPr>
        <w:t>, 15(6), pp. 285–305.</w:t>
      </w:r>
    </w:p>
    <w:p w14:paraId="39FC9984" w14:textId="77777777" w:rsidR="00C24D53" w:rsidRPr="004B0C7C" w:rsidRDefault="00C24D53" w:rsidP="004E67A5">
      <w:pPr>
        <w:numPr>
          <w:ilvl w:val="0"/>
          <w:numId w:val="5"/>
        </w:numPr>
        <w:spacing w:after="0" w:line="360" w:lineRule="auto"/>
        <w:jc w:val="both"/>
        <w:rPr>
          <w:rFonts w:ascii="Arial" w:eastAsia="Times New Roman" w:hAnsi="Arial" w:cs="Arial"/>
          <w:kern w:val="0"/>
          <w:lang w:val="en-US"/>
          <w14:ligatures w14:val="none"/>
        </w:rPr>
      </w:pPr>
      <w:r w:rsidRPr="004B0C7C">
        <w:rPr>
          <w:rFonts w:ascii="Arial" w:eastAsia="Times New Roman" w:hAnsi="Arial" w:cs="Arial"/>
          <w:kern w:val="0"/>
          <w:lang w:val="en-US"/>
          <w14:ligatures w14:val="none"/>
        </w:rPr>
        <w:t xml:space="preserve">Tesla Inc. (2024) </w:t>
      </w:r>
      <w:r w:rsidRPr="004B0C7C">
        <w:rPr>
          <w:rFonts w:ascii="Arial" w:eastAsia="Times New Roman" w:hAnsi="Arial" w:cs="Arial"/>
          <w:i/>
          <w:iCs/>
          <w:kern w:val="0"/>
          <w:lang w:val="en-US"/>
          <w14:ligatures w14:val="none"/>
        </w:rPr>
        <w:t>Annual Impact and Financial Report 2024.</w:t>
      </w:r>
      <w:r w:rsidRPr="004B0C7C">
        <w:rPr>
          <w:rFonts w:ascii="Arial" w:eastAsia="Times New Roman" w:hAnsi="Arial" w:cs="Arial"/>
          <w:kern w:val="0"/>
          <w:lang w:val="en-US"/>
          <w14:ligatures w14:val="none"/>
        </w:rPr>
        <w:t xml:space="preserve"> Palo Alto: Tesla Inc.</w:t>
      </w:r>
    </w:p>
    <w:p w14:paraId="2A9A27CF"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t xml:space="preserve">Yuksel, I. (2012). Developing a Multi-Criteria Decision Making Model for PESTEL Analysis. </w:t>
      </w:r>
      <w:r w:rsidRPr="00BD5055">
        <w:rPr>
          <w:rFonts w:ascii="Arial" w:hAnsi="Arial" w:cs="Arial"/>
          <w:i/>
          <w:iCs/>
        </w:rPr>
        <w:t>International Journal of Business and Management</w:t>
      </w:r>
      <w:r w:rsidRPr="00BD5055">
        <w:rPr>
          <w:rFonts w:ascii="Arial" w:hAnsi="Arial" w:cs="Arial"/>
        </w:rPr>
        <w:t>, [online] 7(24), pp.52–66. doi:https://doi.org/10.5539/ijbm.v7n24p52.</w:t>
      </w:r>
    </w:p>
    <w:p w14:paraId="76F5F548" w14:textId="77777777" w:rsidR="00C24D53" w:rsidRPr="00BD5055" w:rsidRDefault="00C24D53" w:rsidP="004E67A5">
      <w:pPr>
        <w:pStyle w:val="NormalWeb"/>
        <w:numPr>
          <w:ilvl w:val="0"/>
          <w:numId w:val="5"/>
        </w:numPr>
        <w:spacing w:before="0" w:beforeAutospacing="0" w:after="0" w:afterAutospacing="0" w:line="360" w:lineRule="auto"/>
        <w:jc w:val="both"/>
        <w:rPr>
          <w:rFonts w:ascii="Arial" w:hAnsi="Arial" w:cs="Arial"/>
        </w:rPr>
      </w:pPr>
      <w:r w:rsidRPr="00BD5055">
        <w:rPr>
          <w:rFonts w:ascii="Arial" w:hAnsi="Arial" w:cs="Arial"/>
        </w:rPr>
        <w:t xml:space="preserve">Zaino, R., Ahmed, V., Alhammadi, A.M. and Alghoush, M. (2024). Electric Vehicle Adoption: A Comprehensive Systematic Review of Technological, Environmental, Organizational and Policy Impacts. </w:t>
      </w:r>
      <w:r w:rsidRPr="00BD5055">
        <w:rPr>
          <w:rFonts w:ascii="Arial" w:hAnsi="Arial" w:cs="Arial"/>
          <w:i/>
          <w:iCs/>
        </w:rPr>
        <w:t>World Electric Vehicle Journal</w:t>
      </w:r>
      <w:r w:rsidRPr="00BD5055">
        <w:rPr>
          <w:rFonts w:ascii="Arial" w:hAnsi="Arial" w:cs="Arial"/>
        </w:rPr>
        <w:t>, [online] 15(8), p.375. doi:https://doi.org/10.3390/wevj15080375.</w:t>
      </w:r>
    </w:p>
    <w:p w14:paraId="54CFB721" w14:textId="77777777" w:rsidR="00C24D53" w:rsidRPr="00BD5055" w:rsidRDefault="00C24D53" w:rsidP="004E67A5">
      <w:pPr>
        <w:pStyle w:val="ListParagraph"/>
        <w:numPr>
          <w:ilvl w:val="0"/>
          <w:numId w:val="5"/>
        </w:numPr>
        <w:spacing w:after="0" w:line="360" w:lineRule="auto"/>
        <w:jc w:val="both"/>
        <w:rPr>
          <w:rFonts w:ascii="Arial" w:eastAsia="Times New Roman" w:hAnsi="Arial" w:cs="Arial"/>
          <w:kern w:val="0"/>
          <w:lang w:val="en-US"/>
          <w14:ligatures w14:val="none"/>
        </w:rPr>
      </w:pPr>
      <w:r w:rsidRPr="00BD5055">
        <w:rPr>
          <w:rFonts w:ascii="Arial" w:eastAsia="Times New Roman" w:hAnsi="Arial" w:cs="Arial"/>
          <w:kern w:val="0"/>
          <w:lang w:val="en-US"/>
          <w14:ligatures w14:val="none"/>
        </w:rPr>
        <w:t xml:space="preserve">Zhou, Q. &amp; Li, W. (2023) ‘China’s dual carbon policy’, </w:t>
      </w:r>
      <w:r w:rsidRPr="00BD5055">
        <w:rPr>
          <w:rFonts w:ascii="Arial" w:eastAsia="Times New Roman" w:hAnsi="Arial" w:cs="Arial"/>
          <w:i/>
          <w:iCs/>
          <w:kern w:val="0"/>
          <w:lang w:val="en-US"/>
          <w14:ligatures w14:val="none"/>
        </w:rPr>
        <w:t>Journal of Sustainable Business Studies</w:t>
      </w:r>
      <w:r w:rsidRPr="00BD5055">
        <w:rPr>
          <w:rFonts w:ascii="Arial" w:eastAsia="Times New Roman" w:hAnsi="Arial" w:cs="Arial"/>
          <w:kern w:val="0"/>
          <w:lang w:val="en-US"/>
          <w14:ligatures w14:val="none"/>
        </w:rPr>
        <w:t>, 9(2), pp. 44–59.</w:t>
      </w:r>
    </w:p>
    <w:sectPr w:rsidR="00C24D53" w:rsidRPr="00BD5055">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DC005" w14:textId="77777777" w:rsidR="00FF1922" w:rsidRDefault="00FF1922" w:rsidP="008305F4">
      <w:pPr>
        <w:spacing w:after="0" w:line="240" w:lineRule="auto"/>
      </w:pPr>
      <w:r>
        <w:separator/>
      </w:r>
    </w:p>
  </w:endnote>
  <w:endnote w:type="continuationSeparator" w:id="0">
    <w:p w14:paraId="6F613FEE" w14:textId="77777777" w:rsidR="00FF1922" w:rsidRDefault="00FF1922" w:rsidP="00830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335332"/>
      <w:docPartObj>
        <w:docPartGallery w:val="Page Numbers (Bottom of Page)"/>
        <w:docPartUnique/>
      </w:docPartObj>
    </w:sdtPr>
    <w:sdtEndPr>
      <w:rPr>
        <w:noProof/>
      </w:rPr>
    </w:sdtEndPr>
    <w:sdtContent>
      <w:p w14:paraId="404B0A8B" w14:textId="6281146C" w:rsidR="002F2DEC" w:rsidRDefault="002F2D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8BD470" w14:textId="77777777" w:rsidR="00233C2A" w:rsidRDefault="0023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01E4C" w14:textId="77777777" w:rsidR="00FF1922" w:rsidRDefault="00FF1922" w:rsidP="008305F4">
      <w:pPr>
        <w:spacing w:after="0" w:line="240" w:lineRule="auto"/>
      </w:pPr>
      <w:r>
        <w:separator/>
      </w:r>
    </w:p>
  </w:footnote>
  <w:footnote w:type="continuationSeparator" w:id="0">
    <w:p w14:paraId="5C18F31E" w14:textId="77777777" w:rsidR="00FF1922" w:rsidRDefault="00FF1922" w:rsidP="00830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F0F"/>
    <w:multiLevelType w:val="multilevel"/>
    <w:tmpl w:val="B2DA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7C1FC3"/>
    <w:multiLevelType w:val="hybridMultilevel"/>
    <w:tmpl w:val="6474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1933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50C8B"/>
    <w:multiLevelType w:val="multilevel"/>
    <w:tmpl w:val="A9303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C046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1711389">
    <w:abstractNumId w:val="4"/>
  </w:num>
  <w:num w:numId="2" w16cid:durableId="2013952875">
    <w:abstractNumId w:val="2"/>
  </w:num>
  <w:num w:numId="3" w16cid:durableId="170805718">
    <w:abstractNumId w:val="0"/>
  </w:num>
  <w:num w:numId="4" w16cid:durableId="825168450">
    <w:abstractNumId w:val="3"/>
  </w:num>
  <w:num w:numId="5" w16cid:durableId="1079596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E71"/>
    <w:rsid w:val="00016064"/>
    <w:rsid w:val="00017B8E"/>
    <w:rsid w:val="000357C8"/>
    <w:rsid w:val="00055E11"/>
    <w:rsid w:val="00065E71"/>
    <w:rsid w:val="000661A6"/>
    <w:rsid w:val="000750BC"/>
    <w:rsid w:val="00080511"/>
    <w:rsid w:val="000F72A3"/>
    <w:rsid w:val="00121D18"/>
    <w:rsid w:val="001221FB"/>
    <w:rsid w:val="00136CC9"/>
    <w:rsid w:val="0015546B"/>
    <w:rsid w:val="00194FC3"/>
    <w:rsid w:val="001C7296"/>
    <w:rsid w:val="001D537C"/>
    <w:rsid w:val="001D77DC"/>
    <w:rsid w:val="001E4D89"/>
    <w:rsid w:val="001E70D3"/>
    <w:rsid w:val="001F6441"/>
    <w:rsid w:val="00206DB0"/>
    <w:rsid w:val="00221893"/>
    <w:rsid w:val="00223F26"/>
    <w:rsid w:val="00233C2A"/>
    <w:rsid w:val="002553B1"/>
    <w:rsid w:val="00265BC4"/>
    <w:rsid w:val="002A03A3"/>
    <w:rsid w:val="002A6354"/>
    <w:rsid w:val="002B01D6"/>
    <w:rsid w:val="002B5695"/>
    <w:rsid w:val="002C63F6"/>
    <w:rsid w:val="002E165A"/>
    <w:rsid w:val="002E5DFD"/>
    <w:rsid w:val="002F2DEC"/>
    <w:rsid w:val="00301C20"/>
    <w:rsid w:val="003133A1"/>
    <w:rsid w:val="00337B09"/>
    <w:rsid w:val="00345114"/>
    <w:rsid w:val="00355E79"/>
    <w:rsid w:val="00385CDF"/>
    <w:rsid w:val="00397C21"/>
    <w:rsid w:val="003B3F0E"/>
    <w:rsid w:val="003C0F86"/>
    <w:rsid w:val="003C6B71"/>
    <w:rsid w:val="003D127A"/>
    <w:rsid w:val="003E6B5B"/>
    <w:rsid w:val="003E6FAE"/>
    <w:rsid w:val="003F10D3"/>
    <w:rsid w:val="00402DF8"/>
    <w:rsid w:val="00411A40"/>
    <w:rsid w:val="004177E8"/>
    <w:rsid w:val="00424E95"/>
    <w:rsid w:val="004266F2"/>
    <w:rsid w:val="00430227"/>
    <w:rsid w:val="004505E0"/>
    <w:rsid w:val="00487FC6"/>
    <w:rsid w:val="00495123"/>
    <w:rsid w:val="004A0EDF"/>
    <w:rsid w:val="004B0C7C"/>
    <w:rsid w:val="004E6649"/>
    <w:rsid w:val="004E67A5"/>
    <w:rsid w:val="0052257B"/>
    <w:rsid w:val="00541D57"/>
    <w:rsid w:val="00543D2C"/>
    <w:rsid w:val="00587C7B"/>
    <w:rsid w:val="0059006A"/>
    <w:rsid w:val="005B49B0"/>
    <w:rsid w:val="005B51F0"/>
    <w:rsid w:val="005C3772"/>
    <w:rsid w:val="005D22DF"/>
    <w:rsid w:val="005F4FAB"/>
    <w:rsid w:val="00615583"/>
    <w:rsid w:val="00620DA3"/>
    <w:rsid w:val="00622B83"/>
    <w:rsid w:val="0063021F"/>
    <w:rsid w:val="006405FE"/>
    <w:rsid w:val="006442BE"/>
    <w:rsid w:val="00644978"/>
    <w:rsid w:val="00652EBD"/>
    <w:rsid w:val="006818AC"/>
    <w:rsid w:val="00685771"/>
    <w:rsid w:val="006C3652"/>
    <w:rsid w:val="006C3B02"/>
    <w:rsid w:val="006C546D"/>
    <w:rsid w:val="006F33C4"/>
    <w:rsid w:val="00707063"/>
    <w:rsid w:val="007101C9"/>
    <w:rsid w:val="0071543A"/>
    <w:rsid w:val="00774547"/>
    <w:rsid w:val="00782B07"/>
    <w:rsid w:val="007843F9"/>
    <w:rsid w:val="007C301D"/>
    <w:rsid w:val="007D2D78"/>
    <w:rsid w:val="007E7559"/>
    <w:rsid w:val="007F39A2"/>
    <w:rsid w:val="00807B54"/>
    <w:rsid w:val="00811FC5"/>
    <w:rsid w:val="008232E3"/>
    <w:rsid w:val="008275A9"/>
    <w:rsid w:val="008305F4"/>
    <w:rsid w:val="0087545E"/>
    <w:rsid w:val="00877387"/>
    <w:rsid w:val="008A2608"/>
    <w:rsid w:val="008A2992"/>
    <w:rsid w:val="008A72C6"/>
    <w:rsid w:val="008C41C0"/>
    <w:rsid w:val="008D34F9"/>
    <w:rsid w:val="008D409C"/>
    <w:rsid w:val="008E55DD"/>
    <w:rsid w:val="008E71BF"/>
    <w:rsid w:val="008F2EA2"/>
    <w:rsid w:val="009020AD"/>
    <w:rsid w:val="00904DAB"/>
    <w:rsid w:val="00906008"/>
    <w:rsid w:val="00906990"/>
    <w:rsid w:val="00917CFD"/>
    <w:rsid w:val="0094246E"/>
    <w:rsid w:val="00964C2E"/>
    <w:rsid w:val="00965EEA"/>
    <w:rsid w:val="009716CE"/>
    <w:rsid w:val="00987C97"/>
    <w:rsid w:val="009C7CB8"/>
    <w:rsid w:val="009E634E"/>
    <w:rsid w:val="009F0B04"/>
    <w:rsid w:val="00A14591"/>
    <w:rsid w:val="00A44CD3"/>
    <w:rsid w:val="00A51001"/>
    <w:rsid w:val="00A56292"/>
    <w:rsid w:val="00A80F7E"/>
    <w:rsid w:val="00AA1E04"/>
    <w:rsid w:val="00AA7995"/>
    <w:rsid w:val="00AC07DD"/>
    <w:rsid w:val="00AD2CC3"/>
    <w:rsid w:val="00AF3557"/>
    <w:rsid w:val="00B41E23"/>
    <w:rsid w:val="00B43B39"/>
    <w:rsid w:val="00B44E97"/>
    <w:rsid w:val="00B9748B"/>
    <w:rsid w:val="00B97645"/>
    <w:rsid w:val="00BA4B4A"/>
    <w:rsid w:val="00BC4ECC"/>
    <w:rsid w:val="00BD0D99"/>
    <w:rsid w:val="00BD2039"/>
    <w:rsid w:val="00BD5055"/>
    <w:rsid w:val="00C037CF"/>
    <w:rsid w:val="00C24D53"/>
    <w:rsid w:val="00C31AC1"/>
    <w:rsid w:val="00CD3320"/>
    <w:rsid w:val="00CF4E74"/>
    <w:rsid w:val="00D271F4"/>
    <w:rsid w:val="00D578AF"/>
    <w:rsid w:val="00D7592C"/>
    <w:rsid w:val="00D927A1"/>
    <w:rsid w:val="00D94B75"/>
    <w:rsid w:val="00DB2D07"/>
    <w:rsid w:val="00DD111A"/>
    <w:rsid w:val="00DD4CF4"/>
    <w:rsid w:val="00DE0A41"/>
    <w:rsid w:val="00DF47C3"/>
    <w:rsid w:val="00E04474"/>
    <w:rsid w:val="00E157F3"/>
    <w:rsid w:val="00E42790"/>
    <w:rsid w:val="00E4550F"/>
    <w:rsid w:val="00E45AD4"/>
    <w:rsid w:val="00E51FE0"/>
    <w:rsid w:val="00E57402"/>
    <w:rsid w:val="00E65F8F"/>
    <w:rsid w:val="00E67624"/>
    <w:rsid w:val="00E70F7E"/>
    <w:rsid w:val="00E84A4D"/>
    <w:rsid w:val="00EC2F33"/>
    <w:rsid w:val="00ED0229"/>
    <w:rsid w:val="00EF60C8"/>
    <w:rsid w:val="00EF7A82"/>
    <w:rsid w:val="00F02852"/>
    <w:rsid w:val="00F24968"/>
    <w:rsid w:val="00F301B8"/>
    <w:rsid w:val="00F33AE4"/>
    <w:rsid w:val="00F53D83"/>
    <w:rsid w:val="00F75551"/>
    <w:rsid w:val="00F861D4"/>
    <w:rsid w:val="00FA6060"/>
    <w:rsid w:val="00FB1FD9"/>
    <w:rsid w:val="00FF1922"/>
    <w:rsid w:val="00FF1F29"/>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6B472"/>
  <w15:chartTrackingRefBased/>
  <w15:docId w15:val="{C81CBC96-D670-084F-A715-AFF5E52D0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E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5E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5E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E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E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E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E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E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E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E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E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E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E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E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E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E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E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E71"/>
    <w:rPr>
      <w:rFonts w:eastAsiaTheme="majorEastAsia" w:cstheme="majorBidi"/>
      <w:color w:val="272727" w:themeColor="text1" w:themeTint="D8"/>
    </w:rPr>
  </w:style>
  <w:style w:type="paragraph" w:styleId="Title">
    <w:name w:val="Title"/>
    <w:basedOn w:val="Normal"/>
    <w:next w:val="Normal"/>
    <w:link w:val="TitleChar"/>
    <w:uiPriority w:val="10"/>
    <w:qFormat/>
    <w:rsid w:val="00065E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E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E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E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E71"/>
    <w:pPr>
      <w:spacing w:before="160"/>
      <w:jc w:val="center"/>
    </w:pPr>
    <w:rPr>
      <w:i/>
      <w:iCs/>
      <w:color w:val="404040" w:themeColor="text1" w:themeTint="BF"/>
    </w:rPr>
  </w:style>
  <w:style w:type="character" w:customStyle="1" w:styleId="QuoteChar">
    <w:name w:val="Quote Char"/>
    <w:basedOn w:val="DefaultParagraphFont"/>
    <w:link w:val="Quote"/>
    <w:uiPriority w:val="29"/>
    <w:rsid w:val="00065E71"/>
    <w:rPr>
      <w:i/>
      <w:iCs/>
      <w:color w:val="404040" w:themeColor="text1" w:themeTint="BF"/>
    </w:rPr>
  </w:style>
  <w:style w:type="paragraph" w:styleId="ListParagraph">
    <w:name w:val="List Paragraph"/>
    <w:basedOn w:val="Normal"/>
    <w:uiPriority w:val="34"/>
    <w:qFormat/>
    <w:rsid w:val="00065E71"/>
    <w:pPr>
      <w:ind w:left="720"/>
      <w:contextualSpacing/>
    </w:pPr>
  </w:style>
  <w:style w:type="character" w:styleId="IntenseEmphasis">
    <w:name w:val="Intense Emphasis"/>
    <w:basedOn w:val="DefaultParagraphFont"/>
    <w:uiPriority w:val="21"/>
    <w:qFormat/>
    <w:rsid w:val="00065E71"/>
    <w:rPr>
      <w:i/>
      <w:iCs/>
      <w:color w:val="0F4761" w:themeColor="accent1" w:themeShade="BF"/>
    </w:rPr>
  </w:style>
  <w:style w:type="paragraph" w:styleId="IntenseQuote">
    <w:name w:val="Intense Quote"/>
    <w:basedOn w:val="Normal"/>
    <w:next w:val="Normal"/>
    <w:link w:val="IntenseQuoteChar"/>
    <w:uiPriority w:val="30"/>
    <w:qFormat/>
    <w:rsid w:val="00065E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E71"/>
    <w:rPr>
      <w:i/>
      <w:iCs/>
      <w:color w:val="0F4761" w:themeColor="accent1" w:themeShade="BF"/>
    </w:rPr>
  </w:style>
  <w:style w:type="character" w:styleId="IntenseReference">
    <w:name w:val="Intense Reference"/>
    <w:basedOn w:val="DefaultParagraphFont"/>
    <w:uiPriority w:val="32"/>
    <w:qFormat/>
    <w:rsid w:val="00065E71"/>
    <w:rPr>
      <w:b/>
      <w:bCs/>
      <w:smallCaps/>
      <w:color w:val="0F4761" w:themeColor="accent1" w:themeShade="BF"/>
      <w:spacing w:val="5"/>
    </w:rPr>
  </w:style>
  <w:style w:type="paragraph" w:styleId="NormalWeb">
    <w:name w:val="Normal (Web)"/>
    <w:basedOn w:val="Normal"/>
    <w:uiPriority w:val="99"/>
    <w:unhideWhenUsed/>
    <w:rsid w:val="00543D2C"/>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39"/>
    <w:rsid w:val="00E70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4A4D"/>
    <w:rPr>
      <w:b/>
      <w:bCs/>
    </w:rPr>
  </w:style>
  <w:style w:type="character" w:styleId="Emphasis">
    <w:name w:val="Emphasis"/>
    <w:basedOn w:val="DefaultParagraphFont"/>
    <w:uiPriority w:val="20"/>
    <w:qFormat/>
    <w:rsid w:val="00A56292"/>
    <w:rPr>
      <w:i/>
      <w:iCs/>
    </w:rPr>
  </w:style>
  <w:style w:type="table" w:styleId="GridTable3-Accent3">
    <w:name w:val="Grid Table 3 Accent 3"/>
    <w:basedOn w:val="TableNormal"/>
    <w:uiPriority w:val="48"/>
    <w:rsid w:val="00BC4ECC"/>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4-Accent3">
    <w:name w:val="Grid Table 4 Accent 3"/>
    <w:basedOn w:val="TableNormal"/>
    <w:uiPriority w:val="49"/>
    <w:rsid w:val="00BC4ECC"/>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6">
    <w:name w:val="Grid Table 4 Accent 6"/>
    <w:basedOn w:val="TableNormal"/>
    <w:uiPriority w:val="49"/>
    <w:rsid w:val="00194FC3"/>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
    <w:name w:val="Grid Table 4"/>
    <w:basedOn w:val="TableNormal"/>
    <w:uiPriority w:val="49"/>
    <w:rsid w:val="00487F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8305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5F4"/>
  </w:style>
  <w:style w:type="paragraph" w:styleId="Footer">
    <w:name w:val="footer"/>
    <w:basedOn w:val="Normal"/>
    <w:link w:val="FooterChar"/>
    <w:uiPriority w:val="99"/>
    <w:unhideWhenUsed/>
    <w:rsid w:val="008305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5F4"/>
  </w:style>
  <w:style w:type="paragraph" w:styleId="TOCHeading">
    <w:name w:val="TOC Heading"/>
    <w:basedOn w:val="Heading1"/>
    <w:next w:val="Normal"/>
    <w:uiPriority w:val="39"/>
    <w:unhideWhenUsed/>
    <w:qFormat/>
    <w:rsid w:val="00AF355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F3557"/>
    <w:pPr>
      <w:spacing w:after="100"/>
    </w:pPr>
  </w:style>
  <w:style w:type="paragraph" w:styleId="TOC2">
    <w:name w:val="toc 2"/>
    <w:basedOn w:val="Normal"/>
    <w:next w:val="Normal"/>
    <w:autoRedefine/>
    <w:uiPriority w:val="39"/>
    <w:unhideWhenUsed/>
    <w:rsid w:val="00AF3557"/>
    <w:pPr>
      <w:spacing w:after="100"/>
      <w:ind w:left="240"/>
    </w:pPr>
  </w:style>
  <w:style w:type="paragraph" w:styleId="TOC3">
    <w:name w:val="toc 3"/>
    <w:basedOn w:val="Normal"/>
    <w:next w:val="Normal"/>
    <w:autoRedefine/>
    <w:uiPriority w:val="39"/>
    <w:unhideWhenUsed/>
    <w:rsid w:val="00AF3557"/>
    <w:pPr>
      <w:spacing w:after="100"/>
      <w:ind w:left="480"/>
    </w:pPr>
  </w:style>
  <w:style w:type="character" w:styleId="Hyperlink">
    <w:name w:val="Hyperlink"/>
    <w:basedOn w:val="DefaultParagraphFont"/>
    <w:uiPriority w:val="99"/>
    <w:unhideWhenUsed/>
    <w:rsid w:val="00AF355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8A3C0-2756-4847-8CD3-ACA19E071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16</Pages>
  <Words>3885</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Parvej Khan</cp:lastModifiedBy>
  <cp:revision>133</cp:revision>
  <dcterms:created xsi:type="dcterms:W3CDTF">2025-11-15T12:33:00Z</dcterms:created>
  <dcterms:modified xsi:type="dcterms:W3CDTF">2025-11-16T14:33:00Z</dcterms:modified>
</cp:coreProperties>
</file>