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2EC06" w14:textId="0153153A" w:rsidR="005B3C16" w:rsidRDefault="005B3C16" w:rsidP="00F30E4B">
      <w:pPr>
        <w:pStyle w:val="Heading3"/>
        <w:rPr>
          <w:rFonts w:asciiTheme="minorHAnsi" w:hAnsiTheme="minorHAnsi" w:cstheme="minorHAnsi"/>
          <w:sz w:val="24"/>
          <w:szCs w:val="24"/>
        </w:rPr>
      </w:pPr>
      <w:r>
        <w:rPr>
          <w:rFonts w:asciiTheme="minorHAnsi" w:hAnsiTheme="minorHAnsi" w:cstheme="minorHAnsi"/>
          <w:sz w:val="24"/>
          <w:szCs w:val="24"/>
        </w:rPr>
        <w:t>Harry butcher- 2204294</w:t>
      </w:r>
    </w:p>
    <w:p w14:paraId="0943B24C" w14:textId="77777777" w:rsidR="005B3C16" w:rsidRDefault="005B3C16" w:rsidP="00F30E4B">
      <w:pPr>
        <w:pStyle w:val="Heading3"/>
        <w:rPr>
          <w:rFonts w:asciiTheme="minorHAnsi" w:hAnsiTheme="minorHAnsi" w:cstheme="minorHAnsi"/>
          <w:sz w:val="24"/>
          <w:szCs w:val="24"/>
        </w:rPr>
      </w:pPr>
    </w:p>
    <w:p w14:paraId="01E0DED2" w14:textId="61C4E786"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Physiological Capabilities and Recommendations for a Triathlon Athlete</w:t>
      </w:r>
    </w:p>
    <w:p w14:paraId="2AD0E014"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The triathlon athlete, a 37-year-old male, exhibits a well-rounded physiological profile suited for the demands of the sport. His maximal oxygen uptake (VO2max) of 44.1 ml/kg/min indicates strong cardiovascular fitness, while his Wingate Anaerobic Test (</w:t>
      </w:r>
      <w:proofErr w:type="spellStart"/>
      <w:r w:rsidRPr="00F30E4B">
        <w:rPr>
          <w:rFonts w:asciiTheme="minorHAnsi" w:hAnsiTheme="minorHAnsi" w:cstheme="minorHAnsi"/>
        </w:rPr>
        <w:t>WAnT</w:t>
      </w:r>
      <w:proofErr w:type="spellEnd"/>
      <w:r w:rsidRPr="00F30E4B">
        <w:rPr>
          <w:rFonts w:asciiTheme="minorHAnsi" w:hAnsiTheme="minorHAnsi" w:cstheme="minorHAnsi"/>
        </w:rPr>
        <w:t>) results, including a peak power output of 1078 W and a relative peak power of 11.9 W/kg, suggest robust anaerobic capabilities. Additionally, the athlete's vertical jump (40 cm), broad jump (190 cm), and Keiser leg press power (832 W) demonstrate impressive lower-body power and strength.</w:t>
      </w:r>
    </w:p>
    <w:p w14:paraId="2A31252D"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​However, the athlete's relatively high body fat percentage of 21.3% and lower-than-average number of push-ups (41) and sit-ups (33) suggest potential areas for improvement. Recommendations for the triathlon athlete include:</w:t>
      </w:r>
    </w:p>
    <w:p w14:paraId="3A6C0BE2" w14:textId="77777777" w:rsidR="00F30E4B" w:rsidRPr="00F30E4B" w:rsidRDefault="00F30E4B" w:rsidP="00F30E4B">
      <w:pPr>
        <w:pStyle w:val="NormalWeb"/>
        <w:numPr>
          <w:ilvl w:val="0"/>
          <w:numId w:val="2"/>
        </w:numPr>
        <w:rPr>
          <w:rFonts w:asciiTheme="minorHAnsi" w:hAnsiTheme="minorHAnsi" w:cstheme="minorHAnsi"/>
        </w:rPr>
      </w:pPr>
      <w:r w:rsidRPr="00F30E4B">
        <w:rPr>
          <w:rFonts w:asciiTheme="minorHAnsi" w:hAnsiTheme="minorHAnsi" w:cstheme="minorHAnsi"/>
        </w:rPr>
        <w:t>Implement a structured strength training program to enhance upper-body and core strength, which will contribute to improved running and cycling mechanics, as well as overall athletic performance.</w:t>
      </w:r>
    </w:p>
    <w:p w14:paraId="5E10C374" w14:textId="77777777" w:rsidR="00F30E4B" w:rsidRPr="00F30E4B" w:rsidRDefault="00F30E4B" w:rsidP="00F30E4B">
      <w:pPr>
        <w:pStyle w:val="NormalWeb"/>
        <w:numPr>
          <w:ilvl w:val="0"/>
          <w:numId w:val="2"/>
        </w:numPr>
        <w:rPr>
          <w:rFonts w:asciiTheme="minorHAnsi" w:hAnsiTheme="minorHAnsi" w:cstheme="minorHAnsi"/>
        </w:rPr>
      </w:pPr>
      <w:r w:rsidRPr="00F30E4B">
        <w:rPr>
          <w:rFonts w:asciiTheme="minorHAnsi" w:hAnsiTheme="minorHAnsi" w:cstheme="minorHAnsi"/>
        </w:rPr>
        <w:t>Incorporate high-intensity interval training (HIIT) and lactate threshold training to further develop the athlete's anaerobic capacity and tolerance, which are critical for successful triathlon performance.</w:t>
      </w:r>
    </w:p>
    <w:p w14:paraId="442717A0" w14:textId="77777777" w:rsidR="00F30E4B" w:rsidRPr="00F30E4B" w:rsidRDefault="00F30E4B" w:rsidP="00F30E4B">
      <w:pPr>
        <w:pStyle w:val="NormalWeb"/>
        <w:numPr>
          <w:ilvl w:val="0"/>
          <w:numId w:val="2"/>
        </w:numPr>
        <w:rPr>
          <w:rFonts w:asciiTheme="minorHAnsi" w:hAnsiTheme="minorHAnsi" w:cstheme="minorHAnsi"/>
        </w:rPr>
      </w:pPr>
      <w:r w:rsidRPr="00F30E4B">
        <w:rPr>
          <w:rFonts w:asciiTheme="minorHAnsi" w:hAnsiTheme="minorHAnsi" w:cstheme="minorHAnsi"/>
        </w:rPr>
        <w:t>Optimize the athlete's nutrition and hydration strategies to support recovery, reduce body fat, and maintain lean muscle mass, ultimately enhancing overall physiological capabilities.</w:t>
      </w:r>
    </w:p>
    <w:p w14:paraId="2AC230D7" w14:textId="77777777" w:rsidR="00F30E4B" w:rsidRPr="00F30E4B" w:rsidRDefault="00F30E4B" w:rsidP="00F30E4B">
      <w:pPr>
        <w:pStyle w:val="NormalWeb"/>
        <w:numPr>
          <w:ilvl w:val="0"/>
          <w:numId w:val="2"/>
        </w:numPr>
        <w:rPr>
          <w:rFonts w:asciiTheme="minorHAnsi" w:hAnsiTheme="minorHAnsi" w:cstheme="minorHAnsi"/>
        </w:rPr>
      </w:pPr>
      <w:r w:rsidRPr="00F30E4B">
        <w:rPr>
          <w:rFonts w:asciiTheme="minorHAnsi" w:hAnsiTheme="minorHAnsi" w:cstheme="minorHAnsi"/>
        </w:rPr>
        <w:t>Engage in regular flexibility and mobility exercises to maintain optimal joint range of motion and reduce the risk of injury, which is particularly important for the high-volume training required in triathlon.</w:t>
      </w:r>
    </w:p>
    <w:p w14:paraId="76D8682B"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By addressing these areas, the triathlon athlete can capitalize on their existing physiological strengths and work towards maximizing their potential in the sport.</w:t>
      </w:r>
    </w:p>
    <w:p w14:paraId="67211F12" w14:textId="77777777"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Method</w:t>
      </w:r>
    </w:p>
    <w:p w14:paraId="7CB1F3A4" w14:textId="075273E6"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The testing protocols for this case study were designed to comprehensively assess the physiological capabilities of the subject, a 37-year-old male triathlete. The subject</w:t>
      </w:r>
      <w:r>
        <w:rPr>
          <w:rFonts w:asciiTheme="minorHAnsi" w:hAnsiTheme="minorHAnsi" w:cstheme="minorHAnsi"/>
        </w:rPr>
        <w:t>s</w:t>
      </w:r>
      <w:r w:rsidRPr="00F30E4B">
        <w:rPr>
          <w:rFonts w:asciiTheme="minorHAnsi" w:hAnsiTheme="minorHAnsi" w:cstheme="minorHAnsi"/>
        </w:rPr>
        <w:t xml:space="preserve"> underwent a series of standardized tests in a controlled laboratory setting to measure various parameters related to their sport-specific demands.</w:t>
      </w:r>
    </w:p>
    <w:p w14:paraId="51DCCF51"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Firstly, resting metabolic rate (RMR) was determined using indirect calorimetry, providing insight into the subject's basal energy expenditure. This was followed by a Wingate anaerobic test, which assessed the subject's peak and average power output, as well as their power drop, reflecting their anaerobic capacity and power.</w:t>
      </w:r>
    </w:p>
    <w:p w14:paraId="1F0A3044" w14:textId="013504D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lastRenderedPageBreak/>
        <w:t>To evaluate the subject's aerobic fitness, a VO2</w:t>
      </w:r>
      <w:r>
        <w:rPr>
          <w:rFonts w:asciiTheme="minorHAnsi" w:hAnsiTheme="minorHAnsi" w:cstheme="minorHAnsi"/>
        </w:rPr>
        <w:t xml:space="preserve"> </w:t>
      </w:r>
      <w:r w:rsidRPr="00F30E4B">
        <w:rPr>
          <w:rFonts w:asciiTheme="minorHAnsi" w:hAnsiTheme="minorHAnsi" w:cstheme="minorHAnsi"/>
        </w:rPr>
        <w:t>max test was conducted on a treadmill, measuring their maximal oxygen uptake. Additionally, the Yo-Yo intermittent recovery test was performed to further assess their aerobic power and endurance.</w:t>
      </w:r>
    </w:p>
    <w:p w14:paraId="64EA725F" w14:textId="3A184FB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 xml:space="preserve">Body composition was determined using skinfold measurements, providing the subject's body fat percentage. </w:t>
      </w:r>
      <w:r>
        <w:rPr>
          <w:rFonts w:asciiTheme="minorHAnsi" w:hAnsiTheme="minorHAnsi" w:cstheme="minorHAnsi"/>
        </w:rPr>
        <w:t>The m</w:t>
      </w:r>
      <w:r w:rsidRPr="00F30E4B">
        <w:rPr>
          <w:rFonts w:asciiTheme="minorHAnsi" w:hAnsiTheme="minorHAnsi" w:cstheme="minorHAnsi"/>
        </w:rPr>
        <w:t>usculoskeletal function was evaluated through a battery of tests, including vertical jump, countermovement jump, broad jump, and medicine ball throw, to assess lower-body power and explosiveness.</w:t>
      </w:r>
    </w:p>
    <w:p w14:paraId="1132A645"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Furthermore, Keiser pneumatic leg and chest press tests were performed to measure the subject's lower-body and upper-body muscle power, respectively. Sprint testing over 30 meters, with a split time at 20-30 meters, was conducted to evaluate the subject's speed and acceleration capabilities.</w:t>
      </w:r>
    </w:p>
    <w:p w14:paraId="5F214CED"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The subject's dynamic balance and postural stability were assessed using a force platform, which measured their peak power and jump height during a countermovement jump. Additional functional tests, such as push-ups, sit-ups, agility T-test, and reaction time, were included to provide a comprehensive evaluation of the subject's overall physical fitness.</w:t>
      </w:r>
    </w:p>
    <w:p w14:paraId="1B911237"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Finally, the Functional Movement Screen (FMS) was administered to identify any movement limitations or asymmetries that may impact the subject's performance or increase their risk of injury.</w:t>
      </w:r>
    </w:p>
    <w:p w14:paraId="277493F6" w14:textId="5D0A4E31"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 xml:space="preserve">The combination of these physiological tests provides a detailed and holistic assessment of the subject's physical capabilities </w:t>
      </w:r>
      <w:r>
        <w:rPr>
          <w:rFonts w:asciiTheme="minorHAnsi" w:hAnsiTheme="minorHAnsi" w:cstheme="minorHAnsi"/>
        </w:rPr>
        <w:t>to</w:t>
      </w:r>
      <w:r w:rsidRPr="00F30E4B">
        <w:rPr>
          <w:rFonts w:asciiTheme="minorHAnsi" w:hAnsiTheme="minorHAnsi" w:cstheme="minorHAnsi"/>
        </w:rPr>
        <w:t xml:space="preserve"> the demands of their chosen sport, triathlon.</w:t>
      </w:r>
    </w:p>
    <w:p w14:paraId="3E5CFEE3" w14:textId="7E15DB2D"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 xml:space="preserve">The triathlon athlete's test results reveal several key points. The athlete's VO2max and Yo-Yo VO2max are within the average range for endurance athletes, indicating well-developed aerobic capacity. However, the athlete's Wingate Anaerobic Test results suggest room for improvement in anaerobic power and muscular endurance. The athlete's body composition, with a body fat percentage of 21.3%, is within the recommended range but could be optimized further to enhance </w:t>
      </w:r>
      <w:r>
        <w:rPr>
          <w:rFonts w:asciiTheme="minorHAnsi" w:hAnsiTheme="minorHAnsi" w:cstheme="minorHAnsi"/>
        </w:rPr>
        <w:t xml:space="preserve">the </w:t>
      </w:r>
      <w:r w:rsidRPr="00F30E4B">
        <w:rPr>
          <w:rFonts w:asciiTheme="minorHAnsi" w:hAnsiTheme="minorHAnsi" w:cstheme="minorHAnsi"/>
        </w:rPr>
        <w:t>power-to-weight ratio and running economy. The athlete's lower-body power and plyometric abilities are also within the average range for endurance athletes.</w:t>
      </w:r>
    </w:p>
    <w:p w14:paraId="10AB1EFD" w14:textId="77777777"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Physiological Assessment and Recommendations for a Triathlon Athlete</w:t>
      </w:r>
    </w:p>
    <w:p w14:paraId="0FD07F31"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Body Fat Percentage: The subject's body fat percentage of 21.3% is within the healthy range for a male athlete. However, triathlon performance can benefit from a slightly lower body fat percentage, as it reduces the energy cost of carrying excess weight during endurance events. To optimize body composition, a gradual reduction in body fat, without compromising muscle mass, should be the focus. This can be achieved through a combination of structured training, periodized nutrition, and body composition monitoring.</w:t>
      </w:r>
    </w:p>
    <w:p w14:paraId="4CAC45E1" w14:textId="77777777"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Muscular Power Assessment</w:t>
      </w:r>
    </w:p>
    <w:p w14:paraId="0801A2BB"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 xml:space="preserve">The evaluation of muscular power in the subject's sport/activity involved several key tests. The vertical jump assessed their lower-body explosive power, providing insight into their </w:t>
      </w:r>
      <w:r w:rsidRPr="00F30E4B">
        <w:rPr>
          <w:rFonts w:asciiTheme="minorHAnsi" w:hAnsiTheme="minorHAnsi" w:cstheme="minorHAnsi"/>
        </w:rPr>
        <w:lastRenderedPageBreak/>
        <w:t>ability to generate high forces in a short period. The countermovement jump built upon this, adding an eccentric loading phase to further challenge the stretch-shortening cycle. The broad jump tested their horizontal power production, an important factor for explosive movements in many sports. Finally, the medicine ball throw measured their upper-body power, which is crucial for activities requiring forceful movements of the arms and trunk.</w:t>
      </w:r>
    </w:p>
    <w:p w14:paraId="41CC992E"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Together, these assessments provided a comprehensive evaluation of the subject's muscular power capabilities across different movement patterns and muscle groups. The results from these tests were then compared to normative data and the subject's peers to identify their strengths, weaknesses, and areas for improvement in power development.</w:t>
      </w:r>
    </w:p>
    <w:p w14:paraId="611D4ADB" w14:textId="77777777"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Muscular Strength Analysis</w:t>
      </w:r>
    </w:p>
    <w:p w14:paraId="3BCDA8E6"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The subject's physiological data reveals several key strengths and areas for improvement. Their exceptional power production and balanced muscular strength profile suggest a solid foundation for triathlon performance. However, the need to enhance anaerobic power and explosive capabilities through targeted training is evident. By addressing these areas, the subject can optimize their overall fitness and maximize their potential in their chosen sport.</w:t>
      </w:r>
    </w:p>
    <w:p w14:paraId="5BD54443" w14:textId="77777777"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Speed and Agility</w:t>
      </w:r>
    </w:p>
    <w:p w14:paraId="1FA8ADD6"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The 30m sprint, 20-30m split, and agility T-test provide valuable insights into an athlete's acceleration, maximal speed, and overall agility. These assessments are crucial for evaluating an individual's athletic performance capabilities, as they mimic the demands of many sports that require explosive and rapid movements. By incorporating these tests, coaches and sports scientists can gain valuable insights into an athlete's physical abilities, identify areas for improvement, and design targeted training programs to enhance their overall athletic potential.</w:t>
      </w:r>
    </w:p>
    <w:p w14:paraId="2521A902" w14:textId="77777777"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Neuromuscular Function</w:t>
      </w:r>
    </w:p>
    <w:p w14:paraId="175D8965"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The force platform data provides valuable insights into the neuromuscular capabilities of the subject. The peak power output (Force Platform PP) of 4280.75 W indicates the subject's ability to produce high levels of muscular force and power, which is crucial for activities requiring explosive movements, such as sprinting and jumping. Additionally, the force platform height of 33.11 cm suggests the subject's capacity for generating vertical force and achieving significant vertical displacement, which is essential for tasks involving jumping and change of direction.</w:t>
      </w:r>
    </w:p>
    <w:p w14:paraId="7A6CAF18" w14:textId="278635F3"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These neuromuscular characteristics align with the physiological demands of the subject's sport, triathlon, which requires a blend of endurance, power, and agility. The high peak power output and force platform height showcase the subject's potential to excel in the explosive phases of triathlon events, such as the running and cycling segments. However, it will be important to further examine the subject's overall strength, power, and endurance profile to ensure a well-rounded training program that addresses all aspects of triathlon performance.</w:t>
      </w:r>
    </w:p>
    <w:p w14:paraId="36862FE5" w14:textId="77777777"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Muscular Endurance: Push-Ups and Sit-Ups</w:t>
      </w:r>
    </w:p>
    <w:p w14:paraId="54E8278D"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lastRenderedPageBreak/>
        <w:t>Muscular endurance, the ability to perform repeated muscle contractions over an extended period, is a crucial component of physical fitness. Two key exercises that assess muscular endurance are push-ups and sit-ups. Push-ups primarily target the chest, shoulder, and triceps muscles, while sit-ups focus on the abdominal muscles. By incorporating these exercises into a comprehensive fitness routine, individuals can improve their overall muscular endurance, which is particularly beneficial for sports and activities that require sustained muscular effort, such as running, cycling, and various team sports. Regular practice of push-ups and sit-ups can enhance muscle strength, improve posture, and contribute to overall core stability, all of which are important for athletic performance and general well-being.</w:t>
      </w:r>
    </w:p>
    <w:p w14:paraId="69423160" w14:textId="77777777"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Reaction Time and Balance</w:t>
      </w:r>
    </w:p>
    <w:p w14:paraId="2B6D11F5"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Reaction time and balance are crucial physiological factors that contribute to an athlete's overall performance and safety. The reaction time, measured through various tests, reflects an individual's ability to quickly respond to a stimulus. The Balance Error Scoring System (BESS) and the Romberg test are commonly used assessments to evaluate an athlete's postural stability and balance control.</w:t>
      </w:r>
    </w:p>
    <w:p w14:paraId="1256B4EE"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The BESS test requires the athlete to maintain a set of standardized stance positions, such as double-leg, single-leg, and tandem stances, with eyes closed on both firm and foam surfaces. The examiner observes and scores any errors, such as moving the hands off the hips, opening the eyes, or stepping out of the position. The Romberg test, on the other hand, assesses an individual's ability to maintain balance with eyes open and closed, providing insights into proprioceptive and vestibular functions.</w:t>
      </w:r>
    </w:p>
    <w:p w14:paraId="2367C888"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By measuring the subject's reaction time and balance, we can gain insights into their neuromuscular coordination, sensory integration, and postural control. These assessments can help identify areas for improvement and guide targeted training to enhance performance and reduce injury risk.</w:t>
      </w:r>
    </w:p>
    <w:p w14:paraId="5F84DA7A" w14:textId="77777777"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Flexibility: Sit and Reach</w:t>
      </w:r>
    </w:p>
    <w:p w14:paraId="06BE68B2" w14:textId="48F22FCA"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 xml:space="preserve">The sit and reach test </w:t>
      </w:r>
      <w:proofErr w:type="gramStart"/>
      <w:r w:rsidRPr="00F30E4B">
        <w:rPr>
          <w:rFonts w:asciiTheme="minorHAnsi" w:hAnsiTheme="minorHAnsi" w:cstheme="minorHAnsi"/>
        </w:rPr>
        <w:t>is</w:t>
      </w:r>
      <w:proofErr w:type="gramEnd"/>
      <w:r w:rsidRPr="00F30E4B">
        <w:rPr>
          <w:rFonts w:asciiTheme="minorHAnsi" w:hAnsiTheme="minorHAnsi" w:cstheme="minorHAnsi"/>
        </w:rPr>
        <w:t xml:space="preserve"> a common measure of flexibility, particularly targeting the hamstring and lower back muscles. Subject 1, a 37-year-old male triathlete, achieved a sit</w:t>
      </w:r>
      <w:r>
        <w:rPr>
          <w:rFonts w:asciiTheme="minorHAnsi" w:hAnsiTheme="minorHAnsi" w:cstheme="minorHAnsi"/>
        </w:rPr>
        <w:t>-and-</w:t>
      </w:r>
      <w:r w:rsidRPr="00F30E4B">
        <w:rPr>
          <w:rFonts w:asciiTheme="minorHAnsi" w:hAnsiTheme="minorHAnsi" w:cstheme="minorHAnsi"/>
        </w:rPr>
        <w:t xml:space="preserve">reach score of 25 cm. This result places him within the average range for his age and gender, indicating that his lower body flexibility is adequate for his sport. However, to maximize his potential in triathlon, which requires a high degree of mobility and range of motion, he should focus on improving his flexibility through targeted stretching and mobility exercises. Specific drills targeting the hamstrings, hip flexors, and lower back musculature would be beneficial to enhance his overall flexibility and range of movement. By improving his sit and reach score, Subject 1 can enhance his ability to maintain proper form and technique during the swim, bike, and run components of </w:t>
      </w:r>
      <w:r>
        <w:rPr>
          <w:rFonts w:asciiTheme="minorHAnsi" w:hAnsiTheme="minorHAnsi" w:cstheme="minorHAnsi"/>
        </w:rPr>
        <w:t xml:space="preserve">the </w:t>
      </w:r>
      <w:r w:rsidRPr="00F30E4B">
        <w:rPr>
          <w:rFonts w:asciiTheme="minorHAnsi" w:hAnsiTheme="minorHAnsi" w:cstheme="minorHAnsi"/>
        </w:rPr>
        <w:t>triathlon, ultimately leading to improved performance and reduced risk of injury.</w:t>
      </w:r>
    </w:p>
    <w:p w14:paraId="51C31721" w14:textId="77777777"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Functional Movement Screening (FMS)</w:t>
      </w:r>
    </w:p>
    <w:p w14:paraId="445B3C1B"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lastRenderedPageBreak/>
        <w:t>The Functional Movement Screen (FMS) is a comprehensive assessment tool used to evaluate an individual's movement patterns, mobility, and stability. This screening process is particularly valuable in identifying potential areas of concern or limitations that may impact an athlete's performance and increase their risk of injury. By assessing fundamental movement patterns, such as squatting, lunging, and reaching, the FMS provides insight into the subject's neuromuscular coordination, flexibility, and overall movement competency.</w:t>
      </w:r>
    </w:p>
    <w:p w14:paraId="7B1DBFF5"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During the FMS, the subject is asked to perform a series of seven movement tests, each scored on a scale of 0 to 3, with 3 representing the highest level of proficiency. The cumulative FMS score, ranging from 0 to 21, serves as an indicator of the subject's overall movement quality. By comparing the subject's FMS score to normative data and identifying any asymmetries or deficiencies, the practitioner can develop a targeted intervention program to address the subject's specific movement limitations and improve their functional abilities.</w:t>
      </w:r>
    </w:p>
    <w:p w14:paraId="3F5A0647" w14:textId="06A36152"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Implementing the FMS as part of the overall assessment process provides valuable insights into the subject's movement patterns and helps guide the development of a comprehensive training plan. By addressing any identified movement limitations through corrective exercises and mobility work, the subject can enhance their movement efficiency, reduce the risk of injury, and optimi</w:t>
      </w:r>
      <w:r>
        <w:rPr>
          <w:rFonts w:asciiTheme="minorHAnsi" w:hAnsiTheme="minorHAnsi" w:cstheme="minorHAnsi"/>
        </w:rPr>
        <w:t>s</w:t>
      </w:r>
      <w:r w:rsidRPr="00F30E4B">
        <w:rPr>
          <w:rFonts w:asciiTheme="minorHAnsi" w:hAnsiTheme="minorHAnsi" w:cstheme="minorHAnsi"/>
        </w:rPr>
        <w:t>e their performance in their chosen sport or activity.</w:t>
      </w:r>
    </w:p>
    <w:p w14:paraId="7BAF9766" w14:textId="77777777" w:rsidR="00F30E4B" w:rsidRPr="00F30E4B" w:rsidRDefault="00F30E4B" w:rsidP="00F30E4B">
      <w:pPr>
        <w:pStyle w:val="Heading3"/>
        <w:rPr>
          <w:rFonts w:asciiTheme="minorHAnsi" w:hAnsiTheme="minorHAnsi" w:cstheme="minorHAnsi"/>
          <w:sz w:val="24"/>
          <w:szCs w:val="24"/>
        </w:rPr>
      </w:pPr>
      <w:r w:rsidRPr="00F30E4B">
        <w:rPr>
          <w:rFonts w:asciiTheme="minorHAnsi" w:hAnsiTheme="minorHAnsi" w:cstheme="minorHAnsi"/>
          <w:sz w:val="24"/>
          <w:szCs w:val="24"/>
        </w:rPr>
        <w:t>Discussion and Conclusions</w:t>
      </w:r>
    </w:p>
    <w:p w14:paraId="1A501A72"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The physiological demands of triathlon require a well-rounded athlete with exceptional endurance, power, and overall fitness. The subject's testing results indicate both strengths and weaknesses that need to be addressed to maximize their potential.</w:t>
      </w:r>
    </w:p>
    <w:p w14:paraId="0E133A98" w14:textId="6B4CFB8D"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The subject's VO2</w:t>
      </w:r>
      <w:r>
        <w:rPr>
          <w:rFonts w:asciiTheme="minorHAnsi" w:hAnsiTheme="minorHAnsi" w:cstheme="minorHAnsi"/>
        </w:rPr>
        <w:t xml:space="preserve"> </w:t>
      </w:r>
      <w:r w:rsidRPr="00F30E4B">
        <w:rPr>
          <w:rFonts w:asciiTheme="minorHAnsi" w:hAnsiTheme="minorHAnsi" w:cstheme="minorHAnsi"/>
        </w:rPr>
        <w:t>max of 44.1 ml/kg/min and Yo-Yo VO2</w:t>
      </w:r>
      <w:r>
        <w:rPr>
          <w:rFonts w:asciiTheme="minorHAnsi" w:hAnsiTheme="minorHAnsi" w:cstheme="minorHAnsi"/>
        </w:rPr>
        <w:t xml:space="preserve"> </w:t>
      </w:r>
      <w:r w:rsidRPr="00F30E4B">
        <w:rPr>
          <w:rFonts w:asciiTheme="minorHAnsi" w:hAnsiTheme="minorHAnsi" w:cstheme="minorHAnsi"/>
        </w:rPr>
        <w:t>max of 38.2 ml/kg/min suggest a high aerobic capacity, which is crucial for endurance events in triathlon. However, their Wingate Anaerobic Test (</w:t>
      </w:r>
      <w:proofErr w:type="spellStart"/>
      <w:r w:rsidRPr="00F30E4B">
        <w:rPr>
          <w:rFonts w:asciiTheme="minorHAnsi" w:hAnsiTheme="minorHAnsi" w:cstheme="minorHAnsi"/>
        </w:rPr>
        <w:t>WAnT</w:t>
      </w:r>
      <w:proofErr w:type="spellEnd"/>
      <w:r w:rsidRPr="00F30E4B">
        <w:rPr>
          <w:rFonts w:asciiTheme="minorHAnsi" w:hAnsiTheme="minorHAnsi" w:cstheme="minorHAnsi"/>
        </w:rPr>
        <w:t>) results show a peak power output (PP) of 11.9 W/kg and an average power (AP) of 8.2 W/kg, indicating a need to improve their anaerobic power and capacity. This is further supported by their relatively low Keiser Leg Power output of 832 W, which is important for explosive movements in triathlon.</w:t>
      </w:r>
    </w:p>
    <w:p w14:paraId="12BB8F05" w14:textId="5E936F93"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 xml:space="preserve">To address these weaknesses, the subject should incorporate more high-intensity interval training (HIIT) and resistance training into their program. HIIT sessions targeting both aerobic and anaerobic systems, such as repeated sprint intervals and hill repeats, can help improve their overall power output. Resistance training focused on the lower body, including compound exercises like squats and deadlifts, can enhance the subject's muscular strength and power, which will translate to improved performance in the cycling and running components of </w:t>
      </w:r>
      <w:r>
        <w:rPr>
          <w:rFonts w:asciiTheme="minorHAnsi" w:hAnsiTheme="minorHAnsi" w:cstheme="minorHAnsi"/>
        </w:rPr>
        <w:t xml:space="preserve">the </w:t>
      </w:r>
      <w:r w:rsidRPr="00F30E4B">
        <w:rPr>
          <w:rFonts w:asciiTheme="minorHAnsi" w:hAnsiTheme="minorHAnsi" w:cstheme="minorHAnsi"/>
        </w:rPr>
        <w:t>triathlon.</w:t>
      </w:r>
    </w:p>
    <w:p w14:paraId="406A7654" w14:textId="10BA563E"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 xml:space="preserve">Additionally, the subject's body composition, with a body fat percentage of 21.3%, is within the recommended range for triathletes. However, maintaining a lean physique through a balanced diet and strategic training can further optimize their power-to-weight ratio, </w:t>
      </w:r>
      <w:r>
        <w:rPr>
          <w:rFonts w:asciiTheme="minorHAnsi" w:hAnsiTheme="minorHAnsi" w:cstheme="minorHAnsi"/>
        </w:rPr>
        <w:t>enhancing</w:t>
      </w:r>
      <w:r w:rsidRPr="00F30E4B">
        <w:rPr>
          <w:rFonts w:asciiTheme="minorHAnsi" w:hAnsiTheme="minorHAnsi" w:cstheme="minorHAnsi"/>
        </w:rPr>
        <w:t xml:space="preserve"> performance.</w:t>
      </w:r>
    </w:p>
    <w:p w14:paraId="4F4A413E"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lastRenderedPageBreak/>
        <w:t>In conclusion, the subject's strengths in aerobic capacity and overall fitness provide a solid foundation for triathlon success. By addressing their weaknesses in anaerobic power and explosive strength through targeted training and nutrition, the subject can maximize their potential and become a more well-rounded triathlete.</w:t>
      </w:r>
    </w:p>
    <w:p w14:paraId="6EB5C15C"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References</w:t>
      </w:r>
    </w:p>
    <w:p w14:paraId="4DC7DE75" w14:textId="578B3122"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American College of Sports Medicine. (2018) ACSM's Guidelines for Exercise Testing and Prescription. 10th ed. Philadelphia: Wolters Kluwer.</w:t>
      </w:r>
    </w:p>
    <w:p w14:paraId="07AE080C" w14:textId="77777777" w:rsidR="00F30E4B" w:rsidRPr="00F30E4B" w:rsidRDefault="00F30E4B" w:rsidP="00F30E4B">
      <w:pPr>
        <w:pStyle w:val="NormalWeb"/>
        <w:rPr>
          <w:rFonts w:asciiTheme="minorHAnsi" w:hAnsiTheme="minorHAnsi" w:cstheme="minorHAnsi"/>
        </w:rPr>
      </w:pPr>
      <w:r w:rsidRPr="00F30E4B">
        <w:rPr>
          <w:rFonts w:asciiTheme="minorHAnsi" w:hAnsiTheme="minorHAnsi" w:cstheme="minorHAnsi"/>
        </w:rPr>
        <w:t xml:space="preserve">Blagrove, R. C., </w:t>
      </w:r>
      <w:proofErr w:type="spellStart"/>
      <w:r w:rsidRPr="00F30E4B">
        <w:rPr>
          <w:rFonts w:asciiTheme="minorHAnsi" w:hAnsiTheme="minorHAnsi" w:cstheme="minorHAnsi"/>
        </w:rPr>
        <w:t>Howatson</w:t>
      </w:r>
      <w:proofErr w:type="spellEnd"/>
      <w:r w:rsidRPr="00F30E4B">
        <w:rPr>
          <w:rFonts w:asciiTheme="minorHAnsi" w:hAnsiTheme="minorHAnsi" w:cstheme="minorHAnsi"/>
        </w:rPr>
        <w:t xml:space="preserve">, G. and Hayes, P. R. (2018) 'Effects of strength training on the physiological determinants of middle- and long-distance running performance: a systematic review', Sports Medicine, 48(5), pp. 1117-1149. </w:t>
      </w:r>
      <w:proofErr w:type="spellStart"/>
      <w:r w:rsidRPr="00F30E4B">
        <w:rPr>
          <w:rFonts w:asciiTheme="minorHAnsi" w:hAnsiTheme="minorHAnsi" w:cstheme="minorHAnsi"/>
        </w:rPr>
        <w:t>doi</w:t>
      </w:r>
      <w:proofErr w:type="spellEnd"/>
      <w:r w:rsidRPr="00F30E4B">
        <w:rPr>
          <w:rFonts w:asciiTheme="minorHAnsi" w:hAnsiTheme="minorHAnsi" w:cstheme="minorHAnsi"/>
        </w:rPr>
        <w:t>: 10.1007/s40279-018-0874-4.</w:t>
      </w:r>
    </w:p>
    <w:p w14:paraId="3A776A29" w14:textId="77777777" w:rsidR="00F30E4B" w:rsidRPr="00F30E4B" w:rsidRDefault="00F30E4B" w:rsidP="00F30E4B">
      <w:pPr>
        <w:pStyle w:val="NormalWeb"/>
        <w:rPr>
          <w:rFonts w:asciiTheme="minorHAnsi" w:hAnsiTheme="minorHAnsi" w:cstheme="minorHAnsi"/>
        </w:rPr>
      </w:pPr>
      <w:proofErr w:type="spellStart"/>
      <w:r w:rsidRPr="00F30E4B">
        <w:rPr>
          <w:rFonts w:asciiTheme="minorHAnsi" w:hAnsiTheme="minorHAnsi" w:cstheme="minorHAnsi"/>
        </w:rPr>
        <w:t>Mujika</w:t>
      </w:r>
      <w:proofErr w:type="spellEnd"/>
      <w:r w:rsidRPr="00F30E4B">
        <w:rPr>
          <w:rFonts w:asciiTheme="minorHAnsi" w:hAnsiTheme="minorHAnsi" w:cstheme="minorHAnsi"/>
        </w:rPr>
        <w:t xml:space="preserve">, I. and </w:t>
      </w:r>
      <w:proofErr w:type="spellStart"/>
      <w:r w:rsidRPr="00F30E4B">
        <w:rPr>
          <w:rFonts w:asciiTheme="minorHAnsi" w:hAnsiTheme="minorHAnsi" w:cstheme="minorHAnsi"/>
        </w:rPr>
        <w:t>Rønnestad</w:t>
      </w:r>
      <w:proofErr w:type="spellEnd"/>
      <w:r w:rsidRPr="00F30E4B">
        <w:rPr>
          <w:rFonts w:asciiTheme="minorHAnsi" w:hAnsiTheme="minorHAnsi" w:cstheme="minorHAnsi"/>
        </w:rPr>
        <w:t xml:space="preserve">, B. R. (2016) 'Functional overreaching and intentional overreaching for improved running performance', International Journal of Sports Physiology and Performance, 11(2), pp. 259-267. </w:t>
      </w:r>
      <w:proofErr w:type="spellStart"/>
      <w:r w:rsidRPr="00F30E4B">
        <w:rPr>
          <w:rFonts w:asciiTheme="minorHAnsi" w:hAnsiTheme="minorHAnsi" w:cstheme="minorHAnsi"/>
        </w:rPr>
        <w:t>doi</w:t>
      </w:r>
      <w:proofErr w:type="spellEnd"/>
      <w:r w:rsidRPr="00F30E4B">
        <w:rPr>
          <w:rFonts w:asciiTheme="minorHAnsi" w:hAnsiTheme="minorHAnsi" w:cstheme="minorHAnsi"/>
        </w:rPr>
        <w:t>: 10.1123/ijspp.2015-0316.</w:t>
      </w:r>
    </w:p>
    <w:p w14:paraId="12306A68" w14:textId="2B90AEBB" w:rsidR="00F30E4B" w:rsidRPr="00F30E4B" w:rsidRDefault="00F30E4B" w:rsidP="00F30E4B">
      <w:pPr>
        <w:pStyle w:val="NormalWeb"/>
        <w:rPr>
          <w:rFonts w:asciiTheme="minorHAnsi" w:hAnsiTheme="minorHAnsi" w:cstheme="minorHAnsi"/>
        </w:rPr>
      </w:pPr>
      <w:proofErr w:type="spellStart"/>
      <w:r w:rsidRPr="00F30E4B">
        <w:rPr>
          <w:rFonts w:asciiTheme="minorHAnsi" w:hAnsiTheme="minorHAnsi" w:cstheme="minorHAnsi"/>
        </w:rPr>
        <w:t>Tønnessen</w:t>
      </w:r>
      <w:proofErr w:type="spellEnd"/>
      <w:r w:rsidRPr="00F30E4B">
        <w:rPr>
          <w:rFonts w:asciiTheme="minorHAnsi" w:hAnsiTheme="minorHAnsi" w:cstheme="minorHAnsi"/>
        </w:rPr>
        <w:t xml:space="preserve">, E. et al. (2015) 'The road to gold: training and peaking characteristics in the year </w:t>
      </w:r>
      <w:r>
        <w:rPr>
          <w:rFonts w:asciiTheme="minorHAnsi" w:hAnsiTheme="minorHAnsi" w:cstheme="minorHAnsi"/>
        </w:rPr>
        <w:t>before</w:t>
      </w:r>
      <w:r w:rsidRPr="00F30E4B">
        <w:rPr>
          <w:rFonts w:asciiTheme="minorHAnsi" w:hAnsiTheme="minorHAnsi" w:cstheme="minorHAnsi"/>
        </w:rPr>
        <w:t xml:space="preserve"> a gold medal endurance performance', </w:t>
      </w:r>
      <w:proofErr w:type="spellStart"/>
      <w:r w:rsidRPr="00F30E4B">
        <w:rPr>
          <w:rFonts w:asciiTheme="minorHAnsi" w:hAnsiTheme="minorHAnsi" w:cstheme="minorHAnsi"/>
        </w:rPr>
        <w:t>PLoS</w:t>
      </w:r>
      <w:proofErr w:type="spellEnd"/>
      <w:r w:rsidRPr="00F30E4B">
        <w:rPr>
          <w:rFonts w:asciiTheme="minorHAnsi" w:hAnsiTheme="minorHAnsi" w:cstheme="minorHAnsi"/>
        </w:rPr>
        <w:t xml:space="preserve"> ONE, 10(9), e0139281. </w:t>
      </w:r>
      <w:proofErr w:type="spellStart"/>
      <w:r w:rsidRPr="00F30E4B">
        <w:rPr>
          <w:rFonts w:asciiTheme="minorHAnsi" w:hAnsiTheme="minorHAnsi" w:cstheme="minorHAnsi"/>
        </w:rPr>
        <w:t>doi</w:t>
      </w:r>
      <w:proofErr w:type="spellEnd"/>
      <w:r w:rsidRPr="00F30E4B">
        <w:rPr>
          <w:rFonts w:asciiTheme="minorHAnsi" w:hAnsiTheme="minorHAnsi" w:cstheme="minorHAnsi"/>
        </w:rPr>
        <w:t>: 10.1371/journal.pone.0139281.</w:t>
      </w:r>
    </w:p>
    <w:p w14:paraId="666EE481" w14:textId="77777777" w:rsidR="00F30E4B" w:rsidRPr="00F30E4B" w:rsidRDefault="00F30E4B" w:rsidP="00F30E4B">
      <w:pPr>
        <w:pStyle w:val="NormalWeb"/>
        <w:rPr>
          <w:rFonts w:asciiTheme="minorHAnsi" w:hAnsiTheme="minorHAnsi" w:cstheme="minorHAnsi"/>
        </w:rPr>
      </w:pPr>
      <w:proofErr w:type="spellStart"/>
      <w:r w:rsidRPr="00F30E4B">
        <w:rPr>
          <w:rFonts w:asciiTheme="minorHAnsi" w:hAnsiTheme="minorHAnsi" w:cstheme="minorHAnsi"/>
        </w:rPr>
        <w:t>Zaryski</w:t>
      </w:r>
      <w:proofErr w:type="spellEnd"/>
      <w:r w:rsidRPr="00F30E4B">
        <w:rPr>
          <w:rFonts w:asciiTheme="minorHAnsi" w:hAnsiTheme="minorHAnsi" w:cstheme="minorHAnsi"/>
        </w:rPr>
        <w:t xml:space="preserve">, C. and Smith, D. J. (2005) 'Training principles and issues for ultra-endurance athletes', Current Sports Medicine Reports, 4(3), pp. 165-170. </w:t>
      </w:r>
      <w:proofErr w:type="spellStart"/>
      <w:r w:rsidRPr="00F30E4B">
        <w:rPr>
          <w:rFonts w:asciiTheme="minorHAnsi" w:hAnsiTheme="minorHAnsi" w:cstheme="minorHAnsi"/>
        </w:rPr>
        <w:t>doi</w:t>
      </w:r>
      <w:proofErr w:type="spellEnd"/>
      <w:r w:rsidRPr="00F30E4B">
        <w:rPr>
          <w:rFonts w:asciiTheme="minorHAnsi" w:hAnsiTheme="minorHAnsi" w:cstheme="minorHAnsi"/>
        </w:rPr>
        <w:t>: 10.1097/01.CSMR.0000306201.49315.73.</w:t>
      </w:r>
    </w:p>
    <w:p w14:paraId="54401F36" w14:textId="77777777" w:rsidR="001764E8" w:rsidRPr="00493906" w:rsidRDefault="00000000" w:rsidP="00493906">
      <w:pPr>
        <w:spacing w:line="276" w:lineRule="auto"/>
      </w:pPr>
    </w:p>
    <w:sectPr w:rsidR="001764E8" w:rsidRPr="004939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5A7BAF"/>
    <w:multiLevelType w:val="multilevel"/>
    <w:tmpl w:val="982A2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4B4743"/>
    <w:multiLevelType w:val="multilevel"/>
    <w:tmpl w:val="39B42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6155343">
    <w:abstractNumId w:val="1"/>
  </w:num>
  <w:num w:numId="2" w16cid:durableId="244581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906"/>
    <w:rsid w:val="000F21D5"/>
    <w:rsid w:val="00493906"/>
    <w:rsid w:val="005B3C16"/>
    <w:rsid w:val="009D7752"/>
    <w:rsid w:val="009F4125"/>
    <w:rsid w:val="00F30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342441"/>
  <w15:chartTrackingRefBased/>
  <w15:docId w15:val="{6DAE2377-D02A-124B-8F03-40F2AEB34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93906"/>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9390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93906"/>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51002">
      <w:bodyDiv w:val="1"/>
      <w:marLeft w:val="0"/>
      <w:marRight w:val="0"/>
      <w:marTop w:val="0"/>
      <w:marBottom w:val="0"/>
      <w:divBdr>
        <w:top w:val="none" w:sz="0" w:space="0" w:color="auto"/>
        <w:left w:val="none" w:sz="0" w:space="0" w:color="auto"/>
        <w:bottom w:val="none" w:sz="0" w:space="0" w:color="auto"/>
        <w:right w:val="none" w:sz="0" w:space="0" w:color="auto"/>
      </w:divBdr>
    </w:div>
    <w:div w:id="70000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2400</Words>
  <Characters>13685</Characters>
  <Application>Microsoft Office Word</Application>
  <DocSecurity>0</DocSecurity>
  <Lines>114</Lines>
  <Paragraphs>32</Paragraphs>
  <ScaleCrop>false</ScaleCrop>
  <Company/>
  <LinksUpToDate>false</LinksUpToDate>
  <CharactersWithSpaces>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butcher</dc:creator>
  <cp:keywords/>
  <dc:description/>
  <cp:lastModifiedBy>harry butcher</cp:lastModifiedBy>
  <cp:revision>3</cp:revision>
  <dcterms:created xsi:type="dcterms:W3CDTF">2024-05-03T11:14:00Z</dcterms:created>
  <dcterms:modified xsi:type="dcterms:W3CDTF">2024-05-03T11:44:00Z</dcterms:modified>
</cp:coreProperties>
</file>