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DFFDB1F" w:rsidP="53436BF3" w:rsidRDefault="7DFFDB1F" w14:paraId="5D5EF8A6" w14:textId="0DC4F88E">
      <w:pPr>
        <w:keepNext w:val="0"/>
        <w:keepLines w:val="0"/>
        <w:spacing w:before="120" w:beforeAutospacing="off" w:after="120" w:afterAutospacing="off" w:line="360" w:lineRule="auto"/>
        <w:jc w:val="left"/>
        <w:rPr>
          <w:b w:val="0"/>
          <w:bCs w:val="0"/>
          <w:noProof w:val="0"/>
          <w:color w:val="000000" w:themeColor="text1" w:themeTint="FF" w:themeShade="FF"/>
          <w:sz w:val="24"/>
          <w:szCs w:val="24"/>
          <w:lang w:val="en-GB"/>
        </w:rPr>
      </w:pPr>
      <w:r w:rsidRPr="53436BF3" w:rsidR="7C9F6681">
        <w:rPr>
          <w:b w:val="0"/>
          <w:bCs w:val="0"/>
          <w:noProof w:val="0"/>
          <w:color w:val="000000" w:themeColor="text1" w:themeTint="FF" w:themeShade="FF"/>
          <w:sz w:val="24"/>
          <w:szCs w:val="24"/>
          <w:lang w:val="en-GB"/>
        </w:rPr>
        <w:t>Delayed hospital discharge, often called bed blocking, happens when patients stay in the hospital even though they are well enough to leave. This usually happens because there is not enough care or help available after they leave the hospital. By 2026, this problem will be one of the UK Health and Social Care system's biggest challenges. Researchers have examined this problem across different healthcare settings and found that it leads to underutili</w:t>
      </w:r>
      <w:r w:rsidRPr="53436BF3" w:rsidR="5491236E">
        <w:rPr>
          <w:b w:val="0"/>
          <w:bCs w:val="0"/>
          <w:noProof w:val="0"/>
          <w:color w:val="000000" w:themeColor="text1" w:themeTint="FF" w:themeShade="FF"/>
          <w:sz w:val="24"/>
          <w:szCs w:val="24"/>
          <w:lang w:val="en-GB"/>
        </w:rPr>
        <w:t>s</w:t>
      </w:r>
      <w:r w:rsidRPr="53436BF3" w:rsidR="7C9F6681">
        <w:rPr>
          <w:b w:val="0"/>
          <w:bCs w:val="0"/>
          <w:noProof w:val="0"/>
          <w:color w:val="000000" w:themeColor="text1" w:themeTint="FF" w:themeShade="FF"/>
          <w:sz w:val="24"/>
          <w:szCs w:val="24"/>
          <w:lang w:val="en-GB"/>
        </w:rPr>
        <w:t xml:space="preserve">ed hospital beds and higher healthcare costs. Older age is a common reason for bed blocking. Older patients often need to stay longer in the hospital because they need more help and long-term care plans. (Benson, R. et al., 2006). This essay explains why people sometimes must stay in the hospital longer than necessary because there are not enough social care services. These delays affect not only the people using the services but also healthcare workers and the entire health and social care system. This essay will examine how these delays affect the service, the people who use it, and the wider sector. </w:t>
      </w:r>
    </w:p>
    <w:p w:rsidR="7DFFDB1F" w:rsidP="53436BF3" w:rsidRDefault="7DFFDB1F" w14:paraId="38C81711" w14:textId="670A2888">
      <w:pPr>
        <w:keepNext w:val="0"/>
        <w:keepLines w:val="0"/>
        <w:spacing w:before="120" w:beforeAutospacing="off" w:after="120" w:afterAutospacing="off" w:line="360" w:lineRule="auto"/>
        <w:jc w:val="left"/>
        <w:rPr>
          <w:b w:val="0"/>
          <w:bCs w:val="0"/>
          <w:noProof w:val="0"/>
          <w:color w:val="000000" w:themeColor="text1" w:themeTint="FF" w:themeShade="FF"/>
          <w:sz w:val="24"/>
          <w:szCs w:val="24"/>
          <w:lang w:val="en-GB"/>
        </w:rPr>
      </w:pPr>
      <w:r w:rsidRPr="53436BF3" w:rsidR="7C9F6681">
        <w:rPr>
          <w:b w:val="0"/>
          <w:bCs w:val="0"/>
          <w:noProof w:val="0"/>
          <w:color w:val="000000" w:themeColor="text1" w:themeTint="FF" w:themeShade="FF"/>
          <w:sz w:val="24"/>
          <w:szCs w:val="24"/>
          <w:lang w:val="en-GB"/>
        </w:rPr>
        <w:t xml:space="preserve">CQC (2024) says the main reason people stayed in hospital for over 14 days was that it took too long to get recovery or support services, affecting 26% of patients. The 2025 GP Patient Survey showed that 6.6% of people went to A&amp;E because they could not reach their GP or did not know what to do next. This number was 4 percentage points higher for people living in the poorest areas. In 2024/25, many people still had to wait a long time for mental health care and often could not get help when they needed it. Each month, an average of 453,930 new requests for mental health services were made, which is 15% more than in 2022/23. A third of people (33%) who took part in our community mental health survey said they waited three months or longer. The need for urgent and emergency care is still high, and people are using these services in new ways. In 2024/25, fewer people called NHS 111, but more called for ambulances, and more cases were handled over the phone. More people are also seeking all types of urgent and emergency care, especially for certain conditions and minor injuries. Patients still </w:t>
      </w:r>
      <w:r w:rsidRPr="53436BF3" w:rsidR="7C9F6681">
        <w:rPr>
          <w:b w:val="0"/>
          <w:bCs w:val="0"/>
          <w:noProof w:val="0"/>
          <w:color w:val="000000" w:themeColor="text1" w:themeTint="FF" w:themeShade="FF"/>
          <w:sz w:val="24"/>
          <w:szCs w:val="24"/>
          <w:lang w:val="en-GB"/>
        </w:rPr>
        <w:t>have to</w:t>
      </w:r>
      <w:r w:rsidRPr="53436BF3" w:rsidR="7C9F6681">
        <w:rPr>
          <w:b w:val="0"/>
          <w:bCs w:val="0"/>
          <w:noProof w:val="0"/>
          <w:color w:val="000000" w:themeColor="text1" w:themeTint="FF" w:themeShade="FF"/>
          <w:sz w:val="24"/>
          <w:szCs w:val="24"/>
          <w:lang w:val="en-GB"/>
        </w:rPr>
        <w:t xml:space="preserve"> wait a long time in A&amp;E. In 2024/25, 1,809,000 people waited more than 12 hours from arrival to admission, transfer, or discharge. This is 169,000 people, or 10%, more than in 2023/24. </w:t>
      </w:r>
    </w:p>
    <w:p w:rsidR="7DFFDB1F" w:rsidP="53436BF3" w:rsidRDefault="7DFFDB1F" w14:paraId="7CACF805" w14:textId="5DB74D9C">
      <w:pPr>
        <w:keepNext w:val="0"/>
        <w:keepLines w:val="0"/>
        <w:spacing w:before="120" w:beforeAutospacing="off" w:after="120" w:afterAutospacing="off" w:line="360" w:lineRule="auto"/>
        <w:jc w:val="left"/>
        <w:rPr>
          <w:b w:val="0"/>
          <w:bCs w:val="0"/>
          <w:noProof w:val="0"/>
          <w:color w:val="000000" w:themeColor="text1" w:themeTint="FF" w:themeShade="FF"/>
          <w:sz w:val="24"/>
          <w:szCs w:val="24"/>
          <w:lang w:val="en-GB"/>
        </w:rPr>
      </w:pPr>
      <w:r w:rsidRPr="53436BF3" w:rsidR="7C9F6681">
        <w:rPr>
          <w:b w:val="0"/>
          <w:bCs w:val="0"/>
          <w:noProof w:val="0"/>
          <w:color w:val="000000" w:themeColor="text1" w:themeTint="FF" w:themeShade="FF"/>
          <w:sz w:val="24"/>
          <w:szCs w:val="24"/>
          <w:lang w:val="en-GB"/>
        </w:rPr>
        <w:t xml:space="preserve">In The Impact of Delayed Hospital Discharge on the Service (NHS and Social Care Providers), Christ and Ginger (2022) explain that delayed hospital discharges often happen because there is not enough social care, which makes it difficult for patients to move from hospitals to the right post-acute care. Even when patients are ready to leave, they sometimes must stay in the hospital because services like nursing care, rehabilitation, or assisted living are not available. This leads to longer hospital stays, higher healthcare costs, and fewer beds for new patients. Staffing shortages at these facilities make the situation worse because they cannot admit new patients. To solve these problems, more government support is needed, from funding to better training for social care workers. </w:t>
      </w:r>
    </w:p>
    <w:p w:rsidR="7DFFDB1F" w:rsidP="53436BF3" w:rsidRDefault="7DFFDB1F" w14:paraId="142E9A10" w14:textId="6F0874FE">
      <w:pPr>
        <w:keepNext w:val="0"/>
        <w:keepLines w:val="0"/>
        <w:spacing w:before="120" w:beforeAutospacing="off" w:after="120" w:afterAutospacing="off" w:line="360" w:lineRule="auto"/>
        <w:jc w:val="left"/>
        <w:rPr>
          <w:b w:val="0"/>
          <w:bCs w:val="0"/>
          <w:noProof w:val="0"/>
          <w:color w:val="000000" w:themeColor="text1" w:themeTint="FF" w:themeShade="FF"/>
          <w:sz w:val="24"/>
          <w:szCs w:val="24"/>
          <w:lang w:val="en-GB"/>
        </w:rPr>
      </w:pPr>
      <w:r w:rsidRPr="53436BF3" w:rsidR="7C9F6681">
        <w:rPr>
          <w:b w:val="0"/>
          <w:bCs w:val="0"/>
          <w:noProof w:val="0"/>
          <w:color w:val="000000" w:themeColor="text1" w:themeTint="FF" w:themeShade="FF"/>
          <w:sz w:val="24"/>
          <w:szCs w:val="24"/>
          <w:lang w:val="en-GB"/>
        </w:rPr>
        <w:t xml:space="preserve">The Nuffield Trust reports that daily delayed discharges increased from 8,545 in June 2021 to 9,933 in June 2025, with a peak of 14,096 in January 2024. This trend reflects what is happening across the NHS. Delayed discharges have been a persistent issue, especially for older patients, and are estimated to cost the NHS £820 million each year (Allen, Daniel 2016). </w:t>
      </w:r>
    </w:p>
    <w:p w:rsidR="7DFFDB1F" w:rsidP="53436BF3" w:rsidRDefault="7DFFDB1F" w14:paraId="0430DFCA" w14:textId="225F9448">
      <w:pPr>
        <w:keepNext w:val="0"/>
        <w:keepLines w:val="0"/>
        <w:spacing w:before="120" w:beforeAutospacing="off" w:after="120" w:afterAutospacing="off" w:line="360" w:lineRule="auto"/>
        <w:jc w:val="left"/>
        <w:rPr>
          <w:b w:val="0"/>
          <w:bCs w:val="0"/>
          <w:noProof w:val="0"/>
          <w:color w:val="000000" w:themeColor="text1" w:themeTint="FF" w:themeShade="FF"/>
          <w:sz w:val="24"/>
          <w:szCs w:val="24"/>
          <w:lang w:val="en-GB"/>
        </w:rPr>
      </w:pPr>
      <w:r w:rsidRPr="53436BF3" w:rsidR="7C9F6681">
        <w:rPr>
          <w:b w:val="0"/>
          <w:bCs w:val="0"/>
          <w:noProof w:val="0"/>
          <w:color w:val="000000" w:themeColor="text1" w:themeTint="FF" w:themeShade="FF"/>
          <w:sz w:val="24"/>
          <w:szCs w:val="24"/>
          <w:lang w:val="en-GB"/>
        </w:rPr>
        <w:t xml:space="preserve">Mann (2016) says that poor coordination between health and social care services also causes delays in patient discharges. Differences in how organisations work and a lack of teamwork between hospitals, community health providers, and social care agencies make the process less efficient and can create tension. Many frontline staff feel unable to fix these bigger problems, which shows the need for better teamwork and planning to help patients leave the hospital more smoothly. </w:t>
      </w:r>
    </w:p>
    <w:p w:rsidR="7DFFDB1F" w:rsidP="53436BF3" w:rsidRDefault="7DFFDB1F" w14:paraId="5D2C91C0" w14:textId="43A5D055">
      <w:pPr>
        <w:keepNext w:val="0"/>
        <w:keepLines w:val="0"/>
        <w:spacing w:before="120" w:beforeAutospacing="off" w:after="120" w:afterAutospacing="off" w:line="360" w:lineRule="auto"/>
        <w:jc w:val="left"/>
        <w:rPr>
          <w:b w:val="0"/>
          <w:bCs w:val="0"/>
          <w:noProof w:val="0"/>
          <w:color w:val="000000" w:themeColor="text1" w:themeTint="FF" w:themeShade="FF"/>
          <w:sz w:val="24"/>
          <w:szCs w:val="24"/>
          <w:lang w:val="en-GB"/>
        </w:rPr>
      </w:pPr>
      <w:r w:rsidRPr="53436BF3" w:rsidR="7C9F6681">
        <w:rPr>
          <w:b w:val="0"/>
          <w:bCs w:val="0"/>
          <w:noProof w:val="0"/>
          <w:color w:val="000000" w:themeColor="text1" w:themeTint="FF" w:themeShade="FF"/>
          <w:sz w:val="24"/>
          <w:szCs w:val="24"/>
          <w:lang w:val="en-GB"/>
        </w:rPr>
        <w:t xml:space="preserve">Another reason for these delays is that there are not enough social care services, such as home care, residential placements, and community support. The social care sector is dealing with ongoing staff shortages, higher demand, and not enough investment, so there is not enough capacity to help people leave the hospital on time. This matches reports that point to growing demand, staff shortages, and infrastructure problems across the health and care system. (Lombard.co.uk, 2026) </w:t>
      </w:r>
    </w:p>
    <w:p w:rsidR="7DFFDB1F" w:rsidP="53436BF3" w:rsidRDefault="7DFFDB1F" w14:paraId="5C9DAAA2" w14:textId="0B270278">
      <w:pPr>
        <w:keepNext w:val="0"/>
        <w:keepLines w:val="0"/>
        <w:spacing w:before="120" w:beforeAutospacing="off" w:after="120" w:afterAutospacing="off" w:line="360" w:lineRule="auto"/>
        <w:jc w:val="left"/>
        <w:rPr>
          <w:b w:val="0"/>
          <w:bCs w:val="0"/>
          <w:noProof w:val="0"/>
          <w:color w:val="000000" w:themeColor="text1" w:themeTint="FF" w:themeShade="FF"/>
          <w:sz w:val="24"/>
          <w:szCs w:val="24"/>
          <w:lang w:val="en-GB"/>
        </w:rPr>
      </w:pPr>
      <w:r w:rsidRPr="53436BF3" w:rsidR="7C9F6681">
        <w:rPr>
          <w:b w:val="0"/>
          <w:bCs w:val="0"/>
          <w:noProof w:val="0"/>
          <w:color w:val="000000" w:themeColor="text1" w:themeTint="FF" w:themeShade="FF"/>
          <w:sz w:val="24"/>
          <w:szCs w:val="24"/>
          <w:lang w:val="en-GB"/>
        </w:rPr>
        <w:t xml:space="preserve">Tomas (2026) explains that social care providers in the UK are struggling to accept hospital referrals because there are not enough staff, and many workers are leaving. Low pay, heavy workloads, and an unstable sector make it even harder to find home-care workers and support staff. Anyone working in social care, whether at home, in supported living, in care homes, or in the community, will say the same thing: more people need help than ever, but the sector cannot keep up. PE Global (2026) adds that staff are stretched thin, job openings </w:t>
      </w:r>
      <w:r w:rsidRPr="53436BF3" w:rsidR="7C9F6681">
        <w:rPr>
          <w:b w:val="0"/>
          <w:bCs w:val="0"/>
          <w:noProof w:val="0"/>
          <w:color w:val="000000" w:themeColor="text1" w:themeTint="FF" w:themeShade="FF"/>
          <w:sz w:val="24"/>
          <w:szCs w:val="24"/>
          <w:lang w:val="en-GB"/>
        </w:rPr>
        <w:t>remain</w:t>
      </w:r>
      <w:r w:rsidRPr="53436BF3" w:rsidR="7C9F6681">
        <w:rPr>
          <w:b w:val="0"/>
          <w:bCs w:val="0"/>
          <w:noProof w:val="0"/>
          <w:color w:val="000000" w:themeColor="text1" w:themeTint="FF" w:themeShade="FF"/>
          <w:sz w:val="24"/>
          <w:szCs w:val="24"/>
          <w:lang w:val="en-GB"/>
        </w:rPr>
        <w:t xml:space="preserve"> high, funding has not kept pace with the needs of a changing population, and many families learn about care costs only when they are already facing tough decisions. The phrase “social care crisis” is often used in politics, but these problems are real, deep, and longstanding. This explains why the system is under so much pressure, how we got here, and what it means for families, care providers, and the wider healthcare system in 2026. </w:t>
      </w:r>
    </w:p>
    <w:p w:rsidR="7DFFDB1F" w:rsidP="53436BF3" w:rsidRDefault="7DFFDB1F" w14:paraId="10ED024E" w14:textId="045CBBD1">
      <w:pPr>
        <w:keepNext w:val="0"/>
        <w:keepLines w:val="0"/>
        <w:spacing w:before="120" w:beforeAutospacing="off" w:after="120" w:afterAutospacing="off" w:line="360" w:lineRule="auto"/>
        <w:jc w:val="left"/>
        <w:rPr>
          <w:b w:val="0"/>
          <w:bCs w:val="0"/>
          <w:noProof w:val="0"/>
          <w:color w:val="000000" w:themeColor="text1" w:themeTint="FF" w:themeShade="FF"/>
          <w:sz w:val="24"/>
          <w:szCs w:val="24"/>
          <w:lang w:val="en-GB"/>
        </w:rPr>
      </w:pPr>
      <w:r w:rsidRPr="53436BF3" w:rsidR="7C9F6681">
        <w:rPr>
          <w:b w:val="0"/>
          <w:bCs w:val="0"/>
          <w:noProof w:val="0"/>
          <w:color w:val="000000" w:themeColor="text1" w:themeTint="FF" w:themeShade="FF"/>
          <w:sz w:val="24"/>
          <w:szCs w:val="24"/>
          <w:lang w:val="en-GB"/>
        </w:rPr>
        <w:t xml:space="preserve">The European Observatory on Health Systems and Policies and the Nuffield Trust (2025) found that many patients who are ready to leave the hospital face delays while waiting for their next stage of care. Eriksen &amp; Reed (2025) note that this is </w:t>
      </w:r>
      <w:r w:rsidRPr="53436BF3" w:rsidR="7C9F6681">
        <w:rPr>
          <w:b w:val="0"/>
          <w:bCs w:val="0"/>
          <w:noProof w:val="0"/>
          <w:color w:val="000000" w:themeColor="text1" w:themeTint="FF" w:themeShade="FF"/>
          <w:sz w:val="24"/>
          <w:szCs w:val="24"/>
          <w:lang w:val="en-GB"/>
        </w:rPr>
        <w:t>a serious problem</w:t>
      </w:r>
      <w:r w:rsidRPr="53436BF3" w:rsidR="7C9F6681">
        <w:rPr>
          <w:b w:val="0"/>
          <w:bCs w:val="0"/>
          <w:noProof w:val="0"/>
          <w:color w:val="000000" w:themeColor="text1" w:themeTint="FF" w:themeShade="FF"/>
          <w:sz w:val="24"/>
          <w:szCs w:val="24"/>
          <w:lang w:val="en-GB"/>
        </w:rPr>
        <w:t xml:space="preserve"> because many countries already struggle with backlogs and long waits for inpatient services. Often, poor coordination and inefficiencies between health and social care systems cause these delays, which can harm patients’ health and well-being, put extra pressure on health professionals and provider organizations, and create wider costs for society. </w:t>
      </w:r>
    </w:p>
    <w:p w:rsidR="7DFFDB1F" w:rsidP="53436BF3" w:rsidRDefault="7DFFDB1F" w14:paraId="33F1CD24" w14:textId="15DE25F5">
      <w:pPr>
        <w:pStyle w:val="Normal"/>
        <w:keepNext w:val="0"/>
        <w:keepLines w:val="0"/>
        <w:spacing w:before="120" w:beforeAutospacing="off" w:after="120" w:afterAutospacing="off" w:line="360" w:lineRule="auto"/>
        <w:jc w:val="left"/>
        <w:rPr>
          <w:b w:val="0"/>
          <w:bCs w:val="0"/>
          <w:noProof w:val="0"/>
          <w:color w:val="000000" w:themeColor="text1" w:themeTint="FF" w:themeShade="FF"/>
          <w:sz w:val="24"/>
          <w:szCs w:val="24"/>
          <w:lang w:val="en-GB"/>
        </w:rPr>
      </w:pPr>
      <w:r w:rsidRPr="53436BF3" w:rsidR="306E702A">
        <w:rPr>
          <w:b w:val="0"/>
          <w:bCs w:val="0"/>
          <w:noProof w:val="0"/>
          <w:color w:val="000000" w:themeColor="text1" w:themeTint="FF" w:themeShade="FF"/>
          <w:sz w:val="24"/>
          <w:szCs w:val="24"/>
          <w:lang w:val="en-GB"/>
        </w:rPr>
        <w:t>Secondly</w:t>
      </w:r>
      <w:r w:rsidRPr="53436BF3" w:rsidR="43C5E046">
        <w:rPr>
          <w:rFonts w:ascii="Georgia Pro" w:hAnsi="Georgia Pro" w:eastAsia="Georgia Pro" w:cs="Georgia Pro"/>
          <w:noProof w:val="0"/>
          <w:sz w:val="24"/>
          <w:szCs w:val="24"/>
          <w:lang w:val="en-GB"/>
        </w:rPr>
        <w:t>, The</w:t>
      </w:r>
      <w:r w:rsidRPr="53436BF3" w:rsidR="7C9F6681">
        <w:rPr>
          <w:b w:val="0"/>
          <w:bCs w:val="0"/>
          <w:noProof w:val="0"/>
          <w:color w:val="000000" w:themeColor="text1" w:themeTint="FF" w:themeShade="FF"/>
          <w:sz w:val="24"/>
          <w:szCs w:val="24"/>
          <w:lang w:val="en-GB"/>
        </w:rPr>
        <w:t xml:space="preserve"> Impact of Delayed Hospital Discharge on Service Users' Decline in Physical and Emotional Well-Being: </w:t>
      </w:r>
      <w:r w:rsidRPr="53436BF3" w:rsidR="7C9F6681">
        <w:rPr>
          <w:b w:val="0"/>
          <w:bCs w:val="0"/>
          <w:noProof w:val="0"/>
          <w:color w:val="000000" w:themeColor="text1" w:themeTint="FF" w:themeShade="FF"/>
          <w:sz w:val="24"/>
          <w:szCs w:val="24"/>
          <w:lang w:val="en-GB"/>
        </w:rPr>
        <w:t>Mennuni</w:t>
      </w:r>
      <w:r w:rsidRPr="53436BF3" w:rsidR="7C9F6681">
        <w:rPr>
          <w:b w:val="0"/>
          <w:bCs w:val="0"/>
          <w:noProof w:val="0"/>
          <w:color w:val="000000" w:themeColor="text1" w:themeTint="FF" w:themeShade="FF"/>
          <w:sz w:val="24"/>
          <w:szCs w:val="24"/>
          <w:lang w:val="en-GB"/>
        </w:rPr>
        <w:t xml:space="preserve">, Mauro, et al. (2017) note that the discharge process often lacks clear steps or is not performed the same way each time, which can cause problems for patients or lead them to return to the hospital soon after leaving. Good discharge planning should use a team approach that starts early and includes everyone who cares for the patient, both in the hospital and at home. Without this teamwork, the process </w:t>
      </w:r>
      <w:r w:rsidRPr="53436BF3" w:rsidR="7C9F6681">
        <w:rPr>
          <w:b w:val="0"/>
          <w:bCs w:val="0"/>
          <w:noProof w:val="0"/>
          <w:color w:val="000000" w:themeColor="text1" w:themeTint="FF" w:themeShade="FF"/>
          <w:sz w:val="24"/>
          <w:szCs w:val="24"/>
          <w:lang w:val="en-GB"/>
        </w:rPr>
        <w:t>remains</w:t>
      </w:r>
      <w:r w:rsidRPr="53436BF3" w:rsidR="7C9F6681">
        <w:rPr>
          <w:b w:val="0"/>
          <w:bCs w:val="0"/>
          <w:noProof w:val="0"/>
          <w:color w:val="000000" w:themeColor="text1" w:themeTint="FF" w:themeShade="FF"/>
          <w:sz w:val="24"/>
          <w:szCs w:val="24"/>
          <w:lang w:val="en-GB"/>
        </w:rPr>
        <w:t xml:space="preserve"> fragmented, leading to delays and patient safety risks. </w:t>
      </w:r>
    </w:p>
    <w:p w:rsidR="7DFFDB1F" w:rsidP="53436BF3" w:rsidRDefault="7DFFDB1F" w14:paraId="29D1A522" w14:textId="78F906D6">
      <w:pPr>
        <w:keepNext w:val="0"/>
        <w:keepLines w:val="0"/>
        <w:spacing w:before="120" w:beforeAutospacing="off" w:after="120" w:afterAutospacing="off" w:line="360" w:lineRule="auto"/>
        <w:jc w:val="left"/>
        <w:rPr>
          <w:b w:val="0"/>
          <w:bCs w:val="0"/>
          <w:noProof w:val="0"/>
          <w:color w:val="000000" w:themeColor="text1" w:themeTint="FF" w:themeShade="FF"/>
          <w:sz w:val="24"/>
          <w:szCs w:val="24"/>
          <w:lang w:val="en-GB"/>
        </w:rPr>
      </w:pPr>
      <w:r w:rsidRPr="53436BF3" w:rsidR="7C9F6681">
        <w:rPr>
          <w:b w:val="0"/>
          <w:bCs w:val="0"/>
          <w:noProof w:val="0"/>
          <w:color w:val="000000" w:themeColor="text1" w:themeTint="FF" w:themeShade="FF"/>
          <w:sz w:val="24"/>
          <w:szCs w:val="24"/>
          <w:lang w:val="en-GB"/>
        </w:rPr>
        <w:t>Landeiro</w:t>
      </w:r>
      <w:r w:rsidRPr="53436BF3" w:rsidR="7C9F6681">
        <w:rPr>
          <w:b w:val="0"/>
          <w:bCs w:val="0"/>
          <w:noProof w:val="0"/>
          <w:color w:val="000000" w:themeColor="text1" w:themeTint="FF" w:themeShade="FF"/>
          <w:sz w:val="24"/>
          <w:szCs w:val="24"/>
          <w:lang w:val="en-GB"/>
        </w:rPr>
        <w:t xml:space="preserve"> et al. (2016) found that social isolation, especially for older adults, is another reason for delayed hospital discharges. Patients who are at risk of being socially isolated or who go to publicly funded rehabilitation units often must wait longer, which increases hospital costs. In contrast, patients from institutional settings usually have fewer delays. These findings show that social factors and community support are important for helping patients leave the hospital quickly. </w:t>
      </w:r>
    </w:p>
    <w:p w:rsidR="7DFFDB1F" w:rsidP="53436BF3" w:rsidRDefault="7DFFDB1F" w14:paraId="7A1E1DFD" w14:textId="5530842C">
      <w:pPr>
        <w:keepNext w:val="0"/>
        <w:keepLines w:val="0"/>
        <w:spacing w:before="120" w:beforeAutospacing="off" w:after="120" w:afterAutospacing="off" w:line="360" w:lineRule="auto"/>
        <w:jc w:val="left"/>
        <w:rPr>
          <w:b w:val="0"/>
          <w:bCs w:val="0"/>
          <w:noProof w:val="0"/>
          <w:color w:val="000000" w:themeColor="text1" w:themeTint="FF" w:themeShade="FF"/>
          <w:sz w:val="24"/>
          <w:szCs w:val="24"/>
          <w:lang w:val="en-GB"/>
        </w:rPr>
      </w:pPr>
      <w:r w:rsidRPr="53436BF3" w:rsidR="7C9F6681">
        <w:rPr>
          <w:b w:val="0"/>
          <w:bCs w:val="0"/>
          <w:noProof w:val="0"/>
          <w:color w:val="000000" w:themeColor="text1" w:themeTint="FF" w:themeShade="FF"/>
          <w:sz w:val="24"/>
          <w:szCs w:val="24"/>
          <w:lang w:val="en-GB"/>
        </w:rPr>
        <w:t xml:space="preserve">Poor continuity of care When patients cannot access </w:t>
      </w:r>
      <w:r w:rsidRPr="53436BF3" w:rsidR="7C9F6681">
        <w:rPr>
          <w:b w:val="0"/>
          <w:bCs w:val="0"/>
          <w:noProof w:val="0"/>
          <w:color w:val="000000" w:themeColor="text1" w:themeTint="FF" w:themeShade="FF"/>
          <w:sz w:val="24"/>
          <w:szCs w:val="24"/>
          <w:lang w:val="en-GB"/>
        </w:rPr>
        <w:t>timely</w:t>
      </w:r>
      <w:r w:rsidRPr="53436BF3" w:rsidR="7C9F6681">
        <w:rPr>
          <w:b w:val="0"/>
          <w:bCs w:val="0"/>
          <w:noProof w:val="0"/>
          <w:color w:val="000000" w:themeColor="text1" w:themeTint="FF" w:themeShade="FF"/>
          <w:sz w:val="24"/>
          <w:szCs w:val="24"/>
          <w:lang w:val="en-GB"/>
        </w:rPr>
        <w:t xml:space="preserve"> social care, their progression into community‑based recovery is disrupted. National reports highlight that many people cannot access the care they need at the right time, leading to unmet needs and fragmented care experiences. </w:t>
      </w:r>
      <w:hyperlink r:id="R5a9a90dce73d43b7">
        <w:r w:rsidRPr="53436BF3" w:rsidR="7C9F6681">
          <w:rPr>
            <w:rStyle w:val="Hyperlink"/>
            <w:b w:val="0"/>
            <w:bCs w:val="0"/>
            <w:noProof w:val="0"/>
            <w:color w:val="000000" w:themeColor="text1" w:themeTint="FF" w:themeShade="FF"/>
            <w:sz w:val="24"/>
            <w:szCs w:val="24"/>
            <w:lang w:val="en-GB"/>
          </w:rPr>
          <w:t>[cqc.org.uk]</w:t>
        </w:r>
      </w:hyperlink>
      <w:r w:rsidRPr="53436BF3" w:rsidR="7C9F6681">
        <w:rPr>
          <w:b w:val="0"/>
          <w:bCs w:val="0"/>
          <w:noProof w:val="0"/>
          <w:color w:val="000000" w:themeColor="text1" w:themeTint="FF" w:themeShade="FF"/>
          <w:sz w:val="24"/>
          <w:szCs w:val="24"/>
          <w:lang w:val="en-GB"/>
        </w:rPr>
        <w:t xml:space="preserve"> </w:t>
      </w:r>
    </w:p>
    <w:p w:rsidR="7DFFDB1F" w:rsidP="53436BF3" w:rsidRDefault="7DFFDB1F" w14:paraId="4D68D13A" w14:textId="62811F98">
      <w:pPr>
        <w:keepNext w:val="0"/>
        <w:keepLines w:val="0"/>
        <w:spacing w:before="120" w:beforeAutospacing="off" w:after="120" w:afterAutospacing="off" w:line="360" w:lineRule="auto"/>
        <w:jc w:val="left"/>
        <w:rPr>
          <w:b w:val="0"/>
          <w:bCs w:val="0"/>
          <w:noProof w:val="0"/>
          <w:color w:val="000000" w:themeColor="text1" w:themeTint="FF" w:themeShade="FF"/>
          <w:sz w:val="24"/>
          <w:szCs w:val="24"/>
          <w:lang w:val="en-GB"/>
        </w:rPr>
      </w:pPr>
      <w:r w:rsidRPr="53436BF3" w:rsidR="7C9F6681">
        <w:rPr>
          <w:b w:val="0"/>
          <w:bCs w:val="0"/>
          <w:noProof w:val="0"/>
          <w:color w:val="000000" w:themeColor="text1" w:themeTint="FF" w:themeShade="FF"/>
          <w:sz w:val="24"/>
          <w:szCs w:val="24"/>
          <w:lang w:val="en-GB"/>
        </w:rPr>
        <w:t xml:space="preserve">According to Everall, Amanda C. et al. (2019), patients and caregivers experience many emotions during delayed discharge, including shock, having to accept the situation, and feeling left out of decision-making. Caregivers often step in to help keep patients safe, which shows why better communication and support for both patients and families is important. The hospital environment and how staff treat patients also affect how people feel about their care during these delays. </w:t>
      </w:r>
    </w:p>
    <w:p w:rsidR="7DFFDB1F" w:rsidP="53436BF3" w:rsidRDefault="7DFFDB1F" w14:paraId="6B183388" w14:textId="180194C8">
      <w:pPr>
        <w:keepNext w:val="0"/>
        <w:keepLines w:val="0"/>
        <w:spacing w:before="120" w:beforeAutospacing="off" w:after="120" w:afterAutospacing="off" w:line="360" w:lineRule="auto"/>
        <w:jc w:val="left"/>
        <w:rPr>
          <w:b w:val="0"/>
          <w:bCs w:val="0"/>
          <w:noProof w:val="0"/>
          <w:color w:val="000000" w:themeColor="text1" w:themeTint="FF" w:themeShade="FF"/>
          <w:sz w:val="24"/>
          <w:szCs w:val="24"/>
          <w:lang w:val="en-GB"/>
        </w:rPr>
      </w:pPr>
      <w:r w:rsidRPr="53436BF3" w:rsidR="7C9F6681">
        <w:rPr>
          <w:b w:val="0"/>
          <w:bCs w:val="0"/>
          <w:noProof w:val="0"/>
          <w:color w:val="000000" w:themeColor="text1" w:themeTint="FF" w:themeShade="FF"/>
          <w:sz w:val="24"/>
          <w:szCs w:val="24"/>
          <w:lang w:val="en-GB"/>
        </w:rPr>
        <w:t xml:space="preserve">Financial pressure According to Tomas (2026), most families in the UK first deal with social care funding during some of life’s most stressful times, such as after a fall, a hospital stay, a dementia diagnosis, or when home care is no longer possible. Sadly, social care is one of the least understood areas of the UK welfare system. It falls somewhere between health care, which is free through the NHS, and long-term support, which may be partly or fully means-tested. Emotional distress for patients and families Patients may feel stuck, </w:t>
      </w:r>
      <w:r w:rsidRPr="53436BF3" w:rsidR="7C9F6681">
        <w:rPr>
          <w:b w:val="0"/>
          <w:bCs w:val="0"/>
          <w:noProof w:val="0"/>
          <w:color w:val="000000" w:themeColor="text1" w:themeTint="FF" w:themeShade="FF"/>
          <w:sz w:val="24"/>
          <w:szCs w:val="24"/>
          <w:lang w:val="en-GB"/>
        </w:rPr>
        <w:t>helpless</w:t>
      </w:r>
      <w:r w:rsidRPr="53436BF3" w:rsidR="7C9F6681">
        <w:rPr>
          <w:b w:val="0"/>
          <w:bCs w:val="0"/>
          <w:noProof w:val="0"/>
          <w:color w:val="000000" w:themeColor="text1" w:themeTint="FF" w:themeShade="FF"/>
          <w:sz w:val="24"/>
          <w:szCs w:val="24"/>
          <w:lang w:val="en-GB"/>
        </w:rPr>
        <w:t xml:space="preserve"> or anxious as they wait for care arrangements, while families experience frustration, uncertainty, and increased burden as they navigate delays and unclear communication. </w:t>
      </w:r>
    </w:p>
    <w:p w:rsidR="7DFFDB1F" w:rsidP="53436BF3" w:rsidRDefault="7DFFDB1F" w14:paraId="27963E78" w14:textId="5BFC8D47">
      <w:pPr>
        <w:pStyle w:val="Heading3"/>
        <w:keepNext w:val="0"/>
        <w:keepLines w:val="0"/>
        <w:spacing w:before="281" w:beforeAutospacing="off" w:after="140" w:afterAutospacing="off" w:line="360" w:lineRule="auto"/>
        <w:jc w:val="left"/>
        <w:rPr>
          <w:b w:val="0"/>
          <w:bCs w:val="0"/>
          <w:noProof w:val="0"/>
          <w:color w:val="000000" w:themeColor="text1" w:themeTint="FF" w:themeShade="FF"/>
          <w:sz w:val="24"/>
          <w:szCs w:val="24"/>
          <w:lang w:val="en-GB"/>
        </w:rPr>
      </w:pPr>
      <w:r w:rsidRPr="53436BF3" w:rsidR="1B036B82">
        <w:rPr>
          <w:noProof w:val="0"/>
          <w:color w:val="000000" w:themeColor="text1" w:themeTint="FF" w:themeShade="FF"/>
          <w:sz w:val="24"/>
          <w:szCs w:val="24"/>
          <w:lang w:val="en-GB"/>
        </w:rPr>
        <w:t>Thirdly, the impact</w:t>
      </w:r>
      <w:r w:rsidRPr="53436BF3" w:rsidR="7C9F6681">
        <w:rPr>
          <w:b w:val="0"/>
          <w:bCs w:val="0"/>
          <w:noProof w:val="0"/>
          <w:color w:val="000000" w:themeColor="text1" w:themeTint="FF" w:themeShade="FF"/>
          <w:sz w:val="24"/>
          <w:szCs w:val="24"/>
          <w:lang w:val="en-GB"/>
        </w:rPr>
        <w:t xml:space="preserve"> </w:t>
      </w:r>
      <w:r w:rsidRPr="53436BF3" w:rsidR="7C9F6681">
        <w:rPr>
          <w:b w:val="0"/>
          <w:bCs w:val="0"/>
          <w:noProof w:val="0"/>
          <w:color w:val="000000" w:themeColor="text1" w:themeTint="FF" w:themeShade="FF"/>
          <w:sz w:val="24"/>
          <w:szCs w:val="24"/>
          <w:lang w:val="en-GB"/>
        </w:rPr>
        <w:t xml:space="preserve">of Delayed hospital discharge, on the Wider Health and Social Care Sector Cam, Henrik et al. (2023) found that when discharge processes are fragmented, hospitals struggle to coordinate and communicate with other healthcare providers. This can cause delays or mistakes in sharing vital information, such as medication lists and care plans, which are vital to patient safety. Healthcare professionals say the gap between organizations creates "two separate worlds," making communication harder and increasing the risk of errors or missing details during discharge. </w:t>
      </w:r>
    </w:p>
    <w:p w:rsidR="7DFFDB1F" w:rsidP="53436BF3" w:rsidRDefault="7DFFDB1F" w14:paraId="0EEBA4E7" w14:textId="42257AB0">
      <w:pPr>
        <w:keepNext w:val="0"/>
        <w:keepLines w:val="0"/>
        <w:spacing w:before="120" w:beforeAutospacing="off" w:after="120" w:afterAutospacing="off" w:line="360" w:lineRule="auto"/>
        <w:jc w:val="left"/>
        <w:rPr>
          <w:b w:val="0"/>
          <w:bCs w:val="0"/>
          <w:noProof w:val="0"/>
          <w:color w:val="000000" w:themeColor="text1" w:themeTint="FF" w:themeShade="FF"/>
          <w:sz w:val="24"/>
          <w:szCs w:val="24"/>
          <w:lang w:val="en-GB"/>
        </w:rPr>
      </w:pPr>
      <w:r w:rsidRPr="53436BF3" w:rsidR="7C9F6681">
        <w:rPr>
          <w:b w:val="0"/>
          <w:bCs w:val="0"/>
          <w:noProof w:val="0"/>
          <w:color w:val="000000" w:themeColor="text1" w:themeTint="FF" w:themeShade="FF"/>
          <w:sz w:val="24"/>
          <w:szCs w:val="24"/>
          <w:lang w:val="en-GB"/>
        </w:rPr>
        <w:t>Pinelli, Vincent et al. (2017) explain that this divided system also makes it harder for healthcare workers to work together. Staff are often unsure about their roles, such as who should write discharge notes or check medications. When it is unclear who should do what, and there are not enough people to help, communication and teamwork break down, making it even harder to plan and complete a safe discharge</w:t>
      </w:r>
      <w:r w:rsidRPr="53436BF3" w:rsidR="7C9F6681">
        <w:rPr>
          <w:b w:val="0"/>
          <w:bCs w:val="0"/>
          <w:noProof w:val="0"/>
          <w:color w:val="000000" w:themeColor="text1" w:themeTint="FF" w:themeShade="FF"/>
          <w:sz w:val="24"/>
          <w:szCs w:val="24"/>
          <w:lang w:val="en-GB"/>
        </w:rPr>
        <w:t xml:space="preserve">.  </w:t>
      </w:r>
    </w:p>
    <w:p w:rsidR="7DFFDB1F" w:rsidP="53436BF3" w:rsidRDefault="7DFFDB1F" w14:paraId="0BF11EB6" w14:textId="5AEAC28C">
      <w:pPr>
        <w:keepNext w:val="0"/>
        <w:keepLines w:val="0"/>
        <w:spacing w:before="120" w:beforeAutospacing="off" w:after="120" w:afterAutospacing="off" w:line="360" w:lineRule="auto"/>
        <w:jc w:val="left"/>
        <w:rPr>
          <w:b w:val="0"/>
          <w:bCs w:val="0"/>
          <w:noProof w:val="0"/>
          <w:color w:val="000000" w:themeColor="text1" w:themeTint="FF" w:themeShade="FF"/>
          <w:sz w:val="24"/>
          <w:szCs w:val="24"/>
          <w:lang w:val="en-GB"/>
        </w:rPr>
      </w:pPr>
      <w:r w:rsidRPr="53436BF3" w:rsidR="7C9F6681">
        <w:rPr>
          <w:b w:val="0"/>
          <w:bCs w:val="0"/>
          <w:noProof w:val="0"/>
          <w:color w:val="000000" w:themeColor="text1" w:themeTint="FF" w:themeShade="FF"/>
          <w:sz w:val="24"/>
          <w:szCs w:val="24"/>
          <w:lang w:val="en-GB"/>
        </w:rPr>
        <w:t xml:space="preserve">Ibrahim et al. (2022) suggest that teams made up of doctors, social workers, case managers, and patient advocates have helped solve problems that delay patient discharge. These teams deal with issues like families not wanting to move patients, slow acceptance into long-term care, and long waits for insurance approval. Their efforts help patients leave the hospital sooner without raising the risk of readmission. This highlights the importance of health and social care working together to reduce delays caused by a lack of social care. </w:t>
      </w:r>
    </w:p>
    <w:p w:rsidR="7DFFDB1F" w:rsidP="53436BF3" w:rsidRDefault="7DFFDB1F" w14:paraId="7215BD33" w14:textId="5148A025">
      <w:pPr>
        <w:pStyle w:val="Normal"/>
        <w:keepNext w:val="0"/>
        <w:keepLines w:val="0"/>
        <w:spacing w:before="120" w:beforeAutospacing="off" w:after="120" w:afterAutospacing="off" w:line="360" w:lineRule="auto"/>
        <w:jc w:val="left"/>
        <w:rPr>
          <w:b w:val="0"/>
          <w:bCs w:val="0"/>
          <w:noProof w:val="0"/>
          <w:color w:val="000000" w:themeColor="text1" w:themeTint="FF" w:themeShade="FF"/>
          <w:sz w:val="24"/>
          <w:szCs w:val="24"/>
          <w:u w:val="none"/>
          <w:lang w:val="en-GB"/>
        </w:rPr>
      </w:pPr>
      <w:r w:rsidRPr="53436BF3" w:rsidR="7C9F6681">
        <w:rPr>
          <w:b w:val="0"/>
          <w:bCs w:val="0"/>
          <w:noProof w:val="0"/>
          <w:color w:val="000000" w:themeColor="text1" w:themeTint="FF" w:themeShade="FF"/>
          <w:sz w:val="24"/>
          <w:szCs w:val="24"/>
          <w:lang w:val="en-GB"/>
        </w:rPr>
        <w:t xml:space="preserve">Workforce shortages across </w:t>
      </w:r>
      <w:r w:rsidRPr="53436BF3" w:rsidR="1705231E">
        <w:rPr>
          <w:rFonts w:ascii="Georgia Pro" w:hAnsi="Georgia Pro" w:eastAsia="Georgia Pro" w:cs="Georgia Pro"/>
          <w:noProof w:val="0"/>
          <w:sz w:val="24"/>
          <w:szCs w:val="24"/>
          <w:lang w:val="en-GB"/>
        </w:rPr>
        <w:t>sectors:</w:t>
      </w:r>
      <w:r w:rsidRPr="53436BF3" w:rsidR="7C9F6681">
        <w:rPr>
          <w:b w:val="0"/>
          <w:bCs w:val="0"/>
          <w:noProof w:val="0"/>
          <w:color w:val="000000" w:themeColor="text1" w:themeTint="FF" w:themeShade="FF"/>
          <w:sz w:val="24"/>
          <w:szCs w:val="24"/>
          <w:lang w:val="en-GB"/>
        </w:rPr>
        <w:t xml:space="preserve"> the problem is cyclical</w:t>
      </w:r>
      <w:r w:rsidRPr="53436BF3" w:rsidR="13D96283">
        <w:rPr>
          <w:rFonts w:ascii="Georgia Pro" w:hAnsi="Georgia Pro" w:eastAsia="Georgia Pro" w:cs="Georgia Pro"/>
          <w:noProof w:val="0"/>
          <w:sz w:val="24"/>
          <w:szCs w:val="24"/>
          <w:lang w:val="en-GB"/>
        </w:rPr>
        <w:t>. Shortages</w:t>
      </w:r>
      <w:r w:rsidRPr="53436BF3" w:rsidR="7C9F6681">
        <w:rPr>
          <w:b w:val="0"/>
          <w:bCs w:val="0"/>
          <w:noProof w:val="0"/>
          <w:color w:val="000000" w:themeColor="text1" w:themeTint="FF" w:themeShade="FF"/>
          <w:sz w:val="24"/>
          <w:szCs w:val="24"/>
          <w:lang w:val="en-GB"/>
        </w:rPr>
        <w:t xml:space="preserve"> in social care cause discharge delays; discharge delays increase workload; increased workload intensifies burnout and attrition. Reports highlight widespread workforce shortages in both sectors, with rising demand far outpacing supply. </w:t>
      </w:r>
      <w:hyperlink r:id="R2eaa874ea16e43d7">
        <w:r w:rsidRPr="53436BF3" w:rsidR="7C9F6681">
          <w:rPr>
            <w:rStyle w:val="Hyperlink"/>
            <w:b w:val="0"/>
            <w:bCs w:val="0"/>
            <w:noProof w:val="0"/>
            <w:color w:val="000000" w:themeColor="text1" w:themeTint="FF" w:themeShade="FF"/>
            <w:sz w:val="24"/>
            <w:szCs w:val="24"/>
            <w:u w:val="none"/>
            <w:lang w:val="en-GB"/>
          </w:rPr>
          <w:t>[lombard.co.uk]</w:t>
        </w:r>
      </w:hyperlink>
      <w:r w:rsidRPr="53436BF3" w:rsidR="7C9F6681">
        <w:rPr>
          <w:b w:val="0"/>
          <w:bCs w:val="0"/>
          <w:noProof w:val="0"/>
          <w:color w:val="000000" w:themeColor="text1" w:themeTint="FF" w:themeShade="FF"/>
          <w:sz w:val="24"/>
          <w:szCs w:val="24"/>
          <w:u w:val="none"/>
          <w:lang w:val="en-GB"/>
        </w:rPr>
        <w:t xml:space="preserve"> </w:t>
      </w:r>
    </w:p>
    <w:p w:rsidR="7DFFDB1F" w:rsidP="53436BF3" w:rsidRDefault="7DFFDB1F" w14:paraId="6389C524" w14:textId="5FE6F0AA">
      <w:pPr>
        <w:pStyle w:val="Normal"/>
        <w:keepNext w:val="0"/>
        <w:keepLines w:val="0"/>
        <w:spacing w:before="120" w:beforeAutospacing="off" w:after="120" w:afterAutospacing="off" w:line="360" w:lineRule="auto"/>
        <w:jc w:val="left"/>
        <w:rPr>
          <w:b w:val="0"/>
          <w:bCs w:val="0"/>
          <w:noProof w:val="0"/>
          <w:color w:val="000000" w:themeColor="text1" w:themeTint="FF" w:themeShade="FF"/>
          <w:sz w:val="24"/>
          <w:szCs w:val="24"/>
          <w:lang w:val="en-GB"/>
        </w:rPr>
      </w:pPr>
      <w:r w:rsidRPr="53436BF3" w:rsidR="7C9F6681">
        <w:rPr>
          <w:b w:val="0"/>
          <w:bCs w:val="0"/>
          <w:noProof w:val="0"/>
          <w:color w:val="000000" w:themeColor="text1" w:themeTint="FF" w:themeShade="FF"/>
          <w:sz w:val="24"/>
          <w:szCs w:val="24"/>
          <w:lang w:val="en-GB"/>
        </w:rPr>
        <w:t xml:space="preserve">Aggarwal, </w:t>
      </w:r>
      <w:r w:rsidRPr="53436BF3" w:rsidR="4ECD0C56">
        <w:rPr>
          <w:rFonts w:ascii="Georgia Pro" w:hAnsi="Georgia Pro" w:eastAsia="Georgia Pro" w:cs="Georgia Pro"/>
          <w:noProof w:val="0"/>
          <w:sz w:val="24"/>
          <w:szCs w:val="24"/>
          <w:lang w:val="en-GB"/>
        </w:rPr>
        <w:t>Kanishk,</w:t>
      </w:r>
      <w:r w:rsidRPr="53436BF3" w:rsidR="7C9F6681">
        <w:rPr>
          <w:b w:val="0"/>
          <w:bCs w:val="0"/>
          <w:noProof w:val="0"/>
          <w:color w:val="000000" w:themeColor="text1" w:themeTint="FF" w:themeShade="FF"/>
          <w:sz w:val="24"/>
          <w:szCs w:val="24"/>
          <w:lang w:val="en-GB"/>
        </w:rPr>
        <w:t xml:space="preserve"> et </w:t>
      </w:r>
      <w:r w:rsidRPr="53436BF3" w:rsidR="0585858C">
        <w:rPr>
          <w:rFonts w:ascii="Georgia Pro" w:hAnsi="Georgia Pro" w:eastAsia="Georgia Pro" w:cs="Georgia Pro"/>
          <w:noProof w:val="0"/>
          <w:sz w:val="24"/>
          <w:szCs w:val="24"/>
          <w:lang w:val="en-GB"/>
        </w:rPr>
        <w:t>al. (2024)</w:t>
      </w:r>
      <w:r w:rsidRPr="53436BF3" w:rsidR="7C9F6681">
        <w:rPr>
          <w:b w:val="0"/>
          <w:bCs w:val="0"/>
          <w:noProof w:val="0"/>
          <w:color w:val="000000" w:themeColor="text1" w:themeTint="FF" w:themeShade="FF"/>
          <w:sz w:val="24"/>
          <w:szCs w:val="24"/>
          <w:lang w:val="en-GB"/>
        </w:rPr>
        <w:t xml:space="preserve"> report that delayed discharges put pressure on healthcare staff, which can increase stress and make teamwork harder. This may lower the quality of patient care. Doctors often become less productive and face higher rates of exhaustion because of longer hospital stays and the difficulties of handling discharges. Rojas‐García, </w:t>
      </w:r>
      <w:r w:rsidRPr="53436BF3" w:rsidR="1BA1BF6C">
        <w:rPr>
          <w:rFonts w:ascii="Georgia Pro" w:hAnsi="Georgia Pro" w:eastAsia="Georgia Pro" w:cs="Georgia Pro"/>
          <w:noProof w:val="0"/>
          <w:sz w:val="24"/>
          <w:szCs w:val="24"/>
          <w:lang w:val="en-GB"/>
        </w:rPr>
        <w:t>Antonio,</w:t>
      </w:r>
      <w:r w:rsidRPr="53436BF3" w:rsidR="7C9F6681">
        <w:rPr>
          <w:b w:val="0"/>
          <w:bCs w:val="0"/>
          <w:noProof w:val="0"/>
          <w:color w:val="000000" w:themeColor="text1" w:themeTint="FF" w:themeShade="FF"/>
          <w:sz w:val="24"/>
          <w:szCs w:val="24"/>
          <w:lang w:val="en-GB"/>
        </w:rPr>
        <w:t xml:space="preserve"> et </w:t>
      </w:r>
      <w:r w:rsidRPr="53436BF3" w:rsidR="68BC1180">
        <w:rPr>
          <w:rFonts w:ascii="Georgia Pro" w:hAnsi="Georgia Pro" w:eastAsia="Georgia Pro" w:cs="Georgia Pro"/>
          <w:noProof w:val="0"/>
          <w:sz w:val="24"/>
          <w:szCs w:val="24"/>
          <w:lang w:val="en-GB"/>
        </w:rPr>
        <w:t>al. (2018)</w:t>
      </w:r>
      <w:r w:rsidRPr="53436BF3" w:rsidR="7C9F6681">
        <w:rPr>
          <w:b w:val="0"/>
          <w:bCs w:val="0"/>
          <w:noProof w:val="0"/>
          <w:color w:val="000000" w:themeColor="text1" w:themeTint="FF" w:themeShade="FF"/>
          <w:sz w:val="24"/>
          <w:szCs w:val="24"/>
          <w:lang w:val="en-GB"/>
        </w:rPr>
        <w:t xml:space="preserve"> note that hospitals face money problems, as extra bed-days from delayed discharges can make up a large part of total costs, sometimes reaching 30.7%. These delays can also cause planned operations to be cancelled and treatments to be pushed back. Such problems affect later services, especially for elderly patients. </w:t>
      </w:r>
    </w:p>
    <w:p w:rsidR="7DFFDB1F" w:rsidP="53436BF3" w:rsidRDefault="7DFFDB1F" w14:paraId="36B5058A" w14:textId="15716D74">
      <w:pPr>
        <w:pStyle w:val="Normal"/>
        <w:keepNext w:val="0"/>
        <w:keepLines w:val="0"/>
        <w:spacing w:before="120" w:beforeAutospacing="off" w:after="120" w:afterAutospacing="off" w:line="360" w:lineRule="auto"/>
        <w:jc w:val="left"/>
        <w:rPr>
          <w:b w:val="0"/>
          <w:bCs w:val="0"/>
          <w:noProof w:val="0"/>
          <w:color w:val="000000" w:themeColor="text1" w:themeTint="FF" w:themeShade="FF"/>
          <w:sz w:val="24"/>
          <w:szCs w:val="24"/>
          <w:lang w:val="en-GB"/>
        </w:rPr>
      </w:pPr>
      <w:r w:rsidRPr="53436BF3" w:rsidR="7C9F6681">
        <w:rPr>
          <w:b w:val="0"/>
          <w:bCs w:val="0"/>
          <w:noProof w:val="0"/>
          <w:color w:val="000000" w:themeColor="text1" w:themeTint="FF" w:themeShade="FF"/>
          <w:sz w:val="24"/>
          <w:szCs w:val="24"/>
          <w:lang w:val="en-GB"/>
        </w:rPr>
        <w:t xml:space="preserve">Godden, </w:t>
      </w:r>
      <w:r w:rsidRPr="53436BF3" w:rsidR="3BE8676E">
        <w:rPr>
          <w:rFonts w:ascii="Georgia Pro" w:hAnsi="Georgia Pro" w:eastAsia="Georgia Pro" w:cs="Georgia Pro"/>
          <w:noProof w:val="0"/>
          <w:sz w:val="24"/>
          <w:szCs w:val="24"/>
          <w:lang w:val="en-GB"/>
        </w:rPr>
        <w:t>S.,</w:t>
      </w:r>
      <w:r w:rsidRPr="53436BF3" w:rsidR="7C9F6681">
        <w:rPr>
          <w:b w:val="0"/>
          <w:bCs w:val="0"/>
          <w:noProof w:val="0"/>
          <w:color w:val="000000" w:themeColor="text1" w:themeTint="FF" w:themeShade="FF"/>
          <w:sz w:val="24"/>
          <w:szCs w:val="24"/>
          <w:lang w:val="en-GB"/>
        </w:rPr>
        <w:t xml:space="preserve"> et </w:t>
      </w:r>
      <w:r w:rsidRPr="53436BF3" w:rsidR="5BF7A168">
        <w:rPr>
          <w:rFonts w:ascii="Georgia Pro" w:hAnsi="Georgia Pro" w:eastAsia="Georgia Pro" w:cs="Georgia Pro"/>
          <w:noProof w:val="0"/>
          <w:sz w:val="24"/>
          <w:szCs w:val="24"/>
          <w:lang w:val="en-GB"/>
        </w:rPr>
        <w:t xml:space="preserve">al. </w:t>
      </w:r>
      <w:r w:rsidRPr="53436BF3" w:rsidR="4EAF7338">
        <w:rPr>
          <w:rFonts w:ascii="Georgia Pro" w:hAnsi="Georgia Pro" w:eastAsia="Georgia Pro" w:cs="Georgia Pro"/>
          <w:noProof w:val="0"/>
          <w:sz w:val="24"/>
          <w:szCs w:val="24"/>
          <w:lang w:val="en-GB"/>
        </w:rPr>
        <w:t>(2009),</w:t>
      </w:r>
      <w:r w:rsidRPr="53436BF3" w:rsidR="7C9F6681">
        <w:rPr>
          <w:b w:val="0"/>
          <w:bCs w:val="0"/>
          <w:noProof w:val="0"/>
          <w:color w:val="000000" w:themeColor="text1" w:themeTint="FF" w:themeShade="FF"/>
          <w:sz w:val="24"/>
          <w:szCs w:val="24"/>
          <w:lang w:val="en-GB"/>
        </w:rPr>
        <w:t xml:space="preserve"> and Manzano-Santaella, Ana </w:t>
      </w:r>
      <w:r w:rsidRPr="53436BF3" w:rsidR="40BB504D">
        <w:rPr>
          <w:rFonts w:ascii="Georgia Pro" w:hAnsi="Georgia Pro" w:eastAsia="Georgia Pro" w:cs="Georgia Pro"/>
          <w:noProof w:val="0"/>
          <w:sz w:val="24"/>
          <w:szCs w:val="24"/>
          <w:lang w:val="en-GB"/>
        </w:rPr>
        <w:t>(2010),</w:t>
      </w:r>
      <w:r w:rsidRPr="53436BF3" w:rsidR="7C9F6681">
        <w:rPr>
          <w:b w:val="0"/>
          <w:bCs w:val="0"/>
          <w:noProof w:val="0"/>
          <w:color w:val="000000" w:themeColor="text1" w:themeTint="FF" w:themeShade="FF"/>
          <w:sz w:val="24"/>
          <w:szCs w:val="24"/>
          <w:lang w:val="en-GB"/>
        </w:rPr>
        <w:t xml:space="preserve"> both point out that the wider health and social care system has trouble working together. Delayed discharges often show there are problems between hospitals and social care. Most delays are linked to the NHS, though social services are also involved, but not as much. This raises questions about whether policies that make social services pay for delays</w:t>
      </w:r>
      <w:r w:rsidRPr="53436BF3" w:rsidR="388565CE">
        <w:rPr>
          <w:b w:val="0"/>
          <w:bCs w:val="0"/>
          <w:noProof w:val="0"/>
          <w:color w:val="000000" w:themeColor="text1" w:themeTint="FF" w:themeShade="FF"/>
          <w:sz w:val="24"/>
          <w:szCs w:val="24"/>
          <w:lang w:val="en-GB"/>
        </w:rPr>
        <w:t xml:space="preserve"> </w:t>
      </w:r>
      <w:r w:rsidRPr="53436BF3" w:rsidR="388565CE">
        <w:rPr>
          <w:b w:val="0"/>
          <w:bCs w:val="0"/>
          <w:noProof w:val="0"/>
          <w:color w:val="000000" w:themeColor="text1" w:themeTint="FF" w:themeShade="FF"/>
          <w:sz w:val="24"/>
          <w:szCs w:val="24"/>
          <w:lang w:val="en-GB"/>
        </w:rPr>
        <w:t>in actually</w:t>
      </w:r>
      <w:r w:rsidRPr="53436BF3" w:rsidR="7C9F6681">
        <w:rPr>
          <w:b w:val="0"/>
          <w:bCs w:val="0"/>
          <w:noProof w:val="0"/>
          <w:color w:val="000000" w:themeColor="text1" w:themeTint="FF" w:themeShade="FF"/>
          <w:sz w:val="24"/>
          <w:szCs w:val="24"/>
          <w:lang w:val="en-GB"/>
        </w:rPr>
        <w:t xml:space="preserve"> work</w:t>
      </w:r>
      <w:r w:rsidRPr="53436BF3" w:rsidR="7C9F6681">
        <w:rPr>
          <w:b w:val="0"/>
          <w:bCs w:val="0"/>
          <w:noProof w:val="0"/>
          <w:color w:val="000000" w:themeColor="text1" w:themeTint="FF" w:themeShade="FF"/>
          <w:sz w:val="24"/>
          <w:szCs w:val="24"/>
          <w:lang w:val="en-GB"/>
        </w:rPr>
        <w:t xml:space="preserve">. Delayed discharges may also show problems with planning for patients to leave the hospital or a lack of other care options, showing there are bigger issues with how </w:t>
      </w:r>
      <w:r w:rsidRPr="53436BF3" w:rsidR="7C9F6681">
        <w:rPr>
          <w:b w:val="0"/>
          <w:bCs w:val="0"/>
          <w:noProof w:val="0"/>
          <w:color w:val="000000" w:themeColor="text1" w:themeTint="FF" w:themeShade="FF"/>
          <w:sz w:val="24"/>
          <w:szCs w:val="24"/>
          <w:lang w:val="en-GB"/>
        </w:rPr>
        <w:t>different groups</w:t>
      </w:r>
      <w:r w:rsidRPr="53436BF3" w:rsidR="7C9F6681">
        <w:rPr>
          <w:b w:val="0"/>
          <w:bCs w:val="0"/>
          <w:noProof w:val="0"/>
          <w:color w:val="000000" w:themeColor="text1" w:themeTint="FF" w:themeShade="FF"/>
          <w:sz w:val="24"/>
          <w:szCs w:val="24"/>
          <w:lang w:val="en-GB"/>
        </w:rPr>
        <w:t xml:space="preserve"> work together. </w:t>
      </w:r>
    </w:p>
    <w:p w:rsidR="7DFFDB1F" w:rsidP="53436BF3" w:rsidRDefault="7DFFDB1F" w14:paraId="00D1E8DD" w14:textId="12E4A035">
      <w:pPr>
        <w:keepNext w:val="0"/>
        <w:keepLines w:val="0"/>
        <w:spacing w:before="120" w:beforeAutospacing="off" w:after="120" w:afterAutospacing="off" w:line="360" w:lineRule="auto"/>
        <w:jc w:val="left"/>
        <w:rPr>
          <w:b w:val="0"/>
          <w:bCs w:val="0"/>
          <w:noProof w:val="0"/>
          <w:color w:val="000000" w:themeColor="text1" w:themeTint="FF" w:themeShade="FF"/>
          <w:sz w:val="24"/>
          <w:szCs w:val="24"/>
          <w:lang w:val="en-GB"/>
        </w:rPr>
      </w:pPr>
      <w:r w:rsidRPr="53436BF3" w:rsidR="7C9F6681">
        <w:rPr>
          <w:b w:val="0"/>
          <w:bCs w:val="0"/>
          <w:noProof w:val="0"/>
          <w:color w:val="000000" w:themeColor="text1" w:themeTint="FF" w:themeShade="FF"/>
          <w:sz w:val="24"/>
          <w:szCs w:val="24"/>
          <w:lang w:val="en-GB"/>
        </w:rPr>
        <w:t>In summary, delayed hospital discharges often happen because there are not enough social care services, poor coordination between health and social care, and patients may feel isolated (Mann, 2016). Solving these problems will need more funding, better teamwork among professionals, and the use of multidisciplinary teams to help patients move safely and quickly from the hospital to the community or long-term care. According to PE Global (2026), the future of healthcare depends on supporting the people who provide care. When staffing models are sustainable, patients receive safer care, professionals are more satisfied with their jobs, and organizations become better places to work. This is a big challenge, but with careful planning, data-driven decision-making, and smart recruitment, healthcare systems can move from always reacting to crises to building a stable, confident workforce.</w:t>
      </w:r>
    </w:p>
    <w:p w:rsidR="7DFFDB1F" w:rsidP="53436BF3" w:rsidRDefault="7DFFDB1F" w14:paraId="4376F281" w14:textId="202E2494">
      <w:pPr>
        <w:pStyle w:val="Normal"/>
        <w:keepNext w:val="0"/>
        <w:keepLines w:val="0"/>
        <w:spacing w:line="360" w:lineRule="auto"/>
        <w:rPr>
          <w:b w:val="0"/>
          <w:bCs w:val="0"/>
          <w:noProof w:val="0"/>
          <w:color w:val="000000" w:themeColor="text1" w:themeTint="FF" w:themeShade="FF"/>
          <w:lang w:val="en-GB"/>
        </w:rPr>
      </w:pPr>
    </w:p>
    <w:p w:rsidR="65569B31" w:rsidP="65569B31" w:rsidRDefault="65569B31" w14:paraId="59860035" w14:textId="62FD35A8">
      <w:pPr>
        <w:pStyle w:val="Heading3"/>
        <w:spacing w:before="140" w:beforeAutospacing="off" w:after="140" w:afterAutospacing="off"/>
        <w:jc w:val="left"/>
      </w:pPr>
    </w:p>
    <w:p w:rsidR="65569B31" w:rsidP="65569B31" w:rsidRDefault="65569B31" w14:paraId="2C550157" w14:textId="71260D62">
      <w:pPr>
        <w:pStyle w:val="Normal"/>
        <w:rPr>
          <w:noProof w:val="0"/>
          <w:lang w:val="en-GB"/>
        </w:rPr>
      </w:pPr>
    </w:p>
    <w:p w:rsidR="53436BF3" w:rsidP="53436BF3" w:rsidRDefault="53436BF3" w14:paraId="65A2540D" w14:textId="20F39FD0">
      <w:pPr>
        <w:pStyle w:val="Normal"/>
        <w:rPr>
          <w:rFonts w:ascii="Segoe UI" w:hAnsi="Segoe UI" w:eastAsia="Segoe UI" w:cs="Segoe UI"/>
          <w:b w:val="0"/>
          <w:bCs w:val="0"/>
          <w:i w:val="0"/>
          <w:iCs w:val="0"/>
          <w:caps w:val="0"/>
          <w:smallCaps w:val="0"/>
          <w:noProof w:val="0"/>
          <w:color w:val="000000" w:themeColor="text1" w:themeTint="FF" w:themeShade="FF"/>
          <w:sz w:val="21"/>
          <w:szCs w:val="21"/>
          <w:lang w:val="en-GB"/>
        </w:rPr>
      </w:pPr>
    </w:p>
    <w:p w:rsidR="3721FEB5" w:rsidP="53436BF3" w:rsidRDefault="3721FEB5" w14:paraId="51A4E81A" w14:textId="0BEA84CB">
      <w:pPr>
        <w:pStyle w:val="Normal"/>
        <w:rPr>
          <w:noProof w:val="0"/>
          <w:lang w:val="en-GB"/>
        </w:rPr>
      </w:pPr>
      <w:r w:rsidRPr="53436BF3" w:rsidR="4FBA8098">
        <w:rPr>
          <w:rFonts w:ascii="Segoe UI" w:hAnsi="Segoe UI" w:eastAsia="Segoe UI" w:cs="Segoe UI"/>
          <w:b w:val="0"/>
          <w:bCs w:val="0"/>
          <w:i w:val="0"/>
          <w:iCs w:val="0"/>
          <w:caps w:val="0"/>
          <w:smallCaps w:val="0"/>
          <w:noProof w:val="0"/>
          <w:color w:val="000000" w:themeColor="text1" w:themeTint="FF" w:themeShade="FF"/>
          <w:sz w:val="21"/>
          <w:szCs w:val="21"/>
          <w:lang w:val="en-GB"/>
        </w:rPr>
        <w:t xml:space="preserve">References </w:t>
      </w:r>
    </w:p>
    <w:p w:rsidR="2BBF1A94" w:rsidP="53436BF3" w:rsidRDefault="2BBF1A94" w14:paraId="2BAA5D87" w14:textId="55B86878">
      <w:pPr>
        <w:pStyle w:val="ListParagraph"/>
        <w:numPr>
          <w:ilvl w:val="0"/>
          <w:numId w:val="3"/>
        </w:numPr>
        <w:spacing w:before="210" w:beforeAutospacing="off" w:after="210" w:afterAutospacing="off" w:line="300" w:lineRule="auto"/>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pP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Allen, D. (2016) “Delayed discharge,” </w:t>
      </w:r>
      <w:r w:rsidRPr="53436BF3" w:rsidR="2BBF1A94">
        <w:rPr>
          <w:rFonts w:ascii="Georgia Pro" w:hAnsi="Georgia Pro" w:eastAsia="Georgia Pro" w:cs="Georgia Pro" w:asciiTheme="minorAscii" w:hAnsiTheme="minorAscii" w:eastAsiaTheme="minorAscii" w:cstheme="minorAscii"/>
          <w:b w:val="0"/>
          <w:bCs w:val="0"/>
          <w:i w:val="1"/>
          <w:iCs w:val="1"/>
          <w:noProof w:val="0"/>
          <w:color w:val="000000" w:themeColor="text1" w:themeTint="FF" w:themeShade="FF"/>
          <w:sz w:val="24"/>
          <w:szCs w:val="24"/>
          <w:u w:val="none"/>
          <w:lang w:val="en-GB"/>
        </w:rPr>
        <w:t>Nursing standard</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30(45), p. 15. Available at: </w:t>
      </w:r>
      <w:hyperlink r:id="R9e675bf585b44182">
        <w:r w:rsidRPr="53436BF3" w:rsidR="2BBF1A94">
          <w:rPr>
            <w:rStyle w:val="Hyperlink"/>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https://doi.org/10.7748/ns.30.45.15.s17</w:t>
        </w:r>
      </w:hyperlink>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w:t>
      </w:r>
    </w:p>
    <w:p w:rsidR="2BBF1A94" w:rsidP="53436BF3" w:rsidRDefault="2BBF1A94" w14:paraId="1C908080" w14:textId="2F7F82F1">
      <w:pPr>
        <w:pStyle w:val="ListParagraph"/>
        <w:numPr>
          <w:ilvl w:val="0"/>
          <w:numId w:val="3"/>
        </w:numPr>
        <w:spacing w:before="210" w:beforeAutospacing="off" w:after="210" w:afterAutospacing="off" w:line="300" w:lineRule="auto"/>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pP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Aggarwal, K. et al. (2024) “Exploring the Ramifications of Delayed Hospital Discharges: Impacts on Patients, Physicians, and Healthcare Systems,” </w:t>
      </w:r>
      <w:r w:rsidRPr="53436BF3" w:rsidR="2BBF1A94">
        <w:rPr>
          <w:rFonts w:ascii="Georgia Pro" w:hAnsi="Georgia Pro" w:eastAsia="Georgia Pro" w:cs="Georgia Pro" w:asciiTheme="minorAscii" w:hAnsiTheme="minorAscii" w:eastAsiaTheme="minorAscii" w:cstheme="minorAscii"/>
          <w:b w:val="0"/>
          <w:bCs w:val="0"/>
          <w:i w:val="1"/>
          <w:iCs w:val="1"/>
          <w:noProof w:val="0"/>
          <w:color w:val="000000" w:themeColor="text1" w:themeTint="FF" w:themeShade="FF"/>
          <w:sz w:val="24"/>
          <w:szCs w:val="24"/>
          <w:u w:val="none"/>
          <w:lang w:val="en-GB"/>
        </w:rPr>
        <w:t>Curēus</w:t>
      </w:r>
      <w:r w:rsidRPr="53436BF3" w:rsidR="2BBF1A94">
        <w:rPr>
          <w:rFonts w:ascii="Georgia Pro" w:hAnsi="Georgia Pro" w:eastAsia="Georgia Pro" w:cs="Georgia Pro" w:asciiTheme="minorAscii" w:hAnsiTheme="minorAscii" w:eastAsiaTheme="minorAscii" w:cstheme="minorAscii"/>
          <w:b w:val="0"/>
          <w:bCs w:val="0"/>
          <w:i w:val="1"/>
          <w:iCs w:val="1"/>
          <w:noProof w:val="0"/>
          <w:color w:val="000000" w:themeColor="text1" w:themeTint="FF" w:themeShade="FF"/>
          <w:sz w:val="24"/>
          <w:szCs w:val="24"/>
          <w:u w:val="none"/>
          <w:lang w:val="en-GB"/>
        </w:rPr>
        <w:t xml:space="preserve"> (Palo Alto, CA)</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16(5), p. e61249. Available at: </w:t>
      </w:r>
      <w:hyperlink r:id="R9139fdcd50d74d18">
        <w:r w:rsidRPr="53436BF3" w:rsidR="2BBF1A94">
          <w:rPr>
            <w:rStyle w:val="Hyperlink"/>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https://doi.org/10.7759/cureus.61249</w:t>
        </w:r>
      </w:hyperlink>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w:t>
      </w:r>
    </w:p>
    <w:p w:rsidR="2BBF1A94" w:rsidP="53436BF3" w:rsidRDefault="2BBF1A94" w14:paraId="0F5F2482" w14:textId="66D6CAB4">
      <w:pPr>
        <w:pStyle w:val="ListParagraph"/>
        <w:numPr>
          <w:ilvl w:val="0"/>
          <w:numId w:val="3"/>
        </w:numPr>
        <w:spacing w:before="210" w:beforeAutospacing="off" w:after="210" w:afterAutospacing="off" w:line="300" w:lineRule="auto"/>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pP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Benson, R., Drew, J. and Galland, R. (2006) “A Waiting List to Go Home: An Analysis of Delayed Discharges </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From</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Surgical Beds,” </w:t>
      </w:r>
      <w:r w:rsidRPr="53436BF3" w:rsidR="2BBF1A94">
        <w:rPr>
          <w:rFonts w:ascii="Georgia Pro" w:hAnsi="Georgia Pro" w:eastAsia="Georgia Pro" w:cs="Georgia Pro" w:asciiTheme="minorAscii" w:hAnsiTheme="minorAscii" w:eastAsiaTheme="minorAscii" w:cstheme="minorAscii"/>
          <w:b w:val="0"/>
          <w:bCs w:val="0"/>
          <w:i w:val="1"/>
          <w:iCs w:val="1"/>
          <w:noProof w:val="0"/>
          <w:color w:val="000000" w:themeColor="text1" w:themeTint="FF" w:themeShade="FF"/>
          <w:sz w:val="24"/>
          <w:szCs w:val="24"/>
          <w:u w:val="none"/>
          <w:lang w:val="en-GB"/>
        </w:rPr>
        <w:t>Annals of the Royal College of Surgeons of England</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88(7), pp. 650–652. Available at: </w:t>
      </w:r>
      <w:hyperlink r:id="R75ba637481c7417a">
        <w:r w:rsidRPr="53436BF3" w:rsidR="2BBF1A94">
          <w:rPr>
            <w:rStyle w:val="Hyperlink"/>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https://doi.org/10.1308/003588406X149246</w:t>
        </w:r>
      </w:hyperlink>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w:t>
      </w:r>
    </w:p>
    <w:p w:rsidR="2BBF1A94" w:rsidP="53436BF3" w:rsidRDefault="2BBF1A94" w14:paraId="778E606A" w14:textId="4C57C30B">
      <w:pPr>
        <w:pStyle w:val="ListParagraph"/>
        <w:numPr>
          <w:ilvl w:val="0"/>
          <w:numId w:val="3"/>
        </w:numPr>
        <w:spacing w:before="210" w:beforeAutospacing="off" w:after="210" w:afterAutospacing="off" w:line="300" w:lineRule="auto"/>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pP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Cam, H. et al. (2023) “The complexities of communication at hospital discharge of older patients: a qualitative study of healthcare professionals’ views,” </w:t>
      </w:r>
      <w:r w:rsidRPr="53436BF3" w:rsidR="2BBF1A94">
        <w:rPr>
          <w:rFonts w:ascii="Georgia Pro" w:hAnsi="Georgia Pro" w:eastAsia="Georgia Pro" w:cs="Georgia Pro" w:asciiTheme="minorAscii" w:hAnsiTheme="minorAscii" w:eastAsiaTheme="minorAscii" w:cstheme="minorAscii"/>
          <w:b w:val="0"/>
          <w:bCs w:val="0"/>
          <w:i w:val="1"/>
          <w:iCs w:val="1"/>
          <w:noProof w:val="0"/>
          <w:color w:val="000000" w:themeColor="text1" w:themeTint="FF" w:themeShade="FF"/>
          <w:sz w:val="24"/>
          <w:szCs w:val="24"/>
          <w:u w:val="none"/>
          <w:lang w:val="en-GB"/>
        </w:rPr>
        <w:t>BMC health services research</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23(1). Available at: </w:t>
      </w:r>
      <w:hyperlink r:id="Re0a9c972428c4d5a">
        <w:r w:rsidRPr="53436BF3" w:rsidR="2BBF1A94">
          <w:rPr>
            <w:rStyle w:val="Hyperlink"/>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https://doi.org/10.1186/s12913-023-10192-5</w:t>
        </w:r>
      </w:hyperlink>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w:t>
      </w:r>
    </w:p>
    <w:p w:rsidR="2BBF1A94" w:rsidP="53436BF3" w:rsidRDefault="2BBF1A94" w14:paraId="33B1F20C" w14:textId="6CD99EF7">
      <w:pPr>
        <w:pStyle w:val="ListParagraph"/>
        <w:numPr>
          <w:ilvl w:val="0"/>
          <w:numId w:val="3"/>
        </w:numPr>
        <w:spacing w:before="210" w:beforeAutospacing="off" w:after="210" w:afterAutospacing="off" w:line="300" w:lineRule="auto"/>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pP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Christ, G. (2022, October 3). BATTLING BOTTLENECKS; Post-acute staffing shortages cause months of hospital discharge delays. </w:t>
      </w:r>
      <w:r w:rsidRPr="53436BF3" w:rsidR="2BBF1A94">
        <w:rPr>
          <w:rFonts w:ascii="Georgia Pro" w:hAnsi="Georgia Pro" w:eastAsia="Georgia Pro" w:cs="Georgia Pro" w:asciiTheme="minorAscii" w:hAnsiTheme="minorAscii" w:eastAsiaTheme="minorAscii" w:cstheme="minorAscii"/>
          <w:b w:val="0"/>
          <w:bCs w:val="0"/>
          <w:i w:val="1"/>
          <w:iCs w:val="1"/>
          <w:noProof w:val="0"/>
          <w:color w:val="000000" w:themeColor="text1" w:themeTint="FF" w:themeShade="FF"/>
          <w:sz w:val="24"/>
          <w:szCs w:val="24"/>
          <w:u w:val="none"/>
          <w:lang w:val="en-GB"/>
        </w:rPr>
        <w:t>Modern Healthcare</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52(19), 18–0018.</w:t>
      </w:r>
    </w:p>
    <w:p w:rsidR="2BBF1A94" w:rsidP="53436BF3" w:rsidRDefault="2BBF1A94" w14:paraId="1569CEF6" w14:textId="732CF31C">
      <w:pPr>
        <w:pStyle w:val="ListParagraph"/>
        <w:numPr>
          <w:ilvl w:val="0"/>
          <w:numId w:val="3"/>
        </w:numPr>
        <w:spacing w:before="210" w:beforeAutospacing="off" w:after="210" w:afterAutospacing="off" w:line="300" w:lineRule="auto"/>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pP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Cqc.org.uk. (2024). Summary - Care Quality Commission. [online] Available at: </w:t>
      </w:r>
      <w:hyperlink r:id="R63471714b3ee44fe">
        <w:r w:rsidRPr="53436BF3" w:rsidR="2BBF1A94">
          <w:rPr>
            <w:rStyle w:val="Hyperlink"/>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https://www.cqc.org.uk/publications/major-report/state-care/2024-2025/summary</w:t>
        </w:r>
      </w:hyperlink>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w:t>
      </w:r>
    </w:p>
    <w:p w:rsidR="2BBF1A94" w:rsidP="53436BF3" w:rsidRDefault="2BBF1A94" w14:paraId="618AFD6C" w14:textId="5982DDBC">
      <w:pPr>
        <w:pStyle w:val="ListParagraph"/>
        <w:numPr>
          <w:ilvl w:val="0"/>
          <w:numId w:val="3"/>
        </w:numPr>
        <w:spacing w:before="210" w:beforeAutospacing="off" w:after="210" w:afterAutospacing="off" w:line="300" w:lineRule="auto"/>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pP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European Observatory on Health Systems and Policies, N.T. and </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Chair persons</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Astrid Eriksen (Germany), S.R. (UK) (2025) “5.K. Round table: A comparison of policies to reduce delayed discharges from hospital in four European countries,” </w:t>
      </w:r>
      <w:r w:rsidRPr="53436BF3" w:rsidR="2BBF1A94">
        <w:rPr>
          <w:rFonts w:ascii="Georgia Pro" w:hAnsi="Georgia Pro" w:eastAsia="Georgia Pro" w:cs="Georgia Pro" w:asciiTheme="minorAscii" w:hAnsiTheme="minorAscii" w:eastAsiaTheme="minorAscii" w:cstheme="minorAscii"/>
          <w:b w:val="0"/>
          <w:bCs w:val="0"/>
          <w:i w:val="1"/>
          <w:iCs w:val="1"/>
          <w:noProof w:val="0"/>
          <w:color w:val="000000" w:themeColor="text1" w:themeTint="FF" w:themeShade="FF"/>
          <w:sz w:val="24"/>
          <w:szCs w:val="24"/>
          <w:u w:val="none"/>
          <w:lang w:val="en-GB"/>
        </w:rPr>
        <w:t>European journal of public health</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35(Supplement_4). Available at: </w:t>
      </w:r>
      <w:hyperlink r:id="Re782f25b292e41e5">
        <w:r w:rsidRPr="53436BF3" w:rsidR="2BBF1A94">
          <w:rPr>
            <w:rStyle w:val="Hyperlink"/>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https://doi.org/10.1093/eurpub/ckaf161.273</w:t>
        </w:r>
      </w:hyperlink>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w:t>
      </w:r>
    </w:p>
    <w:p w:rsidR="2BBF1A94" w:rsidP="53436BF3" w:rsidRDefault="2BBF1A94" w14:paraId="3B2B2E42" w14:textId="5D71F29E">
      <w:pPr>
        <w:pStyle w:val="ListParagraph"/>
        <w:numPr>
          <w:ilvl w:val="0"/>
          <w:numId w:val="3"/>
        </w:numPr>
        <w:spacing w:before="210" w:beforeAutospacing="off" w:after="210" w:afterAutospacing="off" w:line="300" w:lineRule="auto"/>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pP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Everall, A.C. et al. (2019) “Patient and caregiver experience with delayed discharge from a hospital setting: A scoping review,” </w:t>
      </w:r>
      <w:r w:rsidRPr="53436BF3" w:rsidR="2BBF1A94">
        <w:rPr>
          <w:rFonts w:ascii="Georgia Pro" w:hAnsi="Georgia Pro" w:eastAsia="Georgia Pro" w:cs="Georgia Pro" w:asciiTheme="minorAscii" w:hAnsiTheme="minorAscii" w:eastAsiaTheme="minorAscii" w:cstheme="minorAscii"/>
          <w:b w:val="0"/>
          <w:bCs w:val="0"/>
          <w:i w:val="1"/>
          <w:iCs w:val="1"/>
          <w:noProof w:val="0"/>
          <w:color w:val="000000" w:themeColor="text1" w:themeTint="FF" w:themeShade="FF"/>
          <w:sz w:val="24"/>
          <w:szCs w:val="24"/>
          <w:u w:val="none"/>
          <w:lang w:val="en-GB"/>
        </w:rPr>
        <w:t>Health expectations: an international journal of public participation in health care and health policy</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22(5), pp. 863–873. Available at: </w:t>
      </w:r>
      <w:hyperlink r:id="R2d1947eb8fa54305">
        <w:r w:rsidRPr="53436BF3" w:rsidR="2BBF1A94">
          <w:rPr>
            <w:rStyle w:val="Hyperlink"/>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https://doi.org/10.1111/hex.12916</w:t>
        </w:r>
      </w:hyperlink>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w:t>
      </w:r>
    </w:p>
    <w:p w:rsidR="2BBF1A94" w:rsidP="53436BF3" w:rsidRDefault="2BBF1A94" w14:paraId="26980FA2" w14:textId="59139172">
      <w:pPr>
        <w:pStyle w:val="ListParagraph"/>
        <w:numPr>
          <w:ilvl w:val="0"/>
          <w:numId w:val="3"/>
        </w:numPr>
        <w:spacing w:before="210" w:beforeAutospacing="off" w:after="210" w:afterAutospacing="off" w:line="300" w:lineRule="auto"/>
        <w:rPr>
          <w:rFonts w:ascii="Georgia Pro" w:hAnsi="Georgia Pro" w:eastAsia="Georgia Pro" w:cs="Georgia Pro" w:asciiTheme="minorAscii" w:hAnsiTheme="minorAscii" w:eastAsiaTheme="minorAscii" w:cstheme="minorAscii"/>
          <w:color w:val="000000" w:themeColor="text1" w:themeTint="FF" w:themeShade="FF"/>
          <w:sz w:val="24"/>
          <w:szCs w:val="24"/>
          <w:u w:val="none"/>
        </w:rPr>
      </w:pP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Eriksen, A. &amp; Reed, S. (2025). 5.K. Round table: A comparison of policies to reduce delayed discharges from hospital in four European countries. </w:t>
      </w:r>
      <w:r w:rsidRPr="53436BF3" w:rsidR="2BBF1A94">
        <w:rPr>
          <w:rFonts w:ascii="Georgia Pro" w:hAnsi="Georgia Pro" w:eastAsia="Georgia Pro" w:cs="Georgia Pro" w:asciiTheme="minorAscii" w:hAnsiTheme="minorAscii" w:eastAsiaTheme="minorAscii" w:cstheme="minorAscii"/>
          <w:b w:val="0"/>
          <w:bCs w:val="0"/>
          <w:i w:val="1"/>
          <w:iCs w:val="1"/>
          <w:noProof w:val="0"/>
          <w:color w:val="000000" w:themeColor="text1" w:themeTint="FF" w:themeShade="FF"/>
          <w:sz w:val="24"/>
          <w:szCs w:val="24"/>
          <w:u w:val="none"/>
          <w:lang w:val="en-GB"/>
        </w:rPr>
        <w:t>European Journal of Public Health</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35(4). </w:t>
      </w:r>
      <w:hyperlink r:id="R9846032f13d8436b">
        <w:r w:rsidRPr="53436BF3" w:rsidR="2BBF1A94">
          <w:rPr>
            <w:rStyle w:val="Hyperlink"/>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https://doi.org/10.1093/eurpub/ckaf161.273</w:t>
        </w:r>
      </w:hyperlink>
    </w:p>
    <w:p w:rsidR="2BBF1A94" w:rsidP="53436BF3" w:rsidRDefault="2BBF1A94" w14:paraId="77F12DDB" w14:textId="5A913211">
      <w:pPr>
        <w:pStyle w:val="ListParagraph"/>
        <w:numPr>
          <w:ilvl w:val="0"/>
          <w:numId w:val="3"/>
        </w:numPr>
        <w:spacing w:before="210" w:beforeAutospacing="off" w:after="210" w:afterAutospacing="off" w:line="300" w:lineRule="auto"/>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pP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Godden, S., McCoy, </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D.</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and Pollock, A. (2009) “Policy on the rebound: trends and causes of delayed discharges in the NHS,” </w:t>
      </w:r>
      <w:r w:rsidRPr="53436BF3" w:rsidR="2BBF1A94">
        <w:rPr>
          <w:rFonts w:ascii="Georgia Pro" w:hAnsi="Georgia Pro" w:eastAsia="Georgia Pro" w:cs="Georgia Pro" w:asciiTheme="minorAscii" w:hAnsiTheme="minorAscii" w:eastAsiaTheme="minorAscii" w:cstheme="minorAscii"/>
          <w:b w:val="0"/>
          <w:bCs w:val="0"/>
          <w:i w:val="1"/>
          <w:iCs w:val="1"/>
          <w:noProof w:val="0"/>
          <w:color w:val="000000" w:themeColor="text1" w:themeTint="FF" w:themeShade="FF"/>
          <w:sz w:val="24"/>
          <w:szCs w:val="24"/>
          <w:u w:val="none"/>
          <w:lang w:val="en-GB"/>
        </w:rPr>
        <w:t>Journal of the Royal Society of Medicine</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102(1), pp. 22–28. Available at: </w:t>
      </w:r>
      <w:hyperlink r:id="R345423ed47f34739">
        <w:r w:rsidRPr="53436BF3" w:rsidR="2BBF1A94">
          <w:rPr>
            <w:rStyle w:val="Hyperlink"/>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https://doi.org/10.1258/jrsm.2008.080202</w:t>
        </w:r>
      </w:hyperlink>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w:t>
      </w:r>
    </w:p>
    <w:p w:rsidR="2BBF1A94" w:rsidP="53436BF3" w:rsidRDefault="2BBF1A94" w14:paraId="2F8CF8D1" w14:textId="142F5119">
      <w:pPr>
        <w:pStyle w:val="ListParagraph"/>
        <w:numPr>
          <w:ilvl w:val="0"/>
          <w:numId w:val="3"/>
        </w:numPr>
        <w:spacing w:before="210" w:beforeAutospacing="off" w:after="210" w:afterAutospacing="off" w:line="300" w:lineRule="auto"/>
        <w:rPr>
          <w:rFonts w:ascii="Georgia Pro" w:hAnsi="Georgia Pro" w:eastAsia="Georgia Pro" w:cs="Georgia Pro" w:asciiTheme="minorAscii" w:hAnsiTheme="minorAscii" w:eastAsiaTheme="minorAscii" w:cstheme="minorAscii"/>
          <w:color w:val="000000" w:themeColor="text1" w:themeTint="FF" w:themeShade="FF"/>
          <w:sz w:val="24"/>
          <w:szCs w:val="24"/>
          <w:u w:val="none"/>
        </w:rPr>
      </w:pP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Ibrahim, H., Harhara, T., Athar, S., Nair, S. C., &amp; </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Kamour</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A. M. (2022). Multi-Disciplinary Discharge Coordination Team to Overcome Discharge Barriers and Address the Risk of Delayed Discharges. </w:t>
      </w:r>
      <w:r w:rsidRPr="53436BF3" w:rsidR="2BBF1A94">
        <w:rPr>
          <w:rFonts w:ascii="Georgia Pro" w:hAnsi="Georgia Pro" w:eastAsia="Georgia Pro" w:cs="Georgia Pro" w:asciiTheme="minorAscii" w:hAnsiTheme="minorAscii" w:eastAsiaTheme="minorAscii" w:cstheme="minorAscii"/>
          <w:b w:val="0"/>
          <w:bCs w:val="0"/>
          <w:i w:val="1"/>
          <w:iCs w:val="1"/>
          <w:noProof w:val="0"/>
          <w:color w:val="000000" w:themeColor="text1" w:themeTint="FF" w:themeShade="FF"/>
          <w:sz w:val="24"/>
          <w:szCs w:val="24"/>
          <w:u w:val="none"/>
          <w:lang w:val="en-GB"/>
        </w:rPr>
        <w:t>Risk Management and Healthcare Policy</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15, 141–149. </w:t>
      </w:r>
      <w:hyperlink r:id="Rd63f117ad6a541a7">
        <w:r w:rsidRPr="53436BF3" w:rsidR="2BBF1A94">
          <w:rPr>
            <w:rStyle w:val="Hyperlink"/>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https://doi.org/10.2147/RMHP.S347693</w:t>
        </w:r>
      </w:hyperlink>
    </w:p>
    <w:p w:rsidR="2BBF1A94" w:rsidP="53436BF3" w:rsidRDefault="2BBF1A94" w14:paraId="0C04AB01" w14:textId="19D3FCB8">
      <w:pPr>
        <w:pStyle w:val="ListParagraph"/>
        <w:numPr>
          <w:ilvl w:val="0"/>
          <w:numId w:val="3"/>
        </w:numPr>
        <w:spacing w:before="210" w:beforeAutospacing="off" w:after="210" w:afterAutospacing="off" w:line="300" w:lineRule="auto"/>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pP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Landeiro</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F., Leal, </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J.</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and Gray, A.M. (2016) “The impact of social isolation on delayed hospital discharges of older hip fracture patients and associated costs,” </w:t>
      </w:r>
      <w:r w:rsidRPr="53436BF3" w:rsidR="2BBF1A94">
        <w:rPr>
          <w:rFonts w:ascii="Georgia Pro" w:hAnsi="Georgia Pro" w:eastAsia="Georgia Pro" w:cs="Georgia Pro" w:asciiTheme="minorAscii" w:hAnsiTheme="minorAscii" w:eastAsiaTheme="minorAscii" w:cstheme="minorAscii"/>
          <w:b w:val="0"/>
          <w:bCs w:val="0"/>
          <w:i w:val="1"/>
          <w:iCs w:val="1"/>
          <w:noProof w:val="0"/>
          <w:color w:val="000000" w:themeColor="text1" w:themeTint="FF" w:themeShade="FF"/>
          <w:sz w:val="24"/>
          <w:szCs w:val="24"/>
          <w:u w:val="none"/>
          <w:lang w:val="en-GB"/>
        </w:rPr>
        <w:t>Osteoporosis international</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27(2), pp. 737–745. Available at: </w:t>
      </w:r>
      <w:hyperlink r:id="Rd1179492ee574c29">
        <w:r w:rsidRPr="53436BF3" w:rsidR="2BBF1A94">
          <w:rPr>
            <w:rStyle w:val="Hyperlink"/>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https://doi.org/10.1007/s00198-015-3293-9</w:t>
        </w:r>
      </w:hyperlink>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w:t>
      </w:r>
    </w:p>
    <w:p w:rsidR="2BBF1A94" w:rsidP="53436BF3" w:rsidRDefault="2BBF1A94" w14:paraId="4996F1B2" w14:textId="0771F0CD">
      <w:pPr>
        <w:pStyle w:val="ListParagraph"/>
        <w:numPr>
          <w:ilvl w:val="0"/>
          <w:numId w:val="3"/>
        </w:numPr>
        <w:spacing w:before="210" w:beforeAutospacing="off" w:after="210" w:afterAutospacing="off" w:line="300" w:lineRule="auto"/>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pP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Lombard.co.uk. (2026). UK Health and Social Care Outlook 2026: under pressure, poised for transformation | Lombard. [online] Available at: </w:t>
      </w:r>
      <w:hyperlink r:id="Re53af03756eb4059">
        <w:r w:rsidRPr="53436BF3" w:rsidR="2BBF1A94">
          <w:rPr>
            <w:rStyle w:val="Hyperlink"/>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https://www.lombard.co.uk/insights/sector-trends/public-sector-and-society/uk-health-care-2026-under-pressure-poised-for-transformation.html</w:t>
        </w:r>
      </w:hyperlink>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[Accessed 6 Mar. 2026].</w:t>
      </w:r>
    </w:p>
    <w:p w:rsidR="2BBF1A94" w:rsidP="53436BF3" w:rsidRDefault="2BBF1A94" w14:paraId="7EC21728" w14:textId="38B9998C">
      <w:pPr>
        <w:pStyle w:val="ListParagraph"/>
        <w:numPr>
          <w:ilvl w:val="0"/>
          <w:numId w:val="3"/>
        </w:numPr>
        <w:spacing w:before="210" w:beforeAutospacing="off" w:after="210" w:afterAutospacing="off" w:line="300" w:lineRule="auto"/>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pP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Mann, L. (2016) “Delayed discharges within community hospitals: A qualitative study investigating the perspectives of frontline health and social care professionals,” </w:t>
      </w:r>
      <w:r w:rsidRPr="53436BF3" w:rsidR="2BBF1A94">
        <w:rPr>
          <w:rFonts w:ascii="Georgia Pro" w:hAnsi="Georgia Pro" w:eastAsia="Georgia Pro" w:cs="Georgia Pro" w:asciiTheme="minorAscii" w:hAnsiTheme="minorAscii" w:eastAsiaTheme="minorAscii" w:cstheme="minorAscii"/>
          <w:b w:val="0"/>
          <w:bCs w:val="0"/>
          <w:i w:val="1"/>
          <w:iCs w:val="1"/>
          <w:noProof w:val="0"/>
          <w:color w:val="000000" w:themeColor="text1" w:themeTint="FF" w:themeShade="FF"/>
          <w:sz w:val="24"/>
          <w:szCs w:val="24"/>
          <w:u w:val="none"/>
          <w:lang w:val="en-GB"/>
        </w:rPr>
        <w:t>Journal of integrated care (Brighton, England)</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24(5/6), pp. 260–270. Available at: </w:t>
      </w:r>
      <w:hyperlink r:id="Re0174e12ab5d4532">
        <w:r w:rsidRPr="53436BF3" w:rsidR="2BBF1A94">
          <w:rPr>
            <w:rStyle w:val="Hyperlink"/>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https://doi.org/10.1108/JICA-06-2016-0023</w:t>
        </w:r>
      </w:hyperlink>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w:t>
      </w:r>
    </w:p>
    <w:p w:rsidR="2BBF1A94" w:rsidP="53436BF3" w:rsidRDefault="2BBF1A94" w14:paraId="039E538A" w14:textId="271FBEA9">
      <w:pPr>
        <w:pStyle w:val="ListParagraph"/>
        <w:numPr>
          <w:ilvl w:val="0"/>
          <w:numId w:val="3"/>
        </w:numPr>
        <w:spacing w:before="210" w:beforeAutospacing="off" w:after="210" w:afterAutospacing="off" w:line="300" w:lineRule="auto"/>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pP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Manzano-Santaella, A. (2010) “From bed-blocking to delayed discharges: precursors and interpretations of a contested concept,” </w:t>
      </w:r>
      <w:r w:rsidRPr="53436BF3" w:rsidR="2BBF1A94">
        <w:rPr>
          <w:rFonts w:ascii="Georgia Pro" w:hAnsi="Georgia Pro" w:eastAsia="Georgia Pro" w:cs="Georgia Pro" w:asciiTheme="minorAscii" w:hAnsiTheme="minorAscii" w:eastAsiaTheme="minorAscii" w:cstheme="minorAscii"/>
          <w:b w:val="0"/>
          <w:bCs w:val="0"/>
          <w:i w:val="1"/>
          <w:iCs w:val="1"/>
          <w:noProof w:val="0"/>
          <w:color w:val="000000" w:themeColor="text1" w:themeTint="FF" w:themeShade="FF"/>
          <w:sz w:val="24"/>
          <w:szCs w:val="24"/>
          <w:u w:val="none"/>
          <w:lang w:val="en-GB"/>
        </w:rPr>
        <w:t>Health services management research</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23(3), pp. 121–127. Available at: </w:t>
      </w:r>
      <w:hyperlink r:id="R4c9dd6e11a514fab">
        <w:r w:rsidRPr="53436BF3" w:rsidR="2BBF1A94">
          <w:rPr>
            <w:rStyle w:val="Hyperlink"/>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https://doi.org/10.1258/hsmr.2009.009026</w:t>
        </w:r>
      </w:hyperlink>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w:t>
      </w:r>
    </w:p>
    <w:p w:rsidR="2BBF1A94" w:rsidP="53436BF3" w:rsidRDefault="2BBF1A94" w14:paraId="10DDE38F" w14:textId="3F0627F9">
      <w:pPr>
        <w:pStyle w:val="ListParagraph"/>
        <w:numPr>
          <w:ilvl w:val="0"/>
          <w:numId w:val="3"/>
        </w:numPr>
        <w:spacing w:before="210" w:beforeAutospacing="off" w:after="210" w:afterAutospacing="off" w:line="300" w:lineRule="auto"/>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pP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Mennuni</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M. et al. (2017) “ANMCO Position Paper: hospital discharge planning: recommendations and standards,” </w:t>
      </w:r>
      <w:r w:rsidRPr="53436BF3" w:rsidR="2BBF1A94">
        <w:rPr>
          <w:rFonts w:ascii="Georgia Pro" w:hAnsi="Georgia Pro" w:eastAsia="Georgia Pro" w:cs="Georgia Pro" w:asciiTheme="minorAscii" w:hAnsiTheme="minorAscii" w:eastAsiaTheme="minorAscii" w:cstheme="minorAscii"/>
          <w:b w:val="0"/>
          <w:bCs w:val="0"/>
          <w:i w:val="1"/>
          <w:iCs w:val="1"/>
          <w:noProof w:val="0"/>
          <w:color w:val="000000" w:themeColor="text1" w:themeTint="FF" w:themeShade="FF"/>
          <w:sz w:val="24"/>
          <w:szCs w:val="24"/>
          <w:u w:val="none"/>
          <w:lang w:val="en-GB"/>
        </w:rPr>
        <w:t>European heart journal supplements</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19(</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suppl_D</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pp. D244–D255. Available at: </w:t>
      </w:r>
      <w:hyperlink r:id="R6f12d8c4a2cf4164">
        <w:r w:rsidRPr="53436BF3" w:rsidR="2BBF1A94">
          <w:rPr>
            <w:rStyle w:val="Hyperlink"/>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https://doi.org/10.1093/eurheartj/sux011</w:t>
        </w:r>
      </w:hyperlink>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w:t>
      </w:r>
    </w:p>
    <w:p w:rsidR="2BBF1A94" w:rsidP="53436BF3" w:rsidRDefault="2BBF1A94" w14:paraId="6DDBE698" w14:textId="0677653E">
      <w:pPr>
        <w:pStyle w:val="ListParagraph"/>
        <w:numPr>
          <w:ilvl w:val="0"/>
          <w:numId w:val="3"/>
        </w:numPr>
        <w:spacing w:before="210" w:beforeAutospacing="off" w:after="210" w:afterAutospacing="off" w:line="300" w:lineRule="auto"/>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pP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PE Global. (2026). Healthcare Staffing in 2026: Balancing Patient Demand </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With</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Workforce Fatigue. [online] Available at: </w:t>
      </w:r>
      <w:hyperlink r:id="R40cda792d0774d75">
        <w:r w:rsidRPr="53436BF3" w:rsidR="2BBF1A94">
          <w:rPr>
            <w:rStyle w:val="Hyperlink"/>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https://www.peglobal.net/blog/healthcare-staffing-in-2026-balancing-patient-demand-with-workforce-fatigue/</w:t>
        </w:r>
      </w:hyperlink>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[Accessed 6 Mar. 2026].</w:t>
      </w:r>
    </w:p>
    <w:p w:rsidR="2BBF1A94" w:rsidP="53436BF3" w:rsidRDefault="2BBF1A94" w14:paraId="446A03B7" w14:textId="1A0633FC">
      <w:pPr>
        <w:pStyle w:val="ListParagraph"/>
        <w:numPr>
          <w:ilvl w:val="0"/>
          <w:numId w:val="3"/>
        </w:numPr>
        <w:spacing w:before="210" w:beforeAutospacing="off" w:after="210" w:afterAutospacing="off" w:line="300" w:lineRule="auto"/>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pP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Pinelli, V., Stuckey, </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H.L.</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and Gonzalo, J.D. (2017) “Exploring challenges in the patient’s discharge process from the internal medicine service: A qualitative study of patients’ and providers’ perceptions,” </w:t>
      </w:r>
      <w:r w:rsidRPr="53436BF3" w:rsidR="2BBF1A94">
        <w:rPr>
          <w:rFonts w:ascii="Georgia Pro" w:hAnsi="Georgia Pro" w:eastAsia="Georgia Pro" w:cs="Georgia Pro" w:asciiTheme="minorAscii" w:hAnsiTheme="minorAscii" w:eastAsiaTheme="minorAscii" w:cstheme="minorAscii"/>
          <w:b w:val="0"/>
          <w:bCs w:val="0"/>
          <w:i w:val="1"/>
          <w:iCs w:val="1"/>
          <w:noProof w:val="0"/>
          <w:color w:val="000000" w:themeColor="text1" w:themeTint="FF" w:themeShade="FF"/>
          <w:sz w:val="24"/>
          <w:szCs w:val="24"/>
          <w:u w:val="none"/>
          <w:lang w:val="en-GB"/>
        </w:rPr>
        <w:t>Journal of interprofessional care</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31(5), pp. 566–574. Available at: </w:t>
      </w:r>
      <w:hyperlink r:id="R897b922147d543cd">
        <w:r w:rsidRPr="53436BF3" w:rsidR="2BBF1A94">
          <w:rPr>
            <w:rStyle w:val="Hyperlink"/>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https://doi.org/10.1080/13561820.2017.1322562</w:t>
        </w:r>
      </w:hyperlink>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w:t>
      </w:r>
    </w:p>
    <w:p w:rsidR="2BBF1A94" w:rsidP="53436BF3" w:rsidRDefault="2BBF1A94" w14:paraId="71FF030D" w14:textId="29A3EFB3">
      <w:pPr>
        <w:pStyle w:val="ListParagraph"/>
        <w:numPr>
          <w:ilvl w:val="0"/>
          <w:numId w:val="3"/>
        </w:numPr>
        <w:spacing w:before="210" w:beforeAutospacing="off" w:after="210" w:afterAutospacing="off" w:line="300" w:lineRule="auto"/>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pP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Rojas‐García, A. et al. (2018) “Impact and experiences of delayed discharge: A mixed‐studies systematic review,” </w:t>
      </w:r>
      <w:r w:rsidRPr="53436BF3" w:rsidR="2BBF1A94">
        <w:rPr>
          <w:rFonts w:ascii="Georgia Pro" w:hAnsi="Georgia Pro" w:eastAsia="Georgia Pro" w:cs="Georgia Pro" w:asciiTheme="minorAscii" w:hAnsiTheme="minorAscii" w:eastAsiaTheme="minorAscii" w:cstheme="minorAscii"/>
          <w:b w:val="0"/>
          <w:bCs w:val="0"/>
          <w:i w:val="1"/>
          <w:iCs w:val="1"/>
          <w:noProof w:val="0"/>
          <w:color w:val="000000" w:themeColor="text1" w:themeTint="FF" w:themeShade="FF"/>
          <w:sz w:val="24"/>
          <w:szCs w:val="24"/>
          <w:u w:val="none"/>
          <w:lang w:val="en-GB"/>
        </w:rPr>
        <w:t>Health expectations</w:t>
      </w: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21(1), pp. 41–56. Available at: </w:t>
      </w:r>
      <w:hyperlink r:id="R82ff221ca45c4514">
        <w:r w:rsidRPr="53436BF3" w:rsidR="2BBF1A94">
          <w:rPr>
            <w:rStyle w:val="Hyperlink"/>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https://doi.org/10.1111/hex.12619</w:t>
        </w:r>
      </w:hyperlink>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w:t>
      </w:r>
    </w:p>
    <w:p w:rsidR="2BBF1A94" w:rsidP="53436BF3" w:rsidRDefault="2BBF1A94" w14:paraId="5C95E41B" w14:textId="33546615">
      <w:pPr>
        <w:pStyle w:val="ListParagraph"/>
        <w:numPr>
          <w:ilvl w:val="0"/>
          <w:numId w:val="3"/>
        </w:numPr>
        <w:spacing w:before="210" w:beforeAutospacing="off" w:after="210" w:afterAutospacing="off" w:line="300" w:lineRule="auto"/>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pP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Tomas (2026). How Social Care Funding Works in the UK: Means Tests, Thresholds &amp; Council Contributions. [online] Allhealthandcare.co.uk. Available at: </w:t>
      </w:r>
      <w:hyperlink r:id="Rcfc8185dce6f4f37">
        <w:r w:rsidRPr="53436BF3" w:rsidR="2BBF1A94">
          <w:rPr>
            <w:rStyle w:val="Hyperlink"/>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https://allhealthandcare.co.uk/resources/how-social-care-funding-works-in-uk</w:t>
        </w:r>
      </w:hyperlink>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[Accessed 6 Mar. 2026].</w:t>
      </w:r>
    </w:p>
    <w:p w:rsidR="2BBF1A94" w:rsidP="53436BF3" w:rsidRDefault="2BBF1A94" w14:paraId="7548FA78" w14:textId="60AEB73D">
      <w:pPr>
        <w:pStyle w:val="ListParagraph"/>
        <w:numPr>
          <w:ilvl w:val="0"/>
          <w:numId w:val="3"/>
        </w:numPr>
        <w:spacing w:before="210" w:beforeAutospacing="off" w:after="210" w:afterAutospacing="off" w:line="300" w:lineRule="auto"/>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pPr>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Tomas (2026). Why the UK Social Care Sector Is in Crisis (Workforce, Pay &amp; Funding). [online] Allhealthandcare.co.uk. Available at: </w:t>
      </w:r>
      <w:hyperlink r:id="R5232d52c72cb41f2">
        <w:r w:rsidRPr="53436BF3" w:rsidR="2BBF1A94">
          <w:rPr>
            <w:rStyle w:val="Hyperlink"/>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https://allhealthandcare.co.uk/resources/why-the-uk-social-care-sector-is-in-crisis</w:t>
        </w:r>
      </w:hyperlink>
      <w:r w:rsidRPr="53436BF3" w:rsidR="2BBF1A94">
        <w:rPr>
          <w:rFonts w:ascii="Georgia Pro" w:hAnsi="Georgia Pro" w:eastAsia="Georgia Pro" w:cs="Georgia Pro"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[Accessed 1 Feb. 2026].</w:t>
      </w:r>
    </w:p>
    <w:p w:rsidR="53436BF3" w:rsidP="53436BF3" w:rsidRDefault="53436BF3" w14:paraId="7135AB51" w14:textId="342B45FF">
      <w:pPr>
        <w:pStyle w:val="Normal"/>
        <w:rPr>
          <w:rFonts w:ascii="Georgia Pro" w:hAnsi="Georgia Pro" w:eastAsia="Georgia Pro" w:cs="Georgia Pro"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p>
    <w:sectPr>
      <w:pgSz w:w="12240" w:h="15840" w:orient="portrait"/>
      <w:pgMar w:top="1440" w:right="1440" w:bottom="1440" w:left="1440" w:header="720" w:footer="720" w:gutter="0"/>
      <w:cols w:space="720"/>
      <w:docGrid w:linePitch="360"/>
      <w:headerReference w:type="default" r:id="R113048a4745946f4"/>
      <w:footerReference w:type="default" r:id="Rbfdb7f6e982248e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5569B31" w:rsidTr="65569B31" w14:paraId="3FE5F7F8">
      <w:trPr>
        <w:trHeight w:val="300"/>
      </w:trPr>
      <w:tc>
        <w:tcPr>
          <w:tcW w:w="3120" w:type="dxa"/>
          <w:tcMar/>
        </w:tcPr>
        <w:p w:rsidR="65569B31" w:rsidP="65569B31" w:rsidRDefault="65569B31" w14:paraId="39FD3109" w14:textId="42E4F686">
          <w:pPr>
            <w:pStyle w:val="Header"/>
            <w:bidi w:val="0"/>
            <w:ind w:left="-115"/>
            <w:jc w:val="left"/>
          </w:pPr>
        </w:p>
      </w:tc>
      <w:tc>
        <w:tcPr>
          <w:tcW w:w="3120" w:type="dxa"/>
          <w:tcMar/>
        </w:tcPr>
        <w:p w:rsidR="65569B31" w:rsidP="65569B31" w:rsidRDefault="65569B31" w14:paraId="70911297" w14:textId="72DA7246">
          <w:pPr>
            <w:pStyle w:val="Header"/>
            <w:bidi w:val="0"/>
            <w:jc w:val="center"/>
          </w:pPr>
          <w:r>
            <w:fldChar w:fldCharType="begin"/>
          </w:r>
          <w:r>
            <w:instrText xml:space="preserve">PAGE</w:instrText>
          </w:r>
          <w:r>
            <w:fldChar w:fldCharType="separate"/>
          </w:r>
          <w:r>
            <w:fldChar w:fldCharType="end"/>
          </w:r>
        </w:p>
      </w:tc>
      <w:tc>
        <w:tcPr>
          <w:tcW w:w="3120" w:type="dxa"/>
          <w:tcMar/>
        </w:tcPr>
        <w:p w:rsidR="65569B31" w:rsidP="65569B31" w:rsidRDefault="65569B31" w14:paraId="3CA0395E" w14:textId="2B505BAD">
          <w:pPr>
            <w:pStyle w:val="Header"/>
            <w:bidi w:val="0"/>
            <w:ind w:right="-115"/>
            <w:jc w:val="right"/>
          </w:pPr>
        </w:p>
      </w:tc>
    </w:tr>
  </w:tbl>
  <w:p w:rsidR="65569B31" w:rsidP="65569B31" w:rsidRDefault="65569B31" w14:paraId="599F1CFF" w14:textId="0094F25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5569B31" w:rsidTr="65569B31" w14:paraId="0F67B867">
      <w:trPr>
        <w:trHeight w:val="300"/>
      </w:trPr>
      <w:tc>
        <w:tcPr>
          <w:tcW w:w="3120" w:type="dxa"/>
          <w:tcMar/>
        </w:tcPr>
        <w:p w:rsidR="65569B31" w:rsidP="65569B31" w:rsidRDefault="65569B31" w14:paraId="29CDC20C" w14:textId="622D4126">
          <w:pPr>
            <w:pStyle w:val="Header"/>
            <w:bidi w:val="0"/>
            <w:ind w:left="-115"/>
            <w:jc w:val="left"/>
          </w:pPr>
          <w:r w:rsidR="65569B31">
            <w:rPr/>
            <w:t xml:space="preserve">Dorothy Apio </w:t>
          </w:r>
        </w:p>
      </w:tc>
      <w:tc>
        <w:tcPr>
          <w:tcW w:w="3120" w:type="dxa"/>
          <w:tcMar/>
        </w:tcPr>
        <w:p w:rsidR="65569B31" w:rsidP="65569B31" w:rsidRDefault="65569B31" w14:paraId="2F5A6E0F" w14:textId="593F257D">
          <w:pPr>
            <w:pStyle w:val="Header"/>
            <w:bidi w:val="0"/>
            <w:jc w:val="center"/>
          </w:pPr>
        </w:p>
      </w:tc>
      <w:tc>
        <w:tcPr>
          <w:tcW w:w="3120" w:type="dxa"/>
          <w:tcMar/>
        </w:tcPr>
        <w:p w:rsidR="65569B31" w:rsidP="65569B31" w:rsidRDefault="65569B31" w14:paraId="02191C84" w14:textId="63D6B9F1">
          <w:pPr>
            <w:pStyle w:val="Header"/>
            <w:bidi w:val="0"/>
            <w:ind w:right="-115"/>
            <w:jc w:val="right"/>
          </w:pPr>
          <w:r w:rsidR="65569B31">
            <w:rPr/>
            <w:t>1705644</w:t>
          </w:r>
        </w:p>
      </w:tc>
    </w:tr>
  </w:tbl>
  <w:p w:rsidR="65569B31" w:rsidP="65569B31" w:rsidRDefault="65569B31" w14:paraId="7E96222F" w14:textId="3DA07B06">
    <w:pPr>
      <w:pStyle w:val="Header"/>
      <w:bidi w:val="0"/>
    </w:pPr>
  </w:p>
</w:hdr>
</file>

<file path=word/numbering.xml><?xml version="1.0" encoding="utf-8"?>
<w:numbering xmlns:w="http://schemas.openxmlformats.org/wordprocessingml/2006/main">
  <w:abstractNum xmlns:w="http://schemas.openxmlformats.org/wordprocessingml/2006/main" w:abstractNumId="3">
    <w:nsid w:val="7fec9f4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acf5d7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d8b672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815A35"/>
    <w:rsid w:val="00318296"/>
    <w:rsid w:val="00837080"/>
    <w:rsid w:val="01109929"/>
    <w:rsid w:val="013A256E"/>
    <w:rsid w:val="01B7898E"/>
    <w:rsid w:val="0224F421"/>
    <w:rsid w:val="0243D9C8"/>
    <w:rsid w:val="02681479"/>
    <w:rsid w:val="02E3ED4A"/>
    <w:rsid w:val="03AD71E4"/>
    <w:rsid w:val="040840E1"/>
    <w:rsid w:val="049D9AFC"/>
    <w:rsid w:val="053EEBE8"/>
    <w:rsid w:val="057111CE"/>
    <w:rsid w:val="0585858C"/>
    <w:rsid w:val="05C47761"/>
    <w:rsid w:val="063EF4D6"/>
    <w:rsid w:val="07B6527D"/>
    <w:rsid w:val="08A753E0"/>
    <w:rsid w:val="0A60A172"/>
    <w:rsid w:val="0B69E1CD"/>
    <w:rsid w:val="0BB1E024"/>
    <w:rsid w:val="0C29640D"/>
    <w:rsid w:val="0C3CBF25"/>
    <w:rsid w:val="0CDF2584"/>
    <w:rsid w:val="0F60C98F"/>
    <w:rsid w:val="0F838C01"/>
    <w:rsid w:val="1011B55A"/>
    <w:rsid w:val="10C7AE65"/>
    <w:rsid w:val="1193A8AC"/>
    <w:rsid w:val="123F7A33"/>
    <w:rsid w:val="125907A7"/>
    <w:rsid w:val="136FF8BD"/>
    <w:rsid w:val="13C4CCC0"/>
    <w:rsid w:val="13D96283"/>
    <w:rsid w:val="1445DEB5"/>
    <w:rsid w:val="144A8857"/>
    <w:rsid w:val="14764053"/>
    <w:rsid w:val="15CF70E8"/>
    <w:rsid w:val="1705231E"/>
    <w:rsid w:val="17918E6A"/>
    <w:rsid w:val="17C4CF91"/>
    <w:rsid w:val="17F05705"/>
    <w:rsid w:val="18C2C6FE"/>
    <w:rsid w:val="191C07E4"/>
    <w:rsid w:val="198BDC17"/>
    <w:rsid w:val="1B036B82"/>
    <w:rsid w:val="1B3A5BFE"/>
    <w:rsid w:val="1BA1BF6C"/>
    <w:rsid w:val="1BEBC68A"/>
    <w:rsid w:val="1C22A53C"/>
    <w:rsid w:val="1CC906E3"/>
    <w:rsid w:val="1D7E9E58"/>
    <w:rsid w:val="1DA5D469"/>
    <w:rsid w:val="1DD6A622"/>
    <w:rsid w:val="1EA240DB"/>
    <w:rsid w:val="1F3635F4"/>
    <w:rsid w:val="1FAE907E"/>
    <w:rsid w:val="1FBE8C11"/>
    <w:rsid w:val="20ECF379"/>
    <w:rsid w:val="210CCDA0"/>
    <w:rsid w:val="2156B9D4"/>
    <w:rsid w:val="21AFB7A8"/>
    <w:rsid w:val="21E1399C"/>
    <w:rsid w:val="2213336B"/>
    <w:rsid w:val="22CCA073"/>
    <w:rsid w:val="2307866C"/>
    <w:rsid w:val="239C8DCE"/>
    <w:rsid w:val="24548E23"/>
    <w:rsid w:val="24882FD2"/>
    <w:rsid w:val="24EAF3CF"/>
    <w:rsid w:val="255B1AEA"/>
    <w:rsid w:val="262FFD18"/>
    <w:rsid w:val="264C6110"/>
    <w:rsid w:val="2668BC3E"/>
    <w:rsid w:val="26F6FD4F"/>
    <w:rsid w:val="283D419D"/>
    <w:rsid w:val="28DC2967"/>
    <w:rsid w:val="2A0D6B30"/>
    <w:rsid w:val="2A239230"/>
    <w:rsid w:val="2AA1F396"/>
    <w:rsid w:val="2B6A0ADB"/>
    <w:rsid w:val="2BBF1A94"/>
    <w:rsid w:val="2BE58BA4"/>
    <w:rsid w:val="2C8BC96A"/>
    <w:rsid w:val="2CD8C3DC"/>
    <w:rsid w:val="2D76271D"/>
    <w:rsid w:val="2DB094F3"/>
    <w:rsid w:val="2DD17CD6"/>
    <w:rsid w:val="2DD7D20F"/>
    <w:rsid w:val="2DE91BAF"/>
    <w:rsid w:val="2F0ECB96"/>
    <w:rsid w:val="2F1C41C6"/>
    <w:rsid w:val="2F90F9F9"/>
    <w:rsid w:val="2FB1F973"/>
    <w:rsid w:val="306E702A"/>
    <w:rsid w:val="30CEA21D"/>
    <w:rsid w:val="310E4DCC"/>
    <w:rsid w:val="314F780E"/>
    <w:rsid w:val="31A407BA"/>
    <w:rsid w:val="31DF90AB"/>
    <w:rsid w:val="323756E0"/>
    <w:rsid w:val="339A819F"/>
    <w:rsid w:val="34CC7B96"/>
    <w:rsid w:val="3523D768"/>
    <w:rsid w:val="35B4507E"/>
    <w:rsid w:val="3721FEB5"/>
    <w:rsid w:val="375AE11F"/>
    <w:rsid w:val="376F78B3"/>
    <w:rsid w:val="377D846B"/>
    <w:rsid w:val="388565CE"/>
    <w:rsid w:val="39061948"/>
    <w:rsid w:val="39879D2A"/>
    <w:rsid w:val="39C17D83"/>
    <w:rsid w:val="39C460EA"/>
    <w:rsid w:val="39E3036F"/>
    <w:rsid w:val="39EEA3C4"/>
    <w:rsid w:val="3A2E46CD"/>
    <w:rsid w:val="3A9723AF"/>
    <w:rsid w:val="3B29B655"/>
    <w:rsid w:val="3B30742C"/>
    <w:rsid w:val="3B50AD35"/>
    <w:rsid w:val="3B597B40"/>
    <w:rsid w:val="3BA04A8A"/>
    <w:rsid w:val="3BE8676E"/>
    <w:rsid w:val="3D11323E"/>
    <w:rsid w:val="3D892037"/>
    <w:rsid w:val="3E21EE53"/>
    <w:rsid w:val="3E3793B8"/>
    <w:rsid w:val="3F24D808"/>
    <w:rsid w:val="3F358883"/>
    <w:rsid w:val="3FA84B56"/>
    <w:rsid w:val="4006418F"/>
    <w:rsid w:val="40BB504D"/>
    <w:rsid w:val="416E2EC7"/>
    <w:rsid w:val="418B5A06"/>
    <w:rsid w:val="4202FC28"/>
    <w:rsid w:val="4224651D"/>
    <w:rsid w:val="4276CCA2"/>
    <w:rsid w:val="42814150"/>
    <w:rsid w:val="429F33EC"/>
    <w:rsid w:val="42AB1AEC"/>
    <w:rsid w:val="433497E3"/>
    <w:rsid w:val="4364D0D2"/>
    <w:rsid w:val="43C5E046"/>
    <w:rsid w:val="44B4B588"/>
    <w:rsid w:val="44E6129A"/>
    <w:rsid w:val="45B615CF"/>
    <w:rsid w:val="467384AF"/>
    <w:rsid w:val="46DBC746"/>
    <w:rsid w:val="46E6FDC6"/>
    <w:rsid w:val="46F579D1"/>
    <w:rsid w:val="471E3231"/>
    <w:rsid w:val="47FB7B09"/>
    <w:rsid w:val="487DD4CB"/>
    <w:rsid w:val="48904879"/>
    <w:rsid w:val="495DD54D"/>
    <w:rsid w:val="49EC797A"/>
    <w:rsid w:val="4B3A1797"/>
    <w:rsid w:val="4B4E760F"/>
    <w:rsid w:val="4B5478AA"/>
    <w:rsid w:val="4BA08DF6"/>
    <w:rsid w:val="4C52B1FB"/>
    <w:rsid w:val="4E3DEC02"/>
    <w:rsid w:val="4E855951"/>
    <w:rsid w:val="4E8CDD9F"/>
    <w:rsid w:val="4EAF7338"/>
    <w:rsid w:val="4ECA42C6"/>
    <w:rsid w:val="4ECD0C56"/>
    <w:rsid w:val="4EFAC55B"/>
    <w:rsid w:val="4F6B492C"/>
    <w:rsid w:val="4FBA8098"/>
    <w:rsid w:val="4FFAD17C"/>
    <w:rsid w:val="50187704"/>
    <w:rsid w:val="5032A206"/>
    <w:rsid w:val="518DD7EE"/>
    <w:rsid w:val="51A1DB9E"/>
    <w:rsid w:val="524DE135"/>
    <w:rsid w:val="524F2CC1"/>
    <w:rsid w:val="534230EF"/>
    <w:rsid w:val="53436BF3"/>
    <w:rsid w:val="53E434DA"/>
    <w:rsid w:val="54110F9B"/>
    <w:rsid w:val="5491236E"/>
    <w:rsid w:val="54D14C6D"/>
    <w:rsid w:val="5575593C"/>
    <w:rsid w:val="55BA96A4"/>
    <w:rsid w:val="56A4CC58"/>
    <w:rsid w:val="56B9F7E9"/>
    <w:rsid w:val="57465B69"/>
    <w:rsid w:val="5823AB86"/>
    <w:rsid w:val="58D36F4C"/>
    <w:rsid w:val="5A0091E6"/>
    <w:rsid w:val="5AA9C6E1"/>
    <w:rsid w:val="5AC41A52"/>
    <w:rsid w:val="5B734B93"/>
    <w:rsid w:val="5BF7A168"/>
    <w:rsid w:val="5C9466F6"/>
    <w:rsid w:val="5CEEA2F7"/>
    <w:rsid w:val="5CF24BDE"/>
    <w:rsid w:val="5D6DDEA4"/>
    <w:rsid w:val="5D825CE0"/>
    <w:rsid w:val="5D840276"/>
    <w:rsid w:val="5E6ECC2B"/>
    <w:rsid w:val="5EA61BF6"/>
    <w:rsid w:val="5EFE619A"/>
    <w:rsid w:val="5F859A3D"/>
    <w:rsid w:val="5F88AC1F"/>
    <w:rsid w:val="5FE75DB3"/>
    <w:rsid w:val="605CBD02"/>
    <w:rsid w:val="60EE4F5E"/>
    <w:rsid w:val="60EF747D"/>
    <w:rsid w:val="6117DF2E"/>
    <w:rsid w:val="61534952"/>
    <w:rsid w:val="61A3FA15"/>
    <w:rsid w:val="626AF4CB"/>
    <w:rsid w:val="63E3E5EE"/>
    <w:rsid w:val="6449BC96"/>
    <w:rsid w:val="64935290"/>
    <w:rsid w:val="65186BDD"/>
    <w:rsid w:val="65569B31"/>
    <w:rsid w:val="6589304E"/>
    <w:rsid w:val="668147B3"/>
    <w:rsid w:val="676FF7AE"/>
    <w:rsid w:val="67779CFA"/>
    <w:rsid w:val="678B0C12"/>
    <w:rsid w:val="683E8CE3"/>
    <w:rsid w:val="68760CCB"/>
    <w:rsid w:val="68BC1180"/>
    <w:rsid w:val="68E83B77"/>
    <w:rsid w:val="695D9D33"/>
    <w:rsid w:val="696231F1"/>
    <w:rsid w:val="699104FD"/>
    <w:rsid w:val="69FEA5E2"/>
    <w:rsid w:val="6ACEA72E"/>
    <w:rsid w:val="6AD702B5"/>
    <w:rsid w:val="6AF061B3"/>
    <w:rsid w:val="6B209DA7"/>
    <w:rsid w:val="6CA2CAD3"/>
    <w:rsid w:val="6D4234E5"/>
    <w:rsid w:val="6E0BC0E0"/>
    <w:rsid w:val="6E815A35"/>
    <w:rsid w:val="6E9669D4"/>
    <w:rsid w:val="70B54D83"/>
    <w:rsid w:val="70FBF6A4"/>
    <w:rsid w:val="71C45FEB"/>
    <w:rsid w:val="72F2EE93"/>
    <w:rsid w:val="73889AB0"/>
    <w:rsid w:val="747E6E9D"/>
    <w:rsid w:val="7542D074"/>
    <w:rsid w:val="75486868"/>
    <w:rsid w:val="76077DD0"/>
    <w:rsid w:val="767E87F3"/>
    <w:rsid w:val="76810D44"/>
    <w:rsid w:val="76BADC0A"/>
    <w:rsid w:val="780DD0A9"/>
    <w:rsid w:val="782DE69C"/>
    <w:rsid w:val="784C8C72"/>
    <w:rsid w:val="786206D8"/>
    <w:rsid w:val="78683CC3"/>
    <w:rsid w:val="78EF4C10"/>
    <w:rsid w:val="79355DED"/>
    <w:rsid w:val="7A1435C6"/>
    <w:rsid w:val="7A33B139"/>
    <w:rsid w:val="7BA20C67"/>
    <w:rsid w:val="7BB96396"/>
    <w:rsid w:val="7BF27793"/>
    <w:rsid w:val="7C07516E"/>
    <w:rsid w:val="7C214CCA"/>
    <w:rsid w:val="7C7B39DA"/>
    <w:rsid w:val="7C9F6681"/>
    <w:rsid w:val="7CEA91F6"/>
    <w:rsid w:val="7D2A4BF2"/>
    <w:rsid w:val="7D7A191C"/>
    <w:rsid w:val="7DFFDB1F"/>
    <w:rsid w:val="7E278080"/>
    <w:rsid w:val="7EB0F368"/>
    <w:rsid w:val="7EC4875F"/>
    <w:rsid w:val="7EF8A3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15A35"/>
  <w15:chartTrackingRefBased/>
  <w15:docId w15:val="{71F881D1-39A6-4056-A245-2DF1C811E5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B5478A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4B5478AA"/>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4B5478AA"/>
    <w:rPr>
      <w:color w:val="467886"/>
      <w:u w:val="single"/>
    </w:rPr>
  </w:style>
  <w:style w:type="paragraph" w:styleId="ListParagraph">
    <w:uiPriority w:val="34"/>
    <w:name w:val="List Paragraph"/>
    <w:basedOn w:val="Normal"/>
    <w:qFormat/>
    <w:rsid w:val="65569B31"/>
    <w:pPr>
      <w:spacing/>
      <w:ind w:left="720"/>
      <w:contextualSpacing/>
    </w:pPr>
  </w:style>
  <w:style w:type="paragraph" w:styleId="Header">
    <w:uiPriority w:val="99"/>
    <w:name w:val="header"/>
    <w:basedOn w:val="Normal"/>
    <w:unhideWhenUsed/>
    <w:rsid w:val="65569B31"/>
    <w:pPr>
      <w:tabs>
        <w:tab w:val="center" w:leader="none" w:pos="4680"/>
        <w:tab w:val="right" w:leader="none" w:pos="9360"/>
      </w:tabs>
      <w:spacing w:after="0" w:line="240" w:lineRule="auto"/>
    </w:pPr>
  </w:style>
  <w:style w:type="paragraph" w:styleId="Footer">
    <w:uiPriority w:val="99"/>
    <w:name w:val="footer"/>
    <w:basedOn w:val="Normal"/>
    <w:unhideWhenUsed/>
    <w:rsid w:val="65569B3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113048a4745946f4" /><Relationship Type="http://schemas.openxmlformats.org/officeDocument/2006/relationships/footer" Target="footer.xml" Id="Rbfdb7f6e982248e6" /><Relationship Type="http://schemas.openxmlformats.org/officeDocument/2006/relationships/numbering" Target="numbering.xml" Id="Rde418f46f057429a" /><Relationship Type="http://schemas.openxmlformats.org/officeDocument/2006/relationships/hyperlink" Target="https://www.cqc.org.uk/publications/major-report/state-care/2024-2025/summary" TargetMode="External" Id="R5a9a90dce73d43b7" /><Relationship Type="http://schemas.openxmlformats.org/officeDocument/2006/relationships/hyperlink" Target="https://www.lombard.co.uk/insights/sector-trends/public-sector-and-society/uk-health-care-2026-under-pressure-poised-for-transformation.html" TargetMode="External" Id="R2eaa874ea16e43d7" /><Relationship Type="http://schemas.openxmlformats.org/officeDocument/2006/relationships/hyperlink" Target="https://doi.org/10.7748/ns.30.45.15.s17" TargetMode="External" Id="R9e675bf585b44182" /><Relationship Type="http://schemas.openxmlformats.org/officeDocument/2006/relationships/hyperlink" Target="https://doi.org/10.7759/cureus.61249" TargetMode="External" Id="R9139fdcd50d74d18" /><Relationship Type="http://schemas.openxmlformats.org/officeDocument/2006/relationships/hyperlink" Target="https://doi.org/10.1308/003588406X149246" TargetMode="External" Id="R75ba637481c7417a" /><Relationship Type="http://schemas.openxmlformats.org/officeDocument/2006/relationships/hyperlink" Target="https://doi.org/10.1186/s12913-023-10192-5" TargetMode="External" Id="Re0a9c972428c4d5a" /><Relationship Type="http://schemas.openxmlformats.org/officeDocument/2006/relationships/hyperlink" Target="https://www.cqc.org.uk/publications/major-report/state-care/2024-2025/summary" TargetMode="External" Id="R63471714b3ee44fe" /><Relationship Type="http://schemas.openxmlformats.org/officeDocument/2006/relationships/hyperlink" Target="https://doi.org/10.1093/eurpub/ckaf161.273" TargetMode="External" Id="Re782f25b292e41e5" /><Relationship Type="http://schemas.openxmlformats.org/officeDocument/2006/relationships/hyperlink" Target="https://doi.org/10.1111/hex.12916" TargetMode="External" Id="R2d1947eb8fa54305" /><Relationship Type="http://schemas.openxmlformats.org/officeDocument/2006/relationships/hyperlink" Target="https://doi.org/10.1093/eurpub/ckaf161.273" TargetMode="External" Id="R9846032f13d8436b" /><Relationship Type="http://schemas.openxmlformats.org/officeDocument/2006/relationships/hyperlink" Target="https://doi.org/10.1258/jrsm.2008.080202" TargetMode="External" Id="R345423ed47f34739" /><Relationship Type="http://schemas.openxmlformats.org/officeDocument/2006/relationships/hyperlink" Target="https://doi.org/10.2147/RMHP.S347693" TargetMode="External" Id="Rd63f117ad6a541a7" /><Relationship Type="http://schemas.openxmlformats.org/officeDocument/2006/relationships/hyperlink" Target="https://doi.org/10.1007/s00198-015-3293-9" TargetMode="External" Id="Rd1179492ee574c29" /><Relationship Type="http://schemas.openxmlformats.org/officeDocument/2006/relationships/hyperlink" Target="https://www.lombard.co.uk/insights/sector-trends/public-sector-and-society/uk-health-care-2026-under-pressure-poised-for-transformation.html" TargetMode="External" Id="Re53af03756eb4059" /><Relationship Type="http://schemas.openxmlformats.org/officeDocument/2006/relationships/hyperlink" Target="https://doi.org/10.1108/JICA-06-2016-0023" TargetMode="External" Id="Re0174e12ab5d4532" /><Relationship Type="http://schemas.openxmlformats.org/officeDocument/2006/relationships/hyperlink" Target="https://doi.org/10.1258/hsmr.2009.009026" TargetMode="External" Id="R4c9dd6e11a514fab" /><Relationship Type="http://schemas.openxmlformats.org/officeDocument/2006/relationships/hyperlink" Target="https://doi.org/10.1093/eurheartj/sux011" TargetMode="External" Id="R6f12d8c4a2cf4164" /><Relationship Type="http://schemas.openxmlformats.org/officeDocument/2006/relationships/hyperlink" Target="https://www.peglobal.net/blog/healthcare-staffing-in-2026-balancing-patient-demand-with-workforce-fatigue/" TargetMode="External" Id="R40cda792d0774d75" /><Relationship Type="http://schemas.openxmlformats.org/officeDocument/2006/relationships/hyperlink" Target="https://doi.org/10.1080/13561820.2017.1322562" TargetMode="External" Id="R897b922147d543cd" /><Relationship Type="http://schemas.openxmlformats.org/officeDocument/2006/relationships/hyperlink" Target="https://doi.org/10.1111/hex.12619" TargetMode="External" Id="R82ff221ca45c4514" /><Relationship Type="http://schemas.openxmlformats.org/officeDocument/2006/relationships/hyperlink" Target="https://allhealthandcare.co.uk/resources/how-social-care-funding-works-in-uk" TargetMode="External" Id="Rcfc8185dce6f4f37" /><Relationship Type="http://schemas.openxmlformats.org/officeDocument/2006/relationships/hyperlink" Target="https://allhealthandcare.co.uk/resources/why-the-uk-social-care-sector-is-in-crisis" TargetMode="External" Id="R5232d52c72cb41f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eorgia Pro"/>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2026-02-19T12:05:47.1045745Z</dcterms:created>
  <dcterms:modified xsi:type="dcterms:W3CDTF">2026-03-15T12:37:43.7924377Z</dcterms:modified>
  <dc:creator>Dorothy Apio (1705644)</dc:creator>
  <lastModifiedBy>Dorothy Apio (1705644)</lastModifiedBy>
</coreProperties>
</file>