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rFonts w:ascii="Arial" w:cs="Arial" w:eastAsia="Arial" w:hAnsi="Arial"/>
        </w:rPr>
      </w:pPr>
      <w:bookmarkStart w:colFirst="0" w:colLast="0" w:name="_heading=h.jhvbdrcpz4kk" w:id="0"/>
      <w:bookmarkEnd w:id="0"/>
      <w:r w:rsidDel="00000000" w:rsidR="00000000" w:rsidRPr="00000000">
        <w:rPr>
          <w:rFonts w:ascii="Arial" w:cs="Arial" w:eastAsia="Arial" w:hAnsi="Arial"/>
          <w:rtl w:val="0"/>
        </w:rPr>
        <w:t xml:space="preserve">Discuss how the evolution of HRM facilitates the strategic development of an international hotel brand through workforce planning, recruitment and selection. </w:t>
      </w:r>
    </w:p>
    <w:p w:rsidR="00000000" w:rsidDel="00000000" w:rsidP="00000000" w:rsidRDefault="00000000" w:rsidRPr="00000000" w14:paraId="00000002">
      <w:pPr>
        <w:spacing w:line="360" w:lineRule="auto"/>
        <w:rPr>
          <w:rFonts w:ascii="Arial" w:cs="Arial" w:eastAsia="Arial" w:hAnsi="Arial"/>
        </w:rPr>
      </w:pPr>
      <w:bookmarkStart w:colFirst="0" w:colLast="0" w:name="_heading=h.gjdgxs" w:id="1"/>
      <w:bookmarkEnd w:id="1"/>
      <w:r w:rsidDel="00000000" w:rsidR="00000000" w:rsidRPr="00000000">
        <w:rPr>
          <w:rFonts w:ascii="Arial" w:cs="Arial" w:eastAsia="Arial" w:hAnsi="Arial"/>
          <w:rtl w:val="0"/>
        </w:rPr>
        <w:t xml:space="preserve">Personnel Resourcing and Development</w:t>
      </w:r>
    </w:p>
    <w:p w:rsidR="00000000" w:rsidDel="00000000" w:rsidP="00000000" w:rsidRDefault="00000000" w:rsidRPr="00000000" w14:paraId="00000003">
      <w:pPr>
        <w:spacing w:line="360" w:lineRule="auto"/>
        <w:rPr>
          <w:rFonts w:ascii="Arial" w:cs="Arial" w:eastAsia="Arial" w:hAnsi="Arial"/>
        </w:rPr>
      </w:pPr>
      <w:bookmarkStart w:colFirst="0" w:colLast="0" w:name="_heading=h.8nb76vzcsqjz" w:id="2"/>
      <w:bookmarkEnd w:id="2"/>
      <w:r w:rsidDel="00000000" w:rsidR="00000000" w:rsidRPr="00000000">
        <w:rPr>
          <w:rFonts w:ascii="Arial" w:cs="Arial" w:eastAsia="Arial" w:hAnsi="Arial"/>
          <w:rtl w:val="0"/>
        </w:rPr>
        <w:t xml:space="preserve">Module code: BMIH5005</w:t>
      </w:r>
    </w:p>
    <w:p w:rsidR="00000000" w:rsidDel="00000000" w:rsidP="00000000" w:rsidRDefault="00000000" w:rsidRPr="00000000" w14:paraId="00000004">
      <w:pPr>
        <w:spacing w:line="360" w:lineRule="auto"/>
        <w:rPr>
          <w:rFonts w:ascii="Arial" w:cs="Arial" w:eastAsia="Arial" w:hAnsi="Arial"/>
        </w:rPr>
      </w:pPr>
      <w:bookmarkStart w:colFirst="0" w:colLast="0" w:name="_heading=h.1j1s3i667grc" w:id="3"/>
      <w:bookmarkEnd w:id="3"/>
      <w:r w:rsidDel="00000000" w:rsidR="00000000" w:rsidRPr="00000000">
        <w:rPr>
          <w:rFonts w:ascii="Arial" w:cs="Arial" w:eastAsia="Arial" w:hAnsi="Arial"/>
          <w:rtl w:val="0"/>
        </w:rPr>
        <w:t xml:space="preserve">Lecturer: Scott James</w:t>
      </w:r>
      <w:r w:rsidDel="00000000" w:rsidR="00000000" w:rsidRPr="00000000">
        <w:rPr>
          <w:rtl w:val="0"/>
        </w:rPr>
      </w:r>
    </w:p>
    <w:p w:rsidR="00000000" w:rsidDel="00000000" w:rsidP="00000000" w:rsidRDefault="00000000" w:rsidRPr="00000000" w14:paraId="00000005">
      <w:pPr>
        <w:spacing w:before="200" w:line="360" w:lineRule="auto"/>
        <w:rPr>
          <w:rFonts w:ascii="Arial" w:cs="Arial" w:eastAsia="Arial" w:hAnsi="Arial"/>
        </w:rPr>
      </w:pPr>
      <w:r w:rsidDel="00000000" w:rsidR="00000000" w:rsidRPr="00000000">
        <w:rPr>
          <w:rFonts w:ascii="Arial" w:cs="Arial" w:eastAsia="Arial" w:hAnsi="Arial"/>
          <w:rtl w:val="0"/>
        </w:rPr>
        <w:t xml:space="preserve">Student Name:Rezwana Laboni</w:t>
      </w:r>
    </w:p>
    <w:p w:rsidR="00000000" w:rsidDel="00000000" w:rsidP="00000000" w:rsidRDefault="00000000" w:rsidRPr="00000000" w14:paraId="00000006">
      <w:pPr>
        <w:spacing w:before="200" w:line="360" w:lineRule="auto"/>
        <w:rPr>
          <w:rFonts w:ascii="Arial" w:cs="Arial" w:eastAsia="Arial" w:hAnsi="Arial"/>
        </w:rPr>
      </w:pPr>
      <w:r w:rsidDel="00000000" w:rsidR="00000000" w:rsidRPr="00000000">
        <w:rPr>
          <w:rFonts w:ascii="Arial" w:cs="Arial" w:eastAsia="Arial" w:hAnsi="Arial"/>
          <w:rtl w:val="0"/>
        </w:rPr>
        <w:t xml:space="preserve">Student ID:2242894</w:t>
      </w:r>
    </w:p>
    <w:p w:rsidR="00000000" w:rsidDel="00000000" w:rsidP="00000000" w:rsidRDefault="00000000" w:rsidRPr="00000000" w14:paraId="00000007">
      <w:pPr>
        <w:spacing w:before="200" w:line="360" w:lineRule="auto"/>
        <w:rPr>
          <w:rFonts w:ascii="Arial" w:cs="Arial" w:eastAsia="Arial" w:hAnsi="Arial"/>
        </w:rPr>
      </w:pPr>
      <w:r w:rsidDel="00000000" w:rsidR="00000000" w:rsidRPr="00000000">
        <w:rPr>
          <w:rtl w:val="0"/>
        </w:rPr>
      </w:r>
    </w:p>
    <w:p w:rsidR="00000000" w:rsidDel="00000000" w:rsidP="00000000" w:rsidRDefault="00000000" w:rsidRPr="00000000" w14:paraId="00000008">
      <w:pPr>
        <w:spacing w:before="200" w:line="360" w:lineRule="auto"/>
        <w:rPr>
          <w:rFonts w:ascii="Arial" w:cs="Arial" w:eastAsia="Arial" w:hAnsi="Arial"/>
        </w:rPr>
      </w:pPr>
      <w:r w:rsidDel="00000000" w:rsidR="00000000" w:rsidRPr="00000000">
        <w:rPr>
          <w:rtl w:val="0"/>
        </w:rPr>
      </w:r>
    </w:p>
    <w:p w:rsidR="00000000" w:rsidDel="00000000" w:rsidP="00000000" w:rsidRDefault="00000000" w:rsidRPr="00000000" w14:paraId="00000009">
      <w:pPr>
        <w:spacing w:before="200" w:line="360" w:lineRule="auto"/>
        <w:rPr>
          <w:rFonts w:ascii="Arial" w:cs="Arial" w:eastAsia="Arial" w:hAnsi="Arial"/>
        </w:rPr>
      </w:pPr>
      <w:r w:rsidDel="00000000" w:rsidR="00000000" w:rsidRPr="00000000">
        <w:rPr>
          <w:rtl w:val="0"/>
        </w:rPr>
      </w:r>
    </w:p>
    <w:p w:rsidR="00000000" w:rsidDel="00000000" w:rsidP="00000000" w:rsidRDefault="00000000" w:rsidRPr="00000000" w14:paraId="0000000A">
      <w:pPr>
        <w:spacing w:before="200" w:line="360" w:lineRule="auto"/>
        <w:rPr>
          <w:rFonts w:ascii="Arial" w:cs="Arial" w:eastAsia="Arial" w:hAnsi="Arial"/>
        </w:rPr>
      </w:pPr>
      <w:r w:rsidDel="00000000" w:rsidR="00000000" w:rsidRPr="00000000">
        <w:rPr>
          <w:rtl w:val="0"/>
        </w:rPr>
      </w:r>
    </w:p>
    <w:p w:rsidR="00000000" w:rsidDel="00000000" w:rsidP="00000000" w:rsidRDefault="00000000" w:rsidRPr="00000000" w14:paraId="0000000B">
      <w:pPr>
        <w:spacing w:before="200" w:line="360" w:lineRule="auto"/>
        <w:rPr>
          <w:rFonts w:ascii="Arial" w:cs="Arial" w:eastAsia="Arial" w:hAnsi="Arial"/>
        </w:rPr>
      </w:pPr>
      <w:r w:rsidDel="00000000" w:rsidR="00000000" w:rsidRPr="00000000">
        <w:rPr>
          <w:rtl w:val="0"/>
        </w:rPr>
      </w:r>
    </w:p>
    <w:p w:rsidR="00000000" w:rsidDel="00000000" w:rsidP="00000000" w:rsidRDefault="00000000" w:rsidRPr="00000000" w14:paraId="0000000C">
      <w:pPr>
        <w:spacing w:before="200" w:line="360" w:lineRule="auto"/>
        <w:rPr>
          <w:rFonts w:ascii="Arial" w:cs="Arial" w:eastAsia="Arial" w:hAnsi="Arial"/>
        </w:rPr>
      </w:pPr>
      <w:r w:rsidDel="00000000" w:rsidR="00000000" w:rsidRPr="00000000">
        <w:rPr>
          <w:rtl w:val="0"/>
        </w:rPr>
      </w:r>
    </w:p>
    <w:p w:rsidR="00000000" w:rsidDel="00000000" w:rsidP="00000000" w:rsidRDefault="00000000" w:rsidRPr="00000000" w14:paraId="0000000D">
      <w:pPr>
        <w:spacing w:before="200" w:line="360" w:lineRule="auto"/>
        <w:rPr>
          <w:rFonts w:ascii="Arial" w:cs="Arial" w:eastAsia="Arial" w:hAnsi="Arial"/>
        </w:rPr>
      </w:pPr>
      <w:r w:rsidDel="00000000" w:rsidR="00000000" w:rsidRPr="00000000">
        <w:rPr>
          <w:rtl w:val="0"/>
        </w:rPr>
      </w:r>
    </w:p>
    <w:p w:rsidR="00000000" w:rsidDel="00000000" w:rsidP="00000000" w:rsidRDefault="00000000" w:rsidRPr="00000000" w14:paraId="0000000E">
      <w:pPr>
        <w:spacing w:before="200" w:line="360" w:lineRule="auto"/>
        <w:rPr>
          <w:rFonts w:ascii="Arial" w:cs="Arial" w:eastAsia="Arial" w:hAnsi="Arial"/>
        </w:rPr>
      </w:pPr>
      <w:r w:rsidDel="00000000" w:rsidR="00000000" w:rsidRPr="00000000">
        <w:rPr>
          <w:rtl w:val="0"/>
        </w:rPr>
      </w:r>
    </w:p>
    <w:p w:rsidR="00000000" w:rsidDel="00000000" w:rsidP="00000000" w:rsidRDefault="00000000" w:rsidRPr="00000000" w14:paraId="0000000F">
      <w:pPr>
        <w:spacing w:before="200" w:line="360" w:lineRule="auto"/>
        <w:rPr>
          <w:rFonts w:ascii="Arial" w:cs="Arial" w:eastAsia="Arial" w:hAnsi="Arial"/>
        </w:rPr>
      </w:pPr>
      <w:r w:rsidDel="00000000" w:rsidR="00000000" w:rsidRPr="00000000">
        <w:rPr>
          <w:rtl w:val="0"/>
        </w:rPr>
      </w:r>
    </w:p>
    <w:p w:rsidR="00000000" w:rsidDel="00000000" w:rsidP="00000000" w:rsidRDefault="00000000" w:rsidRPr="00000000" w14:paraId="00000010">
      <w:pPr>
        <w:spacing w:before="200" w:line="360" w:lineRule="auto"/>
        <w:rPr>
          <w:rFonts w:ascii="Arial" w:cs="Arial" w:eastAsia="Arial" w:hAnsi="Arial"/>
        </w:rPr>
      </w:pPr>
      <w:r w:rsidDel="00000000" w:rsidR="00000000" w:rsidRPr="00000000">
        <w:rPr>
          <w:rtl w:val="0"/>
        </w:rPr>
      </w:r>
    </w:p>
    <w:p w:rsidR="00000000" w:rsidDel="00000000" w:rsidP="00000000" w:rsidRDefault="00000000" w:rsidRPr="00000000" w14:paraId="00000011">
      <w:pPr>
        <w:spacing w:before="200" w:line="360" w:lineRule="auto"/>
        <w:rPr>
          <w:rFonts w:ascii="Arial" w:cs="Arial" w:eastAsia="Arial" w:hAnsi="Arial"/>
        </w:rPr>
      </w:pPr>
      <w:r w:rsidDel="00000000" w:rsidR="00000000" w:rsidRPr="00000000">
        <w:rPr>
          <w:rtl w:val="0"/>
        </w:rPr>
      </w:r>
    </w:p>
    <w:p w:rsidR="00000000" w:rsidDel="00000000" w:rsidP="00000000" w:rsidRDefault="00000000" w:rsidRPr="00000000" w14:paraId="00000012">
      <w:pPr>
        <w:pStyle w:val="Heading1"/>
        <w:spacing w:before="200" w:line="360" w:lineRule="auto"/>
        <w:rPr>
          <w:rFonts w:ascii="Arial" w:cs="Arial" w:eastAsia="Arial" w:hAnsi="Arial"/>
          <w:sz w:val="24"/>
          <w:szCs w:val="24"/>
        </w:rPr>
      </w:pPr>
      <w:bookmarkStart w:colFirst="0" w:colLast="0" w:name="_heading=h.30j0zll" w:id="4"/>
      <w:bookmarkEnd w:id="4"/>
      <w:r w:rsidDel="00000000" w:rsidR="00000000" w:rsidRPr="00000000">
        <w:rPr>
          <w:rtl w:val="0"/>
        </w:rPr>
      </w:r>
    </w:p>
    <w:p w:rsidR="00000000" w:rsidDel="00000000" w:rsidP="00000000" w:rsidRDefault="00000000" w:rsidRPr="00000000" w14:paraId="00000013">
      <w:pPr>
        <w:spacing w:line="360" w:lineRule="auto"/>
        <w:rPr>
          <w:rFonts w:ascii="Arial" w:cs="Arial" w:eastAsia="Arial" w:hAnsi="Arial"/>
        </w:rPr>
      </w:pPr>
      <w:r w:rsidDel="00000000" w:rsidR="00000000" w:rsidRPr="00000000">
        <w:rPr>
          <w:rFonts w:ascii="Arial" w:cs="Arial" w:eastAsia="Arial" w:hAnsi="Arial"/>
          <w:rtl w:val="0"/>
        </w:rPr>
        <w:t xml:space="preserve">To respond and thrive in a rapidly changing global marketplace, international hotel brands need to use human resource management (HRM) as the underpinning of their strategy. HRM acts as a basis for sustainability and strategic development by managing talents and aligning organisational goals with employee performance for competitiveness (Boxall &amp; Purcell, 2016; Armstrong &amp; Taylor, 2020). Workforce planning —which involves estimating future staff numbers needed according to business requirements—is among its most important components; others include recruitment —drawing applicants into an organisation—; and selection —screening or choosing candidates for jobs— (Nankervis et al., 2019).</w:t>
      </w:r>
    </w:p>
    <w:p w:rsidR="00000000" w:rsidDel="00000000" w:rsidP="00000000" w:rsidRDefault="00000000" w:rsidRPr="00000000" w14:paraId="00000014">
      <w:pPr>
        <w:spacing w:line="360" w:lineRule="auto"/>
        <w:rPr>
          <w:rFonts w:ascii="Arial" w:cs="Arial" w:eastAsia="Arial" w:hAnsi="Arial"/>
        </w:rPr>
      </w:pPr>
      <w:r w:rsidDel="00000000" w:rsidR="00000000" w:rsidRPr="00000000">
        <w:rPr>
          <w:rFonts w:ascii="Arial" w:cs="Arial" w:eastAsia="Arial" w:hAnsi="Arial"/>
          <w:rtl w:val="0"/>
        </w:rPr>
        <w:t xml:space="preserve">The purpose of this study is that during the years not only has HRM moved from being administrative towards becoming more strategic but it has also greatly enhanced innovation abilities within multinational hotel chains. This is achieved by examining various places where human resources can be integrated strategically such as talent management, workforce planning along recruitment and selection processes vis-à-vis wider business strategies in the hospitality industry (Hoque, 2013; Nickson, 2013).</w:t>
      </w:r>
    </w:p>
    <w:p w:rsidR="00000000" w:rsidDel="00000000" w:rsidP="00000000" w:rsidRDefault="00000000" w:rsidRPr="00000000" w14:paraId="00000015">
      <w:pPr>
        <w:spacing w:line="360" w:lineRule="auto"/>
        <w:rPr>
          <w:rFonts w:ascii="Arial" w:cs="Arial" w:eastAsia="Arial" w:hAnsi="Arial"/>
          <w:sz w:val="24"/>
          <w:szCs w:val="24"/>
        </w:rPr>
      </w:pPr>
      <w:r w:rsidDel="00000000" w:rsidR="00000000" w:rsidRPr="00000000">
        <w:rPr>
          <w:rFonts w:ascii="Arial" w:cs="Arial" w:eastAsia="Arial" w:hAnsi="Arial"/>
          <w:rtl w:val="0"/>
        </w:rPr>
        <w:t xml:space="preserve">From my point of view, these international hotels’ workforce change or growth requires changes elsewhere therefore my proposition would be “Evolutionary nature of HRM makes it an essential facilitator for strategic development among global hotel brands”(Armstrong &amp; Taylor, 2020 p.15). Thus organisations ought to transform their personnel systems over time if they want them to remain applicable at different stages because what could have worked well during one phase may easily become outdated at another according to Dev&amp; Schultz(2005).</w:t>
      </w:r>
      <w:r w:rsidDel="00000000" w:rsidR="00000000" w:rsidRPr="00000000">
        <w:rPr>
          <w:rtl w:val="0"/>
        </w:rPr>
      </w:r>
    </w:p>
    <w:p w:rsidR="00000000" w:rsidDel="00000000" w:rsidP="00000000" w:rsidRDefault="00000000" w:rsidRPr="00000000" w14:paraId="00000016">
      <w:pPr>
        <w:spacing w:line="360" w:lineRule="auto"/>
        <w:rPr>
          <w:rFonts w:ascii="Arial" w:cs="Arial" w:eastAsia="Arial" w:hAnsi="Arial"/>
        </w:rPr>
      </w:pPr>
      <w:r w:rsidDel="00000000" w:rsidR="00000000" w:rsidRPr="00000000">
        <w:rPr>
          <w:rFonts w:ascii="Arial" w:cs="Arial" w:eastAsia="Arial" w:hAnsi="Arial"/>
          <w:rtl w:val="0"/>
        </w:rPr>
        <w:t xml:space="preserve">Human resources management (HRM) has changed dramatically over time. This development represents a shift from traditional administrative functions to a strategic approach linked with global competitiveness and organisational goals. Human resources management (HRM) was once a compliance-based function – ensuring the company follows employment and safety laws, pays wages, and offers benefits. Now it is considered an essential tool for achieving organisational success. HRM has been found to play a role at all levels from top to bottom within an organisation (Armstrong &amp; Taylor 2020; Boxall &amp; Purcell 2016).</w:t>
      </w:r>
    </w:p>
    <w:p w:rsidR="00000000" w:rsidDel="00000000" w:rsidP="00000000" w:rsidRDefault="00000000" w:rsidRPr="00000000" w14:paraId="00000017">
      <w:pPr>
        <w:spacing w:line="360" w:lineRule="auto"/>
        <w:rPr>
          <w:rFonts w:ascii="Arial" w:cs="Arial" w:eastAsia="Arial" w:hAnsi="Arial"/>
        </w:rPr>
      </w:pPr>
      <w:r w:rsidDel="00000000" w:rsidR="00000000" w:rsidRPr="00000000">
        <w:rPr>
          <w:rFonts w:ascii="Arial" w:cs="Arial" w:eastAsia="Arial" w:hAnsi="Arial"/>
          <w:rtl w:val="0"/>
        </w:rPr>
        <w:t xml:space="preserve">Traditionally, the expectations of what HR should do have expanded beyond administration toward strategy. According to Nankervis et al. (2019) and Marchington &amp; Wilkinson (2016), today there is a need to act as partners rather than individual decision-makers in roles such as strategic planning; in other words – creating different strategies for businesses like talent management or strong cultures that will enhance employees’ productivity while still being in line with HRM’s organisation-wide objectives set over a long term. This means that people are still the only sustainable source of competitive advantage within SHRM.</w:t>
      </w:r>
    </w:p>
    <w:p w:rsidR="00000000" w:rsidDel="00000000" w:rsidP="00000000" w:rsidRDefault="00000000" w:rsidRPr="00000000" w14:paraId="00000018">
      <w:pPr>
        <w:spacing w:line="360" w:lineRule="auto"/>
        <w:rPr>
          <w:rFonts w:ascii="Arial" w:cs="Arial" w:eastAsia="Arial" w:hAnsi="Arial"/>
        </w:rPr>
      </w:pPr>
      <w:r w:rsidDel="00000000" w:rsidR="00000000" w:rsidRPr="00000000">
        <w:rPr>
          <w:rFonts w:ascii="Arial" w:cs="Arial" w:eastAsia="Arial" w:hAnsi="Arial"/>
          <w:rtl w:val="0"/>
        </w:rPr>
        <w:t xml:space="preserve">Moreover, technology has also brought about change within the hospitality industry. This could imply different ways through which hotels recruit their staff or even performance appraisal systems might be done there because the software used strategically provides data-driven insight to guide decision-making on when, where and what talents should be hired (Dev &amp; Schultz 2005: Tarique et al., 2016).</w:t>
      </w:r>
    </w:p>
    <w:p w:rsidR="00000000" w:rsidDel="00000000" w:rsidP="00000000" w:rsidRDefault="00000000" w:rsidRPr="00000000" w14:paraId="00000019">
      <w:pPr>
        <w:spacing w:line="360" w:lineRule="auto"/>
        <w:rPr>
          <w:rFonts w:ascii="Arial" w:cs="Arial" w:eastAsia="Arial" w:hAnsi="Arial"/>
        </w:rPr>
      </w:pPr>
      <w:r w:rsidDel="00000000" w:rsidR="00000000" w:rsidRPr="00000000">
        <w:rPr>
          <w:rFonts w:ascii="Arial" w:cs="Arial" w:eastAsia="Arial" w:hAnsi="Arial"/>
          <w:rtl w:val="0"/>
        </w:rPr>
        <w:t xml:space="preserve">This direction taken by HRM in the hospitality industry represents a wider business environment and its significance for sustainable development organisations within an increasingly complex global marketplace (Collings, Wood &amp; Szamosi 2018: Scullion &amp; Collings 2011).</w:t>
      </w:r>
    </w:p>
    <w:p w:rsidR="00000000" w:rsidDel="00000000" w:rsidP="00000000" w:rsidRDefault="00000000" w:rsidRPr="00000000" w14:paraId="0000001A">
      <w:pPr>
        <w:spacing w:line="360" w:lineRule="auto"/>
        <w:rPr>
          <w:rFonts w:ascii="Arial" w:cs="Arial" w:eastAsia="Arial" w:hAnsi="Arial"/>
          <w:sz w:val="24"/>
          <w:szCs w:val="24"/>
        </w:rPr>
      </w:pPr>
      <w:r w:rsidDel="00000000" w:rsidR="00000000" w:rsidRPr="00000000">
        <w:rPr>
          <w:rFonts w:ascii="Arial" w:cs="Arial" w:eastAsia="Arial" w:hAnsi="Arial"/>
          <w:rtl w:val="0"/>
        </w:rPr>
        <w:t xml:space="preserve">The speed at which practitioners are growing shows that international hotels have to manage human resources strategically to foster creativity among them while striving for excellence.</w:t>
      </w:r>
      <w:r w:rsidDel="00000000" w:rsidR="00000000" w:rsidRPr="00000000">
        <w:rPr>
          <w:rtl w:val="0"/>
        </w:rPr>
      </w:r>
    </w:p>
    <w:p w:rsidR="00000000" w:rsidDel="00000000" w:rsidP="00000000" w:rsidRDefault="00000000" w:rsidRPr="00000000" w14:paraId="0000001B">
      <w:pPr>
        <w:spacing w:line="360" w:lineRule="auto"/>
        <w:rPr>
          <w:rFonts w:ascii="Arial" w:cs="Arial" w:eastAsia="Arial" w:hAnsi="Arial"/>
        </w:rPr>
      </w:pPr>
      <w:r w:rsidDel="00000000" w:rsidR="00000000" w:rsidRPr="00000000">
        <w:rPr>
          <w:rFonts w:ascii="Arial" w:cs="Arial" w:eastAsia="Arial" w:hAnsi="Arial"/>
          <w:rtl w:val="0"/>
        </w:rPr>
        <w:t xml:space="preserve">It’s</w:t>
      </w:r>
      <w:r w:rsidDel="00000000" w:rsidR="00000000" w:rsidRPr="00000000">
        <w:rPr>
          <w:rFonts w:ascii="Arial" w:cs="Arial" w:eastAsia="Arial" w:hAnsi="Arial"/>
          <w:rtl w:val="0"/>
        </w:rPr>
        <w:t xml:space="preserve"> important for HRM to consider its strategic position in global hotel chains. In other words, if a company wants to succeed at everything it does there has to be some synergy between people management and branding strategy. In their work “Strategic Human Resource Management”, Armstrong &amp; Taylor (2020) state that this involves aligning staff planning with corporate plans through setting HR goals and strategies which directly contribute towards wider organisational goals.</w:t>
      </w:r>
    </w:p>
    <w:p w:rsidR="00000000" w:rsidDel="00000000" w:rsidP="00000000" w:rsidRDefault="00000000" w:rsidRPr="00000000" w14:paraId="0000001C">
      <w:pPr>
        <w:spacing w:line="360" w:lineRule="auto"/>
        <w:rPr>
          <w:rFonts w:ascii="Arial" w:cs="Arial" w:eastAsia="Arial" w:hAnsi="Arial"/>
        </w:rPr>
      </w:pPr>
      <w:r w:rsidDel="00000000" w:rsidR="00000000" w:rsidRPr="00000000">
        <w:rPr>
          <w:rFonts w:ascii="Arial" w:cs="Arial" w:eastAsia="Arial" w:hAnsi="Arial"/>
          <w:rtl w:val="0"/>
        </w:rPr>
        <w:t xml:space="preserve">This value addition becomes even more apparent when one thinks about customer satisfaction orientation and globalisation as fundamental principles for an international hotel chain. Going into new markets requires hotels to have teams that aren’t only culturally diverse but also equipped with skills necessary for dealing with global operational challenges too. This involves recruiting employees from diverse backgrounds and also providing training and development opportunities that enhance cross-cultural competencies and operational efficiency (Scullion &amp; Collings, 2011; Tarique, Briscoe, &amp; Schuler, 2016).</w:t>
      </w:r>
    </w:p>
    <w:p w:rsidR="00000000" w:rsidDel="00000000" w:rsidP="00000000" w:rsidRDefault="00000000" w:rsidRPr="00000000" w14:paraId="0000001D">
      <w:pPr>
        <w:spacing w:line="360" w:lineRule="auto"/>
        <w:rPr>
          <w:rFonts w:ascii="Arial" w:cs="Arial" w:eastAsia="Arial" w:hAnsi="Arial"/>
        </w:rPr>
      </w:pPr>
      <w:r w:rsidDel="00000000" w:rsidR="00000000" w:rsidRPr="00000000">
        <w:rPr>
          <w:rFonts w:ascii="Arial" w:cs="Arial" w:eastAsia="Arial" w:hAnsi="Arial"/>
          <w:rtl w:val="0"/>
        </w:rPr>
        <w:t xml:space="preserve">Moreover, HR practices significantly contribute to customer satisfaction by fostering a service-oriented culture and ensuring that employees are motivated, skilled, and customer-focused. Johnston, Clark, and Shulver (2012) highlight that in service industries like hospitality, the customer's experience is directly influenced by the quality of service provided, which is in turn dependent on the capabilities and attitudes of the staff. Therefore, strategic HR functions such as talent management, performance appraisal, and employee engagement are vital in cultivating a workforce that can deliver exceptional service consistently. Ensuring that workers have the required technical abilities and act as brand representatives of the company is achieved through effective human resource practices.</w:t>
      </w:r>
    </w:p>
    <w:p w:rsidR="00000000" w:rsidDel="00000000" w:rsidP="00000000" w:rsidRDefault="00000000" w:rsidRPr="00000000" w14:paraId="0000001E">
      <w:pPr>
        <w:spacing w:line="360" w:lineRule="auto"/>
        <w:rPr>
          <w:rFonts w:ascii="Arial" w:cs="Arial" w:eastAsia="Arial" w:hAnsi="Arial"/>
        </w:rPr>
      </w:pPr>
      <w:r w:rsidDel="00000000" w:rsidR="00000000" w:rsidRPr="00000000">
        <w:rPr>
          <w:rFonts w:ascii="Arial" w:cs="Arial" w:eastAsia="Arial" w:hAnsi="Arial"/>
          <w:rtl w:val="0"/>
        </w:rPr>
        <w:t xml:space="preserve">Another method of connecting HR with business strategy is strategic workforce planning which involves anticipating an organisation’s future talent needs; this means employers must have flexible labour use so they can quickly adjust to shifts occurring in various markets (Boxall &amp; Purcell, 2016; Nankervis et al., 2019). The plans estimate worker demand, identify critical positions, and implement succession management for continuity in top leadership besides maintaining operational stability throughout the firm or establishment.</w:t>
      </w:r>
    </w:p>
    <w:p w:rsidR="00000000" w:rsidDel="00000000" w:rsidP="00000000" w:rsidRDefault="00000000" w:rsidRPr="00000000" w14:paraId="0000001F">
      <w:pPr>
        <w:spacing w:line="360" w:lineRule="auto"/>
        <w:rPr>
          <w:rFonts w:ascii="Arial" w:cs="Arial" w:eastAsia="Arial" w:hAnsi="Arial"/>
        </w:rPr>
      </w:pPr>
      <w:r w:rsidDel="00000000" w:rsidR="00000000" w:rsidRPr="00000000">
        <w:rPr>
          <w:rFonts w:ascii="Arial" w:cs="Arial" w:eastAsia="Arial" w:hAnsi="Arial"/>
          <w:rtl w:val="0"/>
        </w:rPr>
        <w:t xml:space="preserve">Integrating human resource functions strategically across hotel brands doesn’t involve only managing staff but also moving them strategically towards achieving more than what’s expected by the organisation. The ability of international hotels’ HRM departments to align their practices with business strategies and contribute effectively towards globalising enterprises’ aims through customer satisfaction shows it’s a key driver for success in firms’ competitive advantage realisation processes (Armstrong &amp; Taylor, 2020; Dev &amp; Schultz, 2005). This approach improves efficiency while building the reputation of the brand within worldwide marketplaces.</w:t>
      </w:r>
      <w:r w:rsidDel="00000000" w:rsidR="00000000" w:rsidRPr="00000000">
        <w:rPr>
          <w:rtl w:val="0"/>
        </w:rPr>
      </w:r>
    </w:p>
    <w:p w:rsidR="00000000" w:rsidDel="00000000" w:rsidP="00000000" w:rsidRDefault="00000000" w:rsidRPr="00000000" w14:paraId="00000020">
      <w:pPr>
        <w:spacing w:line="360" w:lineRule="auto"/>
        <w:rPr>
          <w:rFonts w:ascii="Arial" w:cs="Arial" w:eastAsia="Arial" w:hAnsi="Arial"/>
        </w:rPr>
      </w:pPr>
      <w:r w:rsidDel="00000000" w:rsidR="00000000" w:rsidRPr="00000000">
        <w:rPr>
          <w:rFonts w:ascii="Arial" w:cs="Arial" w:eastAsia="Arial" w:hAnsi="Arial"/>
          <w:rtl w:val="0"/>
        </w:rPr>
        <w:t xml:space="preserve">Strategic human resource planning is a fundamental part of effective people management because it ensures that an organisation’s workforce is well-matched with its strategic goals and prepared for future challenges. It encompasses various activities such as forecasting labour demand and supply, setting strategic objectives, and implementing and evaluating HR policies among others.</w:t>
      </w:r>
    </w:p>
    <w:p w:rsidR="00000000" w:rsidDel="00000000" w:rsidP="00000000" w:rsidRDefault="00000000" w:rsidRPr="00000000" w14:paraId="00000021">
      <w:pPr>
        <w:spacing w:line="360" w:lineRule="auto"/>
        <w:rPr>
          <w:rFonts w:ascii="Arial" w:cs="Arial" w:eastAsia="Arial" w:hAnsi="Arial"/>
        </w:rPr>
      </w:pPr>
      <w:r w:rsidDel="00000000" w:rsidR="00000000" w:rsidRPr="00000000">
        <w:rPr>
          <w:rFonts w:ascii="Arial" w:cs="Arial" w:eastAsia="Arial" w:hAnsi="Arial"/>
          <w:rtl w:val="0"/>
        </w:rPr>
        <w:t xml:space="preserve">Forecasting Labour Demand And Supply: Accurate prediction of what will be required in terms of numbers needed and when they are wanted are vital components for success through this approach. Some of the best practices to do so include trend analysis; and scenario planning among others whereby they can forecast future workforce needs based on business growth, technological advancements, market conditions, etc (Armstrong &amp; Taylor 2020). Organisations can therefore manage change proactively rather than reactively filling positions which leads to minimum disruption and optimal utilisation of employees’ skills; it also helps in deciding whether to develop current staff or hire new talent to meet future demands (Boxall &amp; Purcell, 2016).</w:t>
      </w:r>
    </w:p>
    <w:p w:rsidR="00000000" w:rsidDel="00000000" w:rsidP="00000000" w:rsidRDefault="00000000" w:rsidRPr="00000000" w14:paraId="00000022">
      <w:pPr>
        <w:spacing w:line="360" w:lineRule="auto"/>
        <w:rPr>
          <w:rFonts w:ascii="Arial" w:cs="Arial" w:eastAsia="Arial" w:hAnsi="Arial"/>
        </w:rPr>
      </w:pPr>
      <w:r w:rsidDel="00000000" w:rsidR="00000000" w:rsidRPr="00000000">
        <w:rPr>
          <w:rFonts w:ascii="Arial" w:cs="Arial" w:eastAsia="Arial" w:hAnsi="Arial"/>
          <w:rtl w:val="0"/>
        </w:rPr>
        <w:t xml:space="preserve">Goal Setting And Strategy Formulation: Strategic objectives must have clear measurable goals set during their planning phases if any hopes towards achieving success were not supposed to remain mere dreams never realised at all levels within any given establishment. In most cases, such goals are arrived at after consultations between managers from different departments including those responsible for personnel matters who work together with their colleagues from other sectors thus ensuring that everything falls in line with overall corporate strategy (Marchington &amp; Wilkinson, 2016). Objectives could include among other things enhancing the staff retention rates; such programs may involve for example training courses to improve workforce skills or promoting diversity in different sections of an organisation. These objectives point out the specific areas of concentration and the basis for evaluating the success of personnel management activities that are directed toward tasks whose outputs can be measured against initial targets.</w:t>
      </w:r>
    </w:p>
    <w:p w:rsidR="00000000" w:rsidDel="00000000" w:rsidP="00000000" w:rsidRDefault="00000000" w:rsidRPr="00000000" w14:paraId="00000023">
      <w:pPr>
        <w:spacing w:line="360" w:lineRule="auto"/>
        <w:rPr>
          <w:rFonts w:ascii="Arial" w:cs="Arial" w:eastAsia="Arial" w:hAnsi="Arial"/>
        </w:rPr>
      </w:pPr>
      <w:r w:rsidDel="00000000" w:rsidR="00000000" w:rsidRPr="00000000">
        <w:rPr>
          <w:rFonts w:ascii="Arial" w:cs="Arial" w:eastAsia="Arial" w:hAnsi="Arial"/>
          <w:rtl w:val="0"/>
        </w:rPr>
        <w:t xml:space="preserve">Program Execution And Assessment: After setting goals, it is vital to guarantee that HR department-created programs are put into practice to contribute towards the attainment of these objectives. For instance, Nankervis et al. (2019) argue that the implementation of something new should be evaluated to see if activities succeeded during the implementation phase. Similarly, while making structural changes within a company it is important to get feedback from employees about different aspects of organisational change and use KPIs so that specific outcomes can be determined against stated time frames or otherwise comparing overall performance with industry benchmarks might show where more efforts need to be put in thereby improving future decision making for similar projects (Armstrong &amp; Taylor 2020; Hoque, 2013).</w:t>
      </w:r>
    </w:p>
    <w:p w:rsidR="00000000" w:rsidDel="00000000" w:rsidP="00000000" w:rsidRDefault="00000000" w:rsidRPr="00000000" w14:paraId="00000024">
      <w:pPr>
        <w:spacing w:line="360" w:lineRule="auto"/>
        <w:rPr>
          <w:rFonts w:ascii="Arial" w:cs="Arial" w:eastAsia="Arial" w:hAnsi="Arial"/>
        </w:rPr>
      </w:pPr>
      <w:r w:rsidDel="00000000" w:rsidR="00000000" w:rsidRPr="00000000">
        <w:rPr>
          <w:rFonts w:ascii="Arial" w:cs="Arial" w:eastAsia="Arial" w:hAnsi="Arial"/>
          <w:rtl w:val="0"/>
        </w:rPr>
        <w:t xml:space="preserve">The strategic planning process for HRM is recursive because it entails continuous reevaluation, modification, and adaptation triggered by internal organisation shifts and external environmental alterations. Organisations should develop specific goals that are directly linked with the overall business strategy involving all heads of departments and teams; establish appropriate interventions for realising these objectives and also evaluate their usefulness so that organisations ensure employees’ preparedness for present challenges and also make them adaptable to face future problems effectively. In this way, enterprises will have a more holistic ability towards sustainable competitive advantage achievement in the marketplace (Dev &amp; Schultz, 2005; Tarique et al., 2016).</w:t>
      </w:r>
    </w:p>
    <w:p w:rsidR="00000000" w:rsidDel="00000000" w:rsidP="00000000" w:rsidRDefault="00000000" w:rsidRPr="00000000" w14:paraId="00000025">
      <w:pPr>
        <w:pStyle w:val="Heading2"/>
        <w:spacing w:line="360" w:lineRule="auto"/>
        <w:rPr>
          <w:rFonts w:ascii="Arial" w:cs="Arial" w:eastAsia="Arial" w:hAnsi="Arial"/>
          <w:sz w:val="24"/>
          <w:szCs w:val="24"/>
        </w:rPr>
      </w:pPr>
      <w:bookmarkStart w:colFirst="0" w:colLast="0" w:name="_heading=h.3dy6vkm" w:id="5"/>
      <w:bookmarkEnd w:id="5"/>
      <w:r w:rsidDel="00000000" w:rsidR="00000000" w:rsidRPr="00000000">
        <w:rPr>
          <w:rFonts w:ascii="Arial" w:cs="Arial" w:eastAsia="Arial" w:hAnsi="Arial"/>
          <w:sz w:val="24"/>
          <w:szCs w:val="24"/>
          <w:rtl w:val="0"/>
        </w:rPr>
        <w:t xml:space="preserve">Recruitment and Selection Process</w:t>
      </w:r>
    </w:p>
    <w:p w:rsidR="00000000" w:rsidDel="00000000" w:rsidP="00000000" w:rsidRDefault="00000000" w:rsidRPr="00000000" w14:paraId="00000026">
      <w:pPr>
        <w:spacing w:line="360" w:lineRule="auto"/>
        <w:rPr>
          <w:rFonts w:ascii="Arial" w:cs="Arial" w:eastAsia="Arial" w:hAnsi="Arial"/>
        </w:rPr>
      </w:pPr>
      <w:r w:rsidDel="00000000" w:rsidR="00000000" w:rsidRPr="00000000">
        <w:rPr>
          <w:rFonts w:ascii="Arial" w:cs="Arial" w:eastAsia="Arial" w:hAnsi="Arial"/>
          <w:rtl w:val="0"/>
        </w:rPr>
        <w:t xml:space="preserve">I</w:t>
      </w:r>
      <w:r w:rsidDel="00000000" w:rsidR="00000000" w:rsidRPr="00000000">
        <w:rPr>
          <w:rFonts w:ascii="Arial" w:cs="Arial" w:eastAsia="Arial" w:hAnsi="Arial"/>
          <w:rtl w:val="0"/>
        </w:rPr>
        <w:t xml:space="preserve">t is important to have employees who are skilled and motivated; this can only be achieved if the recruitment process is effective. The hospitality industry’s method of hiring involves several steps that enable it to identify candidates with the necessary qualifications and values (Armstrong &amp; Taylor, 2020; Nickson, 2013).</w:t>
      </w:r>
    </w:p>
    <w:p w:rsidR="00000000" w:rsidDel="00000000" w:rsidP="00000000" w:rsidRDefault="00000000" w:rsidRPr="00000000" w14:paraId="00000027">
      <w:pPr>
        <w:spacing w:line="360" w:lineRule="auto"/>
        <w:rPr>
          <w:rFonts w:ascii="Arial" w:cs="Arial" w:eastAsia="Arial" w:hAnsi="Arial"/>
        </w:rPr>
      </w:pPr>
      <w:r w:rsidDel="00000000" w:rsidR="00000000" w:rsidRPr="00000000">
        <w:rPr>
          <w:rFonts w:ascii="Arial" w:cs="Arial" w:eastAsia="Arial" w:hAnsi="Arial"/>
          <w:b w:val="1"/>
          <w:rtl w:val="0"/>
        </w:rPr>
        <w:t xml:space="preserve">Stages of Recruitment and Selection:</w:t>
      </w:r>
      <w:r w:rsidDel="00000000" w:rsidR="00000000" w:rsidRPr="00000000">
        <w:rPr>
          <w:rtl w:val="0"/>
        </w:rPr>
      </w:r>
    </w:p>
    <w:p w:rsidR="00000000" w:rsidDel="00000000" w:rsidP="00000000" w:rsidRDefault="00000000" w:rsidRPr="00000000" w14:paraId="00000028">
      <w:pPr>
        <w:numPr>
          <w:ilvl w:val="0"/>
          <w:numId w:val="2"/>
        </w:numPr>
        <w:spacing w:line="360" w:lineRule="auto"/>
        <w:ind w:left="720" w:hanging="360"/>
        <w:rPr>
          <w:rFonts w:ascii="Arial" w:cs="Arial" w:eastAsia="Arial" w:hAnsi="Arial"/>
        </w:rPr>
      </w:pPr>
      <w:r w:rsidDel="00000000" w:rsidR="00000000" w:rsidRPr="00000000">
        <w:rPr>
          <w:rFonts w:ascii="Arial" w:cs="Arial" w:eastAsia="Arial" w:hAnsi="Arial"/>
          <w:rtl w:val="0"/>
        </w:rPr>
        <w:t xml:space="preserve">Job Review and Design: This involves identifying and documenting the tasks of a given position, together with its required skills, expected outcomes as well as working conditions among other factors that may exist in it. It is a foundation for writing job descriptions or specifications (Armstrong &amp; Taylor, 2020).</w:t>
      </w:r>
    </w:p>
    <w:p w:rsidR="00000000" w:rsidDel="00000000" w:rsidP="00000000" w:rsidRDefault="00000000" w:rsidRPr="00000000" w14:paraId="00000029">
      <w:pPr>
        <w:numPr>
          <w:ilvl w:val="0"/>
          <w:numId w:val="2"/>
        </w:numPr>
        <w:spacing w:line="360" w:lineRule="auto"/>
        <w:ind w:left="720" w:hanging="360"/>
        <w:rPr>
          <w:rFonts w:ascii="Arial" w:cs="Arial" w:eastAsia="Arial" w:hAnsi="Arial"/>
        </w:rPr>
      </w:pPr>
      <w:r w:rsidDel="00000000" w:rsidR="00000000" w:rsidRPr="00000000">
        <w:rPr>
          <w:rFonts w:ascii="Arial" w:cs="Arial" w:eastAsia="Arial" w:hAnsi="Arial"/>
          <w:rtl w:val="0"/>
        </w:rPr>
        <w:t xml:space="preserve">Talent Sourcing: Candidates are identified using different ways such as; online job boards, social media sites and professional networks, etc. – so that many people having various abilities can be attracted who will meet an organisation’s needs (Boxall &amp; Purcell, 2016).</w:t>
      </w:r>
    </w:p>
    <w:p w:rsidR="00000000" w:rsidDel="00000000" w:rsidP="00000000" w:rsidRDefault="00000000" w:rsidRPr="00000000" w14:paraId="0000002A">
      <w:pPr>
        <w:numPr>
          <w:ilvl w:val="0"/>
          <w:numId w:val="2"/>
        </w:numPr>
        <w:spacing w:line="360" w:lineRule="auto"/>
        <w:ind w:left="720" w:hanging="360"/>
        <w:rPr>
          <w:rFonts w:ascii="Arial" w:cs="Arial" w:eastAsia="Arial" w:hAnsi="Arial"/>
        </w:rPr>
      </w:pPr>
      <w:r w:rsidDel="00000000" w:rsidR="00000000" w:rsidRPr="00000000">
        <w:rPr>
          <w:rFonts w:ascii="Arial" w:cs="Arial" w:eastAsia="Arial" w:hAnsi="Arial"/>
          <w:rtl w:val="0"/>
        </w:rPr>
        <w:t xml:space="preserve">Screening and Shortlisting: Candidates are compared against predetermined criteria derived from job analysis – their CVs might be screened through phone calls made for interviews conducted online based on situational judgments made etcetera until they find what suits them best according to those requirements (Marchington &amp; Wilkinson, 2016).</w:t>
      </w:r>
    </w:p>
    <w:p w:rsidR="00000000" w:rsidDel="00000000" w:rsidP="00000000" w:rsidRDefault="00000000" w:rsidRPr="00000000" w14:paraId="0000002B">
      <w:pPr>
        <w:numPr>
          <w:ilvl w:val="0"/>
          <w:numId w:val="2"/>
        </w:numPr>
        <w:spacing w:line="360" w:lineRule="auto"/>
        <w:ind w:left="720" w:hanging="360"/>
        <w:rPr>
          <w:rFonts w:ascii="Arial" w:cs="Arial" w:eastAsia="Arial" w:hAnsi="Arial"/>
        </w:rPr>
      </w:pPr>
      <w:r w:rsidDel="00000000" w:rsidR="00000000" w:rsidRPr="00000000">
        <w:rPr>
          <w:rFonts w:ascii="Arial" w:cs="Arial" w:eastAsia="Arial" w:hAnsi="Arial"/>
          <w:rtl w:val="0"/>
        </w:rPr>
        <w:t xml:space="preserve">Interviews: Doing face-to-face or video assessments focused on competencies required by specific posts being considered within given contexts i.e., behavioral event interview method Nankervis et al., 2019).</w:t>
      </w:r>
    </w:p>
    <w:p w:rsidR="00000000" w:rsidDel="00000000" w:rsidP="00000000" w:rsidRDefault="00000000" w:rsidRPr="00000000" w14:paraId="0000002C">
      <w:pPr>
        <w:numPr>
          <w:ilvl w:val="0"/>
          <w:numId w:val="2"/>
        </w:numPr>
        <w:spacing w:line="360" w:lineRule="auto"/>
        <w:ind w:left="720" w:hanging="360"/>
        <w:rPr/>
      </w:pPr>
      <w:r w:rsidDel="00000000" w:rsidR="00000000" w:rsidRPr="00000000">
        <w:rPr>
          <w:rFonts w:ascii="Arial" w:cs="Arial" w:eastAsia="Arial" w:hAnsi="Arial"/>
          <w:rtl w:val="0"/>
        </w:rPr>
        <w:t xml:space="preserve">The final decision is made after considering all relevant information gathered through the selection process. Successful candidates receive job offers, which include details about salary, benefits, and terms of employment (Hoque, 2013).</w:t>
      </w:r>
    </w:p>
    <w:p w:rsidR="00000000" w:rsidDel="00000000" w:rsidP="00000000" w:rsidRDefault="00000000" w:rsidRPr="00000000" w14:paraId="0000002D">
      <w:pPr>
        <w:numPr>
          <w:ilvl w:val="0"/>
          <w:numId w:val="2"/>
        </w:numPr>
        <w:spacing w:line="360" w:lineRule="auto"/>
        <w:ind w:left="720" w:hanging="360"/>
        <w:rPr/>
      </w:pPr>
      <w:r w:rsidDel="00000000" w:rsidR="00000000" w:rsidRPr="00000000">
        <w:rPr>
          <w:rFonts w:ascii="Arial" w:cs="Arial" w:eastAsia="Arial" w:hAnsi="Arial"/>
          <w:rtl w:val="0"/>
        </w:rPr>
        <w:t xml:space="preserve">Once a candidate accepts the offer, the onboarding process begins. This is crucial for integrating new hires into the company, involving orientation sessions, training, and introductions to team members (Armstrong &amp; Taylor, 2020).</w:t>
      </w:r>
    </w:p>
    <w:p w:rsidR="00000000" w:rsidDel="00000000" w:rsidP="00000000" w:rsidRDefault="00000000" w:rsidRPr="00000000" w14:paraId="0000002E">
      <w:pPr>
        <w:spacing w:line="360" w:lineRule="auto"/>
        <w:rPr>
          <w:rFonts w:ascii="Arial" w:cs="Arial" w:eastAsia="Arial" w:hAnsi="Arial"/>
        </w:rPr>
      </w:pPr>
      <w:r w:rsidDel="00000000" w:rsidR="00000000" w:rsidRPr="00000000">
        <w:rPr>
          <w:rFonts w:ascii="Arial" w:cs="Arial" w:eastAsia="Arial" w:hAnsi="Arial"/>
          <w:b w:val="1"/>
          <w:rtl w:val="0"/>
        </w:rPr>
        <w:t xml:space="preserve">Examples from the Selected Hotel Brand:</w:t>
      </w:r>
      <w:r w:rsidDel="00000000" w:rsidR="00000000" w:rsidRPr="00000000">
        <w:rPr>
          <w:rFonts w:ascii="Arial" w:cs="Arial" w:eastAsia="Arial" w:hAnsi="Arial"/>
          <w:rtl w:val="0"/>
        </w:rPr>
        <w:t xml:space="preserve"> Consider a leading international hotel brand like Marriott International, which leverages its recruitment and selection process to develop its business units and gain a competitive edge. Marriott utilises a sophisticated online recruitment platform that not only disseminates information about job openings but also provides a user-friendly candidate experience, reflecting its brand values right from the first interaction (Nickson, 2013; Hoque, 2013). During the selection phase, Marriott often employs panel interviews to ensure a comprehensive assessment of candidates from multiple perspectives within the company, thus reinforcing the importance of team dynamics and cultural fit.</w:t>
      </w:r>
    </w:p>
    <w:p w:rsidR="00000000" w:rsidDel="00000000" w:rsidP="00000000" w:rsidRDefault="00000000" w:rsidRPr="00000000" w14:paraId="0000002F">
      <w:pPr>
        <w:spacing w:line="360" w:lineRule="auto"/>
        <w:rPr>
          <w:rFonts w:ascii="Arial" w:cs="Arial" w:eastAsia="Arial" w:hAnsi="Arial"/>
        </w:rPr>
      </w:pPr>
      <w:r w:rsidDel="00000000" w:rsidR="00000000" w:rsidRPr="00000000">
        <w:rPr>
          <w:rFonts w:ascii="Arial" w:cs="Arial" w:eastAsia="Arial" w:hAnsi="Arial"/>
          <w:rtl w:val="0"/>
        </w:rPr>
        <w:t xml:space="preserve">Moreover, this is reflected in the way Marriott recruits and its partnership with organisations promoting inclusivity; a move that builds reputation while attracting a wider client base (Noe et al., 2017). In terms of induction, the organisation developed training schemes that correspond to their service standards and corporate culture thus ensuring the readiness of new staff members to begin contributing towards the realisation of company goals from day one (Noe et al., 2017).</w:t>
      </w:r>
    </w:p>
    <w:p w:rsidR="00000000" w:rsidDel="00000000" w:rsidP="00000000" w:rsidRDefault="00000000" w:rsidRPr="00000000" w14:paraId="00000030">
      <w:pPr>
        <w:spacing w:line="360" w:lineRule="auto"/>
        <w:rPr>
          <w:rFonts w:ascii="Arial" w:cs="Arial" w:eastAsia="Arial" w:hAnsi="Arial"/>
        </w:rPr>
      </w:pPr>
      <w:r w:rsidDel="00000000" w:rsidR="00000000" w:rsidRPr="00000000">
        <w:rPr>
          <w:rFonts w:ascii="Arial" w:cs="Arial" w:eastAsia="Arial" w:hAnsi="Arial"/>
          <w:rtl w:val="0"/>
        </w:rPr>
        <w:t xml:space="preserve">Such extensive hiring procedures, not only allow filling up vacancies strategically but also growing talents for sustainable employment as they aim at remaining a global leader in the hospitality industry according to these extended methods of recruitment and selection.</w:t>
      </w:r>
    </w:p>
    <w:p w:rsidR="00000000" w:rsidDel="00000000" w:rsidP="00000000" w:rsidRDefault="00000000" w:rsidRPr="00000000" w14:paraId="00000031">
      <w:pPr>
        <w:spacing w:line="360" w:lineRule="auto"/>
        <w:rPr>
          <w:rFonts w:ascii="Arial" w:cs="Arial" w:eastAsia="Arial" w:hAnsi="Arial"/>
        </w:rPr>
      </w:pPr>
      <w:r w:rsidDel="00000000" w:rsidR="00000000" w:rsidRPr="00000000">
        <w:rPr>
          <w:rFonts w:ascii="Arial" w:cs="Arial" w:eastAsia="Arial" w:hAnsi="Arial"/>
          <w:rtl w:val="0"/>
        </w:rPr>
        <w:t xml:space="preserve">In summary, the alteration in HRM from administrative functions to strategic roles has changed the way international hotel chains perceive this department vis-à-vis their business strategies. This move empowers human resource management to not only control but also utilise employees as a driving force for success within an organisation (Armstrong &amp; Taylor, 2020; Boxall &amp; Purcell, 2016). In simple terms, strategic HR planning encompasses intricate methods of predicting labour demand that guide goal setting and implementation of programs aimed at enabling hotel staff to adjust themselves to meet new market requirements (Nankervis et al., 2019).</w:t>
      </w:r>
    </w:p>
    <w:p w:rsidR="00000000" w:rsidDel="00000000" w:rsidP="00000000" w:rsidRDefault="00000000" w:rsidRPr="00000000" w14:paraId="00000032">
      <w:pPr>
        <w:spacing w:line="360" w:lineRule="auto"/>
        <w:rPr>
          <w:rFonts w:ascii="Arial" w:cs="Arial" w:eastAsia="Arial" w:hAnsi="Arial"/>
        </w:rPr>
      </w:pPr>
      <w:r w:rsidDel="00000000" w:rsidR="00000000" w:rsidRPr="00000000">
        <w:rPr>
          <w:rFonts w:ascii="Arial" w:cs="Arial" w:eastAsia="Arial" w:hAnsi="Arial"/>
          <w:rtl w:val="0"/>
        </w:rPr>
        <w:t xml:space="preserve">These firms’ continuous growth and competitive advantage rely on effective HRM practices. Organisations such as Marriott International match recruitment with specific positions while selecting individuals who can help achieve long-term objectives thus creating sustainable competitive advantages through HR initiatives designed around service excellence backed by retaining the best brains in the hospitality industry (Hoque, 2013; Nickson, 2013).</w:t>
      </w:r>
    </w:p>
    <w:p w:rsidR="00000000" w:rsidDel="00000000" w:rsidP="00000000" w:rsidRDefault="00000000" w:rsidRPr="00000000" w14:paraId="00000033">
      <w:pPr>
        <w:spacing w:line="360" w:lineRule="auto"/>
        <w:rPr>
          <w:rFonts w:ascii="Arial" w:cs="Arial" w:eastAsia="Arial" w:hAnsi="Arial"/>
        </w:rPr>
      </w:pPr>
      <w:r w:rsidDel="00000000" w:rsidR="00000000" w:rsidRPr="00000000">
        <w:rPr>
          <w:rFonts w:ascii="Arial" w:cs="Arial" w:eastAsia="Arial" w:hAnsi="Arial"/>
          <w:rtl w:val="0"/>
        </w:rPr>
        <w:t xml:space="preserve">Human resource management should always be evolving because global markets keep changing over time. For hotels worldwide to survive let alone prosper in the highly competitive nature of the international hospitality business environment, they must incorporate these shifts into their systems. This further supports our contention that strategic development fostered by HRM evolution can greatly contribute to the operational success of international hotel brands.</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1"/>
        <w:rPr>
          <w:rFonts w:ascii="Arial" w:cs="Arial" w:eastAsia="Arial" w:hAnsi="Arial"/>
          <w:sz w:val="24"/>
          <w:szCs w:val="24"/>
        </w:rPr>
      </w:pPr>
      <w:bookmarkStart w:colFirst="0" w:colLast="0" w:name="_heading=h.4d34og8" w:id="6"/>
      <w:bookmarkEnd w:id="6"/>
      <w:r w:rsidDel="00000000" w:rsidR="00000000" w:rsidRPr="00000000">
        <w:rPr>
          <w:rFonts w:ascii="Arial" w:cs="Arial" w:eastAsia="Arial" w:hAnsi="Arial"/>
          <w:sz w:val="24"/>
          <w:szCs w:val="24"/>
          <w:rtl w:val="0"/>
        </w:rPr>
        <w:t xml:space="preserve">References</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Armstrong, M., &amp; Taylor, S. (2020). </w:t>
      </w:r>
      <w:r w:rsidDel="00000000" w:rsidR="00000000" w:rsidRPr="00000000">
        <w:rPr>
          <w:rFonts w:ascii="Arial" w:cs="Arial" w:eastAsia="Arial" w:hAnsi="Arial"/>
          <w:i w:val="1"/>
          <w:smallCaps w:val="0"/>
          <w:strike w:val="0"/>
          <w:color w:val="000000"/>
          <w:u w:val="none"/>
          <w:shd w:fill="auto" w:val="clear"/>
          <w:vertAlign w:val="baseline"/>
          <w:rtl w:val="0"/>
        </w:rPr>
        <w:t xml:space="preserve">Armstrong's Handbook of Human Resource Management Practice</w:t>
      </w:r>
      <w:r w:rsidDel="00000000" w:rsidR="00000000" w:rsidRPr="00000000">
        <w:rPr>
          <w:rFonts w:ascii="Arial" w:cs="Arial" w:eastAsia="Arial" w:hAnsi="Arial"/>
          <w:i w:val="0"/>
          <w:smallCaps w:val="0"/>
          <w:strike w:val="0"/>
          <w:color w:val="000000"/>
          <w:u w:val="none"/>
          <w:shd w:fill="auto" w:val="clear"/>
          <w:vertAlign w:val="baseline"/>
          <w:rtl w:val="0"/>
        </w:rPr>
        <w:t xml:space="preserve">. Kogan Page.</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Boxall, P., &amp; Purcell, J. (2016). </w:t>
      </w:r>
      <w:r w:rsidDel="00000000" w:rsidR="00000000" w:rsidRPr="00000000">
        <w:rPr>
          <w:rFonts w:ascii="Arial" w:cs="Arial" w:eastAsia="Arial" w:hAnsi="Arial"/>
          <w:i w:val="1"/>
          <w:smallCaps w:val="0"/>
          <w:strike w:val="0"/>
          <w:color w:val="000000"/>
          <w:u w:val="none"/>
          <w:shd w:fill="auto" w:val="clear"/>
          <w:vertAlign w:val="baseline"/>
          <w:rtl w:val="0"/>
        </w:rPr>
        <w:t xml:space="preserve">Strategy and Human Resource Management</w:t>
      </w:r>
      <w:r w:rsidDel="00000000" w:rsidR="00000000" w:rsidRPr="00000000">
        <w:rPr>
          <w:rFonts w:ascii="Arial" w:cs="Arial" w:eastAsia="Arial" w:hAnsi="Arial"/>
          <w:i w:val="0"/>
          <w:smallCaps w:val="0"/>
          <w:strike w:val="0"/>
          <w:color w:val="000000"/>
          <w:u w:val="none"/>
          <w:shd w:fill="auto" w:val="clear"/>
          <w:vertAlign w:val="baseline"/>
          <w:rtl w:val="0"/>
        </w:rPr>
        <w:t xml:space="preserve">. Palgrave Macmillan.</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Collings, D. G., Wood, G. T., &amp; Szamosi, L. T. (2018). </w:t>
      </w:r>
      <w:r w:rsidDel="00000000" w:rsidR="00000000" w:rsidRPr="00000000">
        <w:rPr>
          <w:rFonts w:ascii="Arial" w:cs="Arial" w:eastAsia="Arial" w:hAnsi="Arial"/>
          <w:i w:val="1"/>
          <w:smallCaps w:val="0"/>
          <w:strike w:val="0"/>
          <w:color w:val="000000"/>
          <w:u w:val="none"/>
          <w:shd w:fill="auto" w:val="clear"/>
          <w:vertAlign w:val="baseline"/>
          <w:rtl w:val="0"/>
        </w:rPr>
        <w:t xml:space="preserve">Human Resource Management: A Critical Approach</w:t>
      </w:r>
      <w:r w:rsidDel="00000000" w:rsidR="00000000" w:rsidRPr="00000000">
        <w:rPr>
          <w:rFonts w:ascii="Arial" w:cs="Arial" w:eastAsia="Arial" w:hAnsi="Arial"/>
          <w:i w:val="0"/>
          <w:smallCaps w:val="0"/>
          <w:strike w:val="0"/>
          <w:color w:val="000000"/>
          <w:u w:val="none"/>
          <w:shd w:fill="auto" w:val="clear"/>
          <w:vertAlign w:val="baseline"/>
          <w:rtl w:val="0"/>
        </w:rPr>
        <w:t xml:space="preserve">. Routledge.</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Dev, C. S., &amp; Schultz, R. L. (2005). “Human Resource Management’s Role in Clarifying the New Psychological Contract”. </w:t>
      </w:r>
      <w:r w:rsidDel="00000000" w:rsidR="00000000" w:rsidRPr="00000000">
        <w:rPr>
          <w:rFonts w:ascii="Arial" w:cs="Arial" w:eastAsia="Arial" w:hAnsi="Arial"/>
          <w:i w:val="1"/>
          <w:smallCaps w:val="0"/>
          <w:strike w:val="0"/>
          <w:color w:val="000000"/>
          <w:u w:val="none"/>
          <w:shd w:fill="auto" w:val="clear"/>
          <w:vertAlign w:val="baseline"/>
          <w:rtl w:val="0"/>
        </w:rPr>
        <w:t xml:space="preserve">Human Resource Management</w:t>
      </w:r>
      <w:r w:rsidDel="00000000" w:rsidR="00000000" w:rsidRPr="00000000">
        <w:rPr>
          <w:rFonts w:ascii="Arial" w:cs="Arial" w:eastAsia="Arial" w:hAnsi="Arial"/>
          <w:i w:val="0"/>
          <w:smallCaps w:val="0"/>
          <w:strike w:val="0"/>
          <w:color w:val="000000"/>
          <w:u w:val="none"/>
          <w:shd w:fill="auto" w:val="clear"/>
          <w:vertAlign w:val="baseline"/>
          <w:rtl w:val="0"/>
        </w:rPr>
        <w:t xml:space="preserve">, 44(2), 219-232.</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Friedman, A. (2012) Continuing professional development:  lifelong learning of millions. London: Routledge. </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Gallagher, K. (2016) Essential study and employment skills for business and management students. Oxford: Oxford University Press. </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Garavan, T. N., Carbery, R., &amp; Rock, A. (2012). “Mapping talent development: definition, scope and architecture”. </w:t>
      </w:r>
      <w:r w:rsidDel="00000000" w:rsidR="00000000" w:rsidRPr="00000000">
        <w:rPr>
          <w:rFonts w:ascii="Arial" w:cs="Arial" w:eastAsia="Arial" w:hAnsi="Arial"/>
          <w:i w:val="1"/>
          <w:smallCaps w:val="0"/>
          <w:strike w:val="0"/>
          <w:color w:val="000000"/>
          <w:u w:val="none"/>
          <w:shd w:fill="auto" w:val="clear"/>
          <w:vertAlign w:val="baseline"/>
          <w:rtl w:val="0"/>
        </w:rPr>
        <w:t xml:space="preserve">European Journal of Training and Development</w:t>
      </w:r>
      <w:r w:rsidDel="00000000" w:rsidR="00000000" w:rsidRPr="00000000">
        <w:rPr>
          <w:rFonts w:ascii="Arial" w:cs="Arial" w:eastAsia="Arial" w:hAnsi="Arial"/>
          <w:i w:val="0"/>
          <w:smallCaps w:val="0"/>
          <w:strike w:val="0"/>
          <w:color w:val="000000"/>
          <w:u w:val="none"/>
          <w:shd w:fill="auto" w:val="clear"/>
          <w:vertAlign w:val="baseline"/>
          <w:rtl w:val="0"/>
        </w:rPr>
        <w:t xml:space="preserve">, 36(1), 5-24.</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Hoque, K. (2013). </w:t>
      </w:r>
      <w:r w:rsidDel="00000000" w:rsidR="00000000" w:rsidRPr="00000000">
        <w:rPr>
          <w:rFonts w:ascii="Arial" w:cs="Arial" w:eastAsia="Arial" w:hAnsi="Arial"/>
          <w:i w:val="1"/>
          <w:smallCaps w:val="0"/>
          <w:strike w:val="0"/>
          <w:color w:val="000000"/>
          <w:u w:val="none"/>
          <w:shd w:fill="auto" w:val="clear"/>
          <w:vertAlign w:val="baseline"/>
          <w:rtl w:val="0"/>
        </w:rPr>
        <w:t xml:space="preserve">Human Resource Management in the Hotel Industry: Strategy, Innovation and Performance</w:t>
      </w:r>
      <w:r w:rsidDel="00000000" w:rsidR="00000000" w:rsidRPr="00000000">
        <w:rPr>
          <w:rFonts w:ascii="Arial" w:cs="Arial" w:eastAsia="Arial" w:hAnsi="Arial"/>
          <w:i w:val="0"/>
          <w:smallCaps w:val="0"/>
          <w:strike w:val="0"/>
          <w:color w:val="000000"/>
          <w:u w:val="none"/>
          <w:shd w:fill="auto" w:val="clear"/>
          <w:vertAlign w:val="baseline"/>
          <w:rtl w:val="0"/>
        </w:rPr>
        <w:t xml:space="preserve">. Routledge.</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Horn, R. (2009) The business skills handbook. London: Chartered Institute of Personnel and Development. </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Johnston, R. Clark, G. Shulver, M (2012). Service Operations Management,Pearson, London </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Kusluvan, S., Kusluvan, Z., Ilhan, I., &amp; Buyruk, L. (2010). “The Human Dimension: A Review of Human Resources Management Issues in the Tourism and Hospitality Industry”. </w:t>
      </w:r>
      <w:r w:rsidDel="00000000" w:rsidR="00000000" w:rsidRPr="00000000">
        <w:rPr>
          <w:rFonts w:ascii="Arial" w:cs="Arial" w:eastAsia="Arial" w:hAnsi="Arial"/>
          <w:i w:val="1"/>
          <w:smallCaps w:val="0"/>
          <w:strike w:val="0"/>
          <w:color w:val="000000"/>
          <w:u w:val="none"/>
          <w:shd w:fill="auto" w:val="clear"/>
          <w:vertAlign w:val="baseline"/>
          <w:rtl w:val="0"/>
        </w:rPr>
        <w:t xml:space="preserve">Cornell Hospitality Quarterly</w:t>
      </w:r>
      <w:r w:rsidDel="00000000" w:rsidR="00000000" w:rsidRPr="00000000">
        <w:rPr>
          <w:rFonts w:ascii="Arial" w:cs="Arial" w:eastAsia="Arial" w:hAnsi="Arial"/>
          <w:i w:val="0"/>
          <w:smallCaps w:val="0"/>
          <w:strike w:val="0"/>
          <w:color w:val="000000"/>
          <w:u w:val="none"/>
          <w:shd w:fill="auto" w:val="clear"/>
          <w:vertAlign w:val="baseline"/>
          <w:rtl w:val="0"/>
        </w:rPr>
        <w:t xml:space="preserve">, 51(2), 171-214.</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Marchington, M. and Wilkinson, A. (2016) Human resource management at work. 6th ed. London: Chartered Institute of Personnel and Development. </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Murton, A,. Inman, M., O’Sullivan, N. (2010) Unlocking Human Resource Management, Hodder Education</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Nankervis, A., Baird, M., Coffey, J., &amp; Shields, J. (2019). </w:t>
      </w:r>
      <w:r w:rsidDel="00000000" w:rsidR="00000000" w:rsidRPr="00000000">
        <w:rPr>
          <w:rFonts w:ascii="Arial" w:cs="Arial" w:eastAsia="Arial" w:hAnsi="Arial"/>
          <w:i w:val="1"/>
          <w:smallCaps w:val="0"/>
          <w:strike w:val="0"/>
          <w:color w:val="000000"/>
          <w:u w:val="none"/>
          <w:shd w:fill="auto" w:val="clear"/>
          <w:vertAlign w:val="baseline"/>
          <w:rtl w:val="0"/>
        </w:rPr>
        <w:t xml:space="preserve">Human Resource Management: Strategy and Practice</w:t>
      </w:r>
      <w:r w:rsidDel="00000000" w:rsidR="00000000" w:rsidRPr="00000000">
        <w:rPr>
          <w:rFonts w:ascii="Arial" w:cs="Arial" w:eastAsia="Arial" w:hAnsi="Arial"/>
          <w:i w:val="0"/>
          <w:smallCaps w:val="0"/>
          <w:strike w:val="0"/>
          <w:color w:val="000000"/>
          <w:u w:val="none"/>
          <w:shd w:fill="auto" w:val="clear"/>
          <w:vertAlign w:val="baseline"/>
          <w:rtl w:val="0"/>
        </w:rPr>
        <w:t xml:space="preserve">. Cengage Learning.</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Nickson, D. (2013). </w:t>
      </w:r>
      <w:r w:rsidDel="00000000" w:rsidR="00000000" w:rsidRPr="00000000">
        <w:rPr>
          <w:rFonts w:ascii="Arial" w:cs="Arial" w:eastAsia="Arial" w:hAnsi="Arial"/>
          <w:i w:val="1"/>
          <w:smallCaps w:val="0"/>
          <w:strike w:val="0"/>
          <w:color w:val="000000"/>
          <w:u w:val="none"/>
          <w:shd w:fill="auto" w:val="clear"/>
          <w:vertAlign w:val="baseline"/>
          <w:rtl w:val="0"/>
        </w:rPr>
        <w:t xml:space="preserve">Human Resource Management for Hospitality, Tourism and Events</w:t>
      </w:r>
      <w:r w:rsidDel="00000000" w:rsidR="00000000" w:rsidRPr="00000000">
        <w:rPr>
          <w:rFonts w:ascii="Arial" w:cs="Arial" w:eastAsia="Arial" w:hAnsi="Arial"/>
          <w:i w:val="0"/>
          <w:smallCaps w:val="0"/>
          <w:strike w:val="0"/>
          <w:color w:val="000000"/>
          <w:u w:val="none"/>
          <w:shd w:fill="auto" w:val="clear"/>
          <w:vertAlign w:val="baseline"/>
          <w:rtl w:val="0"/>
        </w:rPr>
        <w:t xml:space="preserve">. Routledge.</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Noe, R. A., Hollenbeck, J. R., Gerhart, B., &amp; Wright, P. M. (2017). </w:t>
      </w:r>
      <w:r w:rsidDel="00000000" w:rsidR="00000000" w:rsidRPr="00000000">
        <w:rPr>
          <w:rFonts w:ascii="Arial" w:cs="Arial" w:eastAsia="Arial" w:hAnsi="Arial"/>
          <w:i w:val="1"/>
          <w:smallCaps w:val="0"/>
          <w:strike w:val="0"/>
          <w:color w:val="000000"/>
          <w:u w:val="none"/>
          <w:shd w:fill="auto" w:val="clear"/>
          <w:vertAlign w:val="baseline"/>
          <w:rtl w:val="0"/>
        </w:rPr>
        <w:t xml:space="preserve">Human Resource Management: Gaining a Competitive Advantage</w:t>
      </w:r>
      <w:r w:rsidDel="00000000" w:rsidR="00000000" w:rsidRPr="00000000">
        <w:rPr>
          <w:rFonts w:ascii="Arial" w:cs="Arial" w:eastAsia="Arial" w:hAnsi="Arial"/>
          <w:i w:val="0"/>
          <w:smallCaps w:val="0"/>
          <w:strike w:val="0"/>
          <w:color w:val="000000"/>
          <w:u w:val="none"/>
          <w:shd w:fill="auto" w:val="clear"/>
          <w:vertAlign w:val="baseline"/>
          <w:rtl w:val="0"/>
        </w:rPr>
        <w:t xml:space="preserve">. McGraw-Hill Education.</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Scullion, H., &amp; Collings, D. (2011). </w:t>
      </w:r>
      <w:r w:rsidDel="00000000" w:rsidR="00000000" w:rsidRPr="00000000">
        <w:rPr>
          <w:rFonts w:ascii="Arial" w:cs="Arial" w:eastAsia="Arial" w:hAnsi="Arial"/>
          <w:i w:val="1"/>
          <w:smallCaps w:val="0"/>
          <w:strike w:val="0"/>
          <w:color w:val="000000"/>
          <w:u w:val="none"/>
          <w:shd w:fill="auto" w:val="clear"/>
          <w:vertAlign w:val="baseline"/>
          <w:rtl w:val="0"/>
        </w:rPr>
        <w:t xml:space="preserve">Global Talent Management</w:t>
      </w:r>
      <w:r w:rsidDel="00000000" w:rsidR="00000000" w:rsidRPr="00000000">
        <w:rPr>
          <w:rFonts w:ascii="Arial" w:cs="Arial" w:eastAsia="Arial" w:hAnsi="Arial"/>
          <w:i w:val="0"/>
          <w:smallCaps w:val="0"/>
          <w:strike w:val="0"/>
          <w:color w:val="000000"/>
          <w:u w:val="none"/>
          <w:shd w:fill="auto" w:val="clear"/>
          <w:vertAlign w:val="baseline"/>
          <w:rtl w:val="0"/>
        </w:rPr>
        <w:t xml:space="preserve">. Routledge.</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Tarique, I., Briscoe, D. R., &amp; Schuler, R. S. (2016). </w:t>
      </w:r>
      <w:r w:rsidDel="00000000" w:rsidR="00000000" w:rsidRPr="00000000">
        <w:rPr>
          <w:rFonts w:ascii="Arial" w:cs="Arial" w:eastAsia="Arial" w:hAnsi="Arial"/>
          <w:i w:val="1"/>
          <w:smallCaps w:val="0"/>
          <w:strike w:val="0"/>
          <w:color w:val="000000"/>
          <w:u w:val="none"/>
          <w:shd w:fill="auto" w:val="clear"/>
          <w:vertAlign w:val="baseline"/>
          <w:rtl w:val="0"/>
        </w:rPr>
        <w:t xml:space="preserve">International Human Resource Management: Policies and Practices for Multinational Enterprises</w:t>
      </w:r>
      <w:r w:rsidDel="00000000" w:rsidR="00000000" w:rsidRPr="00000000">
        <w:rPr>
          <w:rFonts w:ascii="Arial" w:cs="Arial" w:eastAsia="Arial" w:hAnsi="Arial"/>
          <w:i w:val="0"/>
          <w:smallCaps w:val="0"/>
          <w:strike w:val="0"/>
          <w:color w:val="000000"/>
          <w:u w:val="none"/>
          <w:shd w:fill="auto" w:val="clear"/>
          <w:vertAlign w:val="baseline"/>
          <w:rtl w:val="0"/>
        </w:rPr>
        <w:t xml:space="preserve">. Routledge.</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Torrington, D, Hall, L, Atkinson, C, &amp; Taylor, S (2020), Human  Resource Management PDF EBook, Pearson Education,  Limited, Harlow. Available from: ProQuest Ebook Central. </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Ulrich, D., Younger, J., Brockbank, W., &amp; Ulrich, M. (2013). </w:t>
      </w:r>
      <w:r w:rsidDel="00000000" w:rsidR="00000000" w:rsidRPr="00000000">
        <w:rPr>
          <w:rFonts w:ascii="Arial" w:cs="Arial" w:eastAsia="Arial" w:hAnsi="Arial"/>
          <w:i w:val="1"/>
          <w:smallCaps w:val="0"/>
          <w:strike w:val="0"/>
          <w:color w:val="000000"/>
          <w:u w:val="none"/>
          <w:shd w:fill="auto" w:val="clear"/>
          <w:vertAlign w:val="baseline"/>
          <w:rtl w:val="0"/>
        </w:rPr>
        <w:t xml:space="preserve">The HR Value Proposition</w:t>
      </w:r>
      <w:r w:rsidDel="00000000" w:rsidR="00000000" w:rsidRPr="00000000">
        <w:rPr>
          <w:rFonts w:ascii="Arial" w:cs="Arial" w:eastAsia="Arial" w:hAnsi="Arial"/>
          <w:i w:val="0"/>
          <w:smallCaps w:val="0"/>
          <w:strike w:val="0"/>
          <w:color w:val="000000"/>
          <w:u w:val="none"/>
          <w:shd w:fill="auto" w:val="clear"/>
          <w:vertAlign w:val="baseline"/>
          <w:rtl w:val="0"/>
        </w:rPr>
        <w:t xml:space="preserve">. Harvard Business Press.</w:t>
      </w:r>
    </w:p>
    <w:sectPr>
      <w:footerReference r:id="rId7"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_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40" w:before="400" w:lineRule="auto"/>
    </w:pPr>
    <w:rPr>
      <w:sz w:val="32"/>
      <w:szCs w:val="32"/>
    </w:rPr>
  </w:style>
  <w:style w:type="paragraph" w:styleId="Heading2">
    <w:name w:val="heading 2"/>
    <w:basedOn w:val="Normal"/>
    <w:next w:val="Normal"/>
    <w:pPr>
      <w:keepNext w:val="1"/>
      <w:keepLines w:val="1"/>
      <w:spacing w:after="0" w:before="40" w:lineRule="auto"/>
    </w:pPr>
    <w:rPr>
      <w:sz w:val="28"/>
      <w:szCs w:val="28"/>
    </w:rPr>
  </w:style>
  <w:style w:type="paragraph" w:styleId="Heading3">
    <w:name w:val="heading 3"/>
    <w:basedOn w:val="Normal"/>
    <w:next w:val="Normal"/>
    <w:pPr>
      <w:keepNext w:val="1"/>
      <w:keepLines w:val="1"/>
      <w:spacing w:after="0" w:before="40" w:lineRule="auto"/>
    </w:pPr>
    <w:rPr>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sz w:val="36"/>
      <w:szCs w:val="36"/>
    </w:rPr>
  </w:style>
  <w:style w:type="paragraph" w:styleId="Normal" w:default="1">
    <w:name w:val="Normal"/>
    <w:qFormat w:val="1"/>
    <w:rsid w:val="00EE15C3"/>
    <w:pPr>
      <w:spacing w:line="360" w:lineRule="auto"/>
      <w:jc w:val="both"/>
    </w:pPr>
    <w:rPr>
      <w:rFonts w:ascii="Times New Roman" w:cs="Times New Roman" w:eastAsia="Times New Roman" w:hAnsi="Times New Roman"/>
      <w:sz w:val="24"/>
      <w:szCs w:val="24"/>
      <w:lang w:eastAsia="en-GB" w:val="en-GB"/>
    </w:rPr>
  </w:style>
  <w:style w:type="paragraph" w:styleId="Heading1">
    <w:name w:val="heading 1"/>
    <w:basedOn w:val="Normal"/>
    <w:next w:val="Normal"/>
    <w:link w:val="Heading1Char"/>
    <w:uiPriority w:val="9"/>
    <w:qFormat w:val="1"/>
    <w:rsid w:val="00EE15C3"/>
    <w:pPr>
      <w:keepNext w:val="1"/>
      <w:keepLines w:val="1"/>
      <w:spacing w:after="40" w:before="400"/>
      <w:outlineLvl w:val="0"/>
    </w:pPr>
    <w:rPr>
      <w:sz w:val="32"/>
      <w:szCs w:val="32"/>
    </w:rPr>
  </w:style>
  <w:style w:type="paragraph" w:styleId="Heading2">
    <w:name w:val="heading 2"/>
    <w:basedOn w:val="Normal"/>
    <w:next w:val="Normal"/>
    <w:link w:val="Heading2Char"/>
    <w:uiPriority w:val="9"/>
    <w:unhideWhenUsed w:val="1"/>
    <w:qFormat w:val="1"/>
    <w:rsid w:val="00265A50"/>
    <w:pPr>
      <w:keepNext w:val="1"/>
      <w:keepLines w:val="1"/>
      <w:spacing w:after="0" w:before="40"/>
      <w:outlineLvl w:val="1"/>
    </w:pPr>
    <w:rPr>
      <w:sz w:val="28"/>
      <w:szCs w:val="28"/>
    </w:rPr>
  </w:style>
  <w:style w:type="paragraph" w:styleId="Heading3">
    <w:name w:val="heading 3"/>
    <w:basedOn w:val="Normal"/>
    <w:next w:val="Normal"/>
    <w:link w:val="Heading3Char"/>
    <w:uiPriority w:val="9"/>
    <w:unhideWhenUsed w:val="1"/>
    <w:qFormat w:val="1"/>
    <w:rsid w:val="000E78B6"/>
    <w:pPr>
      <w:keepNext w:val="1"/>
      <w:keepLines w:val="1"/>
      <w:spacing w:after="0" w:before="40"/>
      <w:outlineLvl w:val="2"/>
    </w:pPr>
    <w:rPr>
      <w:rFonts w:eastAsiaTheme="majorEastAsia"/>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E15C3"/>
    <w:rPr>
      <w:rFonts w:ascii="Times New Roman" w:cs="Times New Roman" w:eastAsia="Times New Roman" w:hAnsi="Times New Roman"/>
      <w:sz w:val="32"/>
      <w:szCs w:val="32"/>
      <w:lang w:eastAsia="en-GB" w:val="en-GB"/>
    </w:rPr>
  </w:style>
  <w:style w:type="character" w:styleId="Heading2Char" w:customStyle="1">
    <w:name w:val="Heading 2 Char"/>
    <w:basedOn w:val="DefaultParagraphFont"/>
    <w:link w:val="Heading2"/>
    <w:uiPriority w:val="9"/>
    <w:rsid w:val="00265A50"/>
    <w:rPr>
      <w:rFonts w:ascii="Times New Roman" w:cs="Times New Roman" w:eastAsia="Times New Roman" w:hAnsi="Times New Roman"/>
      <w:sz w:val="28"/>
      <w:szCs w:val="28"/>
      <w:lang w:eastAsia="en-GB" w:val="en-GB"/>
    </w:rPr>
  </w:style>
  <w:style w:type="paragraph" w:styleId="Title">
    <w:name w:val="Title"/>
    <w:basedOn w:val="Normal"/>
    <w:next w:val="Normal"/>
    <w:link w:val="TitleChar"/>
    <w:uiPriority w:val="10"/>
    <w:qFormat w:val="1"/>
    <w:rsid w:val="000E78B6"/>
    <w:pPr>
      <w:spacing w:after="0"/>
      <w:jc w:val="center"/>
    </w:pPr>
    <w:rPr>
      <w:sz w:val="36"/>
      <w:szCs w:val="40"/>
    </w:rPr>
  </w:style>
  <w:style w:type="character" w:styleId="TitleChar" w:customStyle="1">
    <w:name w:val="Title Char"/>
    <w:basedOn w:val="DefaultParagraphFont"/>
    <w:link w:val="Title"/>
    <w:uiPriority w:val="10"/>
    <w:rsid w:val="000E78B6"/>
    <w:rPr>
      <w:rFonts w:ascii="Times New Roman" w:cs="Times New Roman" w:eastAsia="Times New Roman" w:hAnsi="Times New Roman"/>
      <w:sz w:val="36"/>
      <w:szCs w:val="40"/>
      <w:lang w:eastAsia="en-GB" w:val="en-GB"/>
    </w:rPr>
  </w:style>
  <w:style w:type="paragraph" w:styleId="TOC1">
    <w:name w:val="toc 1"/>
    <w:basedOn w:val="Normal"/>
    <w:next w:val="Normal"/>
    <w:autoRedefine w:val="1"/>
    <w:uiPriority w:val="39"/>
    <w:unhideWhenUsed w:val="1"/>
    <w:rsid w:val="0082042E"/>
    <w:pPr>
      <w:tabs>
        <w:tab w:val="right" w:pos="9350"/>
      </w:tabs>
      <w:spacing w:after="100"/>
    </w:pPr>
  </w:style>
  <w:style w:type="paragraph" w:styleId="TOC2">
    <w:name w:val="toc 2"/>
    <w:basedOn w:val="Normal"/>
    <w:next w:val="Normal"/>
    <w:autoRedefine w:val="1"/>
    <w:uiPriority w:val="39"/>
    <w:unhideWhenUsed w:val="1"/>
    <w:rsid w:val="00EE15C3"/>
    <w:pPr>
      <w:spacing w:after="100"/>
      <w:ind w:left="240"/>
    </w:pPr>
  </w:style>
  <w:style w:type="character" w:styleId="Hyperlink">
    <w:name w:val="Hyperlink"/>
    <w:basedOn w:val="DefaultParagraphFont"/>
    <w:uiPriority w:val="99"/>
    <w:unhideWhenUsed w:val="1"/>
    <w:rsid w:val="00EE15C3"/>
    <w:rPr>
      <w:color w:val="0563c1" w:themeColor="hyperlink"/>
      <w:u w:val="single"/>
    </w:rPr>
  </w:style>
  <w:style w:type="paragraph" w:styleId="Footer">
    <w:name w:val="footer"/>
    <w:basedOn w:val="Normal"/>
    <w:link w:val="FooterChar"/>
    <w:uiPriority w:val="99"/>
    <w:unhideWhenUsed w:val="1"/>
    <w:rsid w:val="00EE15C3"/>
    <w:pPr>
      <w:tabs>
        <w:tab w:val="center" w:pos="4680"/>
        <w:tab w:val="right" w:pos="9360"/>
      </w:tabs>
      <w:spacing w:after="0" w:line="240" w:lineRule="auto"/>
    </w:pPr>
  </w:style>
  <w:style w:type="character" w:styleId="FooterChar" w:customStyle="1">
    <w:name w:val="Footer Char"/>
    <w:basedOn w:val="DefaultParagraphFont"/>
    <w:link w:val="Footer"/>
    <w:uiPriority w:val="99"/>
    <w:rsid w:val="00EE15C3"/>
    <w:rPr>
      <w:rFonts w:ascii="Times New Roman" w:cs="Times New Roman" w:eastAsia="Times New Roman" w:hAnsi="Times New Roman"/>
      <w:sz w:val="24"/>
      <w:szCs w:val="24"/>
      <w:lang w:eastAsia="en-GB" w:val="en-GB"/>
    </w:rPr>
  </w:style>
  <w:style w:type="character" w:styleId="Heading3Char" w:customStyle="1">
    <w:name w:val="Heading 3 Char"/>
    <w:basedOn w:val="DefaultParagraphFont"/>
    <w:link w:val="Heading3"/>
    <w:uiPriority w:val="9"/>
    <w:rsid w:val="000E78B6"/>
    <w:rPr>
      <w:rFonts w:ascii="Times New Roman" w:cs="Times New Roman" w:hAnsi="Times New Roman" w:eastAsiaTheme="majorEastAsia"/>
      <w:sz w:val="26"/>
      <w:szCs w:val="26"/>
      <w:lang w:eastAsia="en-GB" w:val="en-GB"/>
    </w:rPr>
  </w:style>
  <w:style w:type="paragraph" w:styleId="Caption">
    <w:name w:val="caption"/>
    <w:basedOn w:val="Normal"/>
    <w:next w:val="Normal"/>
    <w:uiPriority w:val="35"/>
    <w:unhideWhenUsed w:val="1"/>
    <w:qFormat w:val="1"/>
    <w:rsid w:val="000E78B6"/>
    <w:pPr>
      <w:spacing w:after="200" w:before="240" w:line="240" w:lineRule="auto"/>
      <w:jc w:val="center"/>
    </w:pPr>
    <w:rPr>
      <w:color w:val="44546a" w:themeColor="text2"/>
      <w:sz w:val="20"/>
      <w:szCs w:val="20"/>
    </w:rPr>
  </w:style>
  <w:style w:type="table" w:styleId="TableGrid">
    <w:name w:val="Table Grid"/>
    <w:basedOn w:val="TableNormal"/>
    <w:uiPriority w:val="39"/>
    <w:rsid w:val="000E78B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DE3DF4"/>
    <w:rPr>
      <w:color w:val="605e5c"/>
      <w:shd w:color="auto" w:fill="e1dfdd" w:val="clear"/>
    </w:rPr>
  </w:style>
  <w:style w:type="paragraph" w:styleId="ListParagraph">
    <w:name w:val="List Paragraph"/>
    <w:basedOn w:val="Normal"/>
    <w:uiPriority w:val="34"/>
    <w:qFormat w:val="1"/>
    <w:rsid w:val="00BE5CC8"/>
    <w:pPr>
      <w:ind w:left="720"/>
      <w:contextualSpacing w:val="1"/>
    </w:pPr>
    <w:rPr>
      <w:rFonts w:cstheme="minorBidi" w:eastAsiaTheme="minorHAnsi"/>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KjEFndv3IySTeUAVWWoQ/wMbXA==">CgMxLjAyDmguamh2YmRyY3B6NGtrMghoLmdqZGd4czIOaC44bmI3NnZ6Y3NxanoyDmguMWoxczNpNjY3Z3JjMgloLjMwajB6bGwyCWguM2R5NnZrbTIJaC40ZDM0b2c4OAByITFHSGNQZnA1YU5TRVlNZTY3SUpKRW5NSGlWOGNkODlIUQ==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2023-04-29T16:50:00Z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dff658591feab106461f2ad3e78033a3f47d842bc9cff2cde58005cb20d9b099</vt:lpwstr>
  </property>
</Properties>
</file>