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05A88" w14:textId="77777777" w:rsidR="00392629" w:rsidRDefault="00392629" w:rsidP="00E4685B">
      <w:pPr>
        <w:spacing w:before="100" w:beforeAutospacing="1" w:after="100" w:afterAutospacing="1" w:line="360" w:lineRule="auto"/>
        <w:jc w:val="center"/>
        <w:rPr>
          <w:rFonts w:ascii="Arial" w:hAnsi="Arial" w:cs="Arial"/>
        </w:rPr>
      </w:pPr>
    </w:p>
    <w:p w14:paraId="410A09A8" w14:textId="77777777" w:rsidR="00392629" w:rsidRDefault="00392629" w:rsidP="00E4685B">
      <w:pPr>
        <w:spacing w:before="100" w:beforeAutospacing="1" w:after="100" w:afterAutospacing="1" w:line="360" w:lineRule="auto"/>
        <w:jc w:val="center"/>
        <w:rPr>
          <w:rFonts w:ascii="Arial" w:hAnsi="Arial" w:cs="Arial"/>
        </w:rPr>
      </w:pPr>
    </w:p>
    <w:p w14:paraId="4BAAEFBB" w14:textId="77777777" w:rsidR="00392629" w:rsidRDefault="00392629" w:rsidP="00E4685B">
      <w:pPr>
        <w:spacing w:before="100" w:beforeAutospacing="1" w:after="100" w:afterAutospacing="1" w:line="360" w:lineRule="auto"/>
        <w:jc w:val="center"/>
        <w:rPr>
          <w:rFonts w:ascii="Arial" w:hAnsi="Arial" w:cs="Arial"/>
        </w:rPr>
      </w:pPr>
    </w:p>
    <w:p w14:paraId="5ACBF02A" w14:textId="39214042" w:rsidR="00A166B1" w:rsidRPr="00E4685B" w:rsidRDefault="00A166B1" w:rsidP="00E4685B">
      <w:pPr>
        <w:spacing w:before="100" w:beforeAutospacing="1" w:after="100" w:afterAutospacing="1" w:line="360" w:lineRule="auto"/>
        <w:jc w:val="center"/>
        <w:rPr>
          <w:rFonts w:ascii="Arial" w:hAnsi="Arial" w:cs="Arial"/>
        </w:rPr>
      </w:pPr>
      <w:r w:rsidRPr="00E4685B">
        <w:rPr>
          <w:rFonts w:ascii="Arial" w:hAnsi="Arial" w:cs="Arial"/>
        </w:rPr>
        <w:t>STUDENT NAME: AASMA AMJID</w:t>
      </w:r>
    </w:p>
    <w:p w14:paraId="5CC9528C" w14:textId="77777777" w:rsidR="00A166B1" w:rsidRPr="00E4685B" w:rsidRDefault="00A166B1" w:rsidP="00E4685B">
      <w:pPr>
        <w:spacing w:before="100" w:beforeAutospacing="1" w:after="100" w:afterAutospacing="1" w:line="360" w:lineRule="auto"/>
        <w:jc w:val="center"/>
        <w:rPr>
          <w:rFonts w:ascii="Arial" w:hAnsi="Arial" w:cs="Arial"/>
        </w:rPr>
      </w:pPr>
      <w:r w:rsidRPr="00E4685B">
        <w:rPr>
          <w:rFonts w:ascii="Arial" w:hAnsi="Arial" w:cs="Arial"/>
        </w:rPr>
        <w:t>STUDENT ID: 2322971</w:t>
      </w:r>
    </w:p>
    <w:p w14:paraId="40DEC5B0" w14:textId="38DA5DCD" w:rsidR="003A7CB1" w:rsidRDefault="003A7CB1" w:rsidP="00E4685B">
      <w:pPr>
        <w:spacing w:before="100" w:beforeAutospacing="1" w:after="100" w:afterAutospacing="1" w:line="360" w:lineRule="auto"/>
        <w:jc w:val="center"/>
        <w:rPr>
          <w:rFonts w:ascii="Arial" w:hAnsi="Arial" w:cs="Arial"/>
        </w:rPr>
      </w:pPr>
      <w:r w:rsidRPr="00E4685B">
        <w:rPr>
          <w:rFonts w:ascii="Arial" w:hAnsi="Arial" w:cs="Arial"/>
        </w:rPr>
        <w:t>MODULE:</w:t>
      </w:r>
      <w:r w:rsidRPr="00E4685B">
        <w:rPr>
          <w:rFonts w:ascii="Arial" w:hAnsi="Arial" w:cs="Arial"/>
        </w:rPr>
        <w:t xml:space="preserve"> BMHP2069</w:t>
      </w:r>
    </w:p>
    <w:p w14:paraId="4559E6A5" w14:textId="714FBB26" w:rsidR="00392629" w:rsidRPr="00E4685B" w:rsidRDefault="00392629" w:rsidP="00E4685B">
      <w:pPr>
        <w:spacing w:before="100" w:beforeAutospacing="1" w:after="100" w:afterAutospacing="1" w:line="360" w:lineRule="auto"/>
        <w:jc w:val="center"/>
        <w:rPr>
          <w:rFonts w:ascii="Arial" w:hAnsi="Arial" w:cs="Arial"/>
        </w:rPr>
      </w:pPr>
      <w:r>
        <w:rPr>
          <w:rFonts w:ascii="Arial" w:hAnsi="Arial" w:cs="Arial"/>
        </w:rPr>
        <w:t>LECTURER: NEALE HADDON</w:t>
      </w:r>
    </w:p>
    <w:p w14:paraId="259FA444" w14:textId="4E854452" w:rsidR="003A7CB1" w:rsidRPr="00E4685B" w:rsidRDefault="003A7CB1" w:rsidP="00E4685B">
      <w:pPr>
        <w:spacing w:before="100" w:beforeAutospacing="1" w:after="100" w:afterAutospacing="1" w:line="360" w:lineRule="auto"/>
        <w:jc w:val="center"/>
        <w:rPr>
          <w:rFonts w:ascii="Arial" w:hAnsi="Arial" w:cs="Arial"/>
        </w:rPr>
      </w:pPr>
      <w:r w:rsidRPr="00E4685B">
        <w:rPr>
          <w:rFonts w:ascii="Arial" w:hAnsi="Arial" w:cs="Arial"/>
        </w:rPr>
        <w:t>COMPONENT 2: WRITTEN ASSIGNMENT (REPORT</w:t>
      </w:r>
      <w:r w:rsidRPr="00E4685B">
        <w:rPr>
          <w:rFonts w:ascii="Arial" w:hAnsi="Arial" w:cs="Arial"/>
        </w:rPr>
        <w:t>)</w:t>
      </w:r>
    </w:p>
    <w:p w14:paraId="25FF9862" w14:textId="6688993B" w:rsidR="00A166B1" w:rsidRPr="00E4685B" w:rsidRDefault="003A7CB1" w:rsidP="00E4685B">
      <w:pPr>
        <w:spacing w:before="100" w:beforeAutospacing="1" w:after="100" w:afterAutospacing="1" w:line="360" w:lineRule="auto"/>
        <w:jc w:val="center"/>
        <w:rPr>
          <w:rFonts w:ascii="Arial" w:hAnsi="Arial" w:cs="Arial"/>
        </w:rPr>
      </w:pPr>
      <w:r w:rsidRPr="00E4685B">
        <w:rPr>
          <w:rFonts w:ascii="Arial" w:hAnsi="Arial" w:cs="Arial"/>
        </w:rPr>
        <w:t>TITLE:</w:t>
      </w:r>
      <w:r w:rsidRPr="00E4685B">
        <w:rPr>
          <w:rFonts w:ascii="Arial" w:hAnsi="Arial" w:cs="Arial"/>
        </w:rPr>
        <w:t xml:space="preserve"> </w:t>
      </w:r>
      <w:r w:rsidRPr="00E4685B">
        <w:rPr>
          <w:rFonts w:ascii="Arial" w:hAnsi="Arial" w:cs="Arial"/>
        </w:rPr>
        <w:t>A Critical Examination of Generalised Anxiety Disorder (GAD) in ICD-11: Classification, Treatment, and Contemporary Debates</w:t>
      </w:r>
      <w:r w:rsidRPr="00E4685B">
        <w:rPr>
          <w:rFonts w:ascii="Arial" w:hAnsi="Arial" w:cs="Arial"/>
        </w:rPr>
        <w:br w:type="page"/>
      </w:r>
    </w:p>
    <w:sdt>
      <w:sdtPr>
        <w:rPr>
          <w:rFonts w:ascii="Arial" w:hAnsi="Arial" w:cs="Arial"/>
          <w:color w:val="auto"/>
          <w:sz w:val="22"/>
          <w:szCs w:val="22"/>
        </w:rPr>
        <w:id w:val="-482700027"/>
        <w:docPartObj>
          <w:docPartGallery w:val="Table of Contents"/>
          <w:docPartUnique/>
        </w:docPartObj>
      </w:sdtPr>
      <w:sdtEndPr>
        <w:rPr>
          <w:rFonts w:eastAsiaTheme="minorHAnsi"/>
          <w:b/>
          <w:bCs/>
          <w:noProof/>
          <w:kern w:val="2"/>
          <w:lang w:val="en-GB"/>
          <w14:ligatures w14:val="standardContextual"/>
        </w:rPr>
      </w:sdtEndPr>
      <w:sdtContent>
        <w:p w14:paraId="2FEB4BEB" w14:textId="2643CF2C" w:rsidR="00A166B1" w:rsidRPr="00E4685B" w:rsidRDefault="00A166B1" w:rsidP="00E4685B">
          <w:pPr>
            <w:pStyle w:val="TOCHeading"/>
            <w:spacing w:before="100" w:beforeAutospacing="1" w:after="100" w:afterAutospacing="1" w:line="360" w:lineRule="auto"/>
            <w:rPr>
              <w:rFonts w:ascii="Arial" w:hAnsi="Arial" w:cs="Arial"/>
              <w:color w:val="auto"/>
              <w:sz w:val="22"/>
              <w:szCs w:val="22"/>
            </w:rPr>
          </w:pPr>
          <w:r w:rsidRPr="00E4685B">
            <w:rPr>
              <w:rFonts w:ascii="Arial" w:hAnsi="Arial" w:cs="Arial"/>
              <w:color w:val="auto"/>
              <w:sz w:val="22"/>
              <w:szCs w:val="22"/>
            </w:rPr>
            <w:t>Contents</w:t>
          </w:r>
        </w:p>
        <w:p w14:paraId="27898DB6" w14:textId="5701DBAD" w:rsidR="00E4685B" w:rsidRDefault="00A166B1">
          <w:pPr>
            <w:pStyle w:val="TOC2"/>
            <w:tabs>
              <w:tab w:val="right" w:leader="dot" w:pos="9016"/>
            </w:tabs>
            <w:rPr>
              <w:rFonts w:eastAsiaTheme="minorEastAsia"/>
              <w:noProof/>
              <w:sz w:val="24"/>
              <w:szCs w:val="24"/>
              <w:lang w:eastAsia="en-GB"/>
            </w:rPr>
          </w:pPr>
          <w:r w:rsidRPr="00E4685B">
            <w:rPr>
              <w:rFonts w:ascii="Arial" w:hAnsi="Arial" w:cs="Arial"/>
            </w:rPr>
            <w:fldChar w:fldCharType="begin"/>
          </w:r>
          <w:r w:rsidRPr="00E4685B">
            <w:rPr>
              <w:rFonts w:ascii="Arial" w:hAnsi="Arial" w:cs="Arial"/>
            </w:rPr>
            <w:instrText xml:space="preserve"> TOC \o "1-3" \h \z \u </w:instrText>
          </w:r>
          <w:r w:rsidRPr="00E4685B">
            <w:rPr>
              <w:rFonts w:ascii="Arial" w:hAnsi="Arial" w:cs="Arial"/>
            </w:rPr>
            <w:fldChar w:fldCharType="separate"/>
          </w:r>
          <w:hyperlink w:anchor="_Toc224728094" w:history="1">
            <w:r w:rsidR="00E4685B" w:rsidRPr="00BA16D5">
              <w:rPr>
                <w:rStyle w:val="Hyperlink"/>
                <w:rFonts w:ascii="Arial" w:hAnsi="Arial" w:cs="Arial"/>
                <w:noProof/>
              </w:rPr>
              <w:t>Introduction</w:t>
            </w:r>
            <w:r w:rsidR="00E4685B">
              <w:rPr>
                <w:noProof/>
                <w:webHidden/>
              </w:rPr>
              <w:tab/>
            </w:r>
            <w:r w:rsidR="00E4685B">
              <w:rPr>
                <w:noProof/>
                <w:webHidden/>
              </w:rPr>
              <w:fldChar w:fldCharType="begin"/>
            </w:r>
            <w:r w:rsidR="00E4685B">
              <w:rPr>
                <w:noProof/>
                <w:webHidden/>
              </w:rPr>
              <w:instrText xml:space="preserve"> PAGEREF _Toc224728094 \h </w:instrText>
            </w:r>
            <w:r w:rsidR="00E4685B">
              <w:rPr>
                <w:noProof/>
                <w:webHidden/>
              </w:rPr>
            </w:r>
            <w:r w:rsidR="00E4685B">
              <w:rPr>
                <w:noProof/>
                <w:webHidden/>
              </w:rPr>
              <w:fldChar w:fldCharType="separate"/>
            </w:r>
            <w:r w:rsidR="00E4685B">
              <w:rPr>
                <w:noProof/>
                <w:webHidden/>
              </w:rPr>
              <w:t>3</w:t>
            </w:r>
            <w:r w:rsidR="00E4685B">
              <w:rPr>
                <w:noProof/>
                <w:webHidden/>
              </w:rPr>
              <w:fldChar w:fldCharType="end"/>
            </w:r>
          </w:hyperlink>
        </w:p>
        <w:p w14:paraId="630E5489" w14:textId="4F8E1E0C" w:rsidR="00E4685B" w:rsidRDefault="00E4685B">
          <w:pPr>
            <w:pStyle w:val="TOC2"/>
            <w:tabs>
              <w:tab w:val="right" w:leader="dot" w:pos="9016"/>
            </w:tabs>
            <w:rPr>
              <w:rFonts w:eastAsiaTheme="minorEastAsia"/>
              <w:noProof/>
              <w:sz w:val="24"/>
              <w:szCs w:val="24"/>
              <w:lang w:eastAsia="en-GB"/>
            </w:rPr>
          </w:pPr>
          <w:hyperlink w:anchor="_Toc224728095" w:history="1">
            <w:r w:rsidRPr="00BA16D5">
              <w:rPr>
                <w:rStyle w:val="Hyperlink"/>
                <w:rFonts w:ascii="Arial" w:hAnsi="Arial" w:cs="Arial"/>
                <w:noProof/>
              </w:rPr>
              <w:t>Classification and Diagnosis of Generalised Anxiety Disorder in ICD-11</w:t>
            </w:r>
            <w:r>
              <w:rPr>
                <w:noProof/>
                <w:webHidden/>
              </w:rPr>
              <w:tab/>
            </w:r>
            <w:r>
              <w:rPr>
                <w:noProof/>
                <w:webHidden/>
              </w:rPr>
              <w:fldChar w:fldCharType="begin"/>
            </w:r>
            <w:r>
              <w:rPr>
                <w:noProof/>
                <w:webHidden/>
              </w:rPr>
              <w:instrText xml:space="preserve"> PAGEREF _Toc224728095 \h </w:instrText>
            </w:r>
            <w:r>
              <w:rPr>
                <w:noProof/>
                <w:webHidden/>
              </w:rPr>
            </w:r>
            <w:r>
              <w:rPr>
                <w:noProof/>
                <w:webHidden/>
              </w:rPr>
              <w:fldChar w:fldCharType="separate"/>
            </w:r>
            <w:r>
              <w:rPr>
                <w:noProof/>
                <w:webHidden/>
              </w:rPr>
              <w:t>3</w:t>
            </w:r>
            <w:r>
              <w:rPr>
                <w:noProof/>
                <w:webHidden/>
              </w:rPr>
              <w:fldChar w:fldCharType="end"/>
            </w:r>
          </w:hyperlink>
        </w:p>
        <w:p w14:paraId="37CDE84F" w14:textId="60421826" w:rsidR="00E4685B" w:rsidRDefault="00E4685B">
          <w:pPr>
            <w:pStyle w:val="TOC2"/>
            <w:tabs>
              <w:tab w:val="right" w:leader="dot" w:pos="9016"/>
            </w:tabs>
            <w:rPr>
              <w:rFonts w:eastAsiaTheme="minorEastAsia"/>
              <w:noProof/>
              <w:sz w:val="24"/>
              <w:szCs w:val="24"/>
              <w:lang w:eastAsia="en-GB"/>
            </w:rPr>
          </w:pPr>
          <w:hyperlink w:anchor="_Toc224728096" w:history="1">
            <w:r w:rsidRPr="00BA16D5">
              <w:rPr>
                <w:rStyle w:val="Hyperlink"/>
                <w:rFonts w:ascii="Arial" w:hAnsi="Arial" w:cs="Arial"/>
                <w:i/>
                <w:iCs/>
                <w:noProof/>
              </w:rPr>
              <w:t>Structural Reorganisation in ICD-11</w:t>
            </w:r>
            <w:r>
              <w:rPr>
                <w:noProof/>
                <w:webHidden/>
              </w:rPr>
              <w:tab/>
            </w:r>
            <w:r>
              <w:rPr>
                <w:noProof/>
                <w:webHidden/>
              </w:rPr>
              <w:fldChar w:fldCharType="begin"/>
            </w:r>
            <w:r>
              <w:rPr>
                <w:noProof/>
                <w:webHidden/>
              </w:rPr>
              <w:instrText xml:space="preserve"> PAGEREF _Toc224728096 \h </w:instrText>
            </w:r>
            <w:r>
              <w:rPr>
                <w:noProof/>
                <w:webHidden/>
              </w:rPr>
            </w:r>
            <w:r>
              <w:rPr>
                <w:noProof/>
                <w:webHidden/>
              </w:rPr>
              <w:fldChar w:fldCharType="separate"/>
            </w:r>
            <w:r>
              <w:rPr>
                <w:noProof/>
                <w:webHidden/>
              </w:rPr>
              <w:t>3</w:t>
            </w:r>
            <w:r>
              <w:rPr>
                <w:noProof/>
                <w:webHidden/>
              </w:rPr>
              <w:fldChar w:fldCharType="end"/>
            </w:r>
          </w:hyperlink>
        </w:p>
        <w:p w14:paraId="7155DEAF" w14:textId="78B96744" w:rsidR="00E4685B" w:rsidRDefault="00E4685B">
          <w:pPr>
            <w:pStyle w:val="TOC2"/>
            <w:tabs>
              <w:tab w:val="right" w:leader="dot" w:pos="9016"/>
            </w:tabs>
            <w:rPr>
              <w:rFonts w:eastAsiaTheme="minorEastAsia"/>
              <w:noProof/>
              <w:sz w:val="24"/>
              <w:szCs w:val="24"/>
              <w:lang w:eastAsia="en-GB"/>
            </w:rPr>
          </w:pPr>
          <w:hyperlink w:anchor="_Toc224728097" w:history="1">
            <w:r w:rsidRPr="00BA16D5">
              <w:rPr>
                <w:rStyle w:val="Hyperlink"/>
                <w:rFonts w:ascii="Arial" w:hAnsi="Arial" w:cs="Arial"/>
                <w:noProof/>
              </w:rPr>
              <w:t>Diagnostic Criteria and Clinical Features</w:t>
            </w:r>
            <w:r>
              <w:rPr>
                <w:noProof/>
                <w:webHidden/>
              </w:rPr>
              <w:tab/>
            </w:r>
            <w:r>
              <w:rPr>
                <w:noProof/>
                <w:webHidden/>
              </w:rPr>
              <w:fldChar w:fldCharType="begin"/>
            </w:r>
            <w:r>
              <w:rPr>
                <w:noProof/>
                <w:webHidden/>
              </w:rPr>
              <w:instrText xml:space="preserve"> PAGEREF _Toc224728097 \h </w:instrText>
            </w:r>
            <w:r>
              <w:rPr>
                <w:noProof/>
                <w:webHidden/>
              </w:rPr>
            </w:r>
            <w:r>
              <w:rPr>
                <w:noProof/>
                <w:webHidden/>
              </w:rPr>
              <w:fldChar w:fldCharType="separate"/>
            </w:r>
            <w:r>
              <w:rPr>
                <w:noProof/>
                <w:webHidden/>
              </w:rPr>
              <w:t>3</w:t>
            </w:r>
            <w:r>
              <w:rPr>
                <w:noProof/>
                <w:webHidden/>
              </w:rPr>
              <w:fldChar w:fldCharType="end"/>
            </w:r>
          </w:hyperlink>
        </w:p>
        <w:p w14:paraId="064CE46D" w14:textId="66842E99" w:rsidR="00E4685B" w:rsidRDefault="00E4685B">
          <w:pPr>
            <w:pStyle w:val="TOC2"/>
            <w:tabs>
              <w:tab w:val="right" w:leader="dot" w:pos="9016"/>
            </w:tabs>
            <w:rPr>
              <w:rFonts w:eastAsiaTheme="minorEastAsia"/>
              <w:noProof/>
              <w:sz w:val="24"/>
              <w:szCs w:val="24"/>
              <w:lang w:eastAsia="en-GB"/>
            </w:rPr>
          </w:pPr>
          <w:hyperlink w:anchor="_Toc224728098" w:history="1">
            <w:r w:rsidRPr="00BA16D5">
              <w:rPr>
                <w:rStyle w:val="Hyperlink"/>
                <w:rFonts w:ascii="Arial" w:hAnsi="Arial" w:cs="Arial"/>
                <w:noProof/>
              </w:rPr>
              <w:t>Terminology and Conceptual Language</w:t>
            </w:r>
            <w:r>
              <w:rPr>
                <w:noProof/>
                <w:webHidden/>
              </w:rPr>
              <w:tab/>
            </w:r>
            <w:r>
              <w:rPr>
                <w:noProof/>
                <w:webHidden/>
              </w:rPr>
              <w:fldChar w:fldCharType="begin"/>
            </w:r>
            <w:r>
              <w:rPr>
                <w:noProof/>
                <w:webHidden/>
              </w:rPr>
              <w:instrText xml:space="preserve"> PAGEREF _Toc224728098 \h </w:instrText>
            </w:r>
            <w:r>
              <w:rPr>
                <w:noProof/>
                <w:webHidden/>
              </w:rPr>
            </w:r>
            <w:r>
              <w:rPr>
                <w:noProof/>
                <w:webHidden/>
              </w:rPr>
              <w:fldChar w:fldCharType="separate"/>
            </w:r>
            <w:r>
              <w:rPr>
                <w:noProof/>
                <w:webHidden/>
              </w:rPr>
              <w:t>4</w:t>
            </w:r>
            <w:r>
              <w:rPr>
                <w:noProof/>
                <w:webHidden/>
              </w:rPr>
              <w:fldChar w:fldCharType="end"/>
            </w:r>
          </w:hyperlink>
        </w:p>
        <w:p w14:paraId="4EE3DF05" w14:textId="2D16A1E4" w:rsidR="00E4685B" w:rsidRDefault="00E4685B">
          <w:pPr>
            <w:pStyle w:val="TOC2"/>
            <w:tabs>
              <w:tab w:val="right" w:leader="dot" w:pos="9016"/>
            </w:tabs>
            <w:rPr>
              <w:rFonts w:eastAsiaTheme="minorEastAsia"/>
              <w:noProof/>
              <w:sz w:val="24"/>
              <w:szCs w:val="24"/>
              <w:lang w:eastAsia="en-GB"/>
            </w:rPr>
          </w:pPr>
          <w:hyperlink w:anchor="_Toc224728099" w:history="1">
            <w:r w:rsidRPr="00BA16D5">
              <w:rPr>
                <w:rStyle w:val="Hyperlink"/>
                <w:rFonts w:ascii="Arial" w:hAnsi="Arial" w:cs="Arial"/>
                <w:noProof/>
              </w:rPr>
              <w:t>Treatment and Rehabilitation Approaches</w:t>
            </w:r>
            <w:r>
              <w:rPr>
                <w:noProof/>
                <w:webHidden/>
              </w:rPr>
              <w:tab/>
            </w:r>
            <w:r>
              <w:rPr>
                <w:noProof/>
                <w:webHidden/>
              </w:rPr>
              <w:fldChar w:fldCharType="begin"/>
            </w:r>
            <w:r>
              <w:rPr>
                <w:noProof/>
                <w:webHidden/>
              </w:rPr>
              <w:instrText xml:space="preserve"> PAGEREF _Toc224728099 \h </w:instrText>
            </w:r>
            <w:r>
              <w:rPr>
                <w:noProof/>
                <w:webHidden/>
              </w:rPr>
            </w:r>
            <w:r>
              <w:rPr>
                <w:noProof/>
                <w:webHidden/>
              </w:rPr>
              <w:fldChar w:fldCharType="separate"/>
            </w:r>
            <w:r>
              <w:rPr>
                <w:noProof/>
                <w:webHidden/>
              </w:rPr>
              <w:t>4</w:t>
            </w:r>
            <w:r>
              <w:rPr>
                <w:noProof/>
                <w:webHidden/>
              </w:rPr>
              <w:fldChar w:fldCharType="end"/>
            </w:r>
          </w:hyperlink>
        </w:p>
        <w:p w14:paraId="16EFB037" w14:textId="2C977B48" w:rsidR="00E4685B" w:rsidRDefault="00E4685B">
          <w:pPr>
            <w:pStyle w:val="TOC2"/>
            <w:tabs>
              <w:tab w:val="right" w:leader="dot" w:pos="9016"/>
            </w:tabs>
            <w:rPr>
              <w:rFonts w:eastAsiaTheme="minorEastAsia"/>
              <w:noProof/>
              <w:sz w:val="24"/>
              <w:szCs w:val="24"/>
              <w:lang w:eastAsia="en-GB"/>
            </w:rPr>
          </w:pPr>
          <w:hyperlink w:anchor="_Toc224728100" w:history="1">
            <w:r w:rsidRPr="00BA16D5">
              <w:rPr>
                <w:rStyle w:val="Hyperlink"/>
                <w:rFonts w:ascii="Arial" w:hAnsi="Arial" w:cs="Arial"/>
                <w:i/>
                <w:iCs/>
                <w:noProof/>
              </w:rPr>
              <w:t>Pharmacological Interventions</w:t>
            </w:r>
            <w:r>
              <w:rPr>
                <w:noProof/>
                <w:webHidden/>
              </w:rPr>
              <w:tab/>
            </w:r>
            <w:r>
              <w:rPr>
                <w:noProof/>
                <w:webHidden/>
              </w:rPr>
              <w:fldChar w:fldCharType="begin"/>
            </w:r>
            <w:r>
              <w:rPr>
                <w:noProof/>
                <w:webHidden/>
              </w:rPr>
              <w:instrText xml:space="preserve"> PAGEREF _Toc224728100 \h </w:instrText>
            </w:r>
            <w:r>
              <w:rPr>
                <w:noProof/>
                <w:webHidden/>
              </w:rPr>
            </w:r>
            <w:r>
              <w:rPr>
                <w:noProof/>
                <w:webHidden/>
              </w:rPr>
              <w:fldChar w:fldCharType="separate"/>
            </w:r>
            <w:r>
              <w:rPr>
                <w:noProof/>
                <w:webHidden/>
              </w:rPr>
              <w:t>4</w:t>
            </w:r>
            <w:r>
              <w:rPr>
                <w:noProof/>
                <w:webHidden/>
              </w:rPr>
              <w:fldChar w:fldCharType="end"/>
            </w:r>
          </w:hyperlink>
        </w:p>
        <w:p w14:paraId="0447E8F4" w14:textId="12639631" w:rsidR="00E4685B" w:rsidRDefault="00E4685B">
          <w:pPr>
            <w:pStyle w:val="TOC2"/>
            <w:tabs>
              <w:tab w:val="right" w:leader="dot" w:pos="9016"/>
            </w:tabs>
            <w:rPr>
              <w:rFonts w:eastAsiaTheme="minorEastAsia"/>
              <w:noProof/>
              <w:sz w:val="24"/>
              <w:szCs w:val="24"/>
              <w:lang w:eastAsia="en-GB"/>
            </w:rPr>
          </w:pPr>
          <w:hyperlink w:anchor="_Toc224728101" w:history="1">
            <w:r w:rsidRPr="00BA16D5">
              <w:rPr>
                <w:rStyle w:val="Hyperlink"/>
                <w:rFonts w:ascii="Arial" w:hAnsi="Arial" w:cs="Arial"/>
                <w:noProof/>
              </w:rPr>
              <w:t>Psychological Therapies</w:t>
            </w:r>
            <w:r>
              <w:rPr>
                <w:noProof/>
                <w:webHidden/>
              </w:rPr>
              <w:tab/>
            </w:r>
            <w:r>
              <w:rPr>
                <w:noProof/>
                <w:webHidden/>
              </w:rPr>
              <w:fldChar w:fldCharType="begin"/>
            </w:r>
            <w:r>
              <w:rPr>
                <w:noProof/>
                <w:webHidden/>
              </w:rPr>
              <w:instrText xml:space="preserve"> PAGEREF _Toc224728101 \h </w:instrText>
            </w:r>
            <w:r>
              <w:rPr>
                <w:noProof/>
                <w:webHidden/>
              </w:rPr>
            </w:r>
            <w:r>
              <w:rPr>
                <w:noProof/>
                <w:webHidden/>
              </w:rPr>
              <w:fldChar w:fldCharType="separate"/>
            </w:r>
            <w:r>
              <w:rPr>
                <w:noProof/>
                <w:webHidden/>
              </w:rPr>
              <w:t>5</w:t>
            </w:r>
            <w:r>
              <w:rPr>
                <w:noProof/>
                <w:webHidden/>
              </w:rPr>
              <w:fldChar w:fldCharType="end"/>
            </w:r>
          </w:hyperlink>
        </w:p>
        <w:p w14:paraId="55C08A3E" w14:textId="4C26AC7F" w:rsidR="00E4685B" w:rsidRDefault="00E4685B">
          <w:pPr>
            <w:pStyle w:val="TOC2"/>
            <w:tabs>
              <w:tab w:val="right" w:leader="dot" w:pos="9016"/>
            </w:tabs>
            <w:rPr>
              <w:rFonts w:eastAsiaTheme="minorEastAsia"/>
              <w:noProof/>
              <w:sz w:val="24"/>
              <w:szCs w:val="24"/>
              <w:lang w:eastAsia="en-GB"/>
            </w:rPr>
          </w:pPr>
          <w:hyperlink w:anchor="_Toc224728102" w:history="1">
            <w:r w:rsidRPr="00BA16D5">
              <w:rPr>
                <w:rStyle w:val="Hyperlink"/>
                <w:rFonts w:ascii="Arial" w:hAnsi="Arial" w:cs="Arial"/>
                <w:noProof/>
              </w:rPr>
              <w:t>Digital and Innovative Interventions</w:t>
            </w:r>
            <w:r>
              <w:rPr>
                <w:noProof/>
                <w:webHidden/>
              </w:rPr>
              <w:tab/>
            </w:r>
            <w:r>
              <w:rPr>
                <w:noProof/>
                <w:webHidden/>
              </w:rPr>
              <w:fldChar w:fldCharType="begin"/>
            </w:r>
            <w:r>
              <w:rPr>
                <w:noProof/>
                <w:webHidden/>
              </w:rPr>
              <w:instrText xml:space="preserve"> PAGEREF _Toc224728102 \h </w:instrText>
            </w:r>
            <w:r>
              <w:rPr>
                <w:noProof/>
                <w:webHidden/>
              </w:rPr>
            </w:r>
            <w:r>
              <w:rPr>
                <w:noProof/>
                <w:webHidden/>
              </w:rPr>
              <w:fldChar w:fldCharType="separate"/>
            </w:r>
            <w:r>
              <w:rPr>
                <w:noProof/>
                <w:webHidden/>
              </w:rPr>
              <w:t>5</w:t>
            </w:r>
            <w:r>
              <w:rPr>
                <w:noProof/>
                <w:webHidden/>
              </w:rPr>
              <w:fldChar w:fldCharType="end"/>
            </w:r>
          </w:hyperlink>
        </w:p>
        <w:p w14:paraId="56844FCD" w14:textId="5EBF37E2" w:rsidR="00E4685B" w:rsidRDefault="00E4685B">
          <w:pPr>
            <w:pStyle w:val="TOC2"/>
            <w:tabs>
              <w:tab w:val="right" w:leader="dot" w:pos="9016"/>
            </w:tabs>
            <w:rPr>
              <w:rFonts w:eastAsiaTheme="minorEastAsia"/>
              <w:noProof/>
              <w:sz w:val="24"/>
              <w:szCs w:val="24"/>
              <w:lang w:eastAsia="en-GB"/>
            </w:rPr>
          </w:pPr>
          <w:hyperlink w:anchor="_Toc224728103" w:history="1">
            <w:r w:rsidRPr="00BA16D5">
              <w:rPr>
                <w:rStyle w:val="Hyperlink"/>
                <w:rFonts w:ascii="Arial" w:hAnsi="Arial" w:cs="Arial"/>
                <w:noProof/>
              </w:rPr>
              <w:t>Limitations and Effectiveness Critique</w:t>
            </w:r>
            <w:r>
              <w:rPr>
                <w:noProof/>
                <w:webHidden/>
              </w:rPr>
              <w:tab/>
            </w:r>
            <w:r>
              <w:rPr>
                <w:noProof/>
                <w:webHidden/>
              </w:rPr>
              <w:fldChar w:fldCharType="begin"/>
            </w:r>
            <w:r>
              <w:rPr>
                <w:noProof/>
                <w:webHidden/>
              </w:rPr>
              <w:instrText xml:space="preserve"> PAGEREF _Toc224728103 \h </w:instrText>
            </w:r>
            <w:r>
              <w:rPr>
                <w:noProof/>
                <w:webHidden/>
              </w:rPr>
            </w:r>
            <w:r>
              <w:rPr>
                <w:noProof/>
                <w:webHidden/>
              </w:rPr>
              <w:fldChar w:fldCharType="separate"/>
            </w:r>
            <w:r>
              <w:rPr>
                <w:noProof/>
                <w:webHidden/>
              </w:rPr>
              <w:t>6</w:t>
            </w:r>
            <w:r>
              <w:rPr>
                <w:noProof/>
                <w:webHidden/>
              </w:rPr>
              <w:fldChar w:fldCharType="end"/>
            </w:r>
          </w:hyperlink>
        </w:p>
        <w:p w14:paraId="2CF65F2A" w14:textId="073280A3" w:rsidR="00E4685B" w:rsidRDefault="00E4685B">
          <w:pPr>
            <w:pStyle w:val="TOC2"/>
            <w:tabs>
              <w:tab w:val="right" w:leader="dot" w:pos="9016"/>
            </w:tabs>
            <w:rPr>
              <w:rFonts w:eastAsiaTheme="minorEastAsia"/>
              <w:noProof/>
              <w:sz w:val="24"/>
              <w:szCs w:val="24"/>
              <w:lang w:eastAsia="en-GB"/>
            </w:rPr>
          </w:pPr>
          <w:hyperlink w:anchor="_Toc224728104" w:history="1">
            <w:r w:rsidRPr="00BA16D5">
              <w:rPr>
                <w:rStyle w:val="Hyperlink"/>
                <w:rFonts w:ascii="Arial" w:hAnsi="Arial" w:cs="Arial"/>
                <w:noProof/>
              </w:rPr>
              <w:t>Historical and Contemporary Provision: A Critical Comparison</w:t>
            </w:r>
            <w:r>
              <w:rPr>
                <w:noProof/>
                <w:webHidden/>
              </w:rPr>
              <w:tab/>
            </w:r>
            <w:r>
              <w:rPr>
                <w:noProof/>
                <w:webHidden/>
              </w:rPr>
              <w:fldChar w:fldCharType="begin"/>
            </w:r>
            <w:r>
              <w:rPr>
                <w:noProof/>
                <w:webHidden/>
              </w:rPr>
              <w:instrText xml:space="preserve"> PAGEREF _Toc224728104 \h </w:instrText>
            </w:r>
            <w:r>
              <w:rPr>
                <w:noProof/>
                <w:webHidden/>
              </w:rPr>
            </w:r>
            <w:r>
              <w:rPr>
                <w:noProof/>
                <w:webHidden/>
              </w:rPr>
              <w:fldChar w:fldCharType="separate"/>
            </w:r>
            <w:r>
              <w:rPr>
                <w:noProof/>
                <w:webHidden/>
              </w:rPr>
              <w:t>6</w:t>
            </w:r>
            <w:r>
              <w:rPr>
                <w:noProof/>
                <w:webHidden/>
              </w:rPr>
              <w:fldChar w:fldCharType="end"/>
            </w:r>
          </w:hyperlink>
        </w:p>
        <w:p w14:paraId="02AD931F" w14:textId="6ACF495B" w:rsidR="00E4685B" w:rsidRDefault="00E4685B">
          <w:pPr>
            <w:pStyle w:val="TOC2"/>
            <w:tabs>
              <w:tab w:val="right" w:leader="dot" w:pos="9016"/>
            </w:tabs>
            <w:rPr>
              <w:rFonts w:eastAsiaTheme="minorEastAsia"/>
              <w:noProof/>
              <w:sz w:val="24"/>
              <w:szCs w:val="24"/>
              <w:lang w:eastAsia="en-GB"/>
            </w:rPr>
          </w:pPr>
          <w:hyperlink w:anchor="_Toc224728105" w:history="1">
            <w:r w:rsidRPr="00BA16D5">
              <w:rPr>
                <w:rStyle w:val="Hyperlink"/>
                <w:rFonts w:ascii="Arial" w:hAnsi="Arial" w:cs="Arial"/>
                <w:i/>
                <w:iCs/>
                <w:noProof/>
              </w:rPr>
              <w:t>From Asylums to Community Care</w:t>
            </w:r>
            <w:r>
              <w:rPr>
                <w:noProof/>
                <w:webHidden/>
              </w:rPr>
              <w:tab/>
            </w:r>
            <w:r>
              <w:rPr>
                <w:noProof/>
                <w:webHidden/>
              </w:rPr>
              <w:fldChar w:fldCharType="begin"/>
            </w:r>
            <w:r>
              <w:rPr>
                <w:noProof/>
                <w:webHidden/>
              </w:rPr>
              <w:instrText xml:space="preserve"> PAGEREF _Toc224728105 \h </w:instrText>
            </w:r>
            <w:r>
              <w:rPr>
                <w:noProof/>
                <w:webHidden/>
              </w:rPr>
            </w:r>
            <w:r>
              <w:rPr>
                <w:noProof/>
                <w:webHidden/>
              </w:rPr>
              <w:fldChar w:fldCharType="separate"/>
            </w:r>
            <w:r>
              <w:rPr>
                <w:noProof/>
                <w:webHidden/>
              </w:rPr>
              <w:t>6</w:t>
            </w:r>
            <w:r>
              <w:rPr>
                <w:noProof/>
                <w:webHidden/>
              </w:rPr>
              <w:fldChar w:fldCharType="end"/>
            </w:r>
          </w:hyperlink>
        </w:p>
        <w:p w14:paraId="57F1BCF7" w14:textId="43BE0E1F" w:rsidR="00E4685B" w:rsidRDefault="00E4685B">
          <w:pPr>
            <w:pStyle w:val="TOC2"/>
            <w:tabs>
              <w:tab w:val="right" w:leader="dot" w:pos="9016"/>
            </w:tabs>
            <w:rPr>
              <w:rFonts w:eastAsiaTheme="minorEastAsia"/>
              <w:noProof/>
              <w:sz w:val="24"/>
              <w:szCs w:val="24"/>
              <w:lang w:eastAsia="en-GB"/>
            </w:rPr>
          </w:pPr>
          <w:hyperlink w:anchor="_Toc224728106" w:history="1">
            <w:r w:rsidRPr="00BA16D5">
              <w:rPr>
                <w:rStyle w:val="Hyperlink"/>
                <w:rFonts w:ascii="Arial" w:hAnsi="Arial" w:cs="Arial"/>
                <w:noProof/>
              </w:rPr>
              <w:t>Legislative Frameworks: The Mental Health Act 1983 and Mental Capacity Act 2005</w:t>
            </w:r>
            <w:r>
              <w:rPr>
                <w:noProof/>
                <w:webHidden/>
              </w:rPr>
              <w:tab/>
            </w:r>
            <w:r>
              <w:rPr>
                <w:noProof/>
                <w:webHidden/>
              </w:rPr>
              <w:fldChar w:fldCharType="begin"/>
            </w:r>
            <w:r>
              <w:rPr>
                <w:noProof/>
                <w:webHidden/>
              </w:rPr>
              <w:instrText xml:space="preserve"> PAGEREF _Toc224728106 \h </w:instrText>
            </w:r>
            <w:r>
              <w:rPr>
                <w:noProof/>
                <w:webHidden/>
              </w:rPr>
            </w:r>
            <w:r>
              <w:rPr>
                <w:noProof/>
                <w:webHidden/>
              </w:rPr>
              <w:fldChar w:fldCharType="separate"/>
            </w:r>
            <w:r>
              <w:rPr>
                <w:noProof/>
                <w:webHidden/>
              </w:rPr>
              <w:t>7</w:t>
            </w:r>
            <w:r>
              <w:rPr>
                <w:noProof/>
                <w:webHidden/>
              </w:rPr>
              <w:fldChar w:fldCharType="end"/>
            </w:r>
          </w:hyperlink>
        </w:p>
        <w:p w14:paraId="6FEB2C1E" w14:textId="79AA1113" w:rsidR="00E4685B" w:rsidRDefault="00E4685B">
          <w:pPr>
            <w:pStyle w:val="TOC2"/>
            <w:tabs>
              <w:tab w:val="right" w:leader="dot" w:pos="9016"/>
            </w:tabs>
            <w:rPr>
              <w:rFonts w:eastAsiaTheme="minorEastAsia"/>
              <w:noProof/>
              <w:sz w:val="24"/>
              <w:szCs w:val="24"/>
              <w:lang w:eastAsia="en-GB"/>
            </w:rPr>
          </w:pPr>
          <w:hyperlink w:anchor="_Toc224728107" w:history="1">
            <w:r w:rsidRPr="00BA16D5">
              <w:rPr>
                <w:rStyle w:val="Hyperlink"/>
                <w:rFonts w:ascii="Arial" w:hAnsi="Arial" w:cs="Arial"/>
                <w:noProof/>
              </w:rPr>
              <w:t>The Stepped Care Model and NHS Talking Therapies</w:t>
            </w:r>
            <w:r>
              <w:rPr>
                <w:noProof/>
                <w:webHidden/>
              </w:rPr>
              <w:tab/>
            </w:r>
            <w:r>
              <w:rPr>
                <w:noProof/>
                <w:webHidden/>
              </w:rPr>
              <w:fldChar w:fldCharType="begin"/>
            </w:r>
            <w:r>
              <w:rPr>
                <w:noProof/>
                <w:webHidden/>
              </w:rPr>
              <w:instrText xml:space="preserve"> PAGEREF _Toc224728107 \h </w:instrText>
            </w:r>
            <w:r>
              <w:rPr>
                <w:noProof/>
                <w:webHidden/>
              </w:rPr>
            </w:r>
            <w:r>
              <w:rPr>
                <w:noProof/>
                <w:webHidden/>
              </w:rPr>
              <w:fldChar w:fldCharType="separate"/>
            </w:r>
            <w:r>
              <w:rPr>
                <w:noProof/>
                <w:webHidden/>
              </w:rPr>
              <w:t>7</w:t>
            </w:r>
            <w:r>
              <w:rPr>
                <w:noProof/>
                <w:webHidden/>
              </w:rPr>
              <w:fldChar w:fldCharType="end"/>
            </w:r>
          </w:hyperlink>
        </w:p>
        <w:p w14:paraId="2C086A51" w14:textId="0C84DDEC" w:rsidR="00E4685B" w:rsidRDefault="00E4685B">
          <w:pPr>
            <w:pStyle w:val="TOC2"/>
            <w:tabs>
              <w:tab w:val="right" w:leader="dot" w:pos="9016"/>
            </w:tabs>
            <w:rPr>
              <w:rFonts w:eastAsiaTheme="minorEastAsia"/>
              <w:noProof/>
              <w:sz w:val="24"/>
              <w:szCs w:val="24"/>
              <w:lang w:eastAsia="en-GB"/>
            </w:rPr>
          </w:pPr>
          <w:hyperlink w:anchor="_Toc224728108" w:history="1">
            <w:r w:rsidRPr="00BA16D5">
              <w:rPr>
                <w:rStyle w:val="Hyperlink"/>
                <w:rFonts w:ascii="Arial" w:hAnsi="Arial" w:cs="Arial"/>
                <w:noProof/>
              </w:rPr>
              <w:t>Current Debates and Emerging Issues</w:t>
            </w:r>
            <w:r>
              <w:rPr>
                <w:noProof/>
                <w:webHidden/>
              </w:rPr>
              <w:tab/>
            </w:r>
            <w:r>
              <w:rPr>
                <w:noProof/>
                <w:webHidden/>
              </w:rPr>
              <w:fldChar w:fldCharType="begin"/>
            </w:r>
            <w:r>
              <w:rPr>
                <w:noProof/>
                <w:webHidden/>
              </w:rPr>
              <w:instrText xml:space="preserve"> PAGEREF _Toc224728108 \h </w:instrText>
            </w:r>
            <w:r>
              <w:rPr>
                <w:noProof/>
                <w:webHidden/>
              </w:rPr>
            </w:r>
            <w:r>
              <w:rPr>
                <w:noProof/>
                <w:webHidden/>
              </w:rPr>
              <w:fldChar w:fldCharType="separate"/>
            </w:r>
            <w:r>
              <w:rPr>
                <w:noProof/>
                <w:webHidden/>
              </w:rPr>
              <w:t>8</w:t>
            </w:r>
            <w:r>
              <w:rPr>
                <w:noProof/>
                <w:webHidden/>
              </w:rPr>
              <w:fldChar w:fldCharType="end"/>
            </w:r>
          </w:hyperlink>
        </w:p>
        <w:p w14:paraId="59E38329" w14:textId="6EFB5F39" w:rsidR="00E4685B" w:rsidRDefault="00E4685B">
          <w:pPr>
            <w:pStyle w:val="TOC2"/>
            <w:tabs>
              <w:tab w:val="right" w:leader="dot" w:pos="9016"/>
            </w:tabs>
            <w:rPr>
              <w:rFonts w:eastAsiaTheme="minorEastAsia"/>
              <w:noProof/>
              <w:sz w:val="24"/>
              <w:szCs w:val="24"/>
              <w:lang w:eastAsia="en-GB"/>
            </w:rPr>
          </w:pPr>
          <w:hyperlink w:anchor="_Toc224728109" w:history="1">
            <w:r w:rsidRPr="00BA16D5">
              <w:rPr>
                <w:rStyle w:val="Hyperlink"/>
                <w:rFonts w:ascii="Arial" w:hAnsi="Arial" w:cs="Arial"/>
                <w:i/>
                <w:iCs/>
                <w:noProof/>
              </w:rPr>
              <w:t>The Neurodiversity Paradigm and GAD</w:t>
            </w:r>
            <w:r>
              <w:rPr>
                <w:noProof/>
                <w:webHidden/>
              </w:rPr>
              <w:tab/>
            </w:r>
            <w:r>
              <w:rPr>
                <w:noProof/>
                <w:webHidden/>
              </w:rPr>
              <w:fldChar w:fldCharType="begin"/>
            </w:r>
            <w:r>
              <w:rPr>
                <w:noProof/>
                <w:webHidden/>
              </w:rPr>
              <w:instrText xml:space="preserve"> PAGEREF _Toc224728109 \h </w:instrText>
            </w:r>
            <w:r>
              <w:rPr>
                <w:noProof/>
                <w:webHidden/>
              </w:rPr>
            </w:r>
            <w:r>
              <w:rPr>
                <w:noProof/>
                <w:webHidden/>
              </w:rPr>
              <w:fldChar w:fldCharType="separate"/>
            </w:r>
            <w:r>
              <w:rPr>
                <w:noProof/>
                <w:webHidden/>
              </w:rPr>
              <w:t>8</w:t>
            </w:r>
            <w:r>
              <w:rPr>
                <w:noProof/>
                <w:webHidden/>
              </w:rPr>
              <w:fldChar w:fldCharType="end"/>
            </w:r>
          </w:hyperlink>
        </w:p>
        <w:p w14:paraId="082B9EA7" w14:textId="3C252ACE" w:rsidR="00E4685B" w:rsidRDefault="00E4685B">
          <w:pPr>
            <w:pStyle w:val="TOC2"/>
            <w:tabs>
              <w:tab w:val="right" w:leader="dot" w:pos="9016"/>
            </w:tabs>
            <w:rPr>
              <w:rFonts w:eastAsiaTheme="minorEastAsia"/>
              <w:noProof/>
              <w:sz w:val="24"/>
              <w:szCs w:val="24"/>
              <w:lang w:eastAsia="en-GB"/>
            </w:rPr>
          </w:pPr>
          <w:hyperlink w:anchor="_Toc224728110" w:history="1">
            <w:r w:rsidRPr="00BA16D5">
              <w:rPr>
                <w:rStyle w:val="Hyperlink"/>
                <w:rFonts w:ascii="Arial" w:hAnsi="Arial" w:cs="Arial"/>
                <w:noProof/>
              </w:rPr>
              <w:t>Medical Model vs. Social Model Tensions</w:t>
            </w:r>
            <w:r>
              <w:rPr>
                <w:noProof/>
                <w:webHidden/>
              </w:rPr>
              <w:tab/>
            </w:r>
            <w:r>
              <w:rPr>
                <w:noProof/>
                <w:webHidden/>
              </w:rPr>
              <w:fldChar w:fldCharType="begin"/>
            </w:r>
            <w:r>
              <w:rPr>
                <w:noProof/>
                <w:webHidden/>
              </w:rPr>
              <w:instrText xml:space="preserve"> PAGEREF _Toc224728110 \h </w:instrText>
            </w:r>
            <w:r>
              <w:rPr>
                <w:noProof/>
                <w:webHidden/>
              </w:rPr>
            </w:r>
            <w:r>
              <w:rPr>
                <w:noProof/>
                <w:webHidden/>
              </w:rPr>
              <w:fldChar w:fldCharType="separate"/>
            </w:r>
            <w:r>
              <w:rPr>
                <w:noProof/>
                <w:webHidden/>
              </w:rPr>
              <w:t>8</w:t>
            </w:r>
            <w:r>
              <w:rPr>
                <w:noProof/>
                <w:webHidden/>
              </w:rPr>
              <w:fldChar w:fldCharType="end"/>
            </w:r>
          </w:hyperlink>
        </w:p>
        <w:p w14:paraId="0C722F95" w14:textId="76F8AB79" w:rsidR="00E4685B" w:rsidRDefault="00E4685B">
          <w:pPr>
            <w:pStyle w:val="TOC2"/>
            <w:tabs>
              <w:tab w:val="right" w:leader="dot" w:pos="9016"/>
            </w:tabs>
            <w:rPr>
              <w:rFonts w:eastAsiaTheme="minorEastAsia"/>
              <w:noProof/>
              <w:sz w:val="24"/>
              <w:szCs w:val="24"/>
              <w:lang w:eastAsia="en-GB"/>
            </w:rPr>
          </w:pPr>
          <w:hyperlink w:anchor="_Toc224728111" w:history="1">
            <w:r w:rsidRPr="00BA16D5">
              <w:rPr>
                <w:rStyle w:val="Hyperlink"/>
                <w:rFonts w:ascii="Arial" w:hAnsi="Arial" w:cs="Arial"/>
                <w:noProof/>
              </w:rPr>
              <w:t>Reclassification and Diagnostic Validity Debates</w:t>
            </w:r>
            <w:r>
              <w:rPr>
                <w:noProof/>
                <w:webHidden/>
              </w:rPr>
              <w:tab/>
            </w:r>
            <w:r>
              <w:rPr>
                <w:noProof/>
                <w:webHidden/>
              </w:rPr>
              <w:fldChar w:fldCharType="begin"/>
            </w:r>
            <w:r>
              <w:rPr>
                <w:noProof/>
                <w:webHidden/>
              </w:rPr>
              <w:instrText xml:space="preserve"> PAGEREF _Toc224728111 \h </w:instrText>
            </w:r>
            <w:r>
              <w:rPr>
                <w:noProof/>
                <w:webHidden/>
              </w:rPr>
            </w:r>
            <w:r>
              <w:rPr>
                <w:noProof/>
                <w:webHidden/>
              </w:rPr>
              <w:fldChar w:fldCharType="separate"/>
            </w:r>
            <w:r>
              <w:rPr>
                <w:noProof/>
                <w:webHidden/>
              </w:rPr>
              <w:t>9</w:t>
            </w:r>
            <w:r>
              <w:rPr>
                <w:noProof/>
                <w:webHidden/>
              </w:rPr>
              <w:fldChar w:fldCharType="end"/>
            </w:r>
          </w:hyperlink>
        </w:p>
        <w:p w14:paraId="1398227A" w14:textId="27C660D6" w:rsidR="00E4685B" w:rsidRDefault="00E4685B">
          <w:pPr>
            <w:pStyle w:val="TOC2"/>
            <w:tabs>
              <w:tab w:val="right" w:leader="dot" w:pos="9016"/>
            </w:tabs>
            <w:rPr>
              <w:rFonts w:eastAsiaTheme="minorEastAsia"/>
              <w:noProof/>
              <w:sz w:val="24"/>
              <w:szCs w:val="24"/>
              <w:lang w:eastAsia="en-GB"/>
            </w:rPr>
          </w:pPr>
          <w:hyperlink w:anchor="_Toc224728112" w:history="1">
            <w:r w:rsidRPr="00BA16D5">
              <w:rPr>
                <w:rStyle w:val="Hyperlink"/>
                <w:rFonts w:ascii="Arial" w:hAnsi="Arial" w:cs="Arial"/>
                <w:noProof/>
              </w:rPr>
              <w:t>Recommendations for Practice, Policy, and Research</w:t>
            </w:r>
            <w:r>
              <w:rPr>
                <w:noProof/>
                <w:webHidden/>
              </w:rPr>
              <w:tab/>
            </w:r>
            <w:r>
              <w:rPr>
                <w:noProof/>
                <w:webHidden/>
              </w:rPr>
              <w:fldChar w:fldCharType="begin"/>
            </w:r>
            <w:r>
              <w:rPr>
                <w:noProof/>
                <w:webHidden/>
              </w:rPr>
              <w:instrText xml:space="preserve"> PAGEREF _Toc224728112 \h </w:instrText>
            </w:r>
            <w:r>
              <w:rPr>
                <w:noProof/>
                <w:webHidden/>
              </w:rPr>
            </w:r>
            <w:r>
              <w:rPr>
                <w:noProof/>
                <w:webHidden/>
              </w:rPr>
              <w:fldChar w:fldCharType="separate"/>
            </w:r>
            <w:r>
              <w:rPr>
                <w:noProof/>
                <w:webHidden/>
              </w:rPr>
              <w:t>9</w:t>
            </w:r>
            <w:r>
              <w:rPr>
                <w:noProof/>
                <w:webHidden/>
              </w:rPr>
              <w:fldChar w:fldCharType="end"/>
            </w:r>
          </w:hyperlink>
        </w:p>
        <w:p w14:paraId="4E6F5067" w14:textId="6FF2FE9B" w:rsidR="00E4685B" w:rsidRDefault="00E4685B">
          <w:pPr>
            <w:pStyle w:val="TOC2"/>
            <w:tabs>
              <w:tab w:val="right" w:leader="dot" w:pos="9016"/>
            </w:tabs>
            <w:rPr>
              <w:rFonts w:eastAsiaTheme="minorEastAsia"/>
              <w:noProof/>
              <w:sz w:val="24"/>
              <w:szCs w:val="24"/>
              <w:lang w:eastAsia="en-GB"/>
            </w:rPr>
          </w:pPr>
          <w:hyperlink w:anchor="_Toc224728113" w:history="1">
            <w:r w:rsidRPr="00BA16D5">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_Toc224728113 \h </w:instrText>
            </w:r>
            <w:r>
              <w:rPr>
                <w:noProof/>
                <w:webHidden/>
              </w:rPr>
            </w:r>
            <w:r>
              <w:rPr>
                <w:noProof/>
                <w:webHidden/>
              </w:rPr>
              <w:fldChar w:fldCharType="separate"/>
            </w:r>
            <w:r>
              <w:rPr>
                <w:noProof/>
                <w:webHidden/>
              </w:rPr>
              <w:t>10</w:t>
            </w:r>
            <w:r>
              <w:rPr>
                <w:noProof/>
                <w:webHidden/>
              </w:rPr>
              <w:fldChar w:fldCharType="end"/>
            </w:r>
          </w:hyperlink>
        </w:p>
        <w:p w14:paraId="1F6C4E18" w14:textId="253D9E6A" w:rsidR="00E4685B" w:rsidRDefault="00E4685B">
          <w:pPr>
            <w:pStyle w:val="TOC2"/>
            <w:tabs>
              <w:tab w:val="right" w:leader="dot" w:pos="9016"/>
            </w:tabs>
            <w:rPr>
              <w:rFonts w:eastAsiaTheme="minorEastAsia"/>
              <w:noProof/>
              <w:sz w:val="24"/>
              <w:szCs w:val="24"/>
              <w:lang w:eastAsia="en-GB"/>
            </w:rPr>
          </w:pPr>
          <w:hyperlink w:anchor="_Toc224728114" w:history="1">
            <w:r w:rsidRPr="00BA16D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_Toc224728114 \h </w:instrText>
            </w:r>
            <w:r>
              <w:rPr>
                <w:noProof/>
                <w:webHidden/>
              </w:rPr>
            </w:r>
            <w:r>
              <w:rPr>
                <w:noProof/>
                <w:webHidden/>
              </w:rPr>
              <w:fldChar w:fldCharType="separate"/>
            </w:r>
            <w:r>
              <w:rPr>
                <w:noProof/>
                <w:webHidden/>
              </w:rPr>
              <w:t>11</w:t>
            </w:r>
            <w:r>
              <w:rPr>
                <w:noProof/>
                <w:webHidden/>
              </w:rPr>
              <w:fldChar w:fldCharType="end"/>
            </w:r>
          </w:hyperlink>
        </w:p>
        <w:p w14:paraId="6F805762" w14:textId="18FCBDEC" w:rsidR="00A166B1" w:rsidRPr="00E4685B" w:rsidRDefault="00A166B1" w:rsidP="00E4685B">
          <w:pPr>
            <w:spacing w:before="100" w:beforeAutospacing="1" w:after="100" w:afterAutospacing="1" w:line="360" w:lineRule="auto"/>
            <w:rPr>
              <w:rFonts w:ascii="Arial" w:hAnsi="Arial" w:cs="Arial"/>
            </w:rPr>
          </w:pPr>
          <w:r w:rsidRPr="00E4685B">
            <w:rPr>
              <w:rFonts w:ascii="Arial" w:hAnsi="Arial" w:cs="Arial"/>
              <w:b/>
              <w:bCs/>
              <w:noProof/>
            </w:rPr>
            <w:fldChar w:fldCharType="end"/>
          </w:r>
        </w:p>
      </w:sdtContent>
    </w:sdt>
    <w:p w14:paraId="2908C239" w14:textId="77777777" w:rsidR="003A7CB1" w:rsidRPr="00E4685B" w:rsidRDefault="003A7CB1" w:rsidP="00E4685B">
      <w:pPr>
        <w:spacing w:before="100" w:beforeAutospacing="1" w:after="100" w:afterAutospacing="1" w:line="360" w:lineRule="auto"/>
        <w:rPr>
          <w:rFonts w:ascii="Arial" w:hAnsi="Arial" w:cs="Arial"/>
        </w:rPr>
      </w:pPr>
    </w:p>
    <w:p w14:paraId="6E6047EE" w14:textId="77777777" w:rsidR="00A166B1" w:rsidRPr="00E4685B" w:rsidRDefault="00A166B1" w:rsidP="00E4685B">
      <w:pPr>
        <w:spacing w:before="100" w:beforeAutospacing="1" w:after="100" w:afterAutospacing="1" w:line="360" w:lineRule="auto"/>
        <w:rPr>
          <w:rFonts w:ascii="Arial" w:eastAsiaTheme="majorEastAsia" w:hAnsi="Arial" w:cs="Arial"/>
        </w:rPr>
      </w:pPr>
      <w:r w:rsidRPr="00E4685B">
        <w:rPr>
          <w:rFonts w:ascii="Arial" w:hAnsi="Arial" w:cs="Arial"/>
        </w:rPr>
        <w:br w:type="page"/>
      </w:r>
    </w:p>
    <w:p w14:paraId="617E1A74" w14:textId="77777777" w:rsidR="00E4685B" w:rsidRPr="00E4685B" w:rsidRDefault="00E4685B" w:rsidP="00E4685B">
      <w:pPr>
        <w:pStyle w:val="Heading2"/>
        <w:spacing w:before="100" w:beforeAutospacing="1" w:after="100" w:afterAutospacing="1" w:line="360" w:lineRule="auto"/>
        <w:rPr>
          <w:rFonts w:ascii="Arial" w:hAnsi="Arial" w:cs="Arial"/>
          <w:b/>
          <w:bCs/>
          <w:color w:val="auto"/>
          <w:sz w:val="22"/>
          <w:szCs w:val="22"/>
        </w:rPr>
      </w:pPr>
      <w:bookmarkStart w:id="0" w:name="_Toc224728094"/>
      <w:r w:rsidRPr="00E4685B">
        <w:rPr>
          <w:rFonts w:ascii="Arial" w:hAnsi="Arial" w:cs="Arial"/>
          <w:b/>
          <w:bCs/>
          <w:color w:val="auto"/>
          <w:sz w:val="22"/>
          <w:szCs w:val="22"/>
        </w:rPr>
        <w:lastRenderedPageBreak/>
        <w:t>Introduction</w:t>
      </w:r>
      <w:bookmarkEnd w:id="0"/>
    </w:p>
    <w:p w14:paraId="3DC9CAC1" w14:textId="0906492C"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 xml:space="preserve">Generalized Anxiety Disorder (GAD) affects 4-7% of adults globally, significantly impacting occupational performance, social interactions, and quality of life (Papola et al, 2024). This report </w:t>
      </w:r>
      <w:r w:rsidR="00392629" w:rsidRPr="00E4685B">
        <w:rPr>
          <w:rFonts w:ascii="Arial" w:eastAsiaTheme="majorEastAsia" w:hAnsi="Arial" w:cs="Arial"/>
        </w:rPr>
        <w:t>analyses</w:t>
      </w:r>
      <w:r w:rsidRPr="00E4685B">
        <w:rPr>
          <w:rFonts w:ascii="Arial" w:eastAsiaTheme="majorEastAsia" w:hAnsi="Arial" w:cs="Arial"/>
        </w:rPr>
        <w:t xml:space="preserve"> GAD in ICD-11 Chapter 6, examining classification, diagnosis, treatments, rehabilitation, and debates about neurodivergence. It integrates England and Wales's legislative framework, focusing on the Mental Health Act 1983 and Mental Capacity Act 2005.</w:t>
      </w:r>
    </w:p>
    <w:p w14:paraId="01741633" w14:textId="77777777" w:rsidR="00E4685B" w:rsidRPr="00E4685B" w:rsidRDefault="00E4685B" w:rsidP="00E4685B">
      <w:pPr>
        <w:pStyle w:val="Heading2"/>
        <w:spacing w:before="100" w:beforeAutospacing="1" w:after="100" w:afterAutospacing="1" w:line="360" w:lineRule="auto"/>
        <w:rPr>
          <w:rFonts w:ascii="Arial" w:hAnsi="Arial" w:cs="Arial"/>
          <w:b/>
          <w:bCs/>
          <w:color w:val="auto"/>
          <w:sz w:val="22"/>
          <w:szCs w:val="22"/>
        </w:rPr>
      </w:pPr>
      <w:bookmarkStart w:id="1" w:name="_Toc224728095"/>
      <w:r w:rsidRPr="00E4685B">
        <w:rPr>
          <w:rFonts w:ascii="Arial" w:hAnsi="Arial" w:cs="Arial"/>
          <w:b/>
          <w:bCs/>
          <w:color w:val="auto"/>
          <w:sz w:val="22"/>
          <w:szCs w:val="22"/>
        </w:rPr>
        <w:t>Classification and Diagnosis of Generalised Anxiety Disorder in ICD-11</w:t>
      </w:r>
      <w:bookmarkEnd w:id="1"/>
    </w:p>
    <w:p w14:paraId="5D844BF6" w14:textId="77777777" w:rsidR="00E4685B" w:rsidRPr="00E4685B" w:rsidRDefault="00E4685B" w:rsidP="00E4685B">
      <w:pPr>
        <w:pStyle w:val="Heading2"/>
        <w:spacing w:before="100" w:beforeAutospacing="1" w:after="100" w:afterAutospacing="1" w:line="360" w:lineRule="auto"/>
        <w:rPr>
          <w:rFonts w:ascii="Arial" w:hAnsi="Arial" w:cs="Arial"/>
          <w:b/>
          <w:bCs/>
          <w:color w:val="auto"/>
          <w:sz w:val="22"/>
          <w:szCs w:val="22"/>
        </w:rPr>
      </w:pPr>
      <w:bookmarkStart w:id="2" w:name="_Toc224728096"/>
      <w:r w:rsidRPr="00E4685B">
        <w:rPr>
          <w:rFonts w:ascii="Arial" w:hAnsi="Arial" w:cs="Arial"/>
          <w:b/>
          <w:bCs/>
          <w:i/>
          <w:iCs/>
          <w:color w:val="auto"/>
          <w:sz w:val="22"/>
          <w:szCs w:val="22"/>
        </w:rPr>
        <w:t>Structural Reorganisation in ICD-11</w:t>
      </w:r>
      <w:bookmarkEnd w:id="2"/>
    </w:p>
    <w:p w14:paraId="3763075E" w14:textId="2513DC41"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ICD-11 significantly reorgani</w:t>
      </w:r>
      <w:r w:rsidR="006D603A">
        <w:rPr>
          <w:rFonts w:ascii="Arial" w:eastAsiaTheme="majorEastAsia" w:hAnsi="Arial" w:cs="Arial"/>
        </w:rPr>
        <w:t>s</w:t>
      </w:r>
      <w:r w:rsidRPr="00E4685B">
        <w:rPr>
          <w:rFonts w:ascii="Arial" w:eastAsiaTheme="majorEastAsia" w:hAnsi="Arial" w:cs="Arial"/>
        </w:rPr>
        <w:t>es anxiety disorder classification. GAD moves from ICD-10's 'neurotic, stress-related and somatoform disorders' to 'Anxiety and Fear-Related Disorders' (6B00), eliminating arbitrary childhood-adult divides and acknowledging developmental continuities (Kogan et al, 2021). This aligns with DSM-5, improving international comparisons. Categori</w:t>
      </w:r>
      <w:r w:rsidR="00324BB7">
        <w:rPr>
          <w:rFonts w:ascii="Arial" w:eastAsiaTheme="majorEastAsia" w:hAnsi="Arial" w:cs="Arial"/>
        </w:rPr>
        <w:t>s</w:t>
      </w:r>
      <w:r w:rsidRPr="00E4685B">
        <w:rPr>
          <w:rFonts w:ascii="Arial" w:eastAsiaTheme="majorEastAsia" w:hAnsi="Arial" w:cs="Arial"/>
        </w:rPr>
        <w:t>ing anxiety separately from "neurotic disorders" reflects current understanding of shared aetiological pathways, genetic susceptibilities, and treatment responsiveness (Reed et al, 2019).</w:t>
      </w:r>
    </w:p>
    <w:p w14:paraId="6D1E6EC6" w14:textId="77777777" w:rsidR="00E4685B" w:rsidRPr="00E4685B" w:rsidRDefault="00E4685B" w:rsidP="00E4685B">
      <w:pPr>
        <w:pStyle w:val="Heading2"/>
        <w:spacing w:before="100" w:beforeAutospacing="1" w:after="100" w:afterAutospacing="1" w:line="360" w:lineRule="auto"/>
        <w:rPr>
          <w:rFonts w:ascii="Arial" w:hAnsi="Arial" w:cs="Arial"/>
          <w:b/>
          <w:bCs/>
          <w:color w:val="auto"/>
          <w:sz w:val="22"/>
          <w:szCs w:val="22"/>
        </w:rPr>
      </w:pPr>
      <w:bookmarkStart w:id="3" w:name="_Toc224728097"/>
      <w:r w:rsidRPr="00E4685B">
        <w:rPr>
          <w:rFonts w:ascii="Arial" w:hAnsi="Arial" w:cs="Arial"/>
          <w:b/>
          <w:bCs/>
          <w:color w:val="auto"/>
          <w:sz w:val="22"/>
          <w:szCs w:val="22"/>
        </w:rPr>
        <w:t>Diagnostic Criteria and Clinical Features</w:t>
      </w:r>
      <w:bookmarkEnd w:id="3"/>
    </w:p>
    <w:p w14:paraId="438C82AA"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ICD-11 diagnostic criteria for GAD (6B00) balance precision with clinical applicability. The primary criterion requires persistent excessive worry or general unease concerning family, health, finances, or performance, occurring most days for several months (World Health Organization, 2022). Unlike DSM-5's strict six-month requirement, ICD-11 offers flexibility.</w:t>
      </w:r>
    </w:p>
    <w:p w14:paraId="007D7A6B" w14:textId="05F5737F"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The symptom profile includes motor tension (restlessness, muscle tension), autonomic overactivity (tachycardia, sweating, gastrointestinal disturbances), and vigilance symptoms (concentration difficulties, irritability, sleep disturbances). Notably, fatigue is excluded to differentiate from depression (Gaebel et al, 2021). ICD-11 abandons ICD-10's rigid symptom counting (four of fourteen autonomic symptoms) for a clinically informed approach, addressing critiques that arbitrary thresholds exclude clinically significant distress.</w:t>
      </w:r>
    </w:p>
    <w:p w14:paraId="68CE195C" w14:textId="345C865C"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 xml:space="preserve">ICD-11 removes exclusion criteria preventing GAD diagnosis with comorbid conditions (specific phobia, panic disorder, OCD), acknowledging high comorbidity rates and challenging artificial diagnostic hierarchies (Kogan et al, 2021). Severity qualifiers (mild, moderate, severe) and course specifiers (partial remission, full remission) facilitate detailed </w:t>
      </w:r>
      <w:r w:rsidRPr="00E4685B">
        <w:rPr>
          <w:rFonts w:ascii="Arial" w:eastAsiaTheme="majorEastAsia" w:hAnsi="Arial" w:cs="Arial"/>
        </w:rPr>
        <w:lastRenderedPageBreak/>
        <w:t>treatment planning. Panic attacks are coded as comorbid characteristics (6B00/MB23.H) without requiring separate panic disorder diagnosis.</w:t>
      </w:r>
    </w:p>
    <w:p w14:paraId="45AFCAFE" w14:textId="77777777" w:rsidR="00E4685B" w:rsidRPr="00E4685B" w:rsidRDefault="00E4685B" w:rsidP="00E4685B">
      <w:pPr>
        <w:pStyle w:val="Heading2"/>
        <w:spacing w:before="100" w:beforeAutospacing="1" w:after="100" w:afterAutospacing="1" w:line="360" w:lineRule="auto"/>
        <w:rPr>
          <w:rFonts w:ascii="Arial" w:hAnsi="Arial" w:cs="Arial"/>
          <w:b/>
          <w:bCs/>
          <w:color w:val="auto"/>
          <w:sz w:val="22"/>
          <w:szCs w:val="22"/>
        </w:rPr>
      </w:pPr>
      <w:bookmarkStart w:id="4" w:name="_Toc224728098"/>
      <w:r w:rsidRPr="00E4685B">
        <w:rPr>
          <w:rFonts w:ascii="Arial" w:hAnsi="Arial" w:cs="Arial"/>
          <w:b/>
          <w:bCs/>
          <w:color w:val="auto"/>
          <w:sz w:val="22"/>
          <w:szCs w:val="22"/>
        </w:rPr>
        <w:t>Terminology and Conceptual Language</w:t>
      </w:r>
      <w:bookmarkEnd w:id="4"/>
    </w:p>
    <w:p w14:paraId="040B5F26" w14:textId="783DE685"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ICD-11's use of 'disorder' suggests a medical model focusing on neurobiology and cognition (Stein et a</w:t>
      </w:r>
      <w:r w:rsidR="00742F91">
        <w:rPr>
          <w:rFonts w:ascii="Arial" w:eastAsiaTheme="majorEastAsia" w:hAnsi="Arial" w:cs="Arial"/>
        </w:rPr>
        <w:t>l</w:t>
      </w:r>
      <w:r w:rsidRPr="00E4685B">
        <w:rPr>
          <w:rFonts w:ascii="Arial" w:eastAsiaTheme="majorEastAsia" w:hAnsi="Arial" w:cs="Arial"/>
        </w:rPr>
        <w:t>, 2022). The diagnostic description differentiates "general apprehensiveness" from "excessive worry," expanding the construct to include discomfort without particular cognitive content (World Health Organization, 2022). This addresses cross-cultural differences, noting that collectivist societies may emphasi</w:t>
      </w:r>
      <w:r w:rsidR="00742F91">
        <w:rPr>
          <w:rFonts w:ascii="Arial" w:eastAsiaTheme="majorEastAsia" w:hAnsi="Arial" w:cs="Arial"/>
        </w:rPr>
        <w:t>s</w:t>
      </w:r>
      <w:r w:rsidRPr="00E4685B">
        <w:rPr>
          <w:rFonts w:ascii="Arial" w:eastAsiaTheme="majorEastAsia" w:hAnsi="Arial" w:cs="Arial"/>
        </w:rPr>
        <w:t xml:space="preserve">e physical symptoms. However, </w:t>
      </w:r>
      <w:r w:rsidR="00324BB7" w:rsidRPr="00E4685B">
        <w:rPr>
          <w:rFonts w:ascii="Arial" w:eastAsiaTheme="majorEastAsia" w:hAnsi="Arial" w:cs="Arial"/>
        </w:rPr>
        <w:t>labelling</w:t>
      </w:r>
      <w:r w:rsidRPr="00E4685B">
        <w:rPr>
          <w:rFonts w:ascii="Arial" w:eastAsiaTheme="majorEastAsia" w:hAnsi="Arial" w:cs="Arial"/>
        </w:rPr>
        <w:t xml:space="preserve"> anxiety 'excessive' introduces normative judgments, potentially </w:t>
      </w:r>
      <w:r w:rsidR="006574B5" w:rsidRPr="00E4685B">
        <w:rPr>
          <w:rFonts w:ascii="Arial" w:eastAsiaTheme="majorEastAsia" w:hAnsi="Arial" w:cs="Arial"/>
        </w:rPr>
        <w:t>patholog</w:t>
      </w:r>
      <w:r w:rsidR="006574B5">
        <w:rPr>
          <w:rFonts w:ascii="Arial" w:eastAsiaTheme="majorEastAsia" w:hAnsi="Arial" w:cs="Arial"/>
        </w:rPr>
        <w:t>iz</w:t>
      </w:r>
      <w:r w:rsidR="006574B5" w:rsidRPr="00E4685B">
        <w:rPr>
          <w:rFonts w:ascii="Arial" w:eastAsiaTheme="majorEastAsia" w:hAnsi="Arial" w:cs="Arial"/>
        </w:rPr>
        <w:t>ing</w:t>
      </w:r>
      <w:r w:rsidRPr="00E4685B">
        <w:rPr>
          <w:rFonts w:ascii="Arial" w:eastAsiaTheme="majorEastAsia" w:hAnsi="Arial" w:cs="Arial"/>
        </w:rPr>
        <w:t xml:space="preserve"> genuine anxiety in dangerous situations.</w:t>
      </w:r>
    </w:p>
    <w:p w14:paraId="434DE55C"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Dimensional qualifiers for severity and progression move from binary classifications to nuanced descriptions (Evans et al., 2021), partially aligning with neurodiversity perspectives, though debates continue on whether anxiety is treatable or natural variation.</w:t>
      </w:r>
    </w:p>
    <w:p w14:paraId="1E64C8E0" w14:textId="77777777" w:rsidR="00E4685B" w:rsidRPr="00E4685B" w:rsidRDefault="00E4685B" w:rsidP="00E4685B">
      <w:pPr>
        <w:pStyle w:val="Heading2"/>
        <w:spacing w:before="100" w:beforeAutospacing="1" w:after="100" w:afterAutospacing="1" w:line="360" w:lineRule="auto"/>
        <w:rPr>
          <w:rFonts w:ascii="Arial" w:hAnsi="Arial" w:cs="Arial"/>
          <w:color w:val="auto"/>
          <w:sz w:val="22"/>
          <w:szCs w:val="22"/>
        </w:rPr>
      </w:pPr>
      <w:bookmarkStart w:id="5" w:name="_Toc224728099"/>
      <w:r w:rsidRPr="00E4685B">
        <w:rPr>
          <w:rFonts w:ascii="Arial" w:hAnsi="Arial" w:cs="Arial"/>
          <w:color w:val="auto"/>
          <w:sz w:val="22"/>
          <w:szCs w:val="22"/>
        </w:rPr>
        <w:t>Treatment and Rehabilitation Approaches</w:t>
      </w:r>
      <w:bookmarkEnd w:id="5"/>
    </w:p>
    <w:p w14:paraId="1B7AF3AC" w14:textId="77777777" w:rsidR="00E4685B" w:rsidRPr="00E4685B" w:rsidRDefault="00E4685B" w:rsidP="00E4685B">
      <w:pPr>
        <w:pStyle w:val="Heading2"/>
        <w:spacing w:before="100" w:beforeAutospacing="1" w:after="100" w:afterAutospacing="1" w:line="360" w:lineRule="auto"/>
        <w:rPr>
          <w:rFonts w:ascii="Arial" w:hAnsi="Arial" w:cs="Arial"/>
          <w:b/>
          <w:bCs/>
          <w:color w:val="auto"/>
          <w:sz w:val="22"/>
          <w:szCs w:val="22"/>
        </w:rPr>
      </w:pPr>
      <w:bookmarkStart w:id="6" w:name="_Toc224728100"/>
      <w:r w:rsidRPr="00E4685B">
        <w:rPr>
          <w:rFonts w:ascii="Arial" w:hAnsi="Arial" w:cs="Arial"/>
          <w:b/>
          <w:bCs/>
          <w:i/>
          <w:iCs/>
          <w:color w:val="auto"/>
          <w:sz w:val="22"/>
          <w:szCs w:val="22"/>
        </w:rPr>
        <w:t>Pharmacological Interventions</w:t>
      </w:r>
      <w:bookmarkEnd w:id="6"/>
    </w:p>
    <w:p w14:paraId="56E2CD19"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Current pharmacological treatment recommends SSRIs and SNRIs, with pregabalin as a tertiary option (Barnsley CCG, 2024). These modulate serotonergic and noradrenergic neurotransmission within fear circuitry (amygdala, prefrontal cortex, hippocampus). However, 40% of patients don't achieve remission following initial pharmacotherapy (Strawn et al., 2018).</w:t>
      </w:r>
    </w:p>
    <w:p w14:paraId="55E31A16"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NHS guidelines recommend sertraline as first-line SSRI, with fluoxetine, paroxetine, and citalopram as alternatives. Venlafaxine and duloxetine (SNRIs) are suggested for patients with notable physical symptoms. Pregabalin, acting on calcium channel alpha-2-delta, decreases glutamate release with effectiveness similar to benzodiazepines but without dependence risk, though misuse concerns are rising.</w:t>
      </w:r>
    </w:p>
    <w:p w14:paraId="046CAE50" w14:textId="17C66BC1"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Drawbacks include delayed onset (2-4 weeks), sexual dysfunction, gastrointestinal disturbances, and withdrawal syndromes (Baldwin et al, 2014). Pharmacotherapy alleviates symptoms without addressing cognitive mechanisms or environmental stressors. NICE guidelines state pharmacological treatments shouldn't be primary when psychological therapies are available, as psychotherapeutic methods show better long-term outcomes.</w:t>
      </w:r>
    </w:p>
    <w:p w14:paraId="5867F140" w14:textId="77777777" w:rsidR="00E4685B" w:rsidRPr="00E4685B" w:rsidRDefault="00E4685B" w:rsidP="00E4685B">
      <w:pPr>
        <w:pStyle w:val="Heading2"/>
        <w:spacing w:before="100" w:beforeAutospacing="1" w:after="100" w:afterAutospacing="1" w:line="360" w:lineRule="auto"/>
        <w:rPr>
          <w:rFonts w:ascii="Arial" w:hAnsi="Arial" w:cs="Arial"/>
          <w:b/>
          <w:bCs/>
          <w:color w:val="auto"/>
          <w:sz w:val="22"/>
          <w:szCs w:val="22"/>
        </w:rPr>
      </w:pPr>
      <w:bookmarkStart w:id="7" w:name="_Toc224728101"/>
      <w:r w:rsidRPr="00E4685B">
        <w:rPr>
          <w:rFonts w:ascii="Arial" w:hAnsi="Arial" w:cs="Arial"/>
          <w:b/>
          <w:bCs/>
          <w:color w:val="auto"/>
          <w:sz w:val="22"/>
          <w:szCs w:val="22"/>
        </w:rPr>
        <w:lastRenderedPageBreak/>
        <w:t>Psychological Therapies</w:t>
      </w:r>
      <w:bookmarkEnd w:id="7"/>
    </w:p>
    <w:p w14:paraId="269F1B50"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Cognitive Behavioural Therapy (CBT) is the leading psychological treatment, supported by strong evidence. A network meta-analysis by Papola et al. (2024) involving 65 RCTs and 5,048 participants found CBT had highest effect sizes for immediate relief (SMD = -0.74) and long-term benefits at 3-12 months, outperforming standard treatments. Third-wave CBT approaches (mindfulness-based cognitive therapy, acceptance and commitment therapy) showed similar immediate effectiveness but less sustained benefits.</w:t>
      </w:r>
    </w:p>
    <w:p w14:paraId="40E79797" w14:textId="32208E66"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 xml:space="preserve">The CBT model emphasizes worry as the main sustaining factor, employing cognitive restructuring, applied relaxation, and scheduled worry time (Dugas et al, 2010). </w:t>
      </w:r>
      <w:r w:rsidR="00392629" w:rsidRPr="00E4685B">
        <w:rPr>
          <w:rFonts w:ascii="Arial" w:eastAsiaTheme="majorEastAsia" w:hAnsi="Arial" w:cs="Arial"/>
        </w:rPr>
        <w:t>Behavioural</w:t>
      </w:r>
      <w:r w:rsidRPr="00E4685B">
        <w:rPr>
          <w:rFonts w:ascii="Arial" w:eastAsiaTheme="majorEastAsia" w:hAnsi="Arial" w:cs="Arial"/>
        </w:rPr>
        <w:t xml:space="preserve"> experiments address negative beliefs about ceasing worry and positive views of worry (e.g., 'worrying helps me prepare'). Recent updates recognize intolerance of uncertainty as key, highlighting struggles with ambiguity.</w:t>
      </w:r>
    </w:p>
    <w:p w14:paraId="0FAF594B"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Applied relaxation showed effectiveness, but Papola et al. (2024) found excluding high-bias studies negated its superiority over standard treatment, suggesting previous positive outcomes stemmed from methodological issues. CBT should be primary intervention, with third-wave therapies and relaxation as alternatives when CBT is unsuitable.</w:t>
      </w:r>
    </w:p>
    <w:p w14:paraId="55015921" w14:textId="77777777" w:rsidR="00E4685B" w:rsidRPr="00E4685B" w:rsidRDefault="00E4685B" w:rsidP="00E4685B">
      <w:pPr>
        <w:pStyle w:val="Heading2"/>
        <w:spacing w:before="100" w:beforeAutospacing="1" w:after="100" w:afterAutospacing="1" w:line="360" w:lineRule="auto"/>
        <w:rPr>
          <w:rFonts w:ascii="Arial" w:hAnsi="Arial" w:cs="Arial"/>
          <w:b/>
          <w:bCs/>
          <w:color w:val="auto"/>
          <w:sz w:val="22"/>
          <w:szCs w:val="22"/>
        </w:rPr>
      </w:pPr>
      <w:bookmarkStart w:id="8" w:name="_Toc224728102"/>
      <w:r w:rsidRPr="00E4685B">
        <w:rPr>
          <w:rFonts w:ascii="Arial" w:hAnsi="Arial" w:cs="Arial"/>
          <w:b/>
          <w:bCs/>
          <w:color w:val="auto"/>
          <w:sz w:val="22"/>
          <w:szCs w:val="22"/>
        </w:rPr>
        <w:t>Digital and Innovative Interventions</w:t>
      </w:r>
      <w:bookmarkEnd w:id="8"/>
    </w:p>
    <w:p w14:paraId="2FC51A63"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Digital health technologies address the treatment gap where fewer than one-third receive adequate care. Carl et al. (2024) compared smartphone-based digital CBT with psychoeducation among 351 adults with GAD, showing greater anxiety reduction (Cohen's d = 1.09 at 10 weeks) and higher remission rates (71.0% vs. 34.6%). DCBT overcomes geographical constraints, scheduling conflicts, and stigma barriers.</w:t>
      </w:r>
    </w:p>
    <w:p w14:paraId="379201CF"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NHS Talking Therapies integrates digital interventions into stepped care, with digitally facilitated therapies acknowledged by NICE for early value assessment (NICE, 2023). The stepped care model offers low-intensity digital interventions at Step 2 for mild-moderate GAD, escalating to high-intensity face-to-face CBT at Step 3 for significant impairment (NHS England, 2024).</w:t>
      </w:r>
    </w:p>
    <w:p w14:paraId="775C44BA" w14:textId="787FB35C"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 xml:space="preserve">Non-drug methods include transcranial magnetic stimulation (TMS), transcranial near-infrared stimulation (tNIRS), and exercise. A network meta-analysis on non-pharmacological treatments for GAD-related insomnia revealed acupuncture and TMS combined with psychotherapy as most effective for sleep quality and anxiety reduction (Zhang et al, 2025). </w:t>
      </w:r>
      <w:r w:rsidRPr="00E4685B">
        <w:rPr>
          <w:rFonts w:ascii="Arial" w:eastAsiaTheme="majorEastAsia" w:hAnsi="Arial" w:cs="Arial"/>
        </w:rPr>
        <w:lastRenderedPageBreak/>
        <w:t>Resistance training shows significant potential, with randomized trials revealing 60% remission after six weeks, potentially more effective than antidepressants (Gordon et al, 2017).</w:t>
      </w:r>
    </w:p>
    <w:p w14:paraId="29C58E4E" w14:textId="77777777" w:rsidR="00E4685B" w:rsidRPr="00E4685B" w:rsidRDefault="00E4685B" w:rsidP="00E4685B">
      <w:pPr>
        <w:pStyle w:val="Heading2"/>
        <w:spacing w:before="100" w:beforeAutospacing="1" w:after="100" w:afterAutospacing="1" w:line="360" w:lineRule="auto"/>
        <w:rPr>
          <w:rFonts w:ascii="Arial" w:hAnsi="Arial" w:cs="Arial"/>
          <w:b/>
          <w:bCs/>
          <w:color w:val="auto"/>
          <w:sz w:val="22"/>
          <w:szCs w:val="22"/>
        </w:rPr>
      </w:pPr>
      <w:bookmarkStart w:id="9" w:name="_Toc224728103"/>
      <w:r w:rsidRPr="00E4685B">
        <w:rPr>
          <w:rFonts w:ascii="Arial" w:hAnsi="Arial" w:cs="Arial"/>
          <w:b/>
          <w:bCs/>
          <w:color w:val="auto"/>
          <w:sz w:val="22"/>
          <w:szCs w:val="22"/>
        </w:rPr>
        <w:t>Limitations and Effectiveness Critique</w:t>
      </w:r>
      <w:bookmarkEnd w:id="9"/>
    </w:p>
    <w:p w14:paraId="1AF10E32" w14:textId="5610C755"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Despite evidence-based treatments, limitations persist. Treatment responses are often partial with residual symptoms. High relapse rates after cessation are notable (Cuijpers et al, 2014). Clinical trials may prioritize symptom reduction over functional impairments, highlighting need for patient-</w:t>
      </w:r>
      <w:r w:rsidR="00392629" w:rsidRPr="00E4685B">
        <w:rPr>
          <w:rFonts w:ascii="Arial" w:eastAsiaTheme="majorEastAsia" w:hAnsi="Arial" w:cs="Arial"/>
        </w:rPr>
        <w:t>centred</w:t>
      </w:r>
      <w:r w:rsidRPr="00E4685B">
        <w:rPr>
          <w:rFonts w:ascii="Arial" w:eastAsiaTheme="majorEastAsia" w:hAnsi="Arial" w:cs="Arial"/>
        </w:rPr>
        <w:t xml:space="preserve"> outcomes.</w:t>
      </w:r>
    </w:p>
    <w:p w14:paraId="2CBA4F0F" w14:textId="5CBBEBE8"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Access disparities present major barriers. NHS Talking Therapies faces capacity issues with 26,837 mental health job vacancies (2022/23), resulting in long wait times exceeding NICE standards (SilverCloud Health, 2024). The stepped care model may overlook individual preferences and complex cases. Research suggests directly assigning severe GAD patients to high-intensity treatment could improve efficiency (Green et al, 2020).</w:t>
      </w:r>
    </w:p>
    <w:p w14:paraId="0277C373"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Cultural adaptation remains underdeveloped, as most RCTs focus on WEIRD populations, potentially limiting relevance to diverse contexts. ICD-11's inclusion of culture-specific anxiety expressions is positive, but culturally adapted protocol use remains inconsistent.</w:t>
      </w:r>
    </w:p>
    <w:p w14:paraId="4791D3D1" w14:textId="77777777" w:rsidR="00E4685B" w:rsidRPr="00E4685B" w:rsidRDefault="00E4685B" w:rsidP="00E4685B">
      <w:pPr>
        <w:pStyle w:val="Heading2"/>
        <w:spacing w:before="100" w:beforeAutospacing="1" w:after="100" w:afterAutospacing="1" w:line="360" w:lineRule="auto"/>
        <w:rPr>
          <w:rFonts w:ascii="Arial" w:hAnsi="Arial" w:cs="Arial"/>
          <w:b/>
          <w:bCs/>
          <w:color w:val="auto"/>
          <w:sz w:val="22"/>
          <w:szCs w:val="22"/>
        </w:rPr>
      </w:pPr>
      <w:bookmarkStart w:id="10" w:name="_Toc224728104"/>
      <w:r w:rsidRPr="00E4685B">
        <w:rPr>
          <w:rFonts w:ascii="Arial" w:hAnsi="Arial" w:cs="Arial"/>
          <w:b/>
          <w:bCs/>
          <w:color w:val="auto"/>
          <w:sz w:val="22"/>
          <w:szCs w:val="22"/>
        </w:rPr>
        <w:t>Historical and Contemporary Provision: A Critical Comparison</w:t>
      </w:r>
      <w:bookmarkEnd w:id="10"/>
    </w:p>
    <w:p w14:paraId="4077C5E1" w14:textId="77777777" w:rsidR="00E4685B" w:rsidRPr="00E4685B" w:rsidRDefault="00E4685B" w:rsidP="00E4685B">
      <w:pPr>
        <w:pStyle w:val="Heading2"/>
        <w:spacing w:before="100" w:beforeAutospacing="1" w:after="100" w:afterAutospacing="1" w:line="360" w:lineRule="auto"/>
        <w:rPr>
          <w:rFonts w:ascii="Arial" w:hAnsi="Arial" w:cs="Arial"/>
          <w:b/>
          <w:bCs/>
          <w:color w:val="auto"/>
          <w:sz w:val="22"/>
          <w:szCs w:val="22"/>
        </w:rPr>
      </w:pPr>
      <w:bookmarkStart w:id="11" w:name="_Toc224728105"/>
      <w:r w:rsidRPr="00E4685B">
        <w:rPr>
          <w:rFonts w:ascii="Arial" w:hAnsi="Arial" w:cs="Arial"/>
          <w:b/>
          <w:bCs/>
          <w:i/>
          <w:iCs/>
          <w:color w:val="auto"/>
          <w:sz w:val="22"/>
          <w:szCs w:val="22"/>
        </w:rPr>
        <w:t>From Asylums to Community Care</w:t>
      </w:r>
      <w:bookmarkEnd w:id="11"/>
    </w:p>
    <w:p w14:paraId="4DEF281F" w14:textId="44920192"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 xml:space="preserve">Pre-20th century, anxiety symptoms were </w:t>
      </w:r>
      <w:r w:rsidR="00392629" w:rsidRPr="00E4685B">
        <w:rPr>
          <w:rFonts w:ascii="Arial" w:eastAsiaTheme="majorEastAsia" w:hAnsi="Arial" w:cs="Arial"/>
        </w:rPr>
        <w:t>labelled</w:t>
      </w:r>
      <w:r w:rsidRPr="00E4685B">
        <w:rPr>
          <w:rFonts w:ascii="Arial" w:eastAsiaTheme="majorEastAsia" w:hAnsi="Arial" w:cs="Arial"/>
        </w:rPr>
        <w:t xml:space="preserve"> 'neurasthenia' or 'nervous exhaustion,' treated with rest cures, hydrotherapy, and moral therapy in asylums (Shorter, 1997). Freud's psychoanalytic revolution redefined anxiety as unconscious conflicts, legitimizing the "talking cure" for wealthy individuals.</w:t>
      </w:r>
    </w:p>
    <w:p w14:paraId="6AE30FDD"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The 1960s introduced benzodiazepines, providing quick relief but posing dependence risks (Lader, 2011). Deinstitutionalization in the 1960s-70s promoted autonomy but often resulted in inadequate support and 'revolving door' admissions. CBT, introduced by Beck and Ellis in the 1970s-80s, established evidence-based brief therapy. Modern service delivery integrates pharmacological, psychological, and social strategies, though gaps persist between policy rhetoric and implementation.</w:t>
      </w:r>
    </w:p>
    <w:p w14:paraId="23E492FD" w14:textId="77777777" w:rsidR="00E4685B" w:rsidRPr="00E4685B" w:rsidRDefault="00E4685B" w:rsidP="00E4685B">
      <w:pPr>
        <w:pStyle w:val="Heading2"/>
        <w:spacing w:before="100" w:beforeAutospacing="1" w:after="100" w:afterAutospacing="1" w:line="360" w:lineRule="auto"/>
        <w:rPr>
          <w:rFonts w:ascii="Arial" w:hAnsi="Arial" w:cs="Arial"/>
          <w:b/>
          <w:bCs/>
          <w:color w:val="auto"/>
          <w:sz w:val="22"/>
          <w:szCs w:val="22"/>
        </w:rPr>
      </w:pPr>
      <w:bookmarkStart w:id="12" w:name="_Toc224728106"/>
      <w:r w:rsidRPr="00E4685B">
        <w:rPr>
          <w:rFonts w:ascii="Arial" w:hAnsi="Arial" w:cs="Arial"/>
          <w:b/>
          <w:bCs/>
          <w:color w:val="auto"/>
          <w:sz w:val="22"/>
          <w:szCs w:val="22"/>
        </w:rPr>
        <w:lastRenderedPageBreak/>
        <w:t>Legislative Frameworks: The Mental Health Act 1983 and Mental Capacity Act 2005</w:t>
      </w:r>
      <w:bookmarkEnd w:id="12"/>
    </w:p>
    <w:p w14:paraId="12E7B793"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The legal framework for GAD treatment in England and Wales is based on the Mental Health Act 1983, amended by the Mental Health Act 2007, providing legal basis for compulsory detention and treatment. The 1983 Act defines 'mental disorder' as 'any disorder or disability of the mind,' while 2007 amendments removed diagnostic hierarchies (Cambridge University Press, 2006).</w:t>
      </w:r>
    </w:p>
    <w:p w14:paraId="5E7A36B3"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Compulsory detention under Sections 2 and 3 requires mental disorder of 'nature or degree' necessitating detention for health/safety or others' protection, with appropriate medical treatment available. While GAD could qualify, significant functional impairment or comorbid conditions are typically required. The 2007 amendments introduced the "appropriate treatment test," requiring accessible medical treatment for prolonged detention, aligning with evidence-based GAD treatment (University Hospital Southampton, 2018).</w:t>
      </w:r>
    </w:p>
    <w:p w14:paraId="119168FE"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The Mental Capacity Act 2005 uses functional criteria for decision-making capacity, while the Mental Health Act categorizes by diagnosis. Many GAD patients retain capacity, meaning the Mental Capacity Act doesn't permit compulsory treatment if they refuse. The Mental Health Act permits detention and treatment of capacitated individuals if criteria are met. This creates legal imbalance: capacitated severe GAD patients declining treatment can only be treated under the Mental Health Act, while those lacking capacity may be treated under the Mental Capacity Act. However, the Mental Health Act takes precedence if patients resist admission.</w:t>
      </w:r>
    </w:p>
    <w:p w14:paraId="12758456"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Deprivation of Liberty Safeguards (DoLS) apply to individuals lacking capacity facing deprivation in care homes or hospitals. The Cheshire West ruling (2014) clarified that any deprivation must be authorized. For GAD, treatment is typically informal under the Mental Capacity Act, with compulsory measures reserved for high-risk crises, adhering to least restrictive intervention principles. The Mental Health Act Code of Practice emphasizes exploring less restrictive options before detention (Department of Health, 2015).</w:t>
      </w:r>
    </w:p>
    <w:p w14:paraId="4162833A" w14:textId="77777777" w:rsidR="00E4685B" w:rsidRPr="00E4685B" w:rsidRDefault="00E4685B" w:rsidP="00E4685B">
      <w:pPr>
        <w:pStyle w:val="Heading2"/>
        <w:spacing w:before="100" w:beforeAutospacing="1" w:after="100" w:afterAutospacing="1" w:line="360" w:lineRule="auto"/>
        <w:rPr>
          <w:rFonts w:ascii="Arial" w:hAnsi="Arial" w:cs="Arial"/>
          <w:b/>
          <w:bCs/>
          <w:color w:val="auto"/>
          <w:sz w:val="22"/>
          <w:szCs w:val="22"/>
        </w:rPr>
      </w:pPr>
      <w:bookmarkStart w:id="13" w:name="_Toc224728107"/>
      <w:r w:rsidRPr="00E4685B">
        <w:rPr>
          <w:rFonts w:ascii="Arial" w:hAnsi="Arial" w:cs="Arial"/>
          <w:b/>
          <w:bCs/>
          <w:color w:val="auto"/>
          <w:sz w:val="22"/>
          <w:szCs w:val="22"/>
        </w:rPr>
        <w:t>The Stepped Care Model and NHS Talking Therapies</w:t>
      </w:r>
      <w:bookmarkEnd w:id="13"/>
    </w:p>
    <w:p w14:paraId="7B511372"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NHS Talking Therapies (formerly IAPT) follows NICE guidelines using stepped care. Step 2 includes guided self-help, psychoeducational groups, and digital CBT by PWPs. Step 3 offers high-intensity CBT, applied relaxation, and interpersonal psychotherapy for moderate-severe symptoms or non-responders (NHS England, 2024).</w:t>
      </w:r>
    </w:p>
    <w:p w14:paraId="7063F246"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lastRenderedPageBreak/>
        <w:t>Process mining reveals implementation discrepancies across services, with bottlenecks and inappropriate step-down rates (Johnson et al., 2024). Routine outcome monitoring uses GAD-7 and PHQ-9 assessments. Critics argue metric focus may compromise therapeutic relationship quality.</w:t>
      </w:r>
    </w:p>
    <w:p w14:paraId="45525CFE"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The stepped care model demonstrates cost-effectiveness but raises ethical questions about whether 'least intrusive' interventions meet patient preferences or merely reflect resource allocation (Bower &amp; Gilbody, 2005). Recent advancements include testing digital interventions at Step 1, like the South Yorkshire Daylight programme providing immediate smartphone-based CBT without referrals, addressing the 40% treatment gap (Big Health, 2025).</w:t>
      </w:r>
    </w:p>
    <w:p w14:paraId="03C655F7" w14:textId="77777777" w:rsidR="00E4685B" w:rsidRPr="00E4685B" w:rsidRDefault="00E4685B" w:rsidP="00E4685B">
      <w:pPr>
        <w:pStyle w:val="Heading2"/>
        <w:spacing w:before="100" w:beforeAutospacing="1" w:after="100" w:afterAutospacing="1" w:line="360" w:lineRule="auto"/>
        <w:rPr>
          <w:rFonts w:ascii="Arial" w:hAnsi="Arial" w:cs="Arial"/>
          <w:b/>
          <w:bCs/>
          <w:color w:val="auto"/>
          <w:sz w:val="22"/>
          <w:szCs w:val="22"/>
        </w:rPr>
      </w:pPr>
      <w:bookmarkStart w:id="14" w:name="_Toc224728108"/>
      <w:r w:rsidRPr="00E4685B">
        <w:rPr>
          <w:rFonts w:ascii="Arial" w:hAnsi="Arial" w:cs="Arial"/>
          <w:b/>
          <w:bCs/>
          <w:color w:val="auto"/>
          <w:sz w:val="22"/>
          <w:szCs w:val="22"/>
        </w:rPr>
        <w:t>Current Debates and Emerging Issues</w:t>
      </w:r>
      <w:bookmarkEnd w:id="14"/>
    </w:p>
    <w:p w14:paraId="6ADCA877" w14:textId="77777777" w:rsidR="00E4685B" w:rsidRPr="00E4685B" w:rsidRDefault="00E4685B" w:rsidP="00E4685B">
      <w:pPr>
        <w:pStyle w:val="Heading2"/>
        <w:spacing w:before="100" w:beforeAutospacing="1" w:after="100" w:afterAutospacing="1" w:line="360" w:lineRule="auto"/>
        <w:rPr>
          <w:rFonts w:ascii="Arial" w:hAnsi="Arial" w:cs="Arial"/>
          <w:b/>
          <w:bCs/>
          <w:color w:val="auto"/>
          <w:sz w:val="22"/>
          <w:szCs w:val="22"/>
        </w:rPr>
      </w:pPr>
      <w:bookmarkStart w:id="15" w:name="_Toc224728109"/>
      <w:r w:rsidRPr="00E4685B">
        <w:rPr>
          <w:rFonts w:ascii="Arial" w:hAnsi="Arial" w:cs="Arial"/>
          <w:b/>
          <w:bCs/>
          <w:i/>
          <w:iCs/>
          <w:color w:val="auto"/>
          <w:sz w:val="22"/>
          <w:szCs w:val="22"/>
        </w:rPr>
        <w:t>The Neurodiversity Paradigm and GAD</w:t>
      </w:r>
      <w:bookmarkEnd w:id="15"/>
    </w:p>
    <w:p w14:paraId="2E37BEDD" w14:textId="42FBE764"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The neurodiversity movement challenges the medical model, reframing anxiety as natural nervous system variation exacerbated by social barriers. This parallels autism and ADHD redefinition as neurodevelopmental differences, suggesting GAD reflects heightened threat sensitivity with evolutionary advantages (Kapp et al, 2013).</w:t>
      </w:r>
    </w:p>
    <w:p w14:paraId="2BA1F1D6" w14:textId="54E8CE34"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Studies show higher GAD rates in neurodivergent individuals, suggesting these should be seen as inherent traits characterized by sensory sensitivity, low uncertainty tolerance, and different social interactions (Kerns et al, 2014). While ICD-11's dimensional approach aligns with neurodiversity, classifying GAD under 'disorders' reinforces medical model assumptions.</w:t>
      </w:r>
    </w:p>
    <w:p w14:paraId="7EC77881" w14:textId="66AAB5EF"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 xml:space="preserve">The neurodiversity framework counters </w:t>
      </w:r>
      <w:r w:rsidR="00324BB7" w:rsidRPr="00E4685B">
        <w:rPr>
          <w:rFonts w:ascii="Arial" w:eastAsiaTheme="majorEastAsia" w:hAnsi="Arial" w:cs="Arial"/>
        </w:rPr>
        <w:t>over pathologisation</w:t>
      </w:r>
      <w:r w:rsidRPr="00E4685B">
        <w:rPr>
          <w:rFonts w:ascii="Arial" w:eastAsiaTheme="majorEastAsia" w:hAnsi="Arial" w:cs="Arial"/>
        </w:rPr>
        <w:t xml:space="preserve"> of adaptive stress responses to genuine social threats like poverty and discrimination (Johnstone &amp; Boyle, 2018). However, completely rejecting the medical model may neglect those with severe anxiety persisting despite environmental changes, highlighting need for comprehensive biopsychosocial approaches.</w:t>
      </w:r>
    </w:p>
    <w:p w14:paraId="4566DDEE" w14:textId="77777777" w:rsidR="00E4685B" w:rsidRPr="00E4685B" w:rsidRDefault="00E4685B" w:rsidP="00E4685B">
      <w:pPr>
        <w:pStyle w:val="Heading2"/>
        <w:spacing w:before="100" w:beforeAutospacing="1" w:after="100" w:afterAutospacing="1" w:line="360" w:lineRule="auto"/>
        <w:rPr>
          <w:rFonts w:ascii="Arial" w:hAnsi="Arial" w:cs="Arial"/>
          <w:b/>
          <w:bCs/>
          <w:color w:val="auto"/>
          <w:sz w:val="22"/>
          <w:szCs w:val="22"/>
        </w:rPr>
      </w:pPr>
      <w:bookmarkStart w:id="16" w:name="_Toc224728110"/>
      <w:r w:rsidRPr="00E4685B">
        <w:rPr>
          <w:rFonts w:ascii="Arial" w:hAnsi="Arial" w:cs="Arial"/>
          <w:b/>
          <w:bCs/>
          <w:color w:val="auto"/>
          <w:sz w:val="22"/>
          <w:szCs w:val="22"/>
        </w:rPr>
        <w:t>Medical Model vs. Social Model Tensions</w:t>
      </w:r>
      <w:bookmarkEnd w:id="16"/>
    </w:p>
    <w:p w14:paraId="165CD10D"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Current discussions highlight conflicts between medical and social views. The medical model attributes anxiety to individual neurobiology and cognitive dysfunction, treatable with medication and therapy. This improves healthcare access, legitimizes distress, and promotes standardized protocols.</w:t>
      </w:r>
    </w:p>
    <w:p w14:paraId="01CC8E2F" w14:textId="5F97EDC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lastRenderedPageBreak/>
        <w:t>The social model highlights structural factors</w:t>
      </w:r>
      <w:r w:rsidR="0013099E">
        <w:rPr>
          <w:rFonts w:ascii="Arial" w:eastAsiaTheme="majorEastAsia" w:hAnsi="Arial" w:cs="Arial"/>
        </w:rPr>
        <w:t xml:space="preserve"> </w:t>
      </w:r>
      <w:r w:rsidRPr="00E4685B">
        <w:rPr>
          <w:rFonts w:ascii="Arial" w:eastAsiaTheme="majorEastAsia" w:hAnsi="Arial" w:cs="Arial"/>
        </w:rPr>
        <w:t>socioeconomic disparities, housing instability, job insecurity, discrimination</w:t>
      </w:r>
      <w:r w:rsidR="0013099E">
        <w:rPr>
          <w:rFonts w:ascii="Arial" w:eastAsiaTheme="majorEastAsia" w:hAnsi="Arial" w:cs="Arial"/>
        </w:rPr>
        <w:t xml:space="preserve"> </w:t>
      </w:r>
      <w:r w:rsidRPr="00E4685B">
        <w:rPr>
          <w:rFonts w:ascii="Arial" w:eastAsiaTheme="majorEastAsia" w:hAnsi="Arial" w:cs="Arial"/>
        </w:rPr>
        <w:t>as anxiety causes, arguing individuali</w:t>
      </w:r>
      <w:r w:rsidR="0013099E">
        <w:rPr>
          <w:rFonts w:ascii="Arial" w:eastAsiaTheme="majorEastAsia" w:hAnsi="Arial" w:cs="Arial"/>
        </w:rPr>
        <w:t>s</w:t>
      </w:r>
      <w:r w:rsidRPr="00E4685B">
        <w:rPr>
          <w:rFonts w:ascii="Arial" w:eastAsiaTheme="majorEastAsia" w:hAnsi="Arial" w:cs="Arial"/>
        </w:rPr>
        <w:t>ed treatment merely alleviates symptoms without addressing root social issues (Moncrieff, 2022). This critiques pharmaceutical industry influence in broadening diagnostic categories to market anxiolytics, questioning whether anxiety 'epidemics' reflect true pathology or expanded criteria and reduced stigma promoting disclosure.</w:t>
      </w:r>
    </w:p>
    <w:p w14:paraId="1F7745DE"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ICD-11 maintains GAD as distinct while acknowledging cultural influences, balancing medical and social paradigms. Social determinants are treated as 'qualifiers' rather than core causes, potentially satisfying neither strict medical model advocates seeking biological specificity nor social model supporters viewing individual diagnoses as distractions from social reform.</w:t>
      </w:r>
    </w:p>
    <w:p w14:paraId="3DC0103F" w14:textId="77777777" w:rsidR="00E4685B" w:rsidRPr="00E4685B" w:rsidRDefault="00E4685B" w:rsidP="00E4685B">
      <w:pPr>
        <w:pStyle w:val="Heading2"/>
        <w:spacing w:before="100" w:beforeAutospacing="1" w:after="100" w:afterAutospacing="1" w:line="360" w:lineRule="auto"/>
        <w:rPr>
          <w:rFonts w:ascii="Arial" w:hAnsi="Arial" w:cs="Arial"/>
          <w:b/>
          <w:bCs/>
          <w:color w:val="auto"/>
          <w:sz w:val="22"/>
          <w:szCs w:val="22"/>
        </w:rPr>
      </w:pPr>
      <w:bookmarkStart w:id="17" w:name="_Toc224728111"/>
      <w:r w:rsidRPr="00E4685B">
        <w:rPr>
          <w:rFonts w:ascii="Arial" w:hAnsi="Arial" w:cs="Arial"/>
          <w:b/>
          <w:bCs/>
          <w:color w:val="auto"/>
          <w:sz w:val="22"/>
          <w:szCs w:val="22"/>
        </w:rPr>
        <w:t>Reclassification and Diagnostic Validity Debates</w:t>
      </w:r>
      <w:bookmarkEnd w:id="17"/>
    </w:p>
    <w:p w14:paraId="0C3C0D04"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Current discussions focus on GAD's diagnostic validity, boundary definitions, and potential as transdiagnostic phenomenon. High comorbidity rates (50-70%) with major depressive disorder challenge categorical distinction, indicating potential shared mechanisms related to negative affectivity, possibly better understood as general distress syndrome (Goldberg, 2011).</w:t>
      </w:r>
    </w:p>
    <w:p w14:paraId="76CC1AE8" w14:textId="6289C43B"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ICD-11's "Mixed Depressive and Anxiety Disorder" (6A73) addresses overlap but places it under depressive disorders, potentially creating false hierarchy. Dimensional frameworks like HiTOP propose GAD as specific manifestation of broader internalizing issues, viewing worry as maladaptive distress response rather than core trait (Kotov et al, 2017).</w:t>
      </w:r>
    </w:p>
    <w:p w14:paraId="0F3128ED"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Proposals suggest situating GAD within 'fear and distress' spectrum, viewing it as temperament variant, or eliminating the diagnosis for dimensional assessments (Tyrer et al., 2011). Conversely, some argue for distinct GAD diagnosis to inform treatment decisions, particularly CBT targeting worry processes, and validate 'excessive worry' criterion in differentiating GAD from normal anxiety.</w:t>
      </w:r>
    </w:p>
    <w:p w14:paraId="6BFBBC46" w14:textId="77777777" w:rsidR="00E4685B" w:rsidRPr="00E4685B" w:rsidRDefault="00E4685B" w:rsidP="00E4685B">
      <w:pPr>
        <w:pStyle w:val="Heading2"/>
        <w:spacing w:before="100" w:beforeAutospacing="1" w:after="100" w:afterAutospacing="1" w:line="360" w:lineRule="auto"/>
        <w:rPr>
          <w:rFonts w:ascii="Arial" w:hAnsi="Arial" w:cs="Arial"/>
          <w:b/>
          <w:bCs/>
          <w:color w:val="auto"/>
          <w:sz w:val="22"/>
          <w:szCs w:val="22"/>
        </w:rPr>
      </w:pPr>
      <w:bookmarkStart w:id="18" w:name="_Toc224728112"/>
      <w:r w:rsidRPr="00E4685B">
        <w:rPr>
          <w:rFonts w:ascii="Arial" w:hAnsi="Arial" w:cs="Arial"/>
          <w:b/>
          <w:bCs/>
          <w:color w:val="auto"/>
          <w:sz w:val="22"/>
          <w:szCs w:val="22"/>
        </w:rPr>
        <w:t>Recommendations for Practice, Policy, and Research</w:t>
      </w:r>
      <w:bookmarkEnd w:id="18"/>
    </w:p>
    <w:p w14:paraId="3372C1C4"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i/>
          <w:iCs/>
        </w:rPr>
        <w:t>Practice recommendations:</w:t>
      </w:r>
      <w:r w:rsidRPr="00E4685B">
        <w:rPr>
          <w:rFonts w:ascii="Arial" w:eastAsiaTheme="majorEastAsia" w:hAnsi="Arial" w:cs="Arial"/>
        </w:rPr>
        <w:t xml:space="preserve"> Implement routine outcome monitoring with validated tools (GAD-7, CGI-I) while accommodating preferences and cultural contexts. Adopt formulation-based approaches considering biological, psychological, and social factors. Prioritize CBT with openness to third-wave therapies and digital options. Enhance legal understanding of </w:t>
      </w:r>
      <w:r w:rsidRPr="00E4685B">
        <w:rPr>
          <w:rFonts w:ascii="Arial" w:eastAsiaTheme="majorEastAsia" w:hAnsi="Arial" w:cs="Arial"/>
        </w:rPr>
        <w:lastRenderedPageBreak/>
        <w:t>Mental Health Act 1983 and Mental Capacity Act 2005 for ethical capacity and consent practices.</w:t>
      </w:r>
    </w:p>
    <w:p w14:paraId="54804B40"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i/>
          <w:iCs/>
        </w:rPr>
        <w:t>Policy recommendations:</w:t>
      </w:r>
      <w:r w:rsidRPr="00E4685B">
        <w:rPr>
          <w:rFonts w:ascii="Arial" w:eastAsiaTheme="majorEastAsia" w:hAnsi="Arial" w:cs="Arial"/>
        </w:rPr>
        <w:t xml:space="preserve"> Close treatment gaps by enhancing NHS Talking Therapies capacity through workforce training and digital interventions. Evaluate stepped care model for direct severe GAD pathways. Adapt protocols culturally for population equity. Address social determinants by integrating welfare, housing, and employment initiatives, recognizing mental health services alone cannot resolve structural issues.</w:t>
      </w:r>
    </w:p>
    <w:p w14:paraId="58D3C84A" w14:textId="50ACFC72"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i/>
          <w:iCs/>
        </w:rPr>
        <w:t>Research recommendations:</w:t>
      </w:r>
      <w:r w:rsidRPr="00E4685B">
        <w:rPr>
          <w:rFonts w:ascii="Arial" w:eastAsiaTheme="majorEastAsia" w:hAnsi="Arial" w:cs="Arial"/>
        </w:rPr>
        <w:t xml:space="preserve"> </w:t>
      </w:r>
      <w:r w:rsidR="00324BB7" w:rsidRPr="00E4685B">
        <w:rPr>
          <w:rFonts w:ascii="Arial" w:eastAsiaTheme="majorEastAsia" w:hAnsi="Arial" w:cs="Arial"/>
        </w:rPr>
        <w:t>Priorit</w:t>
      </w:r>
      <w:r w:rsidR="00324BB7">
        <w:rPr>
          <w:rFonts w:ascii="Arial" w:eastAsiaTheme="majorEastAsia" w:hAnsi="Arial" w:cs="Arial"/>
        </w:rPr>
        <w:t>i</w:t>
      </w:r>
      <w:r w:rsidR="00324BB7" w:rsidRPr="00E4685B">
        <w:rPr>
          <w:rFonts w:ascii="Arial" w:eastAsiaTheme="majorEastAsia" w:hAnsi="Arial" w:cs="Arial"/>
        </w:rPr>
        <w:t>se</w:t>
      </w:r>
      <w:r w:rsidRPr="00E4685B">
        <w:rPr>
          <w:rFonts w:ascii="Arial" w:eastAsiaTheme="majorEastAsia" w:hAnsi="Arial" w:cs="Arial"/>
        </w:rPr>
        <w:t xml:space="preserve"> long-term follow-up studies on treatment durability and relapse prevention. Identify treatment response predictors for personalized medicine. Develop culturally adapted protocols validated in non-WEIRD populations. Compare accommodation/acceptance strategies against traditional treatments within neurodiversity paradigm. Conduct transdiagnostic studies exploring shared internalizing mechanisms. Evaluate real-world digital intervention effectiveness outside controlled trials. Examine Mental Health Act and Mental Capacity Act application in anxiety treatment.</w:t>
      </w:r>
    </w:p>
    <w:p w14:paraId="4FB7AA41" w14:textId="77777777" w:rsidR="00E4685B" w:rsidRPr="00E4685B" w:rsidRDefault="00E4685B" w:rsidP="00E4685B">
      <w:pPr>
        <w:pStyle w:val="Heading2"/>
        <w:spacing w:before="100" w:beforeAutospacing="1" w:after="100" w:afterAutospacing="1" w:line="360" w:lineRule="auto"/>
        <w:rPr>
          <w:rFonts w:ascii="Arial" w:hAnsi="Arial" w:cs="Arial"/>
          <w:b/>
          <w:bCs/>
          <w:color w:val="auto"/>
          <w:sz w:val="22"/>
          <w:szCs w:val="22"/>
        </w:rPr>
      </w:pPr>
      <w:bookmarkStart w:id="19" w:name="_Toc224728113"/>
      <w:r w:rsidRPr="00E4685B">
        <w:rPr>
          <w:rFonts w:ascii="Arial" w:hAnsi="Arial" w:cs="Arial"/>
          <w:b/>
          <w:bCs/>
          <w:color w:val="auto"/>
          <w:sz w:val="22"/>
          <w:szCs w:val="22"/>
        </w:rPr>
        <w:t>Conclusion</w:t>
      </w:r>
      <w:bookmarkEnd w:id="19"/>
    </w:p>
    <w:p w14:paraId="540B649E" w14:textId="77777777" w:rsidR="00E4685B" w:rsidRPr="00E4685B" w:rsidRDefault="00E4685B" w:rsidP="00E4685B">
      <w:pPr>
        <w:spacing w:before="100" w:beforeAutospacing="1" w:after="100" w:afterAutospacing="1" w:line="360" w:lineRule="auto"/>
        <w:rPr>
          <w:rFonts w:ascii="Arial" w:eastAsiaTheme="majorEastAsia" w:hAnsi="Arial" w:cs="Arial"/>
        </w:rPr>
      </w:pPr>
      <w:r w:rsidRPr="00E4685B">
        <w:rPr>
          <w:rFonts w:ascii="Arial" w:eastAsiaTheme="majorEastAsia" w:hAnsi="Arial" w:cs="Arial"/>
        </w:rPr>
        <w:t>CBT is well-supported as primary GAD treatment, yet access issues and treatment gaps remain, which digital innovations could address. The Mental Health Act 1983 and Mental Capacity Act 2005 create complex regulatory environments significantly impacting ethical and power dynamics of anxiety treatment. Debates on neurodiversity, diagnostic validity, and medical/social model tensions suggest GAD classification will evolve toward nuanced dimensional or spectrum models. Future progress requires collaboration among biomedical researchers, clinicians, service users, legal experts, and critical theorists to ensure anxiety classification and treatment focus on human flourishing rather than mere symptom relief.</w:t>
      </w:r>
    </w:p>
    <w:p w14:paraId="5CF67814" w14:textId="77777777" w:rsidR="00E4685B" w:rsidRPr="00E4685B" w:rsidRDefault="00E4685B" w:rsidP="00E4685B">
      <w:pPr>
        <w:spacing w:before="100" w:beforeAutospacing="1" w:after="100" w:afterAutospacing="1" w:line="360" w:lineRule="auto"/>
        <w:rPr>
          <w:rFonts w:ascii="Arial" w:hAnsi="Arial" w:cs="Arial"/>
        </w:rPr>
      </w:pPr>
    </w:p>
    <w:p w14:paraId="5F3CCFBC" w14:textId="0F88BEFA" w:rsidR="003A7CB1" w:rsidRPr="00B67CBE" w:rsidRDefault="00E4685B" w:rsidP="00B67CBE">
      <w:pPr>
        <w:spacing w:before="100" w:beforeAutospacing="1" w:after="100" w:afterAutospacing="1" w:line="360" w:lineRule="auto"/>
        <w:rPr>
          <w:rFonts w:ascii="Arial" w:eastAsiaTheme="majorEastAsia" w:hAnsi="Arial" w:cs="Arial"/>
        </w:rPr>
      </w:pPr>
      <w:r w:rsidRPr="00E4685B">
        <w:rPr>
          <w:rFonts w:ascii="Arial" w:hAnsi="Arial" w:cs="Arial"/>
        </w:rPr>
        <w:br w:type="page"/>
      </w:r>
      <w:bookmarkStart w:id="20" w:name="_Toc224728114"/>
      <w:r w:rsidR="003A7CB1" w:rsidRPr="00E4685B">
        <w:rPr>
          <w:rFonts w:ascii="Arial" w:hAnsi="Arial" w:cs="Arial"/>
        </w:rPr>
        <w:lastRenderedPageBreak/>
        <w:t>REFERENCES</w:t>
      </w:r>
      <w:bookmarkEnd w:id="20"/>
    </w:p>
    <w:p w14:paraId="2C0A29EA" w14:textId="33821C68"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39 Essex Chambers (2019) The Interface Between the Mental Health Act 1983 and the Mental Capacity Act 2005. London: 39 Essex Chambers.</w:t>
      </w:r>
    </w:p>
    <w:p w14:paraId="421DBA30" w14:textId="119BAADE"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Baldwin, D.S., Waldman, S. and Allgulander, C. (2014) 'Evidence-based pharmacological treatment of generalised anxiety disorder'</w:t>
      </w:r>
      <w:r w:rsidRPr="00FC3718">
        <w:rPr>
          <w:rFonts w:ascii="Arial" w:hAnsi="Arial" w:cs="Arial"/>
          <w:i/>
          <w:iCs/>
        </w:rPr>
        <w:t>, International Journal of Neuropsychopharmacology,</w:t>
      </w:r>
      <w:r w:rsidRPr="00E4685B">
        <w:rPr>
          <w:rFonts w:ascii="Arial" w:hAnsi="Arial" w:cs="Arial"/>
        </w:rPr>
        <w:t xml:space="preserve"> 14(9), pp. 1169-1180.</w:t>
      </w:r>
    </w:p>
    <w:p w14:paraId="0BC768AF" w14:textId="2CC71C79"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Barnsley CCG (2024) Guidelines for the Treatment of Generalised Anxiety Disorder and Panic Disorder. Version 4.0. Available at: https://best.barnsleyccg.nhs.uk (Accessed: </w:t>
      </w:r>
      <w:r w:rsidR="00AD2138">
        <w:rPr>
          <w:rFonts w:ascii="Arial" w:hAnsi="Arial" w:cs="Arial"/>
        </w:rPr>
        <w:t>9</w:t>
      </w:r>
      <w:r w:rsidR="00AD2138" w:rsidRPr="00AD2138">
        <w:rPr>
          <w:rFonts w:ascii="Arial" w:hAnsi="Arial" w:cs="Arial"/>
          <w:vertAlign w:val="superscript"/>
        </w:rPr>
        <w:t>th</w:t>
      </w:r>
      <w:r w:rsidR="00AD2138">
        <w:rPr>
          <w:rFonts w:ascii="Arial" w:hAnsi="Arial" w:cs="Arial"/>
        </w:rPr>
        <w:t xml:space="preserve"> </w:t>
      </w:r>
      <w:r w:rsidRPr="00E4685B">
        <w:rPr>
          <w:rFonts w:ascii="Arial" w:hAnsi="Arial" w:cs="Arial"/>
        </w:rPr>
        <w:t xml:space="preserve"> March 2026).</w:t>
      </w:r>
    </w:p>
    <w:p w14:paraId="517405F8" w14:textId="1A6A91E3"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Bentall, R.P. (2003) 'Madness explained: Why we must reject the Kraepelinian paradigm', </w:t>
      </w:r>
      <w:r w:rsidRPr="00AD2138">
        <w:rPr>
          <w:rFonts w:ascii="Arial" w:hAnsi="Arial" w:cs="Arial"/>
          <w:i/>
          <w:iCs/>
        </w:rPr>
        <w:t>Journal of Clinical Psychiatry</w:t>
      </w:r>
      <w:r w:rsidRPr="00E4685B">
        <w:rPr>
          <w:rFonts w:ascii="Arial" w:hAnsi="Arial" w:cs="Arial"/>
        </w:rPr>
        <w:t>, 64(Suppl 6), pp. 12-13.</w:t>
      </w:r>
    </w:p>
    <w:p w14:paraId="3EEFEDFF" w14:textId="18ABF43C"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Big Health (2025) 'Daylight: A new dawn for anxiety treatment at scale'</w:t>
      </w:r>
      <w:r w:rsidRPr="00AD2138">
        <w:rPr>
          <w:rFonts w:ascii="Arial" w:hAnsi="Arial" w:cs="Arial"/>
          <w:i/>
          <w:iCs/>
        </w:rPr>
        <w:t>, South Yorkshire Innovation Hub, 26 August</w:t>
      </w:r>
      <w:r w:rsidRPr="00E4685B">
        <w:rPr>
          <w:rFonts w:ascii="Arial" w:hAnsi="Arial" w:cs="Arial"/>
        </w:rPr>
        <w:t xml:space="preserve">. Available at: https://www.syinnovationhub.net (Accessed: </w:t>
      </w:r>
      <w:r w:rsidR="00ED2E0D">
        <w:rPr>
          <w:rFonts w:ascii="Arial" w:hAnsi="Arial" w:cs="Arial"/>
        </w:rPr>
        <w:t>10</w:t>
      </w:r>
      <w:r w:rsidR="00ED2E0D" w:rsidRPr="00ED2E0D">
        <w:rPr>
          <w:rFonts w:ascii="Arial" w:hAnsi="Arial" w:cs="Arial"/>
          <w:vertAlign w:val="superscript"/>
        </w:rPr>
        <w:t>th</w:t>
      </w:r>
      <w:r w:rsidR="00ED2E0D">
        <w:rPr>
          <w:rFonts w:ascii="Arial" w:hAnsi="Arial" w:cs="Arial"/>
        </w:rPr>
        <w:t xml:space="preserve"> </w:t>
      </w:r>
      <w:r w:rsidRPr="00E4685B">
        <w:rPr>
          <w:rFonts w:ascii="Arial" w:hAnsi="Arial" w:cs="Arial"/>
        </w:rPr>
        <w:t>March 2026).</w:t>
      </w:r>
    </w:p>
    <w:p w14:paraId="71A7F081" w14:textId="0A2E470B"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Bower, P. and Gilbody, S. (2005) 'Stepped care in psychological therapies: Access, effectiveness and efficiency'</w:t>
      </w:r>
      <w:r w:rsidRPr="00ED2E0D">
        <w:rPr>
          <w:rFonts w:ascii="Arial" w:hAnsi="Arial" w:cs="Arial"/>
          <w:i/>
          <w:iCs/>
        </w:rPr>
        <w:t>, British Journal of Psychiatry</w:t>
      </w:r>
      <w:r w:rsidRPr="00E4685B">
        <w:rPr>
          <w:rFonts w:ascii="Arial" w:hAnsi="Arial" w:cs="Arial"/>
        </w:rPr>
        <w:t>, 186(1), pp. 11-17.</w:t>
      </w:r>
    </w:p>
    <w:p w14:paraId="0B3871C5" w14:textId="33F6E46D"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Cambridge University Press (2006) 'Definitions and criteria: The 2007 amendments to the Mental Health Act 1983'</w:t>
      </w:r>
      <w:r w:rsidRPr="00ED2E0D">
        <w:rPr>
          <w:rFonts w:ascii="Arial" w:hAnsi="Arial" w:cs="Arial"/>
          <w:i/>
          <w:iCs/>
        </w:rPr>
        <w:t>, Advances in Psychiatric Treatment</w:t>
      </w:r>
      <w:r w:rsidRPr="00E4685B">
        <w:rPr>
          <w:rFonts w:ascii="Arial" w:hAnsi="Arial" w:cs="Arial"/>
        </w:rPr>
        <w:t>, 12(6), pp. 416-423.</w:t>
      </w:r>
    </w:p>
    <w:p w14:paraId="0AA9A25E" w14:textId="5A6794F8"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Carl, J.R., et al. (2024) 'Digital cognitive behavioral treatment for generalized anxiety disorder: A randomized clinical trial', </w:t>
      </w:r>
      <w:r w:rsidRPr="00AF580D">
        <w:rPr>
          <w:rFonts w:ascii="Arial" w:hAnsi="Arial" w:cs="Arial"/>
          <w:i/>
          <w:iCs/>
        </w:rPr>
        <w:t>JAMA Network Open</w:t>
      </w:r>
      <w:r w:rsidRPr="00E4685B">
        <w:rPr>
          <w:rFonts w:ascii="Arial" w:hAnsi="Arial" w:cs="Arial"/>
        </w:rPr>
        <w:t>, 7(3), pp. e245678-e245678.</w:t>
      </w:r>
    </w:p>
    <w:p w14:paraId="658EB92B" w14:textId="050141DC"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Cuijpers, P., et al. (2014) 'Psychotherapy versus pharmacotherapy for generalized anxiety disorder: A systematic review and meta-analysis', </w:t>
      </w:r>
      <w:r w:rsidRPr="008405B4">
        <w:rPr>
          <w:rFonts w:ascii="Arial" w:hAnsi="Arial" w:cs="Arial"/>
          <w:i/>
          <w:iCs/>
        </w:rPr>
        <w:t>Depression and Anxiety</w:t>
      </w:r>
      <w:r w:rsidRPr="00E4685B">
        <w:rPr>
          <w:rFonts w:ascii="Arial" w:hAnsi="Arial" w:cs="Arial"/>
        </w:rPr>
        <w:t>, 31(3), pp. 191-200.</w:t>
      </w:r>
    </w:p>
    <w:p w14:paraId="74313AA5" w14:textId="7A04F6DE"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Department of Health (2015) </w:t>
      </w:r>
      <w:r w:rsidRPr="00646D9C">
        <w:rPr>
          <w:rFonts w:ascii="Arial" w:hAnsi="Arial" w:cs="Arial"/>
          <w:i/>
          <w:iCs/>
        </w:rPr>
        <w:t>Mental Health Act 1983</w:t>
      </w:r>
      <w:r w:rsidRPr="00E4685B">
        <w:rPr>
          <w:rFonts w:ascii="Arial" w:hAnsi="Arial" w:cs="Arial"/>
        </w:rPr>
        <w:t>: Code of Practice. London: The Stationery Office.</w:t>
      </w:r>
    </w:p>
    <w:p w14:paraId="670FB977" w14:textId="3A417BCC"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Dugas, M.J., et al. (2010) 'The efficacy of a cognitive-behavioral treatment for generalized anxiety disorder: A randomized controlled trial'</w:t>
      </w:r>
      <w:r w:rsidRPr="00E33519">
        <w:rPr>
          <w:rFonts w:ascii="Arial" w:hAnsi="Arial" w:cs="Arial"/>
          <w:i/>
          <w:iCs/>
        </w:rPr>
        <w:t>, Journal of Consulting and Clinical Psychology</w:t>
      </w:r>
      <w:r w:rsidRPr="00E4685B">
        <w:rPr>
          <w:rFonts w:ascii="Arial" w:hAnsi="Arial" w:cs="Arial"/>
        </w:rPr>
        <w:t>, 78(5), pp. 705-710.</w:t>
      </w:r>
    </w:p>
    <w:p w14:paraId="11AEF19E" w14:textId="7BF9A9A9"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lastRenderedPageBreak/>
        <w:t xml:space="preserve">Essex Partnership University NHS Foundation Trust (2024) </w:t>
      </w:r>
      <w:r w:rsidRPr="00383BB5">
        <w:rPr>
          <w:rFonts w:ascii="Arial" w:hAnsi="Arial" w:cs="Arial"/>
          <w:i/>
          <w:iCs/>
        </w:rPr>
        <w:t>Formulary and Prescribing Guidelines: Section 4 Treatment of Anxiety.</w:t>
      </w:r>
      <w:r w:rsidRPr="00E4685B">
        <w:rPr>
          <w:rFonts w:ascii="Arial" w:hAnsi="Arial" w:cs="Arial"/>
        </w:rPr>
        <w:t xml:space="preserve"> Updated May 2024.</w:t>
      </w:r>
    </w:p>
    <w:p w14:paraId="39DBBA4B" w14:textId="64E81CE3"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Evans, S.C., et al. (2021) 'Clinical utility of the ICD-11 classification of personality disorders', </w:t>
      </w:r>
      <w:r w:rsidRPr="00383BB5">
        <w:rPr>
          <w:rFonts w:ascii="Arial" w:hAnsi="Arial" w:cs="Arial"/>
          <w:i/>
          <w:iCs/>
        </w:rPr>
        <w:t>Personality and Mental Health</w:t>
      </w:r>
      <w:r w:rsidRPr="00E4685B">
        <w:rPr>
          <w:rFonts w:ascii="Arial" w:hAnsi="Arial" w:cs="Arial"/>
        </w:rPr>
        <w:t>, 15(3), pp. 201-215.</w:t>
      </w:r>
    </w:p>
    <w:p w14:paraId="71CC85C4" w14:textId="772AF7F1"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Gaebel, W., et al. (2021) 'ICD-11 mental, behavioural and neurodevelopmental disorders: Clinical descriptions and diagnostic guidelines', </w:t>
      </w:r>
      <w:r w:rsidRPr="00D4186F">
        <w:rPr>
          <w:rFonts w:ascii="Arial" w:hAnsi="Arial" w:cs="Arial"/>
          <w:i/>
          <w:iCs/>
        </w:rPr>
        <w:t>World Psychiatry</w:t>
      </w:r>
      <w:r w:rsidRPr="00E4685B">
        <w:rPr>
          <w:rFonts w:ascii="Arial" w:hAnsi="Arial" w:cs="Arial"/>
        </w:rPr>
        <w:t>, 20(2), pp. 133-134.</w:t>
      </w:r>
    </w:p>
    <w:p w14:paraId="53E2343D" w14:textId="002F373C"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Goldberg, D. (2011) 'The classification of mental disorder: A simpler system for DSM-V and ICD-11', </w:t>
      </w:r>
      <w:r w:rsidRPr="00B67CBE">
        <w:rPr>
          <w:rFonts w:ascii="Arial" w:hAnsi="Arial" w:cs="Arial"/>
          <w:i/>
          <w:iCs/>
        </w:rPr>
        <w:t>Advances in Psychiatric Treatment</w:t>
      </w:r>
      <w:r w:rsidRPr="00E4685B">
        <w:rPr>
          <w:rFonts w:ascii="Arial" w:hAnsi="Arial" w:cs="Arial"/>
        </w:rPr>
        <w:t>, 17(3), pp. 204-210.</w:t>
      </w:r>
    </w:p>
    <w:p w14:paraId="5ED6CA82" w14:textId="54FC5D2D"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Gordon, B.R., et al. (2017) 'Resistance exercise training for anxiety and worry symptoms among young adults: </w:t>
      </w:r>
      <w:r w:rsidRPr="00D4186F">
        <w:rPr>
          <w:rFonts w:ascii="Arial" w:hAnsi="Arial" w:cs="Arial"/>
          <w:i/>
          <w:iCs/>
        </w:rPr>
        <w:t>A randomized controlled trial', Psychiatry Research</w:t>
      </w:r>
      <w:r w:rsidRPr="00E4685B">
        <w:rPr>
          <w:rFonts w:ascii="Arial" w:hAnsi="Arial" w:cs="Arial"/>
        </w:rPr>
        <w:t>, 249, pp. 96-103.</w:t>
      </w:r>
    </w:p>
    <w:p w14:paraId="0252776E" w14:textId="6A71334B"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Green, H., et al. (2020) 'Direct-to-high-intensity therapy for severe depression and anxiety:</w:t>
      </w:r>
      <w:r w:rsidRPr="00115F17">
        <w:rPr>
          <w:rFonts w:ascii="Arial" w:hAnsi="Arial" w:cs="Arial"/>
          <w:i/>
          <w:iCs/>
        </w:rPr>
        <w:t xml:space="preserve"> A pilot study', Behavioural and Cognitive Psychotherapy, </w:t>
      </w:r>
      <w:r w:rsidRPr="00E4685B">
        <w:rPr>
          <w:rFonts w:ascii="Arial" w:hAnsi="Arial" w:cs="Arial"/>
        </w:rPr>
        <w:t>48(4), pp. 456-469.</w:t>
      </w:r>
    </w:p>
    <w:p w14:paraId="46326909" w14:textId="7D094936"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Johnson, E., et al. (2024) 'Data-driven exploration of NHS Talking Therapies care pathways using process mining: </w:t>
      </w:r>
      <w:r w:rsidRPr="00AD56DA">
        <w:rPr>
          <w:rFonts w:ascii="Arial" w:hAnsi="Arial" w:cs="Arial"/>
          <w:i/>
          <w:iCs/>
        </w:rPr>
        <w:t>Retrospective cohort study',</w:t>
      </w:r>
      <w:r w:rsidRPr="00E4685B">
        <w:rPr>
          <w:rFonts w:ascii="Arial" w:hAnsi="Arial" w:cs="Arial"/>
        </w:rPr>
        <w:t xml:space="preserve"> JMIR Mental Health, 11(1), pp. e53894.</w:t>
      </w:r>
    </w:p>
    <w:p w14:paraId="378E9437" w14:textId="530DACE3"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Johnstone, L. and Boyle, M. (2018) </w:t>
      </w:r>
      <w:r w:rsidRPr="00AD56DA">
        <w:rPr>
          <w:rFonts w:ascii="Arial" w:hAnsi="Arial" w:cs="Arial"/>
          <w:i/>
          <w:iCs/>
        </w:rPr>
        <w:t>The Power Threat Meaning Framework: Towards the Identification of Patterns in Emotional Distress, Unusual Experiences and Troubled or Troubling Behaviour, as an Alternative to Functional Psychiatric Diagnosis</w:t>
      </w:r>
      <w:r w:rsidRPr="00E4685B">
        <w:rPr>
          <w:rFonts w:ascii="Arial" w:hAnsi="Arial" w:cs="Arial"/>
        </w:rPr>
        <w:t>. London: British Psychological Society.</w:t>
      </w:r>
    </w:p>
    <w:p w14:paraId="5F73501C" w14:textId="02C6CC93"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Kapp, S.K., et al. (2013) 'Deficit, difference, or both? Autism and neurodiversity', </w:t>
      </w:r>
      <w:r w:rsidRPr="00AD56DA">
        <w:rPr>
          <w:rFonts w:ascii="Arial" w:hAnsi="Arial" w:cs="Arial"/>
          <w:i/>
          <w:iCs/>
        </w:rPr>
        <w:t>Developmental Psychology</w:t>
      </w:r>
      <w:r w:rsidRPr="00E4685B">
        <w:rPr>
          <w:rFonts w:ascii="Arial" w:hAnsi="Arial" w:cs="Arial"/>
        </w:rPr>
        <w:t>, 49(1), pp. 59-71.</w:t>
      </w:r>
    </w:p>
    <w:p w14:paraId="3CE26247" w14:textId="43095F35"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Kerns, C.M., et al. (2014) 'The differential roles of social anxiety and autistic traits in predicting anxiety in autistic children', </w:t>
      </w:r>
      <w:r w:rsidRPr="00AD56DA">
        <w:rPr>
          <w:rFonts w:ascii="Arial" w:hAnsi="Arial" w:cs="Arial"/>
          <w:i/>
          <w:iCs/>
        </w:rPr>
        <w:t>Autism Research,</w:t>
      </w:r>
      <w:r w:rsidRPr="00E4685B">
        <w:rPr>
          <w:rFonts w:ascii="Arial" w:hAnsi="Arial" w:cs="Arial"/>
        </w:rPr>
        <w:t xml:space="preserve"> 7(3), pp. 347-356.</w:t>
      </w:r>
    </w:p>
    <w:p w14:paraId="7D15365D" w14:textId="784708FB"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Kirmayer, L.J. (2001) 'Cultural variations in the clinical presentation of depression and anxiety: Implications for diagnosis and treatment', </w:t>
      </w:r>
      <w:r w:rsidRPr="00AD56DA">
        <w:rPr>
          <w:rFonts w:ascii="Arial" w:hAnsi="Arial" w:cs="Arial"/>
          <w:i/>
          <w:iCs/>
        </w:rPr>
        <w:t>Journal of Clinical Psychiatry</w:t>
      </w:r>
      <w:r w:rsidRPr="00E4685B">
        <w:rPr>
          <w:rFonts w:ascii="Arial" w:hAnsi="Arial" w:cs="Arial"/>
        </w:rPr>
        <w:t>, 62(Suppl 13), pp. 22-28.</w:t>
      </w:r>
    </w:p>
    <w:p w14:paraId="1E005D61" w14:textId="55DC36EB"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Kogan, C.S., et al. (2021) 'Anxiety and fear-related disorders in the ICD-11: A systematic review', </w:t>
      </w:r>
      <w:r w:rsidRPr="00AD56DA">
        <w:rPr>
          <w:rFonts w:ascii="Arial" w:hAnsi="Arial" w:cs="Arial"/>
          <w:i/>
          <w:iCs/>
        </w:rPr>
        <w:t>Brazilian Journal of Psychiatry,</w:t>
      </w:r>
      <w:r w:rsidRPr="00E4685B">
        <w:rPr>
          <w:rFonts w:ascii="Arial" w:hAnsi="Arial" w:cs="Arial"/>
        </w:rPr>
        <w:t xml:space="preserve"> 43(2), pp. 112-119.</w:t>
      </w:r>
    </w:p>
    <w:p w14:paraId="39B277EE" w14:textId="68060312"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lastRenderedPageBreak/>
        <w:t>Kotov, R., et al. (2017) 'The Hierarchical Taxonomy of Psychopathology (HiTOP</w:t>
      </w:r>
      <w:r w:rsidRPr="00AD56DA">
        <w:rPr>
          <w:rFonts w:ascii="Arial" w:hAnsi="Arial" w:cs="Arial"/>
          <w:i/>
          <w:iCs/>
        </w:rPr>
        <w:t>): A dimensional alternative to traditional nosologies', Journal of Abnormal Psychology</w:t>
      </w:r>
      <w:r w:rsidRPr="00E4685B">
        <w:rPr>
          <w:rFonts w:ascii="Arial" w:hAnsi="Arial" w:cs="Arial"/>
        </w:rPr>
        <w:t>, 126(4), pp. 454-477.</w:t>
      </w:r>
    </w:p>
    <w:p w14:paraId="07FA16C2" w14:textId="18B7CF11"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Lader, M. (2011) 'History of benzodiazepine dependence', </w:t>
      </w:r>
      <w:r w:rsidRPr="00AD56DA">
        <w:rPr>
          <w:rFonts w:ascii="Arial" w:hAnsi="Arial" w:cs="Arial"/>
          <w:i/>
          <w:iCs/>
        </w:rPr>
        <w:t>Journal of Substance Abuse</w:t>
      </w:r>
      <w:r w:rsidRPr="00E4685B">
        <w:rPr>
          <w:rFonts w:ascii="Arial" w:hAnsi="Arial" w:cs="Arial"/>
        </w:rPr>
        <w:t>, 1(1), pp. 67-78.</w:t>
      </w:r>
    </w:p>
    <w:p w14:paraId="7EB63C78" w14:textId="3914D5B3"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Mental Health Law Online (2020) </w:t>
      </w:r>
      <w:r w:rsidRPr="00AD56DA">
        <w:rPr>
          <w:rFonts w:ascii="Arial" w:hAnsi="Arial" w:cs="Arial"/>
          <w:i/>
          <w:iCs/>
        </w:rPr>
        <w:t>Mental Health Act 1983 Overview</w:t>
      </w:r>
      <w:r w:rsidRPr="00E4685B">
        <w:rPr>
          <w:rFonts w:ascii="Arial" w:hAnsi="Arial" w:cs="Arial"/>
        </w:rPr>
        <w:t xml:space="preserve">. Available at: https://www.mentalhealthlaw.co.uk (Accessed: </w:t>
      </w:r>
      <w:r w:rsidR="009017A1">
        <w:rPr>
          <w:rFonts w:ascii="Arial" w:hAnsi="Arial" w:cs="Arial"/>
        </w:rPr>
        <w:t>12</w:t>
      </w:r>
      <w:r w:rsidR="009017A1" w:rsidRPr="009017A1">
        <w:rPr>
          <w:rFonts w:ascii="Arial" w:hAnsi="Arial" w:cs="Arial"/>
          <w:vertAlign w:val="superscript"/>
        </w:rPr>
        <w:t>th</w:t>
      </w:r>
      <w:r w:rsidR="009017A1">
        <w:rPr>
          <w:rFonts w:ascii="Arial" w:hAnsi="Arial" w:cs="Arial"/>
        </w:rPr>
        <w:t xml:space="preserve"> </w:t>
      </w:r>
      <w:r w:rsidRPr="00E4685B">
        <w:rPr>
          <w:rFonts w:ascii="Arial" w:hAnsi="Arial" w:cs="Arial"/>
        </w:rPr>
        <w:t xml:space="preserve"> March 2026).</w:t>
      </w:r>
    </w:p>
    <w:p w14:paraId="5A408C95" w14:textId="339631C0"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Moncrieff, J. (2022) 'The political economy of mental health', </w:t>
      </w:r>
      <w:r w:rsidRPr="00AD56DA">
        <w:rPr>
          <w:rFonts w:ascii="Arial" w:hAnsi="Arial" w:cs="Arial"/>
          <w:i/>
          <w:iCs/>
        </w:rPr>
        <w:t>Critical Social Policy,</w:t>
      </w:r>
      <w:r w:rsidRPr="00E4685B">
        <w:rPr>
          <w:rFonts w:ascii="Arial" w:hAnsi="Arial" w:cs="Arial"/>
        </w:rPr>
        <w:t xml:space="preserve"> 42(1), pp. 123-142.</w:t>
      </w:r>
    </w:p>
    <w:p w14:paraId="289FD609" w14:textId="4906775F"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NHS England (2024) </w:t>
      </w:r>
      <w:r w:rsidRPr="00AD56DA">
        <w:rPr>
          <w:rFonts w:ascii="Arial" w:hAnsi="Arial" w:cs="Arial"/>
          <w:i/>
          <w:iCs/>
        </w:rPr>
        <w:t>NHS Talking Therapies, for Anxiety and Depression: Principles and Standards.</w:t>
      </w:r>
      <w:r w:rsidRPr="00E4685B">
        <w:rPr>
          <w:rFonts w:ascii="Arial" w:hAnsi="Arial" w:cs="Arial"/>
        </w:rPr>
        <w:t xml:space="preserve"> Available at: https://www.england.nhs.uk/mental-health (Accessed: </w:t>
      </w:r>
      <w:r w:rsidR="009017A1">
        <w:rPr>
          <w:rFonts w:ascii="Arial" w:hAnsi="Arial" w:cs="Arial"/>
        </w:rPr>
        <w:t xml:space="preserve">11th </w:t>
      </w:r>
      <w:r w:rsidRPr="00E4685B">
        <w:rPr>
          <w:rFonts w:ascii="Arial" w:hAnsi="Arial" w:cs="Arial"/>
        </w:rPr>
        <w:t xml:space="preserve"> March 2026).</w:t>
      </w:r>
    </w:p>
    <w:p w14:paraId="15F60E26" w14:textId="462E4580"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NICE (2023) </w:t>
      </w:r>
      <w:r w:rsidRPr="00AD56DA">
        <w:rPr>
          <w:rFonts w:ascii="Arial" w:hAnsi="Arial" w:cs="Arial"/>
          <w:i/>
          <w:iCs/>
        </w:rPr>
        <w:t>Digitally Enabled Therapies for Adults with Anxiety Disorders: Early Value Assessment</w:t>
      </w:r>
      <w:r w:rsidRPr="00E4685B">
        <w:rPr>
          <w:rFonts w:ascii="Arial" w:hAnsi="Arial" w:cs="Arial"/>
        </w:rPr>
        <w:t>. London: National Institute for Health and Care Excellence.</w:t>
      </w:r>
    </w:p>
    <w:p w14:paraId="03C1510A" w14:textId="72691059"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Papola, D., et al. (2024) 'Psychotherapies for generalized anxiety disorder in adults: A systematic review and network meta-analysis of randomized clinical trials', </w:t>
      </w:r>
      <w:r w:rsidRPr="00AD56DA">
        <w:rPr>
          <w:rFonts w:ascii="Arial" w:hAnsi="Arial" w:cs="Arial"/>
          <w:i/>
          <w:iCs/>
        </w:rPr>
        <w:t>JAMA Psychiatry</w:t>
      </w:r>
      <w:r w:rsidRPr="00E4685B">
        <w:rPr>
          <w:rFonts w:ascii="Arial" w:hAnsi="Arial" w:cs="Arial"/>
        </w:rPr>
        <w:t>, 81(3), pp. 250-259.</w:t>
      </w:r>
    </w:p>
    <w:p w14:paraId="2635DA47" w14:textId="2FA7BFD5"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Parliamentary Committees (2024) </w:t>
      </w:r>
      <w:r w:rsidRPr="00AD56DA">
        <w:rPr>
          <w:rFonts w:ascii="Arial" w:hAnsi="Arial" w:cs="Arial"/>
          <w:i/>
          <w:iCs/>
        </w:rPr>
        <w:t>The Interface Between the Mental Health Act 1983 and the Mental Capacity Act 2005</w:t>
      </w:r>
      <w:r w:rsidRPr="00E4685B">
        <w:rPr>
          <w:rFonts w:ascii="Arial" w:hAnsi="Arial" w:cs="Arial"/>
        </w:rPr>
        <w:t>. London: UK Parliament.</w:t>
      </w:r>
    </w:p>
    <w:p w14:paraId="51EF6B27" w14:textId="5FA8880B"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Reed, G.M., et al. (2019) 'Innovations and changes in the ICD-11 classification of mental, behavioural and neurodevelopmental disorders', </w:t>
      </w:r>
      <w:r w:rsidRPr="00AD56DA">
        <w:rPr>
          <w:rFonts w:ascii="Arial" w:hAnsi="Arial" w:cs="Arial"/>
          <w:i/>
          <w:iCs/>
        </w:rPr>
        <w:t>World Psychiatry</w:t>
      </w:r>
      <w:r w:rsidRPr="00E4685B">
        <w:rPr>
          <w:rFonts w:ascii="Arial" w:hAnsi="Arial" w:cs="Arial"/>
        </w:rPr>
        <w:t>, 18(1), pp. 3-19.</w:t>
      </w:r>
    </w:p>
    <w:p w14:paraId="2257D5BF" w14:textId="1B32F2CC"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Shorter, E. (1997) </w:t>
      </w:r>
      <w:r w:rsidRPr="00AD56DA">
        <w:rPr>
          <w:rFonts w:ascii="Arial" w:hAnsi="Arial" w:cs="Arial"/>
          <w:i/>
          <w:iCs/>
        </w:rPr>
        <w:t>A History of Psychiatry</w:t>
      </w:r>
      <w:r w:rsidRPr="00E4685B">
        <w:rPr>
          <w:rFonts w:ascii="Arial" w:hAnsi="Arial" w:cs="Arial"/>
        </w:rPr>
        <w:t>: From the Era of the Asylum to the Age of Prozac. New York: John Wiley &amp; Sons.</w:t>
      </w:r>
    </w:p>
    <w:p w14:paraId="58EC906B" w14:textId="20E7E7AE"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SilverCloud Health (2024) 'Bridging the care gap: Exploring the stepped care model and digital interventions in the NHS', </w:t>
      </w:r>
      <w:r w:rsidRPr="00AD56DA">
        <w:rPr>
          <w:rFonts w:ascii="Arial" w:hAnsi="Arial" w:cs="Arial"/>
          <w:i/>
          <w:iCs/>
        </w:rPr>
        <w:t>SilverCloud Blog,</w:t>
      </w:r>
      <w:r w:rsidRPr="00E4685B">
        <w:rPr>
          <w:rFonts w:ascii="Arial" w:hAnsi="Arial" w:cs="Arial"/>
        </w:rPr>
        <w:t xml:space="preserve"> 14 April. Available at: https://silvercloud.amwell.com/blog (Accessed: 1</w:t>
      </w:r>
      <w:r w:rsidR="00874937">
        <w:rPr>
          <w:rFonts w:ascii="Arial" w:hAnsi="Arial" w:cs="Arial"/>
        </w:rPr>
        <w:t xml:space="preserve">3th </w:t>
      </w:r>
      <w:r w:rsidRPr="00E4685B">
        <w:rPr>
          <w:rFonts w:ascii="Arial" w:hAnsi="Arial" w:cs="Arial"/>
        </w:rPr>
        <w:t>March 2026).</w:t>
      </w:r>
    </w:p>
    <w:p w14:paraId="261CC358" w14:textId="173939FE"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Stein, D.J., et al. (2022) 'ICD-11: A comprehensive update'</w:t>
      </w:r>
      <w:r w:rsidRPr="00AD56DA">
        <w:rPr>
          <w:rFonts w:ascii="Arial" w:hAnsi="Arial" w:cs="Arial"/>
          <w:i/>
          <w:iCs/>
        </w:rPr>
        <w:t>, Lancet Psychiatry,</w:t>
      </w:r>
      <w:r w:rsidRPr="00E4685B">
        <w:rPr>
          <w:rFonts w:ascii="Arial" w:hAnsi="Arial" w:cs="Arial"/>
        </w:rPr>
        <w:t xml:space="preserve"> 9(3), pp. 205-207.</w:t>
      </w:r>
    </w:p>
    <w:p w14:paraId="725BA6B8" w14:textId="273258BA"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lastRenderedPageBreak/>
        <w:t xml:space="preserve">Strawn, J.R., et al. (2018) 'Pharmacotherapy for generalized anxiety disorder in adult and pediatric patients: An evidence-based treatment review', </w:t>
      </w:r>
      <w:r w:rsidRPr="00AD56DA">
        <w:rPr>
          <w:rFonts w:ascii="Arial" w:hAnsi="Arial" w:cs="Arial"/>
          <w:i/>
          <w:iCs/>
        </w:rPr>
        <w:t>Journal of Clinical Psychiatry</w:t>
      </w:r>
      <w:r w:rsidRPr="00E4685B">
        <w:rPr>
          <w:rFonts w:ascii="Arial" w:hAnsi="Arial" w:cs="Arial"/>
        </w:rPr>
        <w:t>, 79(1), pp. 16-25.</w:t>
      </w:r>
    </w:p>
    <w:p w14:paraId="4A9A6CB2" w14:textId="1B2DD9BA"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Tyrer, P., et al. (2011) 'Has the acceptance of personality disorder reached a tipping point?', </w:t>
      </w:r>
      <w:r w:rsidRPr="0011123E">
        <w:rPr>
          <w:rFonts w:ascii="Arial" w:hAnsi="Arial" w:cs="Arial"/>
          <w:i/>
          <w:iCs/>
        </w:rPr>
        <w:t>Journal of Mental Health</w:t>
      </w:r>
      <w:r w:rsidRPr="00E4685B">
        <w:rPr>
          <w:rFonts w:ascii="Arial" w:hAnsi="Arial" w:cs="Arial"/>
        </w:rPr>
        <w:t>, 20(4), pp. 361-364.</w:t>
      </w:r>
    </w:p>
    <w:p w14:paraId="7E15CF25" w14:textId="025F363E"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University Hospital Southampton (2018) 'Distinguishing mental disorder from mental incapacity: </w:t>
      </w:r>
      <w:r w:rsidRPr="0011123E">
        <w:rPr>
          <w:rFonts w:ascii="Arial" w:hAnsi="Arial" w:cs="Arial"/>
          <w:i/>
          <w:iCs/>
        </w:rPr>
        <w:t>A brief guide', Clinical Law Updates</w:t>
      </w:r>
      <w:r w:rsidRPr="00E4685B">
        <w:rPr>
          <w:rFonts w:ascii="Arial" w:hAnsi="Arial" w:cs="Arial"/>
        </w:rPr>
        <w:t>, May. Available at: https://www.uhs.nhs.uk (Accessed: 1</w:t>
      </w:r>
      <w:r w:rsidR="00874937">
        <w:rPr>
          <w:rFonts w:ascii="Arial" w:hAnsi="Arial" w:cs="Arial"/>
        </w:rPr>
        <w:t>4</w:t>
      </w:r>
      <w:r w:rsidR="00874937" w:rsidRPr="00874937">
        <w:rPr>
          <w:rFonts w:ascii="Arial" w:hAnsi="Arial" w:cs="Arial"/>
          <w:vertAlign w:val="superscript"/>
        </w:rPr>
        <w:t>th</w:t>
      </w:r>
      <w:r w:rsidR="00874937">
        <w:rPr>
          <w:rFonts w:ascii="Arial" w:hAnsi="Arial" w:cs="Arial"/>
        </w:rPr>
        <w:t xml:space="preserve"> </w:t>
      </w:r>
      <w:r w:rsidR="00FE6FDB">
        <w:rPr>
          <w:rFonts w:ascii="Arial" w:hAnsi="Arial" w:cs="Arial"/>
        </w:rPr>
        <w:t xml:space="preserve"> </w:t>
      </w:r>
      <w:r w:rsidRPr="00E4685B">
        <w:rPr>
          <w:rFonts w:ascii="Arial" w:hAnsi="Arial" w:cs="Arial"/>
        </w:rPr>
        <w:t xml:space="preserve"> March 2026).</w:t>
      </w:r>
    </w:p>
    <w:p w14:paraId="3C316935" w14:textId="6437C20B" w:rsidR="003A7CB1"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 xml:space="preserve">World Health Organization (2022) *ICD-11 for Mortality and Morbidity Statistics: 6B00 </w:t>
      </w:r>
      <w:r w:rsidRPr="00FC3718">
        <w:rPr>
          <w:rFonts w:ascii="Arial" w:hAnsi="Arial" w:cs="Arial"/>
          <w:i/>
          <w:iCs/>
        </w:rPr>
        <w:t>Generalized Anxiety Disorder</w:t>
      </w:r>
      <w:r w:rsidRPr="00E4685B">
        <w:rPr>
          <w:rFonts w:ascii="Arial" w:hAnsi="Arial" w:cs="Arial"/>
        </w:rPr>
        <w:t>. Geneva: WHO.</w:t>
      </w:r>
    </w:p>
    <w:p w14:paraId="162A7331" w14:textId="788E38BD" w:rsidR="00C86B44" w:rsidRPr="00E4685B" w:rsidRDefault="003A7CB1" w:rsidP="00E4685B">
      <w:pPr>
        <w:spacing w:before="100" w:beforeAutospacing="1" w:after="100" w:afterAutospacing="1" w:line="360" w:lineRule="auto"/>
        <w:rPr>
          <w:rFonts w:ascii="Arial" w:hAnsi="Arial" w:cs="Arial"/>
        </w:rPr>
      </w:pPr>
      <w:r w:rsidRPr="00E4685B">
        <w:rPr>
          <w:rFonts w:ascii="Arial" w:hAnsi="Arial" w:cs="Arial"/>
        </w:rPr>
        <w:t>Zhang, L., et al. (2025) 'Efficacy of non-pharmacological interventions for alleviating insomnia in individuals with generalized anxiety disorder: Systematic evaluation and network meta-analysis', *Frontiers in Psychiatry*, 16, pp. 1669888.</w:t>
      </w:r>
    </w:p>
    <w:sectPr w:rsidR="00C86B44" w:rsidRPr="00E4685B" w:rsidSect="00392629">
      <w:footerReference w:type="default" r:id="rId10"/>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142E5" w14:textId="77777777" w:rsidR="00E067C2" w:rsidRDefault="00E067C2" w:rsidP="00A166B1">
      <w:pPr>
        <w:spacing w:after="0" w:line="240" w:lineRule="auto"/>
      </w:pPr>
      <w:r>
        <w:separator/>
      </w:r>
    </w:p>
  </w:endnote>
  <w:endnote w:type="continuationSeparator" w:id="0">
    <w:p w14:paraId="45608519" w14:textId="77777777" w:rsidR="00E067C2" w:rsidRDefault="00E067C2" w:rsidP="00A16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7300273"/>
      <w:docPartObj>
        <w:docPartGallery w:val="Page Numbers (Bottom of Page)"/>
        <w:docPartUnique/>
      </w:docPartObj>
    </w:sdtPr>
    <w:sdtEndPr>
      <w:rPr>
        <w:noProof/>
      </w:rPr>
    </w:sdtEndPr>
    <w:sdtContent>
      <w:p w14:paraId="75D9E8CF" w14:textId="037F16DC" w:rsidR="00A166B1" w:rsidRDefault="00A166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50A794" w14:textId="77777777" w:rsidR="00A166B1" w:rsidRDefault="00A166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57B61" w14:textId="77777777" w:rsidR="00E067C2" w:rsidRDefault="00E067C2" w:rsidP="00A166B1">
      <w:pPr>
        <w:spacing w:after="0" w:line="240" w:lineRule="auto"/>
      </w:pPr>
      <w:r>
        <w:separator/>
      </w:r>
    </w:p>
  </w:footnote>
  <w:footnote w:type="continuationSeparator" w:id="0">
    <w:p w14:paraId="1F7CFB88" w14:textId="77777777" w:rsidR="00E067C2" w:rsidRDefault="00E067C2" w:rsidP="00A166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CB1"/>
    <w:rsid w:val="000062CC"/>
    <w:rsid w:val="00032E9E"/>
    <w:rsid w:val="0011123E"/>
    <w:rsid w:val="00115F17"/>
    <w:rsid w:val="0013099E"/>
    <w:rsid w:val="00194D21"/>
    <w:rsid w:val="00324BB7"/>
    <w:rsid w:val="00383BB5"/>
    <w:rsid w:val="00392629"/>
    <w:rsid w:val="003A7CB1"/>
    <w:rsid w:val="004504D5"/>
    <w:rsid w:val="004A0699"/>
    <w:rsid w:val="006415C4"/>
    <w:rsid w:val="00646D9C"/>
    <w:rsid w:val="006574B5"/>
    <w:rsid w:val="006A40D2"/>
    <w:rsid w:val="006D603A"/>
    <w:rsid w:val="00742F91"/>
    <w:rsid w:val="008405B4"/>
    <w:rsid w:val="00874937"/>
    <w:rsid w:val="00884DC4"/>
    <w:rsid w:val="008C5F0A"/>
    <w:rsid w:val="009017A1"/>
    <w:rsid w:val="00915E86"/>
    <w:rsid w:val="00A166B1"/>
    <w:rsid w:val="00A965B6"/>
    <w:rsid w:val="00AD2138"/>
    <w:rsid w:val="00AD56DA"/>
    <w:rsid w:val="00AF580D"/>
    <w:rsid w:val="00B205B1"/>
    <w:rsid w:val="00B354DC"/>
    <w:rsid w:val="00B67CBE"/>
    <w:rsid w:val="00BB41A2"/>
    <w:rsid w:val="00C44DB6"/>
    <w:rsid w:val="00C86B44"/>
    <w:rsid w:val="00D4186F"/>
    <w:rsid w:val="00D86DD1"/>
    <w:rsid w:val="00E067C2"/>
    <w:rsid w:val="00E33519"/>
    <w:rsid w:val="00E4685B"/>
    <w:rsid w:val="00ED2E0D"/>
    <w:rsid w:val="00F5189F"/>
    <w:rsid w:val="00FC3718"/>
    <w:rsid w:val="00FE6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E9CD1"/>
  <w15:chartTrackingRefBased/>
  <w15:docId w15:val="{579B1018-C225-4D14-918D-9477EC7C0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C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7C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7C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7C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7C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7C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7C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7C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7C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C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7C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7C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7C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7C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7C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7C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7C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7CB1"/>
    <w:rPr>
      <w:rFonts w:eastAsiaTheme="majorEastAsia" w:cstheme="majorBidi"/>
      <w:color w:val="272727" w:themeColor="text1" w:themeTint="D8"/>
    </w:rPr>
  </w:style>
  <w:style w:type="paragraph" w:styleId="Title">
    <w:name w:val="Title"/>
    <w:basedOn w:val="Normal"/>
    <w:next w:val="Normal"/>
    <w:link w:val="TitleChar"/>
    <w:uiPriority w:val="10"/>
    <w:qFormat/>
    <w:rsid w:val="003A7C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C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7C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7C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7CB1"/>
    <w:pPr>
      <w:spacing w:before="160"/>
      <w:jc w:val="center"/>
    </w:pPr>
    <w:rPr>
      <w:i/>
      <w:iCs/>
      <w:color w:val="404040" w:themeColor="text1" w:themeTint="BF"/>
    </w:rPr>
  </w:style>
  <w:style w:type="character" w:customStyle="1" w:styleId="QuoteChar">
    <w:name w:val="Quote Char"/>
    <w:basedOn w:val="DefaultParagraphFont"/>
    <w:link w:val="Quote"/>
    <w:uiPriority w:val="29"/>
    <w:rsid w:val="003A7CB1"/>
    <w:rPr>
      <w:i/>
      <w:iCs/>
      <w:color w:val="404040" w:themeColor="text1" w:themeTint="BF"/>
    </w:rPr>
  </w:style>
  <w:style w:type="paragraph" w:styleId="ListParagraph">
    <w:name w:val="List Paragraph"/>
    <w:basedOn w:val="Normal"/>
    <w:uiPriority w:val="34"/>
    <w:qFormat/>
    <w:rsid w:val="003A7CB1"/>
    <w:pPr>
      <w:ind w:left="720"/>
      <w:contextualSpacing/>
    </w:pPr>
  </w:style>
  <w:style w:type="character" w:styleId="IntenseEmphasis">
    <w:name w:val="Intense Emphasis"/>
    <w:basedOn w:val="DefaultParagraphFont"/>
    <w:uiPriority w:val="21"/>
    <w:qFormat/>
    <w:rsid w:val="003A7CB1"/>
    <w:rPr>
      <w:i/>
      <w:iCs/>
      <w:color w:val="0F4761" w:themeColor="accent1" w:themeShade="BF"/>
    </w:rPr>
  </w:style>
  <w:style w:type="paragraph" w:styleId="IntenseQuote">
    <w:name w:val="Intense Quote"/>
    <w:basedOn w:val="Normal"/>
    <w:next w:val="Normal"/>
    <w:link w:val="IntenseQuoteChar"/>
    <w:uiPriority w:val="30"/>
    <w:qFormat/>
    <w:rsid w:val="003A7C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7CB1"/>
    <w:rPr>
      <w:i/>
      <w:iCs/>
      <w:color w:val="0F4761" w:themeColor="accent1" w:themeShade="BF"/>
    </w:rPr>
  </w:style>
  <w:style w:type="character" w:styleId="IntenseReference">
    <w:name w:val="Intense Reference"/>
    <w:basedOn w:val="DefaultParagraphFont"/>
    <w:uiPriority w:val="32"/>
    <w:qFormat/>
    <w:rsid w:val="003A7CB1"/>
    <w:rPr>
      <w:b/>
      <w:bCs/>
      <w:smallCaps/>
      <w:color w:val="0F4761" w:themeColor="accent1" w:themeShade="BF"/>
      <w:spacing w:val="5"/>
    </w:rPr>
  </w:style>
  <w:style w:type="paragraph" w:styleId="TOCHeading">
    <w:name w:val="TOC Heading"/>
    <w:basedOn w:val="Heading1"/>
    <w:next w:val="Normal"/>
    <w:uiPriority w:val="39"/>
    <w:unhideWhenUsed/>
    <w:qFormat/>
    <w:rsid w:val="00A166B1"/>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A166B1"/>
    <w:pPr>
      <w:spacing w:after="100"/>
      <w:ind w:left="220"/>
    </w:pPr>
  </w:style>
  <w:style w:type="character" w:styleId="Hyperlink">
    <w:name w:val="Hyperlink"/>
    <w:basedOn w:val="DefaultParagraphFont"/>
    <w:uiPriority w:val="99"/>
    <w:unhideWhenUsed/>
    <w:rsid w:val="00A166B1"/>
    <w:rPr>
      <w:color w:val="467886" w:themeColor="hyperlink"/>
      <w:u w:val="single"/>
    </w:rPr>
  </w:style>
  <w:style w:type="paragraph" w:styleId="Header">
    <w:name w:val="header"/>
    <w:basedOn w:val="Normal"/>
    <w:link w:val="HeaderChar"/>
    <w:uiPriority w:val="99"/>
    <w:unhideWhenUsed/>
    <w:rsid w:val="00A166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6B1"/>
  </w:style>
  <w:style w:type="paragraph" w:styleId="Footer">
    <w:name w:val="footer"/>
    <w:basedOn w:val="Normal"/>
    <w:link w:val="FooterChar"/>
    <w:uiPriority w:val="99"/>
    <w:unhideWhenUsed/>
    <w:rsid w:val="00A166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6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9" ma:contentTypeDescription="Create a new document." ma:contentTypeScope="" ma:versionID="a7a46b1c8e9ce51f44ea833a1da7d4dc">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f595a1a873319fb846e44471584e766b"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Props1.xml><?xml version="1.0" encoding="utf-8"?>
<ds:datastoreItem xmlns:ds="http://schemas.openxmlformats.org/officeDocument/2006/customXml" ds:itemID="{D2F3DD56-C18B-47A7-8183-B497644C750F}">
  <ds:schemaRefs>
    <ds:schemaRef ds:uri="http://schemas.openxmlformats.org/officeDocument/2006/bibliography"/>
  </ds:schemaRefs>
</ds:datastoreItem>
</file>

<file path=customXml/itemProps2.xml><?xml version="1.0" encoding="utf-8"?>
<ds:datastoreItem xmlns:ds="http://schemas.openxmlformats.org/officeDocument/2006/customXml" ds:itemID="{151FC76C-4B92-491F-B772-9DE89FF682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36A56F-F3BC-4C6A-900B-6FFE05EC9704}">
  <ds:schemaRefs>
    <ds:schemaRef ds:uri="http://schemas.microsoft.com/sharepoint/v3/contenttype/forms"/>
  </ds:schemaRefs>
</ds:datastoreItem>
</file>

<file path=customXml/itemProps4.xml><?xml version="1.0" encoding="utf-8"?>
<ds:datastoreItem xmlns:ds="http://schemas.openxmlformats.org/officeDocument/2006/customXml" ds:itemID="{CB110F2D-B796-44B4-9051-49A729799E9C}">
  <ds:schemaRefs>
    <ds:schemaRef ds:uri="http://schemas.microsoft.com/office/2006/metadata/properties"/>
    <ds:schemaRef ds:uri="http://schemas.microsoft.com/office/infopath/2007/PartnerControls"/>
    <ds:schemaRef ds:uri="a653a6be-78ee-4b80-ae82-fa43b262699b"/>
  </ds:schemaRefs>
</ds:datastoreItem>
</file>

<file path=docProps/app.xml><?xml version="1.0" encoding="utf-8"?>
<Properties xmlns="http://schemas.openxmlformats.org/officeDocument/2006/extended-properties" xmlns:vt="http://schemas.openxmlformats.org/officeDocument/2006/docPropsVTypes">
  <Template>Normal</Template>
  <TotalTime>7406</TotalTime>
  <Pages>14</Pages>
  <Words>4096</Words>
  <Characters>23353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aasma amjid</dc:creator>
  <cp:keywords/>
  <dc:description/>
  <cp:lastModifiedBy>Aasma Amjid (2322971)</cp:lastModifiedBy>
  <cp:revision>31</cp:revision>
  <dcterms:created xsi:type="dcterms:W3CDTF">2026-03-18T10:34:00Z</dcterms:created>
  <dcterms:modified xsi:type="dcterms:W3CDTF">2026-03-23T14:00:00Z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