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300D2" w14:textId="72B5D16B" w:rsidR="008B0524" w:rsidRPr="0048388D" w:rsidRDefault="00CE5D80" w:rsidP="008B0524">
      <w:pPr>
        <w:rPr>
          <w:rFonts w:ascii="Arial" w:hAnsi="Arial" w:cs="Arial"/>
          <w:sz w:val="24"/>
          <w:szCs w:val="24"/>
        </w:rPr>
      </w:pPr>
      <w:r w:rsidRPr="0048388D">
        <w:rPr>
          <w:rFonts w:ascii="Arial" w:hAnsi="Arial" w:cs="Arial"/>
          <w:sz w:val="24"/>
          <w:szCs w:val="24"/>
        </w:rPr>
        <w:t>Over the past few years serious crime rates have increased in the UK (United Kingdom). As has been argued by Durkheim (2014, pp. 30–49), as a sociological phenomenon, crime is present in all societies. Explaining why people commit crimes has been a major discourse for academics. During the Enlightenment period, reformers asserted that the value of reasoning and human intellect was the main way of achieving social justice (</w:t>
      </w:r>
      <w:proofErr w:type="spellStart"/>
      <w:r w:rsidRPr="0048388D">
        <w:rPr>
          <w:rFonts w:ascii="Arial" w:hAnsi="Arial" w:cs="Arial"/>
          <w:sz w:val="24"/>
          <w:szCs w:val="24"/>
        </w:rPr>
        <w:t>Rockmore</w:t>
      </w:r>
      <w:proofErr w:type="spellEnd"/>
      <w:r w:rsidRPr="0048388D">
        <w:rPr>
          <w:rFonts w:ascii="Arial" w:hAnsi="Arial" w:cs="Arial"/>
          <w:sz w:val="24"/>
          <w:szCs w:val="24"/>
        </w:rPr>
        <w:t>, 1987). It was previously believed that most human behaviour was driven by supernatural powers and different similar forces, but the enlightenment replaced these ideas. When it comes to crime and the reasons why people commit crimes, constructionist theories can be used. According to Constructionist theories, Crime is a social construction that refers to a collective judgment concerning the norms of society. The signifier ‘crime’ refers to action that violates the legitimate social norms of a collective social order (</w:t>
      </w:r>
      <w:proofErr w:type="spellStart"/>
      <w:r w:rsidRPr="0048388D">
        <w:rPr>
          <w:rFonts w:ascii="Arial" w:hAnsi="Arial" w:cs="Arial"/>
          <w:sz w:val="24"/>
          <w:szCs w:val="24"/>
        </w:rPr>
        <w:t>Haugaard</w:t>
      </w:r>
      <w:proofErr w:type="spellEnd"/>
      <w:r w:rsidRPr="0048388D">
        <w:rPr>
          <w:rFonts w:ascii="Arial" w:hAnsi="Arial" w:cs="Arial"/>
          <w:sz w:val="24"/>
          <w:szCs w:val="24"/>
        </w:rPr>
        <w:t>, 2022). This essay will explain what constructionist theory is, with an evaluation of its uses, including its strengths and limitations. It will critically evaluate different crimes and the police models that are used today, with a particular focus on an issue that is present in today police</w:t>
      </w:r>
      <w:r w:rsidR="008B0524" w:rsidRPr="0048388D">
        <w:rPr>
          <w:rFonts w:ascii="Arial" w:hAnsi="Arial" w:cs="Arial"/>
          <w:sz w:val="24"/>
          <w:szCs w:val="24"/>
        </w:rPr>
        <w:t xml:space="preserve"> looking at </w:t>
      </w:r>
      <w:r w:rsidR="00A94F30" w:rsidRPr="0048388D">
        <w:rPr>
          <w:rFonts w:ascii="Arial" w:hAnsi="Arial" w:cs="Arial"/>
          <w:sz w:val="24"/>
          <w:szCs w:val="24"/>
        </w:rPr>
        <w:t>theft. B</w:t>
      </w:r>
      <w:r w:rsidRPr="0048388D">
        <w:rPr>
          <w:rFonts w:ascii="Arial" w:hAnsi="Arial" w:cs="Arial"/>
          <w:sz w:val="24"/>
          <w:szCs w:val="24"/>
        </w:rPr>
        <w:t>y using constructionist theories such as labelling theory</w:t>
      </w:r>
      <w:r w:rsidR="008B0524" w:rsidRPr="0048388D">
        <w:rPr>
          <w:rFonts w:ascii="Arial" w:hAnsi="Arial" w:cs="Arial"/>
          <w:sz w:val="24"/>
          <w:szCs w:val="24"/>
        </w:rPr>
        <w:t xml:space="preserve"> and </w:t>
      </w:r>
      <w:r w:rsidR="008B0524" w:rsidRPr="0048388D">
        <w:rPr>
          <w:rFonts w:ascii="Arial" w:hAnsi="Arial" w:cs="Arial"/>
          <w:sz w:val="24"/>
          <w:szCs w:val="24"/>
        </w:rPr>
        <w:t>Differential association theory</w:t>
      </w:r>
      <w:r w:rsidR="008B0524" w:rsidRPr="0048388D">
        <w:rPr>
          <w:rFonts w:ascii="Arial" w:hAnsi="Arial" w:cs="Arial"/>
          <w:sz w:val="24"/>
          <w:szCs w:val="24"/>
        </w:rPr>
        <w:t>.</w:t>
      </w:r>
    </w:p>
    <w:p w14:paraId="3307F0FF" w14:textId="409C8AEA" w:rsidR="00CE5D80" w:rsidRPr="0048388D" w:rsidRDefault="00CE5D80" w:rsidP="00CE5D80">
      <w:pPr>
        <w:rPr>
          <w:rFonts w:ascii="Arial" w:hAnsi="Arial" w:cs="Arial"/>
          <w:sz w:val="24"/>
          <w:szCs w:val="24"/>
        </w:rPr>
      </w:pPr>
      <w:r w:rsidRPr="0048388D">
        <w:rPr>
          <w:rFonts w:ascii="Arial" w:hAnsi="Arial" w:cs="Arial"/>
          <w:sz w:val="24"/>
          <w:szCs w:val="24"/>
        </w:rPr>
        <w:t xml:space="preserve">Before the modern understanding of crime and criminal behaviour in Europe, </w:t>
      </w:r>
      <w:r w:rsidR="008B6B05" w:rsidRPr="0048388D">
        <w:rPr>
          <w:rFonts w:ascii="Arial" w:hAnsi="Arial" w:cs="Arial"/>
          <w:sz w:val="24"/>
          <w:szCs w:val="24"/>
        </w:rPr>
        <w:t>for thousands of years prior it was a belief of many that any crime and criminal behaviour was explained by the possession of a spirit or were committed by spiritual reasoning</w:t>
      </w:r>
      <w:r w:rsidRPr="0048388D">
        <w:rPr>
          <w:rFonts w:ascii="Arial" w:hAnsi="Arial" w:cs="Arial"/>
          <w:sz w:val="24"/>
          <w:szCs w:val="24"/>
        </w:rPr>
        <w:t xml:space="preserve"> (</w:t>
      </w:r>
      <w:proofErr w:type="spellStart"/>
      <w:r w:rsidRPr="0048388D">
        <w:rPr>
          <w:rFonts w:ascii="Arial" w:hAnsi="Arial" w:cs="Arial"/>
          <w:sz w:val="24"/>
          <w:szCs w:val="24"/>
        </w:rPr>
        <w:t>Vold</w:t>
      </w:r>
      <w:proofErr w:type="spellEnd"/>
      <w:r w:rsidRPr="0048388D">
        <w:rPr>
          <w:rFonts w:ascii="Arial" w:hAnsi="Arial" w:cs="Arial"/>
          <w:sz w:val="24"/>
          <w:szCs w:val="24"/>
        </w:rPr>
        <w:t xml:space="preserve">, Bernard and Snipes, 1998). </w:t>
      </w:r>
      <w:r w:rsidR="008B6B05" w:rsidRPr="0048388D">
        <w:rPr>
          <w:rFonts w:ascii="Arial" w:hAnsi="Arial" w:cs="Arial"/>
          <w:sz w:val="24"/>
          <w:szCs w:val="24"/>
        </w:rPr>
        <w:t>The reasoning behind this was that crime was associated with sin and thus being a criminal was because of being possessed by a demon</w:t>
      </w:r>
      <w:r w:rsidRPr="0048388D">
        <w:rPr>
          <w:rFonts w:ascii="Arial" w:hAnsi="Arial" w:cs="Arial"/>
          <w:sz w:val="24"/>
          <w:szCs w:val="24"/>
        </w:rPr>
        <w:t>(Burke, 2009).</w:t>
      </w:r>
      <w:r w:rsidR="008B6B05" w:rsidRPr="0048388D">
        <w:rPr>
          <w:rFonts w:ascii="Arial" w:hAnsi="Arial" w:cs="Arial"/>
          <w:sz w:val="24"/>
          <w:szCs w:val="24"/>
        </w:rPr>
        <w:t xml:space="preserve"> Because of this it was important that a better understanding to why people commit crime and </w:t>
      </w:r>
      <w:r w:rsidR="00507EAC" w:rsidRPr="0048388D">
        <w:rPr>
          <w:rFonts w:ascii="Arial" w:hAnsi="Arial" w:cs="Arial"/>
          <w:sz w:val="24"/>
          <w:szCs w:val="24"/>
        </w:rPr>
        <w:t>have an equal reasoning to the explanation to why criminals do what they do.</w:t>
      </w:r>
    </w:p>
    <w:p w14:paraId="52B536E2" w14:textId="257933E6" w:rsidR="00CE5D80" w:rsidRPr="0048388D" w:rsidRDefault="00507EAC" w:rsidP="00CE5D80">
      <w:pPr>
        <w:rPr>
          <w:rFonts w:ascii="Arial" w:hAnsi="Arial" w:cs="Arial"/>
          <w:sz w:val="24"/>
          <w:szCs w:val="24"/>
        </w:rPr>
      </w:pPr>
      <w:r w:rsidRPr="0048388D">
        <w:rPr>
          <w:rFonts w:ascii="Arial" w:hAnsi="Arial" w:cs="Arial"/>
          <w:sz w:val="24"/>
          <w:szCs w:val="24"/>
        </w:rPr>
        <w:t xml:space="preserve">To understand the connections of crime, it was important for the development of criminological theories was essential, with this the different theories have different explanations to the causes of crime. To create a complete theory for criminology the </w:t>
      </w:r>
      <w:proofErr w:type="gramStart"/>
      <w:r w:rsidRPr="0048388D">
        <w:rPr>
          <w:rFonts w:ascii="Arial" w:hAnsi="Arial" w:cs="Arial"/>
          <w:sz w:val="24"/>
          <w:szCs w:val="24"/>
        </w:rPr>
        <w:t>researches</w:t>
      </w:r>
      <w:proofErr w:type="gramEnd"/>
      <w:r w:rsidRPr="0048388D">
        <w:rPr>
          <w:rFonts w:ascii="Arial" w:hAnsi="Arial" w:cs="Arial"/>
          <w:sz w:val="24"/>
          <w:szCs w:val="24"/>
        </w:rPr>
        <w:t xml:space="preserve"> had to use a combination of </w:t>
      </w:r>
      <w:r w:rsidR="00B25D3D" w:rsidRPr="0048388D">
        <w:rPr>
          <w:rFonts w:ascii="Arial" w:hAnsi="Arial" w:cs="Arial"/>
          <w:sz w:val="24"/>
          <w:szCs w:val="24"/>
        </w:rPr>
        <w:t xml:space="preserve">macro and micro perspectives, however some of these ideas become to complex and are hard to adapt into the concise theories </w:t>
      </w:r>
      <w:r w:rsidR="00B25D3D" w:rsidRPr="0048388D">
        <w:rPr>
          <w:rFonts w:ascii="Arial" w:hAnsi="Arial" w:cs="Arial"/>
          <w:sz w:val="24"/>
          <w:szCs w:val="24"/>
        </w:rPr>
        <w:t>(Johnston et al, 2016).</w:t>
      </w:r>
      <w:r w:rsidR="00B25D3D" w:rsidRPr="0048388D">
        <w:rPr>
          <w:rFonts w:ascii="Arial" w:hAnsi="Arial" w:cs="Arial"/>
          <w:sz w:val="24"/>
          <w:szCs w:val="24"/>
        </w:rPr>
        <w:t xml:space="preserve"> According to Akers (1994) </w:t>
      </w:r>
      <w:r w:rsidR="00CE5D80" w:rsidRPr="0048388D">
        <w:rPr>
          <w:rFonts w:ascii="Arial" w:hAnsi="Arial" w:cs="Arial"/>
          <w:sz w:val="24"/>
          <w:szCs w:val="24"/>
        </w:rPr>
        <w:t>the criteria for judging the merit of any theory are its rationality, reliability, and usefulness</w:t>
      </w:r>
      <w:r w:rsidR="00B25D3D" w:rsidRPr="0048388D">
        <w:rPr>
          <w:rFonts w:ascii="Arial" w:hAnsi="Arial" w:cs="Arial"/>
          <w:sz w:val="24"/>
          <w:szCs w:val="24"/>
        </w:rPr>
        <w:t xml:space="preserve">, to do this it is important to develop a logical explanation and then figuring out where it fits. With this theory it can influence how successful they work when it comes to the execution of public policy, it will help reduce the victimisation of people and the rate of </w:t>
      </w:r>
      <w:proofErr w:type="spellStart"/>
      <w:r w:rsidR="00B25D3D" w:rsidRPr="0048388D">
        <w:rPr>
          <w:rFonts w:ascii="Arial" w:hAnsi="Arial" w:cs="Arial"/>
          <w:sz w:val="24"/>
          <w:szCs w:val="24"/>
        </w:rPr>
        <w:t>crimes.</w:t>
      </w:r>
      <w:r w:rsidR="00CE5D80" w:rsidRPr="0048388D">
        <w:rPr>
          <w:rFonts w:ascii="Arial" w:hAnsi="Arial" w:cs="Arial"/>
          <w:sz w:val="24"/>
          <w:szCs w:val="24"/>
        </w:rPr>
        <w:t>Consequently</w:t>
      </w:r>
      <w:proofErr w:type="spellEnd"/>
      <w:r w:rsidR="00CE5D80" w:rsidRPr="0048388D">
        <w:rPr>
          <w:rFonts w:ascii="Arial" w:hAnsi="Arial" w:cs="Arial"/>
          <w:sz w:val="24"/>
          <w:szCs w:val="24"/>
        </w:rPr>
        <w:t>, criminological theories are developed so that we may better understand why individuals behave the way they do, and by knowing why, we can respond to these acts and actors more effectively (Okada and Maguire, 2014).</w:t>
      </w:r>
    </w:p>
    <w:p w14:paraId="74B53146" w14:textId="508A1922" w:rsidR="00B25D3D" w:rsidRPr="0048388D" w:rsidRDefault="00CE5D80" w:rsidP="00CE5D80">
      <w:pPr>
        <w:rPr>
          <w:rFonts w:ascii="Arial" w:hAnsi="Arial" w:cs="Arial"/>
          <w:sz w:val="24"/>
          <w:szCs w:val="24"/>
        </w:rPr>
      </w:pPr>
      <w:r w:rsidRPr="0048388D">
        <w:rPr>
          <w:rFonts w:ascii="Arial" w:hAnsi="Arial" w:cs="Arial"/>
          <w:sz w:val="24"/>
          <w:szCs w:val="24"/>
        </w:rPr>
        <w:t>Many studies that have been conducted concentrate on the method of decision making for offenders. They do this to comprehend intention and the consequences of policy</w:t>
      </w:r>
      <w:r w:rsidRPr="0048388D">
        <w:rPr>
          <w:rFonts w:ascii="Arial" w:hAnsi="Arial" w:cs="Arial"/>
          <w:color w:val="FF0000"/>
          <w:sz w:val="24"/>
          <w:szCs w:val="24"/>
        </w:rPr>
        <w:t xml:space="preserve"> </w:t>
      </w:r>
      <w:r w:rsidRPr="0048388D">
        <w:rPr>
          <w:rFonts w:ascii="Arial" w:hAnsi="Arial" w:cs="Arial"/>
          <w:sz w:val="24"/>
          <w:szCs w:val="24"/>
        </w:rPr>
        <w:t>(</w:t>
      </w:r>
      <w:proofErr w:type="spellStart"/>
      <w:r w:rsidRPr="0048388D">
        <w:rPr>
          <w:rFonts w:ascii="Arial" w:hAnsi="Arial" w:cs="Arial"/>
          <w:sz w:val="24"/>
          <w:szCs w:val="24"/>
        </w:rPr>
        <w:t>Brezina</w:t>
      </w:r>
      <w:proofErr w:type="spellEnd"/>
      <w:r w:rsidRPr="0048388D">
        <w:rPr>
          <w:rFonts w:ascii="Arial" w:hAnsi="Arial" w:cs="Arial"/>
          <w:sz w:val="24"/>
          <w:szCs w:val="24"/>
        </w:rPr>
        <w:t xml:space="preserve">, et al, 2009; Copes, 2003; Jacobs &amp; Wright, 1999; Miller, 1998; </w:t>
      </w:r>
      <w:proofErr w:type="spellStart"/>
      <w:r w:rsidRPr="0048388D">
        <w:rPr>
          <w:rFonts w:ascii="Arial" w:hAnsi="Arial" w:cs="Arial"/>
          <w:sz w:val="24"/>
          <w:szCs w:val="24"/>
        </w:rPr>
        <w:t>Topalli</w:t>
      </w:r>
      <w:proofErr w:type="spellEnd"/>
      <w:r w:rsidRPr="0048388D">
        <w:rPr>
          <w:rFonts w:ascii="Arial" w:hAnsi="Arial" w:cs="Arial"/>
          <w:sz w:val="24"/>
          <w:szCs w:val="24"/>
        </w:rPr>
        <w:t xml:space="preserve">, 2005; Wright &amp; Decker, 1994). According to Lebel et al (2008:132) they say that decision to commit property crimes is driven primarily by a "life is a party" mindset, with encouragement to interact in offending being a situation-specific </w:t>
      </w:r>
      <w:r w:rsidRPr="0048388D">
        <w:rPr>
          <w:rFonts w:ascii="Arial" w:hAnsi="Arial" w:cs="Arial"/>
          <w:sz w:val="24"/>
          <w:szCs w:val="24"/>
        </w:rPr>
        <w:lastRenderedPageBreak/>
        <w:t>inducement, powered by an urgent need for quick cash to maintain extravagant lifestyles and continue street culture participation (</w:t>
      </w:r>
      <w:proofErr w:type="spellStart"/>
      <w:r w:rsidRPr="0048388D">
        <w:rPr>
          <w:rFonts w:ascii="Arial" w:hAnsi="Arial" w:cs="Arial"/>
          <w:sz w:val="24"/>
          <w:szCs w:val="24"/>
        </w:rPr>
        <w:t>LeBel</w:t>
      </w:r>
      <w:proofErr w:type="spellEnd"/>
      <w:r w:rsidRPr="0048388D">
        <w:rPr>
          <w:rFonts w:ascii="Arial" w:hAnsi="Arial" w:cs="Arial"/>
          <w:sz w:val="24"/>
          <w:szCs w:val="24"/>
        </w:rPr>
        <w:t>, et al, 2008:132).</w:t>
      </w:r>
    </w:p>
    <w:p w14:paraId="75175B3E" w14:textId="0BBA7BAE" w:rsidR="001D7DCA" w:rsidRPr="0048388D" w:rsidRDefault="001D7DCA" w:rsidP="00CF5071">
      <w:pPr>
        <w:rPr>
          <w:rFonts w:ascii="Arial" w:hAnsi="Arial" w:cs="Arial"/>
          <w:sz w:val="24"/>
          <w:szCs w:val="24"/>
        </w:rPr>
      </w:pPr>
      <w:r w:rsidRPr="0048388D">
        <w:rPr>
          <w:rFonts w:ascii="Arial" w:hAnsi="Arial" w:cs="Arial"/>
          <w:sz w:val="24"/>
          <w:szCs w:val="24"/>
        </w:rPr>
        <w:t xml:space="preserve">Classical thinkers purposely and completely ignored individual differences (Burke, 2009). This constitutes the most severe criticism levelled to Classical Criminology Theory. Every perpetrator is not thinking the same way. Classical Theory held that criminals and inmates were penalized equally and solely </w:t>
      </w:r>
      <w:r w:rsidRPr="0048388D">
        <w:rPr>
          <w:rFonts w:ascii="Arial" w:hAnsi="Arial" w:cs="Arial"/>
          <w:sz w:val="24"/>
          <w:szCs w:val="24"/>
        </w:rPr>
        <w:t>based on</w:t>
      </w:r>
      <w:r w:rsidRPr="0048388D">
        <w:rPr>
          <w:rFonts w:ascii="Arial" w:hAnsi="Arial" w:cs="Arial"/>
          <w:sz w:val="24"/>
          <w:szCs w:val="24"/>
        </w:rPr>
        <w:t xml:space="preserve"> the act committed. Moreover, children, adolescents, and the mentally ill have all been treated as if they were totally rational and capable. Conventional criminologists ignore the recognition of various criminal </w:t>
      </w:r>
      <w:proofErr w:type="spellStart"/>
      <w:r w:rsidRPr="0048388D">
        <w:rPr>
          <w:rFonts w:ascii="Arial" w:hAnsi="Arial" w:cs="Arial"/>
          <w:sz w:val="24"/>
          <w:szCs w:val="24"/>
        </w:rPr>
        <w:t>mentalities.Based</w:t>
      </w:r>
      <w:proofErr w:type="spellEnd"/>
      <w:r w:rsidRPr="0048388D">
        <w:rPr>
          <w:rFonts w:ascii="Arial" w:hAnsi="Arial" w:cs="Arial"/>
          <w:sz w:val="24"/>
          <w:szCs w:val="24"/>
        </w:rPr>
        <w:t xml:space="preserve"> on the concept of reason, they avoid negligence, misunderstanding, an unstable mind, and the other characteristics of a guilty mind (</w:t>
      </w:r>
      <w:proofErr w:type="spellStart"/>
      <w:r w:rsidRPr="0048388D">
        <w:rPr>
          <w:rFonts w:ascii="Arial" w:hAnsi="Arial" w:cs="Arial"/>
          <w:sz w:val="24"/>
          <w:szCs w:val="24"/>
        </w:rPr>
        <w:t>Amarasinghe</w:t>
      </w:r>
      <w:proofErr w:type="spellEnd"/>
      <w:r w:rsidRPr="0048388D">
        <w:rPr>
          <w:rFonts w:ascii="Arial" w:hAnsi="Arial" w:cs="Arial"/>
          <w:sz w:val="24"/>
          <w:szCs w:val="24"/>
        </w:rPr>
        <w:t>, 2020). The sole mental component of a crime, according to the Classical Theory of Criminology, is rational aim. Moreover, Classical Theory ignores a variety of criminal guilt. To guarantee consistency and certainty of punishment, judges, according to the classical approach, must only administer punishments established by law, and punishments should be decided by the government, not the courts (</w:t>
      </w:r>
      <w:proofErr w:type="spellStart"/>
      <w:r w:rsidRPr="0048388D">
        <w:rPr>
          <w:rFonts w:ascii="Arial" w:hAnsi="Arial" w:cs="Arial"/>
          <w:sz w:val="24"/>
          <w:szCs w:val="24"/>
        </w:rPr>
        <w:t>Amarasinghe</w:t>
      </w:r>
      <w:proofErr w:type="spellEnd"/>
      <w:r w:rsidRPr="0048388D">
        <w:rPr>
          <w:rFonts w:ascii="Arial" w:hAnsi="Arial" w:cs="Arial"/>
          <w:sz w:val="24"/>
          <w:szCs w:val="24"/>
        </w:rPr>
        <w:t xml:space="preserve">, 2020). As a result, the judiciary interpretations are accepted by classical theorists. The use of Classical Theory prevents judges from using discretion and curbs judicial activism (Tibbetts &amp; </w:t>
      </w:r>
      <w:proofErr w:type="spellStart"/>
      <w:r w:rsidRPr="0048388D">
        <w:rPr>
          <w:rFonts w:ascii="Arial" w:hAnsi="Arial" w:cs="Arial"/>
          <w:sz w:val="24"/>
          <w:szCs w:val="24"/>
        </w:rPr>
        <w:t>Hemmens</w:t>
      </w:r>
      <w:proofErr w:type="spellEnd"/>
      <w:r w:rsidRPr="0048388D">
        <w:rPr>
          <w:rFonts w:ascii="Arial" w:hAnsi="Arial" w:cs="Arial"/>
          <w:sz w:val="24"/>
          <w:szCs w:val="24"/>
        </w:rPr>
        <w:t>, 2014).</w:t>
      </w:r>
    </w:p>
    <w:p w14:paraId="22A6D6B7" w14:textId="5CF31D4B" w:rsidR="001D7DCA" w:rsidRDefault="001D7DCA" w:rsidP="008E5074">
      <w:pPr>
        <w:rPr>
          <w:rFonts w:ascii="Arial" w:hAnsi="Arial" w:cs="Arial"/>
          <w:sz w:val="24"/>
          <w:szCs w:val="24"/>
        </w:rPr>
      </w:pPr>
      <w:r w:rsidRPr="0048388D">
        <w:rPr>
          <w:rFonts w:ascii="Arial" w:hAnsi="Arial" w:cs="Arial"/>
          <w:sz w:val="24"/>
          <w:szCs w:val="24"/>
        </w:rPr>
        <w:t>The constructionist theory holds that crime exists in the viewpoint of the observer, and the observer is the law, since crime is a type of deviance, but not every deviance is criminal. Constructionists analyse criminal procedural developments across history to suggest that perceptions of crime change over time, noting that behaviours have indeed been deemed illegal, legalised, and recriminalized through history (Friedman, 1993).</w:t>
      </w:r>
      <w:r w:rsidRPr="0048388D">
        <w:rPr>
          <w:rFonts w:ascii="Arial" w:hAnsi="Arial" w:cs="Arial"/>
          <w:sz w:val="24"/>
          <w:szCs w:val="24"/>
        </w:rPr>
        <w:t xml:space="preserve"> </w:t>
      </w:r>
      <w:r w:rsidRPr="0048388D">
        <w:rPr>
          <w:rFonts w:ascii="Arial" w:hAnsi="Arial" w:cs="Arial"/>
          <w:sz w:val="24"/>
          <w:szCs w:val="24"/>
        </w:rPr>
        <w:t>Abortion is an example of a normal behaviour that was criminalised and later decriminalised (Reagan, 1997). Criminals and criminal activities in the framework of criminal law, in addition to all parties involved in the judicial system, are central to constructionist views (Rousseaux, 1996). Society determines deviancy. When deviancy is deemed a threat to the state, deviant behaviour is authorized by law (</w:t>
      </w:r>
      <w:proofErr w:type="spellStart"/>
      <w:r w:rsidRPr="0048388D">
        <w:rPr>
          <w:rFonts w:ascii="Arial" w:hAnsi="Arial" w:cs="Arial"/>
          <w:sz w:val="24"/>
          <w:szCs w:val="24"/>
        </w:rPr>
        <w:t>Scarpitti</w:t>
      </w:r>
      <w:proofErr w:type="spellEnd"/>
      <w:r w:rsidRPr="0048388D">
        <w:rPr>
          <w:rFonts w:ascii="Arial" w:hAnsi="Arial" w:cs="Arial"/>
          <w:sz w:val="24"/>
          <w:szCs w:val="24"/>
        </w:rPr>
        <w:t xml:space="preserve"> &amp; Nielsen, 1999). As a result, laws controlling criminal behavior reflect society's strongest reaction to deviant behaviour. As a result, constructivists contend that all crime is inherently political (Friedman, 1993).</w:t>
      </w:r>
      <w:r w:rsidRPr="0048388D">
        <w:rPr>
          <w:rFonts w:ascii="Arial" w:hAnsi="Arial" w:cs="Arial"/>
          <w:sz w:val="24"/>
          <w:szCs w:val="24"/>
        </w:rPr>
        <w:t xml:space="preserve"> Constructionist theory is and umbrella term for different criminology theories, for example there is Labelling theory, Critical </w:t>
      </w:r>
      <w:proofErr w:type="gramStart"/>
      <w:r w:rsidRPr="0048388D">
        <w:rPr>
          <w:rFonts w:ascii="Arial" w:hAnsi="Arial" w:cs="Arial"/>
          <w:sz w:val="24"/>
          <w:szCs w:val="24"/>
        </w:rPr>
        <w:t>criminology</w:t>
      </w:r>
      <w:proofErr w:type="gramEnd"/>
      <w:r w:rsidRPr="0048388D">
        <w:rPr>
          <w:rFonts w:ascii="Arial" w:hAnsi="Arial" w:cs="Arial"/>
          <w:sz w:val="24"/>
          <w:szCs w:val="24"/>
        </w:rPr>
        <w:t xml:space="preserve"> and Differential approach theory.</w:t>
      </w:r>
      <w:r w:rsidR="000A1EBD" w:rsidRPr="0048388D">
        <w:rPr>
          <w:rFonts w:ascii="Arial" w:hAnsi="Arial" w:cs="Arial"/>
          <w:sz w:val="24"/>
          <w:szCs w:val="24"/>
        </w:rPr>
        <w:t xml:space="preserve"> All of these theories give a reasoning and a better understanding of the causes of crime and to why people commit them. </w:t>
      </w:r>
    </w:p>
    <w:p w14:paraId="22A76518" w14:textId="0D413953" w:rsidR="002A317C" w:rsidRDefault="002A317C" w:rsidP="002A317C">
      <w:pPr>
        <w:rPr>
          <w:rFonts w:ascii="Arial" w:hAnsi="Arial" w:cs="Arial"/>
          <w:sz w:val="26"/>
          <w:szCs w:val="26"/>
          <w:shd w:val="clear" w:color="auto" w:fill="FFFFFF"/>
        </w:rPr>
      </w:pPr>
      <w:r>
        <w:rPr>
          <w:rFonts w:ascii="Arial" w:hAnsi="Arial" w:cs="Arial"/>
          <w:sz w:val="26"/>
          <w:szCs w:val="26"/>
          <w:shd w:val="clear" w:color="auto" w:fill="FFFFFF"/>
        </w:rPr>
        <w:t>Stinchcombe (1968)  uses delinquency as an example, pointing out that different kinds of action that concern the police may turn out to have different causes: natural variables that create administrative problems are not the same variables that have a unique set of causes. Sometimes applied researchers formulate this by saying that a natural variable “has multiple causes.” From the scientific point of view, this means that the applied researcher is trying to explain the wrong thing. Violence and crime are overlapping domains: some acts of violence are not criminal or even deviant. For example, violence in self-defence, violence by social control agents (parents and police), and violence in war are typically neither criminal nor deviant. On the other hand, the) and illicit drug use are crimes but do not involve violence. In addition, different types of crime involve different attitudes toward harm. Some offenders want to harm the victim (e.g., most assaults), some do not care (e.g., most robbery, rape, and property crimes), and some commit victimless crimes (e.g., taking illicit drugs). If we are interested in criminal violence, we should be trying to explain why people want to harm others or do not mind harming others, as well as why they are willing to break the law. Identifying the proper outcome or dependent variable is important because it has theoretical implications. A theory of aggression is needed to explain effects that are only observed for violence, while a theory of deviance is needed to explain effects that are observed for all types of criminal behavior.</w:t>
      </w:r>
    </w:p>
    <w:p w14:paraId="0ADE1360" w14:textId="77777777" w:rsidR="002A317C" w:rsidRDefault="002A317C" w:rsidP="002A317C">
      <w:hyperlink r:id="rId5" w:history="1">
        <w:r w:rsidRPr="00F504FD">
          <w:rPr>
            <w:rStyle w:val="Hyperlink"/>
          </w:rPr>
          <w:t>https://www.ijcv.org/index.php/ijcv/article/view/2791/2552</w:t>
        </w:r>
      </w:hyperlink>
    </w:p>
    <w:p w14:paraId="75B7AE52" w14:textId="77777777" w:rsidR="002A317C" w:rsidRPr="0048388D" w:rsidRDefault="002A317C" w:rsidP="008E5074">
      <w:pPr>
        <w:rPr>
          <w:rFonts w:ascii="Arial" w:hAnsi="Arial" w:cs="Arial"/>
          <w:sz w:val="24"/>
          <w:szCs w:val="24"/>
        </w:rPr>
      </w:pPr>
    </w:p>
    <w:p w14:paraId="2872E980" w14:textId="0AB32951" w:rsidR="0048388D" w:rsidRPr="0048388D" w:rsidRDefault="0048388D" w:rsidP="008E5074">
      <w:pPr>
        <w:rPr>
          <w:rFonts w:ascii="Arial" w:hAnsi="Arial" w:cs="Arial"/>
          <w:sz w:val="24"/>
          <w:szCs w:val="24"/>
        </w:rPr>
      </w:pPr>
      <w:r w:rsidRPr="0048388D">
        <w:rPr>
          <w:rFonts w:ascii="Arial" w:hAnsi="Arial" w:cs="Arial"/>
          <w:sz w:val="24"/>
          <w:szCs w:val="24"/>
        </w:rPr>
        <w:t xml:space="preserve">Rafter (1997) outlines the evolution of eugenic criminology, which led to a biological and genetic explanation of crime in her book ‘Creating Born Criminals.’ The concept that individuals develop into criminals pervaded criminology around the end of the eighteenth century. This school of thought opposed the assumption that crime is the consequence of a person's fall from grace, instead proposing that criminal inclinations are hereditary and may be identified by a study of family background and a physical examination (Fitzgerald, 2011). </w:t>
      </w:r>
    </w:p>
    <w:p w14:paraId="709BD5DA" w14:textId="66033D6D" w:rsidR="008E5074" w:rsidRPr="0048388D" w:rsidRDefault="0017117F" w:rsidP="008E5074">
      <w:pPr>
        <w:rPr>
          <w:rFonts w:ascii="Arial" w:hAnsi="Arial" w:cs="Arial"/>
          <w:sz w:val="24"/>
          <w:szCs w:val="24"/>
          <w:shd w:val="clear" w:color="auto" w:fill="FCFCFC"/>
        </w:rPr>
      </w:pPr>
      <w:r w:rsidRPr="0048388D">
        <w:rPr>
          <w:rFonts w:ascii="Arial" w:hAnsi="Arial" w:cs="Arial"/>
          <w:sz w:val="24"/>
          <w:szCs w:val="24"/>
        </w:rPr>
        <w:t xml:space="preserve">An example of Constructionist theory when it comes to crime is the labelling theory. </w:t>
      </w:r>
      <w:r w:rsidRPr="0048388D">
        <w:rPr>
          <w:rFonts w:ascii="Arial" w:hAnsi="Arial" w:cs="Arial"/>
          <w:sz w:val="24"/>
          <w:szCs w:val="24"/>
        </w:rPr>
        <w:t xml:space="preserve">The theory assumes that although deviant behavior can initially stem from various causes and conditions, once individuals have been </w:t>
      </w:r>
      <w:proofErr w:type="spellStart"/>
      <w:r w:rsidRPr="0048388D">
        <w:rPr>
          <w:rFonts w:ascii="Arial" w:hAnsi="Arial" w:cs="Arial"/>
          <w:sz w:val="24"/>
          <w:szCs w:val="24"/>
        </w:rPr>
        <w:t>labeled</w:t>
      </w:r>
      <w:proofErr w:type="spellEnd"/>
      <w:r w:rsidRPr="0048388D">
        <w:rPr>
          <w:rFonts w:ascii="Arial" w:hAnsi="Arial" w:cs="Arial"/>
          <w:sz w:val="24"/>
          <w:szCs w:val="24"/>
        </w:rPr>
        <w:t xml:space="preserve"> or defined as deviants, they often face new problems that stem from the reactions of self and others to negative stereotypes (stigma) that are attached to the deviant label (Becker, 1963; Lemert, 1967).</w:t>
      </w:r>
      <w:r w:rsidR="00B27557" w:rsidRPr="0048388D">
        <w:rPr>
          <w:rFonts w:ascii="Arial" w:hAnsi="Arial" w:cs="Arial"/>
          <w:sz w:val="24"/>
          <w:szCs w:val="24"/>
        </w:rPr>
        <w:t xml:space="preserve"> </w:t>
      </w:r>
      <w:r w:rsidR="00B27557" w:rsidRPr="0048388D">
        <w:rPr>
          <w:rFonts w:ascii="Arial" w:hAnsi="Arial" w:cs="Arial"/>
          <w:sz w:val="24"/>
          <w:szCs w:val="24"/>
        </w:rPr>
        <w:t xml:space="preserve">The idea suggests that, while deviant conduct can arise from a variety of reasons and situations, once individuals are classified or characterised as deviants, they frequently confront new challenges </w:t>
      </w:r>
      <w:proofErr w:type="gramStart"/>
      <w:r w:rsidR="00B27557" w:rsidRPr="0048388D">
        <w:rPr>
          <w:rFonts w:ascii="Arial" w:hAnsi="Arial" w:cs="Arial"/>
          <w:sz w:val="24"/>
          <w:szCs w:val="24"/>
        </w:rPr>
        <w:t>as a result of</w:t>
      </w:r>
      <w:proofErr w:type="gramEnd"/>
      <w:r w:rsidR="00B27557" w:rsidRPr="0048388D">
        <w:rPr>
          <w:rFonts w:ascii="Arial" w:hAnsi="Arial" w:cs="Arial"/>
          <w:sz w:val="24"/>
          <w:szCs w:val="24"/>
        </w:rPr>
        <w:t xml:space="preserve"> their reactions to negative preconceptions (stigma) associated with the deviant label (Becker, 1963; Lemert, 1967).</w:t>
      </w:r>
      <w:r w:rsidR="00B27557" w:rsidRPr="0048388D">
        <w:rPr>
          <w:rFonts w:ascii="Arial" w:hAnsi="Arial" w:cs="Arial"/>
          <w:sz w:val="24"/>
          <w:szCs w:val="24"/>
        </w:rPr>
        <w:t xml:space="preserve"> This theory basically means that people that look a certain way or are brought up in a certain environment they are stereotyped in a certain way and are labelled as a criminal. </w:t>
      </w:r>
      <w:r w:rsidR="008B0524" w:rsidRPr="0048388D">
        <w:rPr>
          <w:rFonts w:ascii="Arial" w:hAnsi="Arial" w:cs="Arial"/>
          <w:sz w:val="24"/>
          <w:szCs w:val="24"/>
        </w:rPr>
        <w:t xml:space="preserve">Individuals that have been labelled as criminals or deviants tend to be set aside as different from others and tend to be stereotyped as undesirable and </w:t>
      </w:r>
      <w:proofErr w:type="gramStart"/>
      <w:r w:rsidR="008B0524" w:rsidRPr="0048388D">
        <w:rPr>
          <w:rFonts w:ascii="Arial" w:hAnsi="Arial" w:cs="Arial"/>
          <w:sz w:val="24"/>
          <w:szCs w:val="24"/>
        </w:rPr>
        <w:t xml:space="preserve">un </w:t>
      </w:r>
      <w:r w:rsidR="00A94F30" w:rsidRPr="0048388D">
        <w:rPr>
          <w:rFonts w:ascii="Arial" w:hAnsi="Arial" w:cs="Arial"/>
          <w:sz w:val="24"/>
          <w:szCs w:val="24"/>
        </w:rPr>
        <w:t>trustworthy</w:t>
      </w:r>
      <w:proofErr w:type="gramEnd"/>
      <w:r w:rsidR="008B0524" w:rsidRPr="0048388D">
        <w:rPr>
          <w:rFonts w:ascii="Arial" w:hAnsi="Arial" w:cs="Arial"/>
          <w:sz w:val="24"/>
          <w:szCs w:val="24"/>
        </w:rPr>
        <w:t xml:space="preserve"> just because of how they look or what their environment is</w:t>
      </w:r>
      <w:r w:rsidR="00B27557" w:rsidRPr="0048388D">
        <w:rPr>
          <w:rFonts w:ascii="Arial" w:hAnsi="Arial" w:cs="Arial"/>
          <w:sz w:val="24"/>
          <w:szCs w:val="24"/>
        </w:rPr>
        <w:t xml:space="preserve">(Goffman, 1963; Link &amp; Phelan, 2001; Simmons, 1965-6). </w:t>
      </w:r>
      <w:r w:rsidR="00381F6E" w:rsidRPr="0048388D">
        <w:rPr>
          <w:rFonts w:ascii="Arial" w:hAnsi="Arial" w:cs="Arial"/>
          <w:sz w:val="24"/>
          <w:szCs w:val="24"/>
        </w:rPr>
        <w:t>This is therefore frequently linked, either directly or indirectly, to impoverished, often black and Hispanic areas and male offenders of colour (</w:t>
      </w:r>
      <w:proofErr w:type="spellStart"/>
      <w:r w:rsidR="00381F6E" w:rsidRPr="0048388D">
        <w:rPr>
          <w:rFonts w:ascii="Arial" w:hAnsi="Arial" w:cs="Arial"/>
          <w:sz w:val="24"/>
          <w:szCs w:val="24"/>
        </w:rPr>
        <w:t>Chiricos</w:t>
      </w:r>
      <w:proofErr w:type="spellEnd"/>
      <w:r w:rsidR="00381F6E" w:rsidRPr="0048388D">
        <w:rPr>
          <w:rFonts w:ascii="Arial" w:hAnsi="Arial" w:cs="Arial"/>
          <w:sz w:val="24"/>
          <w:szCs w:val="24"/>
        </w:rPr>
        <w:t xml:space="preserve"> et al., 1997; Gilliam and Iyengar, 2000)</w:t>
      </w:r>
      <w:r w:rsidR="00381F6E" w:rsidRPr="0048388D">
        <w:rPr>
          <w:rFonts w:ascii="Arial" w:hAnsi="Arial" w:cs="Arial"/>
          <w:sz w:val="24"/>
          <w:szCs w:val="24"/>
        </w:rPr>
        <w:t>.</w:t>
      </w:r>
      <w:r w:rsidR="008B0524" w:rsidRPr="0048388D">
        <w:rPr>
          <w:rFonts w:ascii="Arial" w:hAnsi="Arial" w:cs="Arial"/>
          <w:sz w:val="24"/>
          <w:szCs w:val="24"/>
        </w:rPr>
        <w:t xml:space="preserve">Becker (1963) suggested that the deviant status could lead to elevated status for the someone, that is, the </w:t>
      </w:r>
      <w:r w:rsidR="008B0524" w:rsidRPr="0048388D">
        <w:rPr>
          <w:rFonts w:ascii="Arial" w:hAnsi="Arial" w:cs="Arial"/>
          <w:sz w:val="24"/>
          <w:szCs w:val="24"/>
        </w:rPr>
        <w:t>unfavourable</w:t>
      </w:r>
      <w:r w:rsidR="008B0524" w:rsidRPr="0048388D">
        <w:rPr>
          <w:rFonts w:ascii="Arial" w:hAnsi="Arial" w:cs="Arial"/>
          <w:sz w:val="24"/>
          <w:szCs w:val="24"/>
        </w:rPr>
        <w:t xml:space="preserve"> imagery associated with the deviant label can trump other characteristics a person may have. "Being classified as a criminal." People assume that the branded individual has no capacity or unwilling to "function as a moral creature and so could transgress other essential laws," according to Becker (1963). Furthermore, once an individual has been labelled as deviant, any prospective (or prior) misconduct on their behalf is interpreted as evidence of their fundamental deviant or criminal character. The stigma associated with criminal labelling fosters widespread suspicion and disdain for persons who have a criminal label (Travis, 2002).</w:t>
      </w:r>
      <w:r w:rsidR="00A94F30" w:rsidRPr="0048388D">
        <w:rPr>
          <w:rFonts w:ascii="Arial" w:hAnsi="Arial" w:cs="Arial"/>
          <w:sz w:val="24"/>
          <w:szCs w:val="24"/>
        </w:rPr>
        <w:t xml:space="preserve"> </w:t>
      </w:r>
      <w:proofErr w:type="spellStart"/>
      <w:r w:rsidR="00A94F30" w:rsidRPr="0048388D">
        <w:rPr>
          <w:rFonts w:ascii="Arial" w:hAnsi="Arial" w:cs="Arial"/>
          <w:sz w:val="24"/>
          <w:szCs w:val="24"/>
        </w:rPr>
        <w:t>Labeling</w:t>
      </w:r>
      <w:proofErr w:type="spellEnd"/>
      <w:r w:rsidR="00A94F30" w:rsidRPr="0048388D">
        <w:rPr>
          <w:rFonts w:ascii="Arial" w:hAnsi="Arial" w:cs="Arial"/>
          <w:sz w:val="24"/>
          <w:szCs w:val="24"/>
        </w:rPr>
        <w:t xml:space="preserve"> theory contends that disadvantaged groups are more prone than some other communities to experience labelling. Lower-class policing increases the possibility that lower-class persons and minorities may face police involvement (Smith, </w:t>
      </w:r>
      <w:r w:rsidR="004E32DA" w:rsidRPr="0048388D">
        <w:rPr>
          <w:rFonts w:ascii="Arial" w:hAnsi="Arial" w:cs="Arial"/>
          <w:sz w:val="24"/>
          <w:szCs w:val="24"/>
        </w:rPr>
        <w:t>et al</w:t>
      </w:r>
      <w:r w:rsidR="00A94F30" w:rsidRPr="0048388D">
        <w:rPr>
          <w:rFonts w:ascii="Arial" w:hAnsi="Arial" w:cs="Arial"/>
          <w:sz w:val="24"/>
          <w:szCs w:val="24"/>
        </w:rPr>
        <w:t>, 1984). Moreover, preconceptions of minorities and disadvantaged groups frequently include images of crime and risk (</w:t>
      </w:r>
      <w:proofErr w:type="spellStart"/>
      <w:r w:rsidR="00A94F30" w:rsidRPr="0048388D">
        <w:rPr>
          <w:rFonts w:ascii="Arial" w:hAnsi="Arial" w:cs="Arial"/>
          <w:sz w:val="24"/>
          <w:szCs w:val="24"/>
        </w:rPr>
        <w:t>Quillian</w:t>
      </w:r>
      <w:proofErr w:type="spellEnd"/>
      <w:r w:rsidR="00A94F30" w:rsidRPr="0048388D">
        <w:rPr>
          <w:rFonts w:ascii="Arial" w:hAnsi="Arial" w:cs="Arial"/>
          <w:sz w:val="24"/>
          <w:szCs w:val="24"/>
        </w:rPr>
        <w:t xml:space="preserve"> &amp; Pager, 2001), and as a result, individuals of such groups may be more easily policed, sanctioned, and stigmatised, even if they have not committed any criminal offences (Warren, </w:t>
      </w:r>
      <w:r w:rsidR="004E32DA" w:rsidRPr="0048388D">
        <w:rPr>
          <w:rFonts w:ascii="Arial" w:hAnsi="Arial" w:cs="Arial"/>
          <w:sz w:val="24"/>
          <w:szCs w:val="24"/>
        </w:rPr>
        <w:t>et al</w:t>
      </w:r>
      <w:r w:rsidR="00A94F30" w:rsidRPr="0048388D">
        <w:rPr>
          <w:rFonts w:ascii="Arial" w:hAnsi="Arial" w:cs="Arial"/>
          <w:sz w:val="24"/>
          <w:szCs w:val="24"/>
        </w:rPr>
        <w:t>, 2006).</w:t>
      </w:r>
      <w:r w:rsidR="00A94F30" w:rsidRPr="0048388D">
        <w:rPr>
          <w:rFonts w:ascii="Arial" w:hAnsi="Arial" w:cs="Arial"/>
          <w:sz w:val="24"/>
          <w:szCs w:val="24"/>
        </w:rPr>
        <w:t xml:space="preserve"> It is shown that </w:t>
      </w:r>
      <w:r w:rsidR="004E32DA" w:rsidRPr="0048388D">
        <w:rPr>
          <w:rFonts w:ascii="Arial" w:hAnsi="Arial" w:cs="Arial"/>
          <w:sz w:val="24"/>
          <w:szCs w:val="24"/>
        </w:rPr>
        <w:t xml:space="preserve">burglary is committed more in </w:t>
      </w:r>
      <w:r w:rsidR="0048388D" w:rsidRPr="0048388D">
        <w:rPr>
          <w:rFonts w:ascii="Arial" w:hAnsi="Arial" w:cs="Arial"/>
          <w:sz w:val="24"/>
          <w:szCs w:val="24"/>
        </w:rPr>
        <w:t>a</w:t>
      </w:r>
      <w:r w:rsidR="004E32DA" w:rsidRPr="0048388D">
        <w:rPr>
          <w:rFonts w:ascii="Arial" w:hAnsi="Arial" w:cs="Arial"/>
          <w:sz w:val="24"/>
          <w:szCs w:val="24"/>
        </w:rPr>
        <w:t xml:space="preserve"> lower </w:t>
      </w:r>
      <w:proofErr w:type="spellStart"/>
      <w:r w:rsidR="004E32DA" w:rsidRPr="0048388D">
        <w:rPr>
          <w:rFonts w:ascii="Arial" w:hAnsi="Arial" w:cs="Arial"/>
          <w:sz w:val="24"/>
          <w:szCs w:val="24"/>
        </w:rPr>
        <w:t>soci</w:t>
      </w:r>
      <w:proofErr w:type="spellEnd"/>
      <w:r w:rsidR="004E32DA" w:rsidRPr="0048388D">
        <w:rPr>
          <w:rFonts w:ascii="Arial" w:hAnsi="Arial" w:cs="Arial"/>
          <w:sz w:val="24"/>
          <w:szCs w:val="24"/>
        </w:rPr>
        <w:t xml:space="preserve">-economic groups. In England and Wales Burglary rates fell by 67% between 1993 and 2008/09. According to Hunter and </w:t>
      </w:r>
      <w:proofErr w:type="spellStart"/>
      <w:r w:rsidR="004E32DA" w:rsidRPr="0048388D">
        <w:rPr>
          <w:rFonts w:ascii="Arial" w:hAnsi="Arial" w:cs="Arial"/>
          <w:sz w:val="24"/>
          <w:szCs w:val="24"/>
        </w:rPr>
        <w:t>Tseloni</w:t>
      </w:r>
      <w:proofErr w:type="spellEnd"/>
      <w:r w:rsidR="004E32DA" w:rsidRPr="0048388D">
        <w:rPr>
          <w:rFonts w:ascii="Arial" w:hAnsi="Arial" w:cs="Arial"/>
          <w:sz w:val="24"/>
          <w:szCs w:val="24"/>
        </w:rPr>
        <w:t xml:space="preserve"> (2016) shows that burglary is 10% higher in crime risk areas in comparison to 10% in safer parts of England and Wales </w:t>
      </w:r>
      <w:r w:rsidR="004E32DA" w:rsidRPr="0048388D">
        <w:rPr>
          <w:rFonts w:ascii="Arial" w:hAnsi="Arial" w:cs="Arial"/>
          <w:sz w:val="24"/>
          <w:szCs w:val="24"/>
          <w:shd w:val="clear" w:color="auto" w:fill="FCFCFC"/>
        </w:rPr>
        <w:t xml:space="preserve">(Kershaw and </w:t>
      </w:r>
      <w:proofErr w:type="spellStart"/>
      <w:r w:rsidR="004E32DA" w:rsidRPr="0048388D">
        <w:rPr>
          <w:rFonts w:ascii="Arial" w:hAnsi="Arial" w:cs="Arial"/>
          <w:sz w:val="24"/>
          <w:szCs w:val="24"/>
          <w:shd w:val="clear" w:color="auto" w:fill="FCFCFC"/>
        </w:rPr>
        <w:t>Tseloni</w:t>
      </w:r>
      <w:proofErr w:type="spellEnd"/>
      <w:r w:rsidR="004E32DA" w:rsidRPr="0048388D">
        <w:rPr>
          <w:rFonts w:ascii="Arial" w:hAnsi="Arial" w:cs="Arial"/>
          <w:sz w:val="24"/>
          <w:szCs w:val="24"/>
          <w:shd w:val="clear" w:color="auto" w:fill="FCFCFC"/>
        </w:rPr>
        <w:t> </w:t>
      </w:r>
      <w:hyperlink r:id="rId6" w:anchor="ref-CR20" w:tooltip="Kershaw, C., &amp; Tseloni, A. (2005). Predicting crime rates, fear and disorder based on area information: evidence from the 2000 British Crime Survey. International Review of Victimology, &#10;                           12, 293–311." w:history="1">
        <w:r w:rsidR="004E32DA" w:rsidRPr="0048388D">
          <w:rPr>
            <w:rStyle w:val="Hyperlink"/>
            <w:rFonts w:ascii="Arial" w:hAnsi="Arial" w:cs="Arial"/>
            <w:color w:val="auto"/>
            <w:sz w:val="24"/>
            <w:szCs w:val="24"/>
            <w:u w:val="none"/>
            <w:shd w:val="clear" w:color="auto" w:fill="FCFCFC"/>
          </w:rPr>
          <w:t>2005</w:t>
        </w:r>
      </w:hyperlink>
      <w:r w:rsidR="004E32DA" w:rsidRPr="0048388D">
        <w:rPr>
          <w:rFonts w:ascii="Arial" w:hAnsi="Arial" w:cs="Arial"/>
          <w:sz w:val="24"/>
          <w:szCs w:val="24"/>
          <w:shd w:val="clear" w:color="auto" w:fill="FCFCFC"/>
        </w:rPr>
        <w:t>).</w:t>
      </w:r>
      <w:r w:rsidR="004E32DA" w:rsidRPr="0048388D">
        <w:rPr>
          <w:rFonts w:ascii="Arial" w:hAnsi="Arial" w:cs="Arial"/>
          <w:sz w:val="24"/>
          <w:szCs w:val="24"/>
          <w:shd w:val="clear" w:color="auto" w:fill="FCFCFC"/>
        </w:rPr>
        <w:t xml:space="preserve"> Labelling theory is still prevalent in today it is used as people still get labelled and stereotyped because of the way they look or the area they live in.</w:t>
      </w:r>
    </w:p>
    <w:p w14:paraId="7ADECD6D" w14:textId="0F86E35D" w:rsidR="002A317C" w:rsidRPr="002A317C" w:rsidRDefault="002A47A2" w:rsidP="008E5074">
      <w:pPr>
        <w:rPr>
          <w:rFonts w:ascii="Arial" w:hAnsi="Arial" w:cs="Arial"/>
          <w:sz w:val="24"/>
          <w:szCs w:val="24"/>
        </w:rPr>
      </w:pPr>
      <w:r w:rsidRPr="009B4D41">
        <w:rPr>
          <w:rFonts w:ascii="Arial" w:hAnsi="Arial" w:cs="Arial"/>
          <w:sz w:val="24"/>
          <w:szCs w:val="24"/>
        </w:rPr>
        <w:t xml:space="preserve">Another example of Constructionist theory when it comes to crime is the differential association theory. </w:t>
      </w:r>
      <w:r w:rsidR="009B4D41" w:rsidRPr="009B4D41">
        <w:rPr>
          <w:rFonts w:ascii="Arial" w:hAnsi="Arial" w:cs="Arial"/>
          <w:sz w:val="24"/>
          <w:szCs w:val="24"/>
        </w:rPr>
        <w:t>According to differential association theory, learners understand values, attitudes, methods, and motivations for illegal activity via their encounters with others. It is a deviant learning theory introduced by sociologist Edwin Sutherland in 1939 and refined in 1947. Since then, the idea has remained extremely influential in the field of criminology</w:t>
      </w:r>
      <w:r w:rsidR="009B4D41" w:rsidRPr="009B4D41">
        <w:rPr>
          <w:rFonts w:ascii="Arial" w:hAnsi="Arial" w:cs="Arial"/>
          <w:sz w:val="24"/>
          <w:szCs w:val="24"/>
        </w:rPr>
        <w:t xml:space="preserve"> (Cressey,1954)</w:t>
      </w:r>
      <w:r w:rsidR="009B4D41" w:rsidRPr="009B4D41">
        <w:rPr>
          <w:rFonts w:ascii="Arial" w:hAnsi="Arial" w:cs="Arial"/>
          <w:sz w:val="24"/>
          <w:szCs w:val="24"/>
        </w:rPr>
        <w:t>.</w:t>
      </w:r>
      <w:r w:rsidR="009B4D41">
        <w:rPr>
          <w:rFonts w:ascii="Arial" w:hAnsi="Arial" w:cs="Arial"/>
          <w:sz w:val="24"/>
          <w:szCs w:val="24"/>
        </w:rPr>
        <w:t xml:space="preserve"> </w:t>
      </w:r>
      <w:r w:rsidR="00381F6E">
        <w:rPr>
          <w:rFonts w:ascii="Arial" w:hAnsi="Arial" w:cs="Arial"/>
          <w:sz w:val="24"/>
          <w:szCs w:val="24"/>
        </w:rPr>
        <w:t xml:space="preserve">However, this theory does not take into account the reasons as to why a person commits a crime, but it can explain why it happens. Sutherland </w:t>
      </w:r>
      <w:r w:rsidR="0048388D">
        <w:rPr>
          <w:rFonts w:ascii="Arial" w:hAnsi="Arial" w:cs="Arial"/>
          <w:sz w:val="24"/>
          <w:szCs w:val="24"/>
        </w:rPr>
        <w:t xml:space="preserve">came up with nine different propositions for the differential association theory. A few of these are that most all criminal behaviour is learned, this can be true as it is believed that people who grow up around </w:t>
      </w:r>
      <w:r w:rsidR="005D77B6">
        <w:rPr>
          <w:rFonts w:ascii="Arial" w:hAnsi="Arial" w:cs="Arial"/>
          <w:sz w:val="24"/>
          <w:szCs w:val="24"/>
        </w:rPr>
        <w:t xml:space="preserve">crime, it is also believed that many criminal </w:t>
      </w:r>
      <w:r w:rsidR="002A317C">
        <w:rPr>
          <w:rFonts w:ascii="Arial" w:hAnsi="Arial" w:cs="Arial"/>
          <w:sz w:val="24"/>
          <w:szCs w:val="24"/>
        </w:rPr>
        <w:t>behaviours</w:t>
      </w:r>
      <w:r w:rsidR="005D77B6">
        <w:rPr>
          <w:rFonts w:ascii="Arial" w:hAnsi="Arial" w:cs="Arial"/>
          <w:sz w:val="24"/>
          <w:szCs w:val="24"/>
        </w:rPr>
        <w:t xml:space="preserve"> </w:t>
      </w:r>
      <w:proofErr w:type="gramStart"/>
      <w:r w:rsidR="005D77B6">
        <w:rPr>
          <w:rFonts w:ascii="Arial" w:hAnsi="Arial" w:cs="Arial"/>
          <w:sz w:val="24"/>
          <w:szCs w:val="24"/>
        </w:rPr>
        <w:t>stems</w:t>
      </w:r>
      <w:proofErr w:type="gramEnd"/>
      <w:r w:rsidR="005D77B6">
        <w:rPr>
          <w:rFonts w:ascii="Arial" w:hAnsi="Arial" w:cs="Arial"/>
          <w:sz w:val="24"/>
          <w:szCs w:val="24"/>
        </w:rPr>
        <w:t xml:space="preserve"> from the interactions they have and communication they have. </w:t>
      </w:r>
      <w:r w:rsidR="005D77B6" w:rsidRPr="005D77B6">
        <w:rPr>
          <w:rFonts w:ascii="Arial" w:hAnsi="Arial" w:cs="Arial"/>
          <w:sz w:val="24"/>
          <w:szCs w:val="24"/>
        </w:rPr>
        <w:t xml:space="preserve">Differential association employs a social psychology perspective to explain how a person becomes a criminal (Cressy,1960). According to the hypothesis, an individual will participate in illegal action when the definitions that favour breaking the law outnumber those that do </w:t>
      </w:r>
      <w:proofErr w:type="spellStart"/>
      <w:r w:rsidR="005D77B6" w:rsidRPr="005D77B6">
        <w:rPr>
          <w:rFonts w:ascii="Arial" w:hAnsi="Arial" w:cs="Arial"/>
          <w:sz w:val="24"/>
          <w:szCs w:val="24"/>
        </w:rPr>
        <w:t>not.</w:t>
      </w:r>
      <w:r w:rsidR="002A317C" w:rsidRPr="002A317C">
        <w:rPr>
          <w:rFonts w:ascii="Arial" w:hAnsi="Arial" w:cs="Arial"/>
          <w:color w:val="282828"/>
          <w:sz w:val="24"/>
          <w:szCs w:val="24"/>
          <w:shd w:val="clear" w:color="auto" w:fill="FFFFFF"/>
        </w:rPr>
        <w:t>Differential</w:t>
      </w:r>
      <w:proofErr w:type="spellEnd"/>
      <w:r w:rsidR="002A317C" w:rsidRPr="002A317C">
        <w:rPr>
          <w:rFonts w:ascii="Arial" w:hAnsi="Arial" w:cs="Arial"/>
          <w:color w:val="282828"/>
          <w:sz w:val="24"/>
          <w:szCs w:val="24"/>
          <w:shd w:val="clear" w:color="auto" w:fill="FFFFFF"/>
        </w:rPr>
        <w:t xml:space="preserve"> association theory revolutionised the study of criminology. Nonetheless, the hypothesis has been critiqued for failing to account for individual variances. Personality qualities and one's surroundings may interact to produce results that the theory of differential associations cannot explain. People, for example, might alter their surroundings to better fit their ideas (Matsueda,1998). They may also be influenced by those who do not believe in the worth of illegal behaviour and opt to resist by turning into a criminal regardless. Humans are self-sufficient, self-motivated beings. As a result, individuals may not learn towards becoming criminals in the ways predicted by differential association.</w:t>
      </w:r>
    </w:p>
    <w:p w14:paraId="0C2F83F3" w14:textId="2E1F1E6B" w:rsidR="008E5074" w:rsidRDefault="008E5074" w:rsidP="008E5074">
      <w:pPr>
        <w:rPr>
          <w:highlight w:val="yellow"/>
        </w:rPr>
      </w:pPr>
      <w:hyperlink r:id="rId7">
        <w:r w:rsidRPr="1E2492EA">
          <w:rPr>
            <w:rStyle w:val="Hyperlink"/>
            <w:highlight w:val="yellow"/>
          </w:rPr>
          <w:t>https://www.thoughtco.com/differential-association-theory-4689191</w:t>
        </w:r>
      </w:hyperlink>
      <w:r w:rsidRPr="1E2492EA">
        <w:rPr>
          <w:highlight w:val="yellow"/>
        </w:rPr>
        <w:t xml:space="preserve"> </w:t>
      </w:r>
    </w:p>
    <w:p w14:paraId="197202C7" w14:textId="365441BA" w:rsidR="00CF5071" w:rsidRDefault="00CF5071" w:rsidP="00CF5071"/>
    <w:p w14:paraId="55152595" w14:textId="274FB9CB" w:rsidR="00CF5071" w:rsidRDefault="00CF5071" w:rsidP="00CF5071"/>
    <w:p w14:paraId="38977378" w14:textId="25358A74" w:rsidR="00CF5071" w:rsidRDefault="00CF5071" w:rsidP="00CF5071"/>
    <w:p w14:paraId="120D3F0A" w14:textId="21380D45" w:rsidR="00CF5071" w:rsidRDefault="00CF5071" w:rsidP="00CF5071"/>
    <w:p w14:paraId="7E61D11A" w14:textId="099FC5C3" w:rsidR="00CF5071" w:rsidRDefault="00CF5071" w:rsidP="00CF5071"/>
    <w:p w14:paraId="5172924B" w14:textId="336339E3" w:rsidR="00CF5071" w:rsidRDefault="00CF5071" w:rsidP="00CF5071"/>
    <w:p w14:paraId="00B08FDD" w14:textId="108BAEF6" w:rsidR="00CF5071" w:rsidRDefault="00CF5071" w:rsidP="00CF5071"/>
    <w:p w14:paraId="59C3C425" w14:textId="4648AE4C" w:rsidR="00CF5071" w:rsidRDefault="00CF5071" w:rsidP="00CF5071"/>
    <w:p w14:paraId="6D537C83" w14:textId="36DCA4CD" w:rsidR="00CF5071" w:rsidRDefault="00CF5071" w:rsidP="00CF5071"/>
    <w:p w14:paraId="49AB2603" w14:textId="45DE1D40" w:rsidR="00CF5071" w:rsidRDefault="00CF5071" w:rsidP="00CF5071"/>
    <w:p w14:paraId="75150A1F" w14:textId="43323A5A" w:rsidR="00CF5071" w:rsidRDefault="00CF5071" w:rsidP="00CF5071"/>
    <w:p w14:paraId="78F56888" w14:textId="79B82170" w:rsidR="00CF5071" w:rsidRDefault="00CF5071" w:rsidP="00CF5071"/>
    <w:p w14:paraId="27E7C598" w14:textId="01940E19" w:rsidR="00CF5071" w:rsidRDefault="00CF5071" w:rsidP="00CF5071"/>
    <w:p w14:paraId="27ED7933" w14:textId="5C4F6222" w:rsidR="00CF5071" w:rsidRDefault="00CF5071" w:rsidP="00CF5071"/>
    <w:p w14:paraId="6C749810" w14:textId="4FFAA0F0" w:rsidR="00CF5071" w:rsidRDefault="00CF5071" w:rsidP="00CF5071"/>
    <w:p w14:paraId="5CFCEC3B" w14:textId="77777777" w:rsidR="00CF5071" w:rsidRDefault="00CF5071" w:rsidP="00CF5071"/>
    <w:p w14:paraId="5EDC795F" w14:textId="77777777" w:rsidR="00CF5071" w:rsidRDefault="00CF5071" w:rsidP="00CF5071">
      <w:r>
        <w:t>Reference</w:t>
      </w:r>
    </w:p>
    <w:p w14:paraId="4B2924FA" w14:textId="77777777" w:rsidR="00CF5071" w:rsidRDefault="00CF5071" w:rsidP="00CF5071">
      <w:r w:rsidRPr="005C2E4D">
        <w:t>Durkheim, E., 2014. The rules of sociological method. New York: Free Press.</w:t>
      </w:r>
    </w:p>
    <w:p w14:paraId="047C6124" w14:textId="77777777" w:rsidR="00CF5071" w:rsidRDefault="00CF5071" w:rsidP="00CF5071">
      <w:proofErr w:type="spellStart"/>
      <w:r>
        <w:t>R</w:t>
      </w:r>
      <w:r w:rsidRPr="005C2E4D">
        <w:t>ockmore</w:t>
      </w:r>
      <w:proofErr w:type="spellEnd"/>
      <w:r w:rsidRPr="005C2E4D">
        <w:t xml:space="preserve">, </w:t>
      </w:r>
      <w:r>
        <w:t>T</w:t>
      </w:r>
      <w:r w:rsidRPr="005C2E4D">
        <w:t xml:space="preserve"> (1987). theory and practice again: </w:t>
      </w:r>
      <w:proofErr w:type="spellStart"/>
      <w:r w:rsidRPr="005C2E4D">
        <w:t>habermas</w:t>
      </w:r>
      <w:proofErr w:type="spellEnd"/>
      <w:r w:rsidRPr="005C2E4D">
        <w:t xml:space="preserve"> on historical materialism. Philosophy &amp; Social Criticism, 13(3), 211–225. </w:t>
      </w:r>
      <w:hyperlink r:id="rId8" w:history="1">
        <w:r w:rsidRPr="00F504FD">
          <w:rPr>
            <w:rStyle w:val="Hyperlink"/>
          </w:rPr>
          <w:t>https://doi.org/10.1177/019145378701300301</w:t>
        </w:r>
      </w:hyperlink>
    </w:p>
    <w:p w14:paraId="32A75F25" w14:textId="77777777" w:rsidR="00CF5071" w:rsidRDefault="00CF5071" w:rsidP="00CF5071">
      <w:r>
        <w:t xml:space="preserve">Johnston, R. , et al. (2016). Macro-Scale Stability with Micro-Scale Diversity: Modelling Changing Ethnic Minority Residential Segregation – London 2001-2011. Transactions of the Institute of British Geographers, 41(4), 389-402. </w:t>
      </w:r>
      <w:hyperlink r:id="rId9" w:history="1">
        <w:r w:rsidRPr="00F504FD">
          <w:rPr>
            <w:rStyle w:val="Hyperlink"/>
          </w:rPr>
          <w:t>https://doi.org/10.1111/tran.12142</w:t>
        </w:r>
      </w:hyperlink>
      <w:r>
        <w:t xml:space="preserve"> </w:t>
      </w:r>
    </w:p>
    <w:p w14:paraId="59F9E9B4" w14:textId="77777777" w:rsidR="00CF5071" w:rsidRDefault="00CF5071" w:rsidP="00CF5071">
      <w:r>
        <w:t xml:space="preserve">Akers, R.L (1994) criminological theories: introduction and evaluation. Los </w:t>
      </w:r>
      <w:proofErr w:type="spellStart"/>
      <w:r>
        <w:t>angeles</w:t>
      </w:r>
      <w:proofErr w:type="spellEnd"/>
      <w:r>
        <w:t>, CA: Roxbury</w:t>
      </w:r>
    </w:p>
    <w:p w14:paraId="6387815E" w14:textId="77777777" w:rsidR="00CF5071" w:rsidRDefault="00CF5071" w:rsidP="00CF5071">
      <w:r>
        <w:t xml:space="preserve">Okada, D and Maguire, M (2014) Critical Issues in Crime and Justice: Thought, Policy and Practice. SAGE Publications. </w:t>
      </w:r>
    </w:p>
    <w:p w14:paraId="607AF153" w14:textId="77777777" w:rsidR="00CF5071" w:rsidRDefault="00CF5071" w:rsidP="00CF5071">
      <w:proofErr w:type="spellStart"/>
      <w:r>
        <w:t>Haugaard</w:t>
      </w:r>
      <w:proofErr w:type="spellEnd"/>
      <w:r>
        <w:t xml:space="preserve">, M (2022) ‘Power and crime: a theoretical sketch.’ </w:t>
      </w:r>
      <w:r w:rsidRPr="00E34DBC">
        <w:rPr>
          <w:i/>
          <w:iCs/>
        </w:rPr>
        <w:t>Journal of political Power</w:t>
      </w:r>
      <w:r>
        <w:t xml:space="preserve">. 15(1), pp. 14-28. DOI: </w:t>
      </w:r>
      <w:hyperlink r:id="rId10" w:history="1">
        <w:r w:rsidRPr="00F504FD">
          <w:rPr>
            <w:rStyle w:val="Hyperlink"/>
          </w:rPr>
          <w:t>https://doi.org/10.1080/2158379X.2022.2031112</w:t>
        </w:r>
      </w:hyperlink>
    </w:p>
    <w:p w14:paraId="6788F8DB" w14:textId="77777777" w:rsidR="00CF5071" w:rsidRDefault="00CF5071" w:rsidP="00CF5071">
      <w:proofErr w:type="spellStart"/>
      <w:r>
        <w:t>Brezina</w:t>
      </w:r>
      <w:proofErr w:type="spellEnd"/>
      <w:r>
        <w:t xml:space="preserve">, T., et al (2009). ‘Might not be a tomorrow’: A </w:t>
      </w:r>
      <w:proofErr w:type="spellStart"/>
      <w:r>
        <w:t>multimethods</w:t>
      </w:r>
      <w:proofErr w:type="spellEnd"/>
      <w:r>
        <w:t xml:space="preserve"> approach to anticipated early death and youth crime. Criminology, 47(4), 1091-1129.</w:t>
      </w:r>
    </w:p>
    <w:p w14:paraId="0CBFE57E" w14:textId="77777777" w:rsidR="00CF5071" w:rsidRDefault="00CF5071" w:rsidP="00CF5071">
      <w:r>
        <w:t xml:space="preserve">Jacobs, B. A., &amp; Wright, R. (1999). Stick-up, street culture, and offender motivation. Criminology, 37(1), 149-173. </w:t>
      </w:r>
    </w:p>
    <w:p w14:paraId="38D3D6E2" w14:textId="77777777" w:rsidR="00CF5071" w:rsidRDefault="00CF5071" w:rsidP="00CF5071">
      <w:r>
        <w:t>Miller, J. (1998). Up it up: Gender and the accomplishment of street robbery. Criminology, 36(1), 37-66.</w:t>
      </w:r>
    </w:p>
    <w:p w14:paraId="31E77A36" w14:textId="77777777" w:rsidR="00CF5071" w:rsidRDefault="00CF5071" w:rsidP="00CF5071">
      <w:proofErr w:type="spellStart"/>
      <w:r>
        <w:t>Topalli</w:t>
      </w:r>
      <w:proofErr w:type="spellEnd"/>
      <w:r>
        <w:t>, V. (2005). When being good is bad: An expansion of neutralization theory. Criminology, 43(3), 797-836.</w:t>
      </w:r>
    </w:p>
    <w:p w14:paraId="184848DB" w14:textId="77777777" w:rsidR="00CF5071" w:rsidRDefault="00CF5071" w:rsidP="00CF5071">
      <w:r>
        <w:t xml:space="preserve">Wright, R. T., &amp; Decker, S. (1994). Burglars on the Job. Boston, MA: </w:t>
      </w:r>
      <w:proofErr w:type="spellStart"/>
      <w:r>
        <w:t>Northeastern</w:t>
      </w:r>
      <w:proofErr w:type="spellEnd"/>
      <w:r>
        <w:t xml:space="preserve"> University Press.</w:t>
      </w:r>
    </w:p>
    <w:p w14:paraId="281FA7DE" w14:textId="77777777" w:rsidR="00CF5071" w:rsidRDefault="00CF5071" w:rsidP="00CF5071">
      <w:proofErr w:type="spellStart"/>
      <w:r>
        <w:t>LeBel</w:t>
      </w:r>
      <w:proofErr w:type="spellEnd"/>
      <w:r>
        <w:t>, T. P., et al (2008). The ‘chicken and egg’ of subjective and social factors in desistance from crime. European Journal of Criminology, 5(2), 131-159.</w:t>
      </w:r>
    </w:p>
    <w:p w14:paraId="6177ACDD" w14:textId="77777777" w:rsidR="00CF5071" w:rsidRDefault="00CF5071" w:rsidP="00CF5071">
      <w:proofErr w:type="spellStart"/>
      <w:r>
        <w:t>Vold</w:t>
      </w:r>
      <w:proofErr w:type="spellEnd"/>
      <w:r>
        <w:t>, G.B, et al (1998) Theoretical Criminology. Oxford University Press</w:t>
      </w:r>
    </w:p>
    <w:p w14:paraId="59A64A54" w14:textId="472F837C" w:rsidR="00CF5071" w:rsidRDefault="00CF5071" w:rsidP="00CF5071">
      <w:r>
        <w:t xml:space="preserve">Burke, R.H (2009) An Introduction to Criminological Theory 3rd Ed. London: Willian. DOI: </w:t>
      </w:r>
      <w:hyperlink r:id="rId11" w:tgtFrame="_blank" w:history="1">
        <w:r>
          <w:rPr>
            <w:rStyle w:val="Hyperlink"/>
            <w:rFonts w:ascii="Open Sans" w:hAnsi="Open Sans" w:cs="Open Sans"/>
            <w:color w:val="007A96"/>
            <w:spacing w:val="5"/>
            <w:sz w:val="21"/>
            <w:szCs w:val="21"/>
            <w:shd w:val="clear" w:color="auto" w:fill="FFFFFF"/>
          </w:rPr>
          <w:t>https://doi.org/10.4324/9780203118283</w:t>
        </w:r>
      </w:hyperlink>
    </w:p>
    <w:p w14:paraId="3FEA4B18" w14:textId="5B7E5221" w:rsidR="00CF5071" w:rsidRDefault="00CF5071" w:rsidP="00332646">
      <w:r w:rsidRPr="00CF5071">
        <w:t xml:space="preserve">Friedman, L. M. (1993).Crime and punishment in American history. New York, </w:t>
      </w:r>
      <w:proofErr w:type="spellStart"/>
      <w:r w:rsidRPr="00CF5071">
        <w:t>NY:Basic</w:t>
      </w:r>
      <w:proofErr w:type="spellEnd"/>
      <w:r w:rsidRPr="00CF5071">
        <w:t xml:space="preserve"> Books.</w:t>
      </w:r>
      <w:r>
        <w:t xml:space="preserve"> </w:t>
      </w:r>
    </w:p>
    <w:p w14:paraId="18219F1F" w14:textId="11703E89" w:rsidR="00CF5071" w:rsidRDefault="00CF5071" w:rsidP="00332646">
      <w:r w:rsidRPr="00CF5071">
        <w:t xml:space="preserve">Regan, L. J. (1997).When abortion was a crime: Women, medicine, and law in </w:t>
      </w:r>
      <w:proofErr w:type="spellStart"/>
      <w:r w:rsidRPr="00CF5071">
        <w:t>theUnited</w:t>
      </w:r>
      <w:proofErr w:type="spellEnd"/>
      <w:r w:rsidRPr="00CF5071">
        <w:t xml:space="preserve"> States, 1867–1973. Berkeley, CA: University of California</w:t>
      </w:r>
    </w:p>
    <w:p w14:paraId="1A1BC2AC" w14:textId="7B84CD8F" w:rsidR="00CF5071" w:rsidRDefault="00CF5071" w:rsidP="00332646">
      <w:r w:rsidRPr="00CF5071">
        <w:t xml:space="preserve">Rousseaux, X. (1996). From medieval cities to national states, 1350–1850: The historiography of crime and criminal justice in Europe. In C. Emsley &amp; L. </w:t>
      </w:r>
      <w:proofErr w:type="spellStart"/>
      <w:r w:rsidRPr="00CF5071">
        <w:t>A.Knafla</w:t>
      </w:r>
      <w:proofErr w:type="spellEnd"/>
      <w:r w:rsidRPr="00CF5071">
        <w:t xml:space="preserve"> (Eds.),Crime history and histories of crime: Studies in the historiography</w:t>
      </w:r>
      <w:r>
        <w:t xml:space="preserve"> </w:t>
      </w:r>
      <w:r w:rsidRPr="00CF5071">
        <w:t xml:space="preserve">of crime and criminal justice in modern history(pp. 3–32). Westport, </w:t>
      </w:r>
      <w:proofErr w:type="spellStart"/>
      <w:r w:rsidRPr="00CF5071">
        <w:t>CT:Greenwood</w:t>
      </w:r>
      <w:proofErr w:type="spellEnd"/>
    </w:p>
    <w:p w14:paraId="7017CFAF" w14:textId="5FDC523C" w:rsidR="00CF5071" w:rsidRDefault="00CF5071" w:rsidP="00332646">
      <w:proofErr w:type="spellStart"/>
      <w:r w:rsidRPr="00CF5071">
        <w:t>Scarpitti</w:t>
      </w:r>
      <w:proofErr w:type="spellEnd"/>
      <w:r w:rsidRPr="00CF5071">
        <w:t>, F. R., &amp; Nielsen, A. L. (1999).Crime and criminals: Contemporary and</w:t>
      </w:r>
      <w:r>
        <w:t xml:space="preserve"> </w:t>
      </w:r>
      <w:r w:rsidRPr="00CF5071">
        <w:t>classic readings. Los Angeles, CA: Roxbury</w:t>
      </w:r>
    </w:p>
    <w:p w14:paraId="5BD8B5FA" w14:textId="40FC56BE" w:rsidR="00CF5071" w:rsidRDefault="00CF5071" w:rsidP="00332646">
      <w:r>
        <w:t xml:space="preserve">Fitzgerald, C.S (2011) Historical Theories of Crime and </w:t>
      </w:r>
      <w:proofErr w:type="spellStart"/>
      <w:r>
        <w:t>Deliquency</w:t>
      </w:r>
      <w:proofErr w:type="spellEnd"/>
      <w:r>
        <w:t xml:space="preserve">. Journal of Human Behaviour in the Social Environment. 21(3). DOI: </w:t>
      </w:r>
      <w:hyperlink r:id="rId12" w:history="1">
        <w:r>
          <w:rPr>
            <w:rStyle w:val="Hyperlink"/>
            <w:rFonts w:ascii="Open Sans" w:hAnsi="Open Sans" w:cs="Open Sans"/>
            <w:color w:val="10147E"/>
            <w:sz w:val="20"/>
            <w:szCs w:val="20"/>
          </w:rPr>
          <w:t>https://doi.org/10.1080/10911359.2011.564954</w:t>
        </w:r>
      </w:hyperlink>
      <w:r>
        <w:t xml:space="preserve"> </w:t>
      </w:r>
    </w:p>
    <w:p w14:paraId="2B98A073" w14:textId="6E9EA488" w:rsidR="00FC1003" w:rsidRDefault="00647E87" w:rsidP="00332646">
      <w:proofErr w:type="spellStart"/>
      <w:r>
        <w:t>Amarasinghe</w:t>
      </w:r>
      <w:proofErr w:type="spellEnd"/>
      <w:r>
        <w:t xml:space="preserve">, K (2020) Pure-Classical and Neo-Classical Schools of Criminology: Applicability Into the Present Context of Criminal Law in Sri Lanka. US-China Law Review , 17(8) pp. 348-355. DOI: </w:t>
      </w:r>
      <w:r>
        <w:t>10.17265/1548-6605/2020.08.003</w:t>
      </w:r>
      <w:r>
        <w:t xml:space="preserve"> </w:t>
      </w:r>
    </w:p>
    <w:p w14:paraId="571AEFEA" w14:textId="53B0F7C5" w:rsidR="00647E87" w:rsidRDefault="00647E87" w:rsidP="00332646">
      <w:r>
        <w:t xml:space="preserve">Tibbetts, S. G., &amp; </w:t>
      </w:r>
      <w:proofErr w:type="spellStart"/>
      <w:r>
        <w:t>Hemmens</w:t>
      </w:r>
      <w:proofErr w:type="spellEnd"/>
      <w:r>
        <w:t>, C. (2014). Criminological theory: A text/reader (2nd ed.). Los Angeles, CA: SAGE publication Inc</w:t>
      </w:r>
      <w:r>
        <w:t xml:space="preserve"> </w:t>
      </w:r>
    </w:p>
    <w:p w14:paraId="6B323F11" w14:textId="77777777" w:rsidR="002A47A2" w:rsidRDefault="002A47A2" w:rsidP="002A47A2">
      <w:r>
        <w:t>Becker, H. S. (1963). Outsiders: Studies in the sociology of deviance. New York: Free Press</w:t>
      </w:r>
    </w:p>
    <w:p w14:paraId="01AA723B" w14:textId="77777777" w:rsidR="002A47A2" w:rsidRDefault="002A47A2" w:rsidP="002A47A2">
      <w:r>
        <w:t xml:space="preserve">Lemert, E. (1967). Human deviance, social </w:t>
      </w:r>
      <w:proofErr w:type="gramStart"/>
      <w:r>
        <w:t>problems</w:t>
      </w:r>
      <w:proofErr w:type="gramEnd"/>
      <w:r>
        <w:t xml:space="preserve"> and social control. Englewood Cliffs, NJ: Prentice-Hall.</w:t>
      </w:r>
    </w:p>
    <w:p w14:paraId="02ECE913" w14:textId="77777777" w:rsidR="002A47A2" w:rsidRDefault="002A47A2" w:rsidP="002A47A2">
      <w:r>
        <w:t>Goffman, E. (1963). Stigma: Notes on the management of a spoiled identity. Englewood Cliffs, NJ: Prentice Hall.</w:t>
      </w:r>
    </w:p>
    <w:p w14:paraId="55B634C0" w14:textId="77777777" w:rsidR="002A47A2" w:rsidRDefault="002A47A2" w:rsidP="002A47A2">
      <w:r>
        <w:t>Link, B. G, &amp; Phelan, J. C. (2001). Conceptualizing stigma. Annual Review of Sociology, 27, 363-385</w:t>
      </w:r>
    </w:p>
    <w:p w14:paraId="4A129917" w14:textId="77777777" w:rsidR="002A47A2" w:rsidRDefault="002A47A2" w:rsidP="002A47A2">
      <w:r>
        <w:t>Simmons, J. L. (1965-6). Public stereotypes of deviants. Social Problems, 13, 223- 232</w:t>
      </w:r>
    </w:p>
    <w:p w14:paraId="4687D668" w14:textId="77777777" w:rsidR="002A47A2" w:rsidRDefault="002A47A2" w:rsidP="002A47A2">
      <w:r>
        <w:t xml:space="preserve">Smith, D. A., </w:t>
      </w:r>
      <w:proofErr w:type="spellStart"/>
      <w:r>
        <w:t>Visher</w:t>
      </w:r>
      <w:proofErr w:type="spellEnd"/>
      <w:r>
        <w:t>, C. A., &amp; Davidson, L. (1984). Equity and discretionary justice: The influence of race on police arrest decisions. Journal of Criminal Law and Criminology, 75, 234-249</w:t>
      </w:r>
    </w:p>
    <w:p w14:paraId="64391F75" w14:textId="77777777" w:rsidR="002A47A2" w:rsidRDefault="002A47A2" w:rsidP="002A47A2">
      <w:proofErr w:type="spellStart"/>
      <w:r>
        <w:t>Quillian</w:t>
      </w:r>
      <w:proofErr w:type="spellEnd"/>
      <w:r>
        <w:t xml:space="preserve">, L., &amp; Pager, D. (2001). Black </w:t>
      </w:r>
      <w:proofErr w:type="spellStart"/>
      <w:r>
        <w:t>neighbors</w:t>
      </w:r>
      <w:proofErr w:type="spellEnd"/>
      <w:r>
        <w:t xml:space="preserve">, higher crime? The role of racial stereotypes in evaluations of </w:t>
      </w:r>
      <w:proofErr w:type="spellStart"/>
      <w:r>
        <w:t>neighborhood</w:t>
      </w:r>
      <w:proofErr w:type="spellEnd"/>
      <w:r>
        <w:t xml:space="preserve"> crime. American Journal of Sociology, 107, 717-767</w:t>
      </w:r>
    </w:p>
    <w:p w14:paraId="7E78B6DF" w14:textId="77777777" w:rsidR="002A47A2" w:rsidRDefault="002A47A2" w:rsidP="002A47A2">
      <w:r>
        <w:t xml:space="preserve">Warren, P., </w:t>
      </w:r>
      <w:proofErr w:type="spellStart"/>
      <w:r>
        <w:t>Tomaskovic-Devey</w:t>
      </w:r>
      <w:proofErr w:type="spellEnd"/>
      <w:r>
        <w:t xml:space="preserve">, T., Smith, W., </w:t>
      </w:r>
      <w:proofErr w:type="spellStart"/>
      <w:r>
        <w:t>Zingraff</w:t>
      </w:r>
      <w:proofErr w:type="spellEnd"/>
      <w:r>
        <w:t>, M., &amp; Mason, M. (2006). Driving while black: Bias processes and racial disparity in police stops. Criminology, 44, 709-738.</w:t>
      </w:r>
    </w:p>
    <w:p w14:paraId="780C9460" w14:textId="6B6B762A" w:rsidR="002A47A2" w:rsidRDefault="002A47A2" w:rsidP="002A47A2">
      <w:pPr>
        <w:rPr>
          <w:rFonts w:ascii="Segoe UI" w:hAnsi="Segoe UI" w:cs="Segoe UI"/>
          <w:color w:val="333333"/>
          <w:shd w:val="clear" w:color="auto" w:fill="FCFCFC"/>
        </w:rPr>
      </w:pPr>
      <w:r>
        <w:rPr>
          <w:rFonts w:ascii="Segoe UI" w:hAnsi="Segoe UI" w:cs="Segoe UI"/>
          <w:color w:val="333333"/>
          <w:shd w:val="clear" w:color="auto" w:fill="FCFCFC"/>
        </w:rPr>
        <w:t xml:space="preserve">Hunter, J., </w:t>
      </w:r>
      <w:proofErr w:type="spellStart"/>
      <w:r>
        <w:rPr>
          <w:rFonts w:ascii="Segoe UI" w:hAnsi="Segoe UI" w:cs="Segoe UI"/>
          <w:color w:val="333333"/>
          <w:shd w:val="clear" w:color="auto" w:fill="FCFCFC"/>
        </w:rPr>
        <w:t>Tseloni</w:t>
      </w:r>
      <w:proofErr w:type="spellEnd"/>
      <w:r>
        <w:rPr>
          <w:rFonts w:ascii="Segoe UI" w:hAnsi="Segoe UI" w:cs="Segoe UI"/>
          <w:color w:val="333333"/>
          <w:shd w:val="clear" w:color="auto" w:fill="FCFCFC"/>
        </w:rPr>
        <w:t>, A. Equity, justice and the crime drop: the case of burglary in England and Wales. </w:t>
      </w:r>
      <w:r>
        <w:rPr>
          <w:rFonts w:ascii="Segoe UI" w:hAnsi="Segoe UI" w:cs="Segoe UI"/>
          <w:i/>
          <w:iCs/>
          <w:color w:val="333333"/>
          <w:shd w:val="clear" w:color="auto" w:fill="FCFCFC"/>
        </w:rPr>
        <w:t>Crime Sci</w:t>
      </w:r>
      <w:r>
        <w:rPr>
          <w:rFonts w:ascii="Segoe UI" w:hAnsi="Segoe UI" w:cs="Segoe UI"/>
          <w:color w:val="333333"/>
          <w:shd w:val="clear" w:color="auto" w:fill="FCFCFC"/>
        </w:rPr>
        <w:t> </w:t>
      </w:r>
      <w:r>
        <w:rPr>
          <w:rFonts w:ascii="Segoe UI" w:hAnsi="Segoe UI" w:cs="Segoe UI"/>
          <w:b/>
          <w:bCs/>
          <w:color w:val="333333"/>
          <w:shd w:val="clear" w:color="auto" w:fill="FCFCFC"/>
        </w:rPr>
        <w:t>5</w:t>
      </w:r>
      <w:r>
        <w:rPr>
          <w:rFonts w:ascii="Segoe UI" w:hAnsi="Segoe UI" w:cs="Segoe UI"/>
          <w:color w:val="333333"/>
          <w:shd w:val="clear" w:color="auto" w:fill="FCFCFC"/>
        </w:rPr>
        <w:t xml:space="preserve">, 3 (2016). </w:t>
      </w:r>
      <w:hyperlink r:id="rId13" w:history="1">
        <w:r w:rsidR="0048388D" w:rsidRPr="00F504FD">
          <w:rPr>
            <w:rStyle w:val="Hyperlink"/>
            <w:rFonts w:ascii="Segoe UI" w:hAnsi="Segoe UI" w:cs="Segoe UI"/>
            <w:shd w:val="clear" w:color="auto" w:fill="FCFCFC"/>
          </w:rPr>
          <w:t>https://doi.org/10.1186/s40163-016-0051-z</w:t>
        </w:r>
      </w:hyperlink>
    </w:p>
    <w:p w14:paraId="2C8875AB" w14:textId="6A41C67E" w:rsidR="005D77B6" w:rsidRDefault="005D77B6" w:rsidP="002A47A2">
      <w:r>
        <w:rPr>
          <w:rFonts w:ascii="Segoe UI" w:hAnsi="Segoe UI" w:cs="Segoe UI"/>
          <w:color w:val="333333"/>
          <w:shd w:val="clear" w:color="auto" w:fill="FCFCFC"/>
        </w:rPr>
        <w:t xml:space="preserve">Cressey, D.R (1954) </w:t>
      </w:r>
      <w:r>
        <w:t>The Differential Association Theory and Compulsive Crimes</w:t>
      </w:r>
      <w:r>
        <w:t xml:space="preserve">. </w:t>
      </w:r>
      <w:r>
        <w:t>The Journal of Criminal Law, Criminology, and Police Science</w:t>
      </w:r>
      <w:r>
        <w:t xml:space="preserve">. 45(1). </w:t>
      </w:r>
    </w:p>
    <w:p w14:paraId="15840889" w14:textId="2340B6C3" w:rsidR="005D77B6" w:rsidRDefault="005D77B6" w:rsidP="005D77B6">
      <w:pPr>
        <w:shd w:val="clear" w:color="auto" w:fill="FFFFFF"/>
        <w:spacing w:beforeAutospacing="1" w:after="0" w:afterAutospacing="1" w:line="240" w:lineRule="auto"/>
        <w:textAlignment w:val="baseline"/>
        <w:rPr>
          <w:rStyle w:val="Hyperlink"/>
          <w:rFonts w:ascii="Arial" w:hAnsi="Arial" w:cs="Arial"/>
          <w:color w:val="282828"/>
          <w:sz w:val="24"/>
          <w:szCs w:val="24"/>
          <w:bdr w:val="none" w:sz="0" w:space="0" w:color="auto" w:frame="1"/>
        </w:rPr>
      </w:pPr>
      <w:r>
        <w:t xml:space="preserve">Cressey, D.R (1960) </w:t>
      </w:r>
      <w:r w:rsidRPr="005D77B6">
        <w:rPr>
          <w:rStyle w:val="HTMLCite"/>
          <w:rFonts w:ascii="Arial" w:hAnsi="Arial" w:cs="Arial"/>
          <w:i w:val="0"/>
          <w:iCs w:val="0"/>
          <w:color w:val="333333"/>
          <w:sz w:val="24"/>
          <w:szCs w:val="24"/>
          <w:bdr w:val="none" w:sz="0" w:space="0" w:color="auto" w:frame="1"/>
        </w:rPr>
        <w:t>The Theory of Differential Association: An Introduction</w:t>
      </w:r>
      <w:r w:rsidRPr="005D77B6">
        <w:rPr>
          <w:rStyle w:val="Emphasis"/>
          <w:rFonts w:ascii="Arial" w:hAnsi="Arial" w:cs="Arial"/>
          <w:i w:val="0"/>
          <w:iCs w:val="0"/>
          <w:color w:val="333333"/>
          <w:sz w:val="24"/>
          <w:szCs w:val="24"/>
          <w:bdr w:val="none" w:sz="0" w:space="0" w:color="auto" w:frame="1"/>
        </w:rPr>
        <w:t xml:space="preserve"> </w:t>
      </w:r>
      <w:r w:rsidRPr="005D77B6">
        <w:rPr>
          <w:rStyle w:val="Emphasis"/>
          <w:rFonts w:ascii="Arial" w:hAnsi="Arial" w:cs="Arial"/>
          <w:i w:val="0"/>
          <w:iCs w:val="0"/>
          <w:color w:val="333333"/>
          <w:sz w:val="24"/>
          <w:szCs w:val="24"/>
          <w:bdr w:val="none" w:sz="0" w:space="0" w:color="auto" w:frame="1"/>
        </w:rPr>
        <w:t>Social Problems</w:t>
      </w:r>
      <w:r w:rsidRPr="005D77B6">
        <w:rPr>
          <w:rStyle w:val="HTMLCite"/>
          <w:rFonts w:ascii="Arial" w:hAnsi="Arial" w:cs="Arial"/>
          <w:i w:val="0"/>
          <w:iCs w:val="0"/>
          <w:color w:val="333333"/>
          <w:sz w:val="24"/>
          <w:szCs w:val="24"/>
          <w:bdr w:val="none" w:sz="0" w:space="0" w:color="auto" w:frame="1"/>
        </w:rPr>
        <w:t xml:space="preserve">, </w:t>
      </w:r>
      <w:r w:rsidR="002A317C">
        <w:rPr>
          <w:rStyle w:val="HTMLCite"/>
          <w:rFonts w:ascii="Arial" w:hAnsi="Arial" w:cs="Arial"/>
          <w:i w:val="0"/>
          <w:iCs w:val="0"/>
          <w:color w:val="333333"/>
          <w:sz w:val="24"/>
          <w:szCs w:val="24"/>
          <w:bdr w:val="none" w:sz="0" w:space="0" w:color="auto" w:frame="1"/>
        </w:rPr>
        <w:t>(</w:t>
      </w:r>
      <w:r w:rsidRPr="005D77B6">
        <w:rPr>
          <w:rStyle w:val="HTMLCite"/>
          <w:rFonts w:ascii="Arial" w:hAnsi="Arial" w:cs="Arial"/>
          <w:i w:val="0"/>
          <w:iCs w:val="0"/>
          <w:color w:val="333333"/>
          <w:sz w:val="24"/>
          <w:szCs w:val="24"/>
          <w:bdr w:val="none" w:sz="0" w:space="0" w:color="auto" w:frame="1"/>
        </w:rPr>
        <w:t>8</w:t>
      </w:r>
      <w:r w:rsidR="002A317C">
        <w:rPr>
          <w:rStyle w:val="HTMLCite"/>
          <w:rFonts w:ascii="Arial" w:hAnsi="Arial" w:cs="Arial"/>
          <w:i w:val="0"/>
          <w:iCs w:val="0"/>
          <w:color w:val="333333"/>
          <w:sz w:val="24"/>
          <w:szCs w:val="24"/>
          <w:bdr w:val="none" w:sz="0" w:space="0" w:color="auto" w:frame="1"/>
        </w:rPr>
        <w:t>)</w:t>
      </w:r>
      <w:r w:rsidRPr="005D77B6">
        <w:rPr>
          <w:rStyle w:val="HTMLCite"/>
          <w:rFonts w:ascii="Arial" w:hAnsi="Arial" w:cs="Arial"/>
          <w:i w:val="0"/>
          <w:iCs w:val="0"/>
          <w:color w:val="333333"/>
          <w:sz w:val="24"/>
          <w:szCs w:val="24"/>
          <w:bdr w:val="none" w:sz="0" w:space="0" w:color="auto" w:frame="1"/>
        </w:rPr>
        <w:t>1, 1960, pp. 2-6.</w:t>
      </w:r>
      <w:r w:rsidR="002A317C">
        <w:rPr>
          <w:rStyle w:val="HTMLCite"/>
          <w:rFonts w:ascii="Arial" w:hAnsi="Arial" w:cs="Arial"/>
          <w:i w:val="0"/>
          <w:iCs w:val="0"/>
          <w:color w:val="333333"/>
          <w:sz w:val="24"/>
          <w:szCs w:val="24"/>
          <w:bdr w:val="none" w:sz="0" w:space="0" w:color="auto" w:frame="1"/>
        </w:rPr>
        <w:t>DOI:</w:t>
      </w:r>
      <w:r w:rsidRPr="005D77B6">
        <w:rPr>
          <w:rStyle w:val="HTMLCite"/>
          <w:rFonts w:ascii="Arial" w:hAnsi="Arial" w:cs="Arial"/>
          <w:i w:val="0"/>
          <w:iCs w:val="0"/>
          <w:color w:val="333333"/>
          <w:sz w:val="24"/>
          <w:szCs w:val="24"/>
          <w:bdr w:val="none" w:sz="0" w:space="0" w:color="auto" w:frame="1"/>
        </w:rPr>
        <w:t> </w:t>
      </w:r>
      <w:hyperlink r:id="rId14" w:tgtFrame="_blank" w:history="1">
        <w:r w:rsidRPr="005D77B6">
          <w:rPr>
            <w:rStyle w:val="Hyperlink"/>
            <w:rFonts w:ascii="Arial" w:hAnsi="Arial" w:cs="Arial"/>
            <w:color w:val="282828"/>
            <w:sz w:val="24"/>
            <w:szCs w:val="24"/>
            <w:bdr w:val="none" w:sz="0" w:space="0" w:color="auto" w:frame="1"/>
          </w:rPr>
          <w:t>https://doi.org/10.2307/798624</w:t>
        </w:r>
      </w:hyperlink>
    </w:p>
    <w:p w14:paraId="2B44532B" w14:textId="77777777" w:rsidR="002A317C" w:rsidRDefault="002A317C" w:rsidP="002A317C">
      <w:pPr>
        <w:shd w:val="clear" w:color="auto" w:fill="FFFFFF"/>
        <w:spacing w:beforeAutospacing="1" w:after="0" w:afterAutospacing="1" w:line="240" w:lineRule="auto"/>
        <w:textAlignment w:val="baseline"/>
        <w:rPr>
          <w:rFonts w:ascii="Georgia" w:hAnsi="Georgia"/>
          <w:color w:val="282828"/>
          <w:sz w:val="26"/>
          <w:szCs w:val="26"/>
        </w:rPr>
      </w:pPr>
      <w:proofErr w:type="spellStart"/>
      <w:r>
        <w:rPr>
          <w:rStyle w:val="HTMLCite"/>
          <w:rFonts w:ascii="Georgia" w:hAnsi="Georgia"/>
          <w:i w:val="0"/>
          <w:iCs w:val="0"/>
          <w:color w:val="333333"/>
          <w:sz w:val="26"/>
          <w:szCs w:val="26"/>
          <w:bdr w:val="none" w:sz="0" w:space="0" w:color="auto" w:frame="1"/>
        </w:rPr>
        <w:t>Matsueda</w:t>
      </w:r>
      <w:proofErr w:type="spellEnd"/>
      <w:r>
        <w:rPr>
          <w:rStyle w:val="HTMLCite"/>
          <w:rFonts w:ascii="Georgia" w:hAnsi="Georgia"/>
          <w:i w:val="0"/>
          <w:iCs w:val="0"/>
          <w:color w:val="333333"/>
          <w:sz w:val="26"/>
          <w:szCs w:val="26"/>
          <w:bdr w:val="none" w:sz="0" w:space="0" w:color="auto" w:frame="1"/>
        </w:rPr>
        <w:t>, Ross L. “The Current State of Differential Association Theory.” </w:t>
      </w:r>
      <w:r>
        <w:rPr>
          <w:rStyle w:val="Emphasis"/>
          <w:rFonts w:ascii="Georgia" w:hAnsi="Georgia"/>
          <w:color w:val="333333"/>
          <w:sz w:val="20"/>
          <w:szCs w:val="20"/>
          <w:bdr w:val="none" w:sz="0" w:space="0" w:color="auto" w:frame="1"/>
        </w:rPr>
        <w:t>Crime &amp; Delinquency</w:t>
      </w:r>
      <w:r>
        <w:rPr>
          <w:rStyle w:val="HTMLCite"/>
          <w:rFonts w:ascii="Georgia" w:hAnsi="Georgia"/>
          <w:i w:val="0"/>
          <w:iCs w:val="0"/>
          <w:color w:val="333333"/>
          <w:sz w:val="26"/>
          <w:szCs w:val="26"/>
          <w:bdr w:val="none" w:sz="0" w:space="0" w:color="auto" w:frame="1"/>
        </w:rPr>
        <w:t>, vol. 34, no, 3, 1988, pp. 277-306. </w:t>
      </w:r>
      <w:hyperlink r:id="rId15" w:tgtFrame="_blank" w:history="1">
        <w:r>
          <w:rPr>
            <w:rStyle w:val="Hyperlink"/>
            <w:rFonts w:ascii="Georgia" w:hAnsi="Georgia"/>
            <w:color w:val="282828"/>
            <w:sz w:val="20"/>
            <w:szCs w:val="20"/>
            <w:bdr w:val="none" w:sz="0" w:space="0" w:color="auto" w:frame="1"/>
          </w:rPr>
          <w:t>https://doi.org/10.1177/0011128788034003005</w:t>
        </w:r>
      </w:hyperlink>
    </w:p>
    <w:p w14:paraId="7868CABA" w14:textId="05482978" w:rsidR="005D77B6" w:rsidRDefault="005D77B6" w:rsidP="002A47A2">
      <w:pPr>
        <w:rPr>
          <w:rFonts w:ascii="Segoe UI" w:hAnsi="Segoe UI" w:cs="Segoe UI"/>
          <w:color w:val="333333"/>
          <w:shd w:val="clear" w:color="auto" w:fill="FCFCFC"/>
        </w:rPr>
      </w:pPr>
    </w:p>
    <w:p w14:paraId="17766CCA" w14:textId="1C8B715B" w:rsidR="0048388D" w:rsidRDefault="0048388D" w:rsidP="002A47A2">
      <w:r>
        <w:rPr>
          <w:rFonts w:ascii="Segoe UI" w:hAnsi="Segoe UI" w:cs="Segoe UI"/>
          <w:color w:val="333333"/>
          <w:shd w:val="clear" w:color="auto" w:fill="FCFCFC"/>
        </w:rPr>
        <w:t xml:space="preserve">Rafter, N.H (1990) The Social Construction of Crime and Crime Control. Journal of Research in Crime and Delinquency. 27(4) DOI: </w:t>
      </w:r>
      <w:hyperlink r:id="rId16" w:history="1">
        <w:r>
          <w:rPr>
            <w:rStyle w:val="Hyperlink"/>
            <w:rFonts w:ascii="Open Sans" w:hAnsi="Open Sans" w:cs="Open Sans"/>
            <w:sz w:val="21"/>
            <w:szCs w:val="21"/>
            <w:shd w:val="clear" w:color="auto" w:fill="FFFFFF"/>
          </w:rPr>
          <w:t>https://doi.org/10.1177/0022427890027004004</w:t>
        </w:r>
      </w:hyperlink>
    </w:p>
    <w:p w14:paraId="1F27D8B2" w14:textId="6D6D7E19" w:rsidR="005D77B6" w:rsidRPr="005D77B6" w:rsidRDefault="005D77B6" w:rsidP="005D77B6">
      <w:pPr>
        <w:shd w:val="clear" w:color="auto" w:fill="FFFFFF"/>
        <w:spacing w:beforeAutospacing="1" w:after="0" w:afterAutospacing="1" w:line="240" w:lineRule="auto"/>
        <w:textAlignment w:val="baseline"/>
        <w:rPr>
          <w:rFonts w:ascii="Arial" w:hAnsi="Arial" w:cs="Arial"/>
          <w:color w:val="282828"/>
          <w:sz w:val="24"/>
          <w:szCs w:val="24"/>
        </w:rPr>
      </w:pPr>
    </w:p>
    <w:p w14:paraId="1B35D5AB" w14:textId="77777777" w:rsidR="005D77B6" w:rsidRDefault="005D77B6" w:rsidP="002A47A2"/>
    <w:p w14:paraId="471E29B1" w14:textId="77777777" w:rsidR="002A47A2" w:rsidRDefault="002A47A2" w:rsidP="00332646"/>
    <w:p w14:paraId="608CAD26" w14:textId="77777777" w:rsidR="00CF5071" w:rsidRDefault="00CF5071" w:rsidP="00332646"/>
    <w:sectPr w:rsidR="00CF5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18C9"/>
    <w:multiLevelType w:val="multilevel"/>
    <w:tmpl w:val="37147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9808DA"/>
    <w:multiLevelType w:val="multilevel"/>
    <w:tmpl w:val="64E0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F1DA2"/>
    <w:multiLevelType w:val="multilevel"/>
    <w:tmpl w:val="1ED8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231572">
    <w:abstractNumId w:val="0"/>
  </w:num>
  <w:num w:numId="2" w16cid:durableId="1681932192">
    <w:abstractNumId w:val="2"/>
  </w:num>
  <w:num w:numId="3" w16cid:durableId="1531451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80"/>
    <w:rsid w:val="000A1EBD"/>
    <w:rsid w:val="0017117F"/>
    <w:rsid w:val="001D7DCA"/>
    <w:rsid w:val="002A317C"/>
    <w:rsid w:val="002A47A2"/>
    <w:rsid w:val="00332646"/>
    <w:rsid w:val="00355087"/>
    <w:rsid w:val="00381F6E"/>
    <w:rsid w:val="0048388D"/>
    <w:rsid w:val="004E32DA"/>
    <w:rsid w:val="00507EAC"/>
    <w:rsid w:val="005D77B6"/>
    <w:rsid w:val="00647E87"/>
    <w:rsid w:val="00704EBF"/>
    <w:rsid w:val="008B0524"/>
    <w:rsid w:val="008B6B05"/>
    <w:rsid w:val="008E5074"/>
    <w:rsid w:val="009B4D41"/>
    <w:rsid w:val="00A94F30"/>
    <w:rsid w:val="00B25D3D"/>
    <w:rsid w:val="00B27557"/>
    <w:rsid w:val="00CE5D80"/>
    <w:rsid w:val="00CF5071"/>
    <w:rsid w:val="00DA1353"/>
    <w:rsid w:val="00FC1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1923D"/>
  <w15:chartTrackingRefBased/>
  <w15:docId w15:val="{16FC4902-EEE1-4F48-A25B-51E5F2C5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D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2646"/>
    <w:rPr>
      <w:color w:val="0563C1" w:themeColor="hyperlink"/>
      <w:u w:val="single"/>
    </w:rPr>
  </w:style>
  <w:style w:type="paragraph" w:customStyle="1" w:styleId="comp">
    <w:name w:val="comp"/>
    <w:basedOn w:val="Normal"/>
    <w:rsid w:val="008E50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8E5074"/>
    <w:rPr>
      <w:i/>
      <w:iCs/>
    </w:rPr>
  </w:style>
  <w:style w:type="character" w:styleId="Emphasis">
    <w:name w:val="Emphasis"/>
    <w:basedOn w:val="DefaultParagraphFont"/>
    <w:uiPriority w:val="20"/>
    <w:qFormat/>
    <w:rsid w:val="008E5074"/>
    <w:rPr>
      <w:i/>
      <w:iCs/>
    </w:rPr>
  </w:style>
  <w:style w:type="character" w:styleId="FollowedHyperlink">
    <w:name w:val="FollowedHyperlink"/>
    <w:basedOn w:val="DefaultParagraphFont"/>
    <w:uiPriority w:val="99"/>
    <w:semiHidden/>
    <w:unhideWhenUsed/>
    <w:rsid w:val="00FC1003"/>
    <w:rPr>
      <w:color w:val="954F72" w:themeColor="followedHyperlink"/>
      <w:u w:val="single"/>
    </w:rPr>
  </w:style>
  <w:style w:type="character" w:styleId="UnresolvedMention">
    <w:name w:val="Unresolved Mention"/>
    <w:basedOn w:val="DefaultParagraphFont"/>
    <w:uiPriority w:val="99"/>
    <w:semiHidden/>
    <w:unhideWhenUsed/>
    <w:rsid w:val="00171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3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9145378701300301" TargetMode="External"/><Relationship Id="rId13" Type="http://schemas.openxmlformats.org/officeDocument/2006/relationships/hyperlink" Target="https://doi.org/10.1186/s40163-016-0051-z"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oughtco.com/differential-association-theory-4689191" TargetMode="External"/><Relationship Id="rId12" Type="http://schemas.openxmlformats.org/officeDocument/2006/relationships/hyperlink" Target="https://doi.org/10.1080/10911359.2011.56495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0022427890027004004" TargetMode="External"/><Relationship Id="rId1" Type="http://schemas.openxmlformats.org/officeDocument/2006/relationships/numbering" Target="numbering.xml"/><Relationship Id="rId6" Type="http://schemas.openxmlformats.org/officeDocument/2006/relationships/hyperlink" Target="https://link.springer.com/article/10.1186/s40163-016-0051-z" TargetMode="External"/><Relationship Id="rId11" Type="http://schemas.openxmlformats.org/officeDocument/2006/relationships/hyperlink" Target="https://doi.org/10.4324/9780203118283" TargetMode="External"/><Relationship Id="rId5" Type="http://schemas.openxmlformats.org/officeDocument/2006/relationships/hyperlink" Target="https://www.ijcv.org/index.php/ijcv/article/view/2791/2552" TargetMode="External"/><Relationship Id="rId15" Type="http://schemas.openxmlformats.org/officeDocument/2006/relationships/hyperlink" Target="https://doi.org/10.1177%2F0011128788034003005" TargetMode="External"/><Relationship Id="rId10" Type="http://schemas.openxmlformats.org/officeDocument/2006/relationships/hyperlink" Target="https://doi.org/10.1080/2158379X.2022.2031112" TargetMode="External"/><Relationship Id="rId4" Type="http://schemas.openxmlformats.org/officeDocument/2006/relationships/webSettings" Target="webSettings.xml"/><Relationship Id="rId9" Type="http://schemas.openxmlformats.org/officeDocument/2006/relationships/hyperlink" Target="https://doi.org/10.1111/tran.12142" TargetMode="External"/><Relationship Id="rId14" Type="http://schemas.openxmlformats.org/officeDocument/2006/relationships/hyperlink" Target="https://doi.org/10.2307/798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7</Pages>
  <Words>2949</Words>
  <Characters>16811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Roche (1902211)</dc:creator>
  <cp:keywords/>
  <dc:description/>
  <cp:lastModifiedBy>Lucy Roche (1902211)</cp:lastModifiedBy>
  <cp:revision>1</cp:revision>
  <dcterms:created xsi:type="dcterms:W3CDTF">2023-03-17T13:18:00Z</dcterms:created>
  <dcterms:modified xsi:type="dcterms:W3CDTF">2023-03-17T20:01:00Z</dcterms:modified>
</cp:coreProperties>
</file>