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9E4E64" w:rsidRDefault="000C0A6C" w:rsidP="000C0A6C">
      <w:pPr>
        <w:jc w:val="center"/>
        <w:rPr>
          <w:b/>
          <w:sz w:val="36"/>
        </w:rPr>
      </w:pPr>
      <w:r w:rsidRPr="000C0A6C">
        <w:rPr>
          <w:b/>
          <w:sz w:val="36"/>
        </w:rPr>
        <w:t>Criminal Litigation</w:t>
      </w: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p w:rsidR="000C0A6C" w:rsidRDefault="000C0A6C" w:rsidP="000C0A6C">
      <w:pPr>
        <w:jc w:val="center"/>
        <w:rPr>
          <w:b/>
          <w:sz w:val="36"/>
        </w:rPr>
      </w:pPr>
    </w:p>
    <w:sdt>
      <w:sdtPr>
        <w:id w:val="1948038346"/>
        <w:docPartObj>
          <w:docPartGallery w:val="Table of Contents"/>
          <w:docPartUnique/>
        </w:docPartObj>
      </w:sdtPr>
      <w:sdtEndPr>
        <w:rPr>
          <w:rFonts w:ascii="Arial" w:eastAsiaTheme="minorHAnsi" w:hAnsi="Arial" w:cstheme="minorBidi"/>
          <w:b/>
          <w:bCs/>
          <w:noProof/>
          <w:color w:val="auto"/>
          <w:sz w:val="24"/>
          <w:szCs w:val="22"/>
        </w:rPr>
      </w:sdtEndPr>
      <w:sdtContent>
        <w:p w:rsidR="0065404C" w:rsidRDefault="0065404C">
          <w:pPr>
            <w:pStyle w:val="TOCHeading"/>
          </w:pPr>
          <w:r>
            <w:t>Contents</w:t>
          </w:r>
        </w:p>
        <w:p w:rsidR="00C86A4A" w:rsidRDefault="0065404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7416495" w:history="1">
            <w:r w:rsidR="00C86A4A" w:rsidRPr="002D6147">
              <w:rPr>
                <w:rStyle w:val="Hyperlink"/>
                <w:noProof/>
              </w:rPr>
              <w:t>Introduction</w:t>
            </w:r>
            <w:r w:rsidR="00C86A4A">
              <w:rPr>
                <w:noProof/>
                <w:webHidden/>
              </w:rPr>
              <w:tab/>
            </w:r>
            <w:r w:rsidR="00C86A4A">
              <w:rPr>
                <w:noProof/>
                <w:webHidden/>
              </w:rPr>
              <w:fldChar w:fldCharType="begin"/>
            </w:r>
            <w:r w:rsidR="00C86A4A">
              <w:rPr>
                <w:noProof/>
                <w:webHidden/>
              </w:rPr>
              <w:instrText xml:space="preserve"> PAGEREF _Toc67416495 \h </w:instrText>
            </w:r>
            <w:r w:rsidR="00C86A4A">
              <w:rPr>
                <w:noProof/>
                <w:webHidden/>
              </w:rPr>
            </w:r>
            <w:r w:rsidR="00C86A4A">
              <w:rPr>
                <w:noProof/>
                <w:webHidden/>
              </w:rPr>
              <w:fldChar w:fldCharType="separate"/>
            </w:r>
            <w:r w:rsidR="00C86A4A">
              <w:rPr>
                <w:noProof/>
                <w:webHidden/>
              </w:rPr>
              <w:t>1</w:t>
            </w:r>
            <w:r w:rsidR="00C86A4A">
              <w:rPr>
                <w:noProof/>
                <w:webHidden/>
              </w:rPr>
              <w:fldChar w:fldCharType="end"/>
            </w:r>
          </w:hyperlink>
        </w:p>
        <w:p w:rsidR="00C86A4A" w:rsidRDefault="00C86A4A">
          <w:pPr>
            <w:pStyle w:val="TOC2"/>
            <w:tabs>
              <w:tab w:val="right" w:leader="dot" w:pos="9350"/>
            </w:tabs>
            <w:rPr>
              <w:rFonts w:asciiTheme="minorHAnsi" w:eastAsiaTheme="minorEastAsia" w:hAnsiTheme="minorHAnsi"/>
              <w:noProof/>
              <w:sz w:val="22"/>
            </w:rPr>
          </w:pPr>
          <w:hyperlink w:anchor="_Toc67416496" w:history="1">
            <w:r w:rsidRPr="002D6147">
              <w:rPr>
                <w:rStyle w:val="Hyperlink"/>
                <w:noProof/>
              </w:rPr>
              <w:t>Case overview</w:t>
            </w:r>
            <w:r>
              <w:rPr>
                <w:noProof/>
                <w:webHidden/>
              </w:rPr>
              <w:tab/>
            </w:r>
            <w:r>
              <w:rPr>
                <w:noProof/>
                <w:webHidden/>
              </w:rPr>
              <w:fldChar w:fldCharType="begin"/>
            </w:r>
            <w:r>
              <w:rPr>
                <w:noProof/>
                <w:webHidden/>
              </w:rPr>
              <w:instrText xml:space="preserve"> PAGEREF _Toc67416496 \h </w:instrText>
            </w:r>
            <w:r>
              <w:rPr>
                <w:noProof/>
                <w:webHidden/>
              </w:rPr>
            </w:r>
            <w:r>
              <w:rPr>
                <w:noProof/>
                <w:webHidden/>
              </w:rPr>
              <w:fldChar w:fldCharType="separate"/>
            </w:r>
            <w:r>
              <w:rPr>
                <w:noProof/>
                <w:webHidden/>
              </w:rPr>
              <w:t>2</w:t>
            </w:r>
            <w:r>
              <w:rPr>
                <w:noProof/>
                <w:webHidden/>
              </w:rPr>
              <w:fldChar w:fldCharType="end"/>
            </w:r>
          </w:hyperlink>
        </w:p>
        <w:p w:rsidR="00C86A4A" w:rsidRDefault="00C86A4A">
          <w:pPr>
            <w:pStyle w:val="TOC2"/>
            <w:tabs>
              <w:tab w:val="right" w:leader="dot" w:pos="9350"/>
            </w:tabs>
            <w:rPr>
              <w:rFonts w:asciiTheme="minorHAnsi" w:eastAsiaTheme="minorEastAsia" w:hAnsiTheme="minorHAnsi"/>
              <w:noProof/>
              <w:sz w:val="22"/>
            </w:rPr>
          </w:pPr>
          <w:hyperlink w:anchor="_Toc67416497" w:history="1">
            <w:r w:rsidRPr="002D6147">
              <w:rPr>
                <w:rStyle w:val="Hyperlink"/>
                <w:noProof/>
              </w:rPr>
              <w:t>The relevant legal issue regarding the case</w:t>
            </w:r>
            <w:r>
              <w:rPr>
                <w:noProof/>
                <w:webHidden/>
              </w:rPr>
              <w:tab/>
            </w:r>
            <w:r>
              <w:rPr>
                <w:noProof/>
                <w:webHidden/>
              </w:rPr>
              <w:fldChar w:fldCharType="begin"/>
            </w:r>
            <w:r>
              <w:rPr>
                <w:noProof/>
                <w:webHidden/>
              </w:rPr>
              <w:instrText xml:space="preserve"> PAGEREF _Toc67416497 \h </w:instrText>
            </w:r>
            <w:r>
              <w:rPr>
                <w:noProof/>
                <w:webHidden/>
              </w:rPr>
            </w:r>
            <w:r>
              <w:rPr>
                <w:noProof/>
                <w:webHidden/>
              </w:rPr>
              <w:fldChar w:fldCharType="separate"/>
            </w:r>
            <w:r>
              <w:rPr>
                <w:noProof/>
                <w:webHidden/>
              </w:rPr>
              <w:t>2</w:t>
            </w:r>
            <w:r>
              <w:rPr>
                <w:noProof/>
                <w:webHidden/>
              </w:rPr>
              <w:fldChar w:fldCharType="end"/>
            </w:r>
          </w:hyperlink>
        </w:p>
        <w:p w:rsidR="00C86A4A" w:rsidRDefault="00C86A4A">
          <w:pPr>
            <w:pStyle w:val="TOC2"/>
            <w:tabs>
              <w:tab w:val="right" w:leader="dot" w:pos="9350"/>
            </w:tabs>
            <w:rPr>
              <w:rFonts w:asciiTheme="minorHAnsi" w:eastAsiaTheme="minorEastAsia" w:hAnsiTheme="minorHAnsi"/>
              <w:noProof/>
              <w:sz w:val="22"/>
            </w:rPr>
          </w:pPr>
          <w:hyperlink w:anchor="_Toc67416498" w:history="1">
            <w:r w:rsidRPr="002D6147">
              <w:rPr>
                <w:rStyle w:val="Hyperlink"/>
                <w:noProof/>
              </w:rPr>
              <w:t>Procedures for allocation of cases for trial, decision criterion of the court and options entitled to the defendant.</w:t>
            </w:r>
            <w:r>
              <w:rPr>
                <w:noProof/>
                <w:webHidden/>
              </w:rPr>
              <w:tab/>
            </w:r>
            <w:r>
              <w:rPr>
                <w:noProof/>
                <w:webHidden/>
              </w:rPr>
              <w:fldChar w:fldCharType="begin"/>
            </w:r>
            <w:r>
              <w:rPr>
                <w:noProof/>
                <w:webHidden/>
              </w:rPr>
              <w:instrText xml:space="preserve"> PAGEREF _Toc67416498 \h </w:instrText>
            </w:r>
            <w:r>
              <w:rPr>
                <w:noProof/>
                <w:webHidden/>
              </w:rPr>
            </w:r>
            <w:r>
              <w:rPr>
                <w:noProof/>
                <w:webHidden/>
              </w:rPr>
              <w:fldChar w:fldCharType="separate"/>
            </w:r>
            <w:r>
              <w:rPr>
                <w:noProof/>
                <w:webHidden/>
              </w:rPr>
              <w:t>4</w:t>
            </w:r>
            <w:r>
              <w:rPr>
                <w:noProof/>
                <w:webHidden/>
              </w:rPr>
              <w:fldChar w:fldCharType="end"/>
            </w:r>
          </w:hyperlink>
        </w:p>
        <w:p w:rsidR="00C86A4A" w:rsidRDefault="00C86A4A">
          <w:pPr>
            <w:pStyle w:val="TOC2"/>
            <w:tabs>
              <w:tab w:val="right" w:leader="dot" w:pos="9350"/>
            </w:tabs>
            <w:rPr>
              <w:rFonts w:asciiTheme="minorHAnsi" w:eastAsiaTheme="minorEastAsia" w:hAnsiTheme="minorHAnsi"/>
              <w:noProof/>
              <w:sz w:val="22"/>
            </w:rPr>
          </w:pPr>
          <w:hyperlink w:anchor="_Toc67416499" w:history="1">
            <w:r w:rsidRPr="002D6147">
              <w:rPr>
                <w:rStyle w:val="Hyperlink"/>
                <w:noProof/>
              </w:rPr>
              <w:t>Advantages and disadvantages or crown court and magistrate court</w:t>
            </w:r>
            <w:r>
              <w:rPr>
                <w:noProof/>
                <w:webHidden/>
              </w:rPr>
              <w:tab/>
            </w:r>
            <w:r>
              <w:rPr>
                <w:noProof/>
                <w:webHidden/>
              </w:rPr>
              <w:fldChar w:fldCharType="begin"/>
            </w:r>
            <w:r>
              <w:rPr>
                <w:noProof/>
                <w:webHidden/>
              </w:rPr>
              <w:instrText xml:space="preserve"> PAGEREF _Toc67416499 \h </w:instrText>
            </w:r>
            <w:r>
              <w:rPr>
                <w:noProof/>
                <w:webHidden/>
              </w:rPr>
            </w:r>
            <w:r>
              <w:rPr>
                <w:noProof/>
                <w:webHidden/>
              </w:rPr>
              <w:fldChar w:fldCharType="separate"/>
            </w:r>
            <w:r>
              <w:rPr>
                <w:noProof/>
                <w:webHidden/>
              </w:rPr>
              <w:t>5</w:t>
            </w:r>
            <w:r>
              <w:rPr>
                <w:noProof/>
                <w:webHidden/>
              </w:rPr>
              <w:fldChar w:fldCharType="end"/>
            </w:r>
          </w:hyperlink>
        </w:p>
        <w:p w:rsidR="00C86A4A" w:rsidRDefault="00C86A4A">
          <w:pPr>
            <w:pStyle w:val="TOC2"/>
            <w:tabs>
              <w:tab w:val="right" w:leader="dot" w:pos="9350"/>
            </w:tabs>
            <w:rPr>
              <w:rFonts w:asciiTheme="minorHAnsi" w:eastAsiaTheme="minorEastAsia" w:hAnsiTheme="minorHAnsi"/>
              <w:noProof/>
              <w:sz w:val="22"/>
            </w:rPr>
          </w:pPr>
          <w:hyperlink w:anchor="_Toc67416500" w:history="1">
            <w:r w:rsidRPr="002D6147">
              <w:rPr>
                <w:rStyle w:val="Hyperlink"/>
                <w:noProof/>
              </w:rPr>
              <w:t>Client’s entitlement to legal aid in the crown court</w:t>
            </w:r>
            <w:r>
              <w:rPr>
                <w:noProof/>
                <w:webHidden/>
              </w:rPr>
              <w:tab/>
            </w:r>
            <w:r>
              <w:rPr>
                <w:noProof/>
                <w:webHidden/>
              </w:rPr>
              <w:fldChar w:fldCharType="begin"/>
            </w:r>
            <w:r>
              <w:rPr>
                <w:noProof/>
                <w:webHidden/>
              </w:rPr>
              <w:instrText xml:space="preserve"> PAGEREF _Toc67416500 \h </w:instrText>
            </w:r>
            <w:r>
              <w:rPr>
                <w:noProof/>
                <w:webHidden/>
              </w:rPr>
            </w:r>
            <w:r>
              <w:rPr>
                <w:noProof/>
                <w:webHidden/>
              </w:rPr>
              <w:fldChar w:fldCharType="separate"/>
            </w:r>
            <w:r>
              <w:rPr>
                <w:noProof/>
                <w:webHidden/>
              </w:rPr>
              <w:t>6</w:t>
            </w:r>
            <w:r>
              <w:rPr>
                <w:noProof/>
                <w:webHidden/>
              </w:rPr>
              <w:fldChar w:fldCharType="end"/>
            </w:r>
          </w:hyperlink>
        </w:p>
        <w:p w:rsidR="00C86A4A" w:rsidRDefault="00C86A4A">
          <w:pPr>
            <w:pStyle w:val="TOC2"/>
            <w:tabs>
              <w:tab w:val="right" w:leader="dot" w:pos="9350"/>
            </w:tabs>
            <w:rPr>
              <w:rFonts w:asciiTheme="minorHAnsi" w:eastAsiaTheme="minorEastAsia" w:hAnsiTheme="minorHAnsi"/>
              <w:noProof/>
              <w:sz w:val="22"/>
            </w:rPr>
          </w:pPr>
          <w:hyperlink w:anchor="_Toc67416501" w:history="1">
            <w:r w:rsidRPr="002D6147">
              <w:rPr>
                <w:rStyle w:val="Hyperlink"/>
                <w:noProof/>
              </w:rPr>
              <w:t>The plea for William Brown in case of found guilty</w:t>
            </w:r>
            <w:r>
              <w:rPr>
                <w:noProof/>
                <w:webHidden/>
              </w:rPr>
              <w:tab/>
            </w:r>
            <w:r>
              <w:rPr>
                <w:noProof/>
                <w:webHidden/>
              </w:rPr>
              <w:fldChar w:fldCharType="begin"/>
            </w:r>
            <w:r>
              <w:rPr>
                <w:noProof/>
                <w:webHidden/>
              </w:rPr>
              <w:instrText xml:space="preserve"> PAGEREF _Toc67416501 \h </w:instrText>
            </w:r>
            <w:r>
              <w:rPr>
                <w:noProof/>
                <w:webHidden/>
              </w:rPr>
            </w:r>
            <w:r>
              <w:rPr>
                <w:noProof/>
                <w:webHidden/>
              </w:rPr>
              <w:fldChar w:fldCharType="separate"/>
            </w:r>
            <w:r>
              <w:rPr>
                <w:noProof/>
                <w:webHidden/>
              </w:rPr>
              <w:t>6</w:t>
            </w:r>
            <w:r>
              <w:rPr>
                <w:noProof/>
                <w:webHidden/>
              </w:rPr>
              <w:fldChar w:fldCharType="end"/>
            </w:r>
          </w:hyperlink>
        </w:p>
        <w:p w:rsidR="00C86A4A" w:rsidRDefault="00C86A4A">
          <w:pPr>
            <w:pStyle w:val="TOC1"/>
            <w:tabs>
              <w:tab w:val="right" w:leader="dot" w:pos="9350"/>
            </w:tabs>
            <w:rPr>
              <w:rFonts w:asciiTheme="minorHAnsi" w:eastAsiaTheme="minorEastAsia" w:hAnsiTheme="minorHAnsi"/>
              <w:noProof/>
              <w:sz w:val="22"/>
            </w:rPr>
          </w:pPr>
          <w:hyperlink w:anchor="_Toc67416502" w:history="1">
            <w:r w:rsidRPr="002D6147">
              <w:rPr>
                <w:rStyle w:val="Hyperlink"/>
                <w:noProof/>
              </w:rPr>
              <w:t>Conclusion</w:t>
            </w:r>
            <w:r>
              <w:rPr>
                <w:noProof/>
                <w:webHidden/>
              </w:rPr>
              <w:tab/>
            </w:r>
            <w:r>
              <w:rPr>
                <w:noProof/>
                <w:webHidden/>
              </w:rPr>
              <w:fldChar w:fldCharType="begin"/>
            </w:r>
            <w:r>
              <w:rPr>
                <w:noProof/>
                <w:webHidden/>
              </w:rPr>
              <w:instrText xml:space="preserve"> PAGEREF _Toc67416502 \h </w:instrText>
            </w:r>
            <w:r>
              <w:rPr>
                <w:noProof/>
                <w:webHidden/>
              </w:rPr>
            </w:r>
            <w:r>
              <w:rPr>
                <w:noProof/>
                <w:webHidden/>
              </w:rPr>
              <w:fldChar w:fldCharType="separate"/>
            </w:r>
            <w:r>
              <w:rPr>
                <w:noProof/>
                <w:webHidden/>
              </w:rPr>
              <w:t>8</w:t>
            </w:r>
            <w:r>
              <w:rPr>
                <w:noProof/>
                <w:webHidden/>
              </w:rPr>
              <w:fldChar w:fldCharType="end"/>
            </w:r>
          </w:hyperlink>
        </w:p>
        <w:p w:rsidR="00C86A4A" w:rsidRDefault="00C86A4A">
          <w:pPr>
            <w:pStyle w:val="TOC1"/>
            <w:tabs>
              <w:tab w:val="right" w:leader="dot" w:pos="9350"/>
            </w:tabs>
            <w:rPr>
              <w:rFonts w:asciiTheme="minorHAnsi" w:eastAsiaTheme="minorEastAsia" w:hAnsiTheme="minorHAnsi"/>
              <w:noProof/>
              <w:sz w:val="22"/>
            </w:rPr>
          </w:pPr>
          <w:hyperlink w:anchor="_Toc67416503" w:history="1">
            <w:r w:rsidRPr="002D6147">
              <w:rPr>
                <w:rStyle w:val="Hyperlink"/>
                <w:noProof/>
              </w:rPr>
              <w:t>References</w:t>
            </w:r>
            <w:r>
              <w:rPr>
                <w:noProof/>
                <w:webHidden/>
              </w:rPr>
              <w:tab/>
            </w:r>
            <w:r>
              <w:rPr>
                <w:noProof/>
                <w:webHidden/>
              </w:rPr>
              <w:fldChar w:fldCharType="begin"/>
            </w:r>
            <w:r>
              <w:rPr>
                <w:noProof/>
                <w:webHidden/>
              </w:rPr>
              <w:instrText xml:space="preserve"> PAGEREF _Toc67416503 \h </w:instrText>
            </w:r>
            <w:r>
              <w:rPr>
                <w:noProof/>
                <w:webHidden/>
              </w:rPr>
            </w:r>
            <w:r>
              <w:rPr>
                <w:noProof/>
                <w:webHidden/>
              </w:rPr>
              <w:fldChar w:fldCharType="separate"/>
            </w:r>
            <w:r>
              <w:rPr>
                <w:noProof/>
                <w:webHidden/>
              </w:rPr>
              <w:t>9</w:t>
            </w:r>
            <w:r>
              <w:rPr>
                <w:noProof/>
                <w:webHidden/>
              </w:rPr>
              <w:fldChar w:fldCharType="end"/>
            </w:r>
          </w:hyperlink>
        </w:p>
        <w:p w:rsidR="0065404C" w:rsidRDefault="0065404C">
          <w:r>
            <w:rPr>
              <w:b/>
              <w:bCs/>
              <w:noProof/>
            </w:rPr>
            <w:fldChar w:fldCharType="end"/>
          </w:r>
        </w:p>
      </w:sdtContent>
    </w:sdt>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0C0A6C" w:rsidRDefault="000C0A6C" w:rsidP="000C0A6C">
      <w:pPr>
        <w:rPr>
          <w:b/>
          <w:szCs w:val="24"/>
        </w:rPr>
      </w:pPr>
    </w:p>
    <w:p w:rsidR="0065404C" w:rsidRDefault="0065404C" w:rsidP="000C0A6C">
      <w:pPr>
        <w:rPr>
          <w:b/>
          <w:szCs w:val="24"/>
        </w:rPr>
        <w:sectPr w:rsidR="0065404C" w:rsidSect="0065404C">
          <w:footerReference w:type="default" r:id="rId7"/>
          <w:pgSz w:w="12240" w:h="15840"/>
          <w:pgMar w:top="1440" w:right="1440" w:bottom="1440" w:left="1440" w:header="720" w:footer="720" w:gutter="0"/>
          <w:pgNumType w:fmt="lowerRoman" w:start="1"/>
          <w:cols w:space="720"/>
          <w:docGrid w:linePitch="360"/>
        </w:sectPr>
      </w:pPr>
      <w:bookmarkStart w:id="0" w:name="_GoBack"/>
      <w:bookmarkEnd w:id="0"/>
    </w:p>
    <w:p w:rsidR="000C0A6C" w:rsidRDefault="000C0A6C" w:rsidP="000C0A6C">
      <w:pPr>
        <w:rPr>
          <w:b/>
          <w:szCs w:val="24"/>
        </w:rPr>
      </w:pPr>
    </w:p>
    <w:p w:rsidR="000C0A6C" w:rsidRPr="0065404C" w:rsidRDefault="000C0A6C" w:rsidP="0065404C">
      <w:pPr>
        <w:pStyle w:val="Heading1"/>
      </w:pPr>
      <w:bookmarkStart w:id="1" w:name="_Toc67416495"/>
      <w:r w:rsidRPr="0065404C">
        <w:t>Introduction</w:t>
      </w:r>
      <w:bookmarkEnd w:id="1"/>
      <w:r w:rsidRPr="0065404C">
        <w:t xml:space="preserve"> </w:t>
      </w:r>
    </w:p>
    <w:p w:rsidR="000C0A6C" w:rsidRDefault="000C0A6C" w:rsidP="000C0A6C">
      <w:pPr>
        <w:rPr>
          <w:szCs w:val="24"/>
        </w:rPr>
      </w:pPr>
      <w:r>
        <w:rPr>
          <w:szCs w:val="24"/>
        </w:rPr>
        <w:t xml:space="preserve">The criminal laws that prevail in the UK deal with criminal offences and their prevention through sentencing punishment. In the UK, a criminal offence is considered wrong against the community rather than a single person. The English legal system aims to </w:t>
      </w:r>
      <w:r w:rsidR="0000794B">
        <w:rPr>
          <w:szCs w:val="24"/>
        </w:rPr>
        <w:t xml:space="preserve">provide justice </w:t>
      </w:r>
      <w:r w:rsidR="008A2197">
        <w:rPr>
          <w:szCs w:val="24"/>
        </w:rPr>
        <w:t xml:space="preserve">for the offences of </w:t>
      </w:r>
      <w:r w:rsidR="00612A68">
        <w:rPr>
          <w:szCs w:val="24"/>
        </w:rPr>
        <w:t xml:space="preserve">the </w:t>
      </w:r>
      <w:r w:rsidR="008A2197">
        <w:rPr>
          <w:szCs w:val="24"/>
        </w:rPr>
        <w:t xml:space="preserve">defendant. The scope of the criminal laws </w:t>
      </w:r>
      <w:r w:rsidR="00612A68">
        <w:rPr>
          <w:szCs w:val="24"/>
        </w:rPr>
        <w:t>is</w:t>
      </w:r>
      <w:r w:rsidR="008A2197">
        <w:rPr>
          <w:szCs w:val="24"/>
        </w:rPr>
        <w:t xml:space="preserve"> to provide justice for criminal offences i.e. sexual offences, fraud, theft and property crime, homicide, criminal damages of property, </w:t>
      </w:r>
      <w:r w:rsidR="00612A68">
        <w:rPr>
          <w:szCs w:val="24"/>
        </w:rPr>
        <w:t xml:space="preserve">an </w:t>
      </w:r>
      <w:r w:rsidR="008A2197">
        <w:rPr>
          <w:szCs w:val="24"/>
        </w:rPr>
        <w:t xml:space="preserve">offence against the state etc. In most of the cases, the criminal cases are opened in the criminal division or crown court. </w:t>
      </w:r>
      <w:r w:rsidR="009851C0">
        <w:rPr>
          <w:szCs w:val="24"/>
        </w:rPr>
        <w:t xml:space="preserve">The study is based on a case </w:t>
      </w:r>
      <w:r w:rsidR="00224581">
        <w:rPr>
          <w:szCs w:val="24"/>
        </w:rPr>
        <w:t xml:space="preserve">regarding the allegation </w:t>
      </w:r>
      <w:r w:rsidR="00612A68">
        <w:rPr>
          <w:szCs w:val="24"/>
        </w:rPr>
        <w:t xml:space="preserve">of </w:t>
      </w:r>
      <w:r w:rsidR="00FD4D13">
        <w:rPr>
          <w:szCs w:val="24"/>
        </w:rPr>
        <w:t xml:space="preserve">theft and the objective of this study is to analyses the case and support recommending the client. </w:t>
      </w: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Default="00FD4D13" w:rsidP="000C0A6C">
      <w:pPr>
        <w:rPr>
          <w:szCs w:val="24"/>
        </w:rPr>
      </w:pPr>
    </w:p>
    <w:p w:rsidR="00FD4D13" w:rsidRPr="00FD4D13" w:rsidRDefault="00FD4D13" w:rsidP="0065404C">
      <w:pPr>
        <w:pStyle w:val="Heading2"/>
      </w:pPr>
      <w:bookmarkStart w:id="2" w:name="_Toc67416496"/>
      <w:r w:rsidRPr="00FD4D13">
        <w:t>Case overview</w:t>
      </w:r>
      <w:bookmarkEnd w:id="2"/>
      <w:r w:rsidRPr="00FD4D13">
        <w:t xml:space="preserve"> </w:t>
      </w:r>
    </w:p>
    <w:p w:rsidR="00FD4D13" w:rsidRDefault="00567A19" w:rsidP="000C0A6C">
      <w:pPr>
        <w:rPr>
          <w:szCs w:val="24"/>
        </w:rPr>
      </w:pPr>
      <w:r>
        <w:rPr>
          <w:szCs w:val="24"/>
        </w:rPr>
        <w:t>In the given case, William Brown</w:t>
      </w:r>
      <w:r w:rsidR="007C6808">
        <w:rPr>
          <w:szCs w:val="24"/>
        </w:rPr>
        <w:t xml:space="preserve"> was working as a company secretary in a rugby club. He has been</w:t>
      </w:r>
      <w:r>
        <w:rPr>
          <w:szCs w:val="24"/>
        </w:rPr>
        <w:t xml:space="preserve"> alleged for theft of </w:t>
      </w:r>
      <w:r w:rsidR="00612A68">
        <w:rPr>
          <w:szCs w:val="24"/>
        </w:rPr>
        <w:t xml:space="preserve">a </w:t>
      </w:r>
      <w:r>
        <w:rPr>
          <w:szCs w:val="24"/>
        </w:rPr>
        <w:t xml:space="preserve">total amount of </w:t>
      </w:r>
      <w:r>
        <w:rPr>
          <w:rFonts w:cs="Arial"/>
          <w:szCs w:val="24"/>
        </w:rPr>
        <w:t>£</w:t>
      </w:r>
      <w:r>
        <w:rPr>
          <w:szCs w:val="24"/>
        </w:rPr>
        <w:t>3000. However,</w:t>
      </w:r>
      <w:r w:rsidR="007C6808">
        <w:rPr>
          <w:szCs w:val="24"/>
        </w:rPr>
        <w:t xml:space="preserve"> the amount included</w:t>
      </w:r>
      <w:r>
        <w:rPr>
          <w:szCs w:val="24"/>
        </w:rPr>
        <w:t xml:space="preserve"> an amount of cash </w:t>
      </w:r>
      <w:r w:rsidR="007C6808">
        <w:rPr>
          <w:szCs w:val="24"/>
        </w:rPr>
        <w:t>and stock or wine and gin. He was</w:t>
      </w:r>
      <w:r>
        <w:rPr>
          <w:szCs w:val="24"/>
        </w:rPr>
        <w:t xml:space="preserve"> alleged for the theft because he was in charge of checking the stock level and other financial transaction. </w:t>
      </w:r>
      <w:r w:rsidR="007C6808">
        <w:rPr>
          <w:szCs w:val="24"/>
        </w:rPr>
        <w:t>The company argued that the theft took place during the undertaking of a be</w:t>
      </w:r>
      <w:r w:rsidR="00612A68">
        <w:rPr>
          <w:szCs w:val="24"/>
        </w:rPr>
        <w:t>e</w:t>
      </w:r>
      <w:r w:rsidR="007C6808">
        <w:rPr>
          <w:szCs w:val="24"/>
        </w:rPr>
        <w:t>r festival organized in the club. Moreover, there was an endeavo</w:t>
      </w:r>
      <w:r w:rsidR="00612A68">
        <w:rPr>
          <w:szCs w:val="24"/>
        </w:rPr>
        <w:t>u</w:t>
      </w:r>
      <w:r w:rsidR="007C6808">
        <w:rPr>
          <w:szCs w:val="24"/>
        </w:rPr>
        <w:t xml:space="preserve">r to cover the theft by </w:t>
      </w:r>
      <w:r w:rsidR="00612A68">
        <w:rPr>
          <w:szCs w:val="24"/>
        </w:rPr>
        <w:t xml:space="preserve">a </w:t>
      </w:r>
      <w:r w:rsidR="007C6808">
        <w:rPr>
          <w:szCs w:val="24"/>
        </w:rPr>
        <w:t xml:space="preserve">false statement of the stock records. However, William Brown had no previous criminal records and his financial condition is also stable. </w:t>
      </w:r>
    </w:p>
    <w:p w:rsidR="00253C4C" w:rsidRDefault="00612A68" w:rsidP="0065404C">
      <w:pPr>
        <w:pStyle w:val="Heading2"/>
      </w:pPr>
      <w:bookmarkStart w:id="3" w:name="_Toc67416497"/>
      <w:r>
        <w:t>The r</w:t>
      </w:r>
      <w:r w:rsidR="00253C4C" w:rsidRPr="00253C4C">
        <w:t>elevant legal issue regarding the case</w:t>
      </w:r>
      <w:bookmarkEnd w:id="3"/>
      <w:r w:rsidR="00253C4C" w:rsidRPr="00253C4C">
        <w:t xml:space="preserve"> </w:t>
      </w:r>
      <w:r w:rsidR="00253C4C" w:rsidRPr="00253C4C">
        <w:tab/>
      </w:r>
    </w:p>
    <w:p w:rsidR="007C6808" w:rsidRDefault="006D55EB" w:rsidP="00253C4C">
      <w:pPr>
        <w:rPr>
          <w:rStyle w:val="reference-text"/>
        </w:rPr>
      </w:pPr>
      <w:r>
        <w:rPr>
          <w:szCs w:val="24"/>
        </w:rPr>
        <w:t xml:space="preserve">The accusation of theft </w:t>
      </w:r>
      <w:r w:rsidR="00612A68">
        <w:rPr>
          <w:szCs w:val="24"/>
        </w:rPr>
        <w:t>is</w:t>
      </w:r>
      <w:r>
        <w:rPr>
          <w:szCs w:val="24"/>
        </w:rPr>
        <w:t xml:space="preserve"> handled by the Theft Act 1968 in the UK. According to this law, theft is defined as taking the possession of a property or appropriates to the property illegally without the knowledge of the actual owner for the intention to deprive the owner permanently mentioned in section 1 of the law</w:t>
      </w:r>
      <w:r w:rsidR="00FE2BB0">
        <w:rPr>
          <w:szCs w:val="24"/>
        </w:rPr>
        <w:t xml:space="preserve"> (Data.legislation.gov.uk, 2021)</w:t>
      </w:r>
      <w:r w:rsidR="000F1796">
        <w:rPr>
          <w:rStyle w:val="FootnoteReference"/>
          <w:szCs w:val="24"/>
        </w:rPr>
        <w:footnoteReference w:id="1"/>
      </w:r>
      <w:r>
        <w:rPr>
          <w:szCs w:val="24"/>
        </w:rPr>
        <w:t xml:space="preserve">. In case of theft, it is immaterial to </w:t>
      </w:r>
      <w:r w:rsidR="00725DBA">
        <w:rPr>
          <w:szCs w:val="24"/>
        </w:rPr>
        <w:t xml:space="preserve">consider whether the </w:t>
      </w:r>
      <w:r w:rsidR="00C608BF">
        <w:rPr>
          <w:szCs w:val="24"/>
        </w:rPr>
        <w:t xml:space="preserve">property has stolen for the own benefit of </w:t>
      </w:r>
      <w:r w:rsidR="00612A68">
        <w:rPr>
          <w:szCs w:val="24"/>
        </w:rPr>
        <w:t xml:space="preserve">the </w:t>
      </w:r>
      <w:r w:rsidR="00C608BF">
        <w:rPr>
          <w:szCs w:val="24"/>
        </w:rPr>
        <w:t xml:space="preserve">thief or work for others. In this case, the term property defines money, tangible or intangible assets. </w:t>
      </w:r>
      <w:r>
        <w:rPr>
          <w:szCs w:val="24"/>
        </w:rPr>
        <w:t xml:space="preserve">On the other hand, section 17 of the act deals with false accounting or records. </w:t>
      </w:r>
      <w:r w:rsidR="00C608BF">
        <w:rPr>
          <w:szCs w:val="24"/>
        </w:rPr>
        <w:t>Section 17(1) has mentioned that the defaces</w:t>
      </w:r>
      <w:r w:rsidR="00334741">
        <w:rPr>
          <w:szCs w:val="24"/>
        </w:rPr>
        <w:t xml:space="preserve">, falsification, destruction </w:t>
      </w:r>
      <w:r w:rsidR="00C608BF">
        <w:rPr>
          <w:szCs w:val="24"/>
        </w:rPr>
        <w:t xml:space="preserve">or </w:t>
      </w:r>
      <w:r w:rsidR="00334741">
        <w:rPr>
          <w:szCs w:val="24"/>
        </w:rPr>
        <w:t>punishment of the book of accounts or other record books are considered to be theft and ill be handled under the Theft Act 1968</w:t>
      </w:r>
      <w:r w:rsidR="00FE2BB0">
        <w:rPr>
          <w:szCs w:val="24"/>
        </w:rPr>
        <w:t xml:space="preserve"> (Griew, 2011)</w:t>
      </w:r>
      <w:r w:rsidR="000F1796">
        <w:rPr>
          <w:rStyle w:val="FootnoteReference"/>
          <w:szCs w:val="24"/>
        </w:rPr>
        <w:footnoteReference w:id="2"/>
      </w:r>
      <w:r w:rsidR="00334741">
        <w:rPr>
          <w:szCs w:val="24"/>
        </w:rPr>
        <w:t xml:space="preserve">. </w:t>
      </w:r>
      <w:r w:rsidR="0034561F">
        <w:rPr>
          <w:szCs w:val="24"/>
        </w:rPr>
        <w:t>While judging the criminal cases, the judges often consider two significant elements of criminal offences i.e. actus reus and men</w:t>
      </w:r>
      <w:r w:rsidR="00612A68">
        <w:rPr>
          <w:szCs w:val="24"/>
        </w:rPr>
        <w:t>'</w:t>
      </w:r>
      <w:r w:rsidR="0034561F">
        <w:rPr>
          <w:szCs w:val="24"/>
        </w:rPr>
        <w:t xml:space="preserve">s rea. </w:t>
      </w:r>
      <w:r w:rsidR="00BE74F3">
        <w:rPr>
          <w:szCs w:val="24"/>
        </w:rPr>
        <w:t>However, the actus reus is used to define the physical element of the crime or the activities of the offenders that leads to crime</w:t>
      </w:r>
      <w:r w:rsidR="00FE2BB0">
        <w:rPr>
          <w:szCs w:val="24"/>
        </w:rPr>
        <w:t xml:space="preserve"> (</w:t>
      </w:r>
      <w:r w:rsidR="00FE2BB0" w:rsidRPr="00C07FED">
        <w:rPr>
          <w:rFonts w:eastAsia="Times New Roman" w:cs="Arial"/>
          <w:szCs w:val="24"/>
        </w:rPr>
        <w:t>Sullivan</w:t>
      </w:r>
      <w:r w:rsidR="00FE2BB0">
        <w:rPr>
          <w:rFonts w:eastAsia="Times New Roman" w:cs="Arial"/>
          <w:szCs w:val="24"/>
        </w:rPr>
        <w:t>, 2017</w:t>
      </w:r>
      <w:r w:rsidR="00FE2BB0">
        <w:rPr>
          <w:szCs w:val="24"/>
        </w:rPr>
        <w:t>)</w:t>
      </w:r>
      <w:r w:rsidR="000F1796">
        <w:rPr>
          <w:rStyle w:val="FootnoteReference"/>
          <w:szCs w:val="24"/>
        </w:rPr>
        <w:footnoteReference w:id="3"/>
      </w:r>
      <w:r w:rsidR="00BE74F3">
        <w:rPr>
          <w:szCs w:val="24"/>
        </w:rPr>
        <w:t xml:space="preserve">. For example, when A </w:t>
      </w:r>
      <w:r w:rsidR="00BE74F3">
        <w:rPr>
          <w:szCs w:val="24"/>
        </w:rPr>
        <w:lastRenderedPageBreak/>
        <w:t xml:space="preserve">hit B by a stick, A has made an offence and it will </w:t>
      </w:r>
      <w:r w:rsidR="00612A68">
        <w:rPr>
          <w:szCs w:val="24"/>
        </w:rPr>
        <w:t xml:space="preserve">be </w:t>
      </w:r>
      <w:r w:rsidR="00BE74F3">
        <w:rPr>
          <w:szCs w:val="24"/>
        </w:rPr>
        <w:t>considered as actus reus in the court. In other words, every person has a pre-existing duty towards others not to harm others. An offence is taken place when such duty is breached and cause</w:t>
      </w:r>
      <w:r w:rsidR="00434E5A">
        <w:rPr>
          <w:szCs w:val="24"/>
        </w:rPr>
        <w:t>d</w:t>
      </w:r>
      <w:r w:rsidR="00BE74F3">
        <w:rPr>
          <w:szCs w:val="24"/>
        </w:rPr>
        <w:t xml:space="preserve"> harm to others that </w:t>
      </w:r>
      <w:r w:rsidR="00612A68">
        <w:rPr>
          <w:szCs w:val="24"/>
        </w:rPr>
        <w:t>are</w:t>
      </w:r>
      <w:r w:rsidR="00BE74F3">
        <w:rPr>
          <w:szCs w:val="24"/>
        </w:rPr>
        <w:t xml:space="preserve"> mentioned in the case of </w:t>
      </w:r>
      <w:hyperlink r:id="rId8" w:tooltip="R v Pittwood" w:history="1">
        <w:r w:rsidR="00BE74F3" w:rsidRPr="00BE74F3">
          <w:rPr>
            <w:rStyle w:val="Hyperlink"/>
            <w:b/>
            <w:i/>
            <w:iCs/>
            <w:color w:val="auto"/>
            <w:u w:val="none"/>
          </w:rPr>
          <w:t>R v Pittwood</w:t>
        </w:r>
      </w:hyperlink>
      <w:r w:rsidR="000F1796">
        <w:rPr>
          <w:rStyle w:val="reference-text"/>
          <w:b/>
          <w:i/>
        </w:rPr>
        <w:t xml:space="preserve"> (1902)</w:t>
      </w:r>
      <w:r w:rsidR="000F1796">
        <w:rPr>
          <w:rStyle w:val="FootnoteReference"/>
          <w:b/>
          <w:i/>
        </w:rPr>
        <w:footnoteReference w:id="4"/>
      </w:r>
      <w:r w:rsidR="00BE74F3" w:rsidRPr="00BE74F3">
        <w:rPr>
          <w:b/>
          <w:i/>
          <w:szCs w:val="24"/>
        </w:rPr>
        <w:t>.</w:t>
      </w:r>
      <w:r w:rsidR="00434E5A">
        <w:rPr>
          <w:szCs w:val="24"/>
        </w:rPr>
        <w:t xml:space="preserve"> According to this case, the defendant was accused </w:t>
      </w:r>
      <w:r w:rsidR="00612A68">
        <w:rPr>
          <w:szCs w:val="24"/>
        </w:rPr>
        <w:t>of</w:t>
      </w:r>
      <w:r w:rsidR="00AB67E0">
        <w:rPr>
          <w:szCs w:val="24"/>
        </w:rPr>
        <w:t xml:space="preserve"> breaching the general duty toward other</w:t>
      </w:r>
      <w:r w:rsidR="00612A68">
        <w:rPr>
          <w:szCs w:val="24"/>
        </w:rPr>
        <w:t>s</w:t>
      </w:r>
      <w:r w:rsidR="00AB67E0">
        <w:rPr>
          <w:szCs w:val="24"/>
        </w:rPr>
        <w:t xml:space="preserve">. However, the defendant was a railway worker who failed to lock the rail gate while rail was coming and hence manslaughter took place. Therefore, the court considers the actus reus and found that the incident took place but for the wrong act of the defendant and hence verdict against him. On the other hand, the case </w:t>
      </w:r>
      <w:hyperlink r:id="rId9" w:tooltip="R v Miller" w:history="1">
        <w:r w:rsidR="00AB67E0" w:rsidRPr="00AB67E0">
          <w:rPr>
            <w:rStyle w:val="Hyperlink"/>
            <w:b/>
            <w:i/>
            <w:iCs/>
            <w:color w:val="auto"/>
            <w:u w:val="none"/>
          </w:rPr>
          <w:t>R v Miller</w:t>
        </w:r>
      </w:hyperlink>
      <w:r w:rsidR="000F1796">
        <w:rPr>
          <w:rStyle w:val="reference-text"/>
          <w:b/>
          <w:i/>
        </w:rPr>
        <w:t xml:space="preserve"> [1983]</w:t>
      </w:r>
      <w:r w:rsidR="000F1796">
        <w:rPr>
          <w:rStyle w:val="FootnoteReference"/>
          <w:b/>
          <w:i/>
        </w:rPr>
        <w:footnoteReference w:id="5"/>
      </w:r>
      <w:r w:rsidR="00AB67E0">
        <w:rPr>
          <w:rStyle w:val="reference-text"/>
          <w:b/>
          <w:i/>
        </w:rPr>
        <w:t xml:space="preserve"> </w:t>
      </w:r>
      <w:r w:rsidR="00AB67E0">
        <w:rPr>
          <w:rStyle w:val="reference-text"/>
        </w:rPr>
        <w:t xml:space="preserve">indicates that a person will be liable for </w:t>
      </w:r>
      <w:r w:rsidR="00612A68">
        <w:rPr>
          <w:rStyle w:val="reference-text"/>
        </w:rPr>
        <w:t xml:space="preserve">the </w:t>
      </w:r>
      <w:r w:rsidR="00AB67E0">
        <w:rPr>
          <w:rStyle w:val="reference-text"/>
        </w:rPr>
        <w:t xml:space="preserve">mitigation of the dangerous act caused by him. In this case, the defended flicked away a still lite cigarette and it landed on a mattress. However, a severe fire broke out and the defendant was accused </w:t>
      </w:r>
      <w:r w:rsidR="00612A68">
        <w:rPr>
          <w:rStyle w:val="reference-text"/>
        </w:rPr>
        <w:t>of</w:t>
      </w:r>
      <w:r w:rsidR="00AB67E0">
        <w:rPr>
          <w:rStyle w:val="reference-text"/>
        </w:rPr>
        <w:t xml:space="preserve"> arson. </w:t>
      </w:r>
      <w:r w:rsidR="00E9066E">
        <w:rPr>
          <w:rStyle w:val="reference-text"/>
        </w:rPr>
        <w:t>The court held that actus reus exist in the court because the defendant was responsible for correcting the dangerous but he did not. As a result, the court held the defendant liable</w:t>
      </w:r>
      <w:r w:rsidR="000F1796">
        <w:rPr>
          <w:rStyle w:val="reference-text"/>
        </w:rPr>
        <w:t xml:space="preserve"> (</w:t>
      </w:r>
      <w:r w:rsidR="000F1796" w:rsidRPr="000F1796">
        <w:rPr>
          <w:rFonts w:eastAsia="Times New Roman" w:cs="Arial"/>
          <w:szCs w:val="24"/>
        </w:rPr>
        <w:t>Guinchard, 2014</w:t>
      </w:r>
      <w:r w:rsidR="000F1796">
        <w:rPr>
          <w:rStyle w:val="reference-text"/>
        </w:rPr>
        <w:t>)</w:t>
      </w:r>
      <w:r w:rsidR="000F1796">
        <w:rPr>
          <w:rStyle w:val="FootnoteReference"/>
        </w:rPr>
        <w:footnoteReference w:id="6"/>
      </w:r>
      <w:r w:rsidR="00E9066E">
        <w:rPr>
          <w:rStyle w:val="reference-text"/>
        </w:rPr>
        <w:t xml:space="preserve">. The causation or actus reus should be proved in the criminal offence cases and the chain of causation must be broken by the act of the defendant. </w:t>
      </w:r>
    </w:p>
    <w:p w:rsidR="007E4A4B" w:rsidRDefault="00E9066E" w:rsidP="00253C4C">
      <w:r>
        <w:rPr>
          <w:rStyle w:val="reference-text"/>
        </w:rPr>
        <w:t>Men</w:t>
      </w:r>
      <w:r w:rsidR="00612A68">
        <w:rPr>
          <w:rStyle w:val="reference-text"/>
        </w:rPr>
        <w:t>'</w:t>
      </w:r>
      <w:r>
        <w:rPr>
          <w:rStyle w:val="reference-text"/>
        </w:rPr>
        <w:t xml:space="preserve">s rea is another word often used in criminal cases that indicates </w:t>
      </w:r>
      <w:r w:rsidR="00612A68">
        <w:rPr>
          <w:rStyle w:val="reference-text"/>
        </w:rPr>
        <w:t xml:space="preserve">the </w:t>
      </w:r>
      <w:r>
        <w:rPr>
          <w:rStyle w:val="reference-text"/>
        </w:rPr>
        <w:t>guilty mind or intention of the offenders. In criminal law, the judges ha</w:t>
      </w:r>
      <w:r w:rsidR="00612A68">
        <w:rPr>
          <w:rStyle w:val="reference-text"/>
        </w:rPr>
        <w:t>ve</w:t>
      </w:r>
      <w:r>
        <w:rPr>
          <w:rStyle w:val="reference-text"/>
        </w:rPr>
        <w:t xml:space="preserve"> differentiated the intention from motive. In the case of </w:t>
      </w:r>
      <w:hyperlink r:id="rId10" w:tooltip="R v Mohan" w:history="1">
        <w:r w:rsidRPr="00E9066E">
          <w:rPr>
            <w:rStyle w:val="Hyperlink"/>
            <w:b/>
            <w:i/>
            <w:iCs/>
            <w:color w:val="auto"/>
            <w:u w:val="none"/>
          </w:rPr>
          <w:t>R v Mohan</w:t>
        </w:r>
      </w:hyperlink>
      <w:r w:rsidR="000F1796">
        <w:rPr>
          <w:b/>
          <w:i/>
        </w:rPr>
        <w:t xml:space="preserve"> [1975]</w:t>
      </w:r>
      <w:r w:rsidR="000F1796">
        <w:rPr>
          <w:rStyle w:val="FootnoteReference"/>
          <w:b/>
          <w:i/>
        </w:rPr>
        <w:footnoteReference w:id="7"/>
      </w:r>
      <w:r>
        <w:rPr>
          <w:b/>
          <w:i/>
        </w:rPr>
        <w:t xml:space="preserve">, </w:t>
      </w:r>
      <w:r>
        <w:t xml:space="preserve">the learned judged defined intention as a decision to commit a crime. </w:t>
      </w:r>
      <w:r w:rsidR="001276F7">
        <w:t>The learned judge</w:t>
      </w:r>
      <w:r w:rsidR="00612A68">
        <w:t>, in this case,</w:t>
      </w:r>
      <w:r w:rsidR="001276F7">
        <w:t xml:space="preserve"> mentioned that the intention is the decision to commit a crime </w:t>
      </w:r>
      <w:r w:rsidR="00612A68">
        <w:t>that</w:t>
      </w:r>
      <w:r w:rsidR="001276F7">
        <w:t xml:space="preserve"> is distant from </w:t>
      </w:r>
      <w:r w:rsidR="00612A68">
        <w:t xml:space="preserve">the </w:t>
      </w:r>
      <w:r w:rsidR="001276F7">
        <w:t>motive of the crime. In criminal cases, the men</w:t>
      </w:r>
      <w:r w:rsidR="00612A68">
        <w:t>'</w:t>
      </w:r>
      <w:r w:rsidR="001276F7">
        <w:t xml:space="preserve">s rea can be established if </w:t>
      </w:r>
      <w:r w:rsidR="00612A68">
        <w:t xml:space="preserve">the </w:t>
      </w:r>
      <w:r w:rsidR="001276F7">
        <w:t>prosecution can prove that the defended knew the danger of the act and he decided to commit the act by any means</w:t>
      </w:r>
      <w:r w:rsidR="00FE2BB0">
        <w:t xml:space="preserve"> (</w:t>
      </w:r>
      <w:r w:rsidR="00FE2BB0" w:rsidRPr="00C07FED">
        <w:rPr>
          <w:rFonts w:eastAsia="Times New Roman" w:cs="Arial"/>
          <w:szCs w:val="24"/>
        </w:rPr>
        <w:t>Sullivan</w:t>
      </w:r>
      <w:r w:rsidR="00FE2BB0">
        <w:rPr>
          <w:rFonts w:eastAsia="Times New Roman" w:cs="Arial"/>
          <w:szCs w:val="24"/>
        </w:rPr>
        <w:t xml:space="preserve">, </w:t>
      </w:r>
      <w:r w:rsidR="00FE2BB0">
        <w:rPr>
          <w:rFonts w:eastAsia="Times New Roman" w:cs="Arial"/>
          <w:szCs w:val="24"/>
        </w:rPr>
        <w:lastRenderedPageBreak/>
        <w:t>2017</w:t>
      </w:r>
      <w:r w:rsidR="00FE2BB0">
        <w:t>)</w:t>
      </w:r>
      <w:r w:rsidR="000F1796">
        <w:rPr>
          <w:rStyle w:val="FootnoteReference"/>
        </w:rPr>
        <w:footnoteReference w:id="8"/>
      </w:r>
      <w:r w:rsidR="001276F7">
        <w:t xml:space="preserve">. In the given case of William Brown, the prosecution has to prove that the act of defendant that the act of William Brown has directly caused the theft and he had </w:t>
      </w:r>
      <w:r w:rsidR="00612A68">
        <w:t xml:space="preserve">the </w:t>
      </w:r>
      <w:r w:rsidR="001276F7">
        <w:t xml:space="preserve">intention to commit such an offence. The range of punishment for theft varies according to the nature and intensities of the theft. </w:t>
      </w:r>
      <w:r w:rsidR="00334AF4">
        <w:t>However, in the UK at most 7 years of imprisonment may be sentenced for theft</w:t>
      </w:r>
      <w:r w:rsidR="00FE2BB0">
        <w:t xml:space="preserve"> (Griew, 2011)</w:t>
      </w:r>
      <w:r w:rsidR="000F1796">
        <w:rPr>
          <w:rStyle w:val="FootnoteReference"/>
        </w:rPr>
        <w:footnoteReference w:id="9"/>
      </w:r>
      <w:r w:rsidR="00334AF4">
        <w:t>. On the other hand, in case of embezzlement</w:t>
      </w:r>
      <w:r w:rsidR="007E4A4B">
        <w:t xml:space="preserve"> of fund or fraud through </w:t>
      </w:r>
      <w:r w:rsidR="00612A68">
        <w:t xml:space="preserve">a </w:t>
      </w:r>
      <w:r w:rsidR="007E4A4B">
        <w:t xml:space="preserve">book of accounts or records, </w:t>
      </w:r>
      <w:r w:rsidR="00612A68">
        <w:t xml:space="preserve">a </w:t>
      </w:r>
      <w:r w:rsidR="007E4A4B">
        <w:t xml:space="preserve">maximum of 7 years of imprisonment may also be sentenced to the liable party. </w:t>
      </w:r>
    </w:p>
    <w:p w:rsidR="00E9066E" w:rsidRDefault="007E4A4B" w:rsidP="0065404C">
      <w:pPr>
        <w:pStyle w:val="Heading2"/>
      </w:pPr>
      <w:bookmarkStart w:id="4" w:name="_Toc67416498"/>
      <w:r w:rsidRPr="007E4A4B">
        <w:t xml:space="preserve">Procedures for allocation of cases for trial, decision criterion of the court and options entitled to </w:t>
      </w:r>
      <w:r w:rsidR="00612A68">
        <w:t xml:space="preserve">the </w:t>
      </w:r>
      <w:r w:rsidRPr="007E4A4B">
        <w:t>defendant.</w:t>
      </w:r>
      <w:bookmarkEnd w:id="4"/>
      <w:r w:rsidRPr="007E4A4B">
        <w:t xml:space="preserve"> </w:t>
      </w:r>
    </w:p>
    <w:p w:rsidR="009B12BE" w:rsidRDefault="009B12BE" w:rsidP="00253C4C">
      <w:pPr>
        <w:rPr>
          <w:rFonts w:cs="Arial"/>
        </w:rPr>
      </w:pPr>
      <w:r>
        <w:rPr>
          <w:rFonts w:cs="Arial"/>
        </w:rPr>
        <w:t>The procedures of allocation of cases for trial involves making decisions whether the cases will be judged in the magistrate court or transferred to the crown court</w:t>
      </w:r>
      <w:r w:rsidR="00FE2BB0">
        <w:rPr>
          <w:rFonts w:cs="Arial"/>
        </w:rPr>
        <w:t xml:space="preserve"> (Kiralfy, 2018)</w:t>
      </w:r>
      <w:r w:rsidR="000F1796">
        <w:rPr>
          <w:rStyle w:val="FootnoteReference"/>
          <w:rFonts w:cs="Arial"/>
        </w:rPr>
        <w:footnoteReference w:id="10"/>
      </w:r>
      <w:r>
        <w:rPr>
          <w:rFonts w:cs="Arial"/>
        </w:rPr>
        <w:t>. As part of the allocation, in the first hearing, the court ask</w:t>
      </w:r>
      <w:r w:rsidR="00612A68">
        <w:rPr>
          <w:rFonts w:cs="Arial"/>
        </w:rPr>
        <w:t>s</w:t>
      </w:r>
      <w:r>
        <w:rPr>
          <w:rFonts w:cs="Arial"/>
        </w:rPr>
        <w:t xml:space="preserve"> the defendant whether he accept</w:t>
      </w:r>
      <w:r w:rsidR="00612A68">
        <w:rPr>
          <w:rFonts w:cs="Arial"/>
        </w:rPr>
        <w:t>s</w:t>
      </w:r>
      <w:r>
        <w:rPr>
          <w:rFonts w:cs="Arial"/>
        </w:rPr>
        <w:t xml:space="preserve"> the guilty or not. If the defendant accept</w:t>
      </w:r>
      <w:r w:rsidR="00612A68">
        <w:rPr>
          <w:rFonts w:cs="Arial"/>
        </w:rPr>
        <w:t>s</w:t>
      </w:r>
      <w:r>
        <w:rPr>
          <w:rFonts w:cs="Arial"/>
        </w:rPr>
        <w:t xml:space="preserve"> the guilty plea, the court will consider whether the magistrate court is sufficient to provide </w:t>
      </w:r>
      <w:r w:rsidR="00612A68">
        <w:rPr>
          <w:rFonts w:cs="Arial"/>
        </w:rPr>
        <w:t xml:space="preserve">a </w:t>
      </w:r>
      <w:r>
        <w:rPr>
          <w:rFonts w:cs="Arial"/>
        </w:rPr>
        <w:t xml:space="preserve">sentence for the crime. However, if the power of </w:t>
      </w:r>
      <w:r w:rsidR="00612A68">
        <w:rPr>
          <w:rFonts w:cs="Arial"/>
        </w:rPr>
        <w:t xml:space="preserve">the </w:t>
      </w:r>
      <w:r>
        <w:rPr>
          <w:rFonts w:cs="Arial"/>
        </w:rPr>
        <w:t xml:space="preserve">magistrate court is not sufficient, it may </w:t>
      </w:r>
      <w:r w:rsidR="00612A68">
        <w:rPr>
          <w:rFonts w:cs="Arial"/>
        </w:rPr>
        <w:t>decide on</w:t>
      </w:r>
      <w:r>
        <w:rPr>
          <w:rFonts w:cs="Arial"/>
        </w:rPr>
        <w:t xml:space="preserve"> </w:t>
      </w:r>
      <w:r w:rsidR="00612A68">
        <w:rPr>
          <w:rFonts w:cs="Arial"/>
        </w:rPr>
        <w:t xml:space="preserve">the </w:t>
      </w:r>
      <w:r>
        <w:rPr>
          <w:rFonts w:cs="Arial"/>
        </w:rPr>
        <w:t xml:space="preserve">transfer of the case to the magistrate court. On the other hand, if the defendant pleads not guilty plea, the court has to </w:t>
      </w:r>
      <w:r w:rsidR="00612A68">
        <w:rPr>
          <w:rFonts w:cs="Arial"/>
        </w:rPr>
        <w:t>decide</w:t>
      </w:r>
      <w:r>
        <w:rPr>
          <w:rFonts w:cs="Arial"/>
        </w:rPr>
        <w:t xml:space="preserve"> whether the case to be allocated to the magistrate court or crown court</w:t>
      </w:r>
      <w:r w:rsidR="00FE2BB0">
        <w:rPr>
          <w:rFonts w:cs="Arial"/>
        </w:rPr>
        <w:t xml:space="preserve"> (</w:t>
      </w:r>
      <w:r w:rsidR="00FE2BB0">
        <w:rPr>
          <w:rFonts w:eastAsia="Times New Roman" w:cs="Arial"/>
          <w:szCs w:val="24"/>
        </w:rPr>
        <w:t xml:space="preserve">Cretney </w:t>
      </w:r>
      <w:r w:rsidR="00FE2BB0" w:rsidRPr="00C07FED">
        <w:rPr>
          <w:rFonts w:eastAsia="Times New Roman" w:cs="Arial"/>
          <w:szCs w:val="24"/>
        </w:rPr>
        <w:t>and Rock</w:t>
      </w:r>
      <w:r w:rsidR="00FE2BB0">
        <w:rPr>
          <w:rFonts w:eastAsia="Times New Roman" w:cs="Arial"/>
          <w:szCs w:val="24"/>
        </w:rPr>
        <w:t>, 2015</w:t>
      </w:r>
      <w:r w:rsidR="00FE2BB0">
        <w:rPr>
          <w:rFonts w:cs="Arial"/>
        </w:rPr>
        <w:t>)</w:t>
      </w:r>
      <w:r w:rsidR="000F1796">
        <w:rPr>
          <w:rStyle w:val="FootnoteReference"/>
          <w:rFonts w:cs="Arial"/>
        </w:rPr>
        <w:footnoteReference w:id="11"/>
      </w:r>
      <w:r>
        <w:rPr>
          <w:rFonts w:cs="Arial"/>
        </w:rPr>
        <w:t xml:space="preserve">. </w:t>
      </w:r>
      <w:r w:rsidR="003D6034">
        <w:rPr>
          <w:rFonts w:cs="Arial"/>
        </w:rPr>
        <w:t>The magistrate considers whether the case can be judged through a summary trial. Even after the summary trial, the judges may ask the defendant whether he is willing to continue in the magistrate court or like to try the case by the jury</w:t>
      </w:r>
      <w:r w:rsidR="00FE2BB0">
        <w:rPr>
          <w:rFonts w:cs="Arial"/>
        </w:rPr>
        <w:t xml:space="preserve"> (</w:t>
      </w:r>
      <w:r w:rsidR="00FE2BB0">
        <w:rPr>
          <w:rFonts w:eastAsia="Times New Roman" w:cs="Arial"/>
          <w:szCs w:val="24"/>
        </w:rPr>
        <w:t xml:space="preserve">Xhina </w:t>
      </w:r>
      <w:r w:rsidR="00FE2BB0" w:rsidRPr="00C07FED">
        <w:rPr>
          <w:rFonts w:eastAsia="Times New Roman" w:cs="Arial"/>
          <w:szCs w:val="24"/>
        </w:rPr>
        <w:t>and Aliaj</w:t>
      </w:r>
      <w:r w:rsidR="00FE2BB0">
        <w:rPr>
          <w:rFonts w:eastAsia="Times New Roman" w:cs="Arial"/>
          <w:szCs w:val="24"/>
        </w:rPr>
        <w:t>, 2013</w:t>
      </w:r>
      <w:r w:rsidR="00FE2BB0">
        <w:rPr>
          <w:rFonts w:cs="Arial"/>
        </w:rPr>
        <w:t>)</w:t>
      </w:r>
      <w:r w:rsidR="000F1796">
        <w:rPr>
          <w:rStyle w:val="FootnoteReference"/>
          <w:rFonts w:cs="Arial"/>
        </w:rPr>
        <w:footnoteReference w:id="12"/>
      </w:r>
      <w:r w:rsidR="003D6034">
        <w:rPr>
          <w:rFonts w:cs="Arial"/>
        </w:rPr>
        <w:t xml:space="preserve">. Therefore, the defendant has the option to select </w:t>
      </w:r>
      <w:r w:rsidR="003D6034">
        <w:rPr>
          <w:rFonts w:cs="Arial"/>
        </w:rPr>
        <w:lastRenderedPageBreak/>
        <w:t>from the option. On the other hand, in any case, the defendant has the right to select legal professionals and mode or trail. In the case of William Brown, the defendant had plea</w:t>
      </w:r>
      <w:r w:rsidR="00612A68">
        <w:rPr>
          <w:rFonts w:cs="Arial"/>
        </w:rPr>
        <w:t>de</w:t>
      </w:r>
      <w:r w:rsidR="003D6034">
        <w:rPr>
          <w:rFonts w:cs="Arial"/>
        </w:rPr>
        <w:t xml:space="preserve">d for </w:t>
      </w:r>
      <w:r w:rsidR="00612A68">
        <w:rPr>
          <w:rFonts w:cs="Arial"/>
        </w:rPr>
        <w:t xml:space="preserve">the </w:t>
      </w:r>
      <w:r w:rsidR="003D6034">
        <w:rPr>
          <w:rFonts w:cs="Arial"/>
        </w:rPr>
        <w:t xml:space="preserve">not guilty plea and hence the court not will </w:t>
      </w:r>
      <w:r w:rsidR="00612A68">
        <w:rPr>
          <w:rFonts w:cs="Arial"/>
        </w:rPr>
        <w:t>decide</w:t>
      </w:r>
      <w:r w:rsidR="003D6034">
        <w:rPr>
          <w:rFonts w:cs="Arial"/>
        </w:rPr>
        <w:t xml:space="preserve"> whether the judgments will be continued in magistrate court or crown court. If the defendant has consent</w:t>
      </w:r>
      <w:r w:rsidR="00612A68">
        <w:rPr>
          <w:rFonts w:cs="Arial"/>
        </w:rPr>
        <w:t>ed</w:t>
      </w:r>
      <w:r w:rsidR="003D6034">
        <w:rPr>
          <w:rFonts w:cs="Arial"/>
        </w:rPr>
        <w:t xml:space="preserve"> </w:t>
      </w:r>
      <w:r w:rsidR="00612A68">
        <w:rPr>
          <w:rFonts w:cs="Arial"/>
        </w:rPr>
        <w:t>to</w:t>
      </w:r>
      <w:r w:rsidR="003D6034">
        <w:rPr>
          <w:rFonts w:cs="Arial"/>
        </w:rPr>
        <w:t xml:space="preserve"> it, the case will be transferred to the crown court. Otherwise, the court will fix a date for </w:t>
      </w:r>
      <w:r w:rsidR="00612A68">
        <w:rPr>
          <w:rFonts w:cs="Arial"/>
        </w:rPr>
        <w:t xml:space="preserve">a </w:t>
      </w:r>
      <w:r w:rsidR="003D6034">
        <w:rPr>
          <w:rFonts w:cs="Arial"/>
        </w:rPr>
        <w:t xml:space="preserve">future trial. </w:t>
      </w:r>
    </w:p>
    <w:p w:rsidR="003D6034" w:rsidRDefault="003D6034" w:rsidP="0065404C">
      <w:pPr>
        <w:pStyle w:val="Heading2"/>
      </w:pPr>
      <w:bookmarkStart w:id="5" w:name="_Toc67416499"/>
      <w:r w:rsidRPr="003D6034">
        <w:t xml:space="preserve">Advantages and disadvantages or crown court </w:t>
      </w:r>
      <w:r w:rsidR="002965F3">
        <w:t>and magistrate court</w:t>
      </w:r>
      <w:bookmarkEnd w:id="5"/>
      <w:r w:rsidR="002965F3">
        <w:t xml:space="preserve"> </w:t>
      </w:r>
    </w:p>
    <w:p w:rsidR="002965F3" w:rsidRDefault="00621751" w:rsidP="00253C4C">
      <w:pPr>
        <w:rPr>
          <w:rFonts w:cs="Arial"/>
        </w:rPr>
      </w:pPr>
      <w:r>
        <w:rPr>
          <w:rFonts w:cs="Arial"/>
        </w:rPr>
        <w:t xml:space="preserve">Crown court and magistrate court both has advantages and disadvantages. Let’s look </w:t>
      </w:r>
      <w:r w:rsidR="00612A68">
        <w:rPr>
          <w:rFonts w:cs="Arial"/>
        </w:rPr>
        <w:t>at</w:t>
      </w:r>
      <w:r>
        <w:rPr>
          <w:rFonts w:cs="Arial"/>
        </w:rPr>
        <w:t xml:space="preserve"> the advantages and disadvantages of </w:t>
      </w:r>
      <w:r w:rsidR="00612A68">
        <w:rPr>
          <w:rFonts w:cs="Arial"/>
        </w:rPr>
        <w:t xml:space="preserve">the </w:t>
      </w:r>
      <w:r>
        <w:rPr>
          <w:rFonts w:cs="Arial"/>
        </w:rPr>
        <w:t>crown court first. The crown courts are likely to be more acquitted. In the magistrate courts, only 20% of the defendant who plead</w:t>
      </w:r>
      <w:r w:rsidR="00612A68">
        <w:rPr>
          <w:rFonts w:cs="Arial"/>
        </w:rPr>
        <w:t>s</w:t>
      </w:r>
      <w:r>
        <w:rPr>
          <w:rFonts w:cs="Arial"/>
        </w:rPr>
        <w:t xml:space="preserve"> not guilty are found not guilty</w:t>
      </w:r>
      <w:r w:rsidR="00FE2BB0">
        <w:rPr>
          <w:rFonts w:cs="Arial"/>
        </w:rPr>
        <w:t xml:space="preserve"> (Shavell, 2015)</w:t>
      </w:r>
      <w:r w:rsidR="000F1796">
        <w:rPr>
          <w:rStyle w:val="FootnoteReference"/>
          <w:rFonts w:cs="Arial"/>
        </w:rPr>
        <w:footnoteReference w:id="13"/>
      </w:r>
      <w:r>
        <w:rPr>
          <w:rFonts w:cs="Arial"/>
        </w:rPr>
        <w:t xml:space="preserve">. In </w:t>
      </w:r>
      <w:r w:rsidR="00612A68">
        <w:rPr>
          <w:rFonts w:cs="Arial"/>
        </w:rPr>
        <w:t xml:space="preserve">the </w:t>
      </w:r>
      <w:r>
        <w:rPr>
          <w:rFonts w:cs="Arial"/>
        </w:rPr>
        <w:t xml:space="preserve">case of </w:t>
      </w:r>
      <w:r w:rsidR="00612A68">
        <w:rPr>
          <w:rFonts w:cs="Arial"/>
        </w:rPr>
        <w:t xml:space="preserve">the </w:t>
      </w:r>
      <w:r>
        <w:rPr>
          <w:rFonts w:cs="Arial"/>
        </w:rPr>
        <w:t xml:space="preserve">crown court, the percentage is 60%. </w:t>
      </w:r>
      <w:r w:rsidR="002F7D2A">
        <w:rPr>
          <w:rFonts w:cs="Arial"/>
        </w:rPr>
        <w:t xml:space="preserve">Moreover, there has </w:t>
      </w:r>
      <w:r w:rsidR="00612A68">
        <w:rPr>
          <w:rFonts w:cs="Arial"/>
        </w:rPr>
        <w:t xml:space="preserve">the </w:t>
      </w:r>
      <w:r w:rsidR="002F7D2A">
        <w:rPr>
          <w:rFonts w:cs="Arial"/>
        </w:rPr>
        <w:t xml:space="preserve">possibility of serving part of the sentence while the offender is in the remand position. On the other hand, the defendant </w:t>
      </w:r>
      <w:r w:rsidR="00612A68">
        <w:rPr>
          <w:rFonts w:cs="Arial"/>
        </w:rPr>
        <w:t>is</w:t>
      </w:r>
      <w:r w:rsidR="002F7D2A">
        <w:rPr>
          <w:rFonts w:cs="Arial"/>
        </w:rPr>
        <w:t xml:space="preserve"> more likely to get higher legal aid and support. On the contrary, </w:t>
      </w:r>
      <w:r w:rsidR="00561D0B">
        <w:rPr>
          <w:rFonts w:cs="Arial"/>
        </w:rPr>
        <w:t xml:space="preserve">among the disadvantages, </w:t>
      </w:r>
      <w:r w:rsidR="001072B2">
        <w:rPr>
          <w:rFonts w:cs="Arial"/>
        </w:rPr>
        <w:t xml:space="preserve">the time required for trial in the crown court </w:t>
      </w:r>
      <w:r w:rsidR="00561D0B">
        <w:rPr>
          <w:rFonts w:cs="Arial"/>
        </w:rPr>
        <w:t xml:space="preserve">is higher than </w:t>
      </w:r>
      <w:r w:rsidR="00612A68">
        <w:rPr>
          <w:rFonts w:cs="Arial"/>
        </w:rPr>
        <w:t xml:space="preserve">in </w:t>
      </w:r>
      <w:r w:rsidR="00561D0B">
        <w:rPr>
          <w:rFonts w:cs="Arial"/>
        </w:rPr>
        <w:t>any other courts</w:t>
      </w:r>
      <w:r w:rsidR="00FE2BB0">
        <w:rPr>
          <w:rFonts w:cs="Arial"/>
        </w:rPr>
        <w:t xml:space="preserve"> (</w:t>
      </w:r>
      <w:r w:rsidR="00FE2BB0" w:rsidRPr="00C07FED">
        <w:rPr>
          <w:rFonts w:eastAsia="Times New Roman" w:cs="Arial"/>
          <w:szCs w:val="24"/>
        </w:rPr>
        <w:t>Geeroms</w:t>
      </w:r>
      <w:r w:rsidR="00FE2BB0">
        <w:rPr>
          <w:rFonts w:eastAsia="Times New Roman" w:cs="Arial"/>
          <w:szCs w:val="24"/>
        </w:rPr>
        <w:t>, 2014</w:t>
      </w:r>
      <w:r w:rsidR="00FE2BB0">
        <w:rPr>
          <w:rFonts w:cs="Arial"/>
        </w:rPr>
        <w:t>)</w:t>
      </w:r>
      <w:r w:rsidR="000F1796">
        <w:rPr>
          <w:rStyle w:val="FootnoteReference"/>
          <w:rFonts w:cs="Arial"/>
        </w:rPr>
        <w:footnoteReference w:id="14"/>
      </w:r>
      <w:r w:rsidR="00561D0B">
        <w:rPr>
          <w:rFonts w:cs="Arial"/>
        </w:rPr>
        <w:t xml:space="preserve">. The cost of litigation in the crown court is too high that discourages the justice seekers. Moreover, the trial in crown court is disadvantageous for the defendant because it has more sentencing power compared to magistrate court. </w:t>
      </w:r>
    </w:p>
    <w:p w:rsidR="00561D0B" w:rsidRDefault="00561D0B" w:rsidP="00253C4C">
      <w:pPr>
        <w:rPr>
          <w:rFonts w:cs="Arial"/>
        </w:rPr>
      </w:pPr>
      <w:r>
        <w:rPr>
          <w:rFonts w:cs="Arial"/>
        </w:rPr>
        <w:t>Along with the crown court, the magistrate court has also a range of advantages and disadvantages. For example, among the advantages, the magistrate court ensures public participation in the justice system</w:t>
      </w:r>
      <w:r w:rsidR="00FE2BB0">
        <w:rPr>
          <w:rFonts w:cs="Arial"/>
        </w:rPr>
        <w:t xml:space="preserve"> (Hinton, 2011)</w:t>
      </w:r>
      <w:r w:rsidR="000F1796">
        <w:rPr>
          <w:rStyle w:val="FootnoteReference"/>
          <w:rFonts w:cs="Arial"/>
        </w:rPr>
        <w:footnoteReference w:id="15"/>
      </w:r>
      <w:r>
        <w:rPr>
          <w:rFonts w:cs="Arial"/>
        </w:rPr>
        <w:t xml:space="preserve">. The magistrates view the cases, from the social concern and provide a fair judgment through combined judgments of three magistrates. Moreover, the trial in the magistrate courts </w:t>
      </w:r>
      <w:r w:rsidR="00612A68">
        <w:rPr>
          <w:rFonts w:cs="Arial"/>
        </w:rPr>
        <w:t>is</w:t>
      </w:r>
      <w:r>
        <w:rPr>
          <w:rFonts w:cs="Arial"/>
        </w:rPr>
        <w:t xml:space="preserve"> relatively lower than </w:t>
      </w:r>
      <w:r w:rsidR="00612A68">
        <w:rPr>
          <w:rFonts w:cs="Arial"/>
        </w:rPr>
        <w:t xml:space="preserve">a </w:t>
      </w:r>
      <w:r>
        <w:rPr>
          <w:rFonts w:cs="Arial"/>
        </w:rPr>
        <w:t>crown court or any other superior court. The magistrate takes much time to reach a dec</w:t>
      </w:r>
      <w:r w:rsidR="00D72B5B">
        <w:rPr>
          <w:rFonts w:cs="Arial"/>
        </w:rPr>
        <w:t xml:space="preserve">ision or provide </w:t>
      </w:r>
      <w:r w:rsidR="00612A68">
        <w:rPr>
          <w:rFonts w:cs="Arial"/>
        </w:rPr>
        <w:t xml:space="preserve">a </w:t>
      </w:r>
      <w:r w:rsidR="00D72B5B">
        <w:rPr>
          <w:rFonts w:cs="Arial"/>
        </w:rPr>
        <w:t xml:space="preserve">verdict while the judges of </w:t>
      </w:r>
      <w:r w:rsidR="00612A68">
        <w:rPr>
          <w:rFonts w:cs="Arial"/>
        </w:rPr>
        <w:t xml:space="preserve">the </w:t>
      </w:r>
      <w:r w:rsidR="00D72B5B">
        <w:rPr>
          <w:rFonts w:cs="Arial"/>
        </w:rPr>
        <w:t xml:space="preserve">crown court can reach a decision straightly. </w:t>
      </w:r>
      <w:r w:rsidR="00D72B5B">
        <w:rPr>
          <w:rFonts w:cs="Arial"/>
        </w:rPr>
        <w:lastRenderedPageBreak/>
        <w:t xml:space="preserve">Moreover, the magistrates often face biases towards evidence placed by police or show sympathy towards the police officers who come to give evidence. </w:t>
      </w:r>
    </w:p>
    <w:p w:rsidR="00D72B5B" w:rsidRPr="002A503D" w:rsidRDefault="002A503D" w:rsidP="0065404C">
      <w:pPr>
        <w:pStyle w:val="Heading2"/>
      </w:pPr>
      <w:bookmarkStart w:id="6" w:name="_Toc67416500"/>
      <w:r w:rsidRPr="002A503D">
        <w:t>Client’s entitlement to legal aid in the crown court</w:t>
      </w:r>
      <w:bookmarkEnd w:id="6"/>
      <w:r w:rsidRPr="002A503D">
        <w:t xml:space="preserve"> </w:t>
      </w:r>
    </w:p>
    <w:p w:rsidR="003D6034" w:rsidRDefault="002A503D" w:rsidP="00253C4C">
      <w:pPr>
        <w:rPr>
          <w:rFonts w:cs="Arial"/>
        </w:rPr>
      </w:pPr>
      <w:r>
        <w:rPr>
          <w:rFonts w:cs="Arial"/>
        </w:rPr>
        <w:t xml:space="preserve">The court provides legal aid to the defendant under certain circumstances and conditions. </w:t>
      </w:r>
      <w:r w:rsidR="007A5287">
        <w:rPr>
          <w:rFonts w:cs="Arial"/>
        </w:rPr>
        <w:t>However, the acceptance or rejection of legal aid application depends on some issues and the court decides it through some test</w:t>
      </w:r>
      <w:r w:rsidR="00FE2BB0">
        <w:rPr>
          <w:rFonts w:cs="Arial"/>
        </w:rPr>
        <w:t xml:space="preserve"> (</w:t>
      </w:r>
      <w:r w:rsidR="00FE2BB0">
        <w:rPr>
          <w:rFonts w:eastAsia="Times New Roman" w:cs="Arial"/>
          <w:szCs w:val="24"/>
        </w:rPr>
        <w:t xml:space="preserve">Xhina </w:t>
      </w:r>
      <w:r w:rsidR="00FE2BB0" w:rsidRPr="00C07FED">
        <w:rPr>
          <w:rFonts w:eastAsia="Times New Roman" w:cs="Arial"/>
          <w:szCs w:val="24"/>
        </w:rPr>
        <w:t>and Aliaj</w:t>
      </w:r>
      <w:r w:rsidR="00FE2BB0">
        <w:rPr>
          <w:rFonts w:eastAsia="Times New Roman" w:cs="Arial"/>
          <w:szCs w:val="24"/>
        </w:rPr>
        <w:t>, 2013</w:t>
      </w:r>
      <w:r w:rsidR="00FE2BB0">
        <w:rPr>
          <w:rFonts w:cs="Arial"/>
        </w:rPr>
        <w:t>)</w:t>
      </w:r>
      <w:r w:rsidR="000F1796">
        <w:rPr>
          <w:rStyle w:val="FootnoteReference"/>
          <w:rFonts w:cs="Arial"/>
        </w:rPr>
        <w:footnoteReference w:id="16"/>
      </w:r>
      <w:r w:rsidR="007A5287">
        <w:rPr>
          <w:rFonts w:cs="Arial"/>
        </w:rPr>
        <w:t>.</w:t>
      </w:r>
      <w:r w:rsidR="00AB648B">
        <w:rPr>
          <w:rFonts w:cs="Arial"/>
        </w:rPr>
        <w:t xml:space="preserve"> For this purpose, the court </w:t>
      </w:r>
      <w:r w:rsidR="00C40167">
        <w:rPr>
          <w:rFonts w:cs="Arial"/>
        </w:rPr>
        <w:t xml:space="preserve">explores the monthly and annual income, family background, </w:t>
      </w:r>
      <w:r w:rsidR="00612A68">
        <w:rPr>
          <w:rFonts w:cs="Arial"/>
        </w:rPr>
        <w:t xml:space="preserve">the </w:t>
      </w:r>
      <w:r w:rsidR="00C40167">
        <w:rPr>
          <w:rFonts w:cs="Arial"/>
        </w:rPr>
        <w:t>value of property etc.</w:t>
      </w:r>
      <w:r w:rsidR="00AB648B">
        <w:rPr>
          <w:rFonts w:cs="Arial"/>
        </w:rPr>
        <w:t xml:space="preserve"> </w:t>
      </w:r>
      <w:r w:rsidR="007A5287">
        <w:rPr>
          <w:rFonts w:cs="Arial"/>
        </w:rPr>
        <w:t xml:space="preserve"> </w:t>
      </w:r>
      <w:r>
        <w:rPr>
          <w:rFonts w:cs="Arial"/>
        </w:rPr>
        <w:t xml:space="preserve">In the crown court, an applicant </w:t>
      </w:r>
      <w:r w:rsidR="00612A68">
        <w:rPr>
          <w:rFonts w:cs="Arial"/>
        </w:rPr>
        <w:t xml:space="preserve">who </w:t>
      </w:r>
      <w:r>
        <w:rPr>
          <w:rFonts w:cs="Arial"/>
        </w:rPr>
        <w:t xml:space="preserve">applied for legal aid can entitle it if his annual disposable income is less than £37,500. </w:t>
      </w:r>
      <w:r w:rsidR="00C40167">
        <w:rPr>
          <w:rFonts w:cs="Arial"/>
        </w:rPr>
        <w:t xml:space="preserve">On the other hand, a person whose total value of </w:t>
      </w:r>
      <w:r w:rsidR="00612A68">
        <w:rPr>
          <w:rFonts w:cs="Arial"/>
        </w:rPr>
        <w:t xml:space="preserve">the </w:t>
      </w:r>
      <w:r w:rsidR="00C40167">
        <w:rPr>
          <w:rFonts w:cs="Arial"/>
        </w:rPr>
        <w:t>property is less than £208,000 can apply for legal aid</w:t>
      </w:r>
      <w:r w:rsidR="00FE2BB0">
        <w:rPr>
          <w:rFonts w:cs="Arial"/>
        </w:rPr>
        <w:t xml:space="preserve"> (Shavell, 2015)</w:t>
      </w:r>
      <w:r w:rsidR="000F1796">
        <w:rPr>
          <w:rStyle w:val="FootnoteReference"/>
          <w:rFonts w:cs="Arial"/>
        </w:rPr>
        <w:footnoteReference w:id="17"/>
      </w:r>
      <w:r w:rsidR="00C40167">
        <w:rPr>
          <w:rFonts w:cs="Arial"/>
        </w:rPr>
        <w:t xml:space="preserve">. In the given case, the defendant has an annual income of £12000 and </w:t>
      </w:r>
      <w:r w:rsidR="00612A68">
        <w:rPr>
          <w:rFonts w:cs="Arial"/>
        </w:rPr>
        <w:t xml:space="preserve">the </w:t>
      </w:r>
      <w:r w:rsidR="00C40167">
        <w:rPr>
          <w:rFonts w:cs="Arial"/>
        </w:rPr>
        <w:t xml:space="preserve">total value of property inherited from </w:t>
      </w:r>
      <w:r w:rsidR="00612A68">
        <w:rPr>
          <w:rFonts w:cs="Arial"/>
        </w:rPr>
        <w:t xml:space="preserve">their </w:t>
      </w:r>
      <w:r w:rsidR="00C40167">
        <w:rPr>
          <w:rFonts w:cs="Arial"/>
        </w:rPr>
        <w:t xml:space="preserve">grandfather is £50,000. That indicates that William Brown is entitled to get legal aid from </w:t>
      </w:r>
      <w:r w:rsidR="00612A68">
        <w:rPr>
          <w:rFonts w:cs="Arial"/>
        </w:rPr>
        <w:t xml:space="preserve">the </w:t>
      </w:r>
      <w:r w:rsidR="00C40167">
        <w:rPr>
          <w:rFonts w:cs="Arial"/>
        </w:rPr>
        <w:t xml:space="preserve">crown court. </w:t>
      </w:r>
    </w:p>
    <w:p w:rsidR="00C40167" w:rsidRPr="0065404C" w:rsidRDefault="00C40167" w:rsidP="0065404C">
      <w:pPr>
        <w:pStyle w:val="Heading2"/>
      </w:pPr>
      <w:bookmarkStart w:id="7" w:name="_Toc67416501"/>
      <w:r w:rsidRPr="0065404C">
        <w:t>The plea for William Brown in case of found guilty</w:t>
      </w:r>
      <w:bookmarkEnd w:id="7"/>
      <w:r w:rsidRPr="0065404C">
        <w:t xml:space="preserve"> </w:t>
      </w:r>
    </w:p>
    <w:p w:rsidR="007E4A4B" w:rsidRDefault="00C40167" w:rsidP="00253C4C">
      <w:pPr>
        <w:rPr>
          <w:rFonts w:cs="Arial"/>
          <w:szCs w:val="24"/>
        </w:rPr>
      </w:pPr>
      <w:r>
        <w:rPr>
          <w:rFonts w:cs="Arial"/>
          <w:szCs w:val="24"/>
        </w:rPr>
        <w:t xml:space="preserve">If the defendant is found to be guilty, the defendant can have </w:t>
      </w:r>
      <w:r w:rsidR="00612A68">
        <w:rPr>
          <w:rFonts w:cs="Arial"/>
          <w:szCs w:val="24"/>
        </w:rPr>
        <w:t xml:space="preserve">a </w:t>
      </w:r>
      <w:r>
        <w:rPr>
          <w:rFonts w:cs="Arial"/>
          <w:szCs w:val="24"/>
        </w:rPr>
        <w:t xml:space="preserve">plea and in most cases i.e.  Mistakes, duress and necessity. William Brown can argue that the incident of theft was mere from mistakes and he had no hand in it. </w:t>
      </w:r>
      <w:r w:rsidR="00972326">
        <w:rPr>
          <w:rFonts w:cs="Arial"/>
          <w:szCs w:val="24"/>
        </w:rPr>
        <w:t>On the other hand, duress involves the situation where the defendant was forced to act like being forced by the circumstances</w:t>
      </w:r>
      <w:r w:rsidR="00FE2BB0">
        <w:rPr>
          <w:rFonts w:cs="Arial"/>
          <w:szCs w:val="24"/>
        </w:rPr>
        <w:t xml:space="preserve"> (Hinton, 2011)</w:t>
      </w:r>
      <w:r w:rsidR="000F1796">
        <w:rPr>
          <w:rStyle w:val="FootnoteReference"/>
          <w:rFonts w:cs="Arial"/>
          <w:szCs w:val="24"/>
        </w:rPr>
        <w:footnoteReference w:id="18"/>
      </w:r>
      <w:r w:rsidR="00972326">
        <w:rPr>
          <w:rFonts w:cs="Arial"/>
          <w:szCs w:val="24"/>
        </w:rPr>
        <w:t xml:space="preserve">. </w:t>
      </w:r>
      <w:r w:rsidR="00612A68">
        <w:rPr>
          <w:rFonts w:cs="Arial"/>
          <w:szCs w:val="24"/>
        </w:rPr>
        <w:t>T</w:t>
      </w:r>
      <w:r w:rsidR="00972326">
        <w:rPr>
          <w:rFonts w:cs="Arial"/>
          <w:szCs w:val="24"/>
        </w:rPr>
        <w:t xml:space="preserve">o prove duress, the defendant has to prove that there was </w:t>
      </w:r>
      <w:r w:rsidR="00612A68">
        <w:rPr>
          <w:rFonts w:cs="Arial"/>
          <w:szCs w:val="24"/>
        </w:rPr>
        <w:t xml:space="preserve">an </w:t>
      </w:r>
      <w:r w:rsidR="00972326">
        <w:rPr>
          <w:rFonts w:cs="Arial"/>
          <w:szCs w:val="24"/>
        </w:rPr>
        <w:t xml:space="preserve">absolute threat or fear from </w:t>
      </w:r>
      <w:r w:rsidR="00612A68">
        <w:rPr>
          <w:rFonts w:cs="Arial"/>
          <w:szCs w:val="24"/>
        </w:rPr>
        <w:t xml:space="preserve">a </w:t>
      </w:r>
      <w:r w:rsidR="00972326">
        <w:rPr>
          <w:rFonts w:cs="Arial"/>
          <w:szCs w:val="24"/>
        </w:rPr>
        <w:t xml:space="preserve">third party to harm life or property. </w:t>
      </w:r>
      <w:r w:rsidR="00612A68">
        <w:rPr>
          <w:rFonts w:cs="Arial"/>
          <w:szCs w:val="24"/>
        </w:rPr>
        <w:t>A n</w:t>
      </w:r>
      <w:r w:rsidR="00972326">
        <w:rPr>
          <w:rFonts w:cs="Arial"/>
          <w:szCs w:val="24"/>
        </w:rPr>
        <w:t xml:space="preserve">ecessity on the other hand, different from duress which is not an excuse like duress. In this case, the defendant may argue that he has committed the offence to protect from </w:t>
      </w:r>
      <w:r w:rsidR="00612A68">
        <w:rPr>
          <w:rFonts w:cs="Arial"/>
          <w:szCs w:val="24"/>
        </w:rPr>
        <w:t xml:space="preserve">the </w:t>
      </w:r>
      <w:r w:rsidR="00972326">
        <w:rPr>
          <w:rFonts w:cs="Arial"/>
          <w:szCs w:val="24"/>
        </w:rPr>
        <w:t>harm of him and others</w:t>
      </w:r>
      <w:r w:rsidR="00FE2BB0">
        <w:rPr>
          <w:rFonts w:cs="Arial"/>
          <w:szCs w:val="24"/>
        </w:rPr>
        <w:t xml:space="preserve"> (Kiralfy, 2011)</w:t>
      </w:r>
      <w:r w:rsidR="000F1796">
        <w:rPr>
          <w:rStyle w:val="FootnoteReference"/>
          <w:rFonts w:cs="Arial"/>
          <w:szCs w:val="24"/>
        </w:rPr>
        <w:footnoteReference w:id="19"/>
      </w:r>
      <w:r w:rsidR="00972326">
        <w:rPr>
          <w:rFonts w:cs="Arial"/>
          <w:szCs w:val="24"/>
        </w:rPr>
        <w:t xml:space="preserve">. However. William Brown can argue that the incident has taken place due </w:t>
      </w:r>
      <w:r w:rsidR="00972326">
        <w:rPr>
          <w:rFonts w:cs="Arial"/>
          <w:szCs w:val="24"/>
        </w:rPr>
        <w:lastRenderedPageBreak/>
        <w:t xml:space="preserve">to mistakes and he had not done it in conscious. Moreover, he can plea that he was threatened by </w:t>
      </w:r>
      <w:r w:rsidR="00612A68">
        <w:rPr>
          <w:rFonts w:cs="Arial"/>
          <w:szCs w:val="24"/>
        </w:rPr>
        <w:t xml:space="preserve">a </w:t>
      </w:r>
      <w:r w:rsidR="00972326">
        <w:rPr>
          <w:rFonts w:cs="Arial"/>
          <w:szCs w:val="24"/>
        </w:rPr>
        <w:t xml:space="preserve">third party to act like this if any. </w:t>
      </w:r>
      <w:r w:rsidR="00D8252F">
        <w:rPr>
          <w:rFonts w:cs="Arial"/>
          <w:szCs w:val="24"/>
        </w:rPr>
        <w:t xml:space="preserve">On the other hand, he can argue that his background and early history is clean. He is a member of </w:t>
      </w:r>
      <w:r w:rsidR="00612A68">
        <w:rPr>
          <w:rFonts w:cs="Arial"/>
          <w:szCs w:val="24"/>
        </w:rPr>
        <w:t xml:space="preserve">the </w:t>
      </w:r>
      <w:r w:rsidR="00D8252F">
        <w:rPr>
          <w:rFonts w:cs="Arial"/>
          <w:szCs w:val="24"/>
        </w:rPr>
        <w:t>territor</w:t>
      </w:r>
      <w:r w:rsidR="00612A68">
        <w:rPr>
          <w:rFonts w:cs="Arial"/>
          <w:szCs w:val="24"/>
        </w:rPr>
        <w:t>ial</w:t>
      </w:r>
      <w:r w:rsidR="00D8252F">
        <w:rPr>
          <w:rFonts w:cs="Arial"/>
          <w:szCs w:val="24"/>
        </w:rPr>
        <w:t xml:space="preserve"> army and currently undertaking post-graduation on teaching qualification. Therefore, the solicitor of </w:t>
      </w:r>
      <w:r w:rsidR="00612A68">
        <w:rPr>
          <w:rFonts w:cs="Arial"/>
          <w:szCs w:val="24"/>
        </w:rPr>
        <w:t xml:space="preserve">the </w:t>
      </w:r>
      <w:r w:rsidR="00D8252F">
        <w:rPr>
          <w:rFonts w:cs="Arial"/>
          <w:szCs w:val="24"/>
        </w:rPr>
        <w:t xml:space="preserve">defendant may argue that committing a crime by such a clean character people is rare. Thus they can mitigate the punishment or severity of the case. </w:t>
      </w:r>
    </w:p>
    <w:p w:rsidR="00135328" w:rsidRDefault="00135328" w:rsidP="00253C4C">
      <w:pPr>
        <w:rPr>
          <w:rFonts w:cs="Arial"/>
          <w:b/>
          <w:szCs w:val="24"/>
        </w:rPr>
      </w:pPr>
    </w:p>
    <w:p w:rsidR="000F1796" w:rsidRDefault="000F1796">
      <w:pPr>
        <w:spacing w:line="259" w:lineRule="auto"/>
        <w:jc w:val="left"/>
        <w:rPr>
          <w:rFonts w:cs="Arial"/>
          <w:b/>
          <w:szCs w:val="24"/>
        </w:rPr>
      </w:pPr>
      <w:r>
        <w:rPr>
          <w:rFonts w:cs="Arial"/>
          <w:b/>
          <w:szCs w:val="24"/>
        </w:rPr>
        <w:br w:type="page"/>
      </w:r>
    </w:p>
    <w:p w:rsidR="00322BCB" w:rsidRPr="00322BCB" w:rsidRDefault="00322BCB" w:rsidP="00C86A4A">
      <w:pPr>
        <w:pStyle w:val="Heading1"/>
      </w:pPr>
      <w:bookmarkStart w:id="8" w:name="_Toc67416502"/>
      <w:r w:rsidRPr="00322BCB">
        <w:lastRenderedPageBreak/>
        <w:t>Conclusion</w:t>
      </w:r>
      <w:bookmarkEnd w:id="8"/>
      <w:r w:rsidRPr="00322BCB">
        <w:t xml:space="preserve"> </w:t>
      </w:r>
    </w:p>
    <w:p w:rsidR="00322BCB" w:rsidRDefault="00322BCB" w:rsidP="00253C4C">
      <w:pPr>
        <w:rPr>
          <w:rFonts w:cs="Arial"/>
          <w:szCs w:val="24"/>
        </w:rPr>
      </w:pPr>
      <w:r>
        <w:rPr>
          <w:rFonts w:cs="Arial"/>
          <w:szCs w:val="24"/>
        </w:rPr>
        <w:t xml:space="preserve">In conclusion, </w:t>
      </w:r>
      <w:r w:rsidR="0072344B">
        <w:rPr>
          <w:rFonts w:cs="Arial"/>
          <w:szCs w:val="24"/>
        </w:rPr>
        <w:t>William Brown’s case will be handled under the Theft Act 1968 and if found guilty he would be imprisoned for not ex</w:t>
      </w:r>
      <w:r w:rsidR="00821FC2">
        <w:rPr>
          <w:rFonts w:cs="Arial"/>
          <w:szCs w:val="24"/>
        </w:rPr>
        <w:t xml:space="preserve">ceeding 7 years although the solicitors of </w:t>
      </w:r>
      <w:r w:rsidR="00612A68">
        <w:rPr>
          <w:rFonts w:cs="Arial"/>
          <w:szCs w:val="24"/>
        </w:rPr>
        <w:t xml:space="preserve">the </w:t>
      </w:r>
      <w:r w:rsidR="00821FC2">
        <w:rPr>
          <w:rFonts w:cs="Arial"/>
          <w:szCs w:val="24"/>
        </w:rPr>
        <w:t xml:space="preserve">defendant can plea for mitigation. </w:t>
      </w:r>
      <w:r w:rsidR="00453D14">
        <w:rPr>
          <w:rFonts w:cs="Arial"/>
          <w:szCs w:val="24"/>
        </w:rPr>
        <w:t>He will be entitled to receive legal aid as his net income and</w:t>
      </w:r>
      <w:r w:rsidR="001472DF">
        <w:rPr>
          <w:rFonts w:cs="Arial"/>
          <w:szCs w:val="24"/>
        </w:rPr>
        <w:t xml:space="preserve"> property are below the margin. Moreover, the crown court and magistrate courts have their advantages and disadvantages which supports justice. </w:t>
      </w:r>
    </w:p>
    <w:p w:rsidR="00E42D35" w:rsidRDefault="00E42D35">
      <w:pPr>
        <w:spacing w:line="259" w:lineRule="auto"/>
        <w:jc w:val="left"/>
        <w:rPr>
          <w:rFonts w:cs="Arial"/>
          <w:szCs w:val="24"/>
        </w:rPr>
      </w:pPr>
      <w:r>
        <w:rPr>
          <w:rFonts w:cs="Arial"/>
          <w:szCs w:val="24"/>
        </w:rPr>
        <w:br w:type="page"/>
      </w:r>
    </w:p>
    <w:p w:rsidR="00E42D35" w:rsidRDefault="00E42D35" w:rsidP="0065404C">
      <w:pPr>
        <w:pStyle w:val="Heading1"/>
      </w:pPr>
      <w:bookmarkStart w:id="9" w:name="_Toc67416503"/>
      <w:r>
        <w:lastRenderedPageBreak/>
        <w:t>References</w:t>
      </w:r>
      <w:bookmarkEnd w:id="9"/>
      <w:r>
        <w:t xml:space="preserve"> </w:t>
      </w:r>
    </w:p>
    <w:p w:rsidR="00E42D35" w:rsidRPr="00C07FED" w:rsidRDefault="00E42D35" w:rsidP="00E42D35">
      <w:pPr>
        <w:spacing w:before="100" w:beforeAutospacing="1" w:after="100" w:afterAutospacing="1" w:line="240" w:lineRule="auto"/>
        <w:rPr>
          <w:rFonts w:eastAsia="Times New Roman" w:cs="Arial"/>
          <w:szCs w:val="24"/>
        </w:rPr>
      </w:pPr>
      <w:r w:rsidRPr="00C07FED">
        <w:rPr>
          <w:rFonts w:eastAsia="Times New Roman" w:cs="Arial"/>
          <w:szCs w:val="24"/>
        </w:rPr>
        <w:t xml:space="preserve">Cretney, A. and Rock, P., 2015. The Social World of an English Crown Court: Witness and Professionals in the Crown Court Centre at Wood Green. </w:t>
      </w:r>
      <w:r w:rsidRPr="00C07FED">
        <w:rPr>
          <w:rFonts w:eastAsia="Times New Roman" w:cs="Arial"/>
          <w:iCs/>
          <w:szCs w:val="24"/>
        </w:rPr>
        <w:t>The British Journal of Sociology</w:t>
      </w:r>
      <w:r w:rsidRPr="00C07FED">
        <w:rPr>
          <w:rFonts w:eastAsia="Times New Roman" w:cs="Arial"/>
          <w:szCs w:val="24"/>
        </w:rPr>
        <w:t>, 46(1), p.159.</w:t>
      </w:r>
    </w:p>
    <w:p w:rsidR="00E42D35" w:rsidRPr="00C07FED" w:rsidRDefault="00E42D35" w:rsidP="00E42D35">
      <w:pPr>
        <w:spacing w:before="100" w:beforeAutospacing="1" w:after="100" w:afterAutospacing="1" w:line="240" w:lineRule="auto"/>
        <w:rPr>
          <w:rFonts w:eastAsia="Times New Roman" w:cs="Arial"/>
          <w:szCs w:val="24"/>
        </w:rPr>
      </w:pPr>
      <w:r w:rsidRPr="004D31F1">
        <w:rPr>
          <w:rFonts w:eastAsia="Times New Roman" w:cs="Arial"/>
          <w:szCs w:val="24"/>
        </w:rPr>
        <w:t>Geeroms, S., 201</w:t>
      </w:r>
      <w:r w:rsidRPr="00C07FED">
        <w:rPr>
          <w:rFonts w:eastAsia="Times New Roman" w:cs="Arial"/>
          <w:szCs w:val="24"/>
        </w:rPr>
        <w:t xml:space="preserve">4. </w:t>
      </w:r>
      <w:r w:rsidRPr="00C07FED">
        <w:rPr>
          <w:rFonts w:eastAsia="Times New Roman" w:cs="Arial"/>
          <w:iCs/>
          <w:szCs w:val="24"/>
        </w:rPr>
        <w:t>Foreign law in criminal litigation</w:t>
      </w:r>
      <w:r w:rsidRPr="00C07FED">
        <w:rPr>
          <w:rFonts w:eastAsia="Times New Roman" w:cs="Arial"/>
          <w:szCs w:val="24"/>
        </w:rPr>
        <w:t>. Oxford [England]: Oxford University Press.</w:t>
      </w:r>
    </w:p>
    <w:p w:rsidR="00E42D35" w:rsidRPr="00C07FED" w:rsidRDefault="00E42D35" w:rsidP="00E42D35">
      <w:pPr>
        <w:spacing w:before="100" w:beforeAutospacing="1" w:after="100" w:afterAutospacing="1" w:line="240" w:lineRule="auto"/>
        <w:rPr>
          <w:rFonts w:eastAsia="Times New Roman" w:cs="Arial"/>
          <w:szCs w:val="24"/>
        </w:rPr>
      </w:pPr>
      <w:r w:rsidRPr="00C07FED">
        <w:rPr>
          <w:rFonts w:eastAsia="Times New Roman" w:cs="Arial"/>
          <w:szCs w:val="24"/>
        </w:rPr>
        <w:t xml:space="preserve">Griew, E., 2011. </w:t>
      </w:r>
      <w:r w:rsidRPr="00C07FED">
        <w:rPr>
          <w:rFonts w:eastAsia="Times New Roman" w:cs="Arial"/>
          <w:iCs/>
          <w:szCs w:val="24"/>
        </w:rPr>
        <w:t>The Theft Act 1968</w:t>
      </w:r>
      <w:r w:rsidRPr="00C07FED">
        <w:rPr>
          <w:rFonts w:eastAsia="Times New Roman" w:cs="Arial"/>
          <w:szCs w:val="24"/>
        </w:rPr>
        <w:t>. London: Sweet &amp; Maxwell.</w:t>
      </w:r>
    </w:p>
    <w:p w:rsidR="00E42D35" w:rsidRPr="00C07FED" w:rsidRDefault="00E42D35" w:rsidP="00E42D35">
      <w:pPr>
        <w:spacing w:before="100" w:beforeAutospacing="1" w:after="100" w:afterAutospacing="1" w:line="240" w:lineRule="auto"/>
        <w:rPr>
          <w:rFonts w:eastAsia="Times New Roman" w:cs="Arial"/>
          <w:szCs w:val="24"/>
        </w:rPr>
      </w:pPr>
      <w:r w:rsidRPr="004D31F1">
        <w:rPr>
          <w:rFonts w:eastAsia="Times New Roman" w:cs="Arial"/>
          <w:szCs w:val="24"/>
        </w:rPr>
        <w:t>Guinchard, A., 201</w:t>
      </w:r>
      <w:r w:rsidRPr="00C07FED">
        <w:rPr>
          <w:rFonts w:eastAsia="Times New Roman" w:cs="Arial"/>
          <w:szCs w:val="24"/>
        </w:rPr>
        <w:t xml:space="preserve">6. Consumer Protection and the Criminal Law: Law, Theory, and Policy in the UK. </w:t>
      </w:r>
      <w:r w:rsidRPr="00C07FED">
        <w:rPr>
          <w:rFonts w:eastAsia="Times New Roman" w:cs="Arial"/>
          <w:iCs/>
          <w:szCs w:val="24"/>
        </w:rPr>
        <w:t>International Criminal Justice Review</w:t>
      </w:r>
      <w:r w:rsidRPr="00C07FED">
        <w:rPr>
          <w:rFonts w:eastAsia="Times New Roman" w:cs="Arial"/>
          <w:szCs w:val="24"/>
        </w:rPr>
        <w:t>, 16(1), pp.63-64.</w:t>
      </w:r>
    </w:p>
    <w:p w:rsidR="00E42D35" w:rsidRPr="00C07FED" w:rsidRDefault="00E42D35" w:rsidP="00E42D35">
      <w:pPr>
        <w:spacing w:before="100" w:beforeAutospacing="1" w:after="100" w:afterAutospacing="1" w:line="240" w:lineRule="auto"/>
        <w:rPr>
          <w:rFonts w:eastAsia="Times New Roman" w:cs="Arial"/>
          <w:szCs w:val="24"/>
        </w:rPr>
      </w:pPr>
      <w:r w:rsidRPr="00C07FED">
        <w:rPr>
          <w:rFonts w:eastAsia="Times New Roman" w:cs="Arial"/>
          <w:szCs w:val="24"/>
        </w:rPr>
        <w:t xml:space="preserve">Hinton, E., 2011. Cases on Trial Practice. </w:t>
      </w:r>
      <w:r w:rsidRPr="00C07FED">
        <w:rPr>
          <w:rFonts w:eastAsia="Times New Roman" w:cs="Arial"/>
          <w:iCs/>
          <w:szCs w:val="24"/>
        </w:rPr>
        <w:t>Columbia Law Review</w:t>
      </w:r>
      <w:r w:rsidRPr="00C07FED">
        <w:rPr>
          <w:rFonts w:eastAsia="Times New Roman" w:cs="Arial"/>
          <w:szCs w:val="24"/>
        </w:rPr>
        <w:t>, 31(8), p.1397.</w:t>
      </w:r>
    </w:p>
    <w:p w:rsidR="00E42D35" w:rsidRPr="00C07FED" w:rsidRDefault="00E42D35" w:rsidP="00E42D35">
      <w:pPr>
        <w:spacing w:before="100" w:beforeAutospacing="1" w:after="100" w:afterAutospacing="1" w:line="240" w:lineRule="auto"/>
        <w:rPr>
          <w:rFonts w:eastAsia="Times New Roman" w:cs="Arial"/>
          <w:szCs w:val="24"/>
        </w:rPr>
      </w:pPr>
      <w:r w:rsidRPr="00C07FED">
        <w:rPr>
          <w:rFonts w:eastAsia="Times New Roman" w:cs="Arial"/>
          <w:szCs w:val="24"/>
        </w:rPr>
        <w:t xml:space="preserve">Kiralfy, A., 2018. </w:t>
      </w:r>
      <w:r w:rsidRPr="00C07FED">
        <w:rPr>
          <w:rFonts w:eastAsia="Times New Roman" w:cs="Arial"/>
          <w:iCs/>
          <w:szCs w:val="24"/>
        </w:rPr>
        <w:t>The English legal system</w:t>
      </w:r>
      <w:r w:rsidRPr="00C07FED">
        <w:rPr>
          <w:rFonts w:eastAsia="Times New Roman" w:cs="Arial"/>
          <w:szCs w:val="24"/>
        </w:rPr>
        <w:t>. London: Sweet &amp; Maxwell.</w:t>
      </w:r>
    </w:p>
    <w:p w:rsidR="00E42D35" w:rsidRPr="004D31F1" w:rsidRDefault="00E42D35" w:rsidP="00E42D35">
      <w:pPr>
        <w:spacing w:before="100" w:beforeAutospacing="1" w:after="100" w:afterAutospacing="1" w:line="240" w:lineRule="auto"/>
        <w:rPr>
          <w:rFonts w:eastAsia="Times New Roman" w:cs="Arial"/>
          <w:szCs w:val="24"/>
        </w:rPr>
      </w:pPr>
      <w:r w:rsidRPr="00C07FED">
        <w:rPr>
          <w:rFonts w:eastAsia="Times New Roman" w:cs="Arial"/>
          <w:szCs w:val="24"/>
        </w:rPr>
        <w:t xml:space="preserve">Legislation.gov.uk. 2021. </w:t>
      </w:r>
      <w:r w:rsidRPr="00C07FED">
        <w:rPr>
          <w:rFonts w:eastAsia="Times New Roman" w:cs="Arial"/>
          <w:iCs/>
          <w:szCs w:val="24"/>
        </w:rPr>
        <w:t>Theft Act 1968</w:t>
      </w:r>
      <w:r w:rsidRPr="00C07FED">
        <w:rPr>
          <w:rFonts w:eastAsia="Times New Roman" w:cs="Arial"/>
          <w:szCs w:val="24"/>
        </w:rPr>
        <w:t>. [online] Available at: &lt;https://www.legislation.gov.uk/ukpga/1968/60/contents&gt; [Accessed 23 March 2021].</w:t>
      </w:r>
    </w:p>
    <w:p w:rsidR="00E42D35" w:rsidRPr="004D31F1" w:rsidRDefault="009742EA" w:rsidP="00E42D35">
      <w:pPr>
        <w:spacing w:before="100" w:beforeAutospacing="1" w:after="100" w:afterAutospacing="1" w:line="240" w:lineRule="auto"/>
        <w:rPr>
          <w:rStyle w:val="reference-text"/>
          <w:rFonts w:cs="Arial"/>
          <w:szCs w:val="24"/>
        </w:rPr>
      </w:pPr>
      <w:hyperlink r:id="rId11" w:tooltip="R v Miller" w:history="1">
        <w:r w:rsidR="00E42D35" w:rsidRPr="004D31F1">
          <w:rPr>
            <w:rStyle w:val="Hyperlink"/>
            <w:rFonts w:cs="Arial"/>
            <w:iCs/>
            <w:color w:val="auto"/>
            <w:szCs w:val="24"/>
            <w:u w:val="none"/>
          </w:rPr>
          <w:t>R v Miller</w:t>
        </w:r>
      </w:hyperlink>
      <w:r w:rsidR="00E42D35" w:rsidRPr="004D31F1">
        <w:rPr>
          <w:rStyle w:val="reference-text"/>
          <w:rFonts w:cs="Arial"/>
          <w:szCs w:val="24"/>
        </w:rPr>
        <w:t xml:space="preserve"> [1983] 1 All ER 978</w:t>
      </w:r>
    </w:p>
    <w:p w:rsidR="00E42D35" w:rsidRPr="004D31F1" w:rsidRDefault="009742EA" w:rsidP="00E42D35">
      <w:pPr>
        <w:spacing w:before="100" w:beforeAutospacing="1" w:after="100" w:afterAutospacing="1" w:line="240" w:lineRule="auto"/>
        <w:rPr>
          <w:rFonts w:eastAsia="Times New Roman" w:cs="Arial"/>
          <w:szCs w:val="24"/>
        </w:rPr>
      </w:pPr>
      <w:hyperlink r:id="rId12" w:tooltip="R v Mohan" w:history="1">
        <w:r w:rsidR="00E42D35" w:rsidRPr="004D31F1">
          <w:rPr>
            <w:rStyle w:val="Hyperlink"/>
            <w:rFonts w:cs="Arial"/>
            <w:iCs/>
            <w:color w:val="auto"/>
            <w:szCs w:val="24"/>
            <w:u w:val="none"/>
          </w:rPr>
          <w:t>R v Mohan</w:t>
        </w:r>
      </w:hyperlink>
      <w:r w:rsidR="00E42D35" w:rsidRPr="004D31F1">
        <w:rPr>
          <w:rFonts w:cs="Arial"/>
          <w:szCs w:val="24"/>
        </w:rPr>
        <w:t xml:space="preserve"> [1975] 2 All ER 193</w:t>
      </w:r>
    </w:p>
    <w:p w:rsidR="00E42D35" w:rsidRPr="00C07FED" w:rsidRDefault="009742EA" w:rsidP="00E42D35">
      <w:pPr>
        <w:spacing w:before="100" w:beforeAutospacing="1" w:after="100" w:afterAutospacing="1" w:line="240" w:lineRule="auto"/>
        <w:rPr>
          <w:rFonts w:eastAsia="Times New Roman" w:cs="Arial"/>
          <w:szCs w:val="24"/>
        </w:rPr>
      </w:pPr>
      <w:hyperlink r:id="rId13" w:tooltip="R v Pittwood" w:history="1">
        <w:r w:rsidR="00E42D35" w:rsidRPr="004D31F1">
          <w:rPr>
            <w:rStyle w:val="Hyperlink"/>
            <w:rFonts w:cs="Arial"/>
            <w:iCs/>
            <w:color w:val="auto"/>
            <w:szCs w:val="24"/>
            <w:u w:val="none"/>
          </w:rPr>
          <w:t>R v Pittwood</w:t>
        </w:r>
      </w:hyperlink>
      <w:r w:rsidR="00E42D35" w:rsidRPr="004D31F1">
        <w:rPr>
          <w:rStyle w:val="reference-text"/>
          <w:rFonts w:cs="Arial"/>
          <w:szCs w:val="24"/>
        </w:rPr>
        <w:t xml:space="preserve"> (1902) 19 TLR 37</w:t>
      </w:r>
    </w:p>
    <w:p w:rsidR="00E42D35" w:rsidRPr="00C07FED" w:rsidRDefault="00E42D35" w:rsidP="00E42D35">
      <w:pPr>
        <w:spacing w:before="100" w:beforeAutospacing="1" w:after="100" w:afterAutospacing="1" w:line="240" w:lineRule="auto"/>
        <w:rPr>
          <w:rFonts w:eastAsia="Times New Roman" w:cs="Arial"/>
          <w:szCs w:val="24"/>
        </w:rPr>
      </w:pPr>
      <w:r w:rsidRPr="00C07FED">
        <w:rPr>
          <w:rFonts w:eastAsia="Times New Roman" w:cs="Arial"/>
          <w:szCs w:val="24"/>
        </w:rPr>
        <w:t xml:space="preserve">Shavell, S., 2015. Economic Analysis of Litigation and the Legal Process. </w:t>
      </w:r>
      <w:r w:rsidRPr="00C07FED">
        <w:rPr>
          <w:rFonts w:eastAsia="Times New Roman" w:cs="Arial"/>
          <w:iCs/>
          <w:szCs w:val="24"/>
        </w:rPr>
        <w:t>SSRN Electronic Journal</w:t>
      </w:r>
      <w:r w:rsidRPr="00C07FED">
        <w:rPr>
          <w:rFonts w:eastAsia="Times New Roman" w:cs="Arial"/>
          <w:szCs w:val="24"/>
        </w:rPr>
        <w:t>,.</w:t>
      </w:r>
    </w:p>
    <w:p w:rsidR="00E42D35" w:rsidRPr="00C07FED" w:rsidRDefault="00E42D35" w:rsidP="00E42D35">
      <w:pPr>
        <w:spacing w:before="100" w:beforeAutospacing="1" w:after="100" w:afterAutospacing="1" w:line="240" w:lineRule="auto"/>
        <w:rPr>
          <w:rFonts w:eastAsia="Times New Roman" w:cs="Arial"/>
          <w:szCs w:val="24"/>
        </w:rPr>
      </w:pPr>
      <w:r w:rsidRPr="00C07FED">
        <w:rPr>
          <w:rFonts w:eastAsia="Times New Roman" w:cs="Arial"/>
          <w:szCs w:val="24"/>
        </w:rPr>
        <w:t xml:space="preserve">Sullivan, G., 2017. Cause and the Contemporaneity of Actus Reus and Mens Rea. </w:t>
      </w:r>
      <w:r w:rsidRPr="00C07FED">
        <w:rPr>
          <w:rFonts w:eastAsia="Times New Roman" w:cs="Arial"/>
          <w:iCs/>
          <w:szCs w:val="24"/>
        </w:rPr>
        <w:t>The Cambridge Law Journal</w:t>
      </w:r>
      <w:r w:rsidRPr="00C07FED">
        <w:rPr>
          <w:rFonts w:eastAsia="Times New Roman" w:cs="Arial"/>
          <w:szCs w:val="24"/>
        </w:rPr>
        <w:t>, 52(3), pp.487-500.</w:t>
      </w:r>
    </w:p>
    <w:p w:rsidR="00E42D35" w:rsidRPr="00C07FED" w:rsidRDefault="00E42D35" w:rsidP="00E42D35">
      <w:pPr>
        <w:spacing w:before="100" w:beforeAutospacing="1" w:after="100" w:afterAutospacing="1" w:line="240" w:lineRule="auto"/>
        <w:rPr>
          <w:rFonts w:eastAsia="Times New Roman" w:cs="Arial"/>
          <w:szCs w:val="24"/>
        </w:rPr>
      </w:pPr>
      <w:r w:rsidRPr="00C07FED">
        <w:rPr>
          <w:rFonts w:eastAsia="Times New Roman" w:cs="Arial"/>
          <w:szCs w:val="24"/>
        </w:rPr>
        <w:t xml:space="preserve">Xhina, E. and Aliaj, E., 2013. Criminal Justice Treatment Rights of the Defendant during the Criminal Process. Implementation of Legal Norms in Favor of the Defendant. </w:t>
      </w:r>
      <w:r w:rsidRPr="00C07FED">
        <w:rPr>
          <w:rFonts w:eastAsia="Times New Roman" w:cs="Arial"/>
          <w:iCs/>
          <w:szCs w:val="24"/>
        </w:rPr>
        <w:t>Mediterranean Journal of Social Sciences</w:t>
      </w:r>
      <w:r w:rsidRPr="00C07FED">
        <w:rPr>
          <w:rFonts w:eastAsia="Times New Roman" w:cs="Arial"/>
          <w:szCs w:val="24"/>
        </w:rPr>
        <w:t>,.</w:t>
      </w:r>
    </w:p>
    <w:p w:rsidR="00E42D35" w:rsidRPr="004D31F1" w:rsidRDefault="00E42D35" w:rsidP="00E42D35">
      <w:pPr>
        <w:rPr>
          <w:rFonts w:cs="Arial"/>
          <w:szCs w:val="24"/>
        </w:rPr>
      </w:pPr>
    </w:p>
    <w:p w:rsidR="00E42D35" w:rsidRPr="00C40167" w:rsidRDefault="00E42D35" w:rsidP="00253C4C">
      <w:pPr>
        <w:rPr>
          <w:rFonts w:cs="Arial"/>
          <w:szCs w:val="24"/>
        </w:rPr>
      </w:pPr>
    </w:p>
    <w:sectPr w:rsidR="00E42D35" w:rsidRPr="00C40167" w:rsidSect="0065404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742EA" w:rsidRDefault="009742EA" w:rsidP="000F1796">
      <w:pPr>
        <w:spacing w:after="0" w:line="240" w:lineRule="auto"/>
      </w:pPr>
      <w:r>
        <w:separator/>
      </w:r>
    </w:p>
  </w:endnote>
  <w:endnote w:type="continuationSeparator" w:id="0">
    <w:p w:rsidR="009742EA" w:rsidRDefault="009742EA" w:rsidP="000F1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8076885"/>
      <w:docPartObj>
        <w:docPartGallery w:val="Page Numbers (Bottom of Page)"/>
        <w:docPartUnique/>
      </w:docPartObj>
    </w:sdtPr>
    <w:sdtEndPr>
      <w:rPr>
        <w:color w:val="7F7F7F" w:themeColor="background1" w:themeShade="7F"/>
        <w:spacing w:val="60"/>
      </w:rPr>
    </w:sdtEndPr>
    <w:sdtContent>
      <w:p w:rsidR="0065404C" w:rsidRDefault="0065404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86A4A" w:rsidRPr="00C86A4A">
          <w:rPr>
            <w:b/>
            <w:bCs/>
            <w:noProof/>
          </w:rPr>
          <w:t>9</w:t>
        </w:r>
        <w:r>
          <w:rPr>
            <w:b/>
            <w:bCs/>
            <w:noProof/>
          </w:rPr>
          <w:fldChar w:fldCharType="end"/>
        </w:r>
        <w:r>
          <w:rPr>
            <w:b/>
            <w:bCs/>
          </w:rPr>
          <w:t xml:space="preserve"> | </w:t>
        </w:r>
        <w:r>
          <w:rPr>
            <w:color w:val="7F7F7F" w:themeColor="background1" w:themeShade="7F"/>
            <w:spacing w:val="60"/>
          </w:rPr>
          <w:t>Page</w:t>
        </w:r>
      </w:p>
    </w:sdtContent>
  </w:sdt>
  <w:p w:rsidR="0065404C" w:rsidRDefault="006540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742EA" w:rsidRDefault="009742EA" w:rsidP="000F1796">
      <w:pPr>
        <w:spacing w:after="0" w:line="240" w:lineRule="auto"/>
      </w:pPr>
      <w:r>
        <w:separator/>
      </w:r>
    </w:p>
  </w:footnote>
  <w:footnote w:type="continuationSeparator" w:id="0">
    <w:p w:rsidR="009742EA" w:rsidRDefault="009742EA" w:rsidP="000F1796">
      <w:pPr>
        <w:spacing w:after="0" w:line="240" w:lineRule="auto"/>
      </w:pPr>
      <w:r>
        <w:continuationSeparator/>
      </w:r>
    </w:p>
  </w:footnote>
  <w:footnote w:id="1">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rsidRPr="00C07FED">
        <w:rPr>
          <w:rFonts w:eastAsia="Times New Roman" w:cs="Arial"/>
          <w:sz w:val="20"/>
          <w:szCs w:val="20"/>
        </w:rPr>
        <w:t xml:space="preserve">Legislation.gov.uk. 2021. </w:t>
      </w:r>
      <w:r w:rsidRPr="00C07FED">
        <w:rPr>
          <w:rFonts w:eastAsia="Times New Roman" w:cs="Arial"/>
          <w:iCs/>
          <w:sz w:val="20"/>
          <w:szCs w:val="20"/>
        </w:rPr>
        <w:t>Theft Act 1968</w:t>
      </w:r>
      <w:r w:rsidRPr="00C07FED">
        <w:rPr>
          <w:rFonts w:eastAsia="Times New Roman" w:cs="Arial"/>
          <w:sz w:val="20"/>
          <w:szCs w:val="20"/>
        </w:rPr>
        <w:t>. [online] Available at: &lt;https://www.legislation.gov.uk/ukpga/1968/60/contents&gt; [Accessed 23 March 2021].</w:t>
      </w:r>
    </w:p>
  </w:footnote>
  <w:footnote w:id="2">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rsidRPr="00C07FED">
        <w:rPr>
          <w:rFonts w:eastAsia="Times New Roman" w:cs="Arial"/>
          <w:sz w:val="20"/>
          <w:szCs w:val="20"/>
        </w:rPr>
        <w:t xml:space="preserve">Griew, E., 2011. </w:t>
      </w:r>
      <w:r w:rsidRPr="00C07FED">
        <w:rPr>
          <w:rFonts w:eastAsia="Times New Roman" w:cs="Arial"/>
          <w:iCs/>
          <w:sz w:val="20"/>
          <w:szCs w:val="20"/>
        </w:rPr>
        <w:t>The Theft Act 1968</w:t>
      </w:r>
      <w:r w:rsidRPr="00C07FED">
        <w:rPr>
          <w:rFonts w:eastAsia="Times New Roman" w:cs="Arial"/>
          <w:sz w:val="20"/>
          <w:szCs w:val="20"/>
        </w:rPr>
        <w:t>. London: Sweet &amp; Maxwell.</w:t>
      </w:r>
    </w:p>
  </w:footnote>
  <w:footnote w:id="3">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Sullivan, G., 2017. Cause and the Contemporaneity of Actus Reus and Mens Rea. </w:t>
      </w:r>
      <w:r w:rsidRPr="00C07FED">
        <w:rPr>
          <w:rFonts w:eastAsia="Times New Roman" w:cs="Arial"/>
          <w:iCs/>
          <w:sz w:val="20"/>
          <w:szCs w:val="20"/>
        </w:rPr>
        <w:t>The Cambridge Law Journal</w:t>
      </w:r>
      <w:r w:rsidRPr="00C07FED">
        <w:rPr>
          <w:rFonts w:eastAsia="Times New Roman" w:cs="Arial"/>
          <w:sz w:val="20"/>
          <w:szCs w:val="20"/>
        </w:rPr>
        <w:t>, 52(3), pp.487-500.</w:t>
      </w:r>
    </w:p>
  </w:footnote>
  <w:footnote w:id="4">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4F5AB1">
        <w:rPr>
          <w:rStyle w:val="reference-text"/>
          <w:rFonts w:cs="Arial"/>
          <w:sz w:val="20"/>
          <w:szCs w:val="20"/>
        </w:rPr>
        <w:t>(1902) 19 TLR 37</w:t>
      </w:r>
    </w:p>
  </w:footnote>
  <w:footnote w:id="5">
    <w:p w:rsidR="00612A68" w:rsidRPr="000F1796" w:rsidRDefault="00612A68" w:rsidP="000F1796">
      <w:pPr>
        <w:spacing w:before="100" w:beforeAutospacing="1" w:after="100" w:afterAutospacing="1" w:line="240" w:lineRule="auto"/>
        <w:rPr>
          <w:rFonts w:cs="Arial"/>
          <w:sz w:val="20"/>
          <w:szCs w:val="20"/>
        </w:rPr>
      </w:pPr>
      <w:r>
        <w:rPr>
          <w:rStyle w:val="FootnoteReference"/>
        </w:rPr>
        <w:footnoteRef/>
      </w:r>
      <w:r w:rsidRPr="004F5AB1">
        <w:rPr>
          <w:rStyle w:val="reference-text"/>
          <w:rFonts w:cs="Arial"/>
          <w:sz w:val="20"/>
          <w:szCs w:val="20"/>
        </w:rPr>
        <w:t xml:space="preserve"> [1983] 1 All ER 978</w:t>
      </w:r>
    </w:p>
  </w:footnote>
  <w:footnote w:id="6">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Pr>
          <w:rFonts w:eastAsia="Times New Roman" w:cs="Arial"/>
          <w:sz w:val="20"/>
          <w:szCs w:val="20"/>
        </w:rPr>
        <w:t>Guinchard, A., 201</w:t>
      </w:r>
      <w:r w:rsidRPr="00C07FED">
        <w:rPr>
          <w:rFonts w:eastAsia="Times New Roman" w:cs="Arial"/>
          <w:sz w:val="20"/>
          <w:szCs w:val="20"/>
        </w:rPr>
        <w:t xml:space="preserve">6. Consumer Protection and the Criminal Law: Law, Theory, and Policy in the UK. </w:t>
      </w:r>
      <w:r w:rsidRPr="00C07FED">
        <w:rPr>
          <w:rFonts w:eastAsia="Times New Roman" w:cs="Arial"/>
          <w:iCs/>
          <w:sz w:val="20"/>
          <w:szCs w:val="20"/>
        </w:rPr>
        <w:t>International Criminal Justice Review</w:t>
      </w:r>
      <w:r w:rsidRPr="00C07FED">
        <w:rPr>
          <w:rFonts w:eastAsia="Times New Roman" w:cs="Arial"/>
          <w:sz w:val="20"/>
          <w:szCs w:val="20"/>
        </w:rPr>
        <w:t>, 16(1), pp.63-64.</w:t>
      </w:r>
    </w:p>
  </w:footnote>
  <w:footnote w:id="7">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4F5AB1">
        <w:rPr>
          <w:rFonts w:cs="Arial"/>
          <w:sz w:val="20"/>
          <w:szCs w:val="20"/>
        </w:rPr>
        <w:t>[1975] 2 All ER 193</w:t>
      </w:r>
    </w:p>
  </w:footnote>
  <w:footnote w:id="8">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Sullivan, G., 2017. Cause and the Contemporaneity of Actus Reus and Mens Rea. </w:t>
      </w:r>
      <w:r w:rsidRPr="00C07FED">
        <w:rPr>
          <w:rFonts w:eastAsia="Times New Roman" w:cs="Arial"/>
          <w:iCs/>
          <w:sz w:val="20"/>
          <w:szCs w:val="20"/>
        </w:rPr>
        <w:t>The Cambridge Law Journal</w:t>
      </w:r>
      <w:r w:rsidRPr="00C07FED">
        <w:rPr>
          <w:rFonts w:eastAsia="Times New Roman" w:cs="Arial"/>
          <w:sz w:val="20"/>
          <w:szCs w:val="20"/>
        </w:rPr>
        <w:t>, 52(3), pp.487-500.</w:t>
      </w:r>
    </w:p>
  </w:footnote>
  <w:footnote w:id="9">
    <w:p w:rsidR="00612A68" w:rsidRDefault="00612A68">
      <w:pPr>
        <w:pStyle w:val="FootnoteText"/>
      </w:pPr>
      <w:r>
        <w:rPr>
          <w:rStyle w:val="FootnoteReference"/>
        </w:rPr>
        <w:footnoteRef/>
      </w:r>
      <w:r>
        <w:t xml:space="preserve"> </w:t>
      </w:r>
      <w:r w:rsidRPr="00C07FED">
        <w:rPr>
          <w:rFonts w:eastAsia="Times New Roman" w:cs="Arial"/>
        </w:rPr>
        <w:t xml:space="preserve">Griew, E., 2011. </w:t>
      </w:r>
      <w:r w:rsidRPr="00C07FED">
        <w:rPr>
          <w:rFonts w:eastAsia="Times New Roman" w:cs="Arial"/>
          <w:iCs/>
        </w:rPr>
        <w:t>The Theft Act 1968</w:t>
      </w:r>
      <w:r w:rsidRPr="00C07FED">
        <w:rPr>
          <w:rFonts w:eastAsia="Times New Roman" w:cs="Arial"/>
        </w:rPr>
        <w:t>. London: Sweet &amp; Maxwell</w:t>
      </w:r>
      <w:r>
        <w:rPr>
          <w:rFonts w:eastAsia="Times New Roman" w:cs="Arial"/>
        </w:rPr>
        <w:t>.</w:t>
      </w:r>
    </w:p>
  </w:footnote>
  <w:footnote w:id="10">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Kiralfy, A., 2018. </w:t>
      </w:r>
      <w:r w:rsidRPr="00C07FED">
        <w:rPr>
          <w:rFonts w:eastAsia="Times New Roman" w:cs="Arial"/>
          <w:iCs/>
          <w:sz w:val="20"/>
          <w:szCs w:val="20"/>
        </w:rPr>
        <w:t>The English legal system</w:t>
      </w:r>
      <w:r w:rsidRPr="00C07FED">
        <w:rPr>
          <w:rFonts w:eastAsia="Times New Roman" w:cs="Arial"/>
          <w:sz w:val="20"/>
          <w:szCs w:val="20"/>
        </w:rPr>
        <w:t>. London: Sweet &amp; Maxwell.</w:t>
      </w:r>
    </w:p>
  </w:footnote>
  <w:footnote w:id="11">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Cretney, A. and Rock, P., 2015. The Social World of an English Crown Court: Witness and Professionals in the Crown Court Centre at Wood Green. </w:t>
      </w:r>
      <w:r w:rsidRPr="00C07FED">
        <w:rPr>
          <w:rFonts w:eastAsia="Times New Roman" w:cs="Arial"/>
          <w:iCs/>
          <w:sz w:val="20"/>
          <w:szCs w:val="20"/>
        </w:rPr>
        <w:t>The British Journal of Sociology</w:t>
      </w:r>
      <w:r w:rsidRPr="00C07FED">
        <w:rPr>
          <w:rFonts w:eastAsia="Times New Roman" w:cs="Arial"/>
          <w:sz w:val="20"/>
          <w:szCs w:val="20"/>
        </w:rPr>
        <w:t>, 46(1), p.159.</w:t>
      </w:r>
    </w:p>
  </w:footnote>
  <w:footnote w:id="12">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Xhina, E. and Aliaj, E., 2013. Criminal Justice Treatment Rights of the Defendant during the Criminal Process. Implementation of Legal Norms in Favor of the Defendant. </w:t>
      </w:r>
      <w:r w:rsidRPr="00C07FED">
        <w:rPr>
          <w:rFonts w:eastAsia="Times New Roman" w:cs="Arial"/>
          <w:iCs/>
          <w:sz w:val="20"/>
          <w:szCs w:val="20"/>
        </w:rPr>
        <w:t>Mediterranean Journal of Social Sciences</w:t>
      </w:r>
      <w:r w:rsidRPr="00C07FED">
        <w:rPr>
          <w:rFonts w:eastAsia="Times New Roman" w:cs="Arial"/>
          <w:sz w:val="20"/>
          <w:szCs w:val="20"/>
        </w:rPr>
        <w:t>,.</w:t>
      </w:r>
    </w:p>
  </w:footnote>
  <w:footnote w:id="13">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Shavell, S., 2015. Economic Analysis of Litigation and the Legal Process. </w:t>
      </w:r>
      <w:r w:rsidRPr="00C07FED">
        <w:rPr>
          <w:rFonts w:eastAsia="Times New Roman" w:cs="Arial"/>
          <w:iCs/>
          <w:sz w:val="20"/>
          <w:szCs w:val="20"/>
        </w:rPr>
        <w:t>SSRN Electronic Journal</w:t>
      </w:r>
      <w:r w:rsidRPr="00C07FED">
        <w:rPr>
          <w:rFonts w:eastAsia="Times New Roman" w:cs="Arial"/>
          <w:sz w:val="20"/>
          <w:szCs w:val="20"/>
        </w:rPr>
        <w:t>,.</w:t>
      </w:r>
    </w:p>
  </w:footnote>
  <w:footnote w:id="14">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4F5AB1">
        <w:rPr>
          <w:rFonts w:eastAsia="Times New Roman" w:cs="Arial"/>
          <w:sz w:val="20"/>
          <w:szCs w:val="20"/>
        </w:rPr>
        <w:t>Geeroms, S., 201</w:t>
      </w:r>
      <w:r w:rsidRPr="00C07FED">
        <w:rPr>
          <w:rFonts w:eastAsia="Times New Roman" w:cs="Arial"/>
          <w:sz w:val="20"/>
          <w:szCs w:val="20"/>
        </w:rPr>
        <w:t xml:space="preserve">4. </w:t>
      </w:r>
      <w:r w:rsidRPr="00C07FED">
        <w:rPr>
          <w:rFonts w:eastAsia="Times New Roman" w:cs="Arial"/>
          <w:iCs/>
          <w:sz w:val="20"/>
          <w:szCs w:val="20"/>
        </w:rPr>
        <w:t>Foreign law in criminal litigation</w:t>
      </w:r>
      <w:r w:rsidRPr="00C07FED">
        <w:rPr>
          <w:rFonts w:eastAsia="Times New Roman" w:cs="Arial"/>
          <w:sz w:val="20"/>
          <w:szCs w:val="20"/>
        </w:rPr>
        <w:t>. Oxford [England]: Oxford University Press.</w:t>
      </w:r>
    </w:p>
  </w:footnote>
  <w:footnote w:id="15">
    <w:p w:rsidR="00612A68" w:rsidRPr="000F1796" w:rsidRDefault="00612A68" w:rsidP="000F1796">
      <w:pPr>
        <w:spacing w:before="100" w:beforeAutospacing="1" w:after="100" w:afterAutospacing="1" w:line="240" w:lineRule="auto"/>
        <w:rPr>
          <w:rFonts w:eastAsia="Times New Roman" w:cs="Arial"/>
          <w:sz w:val="20"/>
          <w:szCs w:val="20"/>
        </w:rPr>
      </w:pPr>
      <w:r>
        <w:rPr>
          <w:rStyle w:val="FootnoteReference"/>
        </w:rPr>
        <w:footnoteRef/>
      </w:r>
      <w:r w:rsidRPr="00C07FED">
        <w:rPr>
          <w:rFonts w:eastAsia="Times New Roman" w:cs="Arial"/>
          <w:sz w:val="20"/>
          <w:szCs w:val="20"/>
        </w:rPr>
        <w:t xml:space="preserve">Hinton, E., 2011. Cases on Trial Practice. </w:t>
      </w:r>
      <w:r w:rsidRPr="00C07FED">
        <w:rPr>
          <w:rFonts w:eastAsia="Times New Roman" w:cs="Arial"/>
          <w:iCs/>
          <w:sz w:val="20"/>
          <w:szCs w:val="20"/>
        </w:rPr>
        <w:t>Columbia Law Review</w:t>
      </w:r>
      <w:r w:rsidRPr="00C07FED">
        <w:rPr>
          <w:rFonts w:eastAsia="Times New Roman" w:cs="Arial"/>
          <w:sz w:val="20"/>
          <w:szCs w:val="20"/>
        </w:rPr>
        <w:t>, 31(8), p.1397.</w:t>
      </w:r>
    </w:p>
  </w:footnote>
  <w:footnote w:id="16">
    <w:p w:rsidR="00612A68" w:rsidRPr="004B5F7F" w:rsidRDefault="00612A68" w:rsidP="004B5F7F">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Xhina, E. and Aliaj, E., 2013. Criminal Justice Treatment Rights of the Defendant during the Criminal Process. Implementation of Legal Norms in Favor of the Defendant. </w:t>
      </w:r>
      <w:r w:rsidRPr="00C07FED">
        <w:rPr>
          <w:rFonts w:eastAsia="Times New Roman" w:cs="Arial"/>
          <w:iCs/>
          <w:sz w:val="20"/>
          <w:szCs w:val="20"/>
        </w:rPr>
        <w:t>Mediterranean Journal of Social Sciences</w:t>
      </w:r>
      <w:r w:rsidRPr="00C07FED">
        <w:rPr>
          <w:rFonts w:eastAsia="Times New Roman" w:cs="Arial"/>
          <w:sz w:val="20"/>
          <w:szCs w:val="20"/>
        </w:rPr>
        <w:t>,.</w:t>
      </w:r>
    </w:p>
  </w:footnote>
  <w:footnote w:id="17">
    <w:p w:rsidR="00612A68" w:rsidRPr="00236932" w:rsidRDefault="00612A68" w:rsidP="00236932">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Shavell, S., 2015. Economic Analysis of Litigation and the Legal Process. </w:t>
      </w:r>
      <w:r w:rsidRPr="00C07FED">
        <w:rPr>
          <w:rFonts w:eastAsia="Times New Roman" w:cs="Arial"/>
          <w:iCs/>
          <w:sz w:val="20"/>
          <w:szCs w:val="20"/>
        </w:rPr>
        <w:t>SSRN Electronic Journal</w:t>
      </w:r>
      <w:r w:rsidRPr="00C07FED">
        <w:rPr>
          <w:rFonts w:eastAsia="Times New Roman" w:cs="Arial"/>
          <w:sz w:val="20"/>
          <w:szCs w:val="20"/>
        </w:rPr>
        <w:t>,.</w:t>
      </w:r>
    </w:p>
  </w:footnote>
  <w:footnote w:id="18">
    <w:p w:rsidR="00612A68" w:rsidRPr="00236932" w:rsidRDefault="00612A68" w:rsidP="00236932">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Hinton, E., 2011. Cases on Trial Practice. </w:t>
      </w:r>
      <w:r w:rsidRPr="00C07FED">
        <w:rPr>
          <w:rFonts w:eastAsia="Times New Roman" w:cs="Arial"/>
          <w:iCs/>
          <w:sz w:val="20"/>
          <w:szCs w:val="20"/>
        </w:rPr>
        <w:t>Columbia Law Review</w:t>
      </w:r>
      <w:r w:rsidRPr="00C07FED">
        <w:rPr>
          <w:rFonts w:eastAsia="Times New Roman" w:cs="Arial"/>
          <w:sz w:val="20"/>
          <w:szCs w:val="20"/>
        </w:rPr>
        <w:t>, 31(8), p.1397.</w:t>
      </w:r>
    </w:p>
  </w:footnote>
  <w:footnote w:id="19">
    <w:p w:rsidR="00612A68" w:rsidRPr="00236932" w:rsidRDefault="00612A68" w:rsidP="00236932">
      <w:pPr>
        <w:spacing w:before="100" w:beforeAutospacing="1" w:after="100" w:afterAutospacing="1" w:line="240" w:lineRule="auto"/>
        <w:rPr>
          <w:rFonts w:eastAsia="Times New Roman" w:cs="Arial"/>
          <w:sz w:val="20"/>
          <w:szCs w:val="20"/>
        </w:rPr>
      </w:pPr>
      <w:r>
        <w:rPr>
          <w:rStyle w:val="FootnoteReference"/>
        </w:rPr>
        <w:footnoteRef/>
      </w:r>
      <w:r>
        <w:t xml:space="preserve"> </w:t>
      </w:r>
      <w:r w:rsidRPr="00C07FED">
        <w:rPr>
          <w:rFonts w:eastAsia="Times New Roman" w:cs="Arial"/>
          <w:sz w:val="20"/>
          <w:szCs w:val="20"/>
        </w:rPr>
        <w:t xml:space="preserve">Kiralfy, A., 2018. </w:t>
      </w:r>
      <w:r w:rsidRPr="00C07FED">
        <w:rPr>
          <w:rFonts w:eastAsia="Times New Roman" w:cs="Arial"/>
          <w:iCs/>
          <w:sz w:val="20"/>
          <w:szCs w:val="20"/>
        </w:rPr>
        <w:t>The English legal system</w:t>
      </w:r>
      <w:r w:rsidRPr="00C07FED">
        <w:rPr>
          <w:rFonts w:eastAsia="Times New Roman" w:cs="Arial"/>
          <w:sz w:val="20"/>
          <w:szCs w:val="20"/>
        </w:rPr>
        <w:t>. London: Sweet &amp; Maxwell.</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7A0sTAyMDY1NDAwMDFT0lEKTi0uzszPAykwrAUALthSiSwAAAA="/>
  </w:docVars>
  <w:rsids>
    <w:rsidRoot w:val="006674C3"/>
    <w:rsid w:val="0000794B"/>
    <w:rsid w:val="000C0A6C"/>
    <w:rsid w:val="000F1796"/>
    <w:rsid w:val="001072B2"/>
    <w:rsid w:val="001276F7"/>
    <w:rsid w:val="00135328"/>
    <w:rsid w:val="001472DF"/>
    <w:rsid w:val="00224581"/>
    <w:rsid w:val="00236932"/>
    <w:rsid w:val="00253C4C"/>
    <w:rsid w:val="002965F3"/>
    <w:rsid w:val="002A503D"/>
    <w:rsid w:val="002F7D2A"/>
    <w:rsid w:val="00322BCB"/>
    <w:rsid w:val="00334741"/>
    <w:rsid w:val="00334AF4"/>
    <w:rsid w:val="0034561F"/>
    <w:rsid w:val="003D6034"/>
    <w:rsid w:val="00434E5A"/>
    <w:rsid w:val="00453D14"/>
    <w:rsid w:val="004B5F7F"/>
    <w:rsid w:val="005366DF"/>
    <w:rsid w:val="00561D0B"/>
    <w:rsid w:val="00567A19"/>
    <w:rsid w:val="00612A68"/>
    <w:rsid w:val="00621751"/>
    <w:rsid w:val="0065404C"/>
    <w:rsid w:val="006674C3"/>
    <w:rsid w:val="006C4E84"/>
    <w:rsid w:val="006D55EB"/>
    <w:rsid w:val="0072344B"/>
    <w:rsid w:val="00725DBA"/>
    <w:rsid w:val="007A5287"/>
    <w:rsid w:val="007C6808"/>
    <w:rsid w:val="007E4A4B"/>
    <w:rsid w:val="00821FC2"/>
    <w:rsid w:val="008A2197"/>
    <w:rsid w:val="00972326"/>
    <w:rsid w:val="009742EA"/>
    <w:rsid w:val="009851C0"/>
    <w:rsid w:val="009B12BE"/>
    <w:rsid w:val="009E4E64"/>
    <w:rsid w:val="00AB648B"/>
    <w:rsid w:val="00AB67E0"/>
    <w:rsid w:val="00BE74F3"/>
    <w:rsid w:val="00C40167"/>
    <w:rsid w:val="00C608BF"/>
    <w:rsid w:val="00C86A4A"/>
    <w:rsid w:val="00D72B5B"/>
    <w:rsid w:val="00D8252F"/>
    <w:rsid w:val="00E42D35"/>
    <w:rsid w:val="00E9066E"/>
    <w:rsid w:val="00FD4D13"/>
    <w:rsid w:val="00FE2B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3CCD51-B863-423C-A278-25CD42319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0A6C"/>
    <w:pPr>
      <w:spacing w:line="360" w:lineRule="auto"/>
      <w:jc w:val="both"/>
    </w:pPr>
    <w:rPr>
      <w:rFonts w:ascii="Arial" w:hAnsi="Arial"/>
      <w:sz w:val="24"/>
    </w:rPr>
  </w:style>
  <w:style w:type="paragraph" w:styleId="Heading1">
    <w:name w:val="heading 1"/>
    <w:basedOn w:val="Normal"/>
    <w:next w:val="Normal"/>
    <w:link w:val="Heading1Char"/>
    <w:uiPriority w:val="9"/>
    <w:qFormat/>
    <w:rsid w:val="00E42D3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5404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erence-text">
    <w:name w:val="reference-text"/>
    <w:basedOn w:val="DefaultParagraphFont"/>
    <w:rsid w:val="00BE74F3"/>
  </w:style>
  <w:style w:type="character" w:styleId="Hyperlink">
    <w:name w:val="Hyperlink"/>
    <w:basedOn w:val="DefaultParagraphFont"/>
    <w:uiPriority w:val="99"/>
    <w:unhideWhenUsed/>
    <w:rsid w:val="00BE74F3"/>
    <w:rPr>
      <w:color w:val="0000FF"/>
      <w:u w:val="single"/>
    </w:rPr>
  </w:style>
  <w:style w:type="paragraph" w:styleId="FootnoteText">
    <w:name w:val="footnote text"/>
    <w:basedOn w:val="Normal"/>
    <w:link w:val="FootnoteTextChar"/>
    <w:uiPriority w:val="99"/>
    <w:semiHidden/>
    <w:unhideWhenUsed/>
    <w:rsid w:val="000F17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1796"/>
    <w:rPr>
      <w:rFonts w:ascii="Arial" w:hAnsi="Arial"/>
      <w:sz w:val="20"/>
      <w:szCs w:val="20"/>
    </w:rPr>
  </w:style>
  <w:style w:type="character" w:styleId="FootnoteReference">
    <w:name w:val="footnote reference"/>
    <w:basedOn w:val="DefaultParagraphFont"/>
    <w:uiPriority w:val="99"/>
    <w:semiHidden/>
    <w:unhideWhenUsed/>
    <w:rsid w:val="000F1796"/>
    <w:rPr>
      <w:vertAlign w:val="superscript"/>
    </w:rPr>
  </w:style>
  <w:style w:type="character" w:customStyle="1" w:styleId="Heading1Char">
    <w:name w:val="Heading 1 Char"/>
    <w:basedOn w:val="DefaultParagraphFont"/>
    <w:link w:val="Heading1"/>
    <w:uiPriority w:val="9"/>
    <w:rsid w:val="00E42D35"/>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65404C"/>
    <w:rPr>
      <w:rFonts w:ascii="Arial" w:eastAsiaTheme="majorEastAsia" w:hAnsi="Arial" w:cstheme="majorBidi"/>
      <w:b/>
      <w:sz w:val="24"/>
      <w:szCs w:val="26"/>
    </w:rPr>
  </w:style>
  <w:style w:type="paragraph" w:styleId="Header">
    <w:name w:val="header"/>
    <w:basedOn w:val="Normal"/>
    <w:link w:val="HeaderChar"/>
    <w:uiPriority w:val="99"/>
    <w:unhideWhenUsed/>
    <w:rsid w:val="006540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404C"/>
    <w:rPr>
      <w:rFonts w:ascii="Arial" w:hAnsi="Arial"/>
      <w:sz w:val="24"/>
    </w:rPr>
  </w:style>
  <w:style w:type="paragraph" w:styleId="Footer">
    <w:name w:val="footer"/>
    <w:basedOn w:val="Normal"/>
    <w:link w:val="FooterChar"/>
    <w:uiPriority w:val="99"/>
    <w:unhideWhenUsed/>
    <w:rsid w:val="006540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404C"/>
    <w:rPr>
      <w:rFonts w:ascii="Arial" w:hAnsi="Arial"/>
      <w:sz w:val="24"/>
    </w:rPr>
  </w:style>
  <w:style w:type="paragraph" w:styleId="TOCHeading">
    <w:name w:val="TOC Heading"/>
    <w:basedOn w:val="Heading1"/>
    <w:next w:val="Normal"/>
    <w:uiPriority w:val="39"/>
    <w:unhideWhenUsed/>
    <w:qFormat/>
    <w:rsid w:val="0065404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5404C"/>
    <w:pPr>
      <w:spacing w:after="100"/>
    </w:pPr>
  </w:style>
  <w:style w:type="paragraph" w:styleId="TOC2">
    <w:name w:val="toc 2"/>
    <w:basedOn w:val="Normal"/>
    <w:next w:val="Normal"/>
    <w:autoRedefine/>
    <w:uiPriority w:val="39"/>
    <w:unhideWhenUsed/>
    <w:rsid w:val="0065404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_v_Pittwood" TargetMode="External"/><Relationship Id="rId13" Type="http://schemas.openxmlformats.org/officeDocument/2006/relationships/hyperlink" Target="https://en.wikipedia.org/wiki/R_v_Pittwood"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en.wikipedia.org/wiki/R_v_Moha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R_v_Mill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wikipedia.org/wiki/R_v_Mohan" TargetMode="External"/><Relationship Id="rId4" Type="http://schemas.openxmlformats.org/officeDocument/2006/relationships/webSettings" Target="webSettings.xml"/><Relationship Id="rId9" Type="http://schemas.openxmlformats.org/officeDocument/2006/relationships/hyperlink" Target="https://en.wikipedia.org/wiki/R_v_Mill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806B8-F7CB-4CC5-87F9-E9D78ADC2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11</Pages>
  <Words>2110</Words>
  <Characters>12028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39</cp:revision>
  <dcterms:created xsi:type="dcterms:W3CDTF">2021-03-23T04:43:00Z</dcterms:created>
  <dcterms:modified xsi:type="dcterms:W3CDTF">2021-03-23T12:28:00Z</dcterms:modified>
</cp:coreProperties>
</file>