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0E777" w14:textId="4AF8ABA3" w:rsidR="001E35DD" w:rsidRDefault="001E35DD"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t>Part One</w:t>
      </w:r>
    </w:p>
    <w:p w14:paraId="16FA1878" w14:textId="13897ADB" w:rsidR="00B409E4" w:rsidRPr="00616254" w:rsidRDefault="00B409E4" w:rsidP="00B409E4">
      <w:pPr>
        <w:spacing w:line="360" w:lineRule="auto"/>
        <w:jc w:val="center"/>
        <w:rPr>
          <w:rFonts w:ascii="Arial" w:hAnsi="Arial" w:cs="Arial"/>
          <w:b/>
          <w:bCs/>
          <w:sz w:val="24"/>
          <w:szCs w:val="24"/>
          <w:u w:val="single"/>
        </w:rPr>
      </w:pPr>
      <w:r w:rsidRPr="00B409E4">
        <w:rPr>
          <w:rFonts w:ascii="Arial" w:hAnsi="Arial" w:cs="Arial"/>
          <w:b/>
          <w:bCs/>
          <w:sz w:val="24"/>
          <w:szCs w:val="24"/>
          <w:u w:val="single"/>
        </w:rPr>
        <w:t>The qualities of a catalyst leader, as well as the challenges associated with implementing effective early childhood practices in order to ensure that early childhood practitioners are prepared to handle sociological issues affecting young children.</w:t>
      </w:r>
    </w:p>
    <w:p w14:paraId="4D5E656B" w14:textId="78C3CD33"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A catalyst leader facilitates the growth and development of individuals in order to motivate and inspire them to work towards a shared vision (Siraj &amp; </w:t>
      </w:r>
      <w:proofErr w:type="spellStart"/>
      <w:r w:rsidRPr="00616254">
        <w:rPr>
          <w:rFonts w:ascii="Arial" w:hAnsi="Arial" w:cs="Arial"/>
          <w:sz w:val="24"/>
          <w:szCs w:val="24"/>
        </w:rPr>
        <w:t>Hallet</w:t>
      </w:r>
      <w:proofErr w:type="spellEnd"/>
      <w:r w:rsidRPr="00616254">
        <w:rPr>
          <w:rFonts w:ascii="Arial" w:hAnsi="Arial" w:cs="Arial"/>
          <w:sz w:val="24"/>
          <w:szCs w:val="24"/>
        </w:rPr>
        <w:t>, 2013). The hallmarks of this leadership approach are collaboration, empowerment, and innovation, with a focus on creating a shared purpose among team members (Avolio et al., 2011). In early childhood education, a catalytic leader would provide a nurturing and stimulating environment for young children (Leo, 2007; Campbell-Barr &amp; Leeson, 2016). As an agent of change, a catalytic leader encourages the growth and development of young children as well as early childhood practitioners by creating an environment of learning and innovation (</w:t>
      </w:r>
      <w:proofErr w:type="spellStart"/>
      <w:r w:rsidRPr="00616254">
        <w:rPr>
          <w:rFonts w:ascii="Arial" w:hAnsi="Arial" w:cs="Arial"/>
          <w:sz w:val="24"/>
          <w:szCs w:val="24"/>
        </w:rPr>
        <w:t>Cels</w:t>
      </w:r>
      <w:proofErr w:type="spellEnd"/>
      <w:r w:rsidRPr="00616254">
        <w:rPr>
          <w:rFonts w:ascii="Arial" w:hAnsi="Arial" w:cs="Arial"/>
          <w:sz w:val="24"/>
          <w:szCs w:val="24"/>
        </w:rPr>
        <w:t xml:space="preserve">, De Jong &amp; </w:t>
      </w:r>
      <w:proofErr w:type="spellStart"/>
      <w:r w:rsidRPr="00616254">
        <w:rPr>
          <w:rFonts w:ascii="Arial" w:hAnsi="Arial" w:cs="Arial"/>
          <w:sz w:val="24"/>
          <w:szCs w:val="24"/>
        </w:rPr>
        <w:t>Nauta</w:t>
      </w:r>
      <w:proofErr w:type="spellEnd"/>
      <w:r w:rsidRPr="00616254">
        <w:rPr>
          <w:rFonts w:ascii="Arial" w:hAnsi="Arial" w:cs="Arial"/>
          <w:sz w:val="24"/>
          <w:szCs w:val="24"/>
        </w:rPr>
        <w:t xml:space="preserve">, 2012; Baines &amp; Blatchford, 2018), striving for social justice and equality in the early years (Katz &amp; McClellan, 2019; Kessler &amp; </w:t>
      </w:r>
      <w:proofErr w:type="spellStart"/>
      <w:r w:rsidRPr="00616254">
        <w:rPr>
          <w:rFonts w:ascii="Arial" w:hAnsi="Arial" w:cs="Arial"/>
          <w:sz w:val="24"/>
          <w:szCs w:val="24"/>
        </w:rPr>
        <w:t>Swadener</w:t>
      </w:r>
      <w:proofErr w:type="spellEnd"/>
      <w:r w:rsidRPr="00616254">
        <w:rPr>
          <w:rFonts w:ascii="Arial" w:hAnsi="Arial" w:cs="Arial"/>
          <w:sz w:val="24"/>
          <w:szCs w:val="24"/>
        </w:rPr>
        <w:t>, 2019).</w:t>
      </w:r>
    </w:p>
    <w:p w14:paraId="071D3319" w14:textId="294C8CD7"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The development of effective catalytic leadership within early childhood requires the provision of a robust program of reflective practice (Eichner &amp; Damico, 2015), as well as a continuous pursuit of professional development and risk-taking, which should be encouraged in accordance with the philosophy of inspiring leadership in others (Whalley, et al., 2018). Creating a shared vision, maintaining positive relationships between staff and children, and adjusting to changing circumstances are characteristics of catalytic leadership in the early years. As a result of building trust, collaboration, and teamwork, these outcomes can be achieved (Guo &amp; Bowers, 2017; </w:t>
      </w:r>
      <w:proofErr w:type="spellStart"/>
      <w:r w:rsidRPr="00616254">
        <w:rPr>
          <w:rFonts w:ascii="Arial" w:hAnsi="Arial" w:cs="Arial"/>
          <w:sz w:val="24"/>
          <w:szCs w:val="24"/>
        </w:rPr>
        <w:t>Caston</w:t>
      </w:r>
      <w:proofErr w:type="spellEnd"/>
      <w:r w:rsidRPr="00616254">
        <w:rPr>
          <w:rFonts w:ascii="Arial" w:hAnsi="Arial" w:cs="Arial"/>
          <w:sz w:val="24"/>
          <w:szCs w:val="24"/>
        </w:rPr>
        <w:t xml:space="preserve"> &amp; DiCarlo, 2021). </w:t>
      </w:r>
    </w:p>
    <w:p w14:paraId="4DDC542F" w14:textId="65C09CCF"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Although catalytic leadership has many benefits, it is not without limitations. In organizations whose culture emphasizes compliance and conformity, implementing it may prove challenging (Hinkley &amp; </w:t>
      </w:r>
      <w:proofErr w:type="spellStart"/>
      <w:r w:rsidRPr="00616254">
        <w:rPr>
          <w:rFonts w:ascii="Arial" w:hAnsi="Arial" w:cs="Arial"/>
          <w:sz w:val="24"/>
          <w:szCs w:val="24"/>
        </w:rPr>
        <w:t>Chavkin</w:t>
      </w:r>
      <w:proofErr w:type="spellEnd"/>
      <w:r w:rsidRPr="00616254">
        <w:rPr>
          <w:rFonts w:ascii="Arial" w:hAnsi="Arial" w:cs="Arial"/>
          <w:sz w:val="24"/>
          <w:szCs w:val="24"/>
        </w:rPr>
        <w:t>, 2016; Giordano, 2019). The emphasis on collaboration and empowerment may also result in a lack of accountability and an unclear decision-making process (Avolio et al., 2011).</w:t>
      </w:r>
    </w:p>
    <w:p w14:paraId="603D6868" w14:textId="5319A6ED"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As Reed &amp; Canning (2012) note, despite recognizing these challenges, children's social and emotional environments can also have a significant impact on their early </w:t>
      </w:r>
      <w:r w:rsidRPr="00616254">
        <w:rPr>
          <w:rFonts w:ascii="Arial" w:hAnsi="Arial" w:cs="Arial"/>
          <w:sz w:val="24"/>
          <w:szCs w:val="24"/>
        </w:rPr>
        <w:lastRenderedPageBreak/>
        <w:t>years, and many sociological factors can be mitigated through the effective implementation of catalytic leadership (Garvey, 2017; Garvey 2018).</w:t>
      </w:r>
    </w:p>
    <w:p w14:paraId="2DF11DE8" w14:textId="29AFAA01"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There are a number of complex sociological factors that a catalytic leader within early years should be aware of. These factors include family issues, social class, gender, and cultural backgrounds (Gadsden, Ford &amp; </w:t>
      </w:r>
      <w:proofErr w:type="spellStart"/>
      <w:r w:rsidRPr="00616254">
        <w:rPr>
          <w:rFonts w:ascii="Arial" w:hAnsi="Arial" w:cs="Arial"/>
          <w:sz w:val="24"/>
          <w:szCs w:val="24"/>
        </w:rPr>
        <w:t>Breiner</w:t>
      </w:r>
      <w:proofErr w:type="spellEnd"/>
      <w:r w:rsidRPr="00616254">
        <w:rPr>
          <w:rFonts w:ascii="Arial" w:hAnsi="Arial" w:cs="Arial"/>
          <w:sz w:val="24"/>
          <w:szCs w:val="24"/>
        </w:rPr>
        <w:t xml:space="preserve">, 2016; Lareau, 2007). </w:t>
      </w:r>
      <w:proofErr w:type="spellStart"/>
      <w:r w:rsidRPr="00616254">
        <w:rPr>
          <w:rFonts w:ascii="Arial" w:hAnsi="Arial" w:cs="Arial"/>
          <w:sz w:val="24"/>
          <w:szCs w:val="24"/>
        </w:rPr>
        <w:t>Analyzing</w:t>
      </w:r>
      <w:proofErr w:type="spellEnd"/>
      <w:r w:rsidRPr="00616254">
        <w:rPr>
          <w:rFonts w:ascii="Arial" w:hAnsi="Arial" w:cs="Arial"/>
          <w:sz w:val="24"/>
          <w:szCs w:val="24"/>
        </w:rPr>
        <w:t xml:space="preserve"> some of these factors closely and raising employee awareness can be beneficial. When providing quality care to a child, it is essential to be aware of the child's background (Andrew &amp; Fane, 2018). For example, family structure can have a profound effect on a child's development; for instance, children from a single-parent family may experience stress, social isolation, and resource deprivation (</w:t>
      </w:r>
      <w:proofErr w:type="spellStart"/>
      <w:r w:rsidRPr="00616254">
        <w:rPr>
          <w:rFonts w:ascii="Arial" w:hAnsi="Arial" w:cs="Arial"/>
          <w:sz w:val="24"/>
          <w:szCs w:val="24"/>
        </w:rPr>
        <w:t>McLanahan</w:t>
      </w:r>
      <w:proofErr w:type="spellEnd"/>
      <w:r w:rsidRPr="00616254">
        <w:rPr>
          <w:rFonts w:ascii="Arial" w:hAnsi="Arial" w:cs="Arial"/>
          <w:sz w:val="24"/>
          <w:szCs w:val="24"/>
        </w:rPr>
        <w:t xml:space="preserve"> &amp; </w:t>
      </w:r>
      <w:proofErr w:type="spellStart"/>
      <w:r w:rsidRPr="00616254">
        <w:rPr>
          <w:rFonts w:ascii="Arial" w:hAnsi="Arial" w:cs="Arial"/>
          <w:sz w:val="24"/>
          <w:szCs w:val="24"/>
        </w:rPr>
        <w:t>Sandefur</w:t>
      </w:r>
      <w:proofErr w:type="spellEnd"/>
      <w:r w:rsidRPr="00616254">
        <w:rPr>
          <w:rFonts w:ascii="Arial" w:hAnsi="Arial" w:cs="Arial"/>
          <w:sz w:val="24"/>
          <w:szCs w:val="24"/>
        </w:rPr>
        <w:t xml:space="preserve">, 1994). </w:t>
      </w:r>
    </w:p>
    <w:p w14:paraId="408E2FD8" w14:textId="1E11FC3B"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 xml:space="preserve">As a comparison, children raised in two-parent families tend to perform better academically, emotionally, and socially (Amato, 2005). Furthermore, it is noteworthy that social class has a significant impact on a child's access to resources, education, and health care during their early development. In addition to poor housing, poor nutrition, and limited educational opportunities, children from low-income families face a number of challenges (Bradley and </w:t>
      </w:r>
      <w:proofErr w:type="spellStart"/>
      <w:r w:rsidRPr="00616254">
        <w:rPr>
          <w:rFonts w:ascii="Arial" w:hAnsi="Arial" w:cs="Arial"/>
          <w:sz w:val="24"/>
          <w:szCs w:val="24"/>
        </w:rPr>
        <w:t>Corwyn</w:t>
      </w:r>
      <w:proofErr w:type="spellEnd"/>
      <w:r w:rsidRPr="00616254">
        <w:rPr>
          <w:rFonts w:ascii="Arial" w:hAnsi="Arial" w:cs="Arial"/>
          <w:sz w:val="24"/>
          <w:szCs w:val="24"/>
        </w:rPr>
        <w:t xml:space="preserve">, 2002). Compared to children from low-income families, children from high-income families often have better resources and are more likely to achieve better academically and cognitively (Lareau, 2003). </w:t>
      </w:r>
    </w:p>
    <w:p w14:paraId="6AE0FF39" w14:textId="787E8B37"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A child's gender can also influence his or her biological experiences in a sociological manner not related to finances. A general tendency for boys is to be physically aggressive and take risks, whereas girls tend to be more prosocial and have better verbal skills (Maccoby &amp; Jacklin, 1974). Additionally, gender roles and stereotypes can affect how children interact with others, as well as their self-esteem and sense of identity (</w:t>
      </w:r>
      <w:proofErr w:type="spellStart"/>
      <w:r w:rsidRPr="00616254">
        <w:rPr>
          <w:rFonts w:ascii="Arial" w:hAnsi="Arial" w:cs="Arial"/>
          <w:sz w:val="24"/>
          <w:szCs w:val="24"/>
        </w:rPr>
        <w:t>Eagly</w:t>
      </w:r>
      <w:proofErr w:type="spellEnd"/>
      <w:r w:rsidRPr="00616254">
        <w:rPr>
          <w:rFonts w:ascii="Arial" w:hAnsi="Arial" w:cs="Arial"/>
          <w:sz w:val="24"/>
          <w:szCs w:val="24"/>
        </w:rPr>
        <w:t xml:space="preserve"> and Wood, 2012). Additionally, cultural background plays a significant role in influencing parenting practices and socialization of a child during the early years of life (Bornstein, 2014). Some cultures emphasize obedience and conformity, while others value independence and self-expression more. During the early years, children face a variety of physical and social demands as well as learning opportunities (</w:t>
      </w:r>
      <w:proofErr w:type="spellStart"/>
      <w:r w:rsidRPr="00616254">
        <w:rPr>
          <w:rFonts w:ascii="Arial" w:hAnsi="Arial" w:cs="Arial"/>
          <w:sz w:val="24"/>
          <w:szCs w:val="24"/>
        </w:rPr>
        <w:t>O'Day</w:t>
      </w:r>
      <w:proofErr w:type="spellEnd"/>
      <w:r w:rsidRPr="00616254">
        <w:rPr>
          <w:rFonts w:ascii="Arial" w:hAnsi="Arial" w:cs="Arial"/>
          <w:sz w:val="24"/>
          <w:szCs w:val="24"/>
        </w:rPr>
        <w:t xml:space="preserve"> &amp; Smith, 2019).</w:t>
      </w:r>
    </w:p>
    <w:p w14:paraId="67EF28EA" w14:textId="75C743BC"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lastRenderedPageBreak/>
        <w:t xml:space="preserve">Recognizing this, as a catalytic early childhood leader, you must ensure that your workforce and you are prepared to meet these sociological demands. As well as providing a safe and stimulating learning environment, adequate staffing, and appropriate materials (Department for Education, 2013). The ability to create inclusiveness and supportive environments that allow all children to reach their full potential begins with a better understanding of family structure, social class, gender, and cultural background is essential to promoting good wellbeing and making children resilient (Williams Brown &amp; </w:t>
      </w:r>
      <w:proofErr w:type="spellStart"/>
      <w:r w:rsidRPr="00616254">
        <w:rPr>
          <w:rFonts w:ascii="Arial" w:hAnsi="Arial" w:cs="Arial"/>
          <w:sz w:val="24"/>
          <w:szCs w:val="24"/>
        </w:rPr>
        <w:t>Mander</w:t>
      </w:r>
      <w:proofErr w:type="spellEnd"/>
      <w:r w:rsidRPr="00616254">
        <w:rPr>
          <w:rFonts w:ascii="Arial" w:hAnsi="Arial" w:cs="Arial"/>
          <w:sz w:val="24"/>
          <w:szCs w:val="24"/>
        </w:rPr>
        <w:t>; 2021; Dodge, et al., 2012; Musgrave, 2017). Among the most important roles of early years practitioners is the promotion of equality and inclusion in order to mitigate the effects of some of these sociological factors on children (Talan, Bloom &amp; Kelton, 2013). It is the opinion of Morrissey and Callaghan (2018) that all children should have equal educational opportunities and their individual needs and backgrounds must be considered (Reid, 2019).</w:t>
      </w:r>
    </w:p>
    <w:p w14:paraId="20822840" w14:textId="05B46D06"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The sociological factors previously mentioned should also be complemented by the fact that COVID-19 is a relevant and recent global event that has had a sociological impact on children that may have exacerbated the severity of these factors. The Delphi study (Welsh Government, 2021) highlights some of the long-term sociological effects that may or may not be experienced by children. The study found that children who previously faced sociological disadvantage were more likely to be adversely affected by the pandemic, regardless of their developmental status (Gupta &amp; Jawanda, 2020). Due to the pandemic, these families had fewer support services available, such as school and nursery closings, as well as a complete shutdown of social activities or hobbies (</w:t>
      </w:r>
      <w:proofErr w:type="spellStart"/>
      <w:r w:rsidRPr="00616254">
        <w:rPr>
          <w:rFonts w:ascii="Arial" w:hAnsi="Arial" w:cs="Arial"/>
          <w:sz w:val="24"/>
          <w:szCs w:val="24"/>
        </w:rPr>
        <w:t>Silton</w:t>
      </w:r>
      <w:proofErr w:type="spellEnd"/>
      <w:r w:rsidRPr="00616254">
        <w:rPr>
          <w:rFonts w:ascii="Arial" w:hAnsi="Arial" w:cs="Arial"/>
          <w:sz w:val="24"/>
          <w:szCs w:val="24"/>
        </w:rPr>
        <w:t>, 2022).</w:t>
      </w:r>
    </w:p>
    <w:p w14:paraId="38754A0B" w14:textId="4C12BB9E"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Further, as an additional consequence of COVID, some children were adversely affected by furloughs, which may have further exacerbated the negative effects of sociological impacts on children. In contrast, other children benefitted from spending more time with caregivers, particularly those whose parents worked from home or were critical workers (Mehta, et al., 2022). According to the Delphi study (Welsh government, 2021), early childhood practitioners should understand each child's and family's specific experiences in order to provide appropriate support. Experts suggest that COVID-19 may adversely affect young children under the age of five. In order to mitigate the long-term impacts of these sociological issues and the effects they will have on children, strategies are urgently needed (Ludwig &amp; Phillips, 2007).</w:t>
      </w:r>
    </w:p>
    <w:p w14:paraId="364C5434" w14:textId="0725B162"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lastRenderedPageBreak/>
        <w:t>It is anticipated that the long-term effects will be primarily on existing low-income families that were already experiencing food insecurity prior to the pandemic, poor housing, and limited access to healthcare, which will negatively impact the mental and physical health of their children (</w:t>
      </w:r>
      <w:proofErr w:type="spellStart"/>
      <w:r w:rsidRPr="00616254">
        <w:rPr>
          <w:rFonts w:ascii="Arial" w:hAnsi="Arial" w:cs="Arial"/>
          <w:sz w:val="24"/>
          <w:szCs w:val="24"/>
        </w:rPr>
        <w:t>Kuhfeld</w:t>
      </w:r>
      <w:proofErr w:type="spellEnd"/>
      <w:r w:rsidRPr="00616254">
        <w:rPr>
          <w:rFonts w:ascii="Arial" w:hAnsi="Arial" w:cs="Arial"/>
          <w:sz w:val="24"/>
          <w:szCs w:val="24"/>
        </w:rPr>
        <w:t xml:space="preserve">, et al., 2020; Bradshaw, 2019). As suggested by the Welsh Government (2020) and Cameron et al. (2018), early childhood practitioners should provide support and resources to families through things such as regular school </w:t>
      </w:r>
      <w:r w:rsidRPr="00616254">
        <w:rPr>
          <w:rFonts w:ascii="Arial" w:hAnsi="Arial" w:cs="Arial"/>
          <w:sz w:val="24"/>
          <w:szCs w:val="24"/>
        </w:rPr>
        <w:t>counselling</w:t>
      </w:r>
      <w:r w:rsidRPr="00616254">
        <w:rPr>
          <w:rFonts w:ascii="Arial" w:hAnsi="Arial" w:cs="Arial"/>
          <w:sz w:val="24"/>
          <w:szCs w:val="24"/>
        </w:rPr>
        <w:t xml:space="preserve"> and wellbeing checks. Communication and positive relationships between early childhood professionals can benefit children and their families (Bradshaw &amp; Richardson, 2009; Clark et al., 2019).</w:t>
      </w:r>
    </w:p>
    <w:p w14:paraId="26A265C2" w14:textId="5A1F1619"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When communication is effective, it is believed that early identification and addressing of issues and concerns can reduce the potential impact on a child's well-being (Shonkoff &amp; Fischer, 2013; Moser, et al., 2017). Additionally, practitioners can provide children with opportunities to develop their social and emotional skills, which may offset the detrimental effects of adverse sociological factors (O'Connor et al., 2020). Early childhood practitioners are key in inspiring change and mitigating the consequences of sociological factors of covid on children (Rodd, 2015). In order to positively impact children's development and well-being, practitioners must promote equality and inclusion, address poverty, foster positive relationships, and develop social and emotional skills (Rodgers &amp; Wilmot, 2012).</w:t>
      </w:r>
    </w:p>
    <w:p w14:paraId="4593B370" w14:textId="0AC71891"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A study of Reggio Emilia's response to sociological impacts post-World War II could serve as a model for how to move forward post-pandemic as a Catalytic leader. A new culture was required following the war in order to resist fascism, which had gained a foothold in Italy during the decades before the war (Thornton &amp; Brunton, 2005). A key aspect of Reggio Emilia's catalytic leadership was demonstrated through the establishment of schools for young children as part of this initiative. Children's relationships with others, teachers, parents, and the classroom environment were emphasized as important aspects of their approach</w:t>
      </w:r>
      <w:r w:rsidR="00D51699" w:rsidRPr="00616254">
        <w:rPr>
          <w:rFonts w:ascii="Arial" w:hAnsi="Arial" w:cs="Arial"/>
          <w:sz w:val="24"/>
          <w:szCs w:val="24"/>
        </w:rPr>
        <w:t xml:space="preserve"> (Valentine, 2006)</w:t>
      </w:r>
      <w:r w:rsidRPr="00616254">
        <w:rPr>
          <w:rFonts w:ascii="Arial" w:hAnsi="Arial" w:cs="Arial"/>
          <w:sz w:val="24"/>
          <w:szCs w:val="24"/>
        </w:rPr>
        <w:t>. Ultimately, the purpose of documenting the children's learning is to convey a strong impression of an intelligent child, as well as to demonstrate their ability to think critically and to theorize</w:t>
      </w:r>
      <w:r w:rsidR="00D51699" w:rsidRPr="00616254">
        <w:rPr>
          <w:rFonts w:ascii="Arial" w:hAnsi="Arial" w:cs="Arial"/>
          <w:sz w:val="24"/>
          <w:szCs w:val="24"/>
        </w:rPr>
        <w:t xml:space="preserve"> (</w:t>
      </w:r>
      <w:r w:rsidR="00D51699" w:rsidRPr="00616254">
        <w:rPr>
          <w:rFonts w:ascii="Arial" w:hAnsi="Arial" w:cs="Arial"/>
          <w:sz w:val="24"/>
          <w:szCs w:val="24"/>
        </w:rPr>
        <w:t>Wien</w:t>
      </w:r>
      <w:r w:rsidR="00D51699" w:rsidRPr="00616254">
        <w:rPr>
          <w:rFonts w:ascii="Arial" w:hAnsi="Arial" w:cs="Arial"/>
          <w:sz w:val="24"/>
          <w:szCs w:val="24"/>
        </w:rPr>
        <w:t xml:space="preserve">, </w:t>
      </w:r>
      <w:r w:rsidR="00D51699" w:rsidRPr="00616254">
        <w:rPr>
          <w:rFonts w:ascii="Arial" w:hAnsi="Arial" w:cs="Arial"/>
          <w:sz w:val="24"/>
          <w:szCs w:val="24"/>
        </w:rPr>
        <w:t>2008</w:t>
      </w:r>
      <w:r w:rsidR="00D51699" w:rsidRPr="00616254">
        <w:rPr>
          <w:rFonts w:ascii="Arial" w:hAnsi="Arial" w:cs="Arial"/>
          <w:sz w:val="24"/>
          <w:szCs w:val="24"/>
        </w:rPr>
        <w:t>)</w:t>
      </w:r>
      <w:r w:rsidRPr="00616254">
        <w:rPr>
          <w:rFonts w:ascii="Arial" w:hAnsi="Arial" w:cs="Arial"/>
          <w:sz w:val="24"/>
          <w:szCs w:val="24"/>
        </w:rPr>
        <w:t xml:space="preserve">.  Children can accomplish this through project-based learning, through which they explore their world, decide on what to investigate, and then work together to make sense of what they have learned. Children express themselves in many ways, which are referred to as "100 </w:t>
      </w:r>
      <w:r w:rsidRPr="00616254">
        <w:rPr>
          <w:rFonts w:ascii="Arial" w:hAnsi="Arial" w:cs="Arial"/>
          <w:sz w:val="24"/>
          <w:szCs w:val="24"/>
        </w:rPr>
        <w:lastRenderedPageBreak/>
        <w:t xml:space="preserve">Languages" </w:t>
      </w:r>
      <w:r w:rsidR="00D51699" w:rsidRPr="00616254">
        <w:rPr>
          <w:rFonts w:ascii="Arial" w:hAnsi="Arial" w:cs="Arial"/>
          <w:sz w:val="24"/>
          <w:szCs w:val="24"/>
        </w:rPr>
        <w:t>(</w:t>
      </w:r>
      <w:proofErr w:type="spellStart"/>
      <w:r w:rsidR="00D51699" w:rsidRPr="00616254">
        <w:rPr>
          <w:rFonts w:ascii="Arial" w:hAnsi="Arial" w:cs="Arial"/>
          <w:sz w:val="24"/>
          <w:szCs w:val="24"/>
        </w:rPr>
        <w:t>Tijnagel-Schoenaker</w:t>
      </w:r>
      <w:proofErr w:type="spellEnd"/>
      <w:r w:rsidR="00D51699" w:rsidRPr="00616254">
        <w:rPr>
          <w:rFonts w:ascii="Arial" w:hAnsi="Arial" w:cs="Arial"/>
          <w:sz w:val="24"/>
          <w:szCs w:val="24"/>
        </w:rPr>
        <w:t>, 2018</w:t>
      </w:r>
      <w:r w:rsidR="00D51699" w:rsidRPr="00616254">
        <w:rPr>
          <w:rFonts w:ascii="Arial" w:hAnsi="Arial" w:cs="Arial"/>
          <w:sz w:val="24"/>
          <w:szCs w:val="24"/>
        </w:rPr>
        <w:t xml:space="preserve">), </w:t>
      </w:r>
      <w:r w:rsidRPr="00616254">
        <w:rPr>
          <w:rFonts w:ascii="Arial" w:hAnsi="Arial" w:cs="Arial"/>
          <w:sz w:val="24"/>
          <w:szCs w:val="24"/>
        </w:rPr>
        <w:t>as well as the importance of visual arts and active listening to ensure that the voices, thoughts, and opinions of children are valued as much as those of practitioners (Edwards, Gandini &amp; Forman, 1998). These aspects can be applied to mitigate the effects of a post-pandemic world, as they were during the post-World War II era.</w:t>
      </w:r>
    </w:p>
    <w:p w14:paraId="03C7F56F" w14:textId="4CC489F3"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The catalytic leader must have a thorough understanding of these factors in order to be a catalyst for effective change, as Reggio Emilia has demonstrated is possible. In order to truly benefit the children, one must understand these factors</w:t>
      </w:r>
      <w:r w:rsidR="00D51699" w:rsidRPr="00616254">
        <w:rPr>
          <w:rFonts w:ascii="Arial" w:hAnsi="Arial" w:cs="Arial"/>
          <w:sz w:val="24"/>
          <w:szCs w:val="24"/>
        </w:rPr>
        <w:t xml:space="preserve"> (</w:t>
      </w:r>
      <w:proofErr w:type="spellStart"/>
      <w:r w:rsidR="00D51699" w:rsidRPr="00616254">
        <w:rPr>
          <w:rFonts w:ascii="Arial" w:hAnsi="Arial" w:cs="Arial"/>
          <w:sz w:val="24"/>
          <w:szCs w:val="24"/>
        </w:rPr>
        <w:t>Cadwell</w:t>
      </w:r>
      <w:proofErr w:type="spellEnd"/>
      <w:r w:rsidR="00D51699" w:rsidRPr="00616254">
        <w:rPr>
          <w:rFonts w:ascii="Arial" w:hAnsi="Arial" w:cs="Arial"/>
          <w:sz w:val="24"/>
          <w:szCs w:val="24"/>
        </w:rPr>
        <w:t>, 1998)</w:t>
      </w:r>
      <w:r w:rsidRPr="00616254">
        <w:rPr>
          <w:rFonts w:ascii="Arial" w:hAnsi="Arial" w:cs="Arial"/>
          <w:sz w:val="24"/>
          <w:szCs w:val="24"/>
        </w:rPr>
        <w:t xml:space="preserve">. In the absence of this, leaders of early childhood education may have a difficult time dealing with children from complex backgrounds. As an example, the socioeconomic status of a family can </w:t>
      </w:r>
      <w:proofErr w:type="gramStart"/>
      <w:r w:rsidRPr="00616254">
        <w:rPr>
          <w:rFonts w:ascii="Arial" w:hAnsi="Arial" w:cs="Arial"/>
          <w:sz w:val="24"/>
          <w:szCs w:val="24"/>
        </w:rPr>
        <w:t>influence</w:t>
      </w:r>
      <w:proofErr w:type="gramEnd"/>
      <w:r w:rsidRPr="00616254">
        <w:rPr>
          <w:rFonts w:ascii="Arial" w:hAnsi="Arial" w:cs="Arial"/>
          <w:sz w:val="24"/>
          <w:szCs w:val="24"/>
        </w:rPr>
        <w:t xml:space="preserve"> the level of care and educational opportunities a child receives (Bradley &amp; </w:t>
      </w:r>
      <w:proofErr w:type="spellStart"/>
      <w:r w:rsidRPr="00616254">
        <w:rPr>
          <w:rFonts w:ascii="Arial" w:hAnsi="Arial" w:cs="Arial"/>
          <w:sz w:val="24"/>
          <w:szCs w:val="24"/>
        </w:rPr>
        <w:t>Corwyn</w:t>
      </w:r>
      <w:proofErr w:type="spellEnd"/>
      <w:r w:rsidRPr="00616254">
        <w:rPr>
          <w:rFonts w:ascii="Arial" w:hAnsi="Arial" w:cs="Arial"/>
          <w:sz w:val="24"/>
          <w:szCs w:val="24"/>
        </w:rPr>
        <w:t>, 2002). In addition to gender stereotypes and biases, both boys and girls face limitations in terms of opportunities and experiences (Epstein, 2014).</w:t>
      </w:r>
    </w:p>
    <w:p w14:paraId="330C9FBD" w14:textId="5B2EDC61" w:rsidR="003C1550" w:rsidRPr="00616254" w:rsidRDefault="003C1550" w:rsidP="00616254">
      <w:pPr>
        <w:spacing w:line="360" w:lineRule="auto"/>
        <w:rPr>
          <w:rFonts w:ascii="Arial" w:hAnsi="Arial" w:cs="Arial"/>
          <w:sz w:val="24"/>
          <w:szCs w:val="24"/>
        </w:rPr>
      </w:pPr>
      <w:r w:rsidRPr="00616254">
        <w:rPr>
          <w:rFonts w:ascii="Arial" w:hAnsi="Arial" w:cs="Arial"/>
          <w:sz w:val="24"/>
          <w:szCs w:val="24"/>
        </w:rPr>
        <w:t>In order to create an inclusive environment that celebrates diversity and supports the learning and development of all children, leaders should be aware of these factors. Leadership in early childhood education requires navigating the expectations and demands of families (DeVries, 2006). Communication skills and the ability to build relationships with families are essential to creating a partnership in children's learning. As well as being aware of the broader societal issues that impact children and their families, it is essential that leaders in early childhood education be cognizant of these issues. According to Shonkoff &amp; Garner (2012), poverty, unemployment, and social inequality can negatively impact the wellbeing and development of children. Families and the broader community must receive support and resources from leaders in order to address these challenges.</w:t>
      </w:r>
    </w:p>
    <w:p w14:paraId="0780D20C" w14:textId="297A8E09" w:rsidR="00FC40A9" w:rsidRPr="00616254" w:rsidRDefault="003C1550" w:rsidP="00616254">
      <w:pPr>
        <w:spacing w:line="360" w:lineRule="auto"/>
        <w:rPr>
          <w:rFonts w:ascii="Arial" w:hAnsi="Arial" w:cs="Arial"/>
          <w:sz w:val="24"/>
          <w:szCs w:val="24"/>
        </w:rPr>
      </w:pPr>
      <w:r w:rsidRPr="00616254">
        <w:rPr>
          <w:rFonts w:ascii="Arial" w:hAnsi="Arial" w:cs="Arial"/>
          <w:sz w:val="24"/>
          <w:szCs w:val="24"/>
        </w:rPr>
        <w:t>Considering the diverse needs of children and their families, effective communication skills, and a commitment to addressing broader societal issues are all essential for being a catalytic leader in an early childhood setting</w:t>
      </w:r>
      <w:r w:rsidR="00D51699" w:rsidRPr="00616254">
        <w:rPr>
          <w:rFonts w:ascii="Arial" w:hAnsi="Arial" w:cs="Arial"/>
          <w:sz w:val="24"/>
          <w:szCs w:val="24"/>
        </w:rPr>
        <w:t xml:space="preserve"> (Clark, 2010)</w:t>
      </w:r>
      <w:r w:rsidRPr="00616254">
        <w:rPr>
          <w:rFonts w:ascii="Arial" w:hAnsi="Arial" w:cs="Arial"/>
          <w:sz w:val="24"/>
          <w:szCs w:val="24"/>
        </w:rPr>
        <w:t>. By recognizing these challenges and addressing them, early childhood education leaders can provide a positive environment for children's learning and development.</w:t>
      </w:r>
    </w:p>
    <w:p w14:paraId="2A4BD9B4" w14:textId="3AEB9127" w:rsidR="00F153C3" w:rsidRPr="00616254" w:rsidRDefault="00F153C3" w:rsidP="00616254">
      <w:pPr>
        <w:spacing w:line="360" w:lineRule="auto"/>
        <w:rPr>
          <w:rFonts w:ascii="Arial" w:hAnsi="Arial" w:cs="Arial"/>
          <w:sz w:val="24"/>
          <w:szCs w:val="24"/>
        </w:rPr>
      </w:pPr>
    </w:p>
    <w:p w14:paraId="66E6959F" w14:textId="77777777" w:rsidR="00B409E4" w:rsidRDefault="00B409E4" w:rsidP="00B409E4">
      <w:pPr>
        <w:spacing w:line="360" w:lineRule="auto"/>
        <w:rPr>
          <w:rFonts w:ascii="Arial" w:hAnsi="Arial" w:cs="Arial"/>
          <w:b/>
          <w:bCs/>
          <w:sz w:val="24"/>
          <w:szCs w:val="24"/>
          <w:u w:val="single"/>
        </w:rPr>
      </w:pPr>
    </w:p>
    <w:p w14:paraId="2BD67623" w14:textId="0E7E7781" w:rsidR="001E35DD" w:rsidRDefault="001E35DD"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lastRenderedPageBreak/>
        <w:t>Part Two</w:t>
      </w:r>
    </w:p>
    <w:p w14:paraId="1D05468A" w14:textId="1C3ACD12" w:rsidR="00B409E4" w:rsidRPr="00616254" w:rsidRDefault="00B409E4" w:rsidP="00B409E4">
      <w:pPr>
        <w:spacing w:line="360" w:lineRule="auto"/>
        <w:jc w:val="center"/>
        <w:rPr>
          <w:rFonts w:ascii="Arial" w:hAnsi="Arial" w:cs="Arial"/>
          <w:b/>
          <w:bCs/>
          <w:sz w:val="24"/>
          <w:szCs w:val="24"/>
          <w:u w:val="single"/>
        </w:rPr>
      </w:pPr>
      <w:r w:rsidRPr="00B409E4">
        <w:rPr>
          <w:rFonts w:ascii="Arial" w:hAnsi="Arial" w:cs="Arial"/>
          <w:b/>
          <w:bCs/>
          <w:sz w:val="24"/>
          <w:szCs w:val="24"/>
          <w:u w:val="single"/>
        </w:rPr>
        <w:t>The role of the Children's Commissioner in Wales and the effects of "Playful Futures" on the development of Welsh children in early childhood.</w:t>
      </w:r>
    </w:p>
    <w:p w14:paraId="1F4575C3" w14:textId="459CA23A" w:rsidR="00FB2C88" w:rsidRPr="00616254" w:rsidRDefault="000E397F" w:rsidP="00616254">
      <w:pPr>
        <w:spacing w:line="360" w:lineRule="auto"/>
        <w:rPr>
          <w:rFonts w:ascii="Arial" w:hAnsi="Arial" w:cs="Arial"/>
          <w:sz w:val="24"/>
          <w:szCs w:val="24"/>
        </w:rPr>
      </w:pPr>
      <w:r w:rsidRPr="000E397F">
        <w:rPr>
          <w:rFonts w:ascii="Arial" w:hAnsi="Arial" w:cs="Arial"/>
          <w:sz w:val="24"/>
          <w:szCs w:val="24"/>
        </w:rPr>
        <w:t>In 2001, the Children's Commissioner for Wales Act established a separate legal entity. According to Clarke (2002), the Children's Commissioner in Wales is responsible for protecting and promoting the welfare interests and legal rights of children. It is the responsibility of a commissioner to act as an advocate for children and young people in order to amplify their voices and to ensure their viewpoints are considered in decision-making processes (Williams, 2013). In addition to monitoring the implementation of the United Nations Convention on the Rights of the Child (UNICEF, 1989) in Wales, the commissioner is also responsible for raising awareness of children's rights (United Nations General Assembly, 1989).</w:t>
      </w:r>
    </w:p>
    <w:p w14:paraId="52C40868" w14:textId="3A1D7C5F"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According to Rees (2006), the Children's Commissioner's primary responsibility is to provide advice and guidance to the Welsh Government and other public authorities on matters relating to children's rights and welfare. As well as these reports, the commissioner prepares recommendations on a variety of topics that concern children in Wales, including child poverty, mental health, and educational accessibility (</w:t>
      </w:r>
      <w:proofErr w:type="spellStart"/>
      <w:r w:rsidRPr="00616254">
        <w:rPr>
          <w:rFonts w:ascii="Arial" w:hAnsi="Arial" w:cs="Arial"/>
          <w:sz w:val="24"/>
          <w:szCs w:val="24"/>
        </w:rPr>
        <w:t>Childrens</w:t>
      </w:r>
      <w:proofErr w:type="spellEnd"/>
      <w:r w:rsidRPr="00616254">
        <w:rPr>
          <w:rFonts w:ascii="Arial" w:hAnsi="Arial" w:cs="Arial"/>
          <w:sz w:val="24"/>
          <w:szCs w:val="24"/>
        </w:rPr>
        <w:t xml:space="preserve"> Commissioner for Wales, n.d.).</w:t>
      </w:r>
    </w:p>
    <w:p w14:paraId="5C466F1A" w14:textId="18391CF5"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 xml:space="preserve">Aside from providing direct support and advocacy, the commissioner's office also provides direct assistance and opportunities to children and young people experiencing a wide range of difficulties, including educational difficulties, family breakdowns, and involvement with criminal justice systems (Alderson &amp; Morrow, 2011; Jones, 2019). It is the responsibility of the Children's Commissioner for Wales to ensure that children's rights and development are </w:t>
      </w:r>
      <w:proofErr w:type="gramStart"/>
      <w:r w:rsidRPr="00616254">
        <w:rPr>
          <w:rFonts w:ascii="Arial" w:hAnsi="Arial" w:cs="Arial"/>
          <w:sz w:val="24"/>
          <w:szCs w:val="24"/>
        </w:rPr>
        <w:t>taken into account</w:t>
      </w:r>
      <w:proofErr w:type="gramEnd"/>
      <w:r w:rsidRPr="00616254">
        <w:rPr>
          <w:rFonts w:ascii="Arial" w:hAnsi="Arial" w:cs="Arial"/>
          <w:sz w:val="24"/>
          <w:szCs w:val="24"/>
        </w:rPr>
        <w:t xml:space="preserve"> when making policies and making decisions. A lack of a commissioner may provide difficulties for children and young people in voicing their concerns. As a result of the commissioner, they are provided with an independent and impartial voice (Leach, 2016; Lundy &amp; McEvoy, 2012). In addition to promoting awareness of children's rights, the commissioner must also ensure that these rights are respected and protected. By engaging with children and young people, the commissioner is able to identify areas in which children and young people's rights are not being fully realized and work with relevant stakeholders to address these issues (Hodkinson, 2012). Those who work </w:t>
      </w:r>
      <w:r w:rsidRPr="00616254">
        <w:rPr>
          <w:rFonts w:ascii="Arial" w:hAnsi="Arial" w:cs="Arial"/>
          <w:sz w:val="24"/>
          <w:szCs w:val="24"/>
        </w:rPr>
        <w:lastRenderedPageBreak/>
        <w:t>with children have a primary responsibility to promote and protect their rights and welfare (National society for the prevention of cruelty to children, 2018). Children's Commissioner for Wales (2018) provides an assessment of the current state of play and leisure opportunities for children in Wales in the report "Playful Futures: A review of play and leisure opportunities for children in Wales" (Playful Futures, 2016). The report suggests that policymakers should prioritize ensuring children have access to safe and accessible play spaces so they can develop physically, emotionally, and cognitively (Brock, Dodds, &amp; Jarvis, 2019). To support its arguments, the report cites several research studies and policy documents. Research has shown that play has a significant impact on children's mental health and wellbeing. Studies have also shown that play enhances children's brain development (Children's Commissioner for Wales, 2018).</w:t>
      </w:r>
    </w:p>
    <w:p w14:paraId="15212911" w14:textId="77777777"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 xml:space="preserve">The report has had numerous impacts, including increasing awareness of the importance of providing play and leisure opportunities for children in Wales. The importance of play spaces for children's development has been widely discussed in the media over the past few years (BBC News, 2018). Upon publication of the report, the Welsh Government also adopted a new play policy aimed at improving access to play spaces for children across the country (Welsh Government, 2019; Gustafsson &amp; </w:t>
      </w:r>
      <w:proofErr w:type="spellStart"/>
      <w:r w:rsidRPr="00616254">
        <w:rPr>
          <w:rFonts w:ascii="Arial" w:hAnsi="Arial" w:cs="Arial"/>
          <w:sz w:val="24"/>
          <w:szCs w:val="24"/>
        </w:rPr>
        <w:t>Farver</w:t>
      </w:r>
      <w:proofErr w:type="spellEnd"/>
      <w:r w:rsidRPr="00616254">
        <w:rPr>
          <w:rFonts w:ascii="Arial" w:hAnsi="Arial" w:cs="Arial"/>
          <w:sz w:val="24"/>
          <w:szCs w:val="24"/>
        </w:rPr>
        <w:t>-Vestergaard, 2019). The "Playful Futures report" published by the Children's Commissioner for Wales has had a significant impact on policy and practice in Wales regarding early childhood development. The report, however, also highlights some important challenges, including a lack of funding for play provision, which hinders access to quality play opportunities, particularly for children from disadvantaged backgrounds (Children's Commissioner for Wales, 2019). According to the report, play funding should be viewed as an investment in the development and well-being of children in order to avoid negative impacts resulting in a lack of play for children, such as irritability from too much time spent indoors and loneliness (Gray, 2011). In this regard, a national play strategy should be developed to ensure that every child in Wales has access to quality play opportunities.</w:t>
      </w:r>
    </w:p>
    <w:p w14:paraId="343124E1" w14:textId="77777777" w:rsidR="00FB2C88" w:rsidRPr="00616254" w:rsidRDefault="00FB2C88" w:rsidP="00616254">
      <w:pPr>
        <w:spacing w:line="360" w:lineRule="auto"/>
        <w:rPr>
          <w:rFonts w:ascii="Arial" w:hAnsi="Arial" w:cs="Arial"/>
          <w:sz w:val="24"/>
          <w:szCs w:val="24"/>
        </w:rPr>
      </w:pPr>
    </w:p>
    <w:p w14:paraId="7EE5DCAA" w14:textId="6218B1AD"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 xml:space="preserve">Among the challenges identified in the report is the evolution of play, particularly in the digital age. While acknowledging the benefits of technology for play, this report </w:t>
      </w:r>
      <w:r w:rsidRPr="00616254">
        <w:rPr>
          <w:rFonts w:ascii="Arial" w:hAnsi="Arial" w:cs="Arial"/>
          <w:sz w:val="24"/>
          <w:szCs w:val="24"/>
        </w:rPr>
        <w:lastRenderedPageBreak/>
        <w:t>also highlights health concerns associated with screen time among children (Children's Commissioner for Wales, 2019; Gray, 2011). In order to support children's development in a number of ways, a variety of play opportunities should be provided, balancing traditional forms of play with digital forms of play (Hughes, 2011).</w:t>
      </w:r>
    </w:p>
    <w:p w14:paraId="2674F239" w14:textId="68652F68" w:rsidR="00FB2C88" w:rsidRPr="00616254" w:rsidRDefault="00FB2C88" w:rsidP="00616254">
      <w:pPr>
        <w:spacing w:line="360" w:lineRule="auto"/>
        <w:rPr>
          <w:rFonts w:ascii="Arial" w:hAnsi="Arial" w:cs="Arial"/>
          <w:sz w:val="24"/>
          <w:szCs w:val="24"/>
        </w:rPr>
      </w:pPr>
      <w:r w:rsidRPr="00616254">
        <w:rPr>
          <w:rFonts w:ascii="Arial" w:hAnsi="Arial" w:cs="Arial"/>
          <w:sz w:val="24"/>
          <w:szCs w:val="24"/>
        </w:rPr>
        <w:t>The report emphasizes the importance of providing children with opportunities for play as much as possible. It is important to include children in the decision-making processes pertaining to play (Sutton-Smith, 1997), as they are the experts on their own play preferences and needs (</w:t>
      </w:r>
      <w:proofErr w:type="spellStart"/>
      <w:r w:rsidRPr="00616254">
        <w:rPr>
          <w:rFonts w:ascii="Arial" w:hAnsi="Arial" w:cs="Arial"/>
          <w:sz w:val="24"/>
          <w:szCs w:val="24"/>
        </w:rPr>
        <w:t>Kernan</w:t>
      </w:r>
      <w:proofErr w:type="spellEnd"/>
      <w:r w:rsidRPr="00616254">
        <w:rPr>
          <w:rFonts w:ascii="Arial" w:hAnsi="Arial" w:cs="Arial"/>
          <w:sz w:val="24"/>
          <w:szCs w:val="24"/>
        </w:rPr>
        <w:t xml:space="preserve"> &amp; Mitchell, 2018; Children's Commissioner for Wales, 2019). Several challenges have arisen as a result of implementing the recommendations contained in the report. Parents and educators alike have become increasingly aware of the importance of play and outdoor spaces for the well-being of children. However, in light of the COVID-19 pandemic, the creation of safe and accessible play opportunities has become increasingly difficult (Liu, </w:t>
      </w:r>
      <w:proofErr w:type="spellStart"/>
      <w:r w:rsidRPr="00616254">
        <w:rPr>
          <w:rFonts w:ascii="Arial" w:hAnsi="Arial" w:cs="Arial"/>
          <w:sz w:val="24"/>
          <w:szCs w:val="24"/>
        </w:rPr>
        <w:t>Wyver</w:t>
      </w:r>
      <w:proofErr w:type="spellEnd"/>
      <w:r w:rsidRPr="00616254">
        <w:rPr>
          <w:rFonts w:ascii="Arial" w:hAnsi="Arial" w:cs="Arial"/>
          <w:sz w:val="24"/>
          <w:szCs w:val="24"/>
        </w:rPr>
        <w:t xml:space="preserve"> &amp; </w:t>
      </w:r>
      <w:proofErr w:type="spellStart"/>
      <w:r w:rsidRPr="00616254">
        <w:rPr>
          <w:rFonts w:ascii="Arial" w:hAnsi="Arial" w:cs="Arial"/>
          <w:sz w:val="24"/>
          <w:szCs w:val="24"/>
        </w:rPr>
        <w:t>Chutiyami</w:t>
      </w:r>
      <w:proofErr w:type="spellEnd"/>
      <w:r w:rsidRPr="00616254">
        <w:rPr>
          <w:rFonts w:ascii="Arial" w:hAnsi="Arial" w:cs="Arial"/>
          <w:sz w:val="24"/>
          <w:szCs w:val="24"/>
        </w:rPr>
        <w:t>, 2022; BBC, 2020). Moreover, many local authorities face economic challenges, which may affect the availability of funding for play programs in the future (</w:t>
      </w:r>
      <w:proofErr w:type="spellStart"/>
      <w:r w:rsidRPr="00616254">
        <w:rPr>
          <w:rFonts w:ascii="Arial" w:hAnsi="Arial" w:cs="Arial"/>
          <w:sz w:val="24"/>
          <w:szCs w:val="24"/>
        </w:rPr>
        <w:t>Sandseter</w:t>
      </w:r>
      <w:proofErr w:type="spellEnd"/>
      <w:r w:rsidRPr="00616254">
        <w:rPr>
          <w:rFonts w:ascii="Arial" w:hAnsi="Arial" w:cs="Arial"/>
          <w:sz w:val="24"/>
          <w:szCs w:val="24"/>
        </w:rPr>
        <w:t>, 2009; BBC, 2021).</w:t>
      </w:r>
    </w:p>
    <w:p w14:paraId="1F2C2114" w14:textId="6F7D3033" w:rsidR="001E35DD" w:rsidRPr="00616254" w:rsidRDefault="00FB2C88" w:rsidP="00616254">
      <w:pPr>
        <w:spacing w:line="360" w:lineRule="auto"/>
        <w:rPr>
          <w:rFonts w:ascii="Arial" w:hAnsi="Arial" w:cs="Arial"/>
          <w:sz w:val="24"/>
          <w:szCs w:val="24"/>
        </w:rPr>
      </w:pPr>
      <w:r w:rsidRPr="00616254">
        <w:rPr>
          <w:rFonts w:ascii="Arial" w:hAnsi="Arial" w:cs="Arial"/>
          <w:sz w:val="24"/>
          <w:szCs w:val="24"/>
        </w:rPr>
        <w:t>The importance of play in a child's life has long been debated, and this report contributes significantly to that debate. The paper highlights the challenges involved in providing quality play opportunities to all children in Wales (Kim, Kim, &amp; Kim, 2018). In addition, the report emphasizes the importance of involving children in the design of play opportunities and in the provision of opportunities for them to participate in them and acknowledges that play is an ever-evolving activity (</w:t>
      </w:r>
      <w:proofErr w:type="spellStart"/>
      <w:r w:rsidRPr="00616254">
        <w:rPr>
          <w:rFonts w:ascii="Arial" w:hAnsi="Arial" w:cs="Arial"/>
          <w:sz w:val="24"/>
          <w:szCs w:val="24"/>
        </w:rPr>
        <w:t>Nijhof</w:t>
      </w:r>
      <w:proofErr w:type="spellEnd"/>
      <w:r w:rsidRPr="00616254">
        <w:rPr>
          <w:rFonts w:ascii="Arial" w:hAnsi="Arial" w:cs="Arial"/>
          <w:sz w:val="24"/>
          <w:szCs w:val="24"/>
        </w:rPr>
        <w:t xml:space="preserve"> &amp; </w:t>
      </w:r>
      <w:proofErr w:type="spellStart"/>
      <w:r w:rsidRPr="00616254">
        <w:rPr>
          <w:rFonts w:ascii="Arial" w:hAnsi="Arial" w:cs="Arial"/>
          <w:sz w:val="24"/>
          <w:szCs w:val="24"/>
        </w:rPr>
        <w:t>Heerschap</w:t>
      </w:r>
      <w:proofErr w:type="spellEnd"/>
      <w:r w:rsidRPr="00616254">
        <w:rPr>
          <w:rFonts w:ascii="Arial" w:hAnsi="Arial" w:cs="Arial"/>
          <w:sz w:val="24"/>
          <w:szCs w:val="24"/>
        </w:rPr>
        <w:t>, 2018).</w:t>
      </w:r>
    </w:p>
    <w:p w14:paraId="76790213" w14:textId="77777777" w:rsidR="001E35DD" w:rsidRPr="00616254" w:rsidRDefault="001E35DD" w:rsidP="00616254">
      <w:pPr>
        <w:spacing w:line="360" w:lineRule="auto"/>
        <w:rPr>
          <w:rFonts w:ascii="Arial" w:hAnsi="Arial" w:cs="Arial"/>
          <w:b/>
          <w:bCs/>
          <w:sz w:val="24"/>
          <w:szCs w:val="24"/>
        </w:rPr>
      </w:pPr>
    </w:p>
    <w:p w14:paraId="04086B1E" w14:textId="20D8F836" w:rsidR="00767F66" w:rsidRPr="00616254" w:rsidRDefault="00767F66" w:rsidP="00616254">
      <w:pPr>
        <w:spacing w:line="360" w:lineRule="auto"/>
        <w:rPr>
          <w:rFonts w:ascii="Arial" w:hAnsi="Arial" w:cs="Arial"/>
          <w:b/>
          <w:bCs/>
          <w:sz w:val="24"/>
          <w:szCs w:val="24"/>
          <w:u w:val="single"/>
        </w:rPr>
      </w:pPr>
    </w:p>
    <w:p w14:paraId="40B7B283" w14:textId="0CD8A8C3" w:rsidR="007D0CE1" w:rsidRPr="00616254" w:rsidRDefault="007D0CE1" w:rsidP="00616254">
      <w:pPr>
        <w:spacing w:line="360" w:lineRule="auto"/>
        <w:rPr>
          <w:rFonts w:ascii="Arial" w:hAnsi="Arial" w:cs="Arial"/>
          <w:b/>
          <w:bCs/>
          <w:sz w:val="24"/>
          <w:szCs w:val="24"/>
          <w:u w:val="single"/>
        </w:rPr>
      </w:pPr>
    </w:p>
    <w:p w14:paraId="6ECEFD9B" w14:textId="77777777" w:rsidR="00FB2C88" w:rsidRPr="00616254" w:rsidRDefault="00FB2C88" w:rsidP="00616254">
      <w:pPr>
        <w:spacing w:line="360" w:lineRule="auto"/>
        <w:rPr>
          <w:rFonts w:ascii="Arial" w:hAnsi="Arial" w:cs="Arial"/>
          <w:b/>
          <w:bCs/>
          <w:sz w:val="24"/>
          <w:szCs w:val="24"/>
          <w:u w:val="single"/>
        </w:rPr>
      </w:pPr>
    </w:p>
    <w:p w14:paraId="59CFAA03" w14:textId="77777777" w:rsidR="007D0CE1" w:rsidRPr="00616254" w:rsidRDefault="007D0CE1" w:rsidP="00616254">
      <w:pPr>
        <w:spacing w:line="360" w:lineRule="auto"/>
        <w:rPr>
          <w:rFonts w:ascii="Arial" w:hAnsi="Arial" w:cs="Arial"/>
          <w:b/>
          <w:bCs/>
          <w:sz w:val="24"/>
          <w:szCs w:val="24"/>
          <w:u w:val="single"/>
        </w:rPr>
      </w:pPr>
    </w:p>
    <w:p w14:paraId="6E2DCB31" w14:textId="77777777" w:rsidR="00B409E4" w:rsidRDefault="00B409E4" w:rsidP="00B409E4">
      <w:pPr>
        <w:spacing w:line="360" w:lineRule="auto"/>
        <w:rPr>
          <w:rFonts w:ascii="Arial" w:hAnsi="Arial" w:cs="Arial"/>
          <w:b/>
          <w:bCs/>
          <w:sz w:val="24"/>
          <w:szCs w:val="24"/>
          <w:u w:val="single"/>
        </w:rPr>
      </w:pPr>
    </w:p>
    <w:p w14:paraId="207767BC" w14:textId="16D9F725" w:rsidR="001E35DD" w:rsidRDefault="001E35DD" w:rsidP="00616254">
      <w:pPr>
        <w:spacing w:line="360" w:lineRule="auto"/>
        <w:jc w:val="center"/>
        <w:rPr>
          <w:rFonts w:ascii="Arial" w:hAnsi="Arial" w:cs="Arial"/>
          <w:b/>
          <w:bCs/>
          <w:sz w:val="24"/>
          <w:szCs w:val="24"/>
          <w:u w:val="single"/>
        </w:rPr>
      </w:pPr>
      <w:r w:rsidRPr="00616254">
        <w:rPr>
          <w:rFonts w:ascii="Arial" w:hAnsi="Arial" w:cs="Arial"/>
          <w:b/>
          <w:bCs/>
          <w:sz w:val="24"/>
          <w:szCs w:val="24"/>
          <w:u w:val="single"/>
        </w:rPr>
        <w:lastRenderedPageBreak/>
        <w:t>Part Three</w:t>
      </w:r>
    </w:p>
    <w:p w14:paraId="3C8810C8" w14:textId="1FA68375" w:rsidR="00B409E4" w:rsidRDefault="00B409E4" w:rsidP="00B409E4">
      <w:pPr>
        <w:spacing w:line="360" w:lineRule="auto"/>
        <w:jc w:val="center"/>
        <w:rPr>
          <w:rFonts w:ascii="Arial" w:hAnsi="Arial" w:cs="Arial"/>
          <w:b/>
          <w:bCs/>
          <w:sz w:val="24"/>
          <w:szCs w:val="24"/>
          <w:u w:val="single"/>
        </w:rPr>
      </w:pPr>
      <w:r w:rsidRPr="00B409E4">
        <w:rPr>
          <w:rFonts w:ascii="Arial" w:hAnsi="Arial" w:cs="Arial"/>
          <w:b/>
          <w:bCs/>
          <w:sz w:val="24"/>
          <w:szCs w:val="24"/>
          <w:u w:val="single"/>
        </w:rPr>
        <w:t>Poverty adversely affects the lives of young children, and there are a number of interventions available that are available to assist children who are living with the effects of poverty.</w:t>
      </w:r>
    </w:p>
    <w:p w14:paraId="747DF10B" w14:textId="6DD91859"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From a sociological perspective, it is clear that many children in Wales face challenges due to poverty. A number of aspects of children's development can be impacted by poverty, including their health, education, social, and emotional well-being, which can have a profound impact on their progress (Riley, et al., 2019; UNICEF, 2016). There are a number of early childhood interventions and services available to support children living in poverty and mitigate its effects. Allen (2011) recommends that an evaluation of the various early intervention and service programs available to children from low-income families be conducted.</w:t>
      </w:r>
    </w:p>
    <w:p w14:paraId="1E951D3F" w14:textId="77777777" w:rsidR="00616254" w:rsidRPr="00616254" w:rsidRDefault="00616254" w:rsidP="00616254">
      <w:pPr>
        <w:spacing w:line="360" w:lineRule="auto"/>
        <w:rPr>
          <w:rFonts w:ascii="Arial" w:hAnsi="Arial" w:cs="Arial"/>
          <w:sz w:val="24"/>
          <w:szCs w:val="24"/>
        </w:rPr>
      </w:pPr>
    </w:p>
    <w:p w14:paraId="598FC33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The provision of free early education and childcare for children between the ages of three and four is one of the most significant early childhood interventions in the United Kingdom. Children from disadvantaged backgrounds will benefit significantly from this program since it facilitates their development and provides a positive start to their lives (</w:t>
      </w:r>
      <w:proofErr w:type="spellStart"/>
      <w:r w:rsidRPr="00616254">
        <w:rPr>
          <w:rFonts w:ascii="Arial" w:hAnsi="Arial" w:cs="Arial"/>
          <w:sz w:val="24"/>
          <w:szCs w:val="24"/>
        </w:rPr>
        <w:t>Schweinhart</w:t>
      </w:r>
      <w:proofErr w:type="spellEnd"/>
      <w:r w:rsidRPr="00616254">
        <w:rPr>
          <w:rFonts w:ascii="Arial" w:hAnsi="Arial" w:cs="Arial"/>
          <w:sz w:val="24"/>
          <w:szCs w:val="24"/>
        </w:rPr>
        <w:t>, et al., 2005; Shonkoff &amp; Garner, 2012). Additionally, low-income families may be eligible for a variety of forms of financial assistance in addition to free school meals. Upon implementing these interventions, families are able to alleviate some of the financial stress they are experiencing by providing their children with the resources they need to thrive (Duncan &amp; Magnuson, 2013; Yoshikawa, et al., 2013).</w:t>
      </w:r>
    </w:p>
    <w:p w14:paraId="7B41F4B1" w14:textId="77777777" w:rsidR="00616254" w:rsidRPr="00616254" w:rsidRDefault="00616254" w:rsidP="00616254">
      <w:pPr>
        <w:spacing w:line="360" w:lineRule="auto"/>
        <w:rPr>
          <w:rFonts w:ascii="Arial" w:hAnsi="Arial" w:cs="Arial"/>
          <w:sz w:val="24"/>
          <w:szCs w:val="24"/>
        </w:rPr>
      </w:pPr>
    </w:p>
    <w:p w14:paraId="2C551BF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However, despite the fact that these interventions have been implemented, many children still live in poverty. It is possible that families will not be able to access free early education and childcare services at all times. As a result, these individuals are more likely to encounter barriers to accessing the service, such as not meeting eligibility criteria, which makes access to the service particularly difficult for them (Shonkoff &amp; Garner, 2012; National Institute for Health and Care Excellence, 2015). The provision of financial assistance can provide some relief to struggling families, </w:t>
      </w:r>
      <w:r w:rsidRPr="00616254">
        <w:rPr>
          <w:rFonts w:ascii="Arial" w:hAnsi="Arial" w:cs="Arial"/>
          <w:sz w:val="24"/>
          <w:szCs w:val="24"/>
        </w:rPr>
        <w:lastRenderedPageBreak/>
        <w:t>but it does not address the underlying causes of poverty, which include low wages and inadequate social security benefits (Heckman, 2006).</w:t>
      </w:r>
    </w:p>
    <w:p w14:paraId="581EC1B3" w14:textId="77777777" w:rsidR="00616254" w:rsidRPr="00616254" w:rsidRDefault="00616254" w:rsidP="00616254">
      <w:pPr>
        <w:spacing w:line="360" w:lineRule="auto"/>
        <w:rPr>
          <w:rFonts w:ascii="Arial" w:hAnsi="Arial" w:cs="Arial"/>
          <w:sz w:val="24"/>
          <w:szCs w:val="24"/>
        </w:rPr>
      </w:pPr>
    </w:p>
    <w:p w14:paraId="2EF9CA3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For children living in poverty, early childhood interventions can be beneficial, but they do not provide a permanent solution (Rees &amp; </w:t>
      </w:r>
      <w:proofErr w:type="spellStart"/>
      <w:r w:rsidRPr="00616254">
        <w:rPr>
          <w:rFonts w:ascii="Arial" w:hAnsi="Arial" w:cs="Arial"/>
          <w:sz w:val="24"/>
          <w:szCs w:val="24"/>
        </w:rPr>
        <w:t>Gorin</w:t>
      </w:r>
      <w:proofErr w:type="spellEnd"/>
      <w:r w:rsidRPr="00616254">
        <w:rPr>
          <w:rFonts w:ascii="Arial" w:hAnsi="Arial" w:cs="Arial"/>
          <w:sz w:val="24"/>
          <w:szCs w:val="24"/>
        </w:rPr>
        <w:t>, 2019; Barnett et al, 2008). The underlying causes of poverty must be addressed in order for all children to have access to the resources they need to thrive. Income inequality and an inadequate social security system are two of the reasons for this (The Sutton Trust, 2014; Olds, et al, 2007).</w:t>
      </w:r>
    </w:p>
    <w:p w14:paraId="3FD07AAD" w14:textId="77777777" w:rsidR="00616254" w:rsidRPr="00616254" w:rsidRDefault="00616254" w:rsidP="00616254">
      <w:pPr>
        <w:spacing w:line="360" w:lineRule="auto"/>
        <w:rPr>
          <w:rFonts w:ascii="Arial" w:hAnsi="Arial" w:cs="Arial"/>
          <w:sz w:val="24"/>
          <w:szCs w:val="24"/>
        </w:rPr>
      </w:pPr>
    </w:p>
    <w:p w14:paraId="3BFF03A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According to Cohen, Manion &amp; Morrison (2018), family structure is considered to be one of the most significant sociological factors contributing to the likelihood of a child living in poverty. This can have an extremely significant impact on the future of a child (</w:t>
      </w:r>
      <w:proofErr w:type="spellStart"/>
      <w:r w:rsidRPr="00616254">
        <w:rPr>
          <w:rFonts w:ascii="Arial" w:hAnsi="Arial" w:cs="Arial"/>
          <w:sz w:val="24"/>
          <w:szCs w:val="24"/>
        </w:rPr>
        <w:t>Broffenbrenner</w:t>
      </w:r>
      <w:proofErr w:type="spellEnd"/>
      <w:r w:rsidRPr="00616254">
        <w:rPr>
          <w:rFonts w:ascii="Arial" w:hAnsi="Arial" w:cs="Arial"/>
          <w:sz w:val="24"/>
          <w:szCs w:val="24"/>
        </w:rPr>
        <w:t>, 1979). By definition, a family structure refers to the composition of a household in which a child lives, including whether he or she lives with both parents, a single parent, or another caregiver (Gillies, 2007).</w:t>
      </w:r>
    </w:p>
    <w:p w14:paraId="413B2DF3" w14:textId="77777777" w:rsidR="00616254" w:rsidRPr="00616254" w:rsidRDefault="00616254" w:rsidP="00616254">
      <w:pPr>
        <w:spacing w:line="360" w:lineRule="auto"/>
        <w:rPr>
          <w:rFonts w:ascii="Arial" w:hAnsi="Arial" w:cs="Arial"/>
          <w:sz w:val="24"/>
          <w:szCs w:val="24"/>
        </w:rPr>
      </w:pPr>
    </w:p>
    <w:p w14:paraId="165EA3C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Single-parent households are associated with a number of negative outcomes such as poor academic performance, mental health concerns, and social or </w:t>
      </w:r>
      <w:proofErr w:type="spellStart"/>
      <w:r w:rsidRPr="00616254">
        <w:rPr>
          <w:rFonts w:ascii="Arial" w:hAnsi="Arial" w:cs="Arial"/>
          <w:sz w:val="24"/>
          <w:szCs w:val="24"/>
        </w:rPr>
        <w:t>behavioral</w:t>
      </w:r>
      <w:proofErr w:type="spellEnd"/>
      <w:r w:rsidRPr="00616254">
        <w:rPr>
          <w:rFonts w:ascii="Arial" w:hAnsi="Arial" w:cs="Arial"/>
          <w:sz w:val="24"/>
          <w:szCs w:val="24"/>
        </w:rPr>
        <w:t xml:space="preserve"> difficulties (Amato, 2010). In addition to experiencing higher levels of stress and financial strain, a single parent may also be deprived of social and emotional support. There is evidence that these factors may negatively impact the lives of children living in poverty (Belsky &amp; Fearon, 2002; </w:t>
      </w:r>
      <w:proofErr w:type="spellStart"/>
      <w:r w:rsidRPr="00616254">
        <w:rPr>
          <w:rFonts w:ascii="Arial" w:hAnsi="Arial" w:cs="Arial"/>
          <w:sz w:val="24"/>
          <w:szCs w:val="24"/>
        </w:rPr>
        <w:t>McLanahan</w:t>
      </w:r>
      <w:proofErr w:type="spellEnd"/>
      <w:r w:rsidRPr="00616254">
        <w:rPr>
          <w:rFonts w:ascii="Arial" w:hAnsi="Arial" w:cs="Arial"/>
          <w:sz w:val="24"/>
          <w:szCs w:val="24"/>
        </w:rPr>
        <w:t xml:space="preserve"> &amp; </w:t>
      </w:r>
      <w:proofErr w:type="spellStart"/>
      <w:r w:rsidRPr="00616254">
        <w:rPr>
          <w:rFonts w:ascii="Arial" w:hAnsi="Arial" w:cs="Arial"/>
          <w:sz w:val="24"/>
          <w:szCs w:val="24"/>
        </w:rPr>
        <w:t>Sandefur</w:t>
      </w:r>
      <w:proofErr w:type="spellEnd"/>
      <w:r w:rsidRPr="00616254">
        <w:rPr>
          <w:rFonts w:ascii="Arial" w:hAnsi="Arial" w:cs="Arial"/>
          <w:sz w:val="24"/>
          <w:szCs w:val="24"/>
        </w:rPr>
        <w:t>, 1994).</w:t>
      </w:r>
    </w:p>
    <w:p w14:paraId="47BE2E0F" w14:textId="77777777" w:rsidR="00616254" w:rsidRPr="00616254" w:rsidRDefault="00616254" w:rsidP="00616254">
      <w:pPr>
        <w:spacing w:line="360" w:lineRule="auto"/>
        <w:rPr>
          <w:rFonts w:ascii="Arial" w:hAnsi="Arial" w:cs="Arial"/>
          <w:sz w:val="24"/>
          <w:szCs w:val="24"/>
        </w:rPr>
      </w:pPr>
    </w:p>
    <w:p w14:paraId="65F9DFB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Although single-parent households can differ greatly from one another, it is still beneficial to keep this in mind (Yeung, et al., 2001). To some extent, independent parents with strong social networks and access to support services may be able to mitigate some of the negative effects of single parenting (McCartney &amp; Phillips, 2006; </w:t>
      </w:r>
      <w:proofErr w:type="spellStart"/>
      <w:r w:rsidRPr="00616254">
        <w:rPr>
          <w:rFonts w:ascii="Arial" w:hAnsi="Arial" w:cs="Arial"/>
          <w:sz w:val="24"/>
          <w:szCs w:val="24"/>
        </w:rPr>
        <w:t>McLanahan</w:t>
      </w:r>
      <w:proofErr w:type="spellEnd"/>
      <w:r w:rsidRPr="00616254">
        <w:rPr>
          <w:rFonts w:ascii="Arial" w:hAnsi="Arial" w:cs="Arial"/>
          <w:sz w:val="24"/>
          <w:szCs w:val="24"/>
        </w:rPr>
        <w:t xml:space="preserve"> &amp; </w:t>
      </w:r>
      <w:proofErr w:type="spellStart"/>
      <w:r w:rsidRPr="00616254">
        <w:rPr>
          <w:rFonts w:ascii="Arial" w:hAnsi="Arial" w:cs="Arial"/>
          <w:sz w:val="24"/>
          <w:szCs w:val="24"/>
        </w:rPr>
        <w:t>Sandefur</w:t>
      </w:r>
      <w:proofErr w:type="spellEnd"/>
      <w:r w:rsidRPr="00616254">
        <w:rPr>
          <w:rFonts w:ascii="Arial" w:hAnsi="Arial" w:cs="Arial"/>
          <w:sz w:val="24"/>
          <w:szCs w:val="24"/>
        </w:rPr>
        <w:t xml:space="preserve">, 1994). In addition to the negative outcomes associated with parental conflict and instability, children from two-parent households </w:t>
      </w:r>
      <w:r w:rsidRPr="00616254">
        <w:rPr>
          <w:rFonts w:ascii="Arial" w:hAnsi="Arial" w:cs="Arial"/>
          <w:sz w:val="24"/>
          <w:szCs w:val="24"/>
        </w:rPr>
        <w:lastRenderedPageBreak/>
        <w:t xml:space="preserve">may also experience a variety of negative outcomes caused by parental conflict and instability (Raver, 2002; </w:t>
      </w:r>
      <w:proofErr w:type="spellStart"/>
      <w:r w:rsidRPr="00616254">
        <w:rPr>
          <w:rFonts w:ascii="Arial" w:hAnsi="Arial" w:cs="Arial"/>
          <w:sz w:val="24"/>
          <w:szCs w:val="24"/>
        </w:rPr>
        <w:t>Teicher</w:t>
      </w:r>
      <w:proofErr w:type="spellEnd"/>
      <w:r w:rsidRPr="00616254">
        <w:rPr>
          <w:rFonts w:ascii="Arial" w:hAnsi="Arial" w:cs="Arial"/>
          <w:sz w:val="24"/>
          <w:szCs w:val="24"/>
        </w:rPr>
        <w:t>, et al., 2003). This is the reason why these early childhood interventions are considered to be so beneficial in the first place (</w:t>
      </w:r>
      <w:proofErr w:type="spellStart"/>
      <w:r w:rsidRPr="00616254">
        <w:rPr>
          <w:rFonts w:ascii="Arial" w:hAnsi="Arial" w:cs="Arial"/>
          <w:sz w:val="24"/>
          <w:szCs w:val="24"/>
        </w:rPr>
        <w:t>Pianta</w:t>
      </w:r>
      <w:proofErr w:type="spellEnd"/>
      <w:r w:rsidRPr="00616254">
        <w:rPr>
          <w:rFonts w:ascii="Arial" w:hAnsi="Arial" w:cs="Arial"/>
          <w:sz w:val="24"/>
          <w:szCs w:val="24"/>
        </w:rPr>
        <w:t xml:space="preserve"> &amp; Cox, 2002). A variety of programs are available to support families and children regardless of the structure of their families through the provision of interventions and services. An effective parenting program, for instance, can assist parents in developing positive parenting skills and improving their communication with their children. The use of family counselling and therapy may also be beneficial to families experiencing conflict or other challenges (Marmot, et al., 2010). In spite of this, it should be noted that some drawbacks can be associated with these interventions. The availability of parenting programs and family </w:t>
      </w:r>
      <w:proofErr w:type="spellStart"/>
      <w:r w:rsidRPr="00616254">
        <w:rPr>
          <w:rFonts w:ascii="Arial" w:hAnsi="Arial" w:cs="Arial"/>
          <w:sz w:val="24"/>
          <w:szCs w:val="24"/>
        </w:rPr>
        <w:t>counseling</w:t>
      </w:r>
      <w:proofErr w:type="spellEnd"/>
      <w:r w:rsidRPr="00616254">
        <w:rPr>
          <w:rFonts w:ascii="Arial" w:hAnsi="Arial" w:cs="Arial"/>
          <w:sz w:val="24"/>
          <w:szCs w:val="24"/>
        </w:rPr>
        <w:t xml:space="preserve"> may not be available to everyone as a result of financial obstacles or a lack of resources (Forehand &amp; </w:t>
      </w:r>
      <w:proofErr w:type="spellStart"/>
      <w:r w:rsidRPr="00616254">
        <w:rPr>
          <w:rFonts w:ascii="Arial" w:hAnsi="Arial" w:cs="Arial"/>
          <w:sz w:val="24"/>
          <w:szCs w:val="24"/>
        </w:rPr>
        <w:t>Kotchick</w:t>
      </w:r>
      <w:proofErr w:type="spellEnd"/>
      <w:r w:rsidRPr="00616254">
        <w:rPr>
          <w:rFonts w:ascii="Arial" w:hAnsi="Arial" w:cs="Arial"/>
          <w:sz w:val="24"/>
          <w:szCs w:val="24"/>
        </w:rPr>
        <w:t>, 2002). As well, ensuring that all families receive the support they need can be difficult, since the effectiveness of these interventions varies depending on each family's needs (</w:t>
      </w:r>
      <w:proofErr w:type="spellStart"/>
      <w:r w:rsidRPr="00616254">
        <w:rPr>
          <w:rFonts w:ascii="Arial" w:hAnsi="Arial" w:cs="Arial"/>
          <w:sz w:val="24"/>
          <w:szCs w:val="24"/>
        </w:rPr>
        <w:t>Dadds</w:t>
      </w:r>
      <w:proofErr w:type="spellEnd"/>
      <w:r w:rsidRPr="00616254">
        <w:rPr>
          <w:rFonts w:ascii="Arial" w:hAnsi="Arial" w:cs="Arial"/>
          <w:sz w:val="24"/>
          <w:szCs w:val="24"/>
        </w:rPr>
        <w:t xml:space="preserve"> &amp; Roth, 2001).</w:t>
      </w:r>
    </w:p>
    <w:p w14:paraId="3E079F3C" w14:textId="77777777" w:rsidR="00616254" w:rsidRPr="00616254" w:rsidRDefault="00616254" w:rsidP="00616254">
      <w:pPr>
        <w:spacing w:line="360" w:lineRule="auto"/>
        <w:rPr>
          <w:rFonts w:ascii="Arial" w:hAnsi="Arial" w:cs="Arial"/>
          <w:sz w:val="24"/>
          <w:szCs w:val="24"/>
        </w:rPr>
      </w:pPr>
    </w:p>
    <w:p w14:paraId="2246B474" w14:textId="7942C82A"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Despite the interventions and services that support families and children, there are still some underlying issues related to poverty and inequality that may adversely affect the structure of families. To ensure that children have a positive outcome, it is imperative that all families have access to this type of support to facilitate their continued development (Belsky &amp; Fearon, 2015).</w:t>
      </w:r>
    </w:p>
    <w:p w14:paraId="228929D0" w14:textId="1205FACE" w:rsidR="00184616" w:rsidRDefault="00616254" w:rsidP="00616254">
      <w:pPr>
        <w:spacing w:line="360" w:lineRule="auto"/>
        <w:rPr>
          <w:rFonts w:ascii="Arial" w:hAnsi="Arial" w:cs="Arial"/>
          <w:sz w:val="24"/>
          <w:szCs w:val="24"/>
        </w:rPr>
      </w:pPr>
      <w:r w:rsidRPr="00616254">
        <w:rPr>
          <w:rFonts w:ascii="Arial" w:hAnsi="Arial" w:cs="Arial"/>
          <w:sz w:val="24"/>
          <w:szCs w:val="24"/>
        </w:rPr>
        <w:t xml:space="preserve">Providing early intervention and services to children can play a critical role in mitigating the negative impacts of poverty on their lives in the future (Gooch, et al., 2016; Sylva, et al., 2015). To maximize the effectiveness of these interventions and services, it is also necessary to address the challenges associated with implementing and obtaining them. It may be possible to achieve this goal by developing innovative ways to make sure that early childhood interventions and services are delivered to families in need, increasing funding, and targeted efforts to reach families in need (Van </w:t>
      </w:r>
      <w:proofErr w:type="spellStart"/>
      <w:r w:rsidRPr="00616254">
        <w:rPr>
          <w:rFonts w:ascii="Arial" w:hAnsi="Arial" w:cs="Arial"/>
          <w:sz w:val="24"/>
          <w:szCs w:val="24"/>
        </w:rPr>
        <w:t>IJzendoorn</w:t>
      </w:r>
      <w:proofErr w:type="spellEnd"/>
      <w:r w:rsidRPr="00616254">
        <w:rPr>
          <w:rFonts w:ascii="Arial" w:hAnsi="Arial" w:cs="Arial"/>
          <w:sz w:val="24"/>
          <w:szCs w:val="24"/>
        </w:rPr>
        <w:t xml:space="preserve">, </w:t>
      </w:r>
      <w:proofErr w:type="spellStart"/>
      <w:r w:rsidRPr="00616254">
        <w:rPr>
          <w:rFonts w:ascii="Arial" w:hAnsi="Arial" w:cs="Arial"/>
          <w:sz w:val="24"/>
          <w:szCs w:val="24"/>
        </w:rPr>
        <w:t>Bakermans-Kranenburg</w:t>
      </w:r>
      <w:proofErr w:type="spellEnd"/>
      <w:r w:rsidRPr="00616254">
        <w:rPr>
          <w:rFonts w:ascii="Arial" w:hAnsi="Arial" w:cs="Arial"/>
          <w:sz w:val="24"/>
          <w:szCs w:val="24"/>
        </w:rPr>
        <w:t xml:space="preserve"> &amp; </w:t>
      </w:r>
      <w:proofErr w:type="spellStart"/>
      <w:r w:rsidRPr="00616254">
        <w:rPr>
          <w:rFonts w:ascii="Arial" w:hAnsi="Arial" w:cs="Arial"/>
          <w:sz w:val="24"/>
          <w:szCs w:val="24"/>
        </w:rPr>
        <w:t>Sagi</w:t>
      </w:r>
      <w:proofErr w:type="spellEnd"/>
      <w:r w:rsidRPr="00616254">
        <w:rPr>
          <w:rFonts w:ascii="Arial" w:hAnsi="Arial" w:cs="Arial"/>
          <w:sz w:val="24"/>
          <w:szCs w:val="24"/>
        </w:rPr>
        <w:t>-Schwartz, 2019)</w:t>
      </w:r>
      <w:r>
        <w:rPr>
          <w:rFonts w:ascii="Arial" w:hAnsi="Arial" w:cs="Arial"/>
          <w:sz w:val="24"/>
          <w:szCs w:val="24"/>
        </w:rPr>
        <w:t>.</w:t>
      </w:r>
    </w:p>
    <w:p w14:paraId="0A737AF2" w14:textId="77777777" w:rsidR="00616254" w:rsidRPr="00616254" w:rsidRDefault="00616254" w:rsidP="00616254">
      <w:pPr>
        <w:spacing w:line="360" w:lineRule="auto"/>
        <w:rPr>
          <w:rFonts w:ascii="Arial" w:hAnsi="Arial" w:cs="Arial"/>
          <w:sz w:val="24"/>
          <w:szCs w:val="24"/>
        </w:rPr>
      </w:pPr>
    </w:p>
    <w:p w14:paraId="5B3A443A" w14:textId="77777777" w:rsidR="00E715BD" w:rsidRPr="00616254" w:rsidRDefault="00E715BD" w:rsidP="00616254">
      <w:pPr>
        <w:spacing w:line="360" w:lineRule="auto"/>
        <w:rPr>
          <w:rFonts w:ascii="Arial" w:hAnsi="Arial" w:cs="Arial"/>
          <w:sz w:val="24"/>
          <w:szCs w:val="24"/>
        </w:rPr>
      </w:pPr>
    </w:p>
    <w:p w14:paraId="75E7773D" w14:textId="520DE317" w:rsidR="00616254" w:rsidRDefault="0046328B" w:rsidP="00B409E4">
      <w:pPr>
        <w:spacing w:line="360" w:lineRule="auto"/>
        <w:jc w:val="center"/>
        <w:rPr>
          <w:rFonts w:ascii="Arial" w:hAnsi="Arial" w:cs="Arial"/>
          <w:b/>
          <w:bCs/>
          <w:sz w:val="24"/>
          <w:szCs w:val="24"/>
          <w:u w:val="single"/>
        </w:rPr>
      </w:pPr>
      <w:r w:rsidRPr="00616254">
        <w:rPr>
          <w:rFonts w:ascii="Arial" w:hAnsi="Arial" w:cs="Arial"/>
          <w:b/>
          <w:bCs/>
          <w:sz w:val="24"/>
          <w:szCs w:val="24"/>
          <w:u w:val="single"/>
        </w:rPr>
        <w:lastRenderedPageBreak/>
        <w:t>Reference List</w:t>
      </w:r>
    </w:p>
    <w:p w14:paraId="073B9C1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Alderson, P., &amp; Morrow, V. (2011). The ethics of research with children and young people: A practical handbook. SAGE Publications Ltd.</w:t>
      </w:r>
    </w:p>
    <w:p w14:paraId="14E0DBC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Allen, G. (2011). Early intervention: The next steps. Cabinet Office.</w:t>
      </w:r>
    </w:p>
    <w:p w14:paraId="115B3F14"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Amato, P. R. (2005). The impact of family formation </w:t>
      </w:r>
      <w:proofErr w:type="gramStart"/>
      <w:r w:rsidRPr="00616254">
        <w:rPr>
          <w:rFonts w:ascii="Arial" w:hAnsi="Arial" w:cs="Arial"/>
          <w:sz w:val="24"/>
          <w:szCs w:val="24"/>
        </w:rPr>
        <w:t>change</w:t>
      </w:r>
      <w:proofErr w:type="gramEnd"/>
      <w:r w:rsidRPr="00616254">
        <w:rPr>
          <w:rFonts w:ascii="Arial" w:hAnsi="Arial" w:cs="Arial"/>
          <w:sz w:val="24"/>
          <w:szCs w:val="24"/>
        </w:rPr>
        <w:t xml:space="preserve"> on the cognitive, social, and emotional well-being of the next generation. The Future of Children, 15(2), 75-96.</w:t>
      </w:r>
    </w:p>
    <w:p w14:paraId="748F8C1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Amato, P. R. (2010). Research on divorce: Continuing trends and new developments. Journal of Marriage and Family, 72(3), 650-666.</w:t>
      </w:r>
    </w:p>
    <w:p w14:paraId="41FD9C6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Andrew, Y. and Fane, J. (2018). The sociology of early </w:t>
      </w:r>
      <w:proofErr w:type="gramStart"/>
      <w:r w:rsidRPr="00616254">
        <w:rPr>
          <w:rFonts w:ascii="Arial" w:hAnsi="Arial" w:cs="Arial"/>
          <w:sz w:val="24"/>
          <w:szCs w:val="24"/>
        </w:rPr>
        <w:t>childhood :</w:t>
      </w:r>
      <w:proofErr w:type="gramEnd"/>
      <w:r w:rsidRPr="00616254">
        <w:rPr>
          <w:rFonts w:ascii="Arial" w:hAnsi="Arial" w:cs="Arial"/>
          <w:sz w:val="24"/>
          <w:szCs w:val="24"/>
        </w:rPr>
        <w:t xml:space="preserve"> young children’s lives and worlds. London: Routledge.</w:t>
      </w:r>
    </w:p>
    <w:p w14:paraId="3965093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Avolio, B. J., Walumbwa, F. O., &amp; Weber, T. J. (2011). Leadership: Current theories, research, and future directions. Annual Review of Psychology, 62, 433- 457.</w:t>
      </w:r>
    </w:p>
    <w:p w14:paraId="74200E0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BBC News. (2018, May 24). Children 'need more play opportunities', says commissioner. Retrieved from </w:t>
      </w:r>
      <w:proofErr w:type="gramStart"/>
      <w:r w:rsidRPr="00616254">
        <w:rPr>
          <w:rFonts w:ascii="Arial" w:hAnsi="Arial" w:cs="Arial"/>
          <w:sz w:val="24"/>
          <w:szCs w:val="24"/>
        </w:rPr>
        <w:t>https://www.bbc.com/news/uk-wales-44228203</w:t>
      </w:r>
      <w:proofErr w:type="gramEnd"/>
    </w:p>
    <w:p w14:paraId="0CC6E41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BBC. (2020, September 2). Coronavirus: 'Play streets' proposal to help children's mental health. BBC News. https://www.bbc.com/news/uk-wales-53904070</w:t>
      </w:r>
    </w:p>
    <w:p w14:paraId="4529B74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BBC. (2021, February 23). £18m shortfall in council services in Wales. BBC News. https://www.bbc.com/news/uk-wales-56168818</w:t>
      </w:r>
    </w:p>
    <w:p w14:paraId="6C67EB1D"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Belsky, J., &amp; Fearon, R. M. (2002). Early attachment security, subsequent maternal sensitivity, and later child development: Does continuity in development depend upon continuity of </w:t>
      </w:r>
      <w:proofErr w:type="gramStart"/>
      <w:r w:rsidRPr="00616254">
        <w:rPr>
          <w:rFonts w:ascii="Arial" w:hAnsi="Arial" w:cs="Arial"/>
          <w:sz w:val="24"/>
          <w:szCs w:val="24"/>
        </w:rPr>
        <w:t>caregiving?.</w:t>
      </w:r>
      <w:proofErr w:type="gramEnd"/>
      <w:r w:rsidRPr="00616254">
        <w:rPr>
          <w:rFonts w:ascii="Arial" w:hAnsi="Arial" w:cs="Arial"/>
          <w:sz w:val="24"/>
          <w:szCs w:val="24"/>
        </w:rPr>
        <w:t xml:space="preserve"> Attachment &amp; Human Development, 4(3), 361-387.</w:t>
      </w:r>
    </w:p>
    <w:p w14:paraId="69B3A1B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Belsky, J., &amp; Fearon, R. M. (2015). Early attachment security, subsequent maternal sensitivity, and later child development: Does continuity in development depend upon continuity of </w:t>
      </w:r>
      <w:proofErr w:type="gramStart"/>
      <w:r w:rsidRPr="00616254">
        <w:rPr>
          <w:rFonts w:ascii="Arial" w:hAnsi="Arial" w:cs="Arial"/>
          <w:sz w:val="24"/>
          <w:szCs w:val="24"/>
        </w:rPr>
        <w:t>caregiving?.</w:t>
      </w:r>
      <w:proofErr w:type="gramEnd"/>
      <w:r w:rsidRPr="00616254">
        <w:rPr>
          <w:rFonts w:ascii="Arial" w:hAnsi="Arial" w:cs="Arial"/>
          <w:sz w:val="24"/>
          <w:szCs w:val="24"/>
        </w:rPr>
        <w:t xml:space="preserve"> Attachment &amp; Human Development, 17(2), 167-181.</w:t>
      </w:r>
    </w:p>
    <w:p w14:paraId="2B4F856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Bornstein, M. H. (2014). Human development: Cultural, contextual, and comparative considerations. Psychology Press.</w:t>
      </w:r>
    </w:p>
    <w:p w14:paraId="24BE9D4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Bradley, R. H., &amp; </w:t>
      </w:r>
      <w:proofErr w:type="spellStart"/>
      <w:r w:rsidRPr="00616254">
        <w:rPr>
          <w:rFonts w:ascii="Arial" w:hAnsi="Arial" w:cs="Arial"/>
          <w:sz w:val="24"/>
          <w:szCs w:val="24"/>
        </w:rPr>
        <w:t>Corwyn</w:t>
      </w:r>
      <w:proofErr w:type="spellEnd"/>
      <w:r w:rsidRPr="00616254">
        <w:rPr>
          <w:rFonts w:ascii="Arial" w:hAnsi="Arial" w:cs="Arial"/>
          <w:sz w:val="24"/>
          <w:szCs w:val="24"/>
        </w:rPr>
        <w:t>, R. F. (2002). Socioeconomic status and child development. Annual Review of Psychology, 53(1), 371-399.</w:t>
      </w:r>
    </w:p>
    <w:p w14:paraId="3FA4C89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Bradley, R. H., &amp; </w:t>
      </w:r>
      <w:proofErr w:type="spellStart"/>
      <w:r w:rsidRPr="00616254">
        <w:rPr>
          <w:rFonts w:ascii="Arial" w:hAnsi="Arial" w:cs="Arial"/>
          <w:sz w:val="24"/>
          <w:szCs w:val="24"/>
        </w:rPr>
        <w:t>Corwyn</w:t>
      </w:r>
      <w:proofErr w:type="spellEnd"/>
      <w:r w:rsidRPr="00616254">
        <w:rPr>
          <w:rFonts w:ascii="Arial" w:hAnsi="Arial" w:cs="Arial"/>
          <w:sz w:val="24"/>
          <w:szCs w:val="24"/>
        </w:rPr>
        <w:t>, R. F. (2002). Socioeconomic status and child development. Annual Review of Psychology, 53(1), 371-399.</w:t>
      </w:r>
    </w:p>
    <w:p w14:paraId="2FAF54B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Bradshaw, J. (2019). Child Poverty in the UK: Measurement, prevalence, </w:t>
      </w:r>
      <w:proofErr w:type="gramStart"/>
      <w:r w:rsidRPr="00616254">
        <w:rPr>
          <w:rFonts w:ascii="Arial" w:hAnsi="Arial" w:cs="Arial"/>
          <w:sz w:val="24"/>
          <w:szCs w:val="24"/>
        </w:rPr>
        <w:t>trends</w:t>
      </w:r>
      <w:proofErr w:type="gramEnd"/>
      <w:r w:rsidRPr="00616254">
        <w:rPr>
          <w:rFonts w:ascii="Arial" w:hAnsi="Arial" w:cs="Arial"/>
          <w:sz w:val="24"/>
          <w:szCs w:val="24"/>
        </w:rPr>
        <w:t xml:space="preserve"> and consequences. Social Policy and Society, 18(3), 375-385.</w:t>
      </w:r>
    </w:p>
    <w:p w14:paraId="7451DBD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Bradshaw, J., &amp; Richardson, D. (2009). An index of child well-being in the European Union. Social Indicators Research, 91(2), 201-215.</w:t>
      </w:r>
    </w:p>
    <w:p w14:paraId="036C1F34"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Brock, A., Dodds, S., &amp; Jarvis, P. (2019). Play and the future of the museum: Innovations in visitor engagement. Museum Management and Curatorship, 34(5), 423-436. https://doi.org/10.1080/09647775.2019.1631608</w:t>
      </w:r>
    </w:p>
    <w:p w14:paraId="65F5BBA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Bronfenbrenner, U. (1979). The ecology of human development: Experiments by nature and design. Harvard University Press.</w:t>
      </w:r>
    </w:p>
    <w:p w14:paraId="1F2D8EA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Cameron, C., </w:t>
      </w:r>
      <w:proofErr w:type="spellStart"/>
      <w:r w:rsidRPr="00616254">
        <w:rPr>
          <w:rFonts w:ascii="Arial" w:hAnsi="Arial" w:cs="Arial"/>
          <w:sz w:val="24"/>
          <w:szCs w:val="24"/>
        </w:rPr>
        <w:t>Preece</w:t>
      </w:r>
      <w:proofErr w:type="spellEnd"/>
      <w:r w:rsidRPr="00616254">
        <w:rPr>
          <w:rFonts w:ascii="Arial" w:hAnsi="Arial" w:cs="Arial"/>
          <w:sz w:val="24"/>
          <w:szCs w:val="24"/>
        </w:rPr>
        <w:t>, E., &amp; Randerson, C. (2018). The role of early years practitioners in supporting children and families living in poverty. International Journal of Early Years Education, 26(2), 214-227.</w:t>
      </w:r>
    </w:p>
    <w:p w14:paraId="31C655FD"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Campbell-Barr, V. and Leeson, C. (2016). Quality and Leadership in the Early </w:t>
      </w:r>
      <w:proofErr w:type="gramStart"/>
      <w:r w:rsidRPr="00616254">
        <w:rPr>
          <w:rFonts w:ascii="Arial" w:hAnsi="Arial" w:cs="Arial"/>
          <w:sz w:val="24"/>
          <w:szCs w:val="24"/>
        </w:rPr>
        <w:t>Years :</w:t>
      </w:r>
      <w:proofErr w:type="gramEnd"/>
      <w:r w:rsidRPr="00616254">
        <w:rPr>
          <w:rFonts w:ascii="Arial" w:hAnsi="Arial" w:cs="Arial"/>
          <w:sz w:val="24"/>
          <w:szCs w:val="24"/>
        </w:rPr>
        <w:t xml:space="preserve"> Research, Theory and Practice. London: SAGE Publications Ltd.</w:t>
      </w:r>
    </w:p>
    <w:p w14:paraId="20DDA30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Carol Anne Wien (2008). Emergent curriculum in the primary </w:t>
      </w:r>
      <w:proofErr w:type="gramStart"/>
      <w:r w:rsidRPr="00616254">
        <w:rPr>
          <w:rFonts w:ascii="Arial" w:hAnsi="Arial" w:cs="Arial"/>
          <w:sz w:val="24"/>
          <w:szCs w:val="24"/>
        </w:rPr>
        <w:t>classroom :</w:t>
      </w:r>
      <w:proofErr w:type="gramEnd"/>
      <w:r w:rsidRPr="00616254">
        <w:rPr>
          <w:rFonts w:ascii="Arial" w:hAnsi="Arial" w:cs="Arial"/>
          <w:sz w:val="24"/>
          <w:szCs w:val="24"/>
        </w:rPr>
        <w:t xml:space="preserve"> interpreting the Reggio Emilia approach in schools. New York: Teachers College </w:t>
      </w:r>
      <w:proofErr w:type="gramStart"/>
      <w:r w:rsidRPr="00616254">
        <w:rPr>
          <w:rFonts w:ascii="Arial" w:hAnsi="Arial" w:cs="Arial"/>
          <w:sz w:val="24"/>
          <w:szCs w:val="24"/>
        </w:rPr>
        <w:t>Press ;</w:t>
      </w:r>
      <w:proofErr w:type="gramEnd"/>
      <w:r w:rsidRPr="00616254">
        <w:rPr>
          <w:rFonts w:ascii="Arial" w:hAnsi="Arial" w:cs="Arial"/>
          <w:sz w:val="24"/>
          <w:szCs w:val="24"/>
        </w:rPr>
        <w:t xml:space="preserve"> Washington, D.C.</w:t>
      </w:r>
    </w:p>
    <w:p w14:paraId="71C40E6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Children's Commissioner for Wales. (2018). Playful Futures: A review of play and leisure opportunities for children in Wales. Retrieved from </w:t>
      </w:r>
      <w:proofErr w:type="gramStart"/>
      <w:r w:rsidRPr="00616254">
        <w:rPr>
          <w:rFonts w:ascii="Arial" w:hAnsi="Arial" w:cs="Arial"/>
          <w:sz w:val="24"/>
          <w:szCs w:val="24"/>
        </w:rPr>
        <w:t>https://www.childcomwales.org.uk/wp-content/uploads/2018/05/Playful-Futures.pdf</w:t>
      </w:r>
      <w:proofErr w:type="gramEnd"/>
    </w:p>
    <w:p w14:paraId="09692424"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Children's Commissioner for Wales. (2019). Playful futures: A review of play opportunities in Wales. https://www.childcomwales.org.uk/wp-content/uploads/2019/06/Playful-Futures-full-report-1.pdf</w:t>
      </w:r>
    </w:p>
    <w:p w14:paraId="219C3ED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Children's Commissioner for Wales. (n.d.). About the Commissioner. Retrieved from </w:t>
      </w:r>
      <w:proofErr w:type="gramStart"/>
      <w:r w:rsidRPr="00616254">
        <w:rPr>
          <w:rFonts w:ascii="Arial" w:hAnsi="Arial" w:cs="Arial"/>
          <w:sz w:val="24"/>
          <w:szCs w:val="24"/>
        </w:rPr>
        <w:t>https://www.childcomwales.org.uk/about-the-commissioner/</w:t>
      </w:r>
      <w:proofErr w:type="gramEnd"/>
    </w:p>
    <w:p w14:paraId="022375B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Clark, A., Smith, K., &amp; </w:t>
      </w:r>
      <w:proofErr w:type="spellStart"/>
      <w:r w:rsidRPr="00616254">
        <w:rPr>
          <w:rFonts w:ascii="Arial" w:hAnsi="Arial" w:cs="Arial"/>
          <w:sz w:val="24"/>
          <w:szCs w:val="24"/>
        </w:rPr>
        <w:t>Trew</w:t>
      </w:r>
      <w:proofErr w:type="spellEnd"/>
      <w:r w:rsidRPr="00616254">
        <w:rPr>
          <w:rFonts w:ascii="Arial" w:hAnsi="Arial" w:cs="Arial"/>
          <w:sz w:val="24"/>
          <w:szCs w:val="24"/>
        </w:rPr>
        <w:t xml:space="preserve">, K. (2019). Supporting children's development and well-being: The role of the early </w:t>
      </w:r>
      <w:proofErr w:type="gramStart"/>
      <w:r w:rsidRPr="00616254">
        <w:rPr>
          <w:rFonts w:ascii="Arial" w:hAnsi="Arial" w:cs="Arial"/>
          <w:sz w:val="24"/>
          <w:szCs w:val="24"/>
        </w:rPr>
        <w:t>years</w:t>
      </w:r>
      <w:proofErr w:type="gramEnd"/>
      <w:r w:rsidRPr="00616254">
        <w:rPr>
          <w:rFonts w:ascii="Arial" w:hAnsi="Arial" w:cs="Arial"/>
          <w:sz w:val="24"/>
          <w:szCs w:val="24"/>
        </w:rPr>
        <w:t xml:space="preserve"> practitioner. Early Child Development and Care, 189(9), 1461-1472.</w:t>
      </w:r>
    </w:p>
    <w:p w14:paraId="25674BB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Clarke, P. (2002). The children’s commissioner for Wales. Children &amp; Society, 16(4), pp.287–290.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://doi.org/10.1002/chi.733</w:t>
      </w:r>
      <w:proofErr w:type="gramEnd"/>
      <w:r w:rsidRPr="00616254">
        <w:rPr>
          <w:rFonts w:ascii="Arial" w:hAnsi="Arial" w:cs="Arial"/>
          <w:sz w:val="24"/>
          <w:szCs w:val="24"/>
        </w:rPr>
        <w:t>.</w:t>
      </w:r>
    </w:p>
    <w:p w14:paraId="06CF7BD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Cohen, L., Manion, L., &amp; Morrison, K. (2018). Research methods in education. Routledge.</w:t>
      </w:r>
    </w:p>
    <w:p w14:paraId="60CF2DAA"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Dadds</w:t>
      </w:r>
      <w:proofErr w:type="spellEnd"/>
      <w:r w:rsidRPr="00616254">
        <w:rPr>
          <w:rFonts w:ascii="Arial" w:hAnsi="Arial" w:cs="Arial"/>
          <w:sz w:val="24"/>
          <w:szCs w:val="24"/>
        </w:rPr>
        <w:t>, M. R., &amp; Roth, J. (2001). Prevention and early intervention for anxiety disorders: A controlled trial. Journal of Consulting and Clinical Psychology, 69(3), 351-359.</w:t>
      </w:r>
    </w:p>
    <w:p w14:paraId="0717B9F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Department for Education. (2013). Early years foundation stage profile handbook. Retrieved from </w:t>
      </w:r>
      <w:proofErr w:type="gramStart"/>
      <w:r w:rsidRPr="00616254">
        <w:rPr>
          <w:rFonts w:ascii="Arial" w:hAnsi="Arial" w:cs="Arial"/>
          <w:sz w:val="24"/>
          <w:szCs w:val="24"/>
        </w:rPr>
        <w:t>https://www.gov.uk/government/publications/early-years-foundation-stage-profile-handbook</w:t>
      </w:r>
      <w:proofErr w:type="gramEnd"/>
    </w:p>
    <w:p w14:paraId="3444E43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DeVries, R. (2006). Diverse families, common goals: Building relationships between parents and early childhood educators. </w:t>
      </w:r>
      <w:proofErr w:type="spellStart"/>
      <w:r w:rsidRPr="00616254">
        <w:rPr>
          <w:rFonts w:ascii="Arial" w:hAnsi="Arial" w:cs="Arial"/>
          <w:sz w:val="24"/>
          <w:szCs w:val="24"/>
        </w:rPr>
        <w:t>Redleaf</w:t>
      </w:r>
      <w:proofErr w:type="spellEnd"/>
      <w:r w:rsidRPr="00616254">
        <w:rPr>
          <w:rFonts w:ascii="Arial" w:hAnsi="Arial" w:cs="Arial"/>
          <w:sz w:val="24"/>
          <w:szCs w:val="24"/>
        </w:rPr>
        <w:t xml:space="preserve"> Press.</w:t>
      </w:r>
    </w:p>
    <w:p w14:paraId="51F4A68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Dodge, R. et al. (2012) ‘The challenge of defining wellbeing’. International Journal of Wellbeing. 2 (3). Pp. 222-235. </w:t>
      </w:r>
    </w:p>
    <w:p w14:paraId="31A5E6AF"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Eagly</w:t>
      </w:r>
      <w:proofErr w:type="spellEnd"/>
      <w:r w:rsidRPr="00616254">
        <w:rPr>
          <w:rFonts w:ascii="Arial" w:hAnsi="Arial" w:cs="Arial"/>
          <w:sz w:val="24"/>
          <w:szCs w:val="24"/>
        </w:rPr>
        <w:t xml:space="preserve">, A. H., &amp; Wood, W. (2012). Social role theory. In P. A. M. Van Lange, A. W. </w:t>
      </w:r>
      <w:proofErr w:type="spellStart"/>
      <w:r w:rsidRPr="00616254">
        <w:rPr>
          <w:rFonts w:ascii="Arial" w:hAnsi="Arial" w:cs="Arial"/>
          <w:sz w:val="24"/>
          <w:szCs w:val="24"/>
        </w:rPr>
        <w:t>Kruglanski</w:t>
      </w:r>
      <w:proofErr w:type="spellEnd"/>
      <w:r w:rsidRPr="00616254">
        <w:rPr>
          <w:rFonts w:ascii="Arial" w:hAnsi="Arial" w:cs="Arial"/>
          <w:sz w:val="24"/>
          <w:szCs w:val="24"/>
        </w:rPr>
        <w:t>, &amp; E. T. Higgins (Eds.), Handbook of theories of social psychology (Vol. 2, pp. 458-476). Sage Publications.</w:t>
      </w:r>
    </w:p>
    <w:p w14:paraId="448F864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Edwards, C.P., Gandini, L. and Forman, G.E. (1998). The hundred languages of </w:t>
      </w:r>
      <w:proofErr w:type="gramStart"/>
      <w:r w:rsidRPr="00616254">
        <w:rPr>
          <w:rFonts w:ascii="Arial" w:hAnsi="Arial" w:cs="Arial"/>
          <w:sz w:val="24"/>
          <w:szCs w:val="24"/>
        </w:rPr>
        <w:t>children :</w:t>
      </w:r>
      <w:proofErr w:type="gramEnd"/>
      <w:r w:rsidRPr="00616254">
        <w:rPr>
          <w:rFonts w:ascii="Arial" w:hAnsi="Arial" w:cs="Arial"/>
          <w:sz w:val="24"/>
          <w:szCs w:val="24"/>
        </w:rPr>
        <w:t xml:space="preserve"> the Reggio Emilia approach--advanced reflections. Greenwich, Conn.: </w:t>
      </w:r>
      <w:proofErr w:type="spellStart"/>
      <w:r w:rsidRPr="00616254">
        <w:rPr>
          <w:rFonts w:ascii="Arial" w:hAnsi="Arial" w:cs="Arial"/>
          <w:sz w:val="24"/>
          <w:szCs w:val="24"/>
        </w:rPr>
        <w:t>Ablex</w:t>
      </w:r>
      <w:proofErr w:type="spellEnd"/>
      <w:r w:rsidRPr="00616254">
        <w:rPr>
          <w:rFonts w:ascii="Arial" w:hAnsi="Arial" w:cs="Arial"/>
          <w:sz w:val="24"/>
          <w:szCs w:val="24"/>
        </w:rPr>
        <w:t xml:space="preserve"> Pub. Corp.</w:t>
      </w:r>
    </w:p>
    <w:p w14:paraId="511F9FF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Eichner, K. E., &amp; Damico, S. B. (2015). The transformative power of catalytic leadership: A case study of a successful middle school turnaround. International Journal of Educational Leadership Preparation, 10(1), 1-13.</w:t>
      </w:r>
    </w:p>
    <w:p w14:paraId="4549CEA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Epstein, D. (2014). The school performance of boys and girls: Inequalities and identities. Routledge.</w:t>
      </w:r>
    </w:p>
    <w:p w14:paraId="3B8AC94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Forehand, R., &amp; </w:t>
      </w:r>
      <w:proofErr w:type="spellStart"/>
      <w:r w:rsidRPr="00616254">
        <w:rPr>
          <w:rFonts w:ascii="Arial" w:hAnsi="Arial" w:cs="Arial"/>
          <w:sz w:val="24"/>
          <w:szCs w:val="24"/>
        </w:rPr>
        <w:t>Kotchick</w:t>
      </w:r>
      <w:proofErr w:type="spellEnd"/>
      <w:r w:rsidRPr="00616254">
        <w:rPr>
          <w:rFonts w:ascii="Arial" w:hAnsi="Arial" w:cs="Arial"/>
          <w:sz w:val="24"/>
          <w:szCs w:val="24"/>
        </w:rPr>
        <w:t xml:space="preserve">, B. A. (2002). </w:t>
      </w:r>
      <w:proofErr w:type="spellStart"/>
      <w:r w:rsidRPr="00616254">
        <w:rPr>
          <w:rFonts w:ascii="Arial" w:hAnsi="Arial" w:cs="Arial"/>
          <w:sz w:val="24"/>
          <w:szCs w:val="24"/>
        </w:rPr>
        <w:t>Behavioral</w:t>
      </w:r>
      <w:proofErr w:type="spellEnd"/>
      <w:r w:rsidRPr="00616254">
        <w:rPr>
          <w:rFonts w:ascii="Arial" w:hAnsi="Arial" w:cs="Arial"/>
          <w:sz w:val="24"/>
          <w:szCs w:val="24"/>
        </w:rPr>
        <w:t xml:space="preserve"> parent training: Current challenges and potential solutions. Journal of Child and Family Studies, 11(4), 377-384.</w:t>
      </w:r>
    </w:p>
    <w:p w14:paraId="565830A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Gadsden, V.L., Ford, M.A. and </w:t>
      </w:r>
      <w:proofErr w:type="spellStart"/>
      <w:r w:rsidRPr="00616254">
        <w:rPr>
          <w:rFonts w:ascii="Arial" w:hAnsi="Arial" w:cs="Arial"/>
          <w:sz w:val="24"/>
          <w:szCs w:val="24"/>
        </w:rPr>
        <w:t>Breiner</w:t>
      </w:r>
      <w:proofErr w:type="spellEnd"/>
      <w:r w:rsidRPr="00616254">
        <w:rPr>
          <w:rFonts w:ascii="Arial" w:hAnsi="Arial" w:cs="Arial"/>
          <w:sz w:val="24"/>
          <w:szCs w:val="24"/>
        </w:rPr>
        <w:t xml:space="preserve">, H. (2016). Parenting </w:t>
      </w:r>
      <w:proofErr w:type="gramStart"/>
      <w:r w:rsidRPr="00616254">
        <w:rPr>
          <w:rFonts w:ascii="Arial" w:hAnsi="Arial" w:cs="Arial"/>
          <w:sz w:val="24"/>
          <w:szCs w:val="24"/>
        </w:rPr>
        <w:t>matters :</w:t>
      </w:r>
      <w:proofErr w:type="gramEnd"/>
      <w:r w:rsidRPr="00616254">
        <w:rPr>
          <w:rFonts w:ascii="Arial" w:hAnsi="Arial" w:cs="Arial"/>
          <w:sz w:val="24"/>
          <w:szCs w:val="24"/>
        </w:rPr>
        <w:t xml:space="preserve"> supporting parents of children ages 0-8. Washington, Dc: The National Academies Press.</w:t>
      </w:r>
    </w:p>
    <w:p w14:paraId="104FA00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Garvey, D. (2017) Performance Management in Early Years Settings: A practical Guide for Leaders and Managers. London: Jessica Kingsley Publishers.</w:t>
      </w:r>
    </w:p>
    <w:p w14:paraId="59BA33A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Garvey, D. (2018) Nurturing Personal, Social and Emotional Development in Early Childhood. London: Jessica Kingsley Publishers.  </w:t>
      </w:r>
    </w:p>
    <w:p w14:paraId="575D9AF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Gillies, V. (2007). Marginalised mothers: Exploring working-class experiences of parenting. Routledge.</w:t>
      </w:r>
    </w:p>
    <w:p w14:paraId="3D0DC54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Giordano, R.J. (2019). Ineptitude, Conformity, and </w:t>
      </w:r>
      <w:proofErr w:type="gramStart"/>
      <w:r w:rsidRPr="00616254">
        <w:rPr>
          <w:rFonts w:ascii="Arial" w:hAnsi="Arial" w:cs="Arial"/>
          <w:sz w:val="24"/>
          <w:szCs w:val="24"/>
        </w:rPr>
        <w:t>Obfuscation :</w:t>
      </w:r>
      <w:proofErr w:type="gramEnd"/>
      <w:r w:rsidRPr="00616254">
        <w:rPr>
          <w:rFonts w:ascii="Arial" w:hAnsi="Arial" w:cs="Arial"/>
          <w:sz w:val="24"/>
          <w:szCs w:val="24"/>
        </w:rPr>
        <w:t xml:space="preserve"> the Fraud of Teacher Evaluation in the Public Schools. Blue Ridge Summit: Rowman &amp; Littlefield Publishers.</w:t>
      </w:r>
    </w:p>
    <w:p w14:paraId="5455F15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Gooch, D., Hulme, C., Nash, H. M., </w:t>
      </w:r>
      <w:proofErr w:type="spellStart"/>
      <w:r w:rsidRPr="00616254">
        <w:rPr>
          <w:rFonts w:ascii="Arial" w:hAnsi="Arial" w:cs="Arial"/>
          <w:sz w:val="24"/>
          <w:szCs w:val="24"/>
        </w:rPr>
        <w:t>Snowling</w:t>
      </w:r>
      <w:proofErr w:type="spellEnd"/>
      <w:r w:rsidRPr="00616254">
        <w:rPr>
          <w:rFonts w:ascii="Arial" w:hAnsi="Arial" w:cs="Arial"/>
          <w:sz w:val="24"/>
          <w:szCs w:val="24"/>
        </w:rPr>
        <w:t>, M. J., Haddock, G., &amp; Purdy, J. (2016). Comorbidities in preschool children at family risk of dyslexia. Journal of Child Psychology and Psychiatry, 57(2), 144-152.</w:t>
      </w:r>
    </w:p>
    <w:p w14:paraId="0018411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Grantham </w:t>
      </w:r>
      <w:proofErr w:type="spellStart"/>
      <w:r w:rsidRPr="00616254">
        <w:rPr>
          <w:rFonts w:ascii="Arial" w:hAnsi="Arial" w:cs="Arial"/>
          <w:sz w:val="24"/>
          <w:szCs w:val="24"/>
        </w:rPr>
        <w:t>Caston</w:t>
      </w:r>
      <w:proofErr w:type="spellEnd"/>
      <w:r w:rsidRPr="00616254">
        <w:rPr>
          <w:rFonts w:ascii="Arial" w:hAnsi="Arial" w:cs="Arial"/>
          <w:sz w:val="24"/>
          <w:szCs w:val="24"/>
        </w:rPr>
        <w:t xml:space="preserve">, M. and </w:t>
      </w:r>
      <w:proofErr w:type="spellStart"/>
      <w:r w:rsidRPr="00616254">
        <w:rPr>
          <w:rFonts w:ascii="Arial" w:hAnsi="Arial" w:cs="Arial"/>
          <w:sz w:val="24"/>
          <w:szCs w:val="24"/>
        </w:rPr>
        <w:t>Fontcuberta</w:t>
      </w:r>
      <w:proofErr w:type="spellEnd"/>
      <w:r w:rsidRPr="00616254">
        <w:rPr>
          <w:rFonts w:ascii="Arial" w:hAnsi="Arial" w:cs="Arial"/>
          <w:sz w:val="24"/>
          <w:szCs w:val="24"/>
        </w:rPr>
        <w:t xml:space="preserve"> DiCarlo, C. (2021) Leadership Styles in Childcare Directors. Early Childhood Education Journal. Available at: https://doi.org/10.1007/s10643-021-01282-2   </w:t>
      </w:r>
    </w:p>
    <w:p w14:paraId="3D85E8D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Gray, P. (2011). The decline of play and the rise of psychopathology in children and adolescents. American Journal of Play, 3(4), 443-463.</w:t>
      </w:r>
    </w:p>
    <w:p w14:paraId="5541957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Guo, Y., &amp; Bowers, A. J. (2017). Catalytic leadership and teacher collaboration in high-poverty schools. Journal of Educational Administration, 55(1), 89- 106.</w:t>
      </w:r>
    </w:p>
    <w:p w14:paraId="50108B5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Gupta, S. and Jawanda, M.K. (2020). The impacts of COVID</w:t>
      </w:r>
      <w:r w:rsidRPr="00616254">
        <w:rPr>
          <w:rFonts w:ascii="Cambria Math" w:hAnsi="Cambria Math" w:cs="Cambria Math"/>
          <w:sz w:val="24"/>
          <w:szCs w:val="24"/>
        </w:rPr>
        <w:t>‐</w:t>
      </w:r>
      <w:r w:rsidRPr="00616254">
        <w:rPr>
          <w:rFonts w:ascii="Arial" w:hAnsi="Arial" w:cs="Arial"/>
          <w:sz w:val="24"/>
          <w:szCs w:val="24"/>
        </w:rPr>
        <w:t xml:space="preserve">19 on children. Acta </w:t>
      </w:r>
      <w:proofErr w:type="spellStart"/>
      <w:r w:rsidRPr="00616254">
        <w:rPr>
          <w:rFonts w:ascii="Arial" w:hAnsi="Arial" w:cs="Arial"/>
          <w:sz w:val="24"/>
          <w:szCs w:val="24"/>
        </w:rPr>
        <w:t>Paediatrica</w:t>
      </w:r>
      <w:proofErr w:type="spellEnd"/>
      <w:r w:rsidRPr="00616254">
        <w:rPr>
          <w:rFonts w:ascii="Arial" w:hAnsi="Arial" w:cs="Arial"/>
          <w:sz w:val="24"/>
          <w:szCs w:val="24"/>
        </w:rPr>
        <w:t xml:space="preserve">, 109(11).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://doi.org/10.1111/apa.15484</w:t>
      </w:r>
      <w:proofErr w:type="gramEnd"/>
      <w:r w:rsidRPr="00616254">
        <w:rPr>
          <w:rFonts w:ascii="Arial" w:hAnsi="Arial" w:cs="Arial"/>
          <w:sz w:val="24"/>
          <w:szCs w:val="24"/>
        </w:rPr>
        <w:t>.</w:t>
      </w:r>
    </w:p>
    <w:p w14:paraId="25BD710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Gustafsson, C., &amp; </w:t>
      </w:r>
      <w:proofErr w:type="spellStart"/>
      <w:r w:rsidRPr="00616254">
        <w:rPr>
          <w:rFonts w:ascii="Arial" w:hAnsi="Arial" w:cs="Arial"/>
          <w:sz w:val="24"/>
          <w:szCs w:val="24"/>
        </w:rPr>
        <w:t>Farver</w:t>
      </w:r>
      <w:proofErr w:type="spellEnd"/>
      <w:r w:rsidRPr="00616254">
        <w:rPr>
          <w:rFonts w:ascii="Arial" w:hAnsi="Arial" w:cs="Arial"/>
          <w:sz w:val="24"/>
          <w:szCs w:val="24"/>
        </w:rPr>
        <w:t xml:space="preserve">-Vestergaard, I. (2019). Playful learning and playful teaching in early childhood education. In O. </w:t>
      </w:r>
      <w:proofErr w:type="spellStart"/>
      <w:r w:rsidRPr="00616254">
        <w:rPr>
          <w:rFonts w:ascii="Arial" w:hAnsi="Arial" w:cs="Arial"/>
          <w:sz w:val="24"/>
          <w:szCs w:val="24"/>
        </w:rPr>
        <w:t>Saracho</w:t>
      </w:r>
      <w:proofErr w:type="spellEnd"/>
      <w:r w:rsidRPr="00616254">
        <w:rPr>
          <w:rFonts w:ascii="Arial" w:hAnsi="Arial" w:cs="Arial"/>
          <w:sz w:val="24"/>
          <w:szCs w:val="24"/>
        </w:rPr>
        <w:t xml:space="preserve"> &amp; B. </w:t>
      </w:r>
      <w:proofErr w:type="spellStart"/>
      <w:r w:rsidRPr="00616254">
        <w:rPr>
          <w:rFonts w:ascii="Arial" w:hAnsi="Arial" w:cs="Arial"/>
          <w:sz w:val="24"/>
          <w:szCs w:val="24"/>
        </w:rPr>
        <w:t>Spodek</w:t>
      </w:r>
      <w:proofErr w:type="spellEnd"/>
      <w:r w:rsidRPr="00616254">
        <w:rPr>
          <w:rFonts w:ascii="Arial" w:hAnsi="Arial" w:cs="Arial"/>
          <w:sz w:val="24"/>
          <w:szCs w:val="24"/>
        </w:rPr>
        <w:t xml:space="preserve"> (Eds.), Handbook of Research on the Education of Young Children (pp. 196-211). Routledge.</w:t>
      </w:r>
    </w:p>
    <w:p w14:paraId="6FA5E1C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Hinkley, T., &amp; </w:t>
      </w:r>
      <w:proofErr w:type="spellStart"/>
      <w:r w:rsidRPr="00616254">
        <w:rPr>
          <w:rFonts w:ascii="Arial" w:hAnsi="Arial" w:cs="Arial"/>
          <w:sz w:val="24"/>
          <w:szCs w:val="24"/>
        </w:rPr>
        <w:t>Chavkin</w:t>
      </w:r>
      <w:proofErr w:type="spellEnd"/>
      <w:r w:rsidRPr="00616254">
        <w:rPr>
          <w:rFonts w:ascii="Arial" w:hAnsi="Arial" w:cs="Arial"/>
          <w:sz w:val="24"/>
          <w:szCs w:val="24"/>
        </w:rPr>
        <w:t>, N. F. (2016). Catalytic leadership: A framework for early childhood education leadership. Journal of Early Childhood Education, 43(5), 339- 345.</w:t>
      </w:r>
    </w:p>
    <w:p w14:paraId="49D346A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Hodkinson, S. (2012). Children's commissioners: A critical perspective. International Journal of Children's Rights, 20(1), 1-20. </w:t>
      </w:r>
      <w:proofErr w:type="spellStart"/>
      <w:r w:rsidRPr="00616254">
        <w:rPr>
          <w:rFonts w:ascii="Arial" w:hAnsi="Arial" w:cs="Arial"/>
          <w:sz w:val="24"/>
          <w:szCs w:val="24"/>
        </w:rPr>
        <w:t>doi</w:t>
      </w:r>
      <w:proofErr w:type="spellEnd"/>
      <w:r w:rsidRPr="00616254">
        <w:rPr>
          <w:rFonts w:ascii="Arial" w:hAnsi="Arial" w:cs="Arial"/>
          <w:sz w:val="24"/>
          <w:szCs w:val="24"/>
        </w:rPr>
        <w:t>: 10.1163/157181812X621847</w:t>
      </w:r>
    </w:p>
    <w:p w14:paraId="494ACA9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Hughes, B. P. (2018). The benefits of unstructured playtime for children. Journal of </w:t>
      </w:r>
      <w:proofErr w:type="spellStart"/>
      <w:r w:rsidRPr="00616254">
        <w:rPr>
          <w:rFonts w:ascii="Arial" w:hAnsi="Arial" w:cs="Arial"/>
          <w:sz w:val="24"/>
          <w:szCs w:val="24"/>
        </w:rPr>
        <w:t>Pediatric</w:t>
      </w:r>
      <w:proofErr w:type="spellEnd"/>
      <w:r w:rsidRPr="00616254">
        <w:rPr>
          <w:rFonts w:ascii="Arial" w:hAnsi="Arial" w:cs="Arial"/>
          <w:sz w:val="24"/>
          <w:szCs w:val="24"/>
        </w:rPr>
        <w:t xml:space="preserve"> Health Care, 32(3), 280-283. https://doi.org/10.1016/j.pedhc.2017.11.003</w:t>
      </w:r>
    </w:p>
    <w:p w14:paraId="554ACCB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Jones, R. (2019). The role of the Children's Commissioner for Wales: Is it effective in protecting children's rights? Social Work and Social Sciences Review, 20(2), 80-93. </w:t>
      </w:r>
      <w:proofErr w:type="spellStart"/>
      <w:r w:rsidRPr="00616254">
        <w:rPr>
          <w:rFonts w:ascii="Arial" w:hAnsi="Arial" w:cs="Arial"/>
          <w:sz w:val="24"/>
          <w:szCs w:val="24"/>
        </w:rPr>
        <w:t>doi</w:t>
      </w:r>
      <w:proofErr w:type="spellEnd"/>
      <w:r w:rsidRPr="00616254">
        <w:rPr>
          <w:rFonts w:ascii="Arial" w:hAnsi="Arial" w:cs="Arial"/>
          <w:sz w:val="24"/>
          <w:szCs w:val="24"/>
        </w:rPr>
        <w:t>: 10.1921/</w:t>
      </w:r>
      <w:proofErr w:type="gramStart"/>
      <w:r w:rsidRPr="00616254">
        <w:rPr>
          <w:rFonts w:ascii="Arial" w:hAnsi="Arial" w:cs="Arial"/>
          <w:sz w:val="24"/>
          <w:szCs w:val="24"/>
        </w:rPr>
        <w:t>swssr.v</w:t>
      </w:r>
      <w:proofErr w:type="gramEnd"/>
      <w:r w:rsidRPr="00616254">
        <w:rPr>
          <w:rFonts w:ascii="Arial" w:hAnsi="Arial" w:cs="Arial"/>
          <w:sz w:val="24"/>
          <w:szCs w:val="24"/>
        </w:rPr>
        <w:t>20i2.1308</w:t>
      </w:r>
    </w:p>
    <w:p w14:paraId="319D25E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Katz, L. G., &amp; McClellan, D. E. (2019). Fostering children's curiosity: An introduction to the issues. In L. G. Katz &amp; D. E. McClellan (Eds.), The Domain of the Young Child (pp. 3- 23). Routledge.</w:t>
      </w:r>
    </w:p>
    <w:p w14:paraId="74C323EB"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Kernan</w:t>
      </w:r>
      <w:proofErr w:type="spellEnd"/>
      <w:r w:rsidRPr="00616254">
        <w:rPr>
          <w:rFonts w:ascii="Arial" w:hAnsi="Arial" w:cs="Arial"/>
          <w:sz w:val="24"/>
          <w:szCs w:val="24"/>
        </w:rPr>
        <w:t>, M. A., &amp; Mitchell, J. (2018). Cultivating creativity and playfulness in children’s design thinking. Journal of Learning Design, 11(2), 15-28. https://doi.org/10.5204/jld.v11i2.314</w:t>
      </w:r>
    </w:p>
    <w:p w14:paraId="7D45DFE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Kessler, S. &amp; </w:t>
      </w:r>
      <w:proofErr w:type="spellStart"/>
      <w:r w:rsidRPr="00616254">
        <w:rPr>
          <w:rFonts w:ascii="Arial" w:hAnsi="Arial" w:cs="Arial"/>
          <w:sz w:val="24"/>
          <w:szCs w:val="24"/>
        </w:rPr>
        <w:t>Swadener</w:t>
      </w:r>
      <w:proofErr w:type="spellEnd"/>
      <w:r w:rsidRPr="00616254">
        <w:rPr>
          <w:rFonts w:ascii="Arial" w:hAnsi="Arial" w:cs="Arial"/>
          <w:sz w:val="24"/>
          <w:szCs w:val="24"/>
        </w:rPr>
        <w:t>, B. (2019). Educating for Social Justice in Early Childhood.</w:t>
      </w:r>
    </w:p>
    <w:p w14:paraId="7CAAE87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Kim, Y., Kim, D., &amp; Kim, Y. (2018). The impact of playfulness on creativity and innovativeness in the workplace. Journal of Organizational Change Management, 31(5), 1049-1061. https://doi.org/10.1108/JOCM-06-2017-0218</w:t>
      </w:r>
    </w:p>
    <w:p w14:paraId="43A632AB"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Kuhfeld</w:t>
      </w:r>
      <w:proofErr w:type="spellEnd"/>
      <w:r w:rsidRPr="00616254">
        <w:rPr>
          <w:rFonts w:ascii="Arial" w:hAnsi="Arial" w:cs="Arial"/>
          <w:sz w:val="24"/>
          <w:szCs w:val="24"/>
        </w:rPr>
        <w:t xml:space="preserve">, M., </w:t>
      </w:r>
      <w:proofErr w:type="spellStart"/>
      <w:r w:rsidRPr="00616254">
        <w:rPr>
          <w:rFonts w:ascii="Arial" w:hAnsi="Arial" w:cs="Arial"/>
          <w:sz w:val="24"/>
          <w:szCs w:val="24"/>
        </w:rPr>
        <w:t>Soland</w:t>
      </w:r>
      <w:proofErr w:type="spellEnd"/>
      <w:r w:rsidRPr="00616254">
        <w:rPr>
          <w:rFonts w:ascii="Arial" w:hAnsi="Arial" w:cs="Arial"/>
          <w:sz w:val="24"/>
          <w:szCs w:val="24"/>
        </w:rPr>
        <w:t xml:space="preserve">, J., </w:t>
      </w:r>
      <w:proofErr w:type="spellStart"/>
      <w:r w:rsidRPr="00616254">
        <w:rPr>
          <w:rFonts w:ascii="Arial" w:hAnsi="Arial" w:cs="Arial"/>
          <w:sz w:val="24"/>
          <w:szCs w:val="24"/>
        </w:rPr>
        <w:t>Tarasawa</w:t>
      </w:r>
      <w:proofErr w:type="spellEnd"/>
      <w:r w:rsidRPr="00616254">
        <w:rPr>
          <w:rFonts w:ascii="Arial" w:hAnsi="Arial" w:cs="Arial"/>
          <w:sz w:val="24"/>
          <w:szCs w:val="24"/>
        </w:rPr>
        <w:t xml:space="preserve">, B., Johnson, A., </w:t>
      </w:r>
      <w:proofErr w:type="spellStart"/>
      <w:r w:rsidRPr="00616254">
        <w:rPr>
          <w:rFonts w:ascii="Arial" w:hAnsi="Arial" w:cs="Arial"/>
          <w:sz w:val="24"/>
          <w:szCs w:val="24"/>
        </w:rPr>
        <w:t>Ruzek</w:t>
      </w:r>
      <w:proofErr w:type="spellEnd"/>
      <w:r w:rsidRPr="00616254">
        <w:rPr>
          <w:rFonts w:ascii="Arial" w:hAnsi="Arial" w:cs="Arial"/>
          <w:sz w:val="24"/>
          <w:szCs w:val="24"/>
        </w:rPr>
        <w:t>, E., &amp; Liu, J. (2020). Projecting the potential impacts of COVID-19 school closures on academic achievement. Educational Researcher, 49(8), 549-565.</w:t>
      </w:r>
    </w:p>
    <w:p w14:paraId="59F29E9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Lareau, A. (2003). Unequal childhoods: Class, race, and family life. University of California Press.</w:t>
      </w:r>
    </w:p>
    <w:p w14:paraId="4BB9EF5A"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Lareau, A. (2007). Unequal </w:t>
      </w:r>
      <w:proofErr w:type="gramStart"/>
      <w:r w:rsidRPr="00616254">
        <w:rPr>
          <w:rFonts w:ascii="Arial" w:hAnsi="Arial" w:cs="Arial"/>
          <w:sz w:val="24"/>
          <w:szCs w:val="24"/>
        </w:rPr>
        <w:t>childhoods :</w:t>
      </w:r>
      <w:proofErr w:type="gramEnd"/>
      <w:r w:rsidRPr="00616254">
        <w:rPr>
          <w:rFonts w:ascii="Arial" w:hAnsi="Arial" w:cs="Arial"/>
          <w:sz w:val="24"/>
          <w:szCs w:val="24"/>
        </w:rPr>
        <w:t xml:space="preserve"> class, race, and family life. Berkeley: Univ. Of California Press.</w:t>
      </w:r>
    </w:p>
    <w:p w14:paraId="37201EE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Leach, S. (2016). The Children's Commissioner for Wales: A critical analysis. Journal of Social Welfare and Family Law, 38(4), 425-440. </w:t>
      </w:r>
      <w:proofErr w:type="spellStart"/>
      <w:r w:rsidRPr="00616254">
        <w:rPr>
          <w:rFonts w:ascii="Arial" w:hAnsi="Arial" w:cs="Arial"/>
          <w:sz w:val="24"/>
          <w:szCs w:val="24"/>
        </w:rPr>
        <w:t>doi</w:t>
      </w:r>
      <w:proofErr w:type="spellEnd"/>
      <w:r w:rsidRPr="00616254">
        <w:rPr>
          <w:rFonts w:ascii="Arial" w:hAnsi="Arial" w:cs="Arial"/>
          <w:sz w:val="24"/>
          <w:szCs w:val="24"/>
        </w:rPr>
        <w:t>: 10.1080/09649069.2016.1241885</w:t>
      </w:r>
    </w:p>
    <w:p w14:paraId="664E10C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Leo, P. (2007). Connection </w:t>
      </w:r>
      <w:proofErr w:type="gramStart"/>
      <w:r w:rsidRPr="00616254">
        <w:rPr>
          <w:rFonts w:ascii="Arial" w:hAnsi="Arial" w:cs="Arial"/>
          <w:sz w:val="24"/>
          <w:szCs w:val="24"/>
        </w:rPr>
        <w:t>parenting :</w:t>
      </w:r>
      <w:proofErr w:type="gramEnd"/>
      <w:r w:rsidRPr="00616254">
        <w:rPr>
          <w:rFonts w:ascii="Arial" w:hAnsi="Arial" w:cs="Arial"/>
          <w:sz w:val="24"/>
          <w:szCs w:val="24"/>
        </w:rPr>
        <w:t xml:space="preserve"> parenting through connection instead of coercion, through love instead of fear. Deadwood, Or.: Wyatt-Mackenzie Pub.</w:t>
      </w:r>
    </w:p>
    <w:p w14:paraId="5BE791F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Liu, J., </w:t>
      </w:r>
      <w:proofErr w:type="spellStart"/>
      <w:r w:rsidRPr="00616254">
        <w:rPr>
          <w:rFonts w:ascii="Arial" w:hAnsi="Arial" w:cs="Arial"/>
          <w:sz w:val="24"/>
          <w:szCs w:val="24"/>
        </w:rPr>
        <w:t>Wyver</w:t>
      </w:r>
      <w:proofErr w:type="spellEnd"/>
      <w:r w:rsidRPr="00616254">
        <w:rPr>
          <w:rFonts w:ascii="Arial" w:hAnsi="Arial" w:cs="Arial"/>
          <w:sz w:val="24"/>
          <w:szCs w:val="24"/>
        </w:rPr>
        <w:t xml:space="preserve">, S. and </w:t>
      </w:r>
      <w:proofErr w:type="spellStart"/>
      <w:r w:rsidRPr="00616254">
        <w:rPr>
          <w:rFonts w:ascii="Arial" w:hAnsi="Arial" w:cs="Arial"/>
          <w:sz w:val="24"/>
          <w:szCs w:val="24"/>
        </w:rPr>
        <w:t>Chutiyami</w:t>
      </w:r>
      <w:proofErr w:type="spellEnd"/>
      <w:r w:rsidRPr="00616254">
        <w:rPr>
          <w:rFonts w:ascii="Arial" w:hAnsi="Arial" w:cs="Arial"/>
          <w:sz w:val="24"/>
          <w:szCs w:val="24"/>
        </w:rPr>
        <w:t xml:space="preserve">, M. (2022). Impacts of COVID-19 Restrictions on Young Children’s Outdoor Activity: A Systematic Review. Children, 9(10), p.1564.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://doi.org/10.3390/children9101564</w:t>
      </w:r>
      <w:proofErr w:type="gramEnd"/>
      <w:r w:rsidRPr="00616254">
        <w:rPr>
          <w:rFonts w:ascii="Arial" w:hAnsi="Arial" w:cs="Arial"/>
          <w:sz w:val="24"/>
          <w:szCs w:val="24"/>
        </w:rPr>
        <w:t>.</w:t>
      </w:r>
    </w:p>
    <w:p w14:paraId="5DD7967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Louise Boyd </w:t>
      </w:r>
      <w:proofErr w:type="spellStart"/>
      <w:r w:rsidRPr="00616254">
        <w:rPr>
          <w:rFonts w:ascii="Arial" w:hAnsi="Arial" w:cs="Arial"/>
          <w:sz w:val="24"/>
          <w:szCs w:val="24"/>
        </w:rPr>
        <w:t>Cadwell</w:t>
      </w:r>
      <w:proofErr w:type="spellEnd"/>
      <w:r w:rsidRPr="00616254">
        <w:rPr>
          <w:rFonts w:ascii="Arial" w:hAnsi="Arial" w:cs="Arial"/>
          <w:sz w:val="24"/>
          <w:szCs w:val="24"/>
        </w:rPr>
        <w:t xml:space="preserve"> (1998). Bringing Reggio Emilia </w:t>
      </w:r>
      <w:proofErr w:type="gramStart"/>
      <w:r w:rsidRPr="00616254">
        <w:rPr>
          <w:rFonts w:ascii="Arial" w:hAnsi="Arial" w:cs="Arial"/>
          <w:sz w:val="24"/>
          <w:szCs w:val="24"/>
        </w:rPr>
        <w:t>home :</w:t>
      </w:r>
      <w:proofErr w:type="gramEnd"/>
      <w:r w:rsidRPr="00616254">
        <w:rPr>
          <w:rFonts w:ascii="Arial" w:hAnsi="Arial" w:cs="Arial"/>
          <w:sz w:val="24"/>
          <w:szCs w:val="24"/>
        </w:rPr>
        <w:t xml:space="preserve"> an innovative approach to early childhood education. New York Teachers College Press.</w:t>
      </w:r>
    </w:p>
    <w:p w14:paraId="32B4E02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Ludwig, J., &amp; Phillips, D. A. (2007). Long-term effects of early childhood programs on cognitive and school outcomes. The Future of Children, 17(2), 91-118.</w:t>
      </w:r>
    </w:p>
    <w:p w14:paraId="6007E81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Lundy, L., &amp; McEvoy, L. (2012). The United Nations Convention on the Rights of the Child: A study of legal implementation in 12 countries. UNICEF Office of Research.</w:t>
      </w:r>
    </w:p>
    <w:p w14:paraId="2A60D0B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Maccoby, E.E. and Carol Nagy Jacklin (1974). The psychology of sex differences. Stanford, Calif.: Stanford University Press.</w:t>
      </w:r>
    </w:p>
    <w:p w14:paraId="5F32F19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Marmot, M., Allen, J., Goldblatt, P., Boyce, T., </w:t>
      </w:r>
      <w:proofErr w:type="spellStart"/>
      <w:r w:rsidRPr="00616254">
        <w:rPr>
          <w:rFonts w:ascii="Arial" w:hAnsi="Arial" w:cs="Arial"/>
          <w:sz w:val="24"/>
          <w:szCs w:val="24"/>
        </w:rPr>
        <w:t>McNeish</w:t>
      </w:r>
      <w:proofErr w:type="spellEnd"/>
      <w:r w:rsidRPr="00616254">
        <w:rPr>
          <w:rFonts w:ascii="Arial" w:hAnsi="Arial" w:cs="Arial"/>
          <w:sz w:val="24"/>
          <w:szCs w:val="24"/>
        </w:rPr>
        <w:t>, D., Grady, M., &amp; Geddes, I. (2010). Fair society, healthy lives: The Marmot review. Institute of Health Equity.</w:t>
      </w:r>
    </w:p>
    <w:p w14:paraId="406A044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McCartney, K., &amp; Phillips, D. (Eds.). (2006). Blackwell handbook of early childhood development. Blackwell Publishing.</w:t>
      </w:r>
    </w:p>
    <w:p w14:paraId="3E338910"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McLanahan</w:t>
      </w:r>
      <w:proofErr w:type="spellEnd"/>
      <w:r w:rsidRPr="00616254">
        <w:rPr>
          <w:rFonts w:ascii="Arial" w:hAnsi="Arial" w:cs="Arial"/>
          <w:sz w:val="24"/>
          <w:szCs w:val="24"/>
        </w:rPr>
        <w:t xml:space="preserve">, S. and </w:t>
      </w:r>
      <w:proofErr w:type="spellStart"/>
      <w:r w:rsidRPr="00616254">
        <w:rPr>
          <w:rFonts w:ascii="Arial" w:hAnsi="Arial" w:cs="Arial"/>
          <w:sz w:val="24"/>
          <w:szCs w:val="24"/>
        </w:rPr>
        <w:t>Sandefur</w:t>
      </w:r>
      <w:proofErr w:type="spellEnd"/>
      <w:r w:rsidRPr="00616254">
        <w:rPr>
          <w:rFonts w:ascii="Arial" w:hAnsi="Arial" w:cs="Arial"/>
          <w:sz w:val="24"/>
          <w:szCs w:val="24"/>
        </w:rPr>
        <w:t>, G.D. (2009). Growing Up with a Single Parent. Harvard University Press.</w:t>
      </w:r>
    </w:p>
    <w:p w14:paraId="5A1E0028"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McLanahan</w:t>
      </w:r>
      <w:proofErr w:type="spellEnd"/>
      <w:r w:rsidRPr="00616254">
        <w:rPr>
          <w:rFonts w:ascii="Arial" w:hAnsi="Arial" w:cs="Arial"/>
          <w:sz w:val="24"/>
          <w:szCs w:val="24"/>
        </w:rPr>
        <w:t xml:space="preserve">, S., &amp; </w:t>
      </w:r>
      <w:proofErr w:type="spellStart"/>
      <w:r w:rsidRPr="00616254">
        <w:rPr>
          <w:rFonts w:ascii="Arial" w:hAnsi="Arial" w:cs="Arial"/>
          <w:sz w:val="24"/>
          <w:szCs w:val="24"/>
        </w:rPr>
        <w:t>Sandefur</w:t>
      </w:r>
      <w:proofErr w:type="spellEnd"/>
      <w:r w:rsidRPr="00616254">
        <w:rPr>
          <w:rFonts w:ascii="Arial" w:hAnsi="Arial" w:cs="Arial"/>
          <w:sz w:val="24"/>
          <w:szCs w:val="24"/>
        </w:rPr>
        <w:t>, G. (1994). Growing up with a single parent: What hurts, what helps. Harvard University Press.</w:t>
      </w:r>
    </w:p>
    <w:p w14:paraId="4BF8D41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Mehta, V., </w:t>
      </w:r>
      <w:proofErr w:type="spellStart"/>
      <w:r w:rsidRPr="00616254">
        <w:rPr>
          <w:rFonts w:ascii="Arial" w:hAnsi="Arial" w:cs="Arial"/>
          <w:sz w:val="24"/>
          <w:szCs w:val="24"/>
        </w:rPr>
        <w:t>Carr</w:t>
      </w:r>
      <w:proofErr w:type="spellEnd"/>
      <w:r w:rsidRPr="00616254">
        <w:rPr>
          <w:rFonts w:ascii="Arial" w:hAnsi="Arial" w:cs="Arial"/>
          <w:sz w:val="24"/>
          <w:szCs w:val="24"/>
        </w:rPr>
        <w:t xml:space="preserve">, V., Brown, R.D. and Kochanowski, L. (2022). The Emerging Impacts of COVID-19 on the Relationship between Children, Youth and Environments. Children, Youth and Environments, 32(1), pp.1–4.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://doi.org/10.1353/cye.2022.0000</w:t>
      </w:r>
      <w:proofErr w:type="gramEnd"/>
      <w:r w:rsidRPr="00616254">
        <w:rPr>
          <w:rFonts w:ascii="Arial" w:hAnsi="Arial" w:cs="Arial"/>
          <w:sz w:val="24"/>
          <w:szCs w:val="24"/>
        </w:rPr>
        <w:t>.</w:t>
      </w:r>
    </w:p>
    <w:p w14:paraId="23EDAD8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Morrissey, M., &amp; Callaghan, M. (2018). Promoting equality and inclusion in the early years: A practitioner's guide. Routledge.</w:t>
      </w:r>
    </w:p>
    <w:p w14:paraId="7027FEB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Moser, T. et al. (2017) European Framework of Quality and Wellbeing Indicators. European Union: Care Project. </w:t>
      </w:r>
    </w:p>
    <w:p w14:paraId="4962D1E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Musgrave, J. (2017) Supporting Children’s Health and Wellbeing. London: Sage Publications. </w:t>
      </w:r>
    </w:p>
    <w:p w14:paraId="6F1B394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National Institute for Health and Care Excellence. (2015). Social and emotional wellbeing in primary education. Retrieved from </w:t>
      </w:r>
      <w:proofErr w:type="gramStart"/>
      <w:r w:rsidRPr="00616254">
        <w:rPr>
          <w:rFonts w:ascii="Arial" w:hAnsi="Arial" w:cs="Arial"/>
          <w:sz w:val="24"/>
          <w:szCs w:val="24"/>
        </w:rPr>
        <w:t>https://www.nice.org.uk/guidance/ph12</w:t>
      </w:r>
      <w:proofErr w:type="gramEnd"/>
    </w:p>
    <w:p w14:paraId="0272032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National Society for the Prevention of Cruelty to Children. (2018). How safe are our children? Retrieved from </w:t>
      </w:r>
      <w:proofErr w:type="gramStart"/>
      <w:r w:rsidRPr="00616254">
        <w:rPr>
          <w:rFonts w:ascii="Arial" w:hAnsi="Arial" w:cs="Arial"/>
          <w:sz w:val="24"/>
          <w:szCs w:val="24"/>
        </w:rPr>
        <w:t>https://www.nspcc.org.uk/globalassets/documents/research-reports/how-safe-2018-report.pdf</w:t>
      </w:r>
      <w:proofErr w:type="gramEnd"/>
    </w:p>
    <w:p w14:paraId="6AEFFAC2"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Nijhof</w:t>
      </w:r>
      <w:proofErr w:type="spellEnd"/>
      <w:r w:rsidRPr="00616254">
        <w:rPr>
          <w:rFonts w:ascii="Arial" w:hAnsi="Arial" w:cs="Arial"/>
          <w:sz w:val="24"/>
          <w:szCs w:val="24"/>
        </w:rPr>
        <w:t xml:space="preserve">, L., &amp; </w:t>
      </w:r>
      <w:proofErr w:type="spellStart"/>
      <w:r w:rsidRPr="00616254">
        <w:rPr>
          <w:rFonts w:ascii="Arial" w:hAnsi="Arial" w:cs="Arial"/>
          <w:sz w:val="24"/>
          <w:szCs w:val="24"/>
        </w:rPr>
        <w:t>Heerschap</w:t>
      </w:r>
      <w:proofErr w:type="spellEnd"/>
      <w:r w:rsidRPr="00616254">
        <w:rPr>
          <w:rFonts w:ascii="Arial" w:hAnsi="Arial" w:cs="Arial"/>
          <w:sz w:val="24"/>
          <w:szCs w:val="24"/>
        </w:rPr>
        <w:t>, W. (2018). Playful futures and the city: The role of playful urban interventions in shaping urban futures. Journal of Futures Studies, 22(3), 77-88. https://doi.org/10.6531/JFS.2018.22(3).A77</w:t>
      </w:r>
    </w:p>
    <w:p w14:paraId="1373CD8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O'Connor, K., Dearing, E., &amp; Collins, B. A. (2020). Social and emotional development in early childhood: What every policymaker should know. MDRC.</w:t>
      </w:r>
    </w:p>
    <w:p w14:paraId="5CA097E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Olds, D. L., Sadler, L., &amp; </w:t>
      </w:r>
      <w:proofErr w:type="spellStart"/>
      <w:r w:rsidRPr="00616254">
        <w:rPr>
          <w:rFonts w:ascii="Arial" w:hAnsi="Arial" w:cs="Arial"/>
          <w:sz w:val="24"/>
          <w:szCs w:val="24"/>
        </w:rPr>
        <w:t>Kitzman</w:t>
      </w:r>
      <w:proofErr w:type="spellEnd"/>
      <w:r w:rsidRPr="00616254">
        <w:rPr>
          <w:rFonts w:ascii="Arial" w:hAnsi="Arial" w:cs="Arial"/>
          <w:sz w:val="24"/>
          <w:szCs w:val="24"/>
        </w:rPr>
        <w:t>, H. (2007). Programs for parents of infants and toddlers: Recent evidence from randomized trials. Journal of Child Psychology and Psychiatry, 48(3-4), 355-391.</w:t>
      </w:r>
    </w:p>
    <w:p w14:paraId="17F11772"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Pianta</w:t>
      </w:r>
      <w:proofErr w:type="spellEnd"/>
      <w:r w:rsidRPr="00616254">
        <w:rPr>
          <w:rFonts w:ascii="Arial" w:hAnsi="Arial" w:cs="Arial"/>
          <w:sz w:val="24"/>
          <w:szCs w:val="24"/>
        </w:rPr>
        <w:t>, R. C., &amp; Cox, M. J. (Eds.). (2002). The transition to kindergarten. Paul H Brookes Publishing.</w:t>
      </w:r>
    </w:p>
    <w:p w14:paraId="171D3AA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Playful Futures. (2016). A review of play and leisure opportunities for children in Wales. Welsh Government. https://gov.wales/sites/default/files/publications/2018-07/playful-futures.pdf</w:t>
      </w:r>
    </w:p>
    <w:p w14:paraId="57608C2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Raver, C. C. (2002). Emotions matter: Making the case for the role of young children's emotional development for early school readiness. Social Policy Report, 16(3), 3-18.</w:t>
      </w:r>
    </w:p>
    <w:p w14:paraId="2DEECDA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 xml:space="preserve">Reed, M. and Canning, N. (2012) Implementing Quality Improvement and Change in the Early Years. London: Sage. </w:t>
      </w:r>
    </w:p>
    <w:p w14:paraId="3D544CB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Rees, G., &amp; </w:t>
      </w:r>
      <w:proofErr w:type="spellStart"/>
      <w:r w:rsidRPr="00616254">
        <w:rPr>
          <w:rFonts w:ascii="Arial" w:hAnsi="Arial" w:cs="Arial"/>
          <w:sz w:val="24"/>
          <w:szCs w:val="24"/>
        </w:rPr>
        <w:t>Gorin</w:t>
      </w:r>
      <w:proofErr w:type="spellEnd"/>
      <w:r w:rsidRPr="00616254">
        <w:rPr>
          <w:rFonts w:ascii="Arial" w:hAnsi="Arial" w:cs="Arial"/>
          <w:sz w:val="24"/>
          <w:szCs w:val="24"/>
        </w:rPr>
        <w:t xml:space="preserve">, S. (2019). Child poverty in the UK: A review of the definitions, measurement, </w:t>
      </w:r>
      <w:proofErr w:type="gramStart"/>
      <w:r w:rsidRPr="00616254">
        <w:rPr>
          <w:rFonts w:ascii="Arial" w:hAnsi="Arial" w:cs="Arial"/>
          <w:sz w:val="24"/>
          <w:szCs w:val="24"/>
        </w:rPr>
        <w:t>prevalence</w:t>
      </w:r>
      <w:proofErr w:type="gramEnd"/>
      <w:r w:rsidRPr="00616254">
        <w:rPr>
          <w:rFonts w:ascii="Arial" w:hAnsi="Arial" w:cs="Arial"/>
          <w:sz w:val="24"/>
          <w:szCs w:val="24"/>
        </w:rPr>
        <w:t xml:space="preserve"> and effects of poverty. Child Indicators Research, 12(4), 1249-1274.</w:t>
      </w:r>
    </w:p>
    <w:p w14:paraId="660F180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Rees, O. (2006). The Children’s Commissioner for Wales - Social Care Online. [online] Available at: https://www.scie-socialcareonline.org.uk/the-childrens-commissioner-for-wales/r/a1CG0000000GdoDMAS [Accessed 4 Mar. 2023].</w:t>
      </w:r>
    </w:p>
    <w:p w14:paraId="6C1912A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Reid, E. (2019). Understanding and Addressing the Needs of Children and Families from Diverse Backgrounds. Routledge.</w:t>
      </w:r>
    </w:p>
    <w:p w14:paraId="18ECF87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Riley, G. et al. (2019) A National Survey: Knowledge and awareness of Adverse Childhood Experiences (ACEs) in the public service workforce in Wales. Available at: Public Health Wales/ ACES</w:t>
      </w:r>
    </w:p>
    <w:p w14:paraId="5604D3C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Rodd, J. (2015). Leading change in early years. Berkshire England: Open University Press.</w:t>
      </w:r>
    </w:p>
    <w:p w14:paraId="123E793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Rodgers, </w:t>
      </w:r>
      <w:proofErr w:type="gramStart"/>
      <w:r w:rsidRPr="00616254">
        <w:rPr>
          <w:rFonts w:ascii="Arial" w:hAnsi="Arial" w:cs="Arial"/>
          <w:sz w:val="24"/>
          <w:szCs w:val="24"/>
        </w:rPr>
        <w:t>A.</w:t>
      </w:r>
      <w:proofErr w:type="gramEnd"/>
      <w:r w:rsidRPr="00616254">
        <w:rPr>
          <w:rFonts w:ascii="Arial" w:hAnsi="Arial" w:cs="Arial"/>
          <w:sz w:val="24"/>
          <w:szCs w:val="24"/>
        </w:rPr>
        <w:t xml:space="preserve"> and Dr Elaine Wilmot (2012). Inclusion and Diversity in the Early Years. Andrews UK Limited.</w:t>
      </w:r>
    </w:p>
    <w:p w14:paraId="01BD756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Rory McDowall Clark (2010). Childhood in Society for Early Childhood Studies. SAGE.</w:t>
      </w:r>
    </w:p>
    <w:p w14:paraId="5C4E716C"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Sanderijn</w:t>
      </w:r>
      <w:proofErr w:type="spellEnd"/>
      <w:r w:rsidRPr="00616254">
        <w:rPr>
          <w:rFonts w:ascii="Arial" w:hAnsi="Arial" w:cs="Arial"/>
          <w:sz w:val="24"/>
          <w:szCs w:val="24"/>
        </w:rPr>
        <w:t xml:space="preserve"> </w:t>
      </w:r>
      <w:proofErr w:type="spellStart"/>
      <w:r w:rsidRPr="00616254">
        <w:rPr>
          <w:rFonts w:ascii="Arial" w:hAnsi="Arial" w:cs="Arial"/>
          <w:sz w:val="24"/>
          <w:szCs w:val="24"/>
        </w:rPr>
        <w:t>Cels</w:t>
      </w:r>
      <w:proofErr w:type="spellEnd"/>
      <w:r w:rsidRPr="00616254">
        <w:rPr>
          <w:rFonts w:ascii="Arial" w:hAnsi="Arial" w:cs="Arial"/>
          <w:sz w:val="24"/>
          <w:szCs w:val="24"/>
        </w:rPr>
        <w:t xml:space="preserve">, </w:t>
      </w:r>
      <w:proofErr w:type="spellStart"/>
      <w:r w:rsidRPr="00616254">
        <w:rPr>
          <w:rFonts w:ascii="Arial" w:hAnsi="Arial" w:cs="Arial"/>
          <w:sz w:val="24"/>
          <w:szCs w:val="24"/>
        </w:rPr>
        <w:t>Jorrit</w:t>
      </w:r>
      <w:proofErr w:type="spellEnd"/>
      <w:r w:rsidRPr="00616254">
        <w:rPr>
          <w:rFonts w:ascii="Arial" w:hAnsi="Arial" w:cs="Arial"/>
          <w:sz w:val="24"/>
          <w:szCs w:val="24"/>
        </w:rPr>
        <w:t xml:space="preserve"> De Jong and Frans </w:t>
      </w:r>
      <w:proofErr w:type="spellStart"/>
      <w:r w:rsidRPr="00616254">
        <w:rPr>
          <w:rFonts w:ascii="Arial" w:hAnsi="Arial" w:cs="Arial"/>
          <w:sz w:val="24"/>
          <w:szCs w:val="24"/>
        </w:rPr>
        <w:t>Nauta</w:t>
      </w:r>
      <w:proofErr w:type="spellEnd"/>
      <w:r w:rsidRPr="00616254">
        <w:rPr>
          <w:rFonts w:ascii="Arial" w:hAnsi="Arial" w:cs="Arial"/>
          <w:sz w:val="24"/>
          <w:szCs w:val="24"/>
        </w:rPr>
        <w:t xml:space="preserve"> (2012). Agents of </w:t>
      </w:r>
      <w:proofErr w:type="gramStart"/>
      <w:r w:rsidRPr="00616254">
        <w:rPr>
          <w:rFonts w:ascii="Arial" w:hAnsi="Arial" w:cs="Arial"/>
          <w:sz w:val="24"/>
          <w:szCs w:val="24"/>
        </w:rPr>
        <w:t>change :</w:t>
      </w:r>
      <w:proofErr w:type="gramEnd"/>
      <w:r w:rsidRPr="00616254">
        <w:rPr>
          <w:rFonts w:ascii="Arial" w:hAnsi="Arial" w:cs="Arial"/>
          <w:sz w:val="24"/>
          <w:szCs w:val="24"/>
        </w:rPr>
        <w:t xml:space="preserve"> strategy and tactics for social innovation. Washington, D.C.: Brookings Institution Press.</w:t>
      </w:r>
    </w:p>
    <w:p w14:paraId="48621720"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Sandseter</w:t>
      </w:r>
      <w:proofErr w:type="spellEnd"/>
      <w:r w:rsidRPr="00616254">
        <w:rPr>
          <w:rFonts w:ascii="Arial" w:hAnsi="Arial" w:cs="Arial"/>
          <w:sz w:val="24"/>
          <w:szCs w:val="24"/>
        </w:rPr>
        <w:t>, E. B. H. (2009). Risky play and children’s safety: Balancing priorities for optimal child development. International Journal of Play, 1(3), 283-300. https://doi.org/10.1080/21594937.2012.10700294</w:t>
      </w:r>
    </w:p>
    <w:p w14:paraId="761DFDC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Shonkoff, J. P., &amp; Fisher, P. A. (2013). Rethinking evidence-based practice and two-generation programs to create the future of early childhood policy. Development and Psychopathology, 25(4pt2), 1635-1653.</w:t>
      </w:r>
    </w:p>
    <w:p w14:paraId="779D2B8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Shonkoff, J. P., &amp; Garner, A. S. (2012). The lifelong effects of early childhood adversity and toxic stress. </w:t>
      </w:r>
      <w:proofErr w:type="spellStart"/>
      <w:r w:rsidRPr="00616254">
        <w:rPr>
          <w:rFonts w:ascii="Arial" w:hAnsi="Arial" w:cs="Arial"/>
          <w:sz w:val="24"/>
          <w:szCs w:val="24"/>
        </w:rPr>
        <w:t>Pediatrics</w:t>
      </w:r>
      <w:proofErr w:type="spellEnd"/>
      <w:r w:rsidRPr="00616254">
        <w:rPr>
          <w:rFonts w:ascii="Arial" w:hAnsi="Arial" w:cs="Arial"/>
          <w:sz w:val="24"/>
          <w:szCs w:val="24"/>
        </w:rPr>
        <w:t>, 129(1), e232-e246.</w:t>
      </w:r>
    </w:p>
    <w:p w14:paraId="639CE164"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lastRenderedPageBreak/>
        <w:t>Silton</w:t>
      </w:r>
      <w:proofErr w:type="spellEnd"/>
      <w:r w:rsidRPr="00616254">
        <w:rPr>
          <w:rFonts w:ascii="Arial" w:hAnsi="Arial" w:cs="Arial"/>
          <w:sz w:val="24"/>
          <w:szCs w:val="24"/>
        </w:rPr>
        <w:t>, N.R. (2022). The impact of the COVID-19 pandemic on child, adolescent, and adult development. Hershey, PA: Information Science Reference, an imprint of IGI Global.</w:t>
      </w:r>
    </w:p>
    <w:p w14:paraId="147FAE7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Siraj, I. and </w:t>
      </w:r>
      <w:proofErr w:type="spellStart"/>
      <w:r w:rsidRPr="00616254">
        <w:rPr>
          <w:rFonts w:ascii="Arial" w:hAnsi="Arial" w:cs="Arial"/>
          <w:sz w:val="24"/>
          <w:szCs w:val="24"/>
        </w:rPr>
        <w:t>Hallet</w:t>
      </w:r>
      <w:proofErr w:type="spellEnd"/>
      <w:r w:rsidRPr="00616254">
        <w:rPr>
          <w:rFonts w:ascii="Arial" w:hAnsi="Arial" w:cs="Arial"/>
          <w:sz w:val="24"/>
          <w:szCs w:val="24"/>
        </w:rPr>
        <w:t>, E. (2013). Effective and Caring Leadership in the Early Years. SAGE.</w:t>
      </w:r>
    </w:p>
    <w:p w14:paraId="0153FB39"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Sutton-Smith, B. (1997). The ambiguity of play. Harvard University Press.</w:t>
      </w:r>
    </w:p>
    <w:p w14:paraId="0DD968D7"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Sylva, K., </w:t>
      </w:r>
      <w:proofErr w:type="spellStart"/>
      <w:r w:rsidRPr="00616254">
        <w:rPr>
          <w:rFonts w:ascii="Arial" w:hAnsi="Arial" w:cs="Arial"/>
          <w:sz w:val="24"/>
          <w:szCs w:val="24"/>
        </w:rPr>
        <w:t>Melhuish</w:t>
      </w:r>
      <w:proofErr w:type="spellEnd"/>
      <w:r w:rsidRPr="00616254">
        <w:rPr>
          <w:rFonts w:ascii="Arial" w:hAnsi="Arial" w:cs="Arial"/>
          <w:sz w:val="24"/>
          <w:szCs w:val="24"/>
        </w:rPr>
        <w:t>, E., Sammons, P., Siraj-Blatchford, I., &amp; Taggart, B. (2015). Early childhood matters: Evidence from the Effective Pre-school and Primary Education Project. Routledge.</w:t>
      </w:r>
    </w:p>
    <w:p w14:paraId="6897BD3F"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Talan, T. N., Bloom, P. J., &amp; Kelton, R. E. (2014) ‘Building the leadership capacity of early childhood directors: An evaluation of a leadership development model’. Early Childhood Research &amp; Practice, 16(1), 5231</w:t>
      </w:r>
    </w:p>
    <w:p w14:paraId="2044079F"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Teicher</w:t>
      </w:r>
      <w:proofErr w:type="spellEnd"/>
      <w:r w:rsidRPr="00616254">
        <w:rPr>
          <w:rFonts w:ascii="Arial" w:hAnsi="Arial" w:cs="Arial"/>
          <w:sz w:val="24"/>
          <w:szCs w:val="24"/>
        </w:rPr>
        <w:t xml:space="preserve">, M. H., Andersen, S. L., </w:t>
      </w:r>
      <w:proofErr w:type="spellStart"/>
      <w:r w:rsidRPr="00616254">
        <w:rPr>
          <w:rFonts w:ascii="Arial" w:hAnsi="Arial" w:cs="Arial"/>
          <w:sz w:val="24"/>
          <w:szCs w:val="24"/>
        </w:rPr>
        <w:t>Polcari</w:t>
      </w:r>
      <w:proofErr w:type="spellEnd"/>
      <w:r w:rsidRPr="00616254">
        <w:rPr>
          <w:rFonts w:ascii="Arial" w:hAnsi="Arial" w:cs="Arial"/>
          <w:sz w:val="24"/>
          <w:szCs w:val="24"/>
        </w:rPr>
        <w:t xml:space="preserve">, A., Anderson, C. M., </w:t>
      </w:r>
      <w:proofErr w:type="spellStart"/>
      <w:r w:rsidRPr="00616254">
        <w:rPr>
          <w:rFonts w:ascii="Arial" w:hAnsi="Arial" w:cs="Arial"/>
          <w:sz w:val="24"/>
          <w:szCs w:val="24"/>
        </w:rPr>
        <w:t>Navalta</w:t>
      </w:r>
      <w:proofErr w:type="spellEnd"/>
      <w:r w:rsidRPr="00616254">
        <w:rPr>
          <w:rFonts w:ascii="Arial" w:hAnsi="Arial" w:cs="Arial"/>
          <w:sz w:val="24"/>
          <w:szCs w:val="24"/>
        </w:rPr>
        <w:t xml:space="preserve">, C. P., &amp; Kim, D. M. (2003). The neurobiological consequences of early stress and childhood maltreatment. Neuroscience &amp; </w:t>
      </w:r>
      <w:proofErr w:type="spellStart"/>
      <w:r w:rsidRPr="00616254">
        <w:rPr>
          <w:rFonts w:ascii="Arial" w:hAnsi="Arial" w:cs="Arial"/>
          <w:sz w:val="24"/>
          <w:szCs w:val="24"/>
        </w:rPr>
        <w:t>Biobehavioral</w:t>
      </w:r>
      <w:proofErr w:type="spellEnd"/>
      <w:r w:rsidRPr="00616254">
        <w:rPr>
          <w:rFonts w:ascii="Arial" w:hAnsi="Arial" w:cs="Arial"/>
          <w:sz w:val="24"/>
          <w:szCs w:val="24"/>
        </w:rPr>
        <w:t xml:space="preserve"> Reviews, 27(1-2), 33-44.</w:t>
      </w:r>
    </w:p>
    <w:p w14:paraId="6CE525F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The Sutton Trust. (2014). A fair start: Ensuring all children have the best possible start in life. Retrieved from </w:t>
      </w:r>
      <w:proofErr w:type="gramStart"/>
      <w:r w:rsidRPr="00616254">
        <w:rPr>
          <w:rFonts w:ascii="Arial" w:hAnsi="Arial" w:cs="Arial"/>
          <w:sz w:val="24"/>
          <w:szCs w:val="24"/>
        </w:rPr>
        <w:t>https://www.suttontrust.com/wp-content/uploads/2014/09/A-Fair-Start.pdf</w:t>
      </w:r>
      <w:proofErr w:type="gramEnd"/>
    </w:p>
    <w:p w14:paraId="2DED7DD2"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Thornton, L. and Brunton, P. (2005). Understanding the Reggio </w:t>
      </w:r>
      <w:proofErr w:type="gramStart"/>
      <w:r w:rsidRPr="00616254">
        <w:rPr>
          <w:rFonts w:ascii="Arial" w:hAnsi="Arial" w:cs="Arial"/>
          <w:sz w:val="24"/>
          <w:szCs w:val="24"/>
        </w:rPr>
        <w:t>approach :</w:t>
      </w:r>
      <w:proofErr w:type="gramEnd"/>
      <w:r w:rsidRPr="00616254">
        <w:rPr>
          <w:rFonts w:ascii="Arial" w:hAnsi="Arial" w:cs="Arial"/>
          <w:sz w:val="24"/>
          <w:szCs w:val="24"/>
        </w:rPr>
        <w:t xml:space="preserve"> reflections on the early childhood experience of Reggio Emilia. London: David Fulton.</w:t>
      </w:r>
    </w:p>
    <w:p w14:paraId="0B00B117" w14:textId="77777777" w:rsidR="00616254" w:rsidRPr="00616254" w:rsidRDefault="00616254" w:rsidP="00616254">
      <w:pPr>
        <w:spacing w:line="360" w:lineRule="auto"/>
        <w:rPr>
          <w:rFonts w:ascii="Arial" w:hAnsi="Arial" w:cs="Arial"/>
          <w:sz w:val="24"/>
          <w:szCs w:val="24"/>
        </w:rPr>
      </w:pPr>
      <w:proofErr w:type="spellStart"/>
      <w:r w:rsidRPr="00616254">
        <w:rPr>
          <w:rFonts w:ascii="Arial" w:hAnsi="Arial" w:cs="Arial"/>
          <w:sz w:val="24"/>
          <w:szCs w:val="24"/>
        </w:rPr>
        <w:t>Tijnagel-Schoenaker</w:t>
      </w:r>
      <w:proofErr w:type="spellEnd"/>
      <w:r w:rsidRPr="00616254">
        <w:rPr>
          <w:rFonts w:ascii="Arial" w:hAnsi="Arial" w:cs="Arial"/>
          <w:sz w:val="24"/>
          <w:szCs w:val="24"/>
        </w:rPr>
        <w:t xml:space="preserve">, B. (2018). The Reggio Emilia Approach… The Hundred Languages. Prima </w:t>
      </w:r>
      <w:proofErr w:type="spellStart"/>
      <w:r w:rsidRPr="00616254">
        <w:rPr>
          <w:rFonts w:ascii="Arial" w:hAnsi="Arial" w:cs="Arial"/>
          <w:sz w:val="24"/>
          <w:szCs w:val="24"/>
        </w:rPr>
        <w:t>Educatione</w:t>
      </w:r>
      <w:proofErr w:type="spellEnd"/>
      <w:r w:rsidRPr="00616254">
        <w:rPr>
          <w:rFonts w:ascii="Arial" w:hAnsi="Arial" w:cs="Arial"/>
          <w:sz w:val="24"/>
          <w:szCs w:val="24"/>
        </w:rPr>
        <w:t xml:space="preserve">, 1, p.139. </w:t>
      </w:r>
      <w:proofErr w:type="spellStart"/>
      <w:proofErr w:type="gramStart"/>
      <w:r w:rsidRPr="00616254">
        <w:rPr>
          <w:rFonts w:ascii="Arial" w:hAnsi="Arial" w:cs="Arial"/>
          <w:sz w:val="24"/>
          <w:szCs w:val="24"/>
        </w:rPr>
        <w:t>doi:https</w:t>
      </w:r>
      <w:proofErr w:type="spellEnd"/>
      <w:r w:rsidRPr="00616254">
        <w:rPr>
          <w:rFonts w:ascii="Arial" w:hAnsi="Arial" w:cs="Arial"/>
          <w:sz w:val="24"/>
          <w:szCs w:val="24"/>
        </w:rPr>
        <w:t>://doi.org/10.17951/pe.2017.1.139</w:t>
      </w:r>
      <w:proofErr w:type="gramEnd"/>
      <w:r w:rsidRPr="00616254">
        <w:rPr>
          <w:rFonts w:ascii="Arial" w:hAnsi="Arial" w:cs="Arial"/>
          <w:sz w:val="24"/>
          <w:szCs w:val="24"/>
        </w:rPr>
        <w:t>.</w:t>
      </w:r>
    </w:p>
    <w:p w14:paraId="349683FE"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UNICEF (1989). UN Convention on the Rights of the Child (UNCRC) - </w:t>
      </w:r>
      <w:proofErr w:type="spellStart"/>
      <w:r w:rsidRPr="00616254">
        <w:rPr>
          <w:rFonts w:ascii="Arial" w:hAnsi="Arial" w:cs="Arial"/>
          <w:sz w:val="24"/>
          <w:szCs w:val="24"/>
        </w:rPr>
        <w:t>Unicef</w:t>
      </w:r>
      <w:proofErr w:type="spellEnd"/>
      <w:r w:rsidRPr="00616254">
        <w:rPr>
          <w:rFonts w:ascii="Arial" w:hAnsi="Arial" w:cs="Arial"/>
          <w:sz w:val="24"/>
          <w:szCs w:val="24"/>
        </w:rPr>
        <w:t xml:space="preserve"> UK. [online] UNICEF. Available at: https://www.unicef.org.uk/what-we-do/un-convention-child-rights/.</w:t>
      </w:r>
    </w:p>
    <w:p w14:paraId="0D526970"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UNICEF. (2016). Child poverty in perspective: An overview of child well-being in rich countries. Retrieved from </w:t>
      </w:r>
      <w:proofErr w:type="gramStart"/>
      <w:r w:rsidRPr="00616254">
        <w:rPr>
          <w:rFonts w:ascii="Arial" w:hAnsi="Arial" w:cs="Arial"/>
          <w:sz w:val="24"/>
          <w:szCs w:val="24"/>
        </w:rPr>
        <w:t>https://www.unicef-irc.org/publications/pdf/rc14_eng.pdf</w:t>
      </w:r>
      <w:proofErr w:type="gramEnd"/>
    </w:p>
    <w:p w14:paraId="2DA3B01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lastRenderedPageBreak/>
        <w:t>United Nations General Assembly. (1989). Convention on the Rights of the Child. Treaty Series, 1577, 3.</w:t>
      </w:r>
    </w:p>
    <w:p w14:paraId="7BA6A031"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Valentine, M., Scottish Consultative Council </w:t>
      </w:r>
      <w:proofErr w:type="gramStart"/>
      <w:r w:rsidRPr="00616254">
        <w:rPr>
          <w:rFonts w:ascii="Arial" w:hAnsi="Arial" w:cs="Arial"/>
          <w:sz w:val="24"/>
          <w:szCs w:val="24"/>
        </w:rPr>
        <w:t>On</w:t>
      </w:r>
      <w:proofErr w:type="gramEnd"/>
      <w:r w:rsidRPr="00616254">
        <w:rPr>
          <w:rFonts w:ascii="Arial" w:hAnsi="Arial" w:cs="Arial"/>
          <w:sz w:val="24"/>
          <w:szCs w:val="24"/>
        </w:rPr>
        <w:t xml:space="preserve"> The Curriculum and Learning And Teaching Scotland (2006). The Reggio Emilia approach to early years education. Dundee: Learning </w:t>
      </w:r>
      <w:proofErr w:type="gramStart"/>
      <w:r w:rsidRPr="00616254">
        <w:rPr>
          <w:rFonts w:ascii="Arial" w:hAnsi="Arial" w:cs="Arial"/>
          <w:sz w:val="24"/>
          <w:szCs w:val="24"/>
        </w:rPr>
        <w:t>And</w:t>
      </w:r>
      <w:proofErr w:type="gramEnd"/>
      <w:r w:rsidRPr="00616254">
        <w:rPr>
          <w:rFonts w:ascii="Arial" w:hAnsi="Arial" w:cs="Arial"/>
          <w:sz w:val="24"/>
          <w:szCs w:val="24"/>
        </w:rPr>
        <w:t xml:space="preserve"> Teaching Scotland.</w:t>
      </w:r>
    </w:p>
    <w:p w14:paraId="425C6918"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van </w:t>
      </w:r>
      <w:proofErr w:type="spellStart"/>
      <w:r w:rsidRPr="00616254">
        <w:rPr>
          <w:rFonts w:ascii="Arial" w:hAnsi="Arial" w:cs="Arial"/>
          <w:sz w:val="24"/>
          <w:szCs w:val="24"/>
        </w:rPr>
        <w:t>IJzendoorn</w:t>
      </w:r>
      <w:proofErr w:type="spellEnd"/>
      <w:r w:rsidRPr="00616254">
        <w:rPr>
          <w:rFonts w:ascii="Arial" w:hAnsi="Arial" w:cs="Arial"/>
          <w:sz w:val="24"/>
          <w:szCs w:val="24"/>
        </w:rPr>
        <w:t xml:space="preserve">, M. H., </w:t>
      </w:r>
      <w:proofErr w:type="spellStart"/>
      <w:r w:rsidRPr="00616254">
        <w:rPr>
          <w:rFonts w:ascii="Arial" w:hAnsi="Arial" w:cs="Arial"/>
          <w:sz w:val="24"/>
          <w:szCs w:val="24"/>
        </w:rPr>
        <w:t>Bakermans-Kranenburg</w:t>
      </w:r>
      <w:proofErr w:type="spellEnd"/>
      <w:r w:rsidRPr="00616254">
        <w:rPr>
          <w:rFonts w:ascii="Arial" w:hAnsi="Arial" w:cs="Arial"/>
          <w:sz w:val="24"/>
          <w:szCs w:val="24"/>
        </w:rPr>
        <w:t xml:space="preserve">, M. J., &amp; </w:t>
      </w:r>
      <w:proofErr w:type="spellStart"/>
      <w:r w:rsidRPr="00616254">
        <w:rPr>
          <w:rFonts w:ascii="Arial" w:hAnsi="Arial" w:cs="Arial"/>
          <w:sz w:val="24"/>
          <w:szCs w:val="24"/>
        </w:rPr>
        <w:t>Sagi</w:t>
      </w:r>
      <w:proofErr w:type="spellEnd"/>
      <w:r w:rsidRPr="00616254">
        <w:rPr>
          <w:rFonts w:ascii="Arial" w:hAnsi="Arial" w:cs="Arial"/>
          <w:sz w:val="24"/>
          <w:szCs w:val="24"/>
        </w:rPr>
        <w:t>-Schwartz, A. (2019). Attachment theory and developmental psychopathology. In Developmental Psychopathology (pp. 123-162). Springer.</w:t>
      </w:r>
    </w:p>
    <w:p w14:paraId="6E3889C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Welsh </w:t>
      </w:r>
      <w:proofErr w:type="spellStart"/>
      <w:r w:rsidRPr="00616254">
        <w:rPr>
          <w:rFonts w:ascii="Arial" w:hAnsi="Arial" w:cs="Arial"/>
          <w:sz w:val="24"/>
          <w:szCs w:val="24"/>
        </w:rPr>
        <w:t>Goverment</w:t>
      </w:r>
      <w:proofErr w:type="spellEnd"/>
      <w:r w:rsidRPr="00616254">
        <w:rPr>
          <w:rFonts w:ascii="Arial" w:hAnsi="Arial" w:cs="Arial"/>
          <w:sz w:val="24"/>
          <w:szCs w:val="24"/>
        </w:rPr>
        <w:t>. (2020). Increased support for children’s mental health following Covid-19 outbreak. [online] Available at: https://www.gov.wales/increased-support-childrens-mental-health-following-covid-19-outbreak.</w:t>
      </w:r>
    </w:p>
    <w:p w14:paraId="0A0A326C"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Welsh Government (2021). Delphi Study on the impact of COVID-19 on children under age 5. [online] Available at: https://www.gov.wales/delphi-study-impact-covid-19-children-under-age-5.</w:t>
      </w:r>
    </w:p>
    <w:p w14:paraId="443D036B"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Welsh Government. (2019). Play policy. Retrieved from </w:t>
      </w:r>
      <w:proofErr w:type="gramStart"/>
      <w:r w:rsidRPr="00616254">
        <w:rPr>
          <w:rFonts w:ascii="Arial" w:hAnsi="Arial" w:cs="Arial"/>
          <w:sz w:val="24"/>
          <w:szCs w:val="24"/>
        </w:rPr>
        <w:t>https://gov.wales/play-policy</w:t>
      </w:r>
      <w:proofErr w:type="gramEnd"/>
    </w:p>
    <w:p w14:paraId="73B903D3"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Whalley, M. et al. (2019) Democratising Leadership in the Early Years: A systematic approach. Oxon: Routledge. </w:t>
      </w:r>
    </w:p>
    <w:p w14:paraId="1BD49B55"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Whalley, M., John, K., Whitaker, P., Klavins, E., Parker, C. and </w:t>
      </w:r>
      <w:proofErr w:type="spellStart"/>
      <w:r w:rsidRPr="00616254">
        <w:rPr>
          <w:rFonts w:ascii="Arial" w:hAnsi="Arial" w:cs="Arial"/>
          <w:sz w:val="24"/>
          <w:szCs w:val="24"/>
        </w:rPr>
        <w:t>Vaggers</w:t>
      </w:r>
      <w:proofErr w:type="spellEnd"/>
      <w:r w:rsidRPr="00616254">
        <w:rPr>
          <w:rFonts w:ascii="Arial" w:hAnsi="Arial" w:cs="Arial"/>
          <w:sz w:val="24"/>
          <w:szCs w:val="24"/>
        </w:rPr>
        <w:t>, J. (2018). Democratising Leadership in the Early Years. Routledge.</w:t>
      </w:r>
    </w:p>
    <w:p w14:paraId="4657D21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 xml:space="preserve">Williams Brown, Z. and </w:t>
      </w:r>
      <w:proofErr w:type="spellStart"/>
      <w:r w:rsidRPr="00616254">
        <w:rPr>
          <w:rFonts w:ascii="Arial" w:hAnsi="Arial" w:cs="Arial"/>
          <w:sz w:val="24"/>
          <w:szCs w:val="24"/>
        </w:rPr>
        <w:t>Mander</w:t>
      </w:r>
      <w:proofErr w:type="spellEnd"/>
      <w:r w:rsidRPr="00616254">
        <w:rPr>
          <w:rFonts w:ascii="Arial" w:hAnsi="Arial" w:cs="Arial"/>
          <w:sz w:val="24"/>
          <w:szCs w:val="24"/>
        </w:rPr>
        <w:t>, S. (2021) Childhood and Well-being and Resilience. Oxon: Routledge.</w:t>
      </w:r>
    </w:p>
    <w:p w14:paraId="32237766" w14:textId="77777777" w:rsidR="00616254" w:rsidRPr="00616254" w:rsidRDefault="00616254" w:rsidP="00616254">
      <w:pPr>
        <w:spacing w:line="360" w:lineRule="auto"/>
        <w:rPr>
          <w:rFonts w:ascii="Arial" w:hAnsi="Arial" w:cs="Arial"/>
          <w:sz w:val="24"/>
          <w:szCs w:val="24"/>
        </w:rPr>
      </w:pPr>
      <w:r w:rsidRPr="00616254">
        <w:rPr>
          <w:rFonts w:ascii="Arial" w:hAnsi="Arial" w:cs="Arial"/>
          <w:sz w:val="24"/>
          <w:szCs w:val="24"/>
        </w:rPr>
        <w:t>Williams, J. (2013). The United Nations Convention on the Rights of the Child in Wales. University of Wales Press.</w:t>
      </w:r>
    </w:p>
    <w:p w14:paraId="2FD66660" w14:textId="6F498885" w:rsidR="00F8077E" w:rsidRPr="00DF21E0" w:rsidRDefault="00616254" w:rsidP="00616254">
      <w:pPr>
        <w:spacing w:line="360" w:lineRule="auto"/>
        <w:rPr>
          <w:rFonts w:ascii="Arial" w:hAnsi="Arial" w:cs="Arial"/>
          <w:sz w:val="24"/>
          <w:szCs w:val="24"/>
        </w:rPr>
      </w:pPr>
      <w:r w:rsidRPr="00616254">
        <w:rPr>
          <w:rFonts w:ascii="Arial" w:hAnsi="Arial" w:cs="Arial"/>
          <w:sz w:val="24"/>
          <w:szCs w:val="24"/>
        </w:rPr>
        <w:t xml:space="preserve">Yeung, W. J., Sandberg, J. F., Davis-Kean, P. E., &amp; </w:t>
      </w:r>
      <w:proofErr w:type="spellStart"/>
      <w:r w:rsidRPr="00616254">
        <w:rPr>
          <w:rFonts w:ascii="Arial" w:hAnsi="Arial" w:cs="Arial"/>
          <w:sz w:val="24"/>
          <w:szCs w:val="24"/>
        </w:rPr>
        <w:t>Hofferth</w:t>
      </w:r>
      <w:proofErr w:type="spellEnd"/>
      <w:r w:rsidRPr="00616254">
        <w:rPr>
          <w:rFonts w:ascii="Arial" w:hAnsi="Arial" w:cs="Arial"/>
          <w:sz w:val="24"/>
          <w:szCs w:val="24"/>
        </w:rPr>
        <w:t>, S. L. (2001). Children's time with fathers in intact families. Journal of Marriage and Family, 63(1), 136-154.</w:t>
      </w:r>
    </w:p>
    <w:sectPr w:rsidR="00F8077E" w:rsidRPr="00DF21E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4DD6F" w14:textId="77777777" w:rsidR="008D694C" w:rsidRDefault="008D694C" w:rsidP="0040212E">
      <w:pPr>
        <w:spacing w:after="0" w:line="240" w:lineRule="auto"/>
      </w:pPr>
      <w:r>
        <w:separator/>
      </w:r>
    </w:p>
  </w:endnote>
  <w:endnote w:type="continuationSeparator" w:id="0">
    <w:p w14:paraId="133A4333" w14:textId="77777777" w:rsidR="008D694C" w:rsidRDefault="008D694C" w:rsidP="00402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9468485"/>
      <w:docPartObj>
        <w:docPartGallery w:val="Page Numbers (Bottom of Page)"/>
        <w:docPartUnique/>
      </w:docPartObj>
    </w:sdtPr>
    <w:sdtEndPr>
      <w:rPr>
        <w:noProof/>
      </w:rPr>
    </w:sdtEndPr>
    <w:sdtContent>
      <w:p w14:paraId="1338B495" w14:textId="4CF97ECE" w:rsidR="0040212E" w:rsidRDefault="004021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999EEE" w14:textId="77777777" w:rsidR="0040212E" w:rsidRDefault="004021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448B7" w14:textId="77777777" w:rsidR="008D694C" w:rsidRDefault="008D694C" w:rsidP="0040212E">
      <w:pPr>
        <w:spacing w:after="0" w:line="240" w:lineRule="auto"/>
      </w:pPr>
      <w:r>
        <w:separator/>
      </w:r>
    </w:p>
  </w:footnote>
  <w:footnote w:type="continuationSeparator" w:id="0">
    <w:p w14:paraId="6DF989A4" w14:textId="77777777" w:rsidR="008D694C" w:rsidRDefault="008D694C" w:rsidP="00402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C99ED" w14:textId="61D8DA19" w:rsidR="0040212E" w:rsidRPr="0040212E" w:rsidRDefault="0040212E">
    <w:pPr>
      <w:pStyle w:val="Header"/>
      <w:rPr>
        <w:rFonts w:ascii="Arial" w:hAnsi="Arial" w:cs="Arial"/>
        <w:sz w:val="24"/>
        <w:szCs w:val="24"/>
      </w:rPr>
    </w:pPr>
    <w:r w:rsidRPr="0040212E">
      <w:rPr>
        <w:rFonts w:ascii="Arial" w:hAnsi="Arial" w:cs="Arial"/>
        <w:sz w:val="24"/>
        <w:szCs w:val="24"/>
      </w:rPr>
      <w:t>Catalytic Leadership</w:t>
    </w:r>
    <w:r w:rsidRPr="0040212E">
      <w:rPr>
        <w:rFonts w:ascii="Arial" w:hAnsi="Arial" w:cs="Arial"/>
        <w:sz w:val="24"/>
        <w:szCs w:val="24"/>
      </w:rPr>
      <w:ptab w:relativeTo="margin" w:alignment="center" w:leader="none"/>
    </w:r>
    <w:r w:rsidRPr="0040212E">
      <w:rPr>
        <w:rFonts w:ascii="Arial" w:hAnsi="Arial" w:cs="Arial"/>
        <w:sz w:val="24"/>
        <w:szCs w:val="24"/>
      </w:rPr>
      <w:t>ECEY6009/C</w:t>
    </w:r>
    <w:r w:rsidRPr="0040212E">
      <w:rPr>
        <w:rFonts w:ascii="Arial" w:hAnsi="Arial" w:cs="Arial"/>
        <w:sz w:val="24"/>
        <w:szCs w:val="24"/>
      </w:rPr>
      <w:ptab w:relativeTo="margin" w:alignment="right" w:leader="none"/>
    </w:r>
    <w:r w:rsidRPr="0040212E">
      <w:rPr>
        <w:rFonts w:ascii="Arial" w:hAnsi="Arial" w:cs="Arial"/>
        <w:sz w:val="24"/>
        <w:szCs w:val="24"/>
      </w:rPr>
      <w:t>Word Count:</w:t>
    </w:r>
    <w:r w:rsidR="00616254">
      <w:rPr>
        <w:rFonts w:ascii="Arial" w:hAnsi="Arial" w:cs="Arial"/>
        <w:sz w:val="24"/>
        <w:szCs w:val="24"/>
      </w:rPr>
      <w:t xml:space="preserve"> 3830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752F0"/>
    <w:multiLevelType w:val="hybridMultilevel"/>
    <w:tmpl w:val="63B48A6E"/>
    <w:lvl w:ilvl="0" w:tplc="AB929DD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501DE7"/>
    <w:multiLevelType w:val="hybridMultilevel"/>
    <w:tmpl w:val="62802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910B5C"/>
    <w:multiLevelType w:val="hybridMultilevel"/>
    <w:tmpl w:val="F920091C"/>
    <w:lvl w:ilvl="0" w:tplc="7B200D5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247974">
    <w:abstractNumId w:val="1"/>
  </w:num>
  <w:num w:numId="2" w16cid:durableId="675421500">
    <w:abstractNumId w:val="2"/>
  </w:num>
  <w:num w:numId="3" w16cid:durableId="1322272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616"/>
    <w:rsid w:val="000C1576"/>
    <w:rsid w:val="000D0915"/>
    <w:rsid w:val="000D3ED9"/>
    <w:rsid w:val="000E397F"/>
    <w:rsid w:val="000F14AC"/>
    <w:rsid w:val="00163465"/>
    <w:rsid w:val="00173D14"/>
    <w:rsid w:val="00184616"/>
    <w:rsid w:val="001957E8"/>
    <w:rsid w:val="001E35DD"/>
    <w:rsid w:val="001F621E"/>
    <w:rsid w:val="00231DDA"/>
    <w:rsid w:val="002551E1"/>
    <w:rsid w:val="00273B42"/>
    <w:rsid w:val="002858C8"/>
    <w:rsid w:val="00297FD5"/>
    <w:rsid w:val="002C6A9A"/>
    <w:rsid w:val="00342B42"/>
    <w:rsid w:val="003552B7"/>
    <w:rsid w:val="003745DD"/>
    <w:rsid w:val="003C1550"/>
    <w:rsid w:val="003F72B1"/>
    <w:rsid w:val="0040212E"/>
    <w:rsid w:val="00416FDD"/>
    <w:rsid w:val="0046328B"/>
    <w:rsid w:val="004B1F55"/>
    <w:rsid w:val="00524D56"/>
    <w:rsid w:val="005455A3"/>
    <w:rsid w:val="00551FBF"/>
    <w:rsid w:val="00561BD5"/>
    <w:rsid w:val="0058728B"/>
    <w:rsid w:val="00597C9C"/>
    <w:rsid w:val="005C1B77"/>
    <w:rsid w:val="005E1D95"/>
    <w:rsid w:val="00616254"/>
    <w:rsid w:val="00647D53"/>
    <w:rsid w:val="006B0B5A"/>
    <w:rsid w:val="006C417F"/>
    <w:rsid w:val="00767F66"/>
    <w:rsid w:val="00791423"/>
    <w:rsid w:val="007A7007"/>
    <w:rsid w:val="007C594E"/>
    <w:rsid w:val="007D0CE1"/>
    <w:rsid w:val="008307B0"/>
    <w:rsid w:val="008345BC"/>
    <w:rsid w:val="0088300F"/>
    <w:rsid w:val="00886F8A"/>
    <w:rsid w:val="00897957"/>
    <w:rsid w:val="008C528A"/>
    <w:rsid w:val="008D5168"/>
    <w:rsid w:val="008D694C"/>
    <w:rsid w:val="00912709"/>
    <w:rsid w:val="00962489"/>
    <w:rsid w:val="009E29DD"/>
    <w:rsid w:val="009F2CFD"/>
    <w:rsid w:val="00A11EF3"/>
    <w:rsid w:val="00A47A99"/>
    <w:rsid w:val="00AA6F00"/>
    <w:rsid w:val="00AC2D3A"/>
    <w:rsid w:val="00B409E4"/>
    <w:rsid w:val="00BB0D3D"/>
    <w:rsid w:val="00C20119"/>
    <w:rsid w:val="00C54405"/>
    <w:rsid w:val="00CD6ED2"/>
    <w:rsid w:val="00CD71DC"/>
    <w:rsid w:val="00D05D50"/>
    <w:rsid w:val="00D41555"/>
    <w:rsid w:val="00D51699"/>
    <w:rsid w:val="00DA35AC"/>
    <w:rsid w:val="00DC1E45"/>
    <w:rsid w:val="00DF21E0"/>
    <w:rsid w:val="00E34B06"/>
    <w:rsid w:val="00E61568"/>
    <w:rsid w:val="00E715BD"/>
    <w:rsid w:val="00ED02F7"/>
    <w:rsid w:val="00ED0859"/>
    <w:rsid w:val="00EE1C68"/>
    <w:rsid w:val="00F153C3"/>
    <w:rsid w:val="00F579CE"/>
    <w:rsid w:val="00F8077E"/>
    <w:rsid w:val="00F97CE7"/>
    <w:rsid w:val="00FA7FC7"/>
    <w:rsid w:val="00FB2C88"/>
    <w:rsid w:val="00FC4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EF01"/>
  <w15:chartTrackingRefBased/>
  <w15:docId w15:val="{4FFD7E37-8E79-4666-9209-F681C69C4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4616"/>
    <w:pPr>
      <w:ind w:left="720"/>
      <w:contextualSpacing/>
    </w:pPr>
  </w:style>
  <w:style w:type="paragraph" w:styleId="Header">
    <w:name w:val="header"/>
    <w:basedOn w:val="Normal"/>
    <w:link w:val="HeaderChar"/>
    <w:uiPriority w:val="99"/>
    <w:unhideWhenUsed/>
    <w:rsid w:val="00402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212E"/>
  </w:style>
  <w:style w:type="paragraph" w:styleId="Footer">
    <w:name w:val="footer"/>
    <w:basedOn w:val="Normal"/>
    <w:link w:val="FooterChar"/>
    <w:uiPriority w:val="99"/>
    <w:unhideWhenUsed/>
    <w:rsid w:val="00402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212E"/>
  </w:style>
  <w:style w:type="character" w:styleId="Hyperlink">
    <w:name w:val="Hyperlink"/>
    <w:basedOn w:val="DefaultParagraphFont"/>
    <w:uiPriority w:val="99"/>
    <w:unhideWhenUsed/>
    <w:rsid w:val="00F97CE7"/>
    <w:rPr>
      <w:color w:val="0563C1" w:themeColor="hyperlink"/>
      <w:u w:val="single"/>
    </w:rPr>
  </w:style>
  <w:style w:type="character" w:styleId="UnresolvedMention">
    <w:name w:val="Unresolved Mention"/>
    <w:basedOn w:val="DefaultParagraphFont"/>
    <w:uiPriority w:val="99"/>
    <w:semiHidden/>
    <w:unhideWhenUsed/>
    <w:rsid w:val="00F97C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5186">
      <w:bodyDiv w:val="1"/>
      <w:marLeft w:val="0"/>
      <w:marRight w:val="0"/>
      <w:marTop w:val="0"/>
      <w:marBottom w:val="0"/>
      <w:divBdr>
        <w:top w:val="none" w:sz="0" w:space="0" w:color="auto"/>
        <w:left w:val="none" w:sz="0" w:space="0" w:color="auto"/>
        <w:bottom w:val="none" w:sz="0" w:space="0" w:color="auto"/>
        <w:right w:val="none" w:sz="0" w:space="0" w:color="auto"/>
      </w:divBdr>
    </w:div>
    <w:div w:id="495416004">
      <w:bodyDiv w:val="1"/>
      <w:marLeft w:val="0"/>
      <w:marRight w:val="0"/>
      <w:marTop w:val="0"/>
      <w:marBottom w:val="0"/>
      <w:divBdr>
        <w:top w:val="none" w:sz="0" w:space="0" w:color="auto"/>
        <w:left w:val="none" w:sz="0" w:space="0" w:color="auto"/>
        <w:bottom w:val="none" w:sz="0" w:space="0" w:color="auto"/>
        <w:right w:val="none" w:sz="0" w:space="0" w:color="auto"/>
      </w:divBdr>
    </w:div>
    <w:div w:id="793140603">
      <w:bodyDiv w:val="1"/>
      <w:marLeft w:val="0"/>
      <w:marRight w:val="0"/>
      <w:marTop w:val="0"/>
      <w:marBottom w:val="0"/>
      <w:divBdr>
        <w:top w:val="none" w:sz="0" w:space="0" w:color="auto"/>
        <w:left w:val="none" w:sz="0" w:space="0" w:color="auto"/>
        <w:bottom w:val="none" w:sz="0" w:space="0" w:color="auto"/>
        <w:right w:val="none" w:sz="0" w:space="0" w:color="auto"/>
      </w:divBdr>
    </w:div>
    <w:div w:id="145883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656E0-30B4-42CB-AD01-1B6F1C9C7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6531</Words>
  <Characters>37228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Kalon Smithers</dc:creator>
  <cp:keywords/>
  <dc:description/>
  <cp:lastModifiedBy>Kalon Smithers</cp:lastModifiedBy>
  <cp:revision>2</cp:revision>
  <cp:lastPrinted>2023-03-01T16:27:00Z</cp:lastPrinted>
  <dcterms:created xsi:type="dcterms:W3CDTF">2023-03-04T14:18:00Z</dcterms:created>
  <dcterms:modified xsi:type="dcterms:W3CDTF">2023-03-04T14:18:00Z</dcterms:modified>
</cp:coreProperties>
</file>