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13610D" w14:textId="77777777"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40F9C2ED" w14:textId="77777777" w:rsidR="00A75E9B" w:rsidRPr="0063644B" w:rsidRDefault="00A75E9B" w:rsidP="00A75E9B">
      <w:pPr>
        <w:spacing w:after="0" w:line="240" w:lineRule="auto"/>
        <w:outlineLvl w:val="0"/>
        <w:rPr>
          <w:rFonts w:ascii="Arial Nova" w:eastAsia="Times New Roman" w:hAnsi="Arial Nova" w:cs="Segoe UI"/>
          <w:color w:val="000000" w:themeColor="text1"/>
          <w:kern w:val="36"/>
          <w14:ligatures w14:val="none"/>
        </w:rPr>
      </w:pPr>
      <w:r w:rsidRPr="0063644B">
        <w:rPr>
          <w:rFonts w:ascii="Arial Nova" w:eastAsia="Times New Roman" w:hAnsi="Arial Nova" w:cs="Segoe UI"/>
          <w:color w:val="000000" w:themeColor="text1"/>
          <w:kern w:val="36"/>
          <w14:ligatures w14:val="none"/>
        </w:rPr>
        <w:t>Awe and wonder- science, mathematics and the outdoors</w:t>
      </w:r>
    </w:p>
    <w:p w14:paraId="08F1B038" w14:textId="77777777"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5685C562" w14:textId="376F7BF5"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3A8DA8F3" w14:textId="1351CEF7"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33FC394D" w14:textId="67A5754F"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r w:rsidRPr="0063644B">
        <w:rPr>
          <w:rFonts w:ascii="Arial Nova" w:eastAsia="Times New Roman" w:hAnsi="Arial Nova" w:cs="Segoe UI"/>
          <w:noProof/>
          <w:color w:val="000000" w:themeColor="text1"/>
          <w:kern w:val="36"/>
        </w:rPr>
        <w:drawing>
          <wp:anchor distT="0" distB="0" distL="114300" distR="114300" simplePos="0" relativeHeight="251659264" behindDoc="0" locked="0" layoutInCell="1" allowOverlap="1" wp14:anchorId="673B5425" wp14:editId="3A53FA99">
            <wp:simplePos x="0" y="0"/>
            <wp:positionH relativeFrom="column">
              <wp:posOffset>-304800</wp:posOffset>
            </wp:positionH>
            <wp:positionV relativeFrom="paragraph">
              <wp:posOffset>302521</wp:posOffset>
            </wp:positionV>
            <wp:extent cx="3262630" cy="4350385"/>
            <wp:effectExtent l="0" t="0" r="1270" b="5715"/>
            <wp:wrapTopAndBottom/>
            <wp:docPr id="1285159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59377" name="Picture 1285159377"/>
                    <pic:cNvPicPr/>
                  </pic:nvPicPr>
                  <pic:blipFill>
                    <a:blip r:embed="rId7">
                      <a:extLst>
                        <a:ext uri="{28A0092B-C50C-407E-A947-70E740481C1C}">
                          <a14:useLocalDpi xmlns:a14="http://schemas.microsoft.com/office/drawing/2010/main" val="0"/>
                        </a:ext>
                      </a:extLst>
                    </a:blip>
                    <a:stretch>
                      <a:fillRect/>
                    </a:stretch>
                  </pic:blipFill>
                  <pic:spPr>
                    <a:xfrm>
                      <a:off x="0" y="0"/>
                      <a:ext cx="3262630" cy="4350385"/>
                    </a:xfrm>
                    <a:prstGeom prst="rect">
                      <a:avLst/>
                    </a:prstGeom>
                  </pic:spPr>
                </pic:pic>
              </a:graphicData>
            </a:graphic>
            <wp14:sizeRelH relativeFrom="margin">
              <wp14:pctWidth>0</wp14:pctWidth>
            </wp14:sizeRelH>
            <wp14:sizeRelV relativeFrom="margin">
              <wp14:pctHeight>0</wp14:pctHeight>
            </wp14:sizeRelV>
          </wp:anchor>
        </w:drawing>
      </w:r>
      <w:r w:rsidR="005C512A">
        <w:rPr>
          <w:rFonts w:ascii="Arial Nova" w:eastAsia="Times New Roman" w:hAnsi="Arial Nova" w:cs="Segoe UI"/>
          <w:color w:val="000000" w:themeColor="text1"/>
          <w:kern w:val="36"/>
          <w14:ligatures w14:val="none"/>
        </w:rPr>
        <w:t>(Twinkl</w:t>
      </w:r>
      <w:r w:rsidR="005A7A4B">
        <w:rPr>
          <w:rFonts w:ascii="Arial Nova" w:eastAsia="Times New Roman" w:hAnsi="Arial Nova" w:cs="Segoe UI"/>
          <w:color w:val="000000" w:themeColor="text1"/>
          <w:kern w:val="36"/>
          <w14:ligatures w14:val="none"/>
        </w:rPr>
        <w:t>, n.d)</w:t>
      </w:r>
    </w:p>
    <w:p w14:paraId="1FBDD667" w14:textId="4593AE2D"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5E3F45B5" w14:textId="6C4B4A11"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1A42A39D" w14:textId="5EE90C7E" w:rsidR="00342E97" w:rsidRPr="0063644B" w:rsidRDefault="00342E97" w:rsidP="003632E9">
      <w:pPr>
        <w:spacing w:after="0" w:line="240" w:lineRule="auto"/>
        <w:outlineLvl w:val="0"/>
        <w:rPr>
          <w:rFonts w:ascii="Arial Nova" w:eastAsia="Times New Roman" w:hAnsi="Arial Nova" w:cs="Segoe UI"/>
          <w:color w:val="000000" w:themeColor="text1"/>
          <w:kern w:val="36"/>
          <w14:ligatures w14:val="none"/>
        </w:rPr>
      </w:pPr>
    </w:p>
    <w:p w14:paraId="01996A04" w14:textId="6CE32C40" w:rsidR="003632E9" w:rsidRPr="001F7138" w:rsidRDefault="003632E9" w:rsidP="001F7138">
      <w:pPr>
        <w:spacing w:after="0" w:line="240" w:lineRule="auto"/>
        <w:outlineLvl w:val="0"/>
        <w:rPr>
          <w:rFonts w:ascii="Arial Nova" w:eastAsia="Times New Roman" w:hAnsi="Arial Nova" w:cs="Segoe UI"/>
          <w:color w:val="000000" w:themeColor="text1"/>
          <w:kern w:val="36"/>
          <w14:ligatures w14:val="none"/>
        </w:rPr>
      </w:pPr>
      <w:r w:rsidRPr="0063644B">
        <w:rPr>
          <w:rFonts w:ascii="Arial Nova" w:eastAsia="Times New Roman" w:hAnsi="Arial Nova" w:cs="Times New Roman"/>
          <w:color w:val="000000" w:themeColor="text1"/>
          <w:kern w:val="0"/>
          <w14:ligatures w14:val="none"/>
        </w:rPr>
        <w:t>The chosen outdoor environment includes the dedicated Mud Kitchen and Potions Lab area in the early years outdoor setting. The area consists of wooden countertops with accessible height for children, with built</w:t>
      </w:r>
      <w:r w:rsidR="00A77C93">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in wash basin, water taps, open shelving, hanging metal utensils, balance scales, mortar and pestles, spray bottles, transparent containers, colorful plastic measuring beakers and natural loose parts like autumn leaves, pinecones and bark. The area is protected by the thatched roof and has wood chip ground.</w:t>
      </w:r>
    </w:p>
    <w:p w14:paraId="7584C15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0FB098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This section explores how this setting promotes hands-on learning on the themes of Properties of Materials, Solutions, and State Transformations (Science) and Capacity, Volume and Mass (Mathematics).</w:t>
      </w:r>
    </w:p>
    <w:p w14:paraId="39A9E8F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65C4DC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Learning Story: "The Autumn Potion Masters"</w:t>
      </w:r>
    </w:p>
    <w:p w14:paraId="5E200FF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F10BC8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lastRenderedPageBreak/>
        <w:t>Session Observation</w:t>
      </w:r>
    </w:p>
    <w:p w14:paraId="101CC24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A55418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On a dry autumn morning, three children Liam (3 years, 8 months), Mia (4 years, 1 month) and Noah (3 years, 11 months) gather at the Potions Lab and Mud Kitchen workstation.</w:t>
      </w:r>
    </w:p>
    <w:p w14:paraId="73C0CDC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6A372C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Liam comes to the wash basin, filled with clean water. Observing bubbles rising as the plastic jug is being filled with water, Liam carefully lifts the filled jug and pours water into three yellow and red measuring beakers placed on the shelf.</w:t>
      </w:r>
    </w:p>
    <w:p w14:paraId="0776551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1AC352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Meanwhile, Mia collects dry autumn leaves and pinecones from the wood chip ground and puts them into the wooden mortar. Holding the wooden pestle in her hand, Mia starts grinding the dry leaves by applying circular movements.</w:t>
      </w:r>
    </w:p>
    <w:p w14:paraId="2680813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AEA2FF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Mia: "Look! I am grinding the crunchy leaves into powder! When I crush them into tiny pieces, they can turn my water into a green potion!" Practitioner: "That's a good idea, Mia. What happens to the leaves when you press down hard with the pestle?" Mia: "They were big and crunchy, but now they are breaking into tiny bits! They are getting soft!"</w:t>
      </w:r>
    </w:p>
    <w:p w14:paraId="753DE7E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2F72B7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Noah comes to the bench and takes a spray bottle with tinted water and a small wire whisk. Noah starts squeezing the lever repeatedly over the plastic bowl with dry garden soil.</w:t>
      </w:r>
    </w:p>
    <w:p w14:paraId="3F4C43A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BCD724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Noah: "My spray is making the dirt dark! It’ss turning into sticky mud!" Practitioner: "Why do you think adding water changes dry dirt into sticky mud, Noah? What would happen if you pour a whole jug of water in?" Noah: "If I put too much water, it won't be sticky anymore. It turns runny like soup!"</w:t>
      </w:r>
    </w:p>
    <w:p w14:paraId="43A6089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3A4CAB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Liam carries his filled jug to the analog balance scales on the shelf. Placing an empty beaker on one side of the scales and a beaker full of wet mud on another side, Liam sees the side with wet mud instantly dropping down.</w:t>
      </w:r>
    </w:p>
    <w:p w14:paraId="7400E4D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15794D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Liam: "Wow! The mud side went all the way down!" Practitioner: "Why did the mud side drop down, while the empty beaker stayed up high?" Liam: "Because mud is heavy! The empty beaker is light because it only has air in it!"</w:t>
      </w:r>
    </w:p>
    <w:p w14:paraId="77F7129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C91140E"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Key Scientific and Mathematical Concepts</w:t>
      </w:r>
    </w:p>
    <w:p w14:paraId="44BB37D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D59723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1. Science: Properties of Materials and Physical Changes</w:t>
      </w:r>
    </w:p>
    <w:p w14:paraId="4B7F9CA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9A938A9" w14:textId="5860769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 the described setting</w:t>
      </w:r>
      <w:r w:rsidR="00CF1463">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 xml:space="preserve">children explore physical changes in natural and manufactured materials. Grinding, </w:t>
      </w:r>
      <w:r w:rsidR="00F70CE8" w:rsidRPr="0063644B">
        <w:rPr>
          <w:rFonts w:ascii="Arial Nova" w:eastAsia="Times New Roman" w:hAnsi="Arial Nova" w:cs="Times New Roman"/>
          <w:color w:val="000000" w:themeColor="text1"/>
          <w:kern w:val="0"/>
          <w14:ligatures w14:val="none"/>
        </w:rPr>
        <w:t>stirring</w:t>
      </w:r>
      <w:r w:rsidRPr="0063644B">
        <w:rPr>
          <w:rFonts w:ascii="Arial Nova" w:eastAsia="Times New Roman" w:hAnsi="Arial Nova" w:cs="Times New Roman"/>
          <w:color w:val="000000" w:themeColor="text1"/>
          <w:kern w:val="0"/>
          <w14:ligatures w14:val="none"/>
        </w:rPr>
        <w:t xml:space="preserve"> and changing moisture levels of materials provide different changes in texture, viscosity and solubility.</w:t>
      </w:r>
    </w:p>
    <w:p w14:paraId="6BEF999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1E4FD5E" w14:textId="5CE346FA"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Viscosity and Texture: Children understand that adding measured amount of water to dry solid materials leads to viscosity changes from dry soil to moldable mud</w:t>
      </w:r>
      <w:r w:rsidR="00FF0772">
        <w:rPr>
          <w:rFonts w:ascii="Arial Nova" w:eastAsia="Times New Roman" w:hAnsi="Arial Nova" w:cs="Times New Roman"/>
          <w:color w:val="000000" w:themeColor="text1"/>
          <w:kern w:val="0"/>
          <w14:ligatures w14:val="none"/>
        </w:rPr>
        <w:t xml:space="preserve"> and </w:t>
      </w:r>
      <w:r w:rsidRPr="0063644B">
        <w:rPr>
          <w:rFonts w:ascii="Arial Nova" w:eastAsia="Times New Roman" w:hAnsi="Arial Nova" w:cs="Times New Roman"/>
          <w:color w:val="000000" w:themeColor="text1"/>
          <w:kern w:val="0"/>
          <w14:ligatures w14:val="none"/>
        </w:rPr>
        <w:t>then to liquid suspension.</w:t>
      </w:r>
    </w:p>
    <w:p w14:paraId="28D8D73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lastRenderedPageBreak/>
        <w:t>Reversible and Irreversible Changes: Grinding leaves shows reversible physical changes in materials. Mixing soil and water creates a mixture which can be separated either by settling or evaporation.</w:t>
      </w:r>
    </w:p>
    <w:p w14:paraId="21C436B0"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2. Mathematics: Capacity, Volume and Mass</w:t>
      </w:r>
    </w:p>
    <w:p w14:paraId="7F72C72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14E9BA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 variety of container shapes, spray bottles and balance scales allow children to explore non-standard and early standard measurements.</w:t>
      </w:r>
    </w:p>
    <w:p w14:paraId="6FB70F6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CD65D8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Volume and Conservation: Pouring liquid in and out of wide bowls and narrow tall beakers introduce the notion of volume conservation, helping to understand that height of the container doesn't define its volume.</w:t>
      </w:r>
    </w:p>
    <w:p w14:paraId="070120C5" w14:textId="78744B5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Mass and Balance: The balance scale gives tangible and visual feedback about mass. Children visually compare forces applied by dense materials and light containers.</w:t>
      </w:r>
    </w:p>
    <w:p w14:paraId="5152E27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3C77C5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To facilitate further exploration, the following resources can be added to the setting:</w:t>
      </w:r>
    </w:p>
    <w:p w14:paraId="46FB33B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DFC8A71" w14:textId="0EDD15E9"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Clear </w:t>
      </w:r>
      <w:r w:rsidR="007C004C">
        <w:rPr>
          <w:rFonts w:ascii="Arial Nova" w:eastAsia="Times New Roman" w:hAnsi="Arial Nova" w:cs="Times New Roman"/>
          <w:color w:val="000000" w:themeColor="text1"/>
          <w:kern w:val="0"/>
          <w14:ligatures w14:val="none"/>
        </w:rPr>
        <w:t>plastic</w:t>
      </w:r>
      <w:r w:rsidRPr="0063644B">
        <w:rPr>
          <w:rFonts w:ascii="Arial Nova" w:eastAsia="Times New Roman" w:hAnsi="Arial Nova" w:cs="Times New Roman"/>
          <w:color w:val="000000" w:themeColor="text1"/>
          <w:kern w:val="0"/>
          <w14:ligatures w14:val="none"/>
        </w:rPr>
        <w:t xml:space="preserve"> </w:t>
      </w:r>
      <w:r w:rsidR="007C004C">
        <w:rPr>
          <w:rFonts w:ascii="Arial Nova" w:eastAsia="Times New Roman" w:hAnsi="Arial Nova" w:cs="Times New Roman"/>
          <w:color w:val="000000" w:themeColor="text1"/>
          <w:kern w:val="0"/>
          <w14:ligatures w14:val="none"/>
        </w:rPr>
        <w:t>pipettes</w:t>
      </w:r>
      <w:r w:rsidRPr="0063644B">
        <w:rPr>
          <w:rFonts w:ascii="Arial Nova" w:eastAsia="Times New Roman" w:hAnsi="Arial Nova" w:cs="Times New Roman"/>
          <w:color w:val="000000" w:themeColor="text1"/>
          <w:kern w:val="0"/>
          <w14:ligatures w14:val="none"/>
        </w:rPr>
        <w:t xml:space="preserve"> and </w:t>
      </w:r>
      <w:r w:rsidR="007C004C">
        <w:rPr>
          <w:rFonts w:ascii="Arial Nova" w:eastAsia="Times New Roman" w:hAnsi="Arial Nova" w:cs="Times New Roman"/>
          <w:color w:val="000000" w:themeColor="text1"/>
          <w:kern w:val="0"/>
          <w14:ligatures w14:val="none"/>
        </w:rPr>
        <w:t>graduated</w:t>
      </w:r>
      <w:r w:rsidRPr="0063644B">
        <w:rPr>
          <w:rFonts w:ascii="Arial Nova" w:eastAsia="Times New Roman" w:hAnsi="Arial Nova" w:cs="Times New Roman"/>
          <w:color w:val="000000" w:themeColor="text1"/>
          <w:kern w:val="0"/>
          <w14:ligatures w14:val="none"/>
        </w:rPr>
        <w:t xml:space="preserve"> </w:t>
      </w:r>
      <w:r w:rsidR="007C004C">
        <w:rPr>
          <w:rFonts w:ascii="Arial Nova" w:eastAsia="Times New Roman" w:hAnsi="Arial Nova" w:cs="Times New Roman"/>
          <w:color w:val="000000" w:themeColor="text1"/>
          <w:kern w:val="0"/>
          <w14:ligatures w14:val="none"/>
        </w:rPr>
        <w:t>cylinder</w:t>
      </w:r>
      <w:r w:rsidRPr="0063644B">
        <w:rPr>
          <w:rFonts w:ascii="Arial Nova" w:eastAsia="Times New Roman" w:hAnsi="Arial Nova" w:cs="Times New Roman"/>
          <w:color w:val="000000" w:themeColor="text1"/>
          <w:kern w:val="0"/>
          <w14:ligatures w14:val="none"/>
        </w:rPr>
        <w:t xml:space="preserve">: Added to the </w:t>
      </w:r>
      <w:r w:rsidR="00FB4388">
        <w:rPr>
          <w:rFonts w:ascii="Arial Nova" w:eastAsia="Times New Roman" w:hAnsi="Arial Nova" w:cs="Times New Roman"/>
          <w:color w:val="000000" w:themeColor="text1"/>
          <w:kern w:val="0"/>
          <w14:ligatures w14:val="none"/>
        </w:rPr>
        <w:t>Mud</w:t>
      </w:r>
      <w:r w:rsidRPr="0063644B">
        <w:rPr>
          <w:rFonts w:ascii="Arial Nova" w:eastAsia="Times New Roman" w:hAnsi="Arial Nova" w:cs="Times New Roman"/>
          <w:color w:val="000000" w:themeColor="text1"/>
          <w:kern w:val="0"/>
          <w14:ligatures w14:val="none"/>
        </w:rPr>
        <w:t xml:space="preserve"> </w:t>
      </w:r>
      <w:r w:rsidR="00FB4388">
        <w:rPr>
          <w:rFonts w:ascii="Arial Nova" w:eastAsia="Times New Roman" w:hAnsi="Arial Nova" w:cs="Times New Roman"/>
          <w:color w:val="000000" w:themeColor="text1"/>
          <w:kern w:val="0"/>
          <w14:ligatures w14:val="none"/>
        </w:rPr>
        <w:t>Kitchen</w:t>
      </w:r>
      <w:r w:rsidRPr="0063644B">
        <w:rPr>
          <w:rFonts w:ascii="Arial Nova" w:eastAsia="Times New Roman" w:hAnsi="Arial Nova" w:cs="Times New Roman"/>
          <w:color w:val="000000" w:themeColor="text1"/>
          <w:kern w:val="0"/>
          <w14:ligatures w14:val="none"/>
        </w:rPr>
        <w:t xml:space="preserve"> to develop fine motor control and learn scale readings and volume measurements.</w:t>
      </w:r>
    </w:p>
    <w:p w14:paraId="4C57CE0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Magnifying Glasses: Placed near the mortar stations to allow children to observe material textures before and after grinding.</w:t>
      </w:r>
    </w:p>
    <w:p w14:paraId="5F88504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Sieves and Strainers: Added by the wash basin to test separation and filtration of solid particles from the liquid mixture.</w:t>
      </w:r>
    </w:p>
    <w:p w14:paraId="0B7D0DFD" w14:textId="6238C635"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Waterproof Clipboards and Mark-Making Tools: Provided in the reachable distance from children so they could draw recipes, record tally </w:t>
      </w:r>
      <w:r w:rsidR="001E6737" w:rsidRPr="0063644B">
        <w:rPr>
          <w:rFonts w:ascii="Arial Nova" w:eastAsia="Times New Roman" w:hAnsi="Arial Nova" w:cs="Times New Roman"/>
          <w:color w:val="000000" w:themeColor="text1"/>
          <w:kern w:val="0"/>
          <w14:ligatures w14:val="none"/>
        </w:rPr>
        <w:t>marks</w:t>
      </w:r>
      <w:r w:rsidRPr="0063644B">
        <w:rPr>
          <w:rFonts w:ascii="Arial Nova" w:eastAsia="Times New Roman" w:hAnsi="Arial Nova" w:cs="Times New Roman"/>
          <w:color w:val="000000" w:themeColor="text1"/>
          <w:kern w:val="0"/>
          <w14:ligatures w14:val="none"/>
        </w:rPr>
        <w:t xml:space="preserve"> or write numbers.</w:t>
      </w:r>
    </w:p>
    <w:p w14:paraId="578E53FD" w14:textId="47150772"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A38E9C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46D3B1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Curriculum for Wales (Areas of Learning and Experience)</w:t>
      </w:r>
    </w:p>
    <w:p w14:paraId="2D813D0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20FBEB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Science and Technology (Progression Step 1):</w:t>
      </w:r>
    </w:p>
    <w:p w14:paraId="411445A7" w14:textId="011C3D4A"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"I can explore the environment, asking questions and experiencing cause and effect." The children explore the way materials change after grinding, </w:t>
      </w:r>
      <w:r w:rsidR="00D65068" w:rsidRPr="0063644B">
        <w:rPr>
          <w:rFonts w:ascii="Arial Nova" w:eastAsia="Times New Roman" w:hAnsi="Arial Nova" w:cs="Times New Roman"/>
          <w:color w:val="000000" w:themeColor="text1"/>
          <w:kern w:val="0"/>
          <w14:ligatures w14:val="none"/>
        </w:rPr>
        <w:t>mixing</w:t>
      </w:r>
      <w:r w:rsidR="00563652">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and saturation.</w:t>
      </w:r>
    </w:p>
    <w:p w14:paraId="41C0E2F9" w14:textId="648AEF2D"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"I can recognize the properties of materials and how they can be changed." This step is achieved through active exploration of water, dry </w:t>
      </w:r>
      <w:r w:rsidR="00D65068" w:rsidRPr="0063644B">
        <w:rPr>
          <w:rFonts w:ascii="Arial Nova" w:eastAsia="Times New Roman" w:hAnsi="Arial Nova" w:cs="Times New Roman"/>
          <w:color w:val="000000" w:themeColor="text1"/>
          <w:kern w:val="0"/>
          <w14:ligatures w14:val="none"/>
        </w:rPr>
        <w:t>leaves</w:t>
      </w:r>
      <w:r w:rsidR="00A278F5">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and soil.</w:t>
      </w:r>
    </w:p>
    <w:p w14:paraId="1FD032F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Mathematics and Numeracy (Progression Step 1):</w:t>
      </w:r>
    </w:p>
    <w:p w14:paraId="1140E72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 can use standard and non-standard units to estimate, measure and compare volume, capacity and mass." The children learn measuring and comparing volume of the containers and mass of different materials.</w:t>
      </w:r>
    </w:p>
    <w:p w14:paraId="693F46EB" w14:textId="77777777" w:rsidR="00C16251" w:rsidRDefault="00C16251" w:rsidP="003632E9">
      <w:pPr>
        <w:spacing w:after="0" w:line="240" w:lineRule="auto"/>
        <w:rPr>
          <w:rFonts w:ascii="Arial Nova" w:eastAsia="Times New Roman" w:hAnsi="Arial Nova" w:cs="Times New Roman"/>
          <w:color w:val="000000" w:themeColor="text1"/>
          <w:kern w:val="0"/>
          <w14:ligatures w14:val="none"/>
        </w:rPr>
      </w:pPr>
    </w:p>
    <w:p w14:paraId="01F0BBCE" w14:textId="198A49D6"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Curriculum for Non-Maintained Early Years Settings</w:t>
      </w:r>
    </w:p>
    <w:p w14:paraId="0B619240"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9344E8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Belonging and Exploring: The outdoor environment inspires awe, wonder and curiosity, allowing children to guide their own learning through sensory exploration.</w:t>
      </w:r>
    </w:p>
    <w:p w14:paraId="5A66DEC6" w14:textId="77777777" w:rsidR="00950075" w:rsidRDefault="00950075" w:rsidP="003632E9">
      <w:pPr>
        <w:spacing w:after="0" w:line="240" w:lineRule="auto"/>
        <w:rPr>
          <w:rFonts w:ascii="Arial Nova" w:eastAsia="Times New Roman" w:hAnsi="Arial Nova" w:cs="Times New Roman"/>
          <w:color w:val="000000" w:themeColor="text1"/>
          <w:kern w:val="0"/>
          <w14:ligatures w14:val="none"/>
        </w:rPr>
      </w:pPr>
    </w:p>
    <w:p w14:paraId="26B4B6F9" w14:textId="3127AEBA"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Part 2: Risk-Benefit Assessment</w:t>
      </w:r>
    </w:p>
    <w:p w14:paraId="7DDC2C4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29B4DA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1. Clear Glass Bottles &amp; Jars (Potions Lab Counter)</w:t>
      </w:r>
    </w:p>
    <w:p w14:paraId="1AFEB97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91CD94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lastRenderedPageBreak/>
        <w:t>Potential Hazards: Shattered when dropped on hard ground; cutting or piercing injury from sharp glass edges.</w:t>
      </w:r>
    </w:p>
    <w:p w14:paraId="22C75BB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Initial Risk Level: Medium</w:t>
      </w:r>
    </w:p>
    <w:p w14:paraId="55176CA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Developmental &amp; Learning Opportunities: Teach physical care and self-regulation while working with delicate equipment; provide realistic transparency for exploring mixtures and behavior of liquids.</w:t>
      </w:r>
    </w:p>
    <w:p w14:paraId="7EB01A5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Risk Management and Mitigation Strategies: Choose thick tempered glass or durable clear acrylic bottles. Ground the area with wood chips to absorb the drop. Set clear boundaries: "Use two hands on the bottles. Keep them on the counter." Daily inspection of the equipment by the practitioner to remove hazardous items.</w:t>
      </w:r>
    </w:p>
    <w:p w14:paraId="44EF1CA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Residual Risk Level: Low</w:t>
      </w:r>
    </w:p>
    <w:p w14:paraId="4A8B902A" w14:textId="77777777" w:rsidR="00553A27" w:rsidRDefault="00553A27" w:rsidP="003632E9">
      <w:pPr>
        <w:spacing w:after="0" w:line="240" w:lineRule="auto"/>
        <w:rPr>
          <w:rFonts w:ascii="Arial Nova" w:eastAsia="Times New Roman" w:hAnsi="Arial Nova" w:cs="Times New Roman"/>
          <w:color w:val="000000" w:themeColor="text1"/>
          <w:kern w:val="0"/>
          <w14:ligatures w14:val="none"/>
        </w:rPr>
      </w:pPr>
    </w:p>
    <w:p w14:paraId="242AEA31" w14:textId="2C4412A2"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2. Standing and Flowing Water (Sink Basin and Jugs)</w:t>
      </w:r>
    </w:p>
    <w:p w14:paraId="1D67242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18E1E70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Potential Hazards: Slips from water spilled on the ground; ingestion of the stagnant water; wet cold clothes causing discomfort.</w:t>
      </w:r>
    </w:p>
    <w:p w14:paraId="2D688D4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Initial Risk Level: Medium</w:t>
      </w:r>
    </w:p>
    <w:p w14:paraId="1F0083D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Developmental &amp; Learning Opportunities: Develop spatial awareness, fluid dynamics, volume comparison and sensory perception; teach problem-solving around volume.</w:t>
      </w:r>
    </w:p>
    <w:p w14:paraId="71CE4E3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Risk Management and Mitigation Strategies: Refill the sink basin daily with tap water. Keep bark-chip ground around the sink to absorb spills and prevent wet, slippery mud pools. Provide puddle suits and wellingtons for children. Maintain clean towels for quick water spills cleaning.</w:t>
      </w:r>
    </w:p>
    <w:p w14:paraId="129B1A3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Residual Risk Level: Low</w:t>
      </w:r>
    </w:p>
    <w:p w14:paraId="4C32D18D" w14:textId="77777777" w:rsidR="00553A27" w:rsidRDefault="00553A27" w:rsidP="003632E9">
      <w:pPr>
        <w:spacing w:after="0" w:line="240" w:lineRule="auto"/>
        <w:rPr>
          <w:rFonts w:ascii="Arial Nova" w:eastAsia="Times New Roman" w:hAnsi="Arial Nova" w:cs="Times New Roman"/>
          <w:color w:val="000000" w:themeColor="text1"/>
          <w:kern w:val="0"/>
          <w14:ligatures w14:val="none"/>
        </w:rPr>
      </w:pPr>
    </w:p>
    <w:p w14:paraId="6348F35D" w14:textId="672687C0"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3. Pestle, Mortars and Metal Utensils</w:t>
      </w:r>
    </w:p>
    <w:p w14:paraId="00AD12A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AB1384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Potential Hazards: Impact injuries (pinched fingers or falling heavy things); misusing utensils as tools for hitting.</w:t>
      </w:r>
    </w:p>
    <w:p w14:paraId="4BC9E58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Initial Risk Level: Low-Medium</w:t>
      </w:r>
    </w:p>
    <w:p w14:paraId="1B780FB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Developmental &amp; Learning Opportunities: Develop physical strength and fine motor control; learn force application principles; enhance dramatic play with the help of real kitchen utensils.</w:t>
      </w:r>
    </w:p>
    <w:p w14:paraId="67FF347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Risk Management and Mitigation Strategies: Place mortars and pestles on low wooden tables to minimize the fall heights. Maintain continuous practitioner supervision to guide tool use. Keep heavy utensils on low shelves so children wouldn't try to get them from overhead.</w:t>
      </w:r>
    </w:p>
    <w:p w14:paraId="448CD5C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Residual Risk Level: Low</w:t>
      </w:r>
    </w:p>
    <w:p w14:paraId="4A3E0F94" w14:textId="77777777" w:rsidR="00553A27" w:rsidRDefault="00553A27" w:rsidP="003632E9">
      <w:pPr>
        <w:spacing w:after="0" w:line="240" w:lineRule="auto"/>
        <w:rPr>
          <w:rFonts w:ascii="Arial Nova" w:eastAsia="Times New Roman" w:hAnsi="Arial Nova" w:cs="Times New Roman"/>
          <w:color w:val="000000" w:themeColor="text1"/>
          <w:kern w:val="0"/>
          <w14:ligatures w14:val="none"/>
        </w:rPr>
      </w:pPr>
    </w:p>
    <w:p w14:paraId="69F1381C" w14:textId="549DF14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4. Foraged Natural Materials (Leaves, Soil, Pinecones)</w:t>
      </w:r>
    </w:p>
    <w:p w14:paraId="660272B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6F6FF6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Potential Hazards: Ingestion of inedible plants or bacteria from soil; eye irritation caused by soil dust.</w:t>
      </w:r>
    </w:p>
    <w:p w14:paraId="4CB15CC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Initial Risk Level: Medium</w:t>
      </w:r>
    </w:p>
    <w:p w14:paraId="4B41EF6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Developmental &amp; Learning Opportunities: Link children with natural seasonal changes and biodiversity; develop ability to tactilely classify biological materials.</w:t>
      </w:r>
    </w:p>
    <w:p w14:paraId="3B8A0E7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Risk Management and Mitigation Strategies: Conduct daily inspection of the site for poisonous plants, animal feces or sharp debris. Provide hygiene rules: "Mud kitchen </w:t>
      </w:r>
      <w:r w:rsidRPr="0063644B">
        <w:rPr>
          <w:rFonts w:ascii="Arial Nova" w:eastAsia="Times New Roman" w:hAnsi="Arial Nova" w:cs="Times New Roman"/>
          <w:color w:val="000000" w:themeColor="text1"/>
          <w:kern w:val="0"/>
          <w14:ligatures w14:val="none"/>
        </w:rPr>
        <w:lastRenderedPageBreak/>
        <w:t>creations are for play, not eating." Insist on mandatory hand washing with soap and water after outdoor activities.</w:t>
      </w:r>
    </w:p>
    <w:p w14:paraId="3A59F97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Residual Risk Level: Low</w:t>
      </w:r>
    </w:p>
    <w:p w14:paraId="7569CCDA" w14:textId="77777777" w:rsidR="00553A27" w:rsidRDefault="00553A27" w:rsidP="003632E9">
      <w:pPr>
        <w:spacing w:after="0" w:line="240" w:lineRule="auto"/>
        <w:rPr>
          <w:rFonts w:ascii="Arial Nova" w:eastAsia="Times New Roman" w:hAnsi="Arial Nova" w:cs="Times New Roman"/>
          <w:color w:val="000000" w:themeColor="text1"/>
          <w:kern w:val="0"/>
          <w14:ligatures w14:val="none"/>
        </w:rPr>
      </w:pPr>
    </w:p>
    <w:p w14:paraId="28C35AD0" w14:textId="49E871FD"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5. Low Hanging Roof Structures (Thatched Canopy)</w:t>
      </w:r>
    </w:p>
    <w:p w14:paraId="697FB39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31922A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Potential Hazards: Head bumps for tall children or adults; eyes poked by stray straw fibers.</w:t>
      </w:r>
    </w:p>
    <w:p w14:paraId="56547F5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Initial Risk Level: Low</w:t>
      </w:r>
    </w:p>
    <w:p w14:paraId="02A54E4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Developmental &amp; Learning Opportunities: Provide enclosed scale-appropriate space encouraging security and imagination.</w:t>
      </w:r>
    </w:p>
    <w:p w14:paraId="1AB892F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Risk Management and Mitigation Strategies: Regular inspection of thatched roof for loose straw or pointed sticks. Trimming the thatch above eye level of the children. Keeping clear sightlines for supervisors.</w:t>
      </w:r>
    </w:p>
    <w:p w14:paraId="35EB0F2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Residual Risk Level: Low</w:t>
      </w:r>
    </w:p>
    <w:p w14:paraId="15B0706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Part 3: Theoretical and Critical Evaluation</w:t>
      </w:r>
    </w:p>
    <w:p w14:paraId="2CD6071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9DA38F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Introduction</w:t>
      </w:r>
    </w:p>
    <w:p w14:paraId="33C77BF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6EBD40E" w14:textId="58C0A15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During recent decades, outdoor environments transformed from the place for physical activity to the critical teaching setting for inquiry, mathematical reasoning and scientific discovery (Bilton, 2010). Outdoor environments provide unique environmental qualities. Scale, freedom, sensory richness and </w:t>
      </w:r>
      <w:r w:rsidR="00E05840" w:rsidRPr="0063644B">
        <w:rPr>
          <w:rFonts w:ascii="Arial Nova" w:eastAsia="Times New Roman" w:hAnsi="Arial Nova" w:cs="Times New Roman"/>
          <w:color w:val="000000" w:themeColor="text1"/>
          <w:kern w:val="0"/>
          <w14:ligatures w14:val="none"/>
        </w:rPr>
        <w:t>unpredictability that</w:t>
      </w:r>
      <w:r w:rsidRPr="0063644B">
        <w:rPr>
          <w:rFonts w:ascii="Arial Nova" w:eastAsia="Times New Roman" w:hAnsi="Arial Nova" w:cs="Times New Roman"/>
          <w:color w:val="000000" w:themeColor="text1"/>
          <w:kern w:val="0"/>
          <w14:ligatures w14:val="none"/>
        </w:rPr>
        <w:t xml:space="preserve"> can't be reproduced inside (Maynard and Waters, 2007).</w:t>
      </w:r>
    </w:p>
    <w:p w14:paraId="2032D35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8E2513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This evaluation aims to discuss how adults working in early childhood education can promote, facilitate and enrich children's engagement with mathematical and scientific concepts through outdoor settings like the Mud Kitchen and Potions Lab. It includes the analysis of important theoretical perspectives, affordance, loose parts theory, pedagogical strategies like Sustained Shared Thinking and barriers limiting outdoor learning.</w:t>
      </w:r>
    </w:p>
    <w:p w14:paraId="7D51EBE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AD365E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 Outdoor Environment as the "Third Teacher" and the Theory of Affordance</w:t>
      </w:r>
    </w:p>
    <w:p w14:paraId="2AF9A4F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63B55B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According to the Reggio Emilia approach to early education, the physical environment is considered as the "third teacher" (alongside parents and educators) and represents the belief that purposefully designed environment triggers curiosity and guides children (Malaguzzi, 1998). In the chosen Potions Lab setting, arrangement of transparent containers, hanging utensils and open wooden workstations acts as an invitation to experimentation.</w:t>
      </w:r>
    </w:p>
    <w:p w14:paraId="6D5495E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108079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Interaction between the child and the environment is explained by the James Gibson’s (1979) Theory of Affordance. Affordance is defined as the action potentials physically offered by environment or object. The outdoor environment, enriched with natural and open-ended materials, provides high level of "functional affordance" (Kyttä, 2002).</w:t>
      </w:r>
    </w:p>
    <w:p w14:paraId="0C177CE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C1E7B7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lastRenderedPageBreak/>
        <w:t>Unlike the indoor single-purpose plastic toys with fixed functions, the outdoor Mud Kitchen provides versatile affordances. Soil can be dry powder, moldable clay or liquid mud, leaves can be sorted by size, crushed into powder or used as non-standard measuring tools. The adults can maximize affordances by intentionally designing the environment with a variety of textures and tools provoking children's mathematical and scientific investigations.</w:t>
      </w:r>
    </w:p>
    <w:p w14:paraId="3874234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A7A55E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Theoretical Foundations of Early Science and Mathematics Play</w:t>
      </w:r>
    </w:p>
    <w:p w14:paraId="223E431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9A1218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Constructivism: Piaget and Physical Knowledge</w:t>
      </w:r>
    </w:p>
    <w:p w14:paraId="458FECC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D7BFCC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 constructivist theory by Jean Piaget (1953) claims that knowledge is constructed by the child through the direct physical manipulation of the environment. The constructivist theory distinguishes three types of knowledge, physical, logical-mathematical and social-conventional. Physical knowledge is gained when children manipulate objects and observe the reaction e.g. watch the liquid flowing through the funnel or transformation of soil saturated with water.</w:t>
      </w:r>
    </w:p>
    <w:p w14:paraId="589DB17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4AD10A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Logical-mathematical knowledge arises when children reflect on their actions and establish relations comparative size ("this bowl can hold more than that beaker"), classification ("these leaves are smooth, those are rough"), and mass conservation. The outdoor Mud Kitchen acts as the hands-on laboratory, where children can experiment with materials and refine their mental schemas.</w:t>
      </w:r>
    </w:p>
    <w:p w14:paraId="6E64668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1CBF1C8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Social Constructivism: Vygotsky and Zone of Proximal Development</w:t>
      </w:r>
    </w:p>
    <w:p w14:paraId="6AB6DAE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03F9E5E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Whereas Piaget focused on the individual exploration, Lev Vygotsky (1978) claimed that cognitive development is fundamentally dependent on social interaction and cultural mediation. Vygotsky introduced the notion of the Zone of Proximal Development (ZPD), which represents the gap between what a learner can achieve independently and what he can achieve under the guidance of a More Knowledgeable Other (MKO).</w:t>
      </w:r>
    </w:p>
    <w:p w14:paraId="24F4C78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D9730E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 the outdoor laboratory, the adult acts as the MKO by scaffolding learning. Scaffolding means providing the learner with targeted vocabulary, posing open-ended questions and introducing physical tools that help to extend the thinking. When the child notices that soil absorbs water until it reaches the certain point and starts to puddle, the adult can introduce scientific concepts like "saturation", "absorption", or "solution". By providing targeted vocabulary during play, the adult helps to bridge practical experience and abstract concepts.</w:t>
      </w:r>
    </w:p>
    <w:p w14:paraId="0C3BE3D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0A155DF"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Loose Parts Theory and Open-Ended Exploration</w:t>
      </w:r>
    </w:p>
    <w:p w14:paraId="78683BE0"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1CE07E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Simon Nicholson (1971) Theory of Loose Parts states that the degree of inventiveness of the environment depends on the number and variability of materials in it. The loose parts are the objects that can be moved, combined, re-designed, lined up and taken apart.</w:t>
      </w:r>
    </w:p>
    <w:p w14:paraId="6812B2D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CA528BE" w14:textId="588F49BC"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lastRenderedPageBreak/>
        <w:t>In the chosen setting, natural loose parts (leaves, bark, pinecones, water, soil) are combined with open-ended tools (beakers, mortar and pestles, spray bottles, balance scales). According to Daly and Beloglovsky (2015), loose parts are inherently inclusive and foster mathematical explorations. Since loose parts don't have a predetermined function, children decide about it themselves</w:t>
      </w:r>
      <w:r w:rsidR="0049254F">
        <w:rPr>
          <w:rFonts w:ascii="Arial Nova" w:eastAsia="Times New Roman" w:hAnsi="Arial Nova" w:cs="Times New Roman"/>
          <w:color w:val="000000" w:themeColor="text1"/>
          <w:kern w:val="0"/>
          <w14:ligatures w14:val="none"/>
        </w:rPr>
        <w:t xml:space="preserve">, </w:t>
      </w:r>
      <w:r w:rsidR="00D255EA">
        <w:rPr>
          <w:rFonts w:ascii="Arial Nova" w:eastAsia="Times New Roman" w:hAnsi="Arial Nova" w:cs="Times New Roman"/>
          <w:color w:val="000000" w:themeColor="text1"/>
          <w:kern w:val="0"/>
          <w14:ligatures w14:val="none"/>
        </w:rPr>
        <w:t>the set</w:t>
      </w:r>
      <w:r w:rsidRPr="0063644B">
        <w:rPr>
          <w:rFonts w:ascii="Arial Nova" w:eastAsia="Times New Roman" w:hAnsi="Arial Nova" w:cs="Times New Roman"/>
          <w:color w:val="000000" w:themeColor="text1"/>
          <w:kern w:val="0"/>
          <w14:ligatures w14:val="none"/>
        </w:rPr>
        <w:t xml:space="preserve"> of pinecones can be sorted by size, counted, used as weights on balance scales or as ingredients for the potion.</w:t>
      </w:r>
      <w:r w:rsidR="00C27F93">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Water can be measured by volume, used as a solvent or tested for its fluid dynamics.</w:t>
      </w:r>
      <w:r w:rsidR="00C27F93">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Adults can enrich this play by organizing and introducing diverse loose parts according to the interest of the children. Organizing materials accessibly sends a message to children that they have autonomy of scientific explorations.</w:t>
      </w:r>
    </w:p>
    <w:p w14:paraId="5718D82A" w14:textId="4F3E830D"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 </w:t>
      </w:r>
    </w:p>
    <w:p w14:paraId="6F29A69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BE9A95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Intentional Observation</w:t>
      </w:r>
    </w:p>
    <w:p w14:paraId="3E11E2B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F327EB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Effective early years pedagogy outdoors needs a balanced approach between intervention and observation (Broadhead, 2004). Intervention can distract children and disrupt their concentration and internal problem solving.</w:t>
      </w:r>
    </w:p>
    <w:p w14:paraId="5F33E0D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4464278" w14:textId="0F24E062"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Observation helps to identify play </w:t>
      </w:r>
      <w:r w:rsidR="00C65803" w:rsidRPr="0063644B">
        <w:rPr>
          <w:rFonts w:ascii="Arial Nova" w:eastAsia="Times New Roman" w:hAnsi="Arial Nova" w:cs="Times New Roman"/>
          <w:color w:val="000000" w:themeColor="text1"/>
          <w:kern w:val="0"/>
          <w14:ligatures w14:val="none"/>
        </w:rPr>
        <w:t>schemas, repetitive</w:t>
      </w:r>
      <w:r w:rsidRPr="0063644B">
        <w:rPr>
          <w:rFonts w:ascii="Arial Nova" w:eastAsia="Times New Roman" w:hAnsi="Arial Nova" w:cs="Times New Roman"/>
          <w:color w:val="000000" w:themeColor="text1"/>
          <w:kern w:val="0"/>
          <w14:ligatures w14:val="none"/>
        </w:rPr>
        <w:t xml:space="preserve"> patterns of behaviours through which children learn (Athy, 2006). For example, when the child repetitively fills and empties containers, he explores the containing or transforming schema. Recognizing it helps to introduce the appropriate tools e.g. funnels or measuring </w:t>
      </w:r>
      <w:r w:rsidR="00C65803" w:rsidRPr="0063644B">
        <w:rPr>
          <w:rFonts w:ascii="Arial Nova" w:eastAsia="Times New Roman" w:hAnsi="Arial Nova" w:cs="Times New Roman"/>
          <w:color w:val="000000" w:themeColor="text1"/>
          <w:kern w:val="0"/>
          <w14:ligatures w14:val="none"/>
        </w:rPr>
        <w:t>cylinders that</w:t>
      </w:r>
      <w:r w:rsidRPr="0063644B">
        <w:rPr>
          <w:rFonts w:ascii="Arial Nova" w:eastAsia="Times New Roman" w:hAnsi="Arial Nova" w:cs="Times New Roman"/>
          <w:color w:val="000000" w:themeColor="text1"/>
          <w:kern w:val="0"/>
          <w14:ligatures w14:val="none"/>
        </w:rPr>
        <w:t xml:space="preserve"> will extend mathematical thinking without interrupting play.</w:t>
      </w:r>
    </w:p>
    <w:p w14:paraId="7670DAA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281D39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Sustained Shared Thinking (SST)</w:t>
      </w:r>
    </w:p>
    <w:p w14:paraId="299F69A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3A3FF2E" w14:textId="1F14A75E"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 xml:space="preserve">As </w:t>
      </w:r>
      <w:r w:rsidR="00405C9A">
        <w:rPr>
          <w:rFonts w:ascii="Arial Nova" w:eastAsia="Times New Roman" w:hAnsi="Arial Nova" w:cs="Times New Roman"/>
          <w:color w:val="000000" w:themeColor="text1"/>
          <w:kern w:val="0"/>
          <w14:ligatures w14:val="none"/>
        </w:rPr>
        <w:t xml:space="preserve">found </w:t>
      </w:r>
      <w:r w:rsidRPr="0063644B">
        <w:rPr>
          <w:rFonts w:ascii="Arial Nova" w:eastAsia="Times New Roman" w:hAnsi="Arial Nova" w:cs="Times New Roman"/>
          <w:color w:val="000000" w:themeColor="text1"/>
          <w:kern w:val="0"/>
          <w14:ligatures w14:val="none"/>
        </w:rPr>
        <w:t xml:space="preserve">by the </w:t>
      </w:r>
      <w:r w:rsidR="00405C9A">
        <w:rPr>
          <w:rFonts w:ascii="Arial Nova" w:eastAsia="Times New Roman" w:hAnsi="Arial Nova" w:cs="Times New Roman"/>
          <w:color w:val="000000" w:themeColor="text1"/>
          <w:kern w:val="0"/>
          <w14:ligatures w14:val="none"/>
        </w:rPr>
        <w:t>r</w:t>
      </w:r>
      <w:r w:rsidRPr="0063644B">
        <w:rPr>
          <w:rFonts w:ascii="Arial Nova" w:eastAsia="Times New Roman" w:hAnsi="Arial Nova" w:cs="Times New Roman"/>
          <w:color w:val="000000" w:themeColor="text1"/>
          <w:kern w:val="0"/>
          <w14:ligatures w14:val="none"/>
        </w:rPr>
        <w:t>esearching Effective Pedagogy in the Early Years (REPEY) study (Siraj-Blatchford et al., 2002), Sustained Shared Thinking (SST) is one of the key indicators of high-quality early childhood provision. SST means a collaborative effort of two or more people to solve a problem, clarify a concept or evaluate the idea.</w:t>
      </w:r>
    </w:p>
    <w:p w14:paraId="258182A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47EB6B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 the outdoor mud kitchen, the SST can arise through genuine adult curiosity and dialogue.</w:t>
      </w:r>
    </w:p>
    <w:p w14:paraId="3C35114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AE3C50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Instead of posing questions with known answers ("What color is this leaf?"), the adult poses open-ended questions: "I wonder what will happen if we add three scoops of dry sand to this liquid?" or "How can we figure out which jar holds more water?"</w:t>
      </w:r>
    </w:p>
    <w:p w14:paraId="6F0B66C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These interactions encourage meta-cognition and make children explain their thoughts, make predictions, test hypotheses and evaluate outcomes.</w:t>
      </w:r>
    </w:p>
    <w:p w14:paraId="2372BF14"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Barriers, Challenges and Professional Mitigation</w:t>
      </w:r>
    </w:p>
    <w:p w14:paraId="0419339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5DBF83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Though there are many benefits of outdoor learning, several challenges can influence practice.</w:t>
      </w:r>
    </w:p>
    <w:p w14:paraId="72CE858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7E5C90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1. Risk Aversion and Societal Anxiety</w:t>
      </w:r>
    </w:p>
    <w:p w14:paraId="455D55A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28ACA2BE"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One of the major challenges for the current practice is risk aversion and fear of litigation, which can push settings to over-sanitize the outdoor play (Gill, 2007).</w:t>
      </w:r>
    </w:p>
    <w:p w14:paraId="01EC252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B59D947"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However, according to Sandseter (2007), children need risky play to learn risk assessment, spatial awareness and confidence. Instead of focusing on the hazards, the shift to the balanced Risk-Benefit Assessment (RBA) focuses on managing the risk so the child could access the developmental benefits. Handling real glass bottles or heavy pestles teaches self-regulation and material respect.</w:t>
      </w:r>
    </w:p>
    <w:p w14:paraId="20F154A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549960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2. Weather and Cleanliness Concerns</w:t>
      </w:r>
    </w:p>
    <w:p w14:paraId="530DAB6A"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E75DAA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Weather conditions and concerns over dirt or ruined clothes can often limit mud play (Tovey, 2017). Besides, attitudes of practitioners are also crucial; practitioner who distances himself from wet and dirty environment can transmit negative attitudes.</w:t>
      </w:r>
    </w:p>
    <w:p w14:paraId="1A52D82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773BC1B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Mitigating this challenge requires setting-wide commitment: establishing the policy providing waterproof puddle suits and wellingtons for children and practitioners. Informing parents about sensory and cognitive benefits of mud play reframes messy outdoor play as valuable learning.</w:t>
      </w:r>
    </w:p>
    <w:p w14:paraId="4A843A83"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4DC59F1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3. Formal Academic Pressure</w:t>
      </w:r>
    </w:p>
    <w:p w14:paraId="3175E81D"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13566C71"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Academic pressure to achieve formal literacy and numeracy targets can result in "schoolification", inappropriately introducing formal academic paper-based instruction in the early childhood settings (OECD, 2006).</w:t>
      </w:r>
    </w:p>
    <w:p w14:paraId="758ADE99"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B8A9295"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Early childhood educators need to advocate for play-based frameworks like the Curriculum for Wales. Real understanding of mathematical and scientific concepts arises through practical sensory experience with capacity, volume, mass and material transformation long before any recording.</w:t>
      </w:r>
    </w:p>
    <w:p w14:paraId="3E2659D6"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0513C62"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Conclusion</w:t>
      </w:r>
    </w:p>
    <w:p w14:paraId="27866D0B"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6B1218FC"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Outdoor Mud Kitchen and Potions Lab offers a wonderful place to nurture mathematical and scientific thinking skills in young children. Children engaging in grinding leaves, measuring fluids, weighing mud, and observing changes in materials are doing science and math.</w:t>
      </w:r>
    </w:p>
    <w:p w14:paraId="30555B28"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5596DEAD" w14:textId="26E677A5"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r w:rsidRPr="0063644B">
        <w:rPr>
          <w:rFonts w:ascii="Arial Nova" w:eastAsia="Times New Roman" w:hAnsi="Arial Nova" w:cs="Times New Roman"/>
          <w:color w:val="000000" w:themeColor="text1"/>
          <w:kern w:val="0"/>
          <w14:ligatures w14:val="none"/>
        </w:rPr>
        <w:t>The educational benefits of such areas depend on how the educator makes use of them. Educators need to observe carefully, support the learning process with Sustained Shared Thinking, offer loose parts for exploration</w:t>
      </w:r>
      <w:r w:rsidR="00F16899">
        <w:rPr>
          <w:rFonts w:ascii="Arial Nova" w:eastAsia="Times New Roman" w:hAnsi="Arial Nova" w:cs="Times New Roman"/>
          <w:color w:val="000000" w:themeColor="text1"/>
          <w:kern w:val="0"/>
          <w14:ligatures w14:val="none"/>
        </w:rPr>
        <w:t xml:space="preserve"> </w:t>
      </w:r>
      <w:r w:rsidRPr="0063644B">
        <w:rPr>
          <w:rFonts w:ascii="Arial Nova" w:eastAsia="Times New Roman" w:hAnsi="Arial Nova" w:cs="Times New Roman"/>
          <w:color w:val="000000" w:themeColor="text1"/>
          <w:kern w:val="0"/>
          <w14:ligatures w14:val="none"/>
        </w:rPr>
        <w:t>and manage the risk with balanced approaches.</w:t>
      </w:r>
    </w:p>
    <w:p w14:paraId="17E98830" w14:textId="77777777" w:rsidR="003632E9" w:rsidRPr="0063644B" w:rsidRDefault="003632E9" w:rsidP="003632E9">
      <w:pPr>
        <w:spacing w:after="0" w:line="240" w:lineRule="auto"/>
        <w:rPr>
          <w:rFonts w:ascii="Arial Nova" w:eastAsia="Times New Roman" w:hAnsi="Arial Nova" w:cs="Times New Roman"/>
          <w:color w:val="000000" w:themeColor="text1"/>
          <w:kern w:val="0"/>
          <w14:ligatures w14:val="none"/>
        </w:rPr>
      </w:pPr>
    </w:p>
    <w:p w14:paraId="3F553E05"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5CBCF601"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3DB0EA0C"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3EF69B3A"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46C79143"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6D3A2311"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060C1FC5" w14:textId="77777777" w:rsidR="00816DF1" w:rsidRDefault="00816DF1" w:rsidP="003632E9">
      <w:pPr>
        <w:spacing w:after="224" w:line="240" w:lineRule="auto"/>
        <w:rPr>
          <w:rFonts w:ascii="Arial Nova" w:hAnsi="Arial Nova" w:cs="Times New Roman"/>
          <w:b/>
          <w:bCs/>
          <w:color w:val="000000" w:themeColor="text1"/>
          <w:kern w:val="0"/>
          <w14:ligatures w14:val="none"/>
        </w:rPr>
      </w:pPr>
    </w:p>
    <w:p w14:paraId="751A5E25" w14:textId="6A6028DA" w:rsidR="003632E9" w:rsidRPr="00873764" w:rsidRDefault="003632E9" w:rsidP="003632E9">
      <w:pPr>
        <w:spacing w:after="224" w:line="240" w:lineRule="auto"/>
        <w:rPr>
          <w:rFonts w:ascii="Arial Nova" w:hAnsi="Arial Nova" w:cs="Times New Roman"/>
          <w:b/>
          <w:bCs/>
          <w:color w:val="000000" w:themeColor="text1"/>
          <w:kern w:val="0"/>
          <w14:ligatures w14:val="none"/>
        </w:rPr>
      </w:pPr>
      <w:r w:rsidRPr="00873764">
        <w:rPr>
          <w:rFonts w:ascii="Arial Nova" w:hAnsi="Arial Nova" w:cs="Times New Roman"/>
          <w:b/>
          <w:bCs/>
          <w:color w:val="000000" w:themeColor="text1"/>
          <w:kern w:val="0"/>
          <w14:ligatures w14:val="none"/>
        </w:rPr>
        <w:t>Reference List</w:t>
      </w:r>
    </w:p>
    <w:p w14:paraId="4F05A850" w14:textId="77777777" w:rsidR="004A42AA" w:rsidRPr="00873764" w:rsidRDefault="004A42AA">
      <w:pPr>
        <w:pStyle w:val="p1"/>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Athy, E. (2006). </w:t>
      </w:r>
      <w:r w:rsidRPr="00873764">
        <w:rPr>
          <w:rStyle w:val="s2"/>
          <w:rFonts w:ascii="Arial Nova" w:hAnsi="Arial Nova"/>
          <w:b w:val="0"/>
          <w:bCs w:val="0"/>
          <w:sz w:val="24"/>
          <w:szCs w:val="24"/>
        </w:rPr>
        <w:t>Supporting Schema in Young Children: A Guide for Practitioners</w:t>
      </w:r>
      <w:r w:rsidRPr="00873764">
        <w:rPr>
          <w:rStyle w:val="s1"/>
          <w:rFonts w:ascii="Arial Nova" w:hAnsi="Arial Nova"/>
          <w:b w:val="0"/>
          <w:bCs w:val="0"/>
          <w:sz w:val="24"/>
          <w:szCs w:val="24"/>
        </w:rPr>
        <w:t>. London: Paul Chapman Publishing.</w:t>
      </w:r>
    </w:p>
    <w:p w14:paraId="2716E2CD"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Bilton, H. (2010). </w:t>
      </w:r>
      <w:r w:rsidRPr="00873764">
        <w:rPr>
          <w:rStyle w:val="s2"/>
          <w:rFonts w:ascii="Arial Nova" w:hAnsi="Arial Nova"/>
          <w:b w:val="0"/>
          <w:bCs w:val="0"/>
          <w:sz w:val="24"/>
          <w:szCs w:val="24"/>
        </w:rPr>
        <w:t>Outdoor Learning in the Early Years: Management and Innovation</w:t>
      </w:r>
      <w:r w:rsidRPr="00873764">
        <w:rPr>
          <w:rStyle w:val="s1"/>
          <w:rFonts w:ascii="Arial Nova" w:hAnsi="Arial Nova"/>
          <w:b w:val="0"/>
          <w:bCs w:val="0"/>
          <w:sz w:val="24"/>
          <w:szCs w:val="24"/>
        </w:rPr>
        <w:t>. 3rd edn. London: Routledge.</w:t>
      </w:r>
    </w:p>
    <w:p w14:paraId="34078EDE"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Broadhead, P. (2004). </w:t>
      </w:r>
      <w:r w:rsidRPr="00873764">
        <w:rPr>
          <w:rStyle w:val="s2"/>
          <w:rFonts w:ascii="Arial Nova" w:hAnsi="Arial Nova"/>
          <w:b w:val="0"/>
          <w:bCs w:val="0"/>
          <w:sz w:val="24"/>
          <w:szCs w:val="24"/>
        </w:rPr>
        <w:t>Early Years Play and Learning: Developing Social Skills and Cooperation</w:t>
      </w:r>
      <w:r w:rsidRPr="00873764">
        <w:rPr>
          <w:rStyle w:val="s1"/>
          <w:rFonts w:ascii="Arial Nova" w:hAnsi="Arial Nova"/>
          <w:b w:val="0"/>
          <w:bCs w:val="0"/>
          <w:sz w:val="24"/>
          <w:szCs w:val="24"/>
        </w:rPr>
        <w:t>. London: RoutledgeFalmer.</w:t>
      </w:r>
    </w:p>
    <w:p w14:paraId="21009D90"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Daly, L. and Beloglovsky, M. (2015). </w:t>
      </w:r>
      <w:r w:rsidRPr="00873764">
        <w:rPr>
          <w:rStyle w:val="s2"/>
          <w:rFonts w:ascii="Arial Nova" w:hAnsi="Arial Nova"/>
          <w:b w:val="0"/>
          <w:bCs w:val="0"/>
          <w:sz w:val="24"/>
          <w:szCs w:val="24"/>
        </w:rPr>
        <w:t>Loose Parts: Inspiring Play in Young Children</w:t>
      </w:r>
      <w:r w:rsidRPr="00873764">
        <w:rPr>
          <w:rStyle w:val="s1"/>
          <w:rFonts w:ascii="Arial Nova" w:hAnsi="Arial Nova"/>
          <w:b w:val="0"/>
          <w:bCs w:val="0"/>
          <w:sz w:val="24"/>
          <w:szCs w:val="24"/>
        </w:rPr>
        <w:t>. St. Paul, MN: Redleaf Press.</w:t>
      </w:r>
    </w:p>
    <w:p w14:paraId="2FA958A8"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Ephgrave, A. (2018). </w:t>
      </w:r>
      <w:r w:rsidRPr="00873764">
        <w:rPr>
          <w:rStyle w:val="s2"/>
          <w:rFonts w:ascii="Arial Nova" w:hAnsi="Arial Nova"/>
          <w:b w:val="0"/>
          <w:bCs w:val="0"/>
          <w:sz w:val="24"/>
          <w:szCs w:val="24"/>
        </w:rPr>
        <w:t>Planning in the Moment with Young Children: How to be an Intelligent Provider</w:t>
      </w:r>
      <w:r w:rsidRPr="00873764">
        <w:rPr>
          <w:rStyle w:val="s1"/>
          <w:rFonts w:ascii="Arial Nova" w:hAnsi="Arial Nova"/>
          <w:b w:val="0"/>
          <w:bCs w:val="0"/>
          <w:sz w:val="24"/>
          <w:szCs w:val="24"/>
        </w:rPr>
        <w:t>. London: Routledge.</w:t>
      </w:r>
    </w:p>
    <w:p w14:paraId="0EBAF97B"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Gibson, J. J. (1979). </w:t>
      </w:r>
      <w:r w:rsidRPr="00873764">
        <w:rPr>
          <w:rStyle w:val="s2"/>
          <w:rFonts w:ascii="Arial Nova" w:hAnsi="Arial Nova"/>
          <w:b w:val="0"/>
          <w:bCs w:val="0"/>
          <w:sz w:val="24"/>
          <w:szCs w:val="24"/>
        </w:rPr>
        <w:t>The Ecological Approach to Visual Perception</w:t>
      </w:r>
      <w:r w:rsidRPr="00873764">
        <w:rPr>
          <w:rStyle w:val="s1"/>
          <w:rFonts w:ascii="Arial Nova" w:hAnsi="Arial Nova"/>
          <w:b w:val="0"/>
          <w:bCs w:val="0"/>
          <w:sz w:val="24"/>
          <w:szCs w:val="24"/>
        </w:rPr>
        <w:t>. Boston: Houghton Mifflin.</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36018BFF"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Gill, T. (2007). </w:t>
      </w:r>
      <w:r w:rsidRPr="00873764">
        <w:rPr>
          <w:rStyle w:val="s2"/>
          <w:rFonts w:ascii="Arial Nova" w:hAnsi="Arial Nova"/>
          <w:b w:val="0"/>
          <w:bCs w:val="0"/>
          <w:sz w:val="24"/>
          <w:szCs w:val="24"/>
        </w:rPr>
        <w:t>No Fear: Growing Up in a Risk-Averse Society</w:t>
      </w:r>
      <w:r w:rsidRPr="00873764">
        <w:rPr>
          <w:rStyle w:val="s1"/>
          <w:rFonts w:ascii="Arial Nova" w:hAnsi="Arial Nova"/>
          <w:b w:val="0"/>
          <w:bCs w:val="0"/>
          <w:sz w:val="24"/>
          <w:szCs w:val="24"/>
        </w:rPr>
        <w:t>. London: Calouste Gulbenkian Foundation.</w:t>
      </w:r>
    </w:p>
    <w:p w14:paraId="746484D5"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Kyttä, M. (2002). Affordances of children's environments in the context of cities, towns, and villages. </w:t>
      </w:r>
      <w:r w:rsidRPr="00873764">
        <w:rPr>
          <w:rStyle w:val="s2"/>
          <w:rFonts w:ascii="Arial Nova" w:hAnsi="Arial Nova"/>
          <w:b w:val="0"/>
          <w:bCs w:val="0"/>
          <w:sz w:val="24"/>
          <w:szCs w:val="24"/>
        </w:rPr>
        <w:t>Journal of Environmental Psychology</w:t>
      </w:r>
      <w:r w:rsidRPr="00873764">
        <w:rPr>
          <w:rStyle w:val="s1"/>
          <w:rFonts w:ascii="Arial Nova" w:hAnsi="Arial Nova"/>
          <w:b w:val="0"/>
          <w:bCs w:val="0"/>
          <w:sz w:val="24"/>
          <w:szCs w:val="24"/>
        </w:rPr>
        <w:t>, 22(1-2), pp. 109-123.</w:t>
      </w:r>
    </w:p>
    <w:p w14:paraId="4F48DF5B"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Malaguzzi, L. (1998). History, ideas, and basic philosophy. In: Edwards, C., Gandini, L. and Forman, G. (eds.) </w:t>
      </w:r>
      <w:r w:rsidRPr="00873764">
        <w:rPr>
          <w:rStyle w:val="s2"/>
          <w:rFonts w:ascii="Arial Nova" w:hAnsi="Arial Nova"/>
          <w:b w:val="0"/>
          <w:bCs w:val="0"/>
          <w:sz w:val="24"/>
          <w:szCs w:val="24"/>
        </w:rPr>
        <w:t>The Hundred Languages of Children: The Reggio Emilia Approach—Advanced Reflections</w:t>
      </w:r>
      <w:r w:rsidRPr="00873764">
        <w:rPr>
          <w:rStyle w:val="s1"/>
          <w:rFonts w:ascii="Arial Nova" w:hAnsi="Arial Nova"/>
          <w:b w:val="0"/>
          <w:bCs w:val="0"/>
          <w:sz w:val="24"/>
          <w:szCs w:val="24"/>
        </w:rPr>
        <w:t>. Greenwich, CT: Ablex, pp. 49-97.</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39AD8930"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Maynard, T. and Waters, J. (2007). Learning in the outdoor environment: a missed opportunity? </w:t>
      </w:r>
      <w:r w:rsidRPr="00873764">
        <w:rPr>
          <w:rStyle w:val="s2"/>
          <w:rFonts w:ascii="Arial Nova" w:hAnsi="Arial Nova"/>
          <w:b w:val="0"/>
          <w:bCs w:val="0"/>
          <w:sz w:val="24"/>
          <w:szCs w:val="24"/>
        </w:rPr>
        <w:t>Early Years</w:t>
      </w:r>
      <w:r w:rsidRPr="00873764">
        <w:rPr>
          <w:rStyle w:val="s1"/>
          <w:rFonts w:ascii="Arial Nova" w:hAnsi="Arial Nova"/>
          <w:b w:val="0"/>
          <w:bCs w:val="0"/>
          <w:sz w:val="24"/>
          <w:szCs w:val="24"/>
        </w:rPr>
        <w:t>, 27(3), pp. 255-265.</w:t>
      </w:r>
    </w:p>
    <w:p w14:paraId="5174DC30"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Nicholson, S. (1971). How NOT to cheat children: The theory of loose parts. </w:t>
      </w:r>
      <w:r w:rsidRPr="00873764">
        <w:rPr>
          <w:rStyle w:val="s2"/>
          <w:rFonts w:ascii="Arial Nova" w:hAnsi="Arial Nova"/>
          <w:b w:val="0"/>
          <w:bCs w:val="0"/>
          <w:sz w:val="24"/>
          <w:szCs w:val="24"/>
        </w:rPr>
        <w:t>Landscape Architecture</w:t>
      </w:r>
      <w:r w:rsidRPr="00873764">
        <w:rPr>
          <w:rStyle w:val="s1"/>
          <w:rFonts w:ascii="Arial Nova" w:hAnsi="Arial Nova"/>
          <w:b w:val="0"/>
          <w:bCs w:val="0"/>
          <w:sz w:val="24"/>
          <w:szCs w:val="24"/>
        </w:rPr>
        <w:t>, 62(1), pp. 30-34.</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0B3010E8"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OECD (2006). </w:t>
      </w:r>
      <w:r w:rsidRPr="00873764">
        <w:rPr>
          <w:rStyle w:val="s2"/>
          <w:rFonts w:ascii="Arial Nova" w:hAnsi="Arial Nova"/>
          <w:b w:val="0"/>
          <w:bCs w:val="0"/>
          <w:sz w:val="24"/>
          <w:szCs w:val="24"/>
        </w:rPr>
        <w:t>Starting Strong II: Early Childhood Education and Care</w:t>
      </w:r>
      <w:r w:rsidRPr="00873764">
        <w:rPr>
          <w:rStyle w:val="s1"/>
          <w:rFonts w:ascii="Arial Nova" w:hAnsi="Arial Nova"/>
          <w:b w:val="0"/>
          <w:bCs w:val="0"/>
          <w:sz w:val="24"/>
          <w:szCs w:val="24"/>
        </w:rPr>
        <w:t>. Paris: OECD Publishing.</w:t>
      </w:r>
    </w:p>
    <w:p w14:paraId="4E05443C"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Piaget, J. (1953). </w:t>
      </w:r>
      <w:r w:rsidRPr="00873764">
        <w:rPr>
          <w:rStyle w:val="s2"/>
          <w:rFonts w:ascii="Arial Nova" w:hAnsi="Arial Nova"/>
          <w:b w:val="0"/>
          <w:bCs w:val="0"/>
          <w:sz w:val="24"/>
          <w:szCs w:val="24"/>
        </w:rPr>
        <w:t>The Origins of Intelligence in Children</w:t>
      </w:r>
      <w:r w:rsidRPr="00873764">
        <w:rPr>
          <w:rStyle w:val="s1"/>
          <w:rFonts w:ascii="Arial Nova" w:hAnsi="Arial Nova"/>
          <w:b w:val="0"/>
          <w:bCs w:val="0"/>
          <w:sz w:val="24"/>
          <w:szCs w:val="24"/>
        </w:rPr>
        <w:t>. New York: International Universities Press.</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3B17953A"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Sandseter, E. B. H. (2007). Categorizing risky play—how do children encounter risk in play? </w:t>
      </w:r>
      <w:r w:rsidRPr="00873764">
        <w:rPr>
          <w:rStyle w:val="s2"/>
          <w:rFonts w:ascii="Arial Nova" w:hAnsi="Arial Nova"/>
          <w:b w:val="0"/>
          <w:bCs w:val="0"/>
          <w:sz w:val="24"/>
          <w:szCs w:val="24"/>
        </w:rPr>
        <w:t>European Early Childhood Education Research Journal</w:t>
      </w:r>
      <w:r w:rsidRPr="00873764">
        <w:rPr>
          <w:rStyle w:val="s1"/>
          <w:rFonts w:ascii="Arial Nova" w:hAnsi="Arial Nova"/>
          <w:b w:val="0"/>
          <w:bCs w:val="0"/>
          <w:sz w:val="24"/>
          <w:szCs w:val="24"/>
        </w:rPr>
        <w:t>, 15(2), pp. 237-252.</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12C4AD56"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Siraj-Blatchford, I., Muttock, S., Sylva, K., Gilden, R. and Bell, D. (2002). </w:t>
      </w:r>
      <w:r w:rsidRPr="00873764">
        <w:rPr>
          <w:rStyle w:val="s2"/>
          <w:rFonts w:ascii="Arial Nova" w:hAnsi="Arial Nova"/>
          <w:b w:val="0"/>
          <w:bCs w:val="0"/>
          <w:sz w:val="24"/>
          <w:szCs w:val="24"/>
        </w:rPr>
        <w:t>Researching Effective Pedagogy in the Early Years (REPEY)</w:t>
      </w:r>
      <w:r w:rsidRPr="00873764">
        <w:rPr>
          <w:rStyle w:val="s1"/>
          <w:rFonts w:ascii="Arial Nova" w:hAnsi="Arial Nova"/>
          <w:b w:val="0"/>
          <w:bCs w:val="0"/>
          <w:sz w:val="24"/>
          <w:szCs w:val="24"/>
        </w:rPr>
        <w:t>. DfES Research Report 356. London: DfES.</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1E3A78DD"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lastRenderedPageBreak/>
        <w:t> </w:t>
      </w:r>
      <w:r w:rsidRPr="00873764">
        <w:rPr>
          <w:rStyle w:val="s1"/>
          <w:rFonts w:ascii="Arial Nova" w:hAnsi="Arial Nova"/>
          <w:b w:val="0"/>
          <w:bCs w:val="0"/>
          <w:sz w:val="24"/>
          <w:szCs w:val="24"/>
        </w:rPr>
        <w:t xml:space="preserve">Tovey, H. (2017). </w:t>
      </w:r>
      <w:r w:rsidRPr="00873764">
        <w:rPr>
          <w:rStyle w:val="s2"/>
          <w:rFonts w:ascii="Arial Nova" w:hAnsi="Arial Nova"/>
          <w:b w:val="0"/>
          <w:bCs w:val="0"/>
          <w:sz w:val="24"/>
          <w:szCs w:val="24"/>
        </w:rPr>
        <w:t>Bringing the Nursery Outdoors: Ideas, Reflection and Practice</w:t>
      </w:r>
      <w:r w:rsidRPr="00873764">
        <w:rPr>
          <w:rStyle w:val="s1"/>
          <w:rFonts w:ascii="Arial Nova" w:hAnsi="Arial Nova"/>
          <w:b w:val="0"/>
          <w:bCs w:val="0"/>
          <w:sz w:val="24"/>
          <w:szCs w:val="24"/>
        </w:rPr>
        <w:t>. London: Routledge.</w:t>
      </w:r>
    </w:p>
    <w:p w14:paraId="443B67BD" w14:textId="73E70C09"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Twinkl (n.d.). </w:t>
      </w:r>
      <w:r w:rsidRPr="00873764">
        <w:rPr>
          <w:rStyle w:val="s2"/>
          <w:rFonts w:ascii="Arial Nova" w:hAnsi="Arial Nova"/>
          <w:b w:val="0"/>
          <w:bCs w:val="0"/>
          <w:sz w:val="24"/>
          <w:szCs w:val="24"/>
        </w:rPr>
        <w:t>Outdoor Area Ideas for Early Years Settings</w:t>
      </w:r>
      <w:r w:rsidRPr="00873764">
        <w:rPr>
          <w:rStyle w:val="s1"/>
          <w:rFonts w:ascii="Arial Nova" w:hAnsi="Arial Nova"/>
          <w:b w:val="0"/>
          <w:bCs w:val="0"/>
          <w:sz w:val="24"/>
          <w:szCs w:val="24"/>
        </w:rPr>
        <w:t xml:space="preserve">. Available at: </w:t>
      </w:r>
      <w:hyperlink r:id="rId8" w:history="1">
        <w:r w:rsidRPr="00873764">
          <w:rPr>
            <w:rStyle w:val="s5"/>
            <w:rFonts w:ascii="Arial Nova" w:hAnsi="Arial Nova"/>
            <w:b w:val="0"/>
            <w:bCs w:val="0"/>
            <w:color w:val="0000FF"/>
            <w:sz w:val="24"/>
            <w:szCs w:val="24"/>
          </w:rPr>
          <w:t>https://www.twinkl.co.uk/blog/outdoor-area-ideas-for-early-years-settings-pviblog</w:t>
        </w:r>
      </w:hyperlink>
      <w:r w:rsidRPr="00873764">
        <w:rPr>
          <w:rStyle w:val="s1"/>
          <w:rFonts w:ascii="Arial Nova" w:hAnsi="Arial Nova"/>
          <w:b w:val="0"/>
          <w:bCs w:val="0"/>
          <w:sz w:val="24"/>
          <w:szCs w:val="24"/>
        </w:rPr>
        <w:t xml:space="preserve"> </w:t>
      </w:r>
    </w:p>
    <w:p w14:paraId="36079301"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Vygotsky, L. S. (1978). </w:t>
      </w:r>
      <w:r w:rsidRPr="00873764">
        <w:rPr>
          <w:rStyle w:val="s2"/>
          <w:rFonts w:ascii="Arial Nova" w:hAnsi="Arial Nova"/>
          <w:b w:val="0"/>
          <w:bCs w:val="0"/>
          <w:sz w:val="24"/>
          <w:szCs w:val="24"/>
        </w:rPr>
        <w:t>Mind in Society: The Development of Higher Psychological Processes</w:t>
      </w:r>
      <w:r w:rsidRPr="00873764">
        <w:rPr>
          <w:rStyle w:val="s1"/>
          <w:rFonts w:ascii="Arial Nova" w:hAnsi="Arial Nova"/>
          <w:b w:val="0"/>
          <w:bCs w:val="0"/>
          <w:sz w:val="24"/>
          <w:szCs w:val="24"/>
        </w:rPr>
        <w:t>. Cambridge, MA: Harvard University Press.</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5B9F62EE"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Welsh Government (2020). </w:t>
      </w:r>
      <w:r w:rsidRPr="00873764">
        <w:rPr>
          <w:rStyle w:val="s2"/>
          <w:rFonts w:ascii="Arial Nova" w:hAnsi="Arial Nova"/>
          <w:b w:val="0"/>
          <w:bCs w:val="0"/>
          <w:sz w:val="24"/>
          <w:szCs w:val="24"/>
        </w:rPr>
        <w:t>Curriculum for Wales: Science and Technology / Mathematics and Numeracy Areas of Learning and Experience</w:t>
      </w:r>
      <w:r w:rsidRPr="00873764">
        <w:rPr>
          <w:rStyle w:val="s1"/>
          <w:rFonts w:ascii="Arial Nova" w:hAnsi="Arial Nova"/>
          <w:b w:val="0"/>
          <w:bCs w:val="0"/>
          <w:sz w:val="24"/>
          <w:szCs w:val="24"/>
        </w:rPr>
        <w:t>. Cardiff: Welsh Government.</w:t>
      </w:r>
      <w:r w:rsidRPr="00873764">
        <w:rPr>
          <w:rStyle w:val="s3"/>
          <w:rFonts w:ascii="Arial Nova" w:hAnsi="Arial Nova"/>
          <w:b w:val="0"/>
          <w:bCs w:val="0"/>
          <w:sz w:val="24"/>
          <w:szCs w:val="24"/>
        </w:rPr>
        <w:t> </w:t>
      </w:r>
      <w:r w:rsidRPr="00873764">
        <w:rPr>
          <w:rStyle w:val="apple-converted-space"/>
          <w:rFonts w:ascii="Arial Nova" w:hAnsi="Arial Nova"/>
          <w:b/>
          <w:bCs/>
          <w:sz w:val="24"/>
          <w:szCs w:val="24"/>
        </w:rPr>
        <w:t> </w:t>
      </w:r>
    </w:p>
    <w:p w14:paraId="0CA32EF0" w14:textId="77777777" w:rsidR="004A42AA" w:rsidRPr="00873764" w:rsidRDefault="004A42AA">
      <w:pPr>
        <w:pStyle w:val="p2"/>
        <w:rPr>
          <w:rFonts w:ascii="Arial Nova" w:hAnsi="Arial Nova"/>
          <w:b/>
          <w:bCs/>
          <w:sz w:val="24"/>
          <w:szCs w:val="24"/>
        </w:rPr>
      </w:pPr>
      <w:r w:rsidRPr="00873764">
        <w:rPr>
          <w:rStyle w:val="apple-converted-space"/>
          <w:rFonts w:ascii="Arial Nova" w:hAnsi="Arial Nova"/>
          <w:b/>
          <w:bCs/>
          <w:sz w:val="24"/>
          <w:szCs w:val="24"/>
        </w:rPr>
        <w:t> </w:t>
      </w:r>
      <w:r w:rsidRPr="00873764">
        <w:rPr>
          <w:rStyle w:val="s1"/>
          <w:rFonts w:ascii="Arial Nova" w:hAnsi="Arial Nova"/>
          <w:b w:val="0"/>
          <w:bCs w:val="0"/>
          <w:sz w:val="24"/>
          <w:szCs w:val="24"/>
        </w:rPr>
        <w:t xml:space="preserve">Welsh Government (2022). </w:t>
      </w:r>
      <w:r w:rsidRPr="00873764">
        <w:rPr>
          <w:rStyle w:val="s2"/>
          <w:rFonts w:ascii="Arial Nova" w:hAnsi="Arial Nova"/>
          <w:b w:val="0"/>
          <w:bCs w:val="0"/>
          <w:sz w:val="24"/>
          <w:szCs w:val="24"/>
        </w:rPr>
        <w:t>A Curriculum for Funded Non-Maintained Early Years Settings</w:t>
      </w:r>
      <w:r w:rsidRPr="00873764">
        <w:rPr>
          <w:rStyle w:val="s1"/>
          <w:rFonts w:ascii="Arial Nova" w:hAnsi="Arial Nova"/>
          <w:b w:val="0"/>
          <w:bCs w:val="0"/>
          <w:sz w:val="24"/>
          <w:szCs w:val="24"/>
        </w:rPr>
        <w:t>. Cardiff: Welsh Government.</w:t>
      </w:r>
    </w:p>
    <w:p w14:paraId="4AA441E6" w14:textId="483C79B5" w:rsidR="003632E9" w:rsidRPr="004A42AA" w:rsidRDefault="003632E9" w:rsidP="004A42AA">
      <w:pPr>
        <w:spacing w:after="0" w:line="240" w:lineRule="auto"/>
        <w:rPr>
          <w:rFonts w:ascii="Arial Nova" w:eastAsia="Times New Roman" w:hAnsi="Arial Nova" w:cs="Times New Roman"/>
          <w:color w:val="000000" w:themeColor="text1"/>
          <w:kern w:val="0"/>
          <w14:ligatures w14:val="none"/>
        </w:rPr>
      </w:pPr>
    </w:p>
    <w:sectPr w:rsidR="003632E9" w:rsidRPr="004A42AA">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A842B9" w14:textId="77777777" w:rsidR="00571E14" w:rsidRDefault="00571E14" w:rsidP="00571E14">
      <w:pPr>
        <w:spacing w:after="0" w:line="240" w:lineRule="auto"/>
      </w:pPr>
      <w:r>
        <w:separator/>
      </w:r>
    </w:p>
  </w:endnote>
  <w:endnote w:type="continuationSeparator" w:id="0">
    <w:p w14:paraId="3EAC7B8B" w14:textId="77777777" w:rsidR="00571E14" w:rsidRDefault="00571E14" w:rsidP="00571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Heavy">
    <w:altName w:val="Cambria"/>
    <w:panose1 w:val="020B0604020202020204"/>
    <w:charset w:val="00"/>
    <w:family w:val="roman"/>
    <w:pitch w:val="default"/>
  </w:font>
  <w:font w:name=".SFUI-HeavyItalic">
    <w:altName w:val="Cambria"/>
    <w:panose1 w:val="020B0604020202020204"/>
    <w:charset w:val="00"/>
    <w:family w:val="roman"/>
    <w:pitch w:val="default"/>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46375243"/>
      <w:docPartObj>
        <w:docPartGallery w:val="Page Numbers (Bottom of Page)"/>
        <w:docPartUnique/>
      </w:docPartObj>
    </w:sdtPr>
    <w:sdtContent>
      <w:p w14:paraId="79364482" w14:textId="3F5A67F3" w:rsidR="002A0186" w:rsidRDefault="002A0186" w:rsidP="0070059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D6ABF9" w14:textId="77777777" w:rsidR="002A0186" w:rsidRDefault="002A0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03500526"/>
      <w:docPartObj>
        <w:docPartGallery w:val="Page Numbers (Bottom of Page)"/>
        <w:docPartUnique/>
      </w:docPartObj>
    </w:sdtPr>
    <w:sdtContent>
      <w:p w14:paraId="258C7D0B" w14:textId="3DB37D29" w:rsidR="002A0186" w:rsidRDefault="002A0186" w:rsidP="0070059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417BE6C5" w14:textId="77777777" w:rsidR="002A0186" w:rsidRDefault="002A0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BCF505" w14:textId="77777777" w:rsidR="00571E14" w:rsidRDefault="00571E14" w:rsidP="00571E14">
      <w:pPr>
        <w:spacing w:after="0" w:line="240" w:lineRule="auto"/>
      </w:pPr>
      <w:r>
        <w:separator/>
      </w:r>
    </w:p>
  </w:footnote>
  <w:footnote w:type="continuationSeparator" w:id="0">
    <w:p w14:paraId="469437EC" w14:textId="77777777" w:rsidR="00571E14" w:rsidRDefault="00571E14" w:rsidP="00571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6EF227" w14:textId="46595837" w:rsidR="00571E14" w:rsidRDefault="00571E14">
    <w:pPr>
      <w:pStyle w:val="Header"/>
      <w:rPr>
        <w:rFonts w:ascii="Arial Nova" w:eastAsia="Times New Roman" w:hAnsi="Arial Nova" w:cs="Segoe UI"/>
        <w:b/>
        <w:bCs/>
        <w:color w:val="000000" w:themeColor="text1"/>
        <w:kern w:val="36"/>
        <w14:ligatures w14:val="none"/>
      </w:rPr>
    </w:pPr>
    <w:r w:rsidRPr="00773CE4">
      <w:rPr>
        <w:rFonts w:ascii="Arial Nova" w:eastAsia="Times New Roman" w:hAnsi="Arial Nova" w:cs="Segoe UI"/>
        <w:b/>
        <w:bCs/>
        <w:color w:val="000000" w:themeColor="text1"/>
        <w:kern w:val="36"/>
        <w14:ligatures w14:val="none"/>
      </w:rPr>
      <w:t>ECEY5005/C</w:t>
    </w:r>
    <w:r w:rsidR="00C3212E">
      <w:rPr>
        <w:rFonts w:ascii="Arial Nova" w:eastAsia="Times New Roman" w:hAnsi="Arial Nova" w:cs="Segoe UI"/>
        <w:b/>
        <w:bCs/>
        <w:color w:val="000000" w:themeColor="text1"/>
        <w:kern w:val="36"/>
        <w14:ligatures w14:val="none"/>
      </w:rPr>
      <w:tab/>
      <w:t xml:space="preserve">Shannon Fry </w:t>
    </w:r>
    <w:r w:rsidR="00B67F85">
      <w:rPr>
        <w:rFonts w:ascii="Arial Nova" w:eastAsia="Times New Roman" w:hAnsi="Arial Nova" w:cs="Segoe UI"/>
        <w:b/>
        <w:bCs/>
        <w:color w:val="000000" w:themeColor="text1"/>
        <w:kern w:val="36"/>
        <w14:ligatures w14:val="none"/>
      </w:rPr>
      <w:t xml:space="preserve">             </w:t>
    </w:r>
    <w:r w:rsidR="00BA1746">
      <w:rPr>
        <w:rFonts w:ascii="Arial Nova" w:eastAsia="Times New Roman" w:hAnsi="Arial Nova" w:cs="Segoe UI"/>
        <w:b/>
        <w:bCs/>
        <w:color w:val="000000" w:themeColor="text1"/>
        <w:kern w:val="36"/>
        <w14:ligatures w14:val="none"/>
      </w:rPr>
      <w:t xml:space="preserve">   </w:t>
    </w:r>
    <w:r w:rsidR="004A0507">
      <w:rPr>
        <w:rFonts w:ascii="Arial Nova" w:eastAsia="Times New Roman" w:hAnsi="Arial Nova" w:cs="Segoe UI"/>
        <w:b/>
        <w:bCs/>
        <w:color w:val="000000" w:themeColor="text1"/>
        <w:kern w:val="36"/>
        <w14:ligatures w14:val="none"/>
      </w:rPr>
      <w:t>2505</w:t>
    </w:r>
    <w:r w:rsidR="00BA1746">
      <w:rPr>
        <w:rFonts w:ascii="Arial Nova" w:eastAsia="Times New Roman" w:hAnsi="Arial Nova" w:cs="Segoe UI"/>
        <w:b/>
        <w:bCs/>
        <w:color w:val="000000" w:themeColor="text1"/>
        <w:kern w:val="36"/>
        <w14:ligatures w14:val="none"/>
      </w:rPr>
      <w:t>762</w:t>
    </w:r>
    <w:r>
      <w:rPr>
        <w:rFonts w:ascii="Arial Nova" w:eastAsia="Times New Roman" w:hAnsi="Arial Nova" w:cs="Segoe UI"/>
        <w:b/>
        <w:bCs/>
        <w:color w:val="000000" w:themeColor="text1"/>
        <w:kern w:val="36"/>
        <w14:ligatures w14:val="none"/>
      </w:rPr>
      <w:tab/>
    </w:r>
  </w:p>
  <w:p w14:paraId="445DD58F" w14:textId="77777777" w:rsidR="00571E14" w:rsidRDefault="00571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E34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6152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E9"/>
    <w:rsid w:val="00051EC9"/>
    <w:rsid w:val="000F5A87"/>
    <w:rsid w:val="001E6737"/>
    <w:rsid w:val="001F7138"/>
    <w:rsid w:val="002A0186"/>
    <w:rsid w:val="002A0C95"/>
    <w:rsid w:val="00342E97"/>
    <w:rsid w:val="003632E9"/>
    <w:rsid w:val="00405C9A"/>
    <w:rsid w:val="0049254F"/>
    <w:rsid w:val="004A0507"/>
    <w:rsid w:val="004A42AA"/>
    <w:rsid w:val="004B3949"/>
    <w:rsid w:val="00553A27"/>
    <w:rsid w:val="00563652"/>
    <w:rsid w:val="00571E14"/>
    <w:rsid w:val="005A7A4B"/>
    <w:rsid w:val="005C512A"/>
    <w:rsid w:val="0063644B"/>
    <w:rsid w:val="00675686"/>
    <w:rsid w:val="00773CE4"/>
    <w:rsid w:val="007C004C"/>
    <w:rsid w:val="008011EF"/>
    <w:rsid w:val="00816DF1"/>
    <w:rsid w:val="00856523"/>
    <w:rsid w:val="00873764"/>
    <w:rsid w:val="00950075"/>
    <w:rsid w:val="00A278F5"/>
    <w:rsid w:val="00A75E9B"/>
    <w:rsid w:val="00A77C93"/>
    <w:rsid w:val="00B67F85"/>
    <w:rsid w:val="00BA1746"/>
    <w:rsid w:val="00BD2F11"/>
    <w:rsid w:val="00C16251"/>
    <w:rsid w:val="00C27F93"/>
    <w:rsid w:val="00C3212E"/>
    <w:rsid w:val="00C65803"/>
    <w:rsid w:val="00CC46D9"/>
    <w:rsid w:val="00CF1463"/>
    <w:rsid w:val="00D255EA"/>
    <w:rsid w:val="00D2653C"/>
    <w:rsid w:val="00D63D96"/>
    <w:rsid w:val="00D65068"/>
    <w:rsid w:val="00E05840"/>
    <w:rsid w:val="00E407FF"/>
    <w:rsid w:val="00EF5621"/>
    <w:rsid w:val="00F16899"/>
    <w:rsid w:val="00F70CE8"/>
    <w:rsid w:val="00FB4388"/>
    <w:rsid w:val="00FC72C5"/>
    <w:rsid w:val="00FF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4EDC97"/>
  <w15:chartTrackingRefBased/>
  <w15:docId w15:val="{BCAA5DBD-D1DE-9841-B297-C7AAA7A77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2E9"/>
    <w:rPr>
      <w:rFonts w:eastAsiaTheme="majorEastAsia" w:cstheme="majorBidi"/>
      <w:color w:val="272727" w:themeColor="text1" w:themeTint="D8"/>
    </w:rPr>
  </w:style>
  <w:style w:type="paragraph" w:styleId="Title">
    <w:name w:val="Title"/>
    <w:basedOn w:val="Normal"/>
    <w:next w:val="Normal"/>
    <w:link w:val="TitleChar"/>
    <w:uiPriority w:val="10"/>
    <w:qFormat/>
    <w:rsid w:val="00363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2E9"/>
    <w:pPr>
      <w:spacing w:before="160"/>
      <w:jc w:val="center"/>
    </w:pPr>
    <w:rPr>
      <w:i/>
      <w:iCs/>
      <w:color w:val="404040" w:themeColor="text1" w:themeTint="BF"/>
    </w:rPr>
  </w:style>
  <w:style w:type="character" w:customStyle="1" w:styleId="QuoteChar">
    <w:name w:val="Quote Char"/>
    <w:basedOn w:val="DefaultParagraphFont"/>
    <w:link w:val="Quote"/>
    <w:uiPriority w:val="29"/>
    <w:rsid w:val="003632E9"/>
    <w:rPr>
      <w:i/>
      <w:iCs/>
      <w:color w:val="404040" w:themeColor="text1" w:themeTint="BF"/>
    </w:rPr>
  </w:style>
  <w:style w:type="paragraph" w:styleId="ListParagraph">
    <w:name w:val="List Paragraph"/>
    <w:basedOn w:val="Normal"/>
    <w:uiPriority w:val="34"/>
    <w:qFormat/>
    <w:rsid w:val="003632E9"/>
    <w:pPr>
      <w:ind w:left="720"/>
      <w:contextualSpacing/>
    </w:pPr>
  </w:style>
  <w:style w:type="character" w:styleId="IntenseEmphasis">
    <w:name w:val="Intense Emphasis"/>
    <w:basedOn w:val="DefaultParagraphFont"/>
    <w:uiPriority w:val="21"/>
    <w:qFormat/>
    <w:rsid w:val="003632E9"/>
    <w:rPr>
      <w:i/>
      <w:iCs/>
      <w:color w:val="0F4761" w:themeColor="accent1" w:themeShade="BF"/>
    </w:rPr>
  </w:style>
  <w:style w:type="paragraph" w:styleId="IntenseQuote">
    <w:name w:val="Intense Quote"/>
    <w:basedOn w:val="Normal"/>
    <w:next w:val="Normal"/>
    <w:link w:val="IntenseQuoteChar"/>
    <w:uiPriority w:val="30"/>
    <w:qFormat/>
    <w:rsid w:val="00363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2E9"/>
    <w:rPr>
      <w:i/>
      <w:iCs/>
      <w:color w:val="0F4761" w:themeColor="accent1" w:themeShade="BF"/>
    </w:rPr>
  </w:style>
  <w:style w:type="character" w:styleId="IntenseReference">
    <w:name w:val="Intense Reference"/>
    <w:basedOn w:val="DefaultParagraphFont"/>
    <w:uiPriority w:val="32"/>
    <w:qFormat/>
    <w:rsid w:val="003632E9"/>
    <w:rPr>
      <w:b/>
      <w:bCs/>
      <w:smallCaps/>
      <w:color w:val="0F4761" w:themeColor="accent1" w:themeShade="BF"/>
      <w:spacing w:val="5"/>
    </w:rPr>
  </w:style>
  <w:style w:type="paragraph" w:styleId="NormalWeb">
    <w:name w:val="Normal (Web)"/>
    <w:basedOn w:val="Normal"/>
    <w:uiPriority w:val="99"/>
    <w:semiHidden/>
    <w:unhideWhenUsed/>
    <w:rsid w:val="003632E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571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E14"/>
  </w:style>
  <w:style w:type="paragraph" w:styleId="Footer">
    <w:name w:val="footer"/>
    <w:basedOn w:val="Normal"/>
    <w:link w:val="FooterChar"/>
    <w:uiPriority w:val="99"/>
    <w:unhideWhenUsed/>
    <w:rsid w:val="00571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E14"/>
  </w:style>
  <w:style w:type="paragraph" w:customStyle="1" w:styleId="p1">
    <w:name w:val="p1"/>
    <w:basedOn w:val="Normal"/>
    <w:rsid w:val="004A42AA"/>
    <w:pPr>
      <w:spacing w:before="200" w:after="0" w:line="240" w:lineRule="auto"/>
      <w:ind w:left="600" w:hanging="600"/>
    </w:pPr>
    <w:rPr>
      <w:rFonts w:ascii=".AppleSystemUIFont" w:hAnsi=".AppleSystemUIFont" w:cs="Times New Roman"/>
      <w:color w:val="000000"/>
      <w:kern w:val="0"/>
      <w:sz w:val="29"/>
      <w:szCs w:val="29"/>
      <w14:ligatures w14:val="none"/>
    </w:rPr>
  </w:style>
  <w:style w:type="paragraph" w:customStyle="1" w:styleId="p2">
    <w:name w:val="p2"/>
    <w:basedOn w:val="Normal"/>
    <w:rsid w:val="004A42AA"/>
    <w:pPr>
      <w:spacing w:before="135" w:after="0" w:line="240" w:lineRule="auto"/>
      <w:ind w:left="600" w:hanging="600"/>
    </w:pPr>
    <w:rPr>
      <w:rFonts w:ascii=".AppleSystemUIFont" w:hAnsi=".AppleSystemUIFont" w:cs="Times New Roman"/>
      <w:color w:val="000000"/>
      <w:kern w:val="0"/>
      <w:sz w:val="29"/>
      <w:szCs w:val="29"/>
      <w14:ligatures w14:val="none"/>
    </w:rPr>
  </w:style>
  <w:style w:type="character" w:customStyle="1" w:styleId="s1">
    <w:name w:val="s1"/>
    <w:basedOn w:val="DefaultParagraphFont"/>
    <w:rsid w:val="004A42AA"/>
    <w:rPr>
      <w:rFonts w:ascii=".SFUI-Heavy" w:hAnsi=".SFUI-Heavy" w:hint="default"/>
      <w:b/>
      <w:bCs/>
      <w:i w:val="0"/>
      <w:iCs w:val="0"/>
      <w:sz w:val="29"/>
      <w:szCs w:val="29"/>
    </w:rPr>
  </w:style>
  <w:style w:type="character" w:customStyle="1" w:styleId="s2">
    <w:name w:val="s2"/>
    <w:basedOn w:val="DefaultParagraphFont"/>
    <w:rsid w:val="004A42AA"/>
    <w:rPr>
      <w:rFonts w:ascii=".SFUI-HeavyItalic" w:hAnsi=".SFUI-HeavyItalic" w:hint="default"/>
      <w:b/>
      <w:bCs/>
      <w:i/>
      <w:iCs/>
      <w:sz w:val="29"/>
      <w:szCs w:val="29"/>
    </w:rPr>
  </w:style>
  <w:style w:type="character" w:customStyle="1" w:styleId="s3">
    <w:name w:val="s3"/>
    <w:basedOn w:val="DefaultParagraphFont"/>
    <w:rsid w:val="004A42AA"/>
    <w:rPr>
      <w:rFonts w:ascii=".SFUI-Heavy" w:hAnsi=".SFUI-Heavy" w:hint="default"/>
      <w:b/>
      <w:bCs/>
      <w:i w:val="0"/>
      <w:iCs w:val="0"/>
      <w:color w:val="000000"/>
      <w:sz w:val="29"/>
      <w:szCs w:val="29"/>
    </w:rPr>
  </w:style>
  <w:style w:type="character" w:customStyle="1" w:styleId="s5">
    <w:name w:val="s5"/>
    <w:basedOn w:val="DefaultParagraphFont"/>
    <w:rsid w:val="004A42AA"/>
    <w:rPr>
      <w:rFonts w:ascii=".SFUI-Heavy" w:hAnsi=".SFUI-Heavy" w:hint="default"/>
      <w:b/>
      <w:bCs/>
      <w:i w:val="0"/>
      <w:iCs w:val="0"/>
      <w:sz w:val="29"/>
      <w:szCs w:val="29"/>
      <w:u w:val="single"/>
    </w:rPr>
  </w:style>
  <w:style w:type="character" w:customStyle="1" w:styleId="apple-converted-space">
    <w:name w:val="apple-converted-space"/>
    <w:basedOn w:val="DefaultParagraphFont"/>
    <w:rsid w:val="004A42AA"/>
  </w:style>
  <w:style w:type="character" w:styleId="PageNumber">
    <w:name w:val="page number"/>
    <w:basedOn w:val="DefaultParagraphFont"/>
    <w:uiPriority w:val="99"/>
    <w:semiHidden/>
    <w:unhideWhenUsed/>
    <w:rsid w:val="002A0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blog/outdoor-area-ideas-for-early-years-settings-pviblo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3115</Words>
  <Characters>17762</Characters>
  <Application>Microsoft Office Word</Application>
  <DocSecurity>0</DocSecurity>
  <Lines>148</Lines>
  <Paragraphs>41</Paragraphs>
  <ScaleCrop>false</ScaleCrop>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fry</dc:creator>
  <cp:keywords/>
  <dc:description/>
  <cp:lastModifiedBy>shannon fry</cp:lastModifiedBy>
  <cp:revision>2</cp:revision>
  <dcterms:created xsi:type="dcterms:W3CDTF">2026-10-03T17:11:00Z</dcterms:created>
  <dcterms:modified xsi:type="dcterms:W3CDTF">2026-10-03T17:11:00Z</dcterms:modified>
</cp:coreProperties>
</file>