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AAF04" w14:textId="77777777" w:rsidR="00175F6B" w:rsidRDefault="00175F6B" w:rsidP="00175F6B">
      <w:pPr>
        <w:spacing w:before="120" w:after="120"/>
        <w:jc w:val="left"/>
        <w:rPr>
          <w:rFonts w:cs="Times New Roman"/>
          <w:b/>
          <w:bCs/>
          <w:szCs w:val="24"/>
        </w:rPr>
      </w:pPr>
    </w:p>
    <w:p w14:paraId="559FB70F" w14:textId="77777777" w:rsidR="00175F6B" w:rsidRDefault="00175F6B" w:rsidP="00175F6B">
      <w:pPr>
        <w:spacing w:before="120" w:after="120"/>
        <w:jc w:val="left"/>
        <w:rPr>
          <w:rFonts w:cs="Times New Roman"/>
          <w:b/>
          <w:bCs/>
          <w:szCs w:val="24"/>
        </w:rPr>
      </w:pPr>
    </w:p>
    <w:p w14:paraId="59FF95BC" w14:textId="77777777" w:rsidR="00175F6B" w:rsidRDefault="00175F6B" w:rsidP="00175F6B">
      <w:pPr>
        <w:spacing w:before="120" w:after="120"/>
        <w:jc w:val="left"/>
        <w:rPr>
          <w:rFonts w:cs="Times New Roman"/>
          <w:b/>
          <w:bCs/>
          <w:szCs w:val="24"/>
        </w:rPr>
      </w:pPr>
    </w:p>
    <w:p w14:paraId="19169286" w14:textId="77777777" w:rsidR="00175F6B" w:rsidRDefault="00175F6B" w:rsidP="00175F6B">
      <w:pPr>
        <w:spacing w:before="120" w:after="120"/>
        <w:jc w:val="left"/>
        <w:rPr>
          <w:rFonts w:cs="Times New Roman"/>
          <w:b/>
          <w:bCs/>
          <w:szCs w:val="24"/>
        </w:rPr>
      </w:pPr>
    </w:p>
    <w:p w14:paraId="1E6D575C" w14:textId="77777777" w:rsidR="00175F6B" w:rsidRDefault="00175F6B" w:rsidP="00175F6B">
      <w:pPr>
        <w:spacing w:before="120" w:after="120"/>
        <w:jc w:val="left"/>
        <w:rPr>
          <w:rFonts w:cs="Times New Roman"/>
          <w:b/>
          <w:bCs/>
          <w:szCs w:val="24"/>
        </w:rPr>
      </w:pPr>
    </w:p>
    <w:p w14:paraId="6BE27AD7" w14:textId="77777777" w:rsidR="00175F6B" w:rsidRDefault="00175F6B" w:rsidP="00175F6B">
      <w:pPr>
        <w:spacing w:before="120" w:after="120"/>
        <w:jc w:val="left"/>
        <w:rPr>
          <w:rFonts w:cs="Times New Roman"/>
          <w:b/>
          <w:bCs/>
          <w:szCs w:val="24"/>
        </w:rPr>
      </w:pPr>
    </w:p>
    <w:p w14:paraId="1D80A40E" w14:textId="77777777" w:rsidR="00175F6B" w:rsidRDefault="00175F6B" w:rsidP="00175F6B">
      <w:pPr>
        <w:spacing w:before="120" w:after="120"/>
        <w:jc w:val="left"/>
        <w:rPr>
          <w:rFonts w:cs="Times New Roman"/>
          <w:b/>
          <w:bCs/>
          <w:szCs w:val="24"/>
        </w:rPr>
      </w:pPr>
    </w:p>
    <w:p w14:paraId="236608E3" w14:textId="2BDA07DF" w:rsidR="00175F6B" w:rsidRDefault="001745FC" w:rsidP="001745FC">
      <w:pPr>
        <w:spacing w:before="120" w:after="120"/>
        <w:jc w:val="center"/>
        <w:rPr>
          <w:rFonts w:cs="Times New Roman"/>
          <w:b/>
          <w:bCs/>
          <w:szCs w:val="24"/>
        </w:rPr>
      </w:pPr>
      <w:r w:rsidRPr="001745FC">
        <w:rPr>
          <w:rFonts w:cs="Times New Roman"/>
          <w:b/>
          <w:bCs/>
          <w:noProof/>
          <w:szCs w:val="24"/>
          <w:lang w:val="en-US"/>
        </w:rPr>
        <w:drawing>
          <wp:inline distT="0" distB="0" distL="0" distR="0" wp14:anchorId="666CAF08" wp14:editId="7283A882">
            <wp:extent cx="2448267" cy="1076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48267" cy="1076475"/>
                    </a:xfrm>
                    <a:prstGeom prst="rect">
                      <a:avLst/>
                    </a:prstGeom>
                  </pic:spPr>
                </pic:pic>
              </a:graphicData>
            </a:graphic>
          </wp:inline>
        </w:drawing>
      </w:r>
    </w:p>
    <w:p w14:paraId="56A31B8C" w14:textId="77777777" w:rsidR="00F06D94" w:rsidRDefault="00F06D94" w:rsidP="001745FC">
      <w:pPr>
        <w:spacing w:before="120" w:after="120"/>
        <w:jc w:val="center"/>
        <w:rPr>
          <w:rFonts w:cs="Times New Roman"/>
          <w:b/>
          <w:bCs/>
          <w:sz w:val="40"/>
          <w:szCs w:val="40"/>
        </w:rPr>
      </w:pPr>
    </w:p>
    <w:p w14:paraId="1B12FAF6" w14:textId="77777777" w:rsidR="00F06D94" w:rsidRPr="00F06D94" w:rsidRDefault="00F06D94" w:rsidP="001745FC">
      <w:pPr>
        <w:spacing w:before="120" w:after="120"/>
        <w:jc w:val="center"/>
        <w:rPr>
          <w:rFonts w:ascii="Arial" w:hAnsi="Arial" w:cs="Arial"/>
          <w:b/>
          <w:bCs/>
          <w:szCs w:val="24"/>
        </w:rPr>
      </w:pPr>
      <w:r w:rsidRPr="00F06D94">
        <w:rPr>
          <w:rFonts w:ascii="Arial" w:hAnsi="Arial" w:cs="Arial"/>
          <w:b/>
          <w:bCs/>
          <w:szCs w:val="24"/>
        </w:rPr>
        <w:t>Name – Mihir Sudhirbhai Patel</w:t>
      </w:r>
    </w:p>
    <w:p w14:paraId="5F9DFF74" w14:textId="77777777" w:rsidR="00F06D94" w:rsidRDefault="00F06D94" w:rsidP="001745FC">
      <w:pPr>
        <w:spacing w:before="120" w:after="120"/>
        <w:jc w:val="center"/>
        <w:rPr>
          <w:rFonts w:ascii="Arial" w:hAnsi="Arial" w:cs="Arial"/>
          <w:b/>
          <w:bCs/>
          <w:szCs w:val="24"/>
        </w:rPr>
      </w:pPr>
    </w:p>
    <w:p w14:paraId="494E61A3" w14:textId="5C951D9D" w:rsidR="001745FC" w:rsidRPr="00F06D94" w:rsidRDefault="00F06D94" w:rsidP="001745FC">
      <w:pPr>
        <w:spacing w:before="120" w:after="120"/>
        <w:jc w:val="center"/>
        <w:rPr>
          <w:rFonts w:ascii="Arial" w:hAnsi="Arial" w:cs="Arial"/>
          <w:b/>
          <w:bCs/>
          <w:szCs w:val="24"/>
        </w:rPr>
      </w:pPr>
      <w:r w:rsidRPr="00F06D94">
        <w:rPr>
          <w:rFonts w:ascii="Arial" w:hAnsi="Arial" w:cs="Arial"/>
          <w:b/>
          <w:bCs/>
          <w:szCs w:val="24"/>
        </w:rPr>
        <w:t>Student ID - 2504998</w:t>
      </w:r>
      <w:r w:rsidR="00022966" w:rsidRPr="00F06D94">
        <w:rPr>
          <w:rFonts w:ascii="Arial" w:hAnsi="Arial" w:cs="Arial"/>
          <w:b/>
          <w:bCs/>
          <w:szCs w:val="24"/>
        </w:rPr>
        <w:t xml:space="preserve"> </w:t>
      </w:r>
    </w:p>
    <w:p w14:paraId="36E3B134" w14:textId="77777777" w:rsidR="00F06D94" w:rsidRDefault="00F06D94" w:rsidP="001745FC">
      <w:pPr>
        <w:spacing w:before="120" w:after="120"/>
        <w:jc w:val="center"/>
        <w:rPr>
          <w:rFonts w:ascii="Arial" w:hAnsi="Arial" w:cs="Arial"/>
          <w:b/>
          <w:bCs/>
          <w:szCs w:val="24"/>
        </w:rPr>
      </w:pPr>
    </w:p>
    <w:p w14:paraId="5DE39CD9" w14:textId="5DA52BDE" w:rsidR="00022966" w:rsidRDefault="00022966" w:rsidP="001745FC">
      <w:pPr>
        <w:spacing w:before="120" w:after="120"/>
        <w:jc w:val="center"/>
        <w:rPr>
          <w:rFonts w:ascii="Arial" w:hAnsi="Arial" w:cs="Arial"/>
          <w:b/>
          <w:bCs/>
          <w:szCs w:val="24"/>
        </w:rPr>
      </w:pPr>
      <w:r w:rsidRPr="00F06D94">
        <w:rPr>
          <w:rFonts w:ascii="Arial" w:hAnsi="Arial" w:cs="Arial"/>
          <w:b/>
          <w:bCs/>
          <w:szCs w:val="24"/>
        </w:rPr>
        <w:t xml:space="preserve">Module Code: </w:t>
      </w:r>
      <w:r w:rsidR="00FD200D" w:rsidRPr="00F06D94">
        <w:rPr>
          <w:rFonts w:ascii="Arial" w:hAnsi="Arial" w:cs="Arial"/>
          <w:b/>
          <w:bCs/>
          <w:szCs w:val="24"/>
        </w:rPr>
        <w:t>LCMB7003</w:t>
      </w:r>
    </w:p>
    <w:p w14:paraId="2490D804" w14:textId="27985FB0" w:rsidR="00113B3A" w:rsidRPr="00F06D94" w:rsidRDefault="00113B3A" w:rsidP="001745FC">
      <w:pPr>
        <w:spacing w:before="120" w:after="120"/>
        <w:jc w:val="center"/>
        <w:rPr>
          <w:rFonts w:ascii="Arial" w:hAnsi="Arial" w:cs="Arial"/>
          <w:b/>
          <w:bCs/>
          <w:szCs w:val="24"/>
        </w:rPr>
      </w:pPr>
      <w:r>
        <w:rPr>
          <w:rFonts w:ascii="Arial" w:hAnsi="Arial" w:cs="Arial"/>
          <w:b/>
          <w:bCs/>
          <w:szCs w:val="24"/>
        </w:rPr>
        <w:t>Lecturers Name- Balendran Kandasamy</w:t>
      </w:r>
      <w:bookmarkStart w:id="0" w:name="_GoBack"/>
      <w:bookmarkEnd w:id="0"/>
    </w:p>
    <w:p w14:paraId="1B0ACCC2" w14:textId="77777777" w:rsidR="00F06D94" w:rsidRDefault="00F06D94" w:rsidP="001745FC">
      <w:pPr>
        <w:spacing w:before="120" w:after="120"/>
        <w:jc w:val="center"/>
        <w:rPr>
          <w:rFonts w:ascii="Arial" w:hAnsi="Arial" w:cs="Arial"/>
          <w:b/>
          <w:bCs/>
          <w:szCs w:val="24"/>
        </w:rPr>
      </w:pPr>
    </w:p>
    <w:p w14:paraId="2FFFD93C" w14:textId="6D2E0F38" w:rsidR="00FD200D" w:rsidRPr="00F06D94" w:rsidRDefault="00FD200D" w:rsidP="001745FC">
      <w:pPr>
        <w:spacing w:before="120" w:after="120"/>
        <w:jc w:val="center"/>
        <w:rPr>
          <w:rFonts w:ascii="Arial" w:hAnsi="Arial" w:cs="Arial"/>
          <w:b/>
          <w:bCs/>
          <w:i/>
          <w:iCs/>
          <w:szCs w:val="24"/>
        </w:rPr>
      </w:pPr>
      <w:r w:rsidRPr="00F06D94">
        <w:rPr>
          <w:rFonts w:ascii="Arial" w:hAnsi="Arial" w:cs="Arial"/>
          <w:b/>
          <w:bCs/>
          <w:szCs w:val="24"/>
        </w:rPr>
        <w:t>Assignment Title</w:t>
      </w:r>
      <w:r w:rsidRPr="00F06D94">
        <w:rPr>
          <w:rFonts w:ascii="Arial" w:hAnsi="Arial" w:cs="Arial"/>
          <w:b/>
          <w:bCs/>
          <w:i/>
          <w:iCs/>
          <w:szCs w:val="24"/>
        </w:rPr>
        <w:t xml:space="preserve">: </w:t>
      </w:r>
      <w:r w:rsidR="00F944F9" w:rsidRPr="00F06D94">
        <w:rPr>
          <w:rFonts w:ascii="Arial" w:hAnsi="Arial" w:cs="Arial"/>
          <w:b/>
          <w:bCs/>
          <w:i/>
          <w:iCs/>
          <w:szCs w:val="24"/>
        </w:rPr>
        <w:t>Strategic Analysis of Shell plc: Evaluating Competitive Advantage and Energy Transition in the Global Energy Industry</w:t>
      </w:r>
    </w:p>
    <w:p w14:paraId="46DDE57B" w14:textId="4AE26921" w:rsidR="00FD200D" w:rsidRPr="00F06D94" w:rsidRDefault="00FD200D" w:rsidP="001745FC">
      <w:pPr>
        <w:spacing w:before="120" w:after="120"/>
        <w:jc w:val="center"/>
        <w:rPr>
          <w:rFonts w:ascii="Arial" w:hAnsi="Arial" w:cs="Arial"/>
          <w:b/>
          <w:bCs/>
          <w:szCs w:val="24"/>
        </w:rPr>
      </w:pPr>
    </w:p>
    <w:p w14:paraId="68444301" w14:textId="2CFB19B4" w:rsidR="00FD200D" w:rsidRDefault="00FD200D" w:rsidP="001745FC">
      <w:pPr>
        <w:spacing w:before="120" w:after="120"/>
        <w:jc w:val="center"/>
        <w:rPr>
          <w:rFonts w:ascii="Arial" w:hAnsi="Arial" w:cs="Arial"/>
          <w:b/>
          <w:bCs/>
          <w:szCs w:val="24"/>
        </w:rPr>
      </w:pPr>
      <w:r w:rsidRPr="00F06D94">
        <w:rPr>
          <w:rFonts w:ascii="Arial" w:hAnsi="Arial" w:cs="Arial"/>
          <w:b/>
          <w:bCs/>
          <w:szCs w:val="24"/>
        </w:rPr>
        <w:t xml:space="preserve">Word Count: </w:t>
      </w:r>
      <w:r w:rsidR="00147AAB" w:rsidRPr="00F06D94">
        <w:rPr>
          <w:rFonts w:ascii="Arial" w:hAnsi="Arial" w:cs="Arial"/>
          <w:b/>
          <w:bCs/>
          <w:szCs w:val="24"/>
        </w:rPr>
        <w:t xml:space="preserve">5148 Words </w:t>
      </w:r>
    </w:p>
    <w:p w14:paraId="3815DC64" w14:textId="24CFEE8F" w:rsidR="00F06D94" w:rsidRPr="00F06D94" w:rsidRDefault="00F06D94" w:rsidP="001745FC">
      <w:pPr>
        <w:spacing w:before="120" w:after="120"/>
        <w:jc w:val="center"/>
        <w:rPr>
          <w:rFonts w:ascii="Arial" w:hAnsi="Arial" w:cs="Arial"/>
          <w:b/>
          <w:bCs/>
          <w:szCs w:val="24"/>
        </w:rPr>
      </w:pPr>
      <w:r>
        <w:rPr>
          <w:rFonts w:ascii="Arial" w:hAnsi="Arial" w:cs="Arial"/>
          <w:b/>
          <w:bCs/>
          <w:szCs w:val="24"/>
        </w:rPr>
        <w:t>Term- 2</w:t>
      </w:r>
    </w:p>
    <w:p w14:paraId="3A80C252" w14:textId="6DDED646" w:rsidR="00991A03" w:rsidRDefault="00991A03" w:rsidP="001745FC">
      <w:pPr>
        <w:spacing w:before="120" w:after="120"/>
        <w:jc w:val="center"/>
        <w:rPr>
          <w:rFonts w:cs="Times New Roman"/>
          <w:b/>
          <w:bCs/>
          <w:szCs w:val="24"/>
        </w:rPr>
      </w:pPr>
      <w:r>
        <w:rPr>
          <w:rFonts w:cs="Times New Roman"/>
          <w:b/>
          <w:bCs/>
          <w:szCs w:val="24"/>
        </w:rPr>
        <w:br w:type="page"/>
      </w:r>
    </w:p>
    <w:sdt>
      <w:sdtPr>
        <w:rPr>
          <w:rFonts w:ascii="Times New Roman" w:eastAsiaTheme="minorHAnsi" w:hAnsi="Times New Roman" w:cs="Times New Roman"/>
          <w:b/>
          <w:bCs/>
          <w:color w:val="auto"/>
          <w:kern w:val="2"/>
          <w:sz w:val="24"/>
          <w:szCs w:val="24"/>
          <w:lang w:val="en-IN"/>
          <w14:ligatures w14:val="standardContextual"/>
        </w:rPr>
        <w:id w:val="-1804536578"/>
        <w:docPartObj>
          <w:docPartGallery w:val="Table of Contents"/>
          <w:docPartUnique/>
        </w:docPartObj>
      </w:sdtPr>
      <w:sdtEndPr>
        <w:rPr>
          <w:rFonts w:cstheme="minorBidi"/>
          <w:noProof/>
          <w:szCs w:val="22"/>
        </w:rPr>
      </w:sdtEndPr>
      <w:sdtContent>
        <w:p w14:paraId="25F7A7F0" w14:textId="16EE2CC8" w:rsidR="00991A03" w:rsidRPr="004F41B3" w:rsidRDefault="00991A03" w:rsidP="00175F6B">
          <w:pPr>
            <w:pStyle w:val="TOCHeading"/>
            <w:spacing w:before="120" w:after="120" w:line="360" w:lineRule="auto"/>
            <w:jc w:val="both"/>
            <w:rPr>
              <w:rFonts w:ascii="Times New Roman" w:hAnsi="Times New Roman" w:cs="Times New Roman"/>
              <w:b/>
              <w:bCs/>
              <w:color w:val="auto"/>
              <w:sz w:val="24"/>
              <w:szCs w:val="24"/>
            </w:rPr>
          </w:pPr>
          <w:r w:rsidRPr="004F41B3">
            <w:rPr>
              <w:rFonts w:ascii="Times New Roman" w:hAnsi="Times New Roman" w:cs="Times New Roman"/>
              <w:b/>
              <w:bCs/>
              <w:color w:val="auto"/>
              <w:sz w:val="24"/>
              <w:szCs w:val="24"/>
            </w:rPr>
            <w:t>Table of Contents</w:t>
          </w:r>
        </w:p>
        <w:p w14:paraId="5AC06D0A" w14:textId="7D312081" w:rsidR="00693754" w:rsidRDefault="00991A03">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23779810" w:history="1">
            <w:r w:rsidR="00693754" w:rsidRPr="0058324B">
              <w:rPr>
                <w:rStyle w:val="Hyperlink"/>
                <w:noProof/>
              </w:rPr>
              <w:t>Section 1: Strategic Analysis and Evaluation of Shell plc</w:t>
            </w:r>
            <w:r w:rsidR="00693754">
              <w:rPr>
                <w:noProof/>
                <w:webHidden/>
              </w:rPr>
              <w:tab/>
            </w:r>
            <w:r w:rsidR="00693754">
              <w:rPr>
                <w:noProof/>
                <w:webHidden/>
              </w:rPr>
              <w:fldChar w:fldCharType="begin"/>
            </w:r>
            <w:r w:rsidR="00693754">
              <w:rPr>
                <w:noProof/>
                <w:webHidden/>
              </w:rPr>
              <w:instrText xml:space="preserve"> PAGEREF _Toc223779810 \h </w:instrText>
            </w:r>
            <w:r w:rsidR="00693754">
              <w:rPr>
                <w:noProof/>
                <w:webHidden/>
              </w:rPr>
            </w:r>
            <w:r w:rsidR="00693754">
              <w:rPr>
                <w:noProof/>
                <w:webHidden/>
              </w:rPr>
              <w:fldChar w:fldCharType="separate"/>
            </w:r>
            <w:r w:rsidR="00693754">
              <w:rPr>
                <w:noProof/>
                <w:webHidden/>
              </w:rPr>
              <w:t>3</w:t>
            </w:r>
            <w:r w:rsidR="00693754">
              <w:rPr>
                <w:noProof/>
                <w:webHidden/>
              </w:rPr>
              <w:fldChar w:fldCharType="end"/>
            </w:r>
          </w:hyperlink>
        </w:p>
        <w:p w14:paraId="2323F0AD" w14:textId="2FC71FB8" w:rsidR="00693754" w:rsidRDefault="005C7196">
          <w:pPr>
            <w:pStyle w:val="TOC1"/>
            <w:tabs>
              <w:tab w:val="right" w:leader="dot" w:pos="9016"/>
            </w:tabs>
            <w:rPr>
              <w:rFonts w:asciiTheme="minorHAnsi" w:eastAsiaTheme="minorEastAsia" w:hAnsiTheme="minorHAnsi"/>
              <w:noProof/>
              <w:szCs w:val="24"/>
              <w:lang w:eastAsia="en-IN"/>
            </w:rPr>
          </w:pPr>
          <w:hyperlink w:anchor="_Toc223779811" w:history="1">
            <w:r w:rsidR="00693754" w:rsidRPr="0058324B">
              <w:rPr>
                <w:rStyle w:val="Hyperlink"/>
                <w:noProof/>
              </w:rPr>
              <w:t>1. Organisational Context and Overview</w:t>
            </w:r>
            <w:r w:rsidR="00693754">
              <w:rPr>
                <w:noProof/>
                <w:webHidden/>
              </w:rPr>
              <w:tab/>
            </w:r>
            <w:r w:rsidR="00693754">
              <w:rPr>
                <w:noProof/>
                <w:webHidden/>
              </w:rPr>
              <w:fldChar w:fldCharType="begin"/>
            </w:r>
            <w:r w:rsidR="00693754">
              <w:rPr>
                <w:noProof/>
                <w:webHidden/>
              </w:rPr>
              <w:instrText xml:space="preserve"> PAGEREF _Toc223779811 \h </w:instrText>
            </w:r>
            <w:r w:rsidR="00693754">
              <w:rPr>
                <w:noProof/>
                <w:webHidden/>
              </w:rPr>
            </w:r>
            <w:r w:rsidR="00693754">
              <w:rPr>
                <w:noProof/>
                <w:webHidden/>
              </w:rPr>
              <w:fldChar w:fldCharType="separate"/>
            </w:r>
            <w:r w:rsidR="00693754">
              <w:rPr>
                <w:noProof/>
                <w:webHidden/>
              </w:rPr>
              <w:t>3</w:t>
            </w:r>
            <w:r w:rsidR="00693754">
              <w:rPr>
                <w:noProof/>
                <w:webHidden/>
              </w:rPr>
              <w:fldChar w:fldCharType="end"/>
            </w:r>
          </w:hyperlink>
        </w:p>
        <w:p w14:paraId="34D4E0BC" w14:textId="1C63DD6B" w:rsidR="00693754" w:rsidRDefault="005C7196">
          <w:pPr>
            <w:pStyle w:val="TOC1"/>
            <w:tabs>
              <w:tab w:val="right" w:leader="dot" w:pos="9016"/>
            </w:tabs>
            <w:rPr>
              <w:rFonts w:asciiTheme="minorHAnsi" w:eastAsiaTheme="minorEastAsia" w:hAnsiTheme="minorHAnsi"/>
              <w:noProof/>
              <w:szCs w:val="24"/>
              <w:lang w:eastAsia="en-IN"/>
            </w:rPr>
          </w:pPr>
          <w:hyperlink w:anchor="_Toc223779812" w:history="1">
            <w:r w:rsidR="00693754" w:rsidRPr="0058324B">
              <w:rPr>
                <w:rStyle w:val="Hyperlink"/>
                <w:noProof/>
              </w:rPr>
              <w:t>2. External and Internal Environment Analysis</w:t>
            </w:r>
            <w:r w:rsidR="00693754">
              <w:rPr>
                <w:noProof/>
                <w:webHidden/>
              </w:rPr>
              <w:tab/>
            </w:r>
            <w:r w:rsidR="00693754">
              <w:rPr>
                <w:noProof/>
                <w:webHidden/>
              </w:rPr>
              <w:fldChar w:fldCharType="begin"/>
            </w:r>
            <w:r w:rsidR="00693754">
              <w:rPr>
                <w:noProof/>
                <w:webHidden/>
              </w:rPr>
              <w:instrText xml:space="preserve"> PAGEREF _Toc223779812 \h </w:instrText>
            </w:r>
            <w:r w:rsidR="00693754">
              <w:rPr>
                <w:noProof/>
                <w:webHidden/>
              </w:rPr>
            </w:r>
            <w:r w:rsidR="00693754">
              <w:rPr>
                <w:noProof/>
                <w:webHidden/>
              </w:rPr>
              <w:fldChar w:fldCharType="separate"/>
            </w:r>
            <w:r w:rsidR="00693754">
              <w:rPr>
                <w:noProof/>
                <w:webHidden/>
              </w:rPr>
              <w:t>4</w:t>
            </w:r>
            <w:r w:rsidR="00693754">
              <w:rPr>
                <w:noProof/>
                <w:webHidden/>
              </w:rPr>
              <w:fldChar w:fldCharType="end"/>
            </w:r>
          </w:hyperlink>
        </w:p>
        <w:p w14:paraId="65BE5580" w14:textId="1F4EE127" w:rsidR="00693754" w:rsidRDefault="005C7196">
          <w:pPr>
            <w:pStyle w:val="TOC2"/>
            <w:tabs>
              <w:tab w:val="right" w:leader="dot" w:pos="9016"/>
            </w:tabs>
            <w:rPr>
              <w:rFonts w:asciiTheme="minorHAnsi" w:eastAsiaTheme="minorEastAsia" w:hAnsiTheme="minorHAnsi"/>
              <w:noProof/>
              <w:szCs w:val="24"/>
              <w:lang w:eastAsia="en-IN"/>
            </w:rPr>
          </w:pPr>
          <w:hyperlink w:anchor="_Toc223779813" w:history="1">
            <w:r w:rsidR="00693754" w:rsidRPr="0058324B">
              <w:rPr>
                <w:rStyle w:val="Hyperlink"/>
                <w:noProof/>
              </w:rPr>
              <w:t>2.1. External Environment (PESTEL Analysis)</w:t>
            </w:r>
            <w:r w:rsidR="00693754">
              <w:rPr>
                <w:noProof/>
                <w:webHidden/>
              </w:rPr>
              <w:tab/>
            </w:r>
            <w:r w:rsidR="00693754">
              <w:rPr>
                <w:noProof/>
                <w:webHidden/>
              </w:rPr>
              <w:fldChar w:fldCharType="begin"/>
            </w:r>
            <w:r w:rsidR="00693754">
              <w:rPr>
                <w:noProof/>
                <w:webHidden/>
              </w:rPr>
              <w:instrText xml:space="preserve"> PAGEREF _Toc223779813 \h </w:instrText>
            </w:r>
            <w:r w:rsidR="00693754">
              <w:rPr>
                <w:noProof/>
                <w:webHidden/>
              </w:rPr>
            </w:r>
            <w:r w:rsidR="00693754">
              <w:rPr>
                <w:noProof/>
                <w:webHidden/>
              </w:rPr>
              <w:fldChar w:fldCharType="separate"/>
            </w:r>
            <w:r w:rsidR="00693754">
              <w:rPr>
                <w:noProof/>
                <w:webHidden/>
              </w:rPr>
              <w:t>4</w:t>
            </w:r>
            <w:r w:rsidR="00693754">
              <w:rPr>
                <w:noProof/>
                <w:webHidden/>
              </w:rPr>
              <w:fldChar w:fldCharType="end"/>
            </w:r>
          </w:hyperlink>
        </w:p>
        <w:p w14:paraId="51E2FB19" w14:textId="65E82190" w:rsidR="00693754" w:rsidRDefault="005C7196">
          <w:pPr>
            <w:pStyle w:val="TOC2"/>
            <w:tabs>
              <w:tab w:val="right" w:leader="dot" w:pos="9016"/>
            </w:tabs>
            <w:rPr>
              <w:rFonts w:asciiTheme="minorHAnsi" w:eastAsiaTheme="minorEastAsia" w:hAnsiTheme="minorHAnsi"/>
              <w:noProof/>
              <w:szCs w:val="24"/>
              <w:lang w:eastAsia="en-IN"/>
            </w:rPr>
          </w:pPr>
          <w:hyperlink w:anchor="_Toc223779814" w:history="1">
            <w:r w:rsidR="00693754" w:rsidRPr="0058324B">
              <w:rPr>
                <w:rStyle w:val="Hyperlink"/>
                <w:noProof/>
              </w:rPr>
              <w:t>2.2 Critical Success Factors and Strategic Challenges</w:t>
            </w:r>
            <w:r w:rsidR="00693754">
              <w:rPr>
                <w:noProof/>
                <w:webHidden/>
              </w:rPr>
              <w:tab/>
            </w:r>
            <w:r w:rsidR="00693754">
              <w:rPr>
                <w:noProof/>
                <w:webHidden/>
              </w:rPr>
              <w:fldChar w:fldCharType="begin"/>
            </w:r>
            <w:r w:rsidR="00693754">
              <w:rPr>
                <w:noProof/>
                <w:webHidden/>
              </w:rPr>
              <w:instrText xml:space="preserve"> PAGEREF _Toc223779814 \h </w:instrText>
            </w:r>
            <w:r w:rsidR="00693754">
              <w:rPr>
                <w:noProof/>
                <w:webHidden/>
              </w:rPr>
            </w:r>
            <w:r w:rsidR="00693754">
              <w:rPr>
                <w:noProof/>
                <w:webHidden/>
              </w:rPr>
              <w:fldChar w:fldCharType="separate"/>
            </w:r>
            <w:r w:rsidR="00693754">
              <w:rPr>
                <w:noProof/>
                <w:webHidden/>
              </w:rPr>
              <w:t>7</w:t>
            </w:r>
            <w:r w:rsidR="00693754">
              <w:rPr>
                <w:noProof/>
                <w:webHidden/>
              </w:rPr>
              <w:fldChar w:fldCharType="end"/>
            </w:r>
          </w:hyperlink>
        </w:p>
        <w:p w14:paraId="0BC7C1A1" w14:textId="17EBCD4C" w:rsidR="00693754" w:rsidRDefault="005C7196">
          <w:pPr>
            <w:pStyle w:val="TOC1"/>
            <w:tabs>
              <w:tab w:val="right" w:leader="dot" w:pos="9016"/>
            </w:tabs>
            <w:rPr>
              <w:rFonts w:asciiTheme="minorHAnsi" w:eastAsiaTheme="minorEastAsia" w:hAnsiTheme="minorHAnsi"/>
              <w:noProof/>
              <w:szCs w:val="24"/>
              <w:lang w:eastAsia="en-IN"/>
            </w:rPr>
          </w:pPr>
          <w:hyperlink w:anchor="_Toc223779815" w:history="1">
            <w:r w:rsidR="00693754" w:rsidRPr="0058324B">
              <w:rPr>
                <w:rStyle w:val="Hyperlink"/>
                <w:noProof/>
                <w:lang w:val="en-US"/>
              </w:rPr>
              <w:t>3. CSR and Sustainability Objectives</w:t>
            </w:r>
            <w:r w:rsidR="00693754">
              <w:rPr>
                <w:noProof/>
                <w:webHidden/>
              </w:rPr>
              <w:tab/>
            </w:r>
            <w:r w:rsidR="00693754">
              <w:rPr>
                <w:noProof/>
                <w:webHidden/>
              </w:rPr>
              <w:fldChar w:fldCharType="begin"/>
            </w:r>
            <w:r w:rsidR="00693754">
              <w:rPr>
                <w:noProof/>
                <w:webHidden/>
              </w:rPr>
              <w:instrText xml:space="preserve"> PAGEREF _Toc223779815 \h </w:instrText>
            </w:r>
            <w:r w:rsidR="00693754">
              <w:rPr>
                <w:noProof/>
                <w:webHidden/>
              </w:rPr>
            </w:r>
            <w:r w:rsidR="00693754">
              <w:rPr>
                <w:noProof/>
                <w:webHidden/>
              </w:rPr>
              <w:fldChar w:fldCharType="separate"/>
            </w:r>
            <w:r w:rsidR="00693754">
              <w:rPr>
                <w:noProof/>
                <w:webHidden/>
              </w:rPr>
              <w:t>10</w:t>
            </w:r>
            <w:r w:rsidR="00693754">
              <w:rPr>
                <w:noProof/>
                <w:webHidden/>
              </w:rPr>
              <w:fldChar w:fldCharType="end"/>
            </w:r>
          </w:hyperlink>
        </w:p>
        <w:p w14:paraId="095C0546" w14:textId="5855868D" w:rsidR="00693754" w:rsidRDefault="005C7196">
          <w:pPr>
            <w:pStyle w:val="TOC2"/>
            <w:tabs>
              <w:tab w:val="right" w:leader="dot" w:pos="9016"/>
            </w:tabs>
            <w:rPr>
              <w:rFonts w:asciiTheme="minorHAnsi" w:eastAsiaTheme="minorEastAsia" w:hAnsiTheme="minorHAnsi"/>
              <w:noProof/>
              <w:szCs w:val="24"/>
              <w:lang w:eastAsia="en-IN"/>
            </w:rPr>
          </w:pPr>
          <w:hyperlink w:anchor="_Toc223779816" w:history="1">
            <w:r w:rsidR="00693754" w:rsidRPr="0058324B">
              <w:rPr>
                <w:rStyle w:val="Hyperlink"/>
                <w:noProof/>
                <w:lang w:val="en-US"/>
              </w:rPr>
              <w:t>3.1 Overview of Shell’s CSR and Sustainability</w:t>
            </w:r>
            <w:r w:rsidR="00693754">
              <w:rPr>
                <w:noProof/>
                <w:webHidden/>
              </w:rPr>
              <w:tab/>
            </w:r>
            <w:r w:rsidR="00693754">
              <w:rPr>
                <w:noProof/>
                <w:webHidden/>
              </w:rPr>
              <w:fldChar w:fldCharType="begin"/>
            </w:r>
            <w:r w:rsidR="00693754">
              <w:rPr>
                <w:noProof/>
                <w:webHidden/>
              </w:rPr>
              <w:instrText xml:space="preserve"> PAGEREF _Toc223779816 \h </w:instrText>
            </w:r>
            <w:r w:rsidR="00693754">
              <w:rPr>
                <w:noProof/>
                <w:webHidden/>
              </w:rPr>
            </w:r>
            <w:r w:rsidR="00693754">
              <w:rPr>
                <w:noProof/>
                <w:webHidden/>
              </w:rPr>
              <w:fldChar w:fldCharType="separate"/>
            </w:r>
            <w:r w:rsidR="00693754">
              <w:rPr>
                <w:noProof/>
                <w:webHidden/>
              </w:rPr>
              <w:t>10</w:t>
            </w:r>
            <w:r w:rsidR="00693754">
              <w:rPr>
                <w:noProof/>
                <w:webHidden/>
              </w:rPr>
              <w:fldChar w:fldCharType="end"/>
            </w:r>
          </w:hyperlink>
        </w:p>
        <w:p w14:paraId="2A43025B" w14:textId="7B33772E" w:rsidR="00693754" w:rsidRDefault="005C7196">
          <w:pPr>
            <w:pStyle w:val="TOC2"/>
            <w:tabs>
              <w:tab w:val="right" w:leader="dot" w:pos="9016"/>
            </w:tabs>
            <w:rPr>
              <w:rFonts w:asciiTheme="minorHAnsi" w:eastAsiaTheme="minorEastAsia" w:hAnsiTheme="minorHAnsi"/>
              <w:noProof/>
              <w:szCs w:val="24"/>
              <w:lang w:eastAsia="en-IN"/>
            </w:rPr>
          </w:pPr>
          <w:hyperlink w:anchor="_Toc223779817" w:history="1">
            <w:r w:rsidR="00693754" w:rsidRPr="0058324B">
              <w:rPr>
                <w:rStyle w:val="Hyperlink"/>
                <w:noProof/>
              </w:rPr>
              <w:t>3.2 Alignment between CSR and Business Strategy</w:t>
            </w:r>
            <w:r w:rsidR="00693754">
              <w:rPr>
                <w:noProof/>
                <w:webHidden/>
              </w:rPr>
              <w:tab/>
            </w:r>
            <w:r w:rsidR="00693754">
              <w:rPr>
                <w:noProof/>
                <w:webHidden/>
              </w:rPr>
              <w:fldChar w:fldCharType="begin"/>
            </w:r>
            <w:r w:rsidR="00693754">
              <w:rPr>
                <w:noProof/>
                <w:webHidden/>
              </w:rPr>
              <w:instrText xml:space="preserve"> PAGEREF _Toc223779817 \h </w:instrText>
            </w:r>
            <w:r w:rsidR="00693754">
              <w:rPr>
                <w:noProof/>
                <w:webHidden/>
              </w:rPr>
            </w:r>
            <w:r w:rsidR="00693754">
              <w:rPr>
                <w:noProof/>
                <w:webHidden/>
              </w:rPr>
              <w:fldChar w:fldCharType="separate"/>
            </w:r>
            <w:r w:rsidR="00693754">
              <w:rPr>
                <w:noProof/>
                <w:webHidden/>
              </w:rPr>
              <w:t>10</w:t>
            </w:r>
            <w:r w:rsidR="00693754">
              <w:rPr>
                <w:noProof/>
                <w:webHidden/>
              </w:rPr>
              <w:fldChar w:fldCharType="end"/>
            </w:r>
          </w:hyperlink>
        </w:p>
        <w:p w14:paraId="67BE322D" w14:textId="6620E160" w:rsidR="00693754" w:rsidRDefault="005C7196">
          <w:pPr>
            <w:pStyle w:val="TOC2"/>
            <w:tabs>
              <w:tab w:val="right" w:leader="dot" w:pos="9016"/>
            </w:tabs>
            <w:rPr>
              <w:rFonts w:asciiTheme="minorHAnsi" w:eastAsiaTheme="minorEastAsia" w:hAnsiTheme="minorHAnsi"/>
              <w:noProof/>
              <w:szCs w:val="24"/>
              <w:lang w:eastAsia="en-IN"/>
            </w:rPr>
          </w:pPr>
          <w:hyperlink w:anchor="_Toc223779818" w:history="1">
            <w:r w:rsidR="00693754" w:rsidRPr="0058324B">
              <w:rPr>
                <w:rStyle w:val="Hyperlink"/>
                <w:noProof/>
              </w:rPr>
              <w:t>3.3 Critical Evaluation of CSR Effectiveness</w:t>
            </w:r>
            <w:r w:rsidR="00693754">
              <w:rPr>
                <w:noProof/>
                <w:webHidden/>
              </w:rPr>
              <w:tab/>
            </w:r>
            <w:r w:rsidR="00693754">
              <w:rPr>
                <w:noProof/>
                <w:webHidden/>
              </w:rPr>
              <w:fldChar w:fldCharType="begin"/>
            </w:r>
            <w:r w:rsidR="00693754">
              <w:rPr>
                <w:noProof/>
                <w:webHidden/>
              </w:rPr>
              <w:instrText xml:space="preserve"> PAGEREF _Toc223779818 \h </w:instrText>
            </w:r>
            <w:r w:rsidR="00693754">
              <w:rPr>
                <w:noProof/>
                <w:webHidden/>
              </w:rPr>
            </w:r>
            <w:r w:rsidR="00693754">
              <w:rPr>
                <w:noProof/>
                <w:webHidden/>
              </w:rPr>
              <w:fldChar w:fldCharType="separate"/>
            </w:r>
            <w:r w:rsidR="00693754">
              <w:rPr>
                <w:noProof/>
                <w:webHidden/>
              </w:rPr>
              <w:t>10</w:t>
            </w:r>
            <w:r w:rsidR="00693754">
              <w:rPr>
                <w:noProof/>
                <w:webHidden/>
              </w:rPr>
              <w:fldChar w:fldCharType="end"/>
            </w:r>
          </w:hyperlink>
        </w:p>
        <w:p w14:paraId="0697CF61" w14:textId="5538CF3A" w:rsidR="00693754" w:rsidRDefault="005C7196">
          <w:pPr>
            <w:pStyle w:val="TOC1"/>
            <w:tabs>
              <w:tab w:val="right" w:leader="dot" w:pos="9016"/>
            </w:tabs>
            <w:rPr>
              <w:rFonts w:asciiTheme="minorHAnsi" w:eastAsiaTheme="minorEastAsia" w:hAnsiTheme="minorHAnsi"/>
              <w:noProof/>
              <w:szCs w:val="24"/>
              <w:lang w:eastAsia="en-IN"/>
            </w:rPr>
          </w:pPr>
          <w:hyperlink w:anchor="_Toc223779819" w:history="1">
            <w:r w:rsidR="00693754" w:rsidRPr="0058324B">
              <w:rPr>
                <w:rStyle w:val="Hyperlink"/>
                <w:noProof/>
              </w:rPr>
              <w:t>4. Comprehensive and Holistic view</w:t>
            </w:r>
            <w:r w:rsidR="00693754">
              <w:rPr>
                <w:noProof/>
                <w:webHidden/>
              </w:rPr>
              <w:tab/>
            </w:r>
            <w:r w:rsidR="00693754">
              <w:rPr>
                <w:noProof/>
                <w:webHidden/>
              </w:rPr>
              <w:fldChar w:fldCharType="begin"/>
            </w:r>
            <w:r w:rsidR="00693754">
              <w:rPr>
                <w:noProof/>
                <w:webHidden/>
              </w:rPr>
              <w:instrText xml:space="preserve"> PAGEREF _Toc223779819 \h </w:instrText>
            </w:r>
            <w:r w:rsidR="00693754">
              <w:rPr>
                <w:noProof/>
                <w:webHidden/>
              </w:rPr>
            </w:r>
            <w:r w:rsidR="00693754">
              <w:rPr>
                <w:noProof/>
                <w:webHidden/>
              </w:rPr>
              <w:fldChar w:fldCharType="separate"/>
            </w:r>
            <w:r w:rsidR="00693754">
              <w:rPr>
                <w:noProof/>
                <w:webHidden/>
              </w:rPr>
              <w:t>11</w:t>
            </w:r>
            <w:r w:rsidR="00693754">
              <w:rPr>
                <w:noProof/>
                <w:webHidden/>
              </w:rPr>
              <w:fldChar w:fldCharType="end"/>
            </w:r>
          </w:hyperlink>
        </w:p>
        <w:p w14:paraId="08FB665A" w14:textId="6FE6A593" w:rsidR="00693754" w:rsidRDefault="005C7196">
          <w:pPr>
            <w:pStyle w:val="TOC2"/>
            <w:tabs>
              <w:tab w:val="right" w:leader="dot" w:pos="9016"/>
            </w:tabs>
            <w:rPr>
              <w:rFonts w:asciiTheme="minorHAnsi" w:eastAsiaTheme="minorEastAsia" w:hAnsiTheme="minorHAnsi"/>
              <w:noProof/>
              <w:szCs w:val="24"/>
              <w:lang w:eastAsia="en-IN"/>
            </w:rPr>
          </w:pPr>
          <w:hyperlink w:anchor="_Toc223779820" w:history="1">
            <w:r w:rsidR="00693754" w:rsidRPr="0058324B">
              <w:rPr>
                <w:rStyle w:val="Hyperlink"/>
                <w:noProof/>
              </w:rPr>
              <w:t>4.1 Financial Perspective</w:t>
            </w:r>
            <w:r w:rsidR="00693754">
              <w:rPr>
                <w:noProof/>
                <w:webHidden/>
              </w:rPr>
              <w:tab/>
            </w:r>
            <w:r w:rsidR="00693754">
              <w:rPr>
                <w:noProof/>
                <w:webHidden/>
              </w:rPr>
              <w:fldChar w:fldCharType="begin"/>
            </w:r>
            <w:r w:rsidR="00693754">
              <w:rPr>
                <w:noProof/>
                <w:webHidden/>
              </w:rPr>
              <w:instrText xml:space="preserve"> PAGEREF _Toc223779820 \h </w:instrText>
            </w:r>
            <w:r w:rsidR="00693754">
              <w:rPr>
                <w:noProof/>
                <w:webHidden/>
              </w:rPr>
            </w:r>
            <w:r w:rsidR="00693754">
              <w:rPr>
                <w:noProof/>
                <w:webHidden/>
              </w:rPr>
              <w:fldChar w:fldCharType="separate"/>
            </w:r>
            <w:r w:rsidR="00693754">
              <w:rPr>
                <w:noProof/>
                <w:webHidden/>
              </w:rPr>
              <w:t>11</w:t>
            </w:r>
            <w:r w:rsidR="00693754">
              <w:rPr>
                <w:noProof/>
                <w:webHidden/>
              </w:rPr>
              <w:fldChar w:fldCharType="end"/>
            </w:r>
          </w:hyperlink>
        </w:p>
        <w:p w14:paraId="2F924152" w14:textId="643B58D2" w:rsidR="00693754" w:rsidRDefault="005C7196">
          <w:pPr>
            <w:pStyle w:val="TOC2"/>
            <w:tabs>
              <w:tab w:val="right" w:leader="dot" w:pos="9016"/>
            </w:tabs>
            <w:rPr>
              <w:rFonts w:asciiTheme="minorHAnsi" w:eastAsiaTheme="minorEastAsia" w:hAnsiTheme="minorHAnsi"/>
              <w:noProof/>
              <w:szCs w:val="24"/>
              <w:lang w:eastAsia="en-IN"/>
            </w:rPr>
          </w:pPr>
          <w:hyperlink w:anchor="_Toc223779821" w:history="1">
            <w:r w:rsidR="00693754" w:rsidRPr="0058324B">
              <w:rPr>
                <w:rStyle w:val="Hyperlink"/>
                <w:noProof/>
              </w:rPr>
              <w:t>4.2 Customer Perspective</w:t>
            </w:r>
            <w:r w:rsidR="00693754">
              <w:rPr>
                <w:noProof/>
                <w:webHidden/>
              </w:rPr>
              <w:tab/>
            </w:r>
            <w:r w:rsidR="00693754">
              <w:rPr>
                <w:noProof/>
                <w:webHidden/>
              </w:rPr>
              <w:fldChar w:fldCharType="begin"/>
            </w:r>
            <w:r w:rsidR="00693754">
              <w:rPr>
                <w:noProof/>
                <w:webHidden/>
              </w:rPr>
              <w:instrText xml:space="preserve"> PAGEREF _Toc223779821 \h </w:instrText>
            </w:r>
            <w:r w:rsidR="00693754">
              <w:rPr>
                <w:noProof/>
                <w:webHidden/>
              </w:rPr>
            </w:r>
            <w:r w:rsidR="00693754">
              <w:rPr>
                <w:noProof/>
                <w:webHidden/>
              </w:rPr>
              <w:fldChar w:fldCharType="separate"/>
            </w:r>
            <w:r w:rsidR="00693754">
              <w:rPr>
                <w:noProof/>
                <w:webHidden/>
              </w:rPr>
              <w:t>11</w:t>
            </w:r>
            <w:r w:rsidR="00693754">
              <w:rPr>
                <w:noProof/>
                <w:webHidden/>
              </w:rPr>
              <w:fldChar w:fldCharType="end"/>
            </w:r>
          </w:hyperlink>
        </w:p>
        <w:p w14:paraId="18E0AA3A" w14:textId="38E7A5A9" w:rsidR="00693754" w:rsidRDefault="005C7196">
          <w:pPr>
            <w:pStyle w:val="TOC2"/>
            <w:tabs>
              <w:tab w:val="right" w:leader="dot" w:pos="9016"/>
            </w:tabs>
            <w:rPr>
              <w:rFonts w:asciiTheme="minorHAnsi" w:eastAsiaTheme="minorEastAsia" w:hAnsiTheme="minorHAnsi"/>
              <w:noProof/>
              <w:szCs w:val="24"/>
              <w:lang w:eastAsia="en-IN"/>
            </w:rPr>
          </w:pPr>
          <w:hyperlink w:anchor="_Toc223779822" w:history="1">
            <w:r w:rsidR="00693754" w:rsidRPr="0058324B">
              <w:rPr>
                <w:rStyle w:val="Hyperlink"/>
                <w:noProof/>
              </w:rPr>
              <w:t>4.3 Internal Business Process Perspective</w:t>
            </w:r>
            <w:r w:rsidR="00693754">
              <w:rPr>
                <w:noProof/>
                <w:webHidden/>
              </w:rPr>
              <w:tab/>
            </w:r>
            <w:r w:rsidR="00693754">
              <w:rPr>
                <w:noProof/>
                <w:webHidden/>
              </w:rPr>
              <w:fldChar w:fldCharType="begin"/>
            </w:r>
            <w:r w:rsidR="00693754">
              <w:rPr>
                <w:noProof/>
                <w:webHidden/>
              </w:rPr>
              <w:instrText xml:space="preserve"> PAGEREF _Toc223779822 \h </w:instrText>
            </w:r>
            <w:r w:rsidR="00693754">
              <w:rPr>
                <w:noProof/>
                <w:webHidden/>
              </w:rPr>
            </w:r>
            <w:r w:rsidR="00693754">
              <w:rPr>
                <w:noProof/>
                <w:webHidden/>
              </w:rPr>
              <w:fldChar w:fldCharType="separate"/>
            </w:r>
            <w:r w:rsidR="00693754">
              <w:rPr>
                <w:noProof/>
                <w:webHidden/>
              </w:rPr>
              <w:t>12</w:t>
            </w:r>
            <w:r w:rsidR="00693754">
              <w:rPr>
                <w:noProof/>
                <w:webHidden/>
              </w:rPr>
              <w:fldChar w:fldCharType="end"/>
            </w:r>
          </w:hyperlink>
        </w:p>
        <w:p w14:paraId="7DEF38D3" w14:textId="7042763E" w:rsidR="00693754" w:rsidRDefault="005C7196">
          <w:pPr>
            <w:pStyle w:val="TOC2"/>
            <w:tabs>
              <w:tab w:val="right" w:leader="dot" w:pos="9016"/>
            </w:tabs>
            <w:rPr>
              <w:rFonts w:asciiTheme="minorHAnsi" w:eastAsiaTheme="minorEastAsia" w:hAnsiTheme="minorHAnsi"/>
              <w:noProof/>
              <w:szCs w:val="24"/>
              <w:lang w:eastAsia="en-IN"/>
            </w:rPr>
          </w:pPr>
          <w:hyperlink w:anchor="_Toc223779823" w:history="1">
            <w:r w:rsidR="00693754" w:rsidRPr="0058324B">
              <w:rPr>
                <w:rStyle w:val="Hyperlink"/>
                <w:noProof/>
              </w:rPr>
              <w:t>4.4 Learning and Growth Perspective</w:t>
            </w:r>
            <w:r w:rsidR="00693754">
              <w:rPr>
                <w:noProof/>
                <w:webHidden/>
              </w:rPr>
              <w:tab/>
            </w:r>
            <w:r w:rsidR="00693754">
              <w:rPr>
                <w:noProof/>
                <w:webHidden/>
              </w:rPr>
              <w:fldChar w:fldCharType="begin"/>
            </w:r>
            <w:r w:rsidR="00693754">
              <w:rPr>
                <w:noProof/>
                <w:webHidden/>
              </w:rPr>
              <w:instrText xml:space="preserve"> PAGEREF _Toc223779823 \h </w:instrText>
            </w:r>
            <w:r w:rsidR="00693754">
              <w:rPr>
                <w:noProof/>
                <w:webHidden/>
              </w:rPr>
            </w:r>
            <w:r w:rsidR="00693754">
              <w:rPr>
                <w:noProof/>
                <w:webHidden/>
              </w:rPr>
              <w:fldChar w:fldCharType="separate"/>
            </w:r>
            <w:r w:rsidR="00693754">
              <w:rPr>
                <w:noProof/>
                <w:webHidden/>
              </w:rPr>
              <w:t>12</w:t>
            </w:r>
            <w:r w:rsidR="00693754">
              <w:rPr>
                <w:noProof/>
                <w:webHidden/>
              </w:rPr>
              <w:fldChar w:fldCharType="end"/>
            </w:r>
          </w:hyperlink>
        </w:p>
        <w:p w14:paraId="5D63FAF9" w14:textId="7E6DD1A0" w:rsidR="00693754" w:rsidRDefault="005C7196">
          <w:pPr>
            <w:pStyle w:val="TOC1"/>
            <w:tabs>
              <w:tab w:val="right" w:leader="dot" w:pos="9016"/>
            </w:tabs>
            <w:rPr>
              <w:rFonts w:asciiTheme="minorHAnsi" w:eastAsiaTheme="minorEastAsia" w:hAnsiTheme="minorHAnsi"/>
              <w:noProof/>
              <w:szCs w:val="24"/>
              <w:lang w:eastAsia="en-IN"/>
            </w:rPr>
          </w:pPr>
          <w:hyperlink w:anchor="_Toc223779824" w:history="1">
            <w:r w:rsidR="00693754" w:rsidRPr="0058324B">
              <w:rPr>
                <w:rStyle w:val="Hyperlink"/>
                <w:noProof/>
                <w:lang w:val="en-US"/>
              </w:rPr>
              <w:t>5. Strategic Choices and Implementation</w:t>
            </w:r>
            <w:r w:rsidR="00693754">
              <w:rPr>
                <w:noProof/>
                <w:webHidden/>
              </w:rPr>
              <w:tab/>
            </w:r>
            <w:r w:rsidR="00693754">
              <w:rPr>
                <w:noProof/>
                <w:webHidden/>
              </w:rPr>
              <w:fldChar w:fldCharType="begin"/>
            </w:r>
            <w:r w:rsidR="00693754">
              <w:rPr>
                <w:noProof/>
                <w:webHidden/>
              </w:rPr>
              <w:instrText xml:space="preserve"> PAGEREF _Toc223779824 \h </w:instrText>
            </w:r>
            <w:r w:rsidR="00693754">
              <w:rPr>
                <w:noProof/>
                <w:webHidden/>
              </w:rPr>
            </w:r>
            <w:r w:rsidR="00693754">
              <w:rPr>
                <w:noProof/>
                <w:webHidden/>
              </w:rPr>
              <w:fldChar w:fldCharType="separate"/>
            </w:r>
            <w:r w:rsidR="00693754">
              <w:rPr>
                <w:noProof/>
                <w:webHidden/>
              </w:rPr>
              <w:t>13</w:t>
            </w:r>
            <w:r w:rsidR="00693754">
              <w:rPr>
                <w:noProof/>
                <w:webHidden/>
              </w:rPr>
              <w:fldChar w:fldCharType="end"/>
            </w:r>
          </w:hyperlink>
        </w:p>
        <w:p w14:paraId="5FA01A44" w14:textId="3D43DB27" w:rsidR="00693754" w:rsidRDefault="005C7196">
          <w:pPr>
            <w:pStyle w:val="TOC2"/>
            <w:tabs>
              <w:tab w:val="right" w:leader="dot" w:pos="9016"/>
            </w:tabs>
            <w:rPr>
              <w:rFonts w:asciiTheme="minorHAnsi" w:eastAsiaTheme="minorEastAsia" w:hAnsiTheme="minorHAnsi"/>
              <w:noProof/>
              <w:szCs w:val="24"/>
              <w:lang w:eastAsia="en-IN"/>
            </w:rPr>
          </w:pPr>
          <w:hyperlink w:anchor="_Toc223779825" w:history="1">
            <w:r w:rsidR="00693754" w:rsidRPr="0058324B">
              <w:rPr>
                <w:rStyle w:val="Hyperlink"/>
                <w:noProof/>
                <w:lang w:val="en-US"/>
              </w:rPr>
              <w:t>5.1 Business-Level Strategies</w:t>
            </w:r>
            <w:r w:rsidR="00693754">
              <w:rPr>
                <w:noProof/>
                <w:webHidden/>
              </w:rPr>
              <w:tab/>
            </w:r>
            <w:r w:rsidR="00693754">
              <w:rPr>
                <w:noProof/>
                <w:webHidden/>
              </w:rPr>
              <w:fldChar w:fldCharType="begin"/>
            </w:r>
            <w:r w:rsidR="00693754">
              <w:rPr>
                <w:noProof/>
                <w:webHidden/>
              </w:rPr>
              <w:instrText xml:space="preserve"> PAGEREF _Toc223779825 \h </w:instrText>
            </w:r>
            <w:r w:rsidR="00693754">
              <w:rPr>
                <w:noProof/>
                <w:webHidden/>
              </w:rPr>
            </w:r>
            <w:r w:rsidR="00693754">
              <w:rPr>
                <w:noProof/>
                <w:webHidden/>
              </w:rPr>
              <w:fldChar w:fldCharType="separate"/>
            </w:r>
            <w:r w:rsidR="00693754">
              <w:rPr>
                <w:noProof/>
                <w:webHidden/>
              </w:rPr>
              <w:t>13</w:t>
            </w:r>
            <w:r w:rsidR="00693754">
              <w:rPr>
                <w:noProof/>
                <w:webHidden/>
              </w:rPr>
              <w:fldChar w:fldCharType="end"/>
            </w:r>
          </w:hyperlink>
        </w:p>
        <w:p w14:paraId="1C1C8D8E" w14:textId="50BDC9F0" w:rsidR="00693754" w:rsidRDefault="005C7196">
          <w:pPr>
            <w:pStyle w:val="TOC2"/>
            <w:tabs>
              <w:tab w:val="right" w:leader="dot" w:pos="9016"/>
            </w:tabs>
            <w:rPr>
              <w:rFonts w:asciiTheme="minorHAnsi" w:eastAsiaTheme="minorEastAsia" w:hAnsiTheme="minorHAnsi"/>
              <w:noProof/>
              <w:szCs w:val="24"/>
              <w:lang w:eastAsia="en-IN"/>
            </w:rPr>
          </w:pPr>
          <w:hyperlink w:anchor="_Toc223779826" w:history="1">
            <w:r w:rsidR="00693754" w:rsidRPr="0058324B">
              <w:rPr>
                <w:rStyle w:val="Hyperlink"/>
                <w:noProof/>
                <w:lang w:val="en-US"/>
              </w:rPr>
              <w:t>5.2 Corporate- Level Strategies</w:t>
            </w:r>
            <w:r w:rsidR="00693754">
              <w:rPr>
                <w:noProof/>
                <w:webHidden/>
              </w:rPr>
              <w:tab/>
            </w:r>
            <w:r w:rsidR="00693754">
              <w:rPr>
                <w:noProof/>
                <w:webHidden/>
              </w:rPr>
              <w:fldChar w:fldCharType="begin"/>
            </w:r>
            <w:r w:rsidR="00693754">
              <w:rPr>
                <w:noProof/>
                <w:webHidden/>
              </w:rPr>
              <w:instrText xml:space="preserve"> PAGEREF _Toc223779826 \h </w:instrText>
            </w:r>
            <w:r w:rsidR="00693754">
              <w:rPr>
                <w:noProof/>
                <w:webHidden/>
              </w:rPr>
            </w:r>
            <w:r w:rsidR="00693754">
              <w:rPr>
                <w:noProof/>
                <w:webHidden/>
              </w:rPr>
              <w:fldChar w:fldCharType="separate"/>
            </w:r>
            <w:r w:rsidR="00693754">
              <w:rPr>
                <w:noProof/>
                <w:webHidden/>
              </w:rPr>
              <w:t>13</w:t>
            </w:r>
            <w:r w:rsidR="00693754">
              <w:rPr>
                <w:noProof/>
                <w:webHidden/>
              </w:rPr>
              <w:fldChar w:fldCharType="end"/>
            </w:r>
          </w:hyperlink>
        </w:p>
        <w:p w14:paraId="0E6F34D0" w14:textId="37063BE2" w:rsidR="00693754" w:rsidRDefault="005C7196">
          <w:pPr>
            <w:pStyle w:val="TOC2"/>
            <w:tabs>
              <w:tab w:val="right" w:leader="dot" w:pos="9016"/>
            </w:tabs>
            <w:rPr>
              <w:rFonts w:asciiTheme="minorHAnsi" w:eastAsiaTheme="minorEastAsia" w:hAnsiTheme="minorHAnsi"/>
              <w:noProof/>
              <w:szCs w:val="24"/>
              <w:lang w:eastAsia="en-IN"/>
            </w:rPr>
          </w:pPr>
          <w:hyperlink w:anchor="_Toc223779827" w:history="1">
            <w:r w:rsidR="00693754" w:rsidRPr="0058324B">
              <w:rPr>
                <w:rStyle w:val="Hyperlink"/>
                <w:noProof/>
              </w:rPr>
              <w:t>5.3 Strategic Change Management</w:t>
            </w:r>
            <w:r w:rsidR="00693754">
              <w:rPr>
                <w:noProof/>
                <w:webHidden/>
              </w:rPr>
              <w:tab/>
            </w:r>
            <w:r w:rsidR="00693754">
              <w:rPr>
                <w:noProof/>
                <w:webHidden/>
              </w:rPr>
              <w:fldChar w:fldCharType="begin"/>
            </w:r>
            <w:r w:rsidR="00693754">
              <w:rPr>
                <w:noProof/>
                <w:webHidden/>
              </w:rPr>
              <w:instrText xml:space="preserve"> PAGEREF _Toc223779827 \h </w:instrText>
            </w:r>
            <w:r w:rsidR="00693754">
              <w:rPr>
                <w:noProof/>
                <w:webHidden/>
              </w:rPr>
            </w:r>
            <w:r w:rsidR="00693754">
              <w:rPr>
                <w:noProof/>
                <w:webHidden/>
              </w:rPr>
              <w:fldChar w:fldCharType="separate"/>
            </w:r>
            <w:r w:rsidR="00693754">
              <w:rPr>
                <w:noProof/>
                <w:webHidden/>
              </w:rPr>
              <w:t>14</w:t>
            </w:r>
            <w:r w:rsidR="00693754">
              <w:rPr>
                <w:noProof/>
                <w:webHidden/>
              </w:rPr>
              <w:fldChar w:fldCharType="end"/>
            </w:r>
          </w:hyperlink>
        </w:p>
        <w:p w14:paraId="5B49DA31" w14:textId="3D8A346E" w:rsidR="00693754" w:rsidRDefault="005C7196">
          <w:pPr>
            <w:pStyle w:val="TOC1"/>
            <w:tabs>
              <w:tab w:val="right" w:leader="dot" w:pos="9016"/>
            </w:tabs>
            <w:rPr>
              <w:rFonts w:asciiTheme="minorHAnsi" w:eastAsiaTheme="minorEastAsia" w:hAnsiTheme="minorHAnsi"/>
              <w:noProof/>
              <w:szCs w:val="24"/>
              <w:lang w:eastAsia="en-IN"/>
            </w:rPr>
          </w:pPr>
          <w:hyperlink w:anchor="_Toc223779828" w:history="1">
            <w:r w:rsidR="00693754" w:rsidRPr="0058324B">
              <w:rPr>
                <w:rStyle w:val="Hyperlink"/>
                <w:noProof/>
              </w:rPr>
              <w:t>6. Strategic Evaluation and Recommendations</w:t>
            </w:r>
            <w:r w:rsidR="00693754">
              <w:rPr>
                <w:noProof/>
                <w:webHidden/>
              </w:rPr>
              <w:tab/>
            </w:r>
            <w:r w:rsidR="00693754">
              <w:rPr>
                <w:noProof/>
                <w:webHidden/>
              </w:rPr>
              <w:fldChar w:fldCharType="begin"/>
            </w:r>
            <w:r w:rsidR="00693754">
              <w:rPr>
                <w:noProof/>
                <w:webHidden/>
              </w:rPr>
              <w:instrText xml:space="preserve"> PAGEREF _Toc223779828 \h </w:instrText>
            </w:r>
            <w:r w:rsidR="00693754">
              <w:rPr>
                <w:noProof/>
                <w:webHidden/>
              </w:rPr>
            </w:r>
            <w:r w:rsidR="00693754">
              <w:rPr>
                <w:noProof/>
                <w:webHidden/>
              </w:rPr>
              <w:fldChar w:fldCharType="separate"/>
            </w:r>
            <w:r w:rsidR="00693754">
              <w:rPr>
                <w:noProof/>
                <w:webHidden/>
              </w:rPr>
              <w:t>15</w:t>
            </w:r>
            <w:r w:rsidR="00693754">
              <w:rPr>
                <w:noProof/>
                <w:webHidden/>
              </w:rPr>
              <w:fldChar w:fldCharType="end"/>
            </w:r>
          </w:hyperlink>
        </w:p>
        <w:p w14:paraId="3B446058" w14:textId="73869418" w:rsidR="00693754" w:rsidRDefault="005C7196">
          <w:pPr>
            <w:pStyle w:val="TOC2"/>
            <w:tabs>
              <w:tab w:val="right" w:leader="dot" w:pos="9016"/>
            </w:tabs>
            <w:rPr>
              <w:rFonts w:asciiTheme="minorHAnsi" w:eastAsiaTheme="minorEastAsia" w:hAnsiTheme="minorHAnsi"/>
              <w:noProof/>
              <w:szCs w:val="24"/>
              <w:lang w:eastAsia="en-IN"/>
            </w:rPr>
          </w:pPr>
          <w:hyperlink w:anchor="_Toc223779829" w:history="1">
            <w:r w:rsidR="00693754" w:rsidRPr="0058324B">
              <w:rPr>
                <w:rStyle w:val="Hyperlink"/>
                <w:noProof/>
              </w:rPr>
              <w:t>6.1 SWOT Analysis</w:t>
            </w:r>
            <w:r w:rsidR="00693754">
              <w:rPr>
                <w:noProof/>
                <w:webHidden/>
              </w:rPr>
              <w:tab/>
            </w:r>
            <w:r w:rsidR="00693754">
              <w:rPr>
                <w:noProof/>
                <w:webHidden/>
              </w:rPr>
              <w:fldChar w:fldCharType="begin"/>
            </w:r>
            <w:r w:rsidR="00693754">
              <w:rPr>
                <w:noProof/>
                <w:webHidden/>
              </w:rPr>
              <w:instrText xml:space="preserve"> PAGEREF _Toc223779829 \h </w:instrText>
            </w:r>
            <w:r w:rsidR="00693754">
              <w:rPr>
                <w:noProof/>
                <w:webHidden/>
              </w:rPr>
            </w:r>
            <w:r w:rsidR="00693754">
              <w:rPr>
                <w:noProof/>
                <w:webHidden/>
              </w:rPr>
              <w:fldChar w:fldCharType="separate"/>
            </w:r>
            <w:r w:rsidR="00693754">
              <w:rPr>
                <w:noProof/>
                <w:webHidden/>
              </w:rPr>
              <w:t>15</w:t>
            </w:r>
            <w:r w:rsidR="00693754">
              <w:rPr>
                <w:noProof/>
                <w:webHidden/>
              </w:rPr>
              <w:fldChar w:fldCharType="end"/>
            </w:r>
          </w:hyperlink>
        </w:p>
        <w:p w14:paraId="4930E1F1" w14:textId="5F34C3D4" w:rsidR="00693754" w:rsidRDefault="005C7196">
          <w:pPr>
            <w:pStyle w:val="TOC2"/>
            <w:tabs>
              <w:tab w:val="right" w:leader="dot" w:pos="9016"/>
            </w:tabs>
            <w:rPr>
              <w:rFonts w:asciiTheme="minorHAnsi" w:eastAsiaTheme="minorEastAsia" w:hAnsiTheme="minorHAnsi"/>
              <w:noProof/>
              <w:szCs w:val="24"/>
              <w:lang w:eastAsia="en-IN"/>
            </w:rPr>
          </w:pPr>
          <w:hyperlink w:anchor="_Toc223779830" w:history="1">
            <w:r w:rsidR="00693754" w:rsidRPr="0058324B">
              <w:rPr>
                <w:rStyle w:val="Hyperlink"/>
                <w:noProof/>
              </w:rPr>
              <w:t>6.2 Ansoff Matrix</w:t>
            </w:r>
            <w:r w:rsidR="00693754">
              <w:rPr>
                <w:noProof/>
                <w:webHidden/>
              </w:rPr>
              <w:tab/>
            </w:r>
            <w:r w:rsidR="00693754">
              <w:rPr>
                <w:noProof/>
                <w:webHidden/>
              </w:rPr>
              <w:fldChar w:fldCharType="begin"/>
            </w:r>
            <w:r w:rsidR="00693754">
              <w:rPr>
                <w:noProof/>
                <w:webHidden/>
              </w:rPr>
              <w:instrText xml:space="preserve"> PAGEREF _Toc223779830 \h </w:instrText>
            </w:r>
            <w:r w:rsidR="00693754">
              <w:rPr>
                <w:noProof/>
                <w:webHidden/>
              </w:rPr>
            </w:r>
            <w:r w:rsidR="00693754">
              <w:rPr>
                <w:noProof/>
                <w:webHidden/>
              </w:rPr>
              <w:fldChar w:fldCharType="separate"/>
            </w:r>
            <w:r w:rsidR="00693754">
              <w:rPr>
                <w:noProof/>
                <w:webHidden/>
              </w:rPr>
              <w:t>15</w:t>
            </w:r>
            <w:r w:rsidR="00693754">
              <w:rPr>
                <w:noProof/>
                <w:webHidden/>
              </w:rPr>
              <w:fldChar w:fldCharType="end"/>
            </w:r>
          </w:hyperlink>
        </w:p>
        <w:p w14:paraId="7358A973" w14:textId="4F2C16D6" w:rsidR="00693754" w:rsidRDefault="005C7196">
          <w:pPr>
            <w:pStyle w:val="TOC2"/>
            <w:tabs>
              <w:tab w:val="right" w:leader="dot" w:pos="9016"/>
            </w:tabs>
            <w:rPr>
              <w:rFonts w:asciiTheme="minorHAnsi" w:eastAsiaTheme="minorEastAsia" w:hAnsiTheme="minorHAnsi"/>
              <w:noProof/>
              <w:szCs w:val="24"/>
              <w:lang w:eastAsia="en-IN"/>
            </w:rPr>
          </w:pPr>
          <w:hyperlink w:anchor="_Toc223779831" w:history="1">
            <w:r w:rsidR="00693754" w:rsidRPr="0058324B">
              <w:rPr>
                <w:rStyle w:val="Hyperlink"/>
                <w:noProof/>
              </w:rPr>
              <w:t>6.3 Strategic Recommendations</w:t>
            </w:r>
            <w:r w:rsidR="00693754">
              <w:rPr>
                <w:noProof/>
                <w:webHidden/>
              </w:rPr>
              <w:tab/>
            </w:r>
            <w:r w:rsidR="00693754">
              <w:rPr>
                <w:noProof/>
                <w:webHidden/>
              </w:rPr>
              <w:fldChar w:fldCharType="begin"/>
            </w:r>
            <w:r w:rsidR="00693754">
              <w:rPr>
                <w:noProof/>
                <w:webHidden/>
              </w:rPr>
              <w:instrText xml:space="preserve"> PAGEREF _Toc223779831 \h </w:instrText>
            </w:r>
            <w:r w:rsidR="00693754">
              <w:rPr>
                <w:noProof/>
                <w:webHidden/>
              </w:rPr>
            </w:r>
            <w:r w:rsidR="00693754">
              <w:rPr>
                <w:noProof/>
                <w:webHidden/>
              </w:rPr>
              <w:fldChar w:fldCharType="separate"/>
            </w:r>
            <w:r w:rsidR="00693754">
              <w:rPr>
                <w:noProof/>
                <w:webHidden/>
              </w:rPr>
              <w:t>16</w:t>
            </w:r>
            <w:r w:rsidR="00693754">
              <w:rPr>
                <w:noProof/>
                <w:webHidden/>
              </w:rPr>
              <w:fldChar w:fldCharType="end"/>
            </w:r>
          </w:hyperlink>
        </w:p>
        <w:p w14:paraId="2B6984E2" w14:textId="46D2980C" w:rsidR="00693754" w:rsidRDefault="005C7196">
          <w:pPr>
            <w:pStyle w:val="TOC1"/>
            <w:tabs>
              <w:tab w:val="right" w:leader="dot" w:pos="9016"/>
            </w:tabs>
            <w:rPr>
              <w:rFonts w:asciiTheme="minorHAnsi" w:eastAsiaTheme="minorEastAsia" w:hAnsiTheme="minorHAnsi"/>
              <w:noProof/>
              <w:szCs w:val="24"/>
              <w:lang w:eastAsia="en-IN"/>
            </w:rPr>
          </w:pPr>
          <w:hyperlink w:anchor="_Toc223779832" w:history="1">
            <w:r w:rsidR="00693754" w:rsidRPr="0058324B">
              <w:rPr>
                <w:rStyle w:val="Hyperlink"/>
                <w:noProof/>
              </w:rPr>
              <w:t>Section 2. Reflective Account</w:t>
            </w:r>
            <w:r w:rsidR="00693754">
              <w:rPr>
                <w:noProof/>
                <w:webHidden/>
              </w:rPr>
              <w:tab/>
            </w:r>
            <w:r w:rsidR="00693754">
              <w:rPr>
                <w:noProof/>
                <w:webHidden/>
              </w:rPr>
              <w:fldChar w:fldCharType="begin"/>
            </w:r>
            <w:r w:rsidR="00693754">
              <w:rPr>
                <w:noProof/>
                <w:webHidden/>
              </w:rPr>
              <w:instrText xml:space="preserve"> PAGEREF _Toc223779832 \h </w:instrText>
            </w:r>
            <w:r w:rsidR="00693754">
              <w:rPr>
                <w:noProof/>
                <w:webHidden/>
              </w:rPr>
            </w:r>
            <w:r w:rsidR="00693754">
              <w:rPr>
                <w:noProof/>
                <w:webHidden/>
              </w:rPr>
              <w:fldChar w:fldCharType="separate"/>
            </w:r>
            <w:r w:rsidR="00693754">
              <w:rPr>
                <w:noProof/>
                <w:webHidden/>
              </w:rPr>
              <w:t>18</w:t>
            </w:r>
            <w:r w:rsidR="00693754">
              <w:rPr>
                <w:noProof/>
                <w:webHidden/>
              </w:rPr>
              <w:fldChar w:fldCharType="end"/>
            </w:r>
          </w:hyperlink>
        </w:p>
        <w:p w14:paraId="0A1B9F5B" w14:textId="1BFAA0EA" w:rsidR="00693754" w:rsidRDefault="005C7196">
          <w:pPr>
            <w:pStyle w:val="TOC1"/>
            <w:tabs>
              <w:tab w:val="right" w:leader="dot" w:pos="9016"/>
            </w:tabs>
            <w:rPr>
              <w:rFonts w:asciiTheme="minorHAnsi" w:eastAsiaTheme="minorEastAsia" w:hAnsiTheme="minorHAnsi"/>
              <w:noProof/>
              <w:szCs w:val="24"/>
              <w:lang w:eastAsia="en-IN"/>
            </w:rPr>
          </w:pPr>
          <w:hyperlink w:anchor="_Toc223779833" w:history="1">
            <w:r w:rsidR="00693754" w:rsidRPr="0058324B">
              <w:rPr>
                <w:rStyle w:val="Hyperlink"/>
                <w:noProof/>
                <w:lang w:val="en-US"/>
              </w:rPr>
              <w:t>References</w:t>
            </w:r>
            <w:r w:rsidR="00693754">
              <w:rPr>
                <w:noProof/>
                <w:webHidden/>
              </w:rPr>
              <w:tab/>
            </w:r>
            <w:r w:rsidR="00693754">
              <w:rPr>
                <w:noProof/>
                <w:webHidden/>
              </w:rPr>
              <w:fldChar w:fldCharType="begin"/>
            </w:r>
            <w:r w:rsidR="00693754">
              <w:rPr>
                <w:noProof/>
                <w:webHidden/>
              </w:rPr>
              <w:instrText xml:space="preserve"> PAGEREF _Toc223779833 \h </w:instrText>
            </w:r>
            <w:r w:rsidR="00693754">
              <w:rPr>
                <w:noProof/>
                <w:webHidden/>
              </w:rPr>
            </w:r>
            <w:r w:rsidR="00693754">
              <w:rPr>
                <w:noProof/>
                <w:webHidden/>
              </w:rPr>
              <w:fldChar w:fldCharType="separate"/>
            </w:r>
            <w:r w:rsidR="00693754">
              <w:rPr>
                <w:noProof/>
                <w:webHidden/>
              </w:rPr>
              <w:t>21</w:t>
            </w:r>
            <w:r w:rsidR="00693754">
              <w:rPr>
                <w:noProof/>
                <w:webHidden/>
              </w:rPr>
              <w:fldChar w:fldCharType="end"/>
            </w:r>
          </w:hyperlink>
        </w:p>
        <w:p w14:paraId="28F26D0B" w14:textId="60BD23F3" w:rsidR="00991A03" w:rsidRDefault="00991A03" w:rsidP="00175F6B">
          <w:pPr>
            <w:spacing w:before="120" w:after="120"/>
          </w:pPr>
          <w:r>
            <w:rPr>
              <w:b/>
              <w:bCs/>
              <w:noProof/>
            </w:rPr>
            <w:fldChar w:fldCharType="end"/>
          </w:r>
        </w:p>
      </w:sdtContent>
    </w:sdt>
    <w:p w14:paraId="50BE0F9B" w14:textId="26698E31" w:rsidR="00991A03" w:rsidRDefault="00991A03" w:rsidP="00175F6B">
      <w:pPr>
        <w:spacing w:before="120" w:after="120"/>
        <w:jc w:val="left"/>
        <w:rPr>
          <w:rFonts w:cs="Times New Roman"/>
          <w:b/>
          <w:bCs/>
          <w:szCs w:val="24"/>
        </w:rPr>
      </w:pPr>
      <w:r>
        <w:rPr>
          <w:rFonts w:cs="Times New Roman"/>
          <w:b/>
          <w:bCs/>
          <w:szCs w:val="24"/>
        </w:rPr>
        <w:br w:type="page"/>
      </w:r>
    </w:p>
    <w:p w14:paraId="3596681B" w14:textId="5465AA96" w:rsidR="00FB1323" w:rsidRDefault="00FB1323" w:rsidP="00175F6B">
      <w:pPr>
        <w:pStyle w:val="Heading1"/>
        <w:spacing w:before="120" w:after="120"/>
      </w:pPr>
      <w:bookmarkStart w:id="1" w:name="_Toc223779810"/>
      <w:r>
        <w:lastRenderedPageBreak/>
        <w:t xml:space="preserve">Section 1: </w:t>
      </w:r>
      <w:r w:rsidRPr="00FB1323">
        <w:t>Strategic Analysis and Evaluation of Shell plc</w:t>
      </w:r>
      <w:bookmarkEnd w:id="1"/>
    </w:p>
    <w:p w14:paraId="4CA4A2AB" w14:textId="532E62F0" w:rsidR="00817DFF" w:rsidRDefault="00991A03" w:rsidP="00175F6B">
      <w:pPr>
        <w:pStyle w:val="Heading1"/>
        <w:spacing w:before="120" w:after="120"/>
      </w:pPr>
      <w:bookmarkStart w:id="2" w:name="_Toc223779811"/>
      <w:r>
        <w:t>1.</w:t>
      </w:r>
      <w:r w:rsidR="00817DFF">
        <w:t xml:space="preserve"> Organisational Context and Overview</w:t>
      </w:r>
      <w:bookmarkEnd w:id="2"/>
      <w:r w:rsidR="00817DFF">
        <w:t xml:space="preserve"> </w:t>
      </w:r>
    </w:p>
    <w:p w14:paraId="630159BA" w14:textId="77777777" w:rsidR="00817DFF" w:rsidRDefault="00817DFF" w:rsidP="00175F6B">
      <w:pPr>
        <w:spacing w:before="120" w:after="120"/>
        <w:rPr>
          <w:rFonts w:cs="Times New Roman"/>
          <w:szCs w:val="24"/>
        </w:rPr>
      </w:pPr>
      <w:r>
        <w:rPr>
          <w:rFonts w:cs="Times New Roman"/>
          <w:szCs w:val="24"/>
        </w:rPr>
        <w:t>Shell plc was established in 1907 following the merger between Royal Dutch Petroleum and Shell Transport and Trading (Shell Global, 2024). The company is currently based in London and has operations in over 70 countries. It has approximately 96,000 workers in its upstream, trading, refining and retail activities (Shell, 2025). The company has been named as one of the biggest integrated energy companies in the world. It is a major player in liquefied natural gas with approximately 17 percent of the total LNG trading volumes worldwide in 2023 (Bousso, 2024). Shell has over the years shifted its traditional oil producer status to say that it is an integrated energy company. Nonetheless, financial performance indicates that its oil and gas operations are still driving the majority of its earnings and that poses a question as to the rate of its transition strategy (</w:t>
      </w:r>
      <w:proofErr w:type="spellStart"/>
      <w:r>
        <w:rPr>
          <w:rFonts w:cs="Times New Roman"/>
          <w:szCs w:val="24"/>
        </w:rPr>
        <w:t>Norways</w:t>
      </w:r>
      <w:proofErr w:type="spellEnd"/>
      <w:r>
        <w:rPr>
          <w:rFonts w:cs="Times New Roman"/>
          <w:szCs w:val="24"/>
        </w:rPr>
        <w:t>, 2026).</w:t>
      </w:r>
    </w:p>
    <w:p w14:paraId="45DC2C15" w14:textId="77777777" w:rsidR="00817DFF" w:rsidRDefault="00817DFF" w:rsidP="00175F6B">
      <w:pPr>
        <w:spacing w:before="120" w:after="120"/>
        <w:rPr>
          <w:rFonts w:cs="Times New Roman"/>
          <w:szCs w:val="24"/>
        </w:rPr>
      </w:pPr>
      <w:r>
        <w:rPr>
          <w:rFonts w:cs="Times New Roman"/>
          <w:szCs w:val="24"/>
        </w:rPr>
        <w:t>According to Shell, it is meant to drive development by offering cleaner and cheaper energy. By 2050, the company has undertaken to transform itself into a net-zero emission energy company (Shell, 2025). It has a business model that is based on an integrated value chain. These consist of oil and gas exploration and production, LNG trading, refining and chemicals, fuel marketing, retail networks and increased energy solutions, including hydrogen and electric vehicle charging. Although the Shell is reporting billions of dollars in low-carbon projects, it is only a small part of its overall capital spending on oil and gas (</w:t>
      </w:r>
      <w:proofErr w:type="spellStart"/>
      <w:r>
        <w:rPr>
          <w:rFonts w:cs="Times New Roman"/>
          <w:szCs w:val="24"/>
        </w:rPr>
        <w:t>Norways</w:t>
      </w:r>
      <w:proofErr w:type="spellEnd"/>
      <w:r>
        <w:rPr>
          <w:rFonts w:cs="Times New Roman"/>
          <w:szCs w:val="24"/>
        </w:rPr>
        <w:t>, 2026). This is a definite conflict between the long-term sustainability objectives and the short-term requirement to provide attractive returns to shareholders.</w:t>
      </w:r>
    </w:p>
    <w:p w14:paraId="2A93F09B" w14:textId="77777777" w:rsidR="00817DFF" w:rsidRDefault="00817DFF" w:rsidP="00175F6B">
      <w:pPr>
        <w:spacing w:before="120" w:after="120"/>
        <w:rPr>
          <w:rFonts w:cs="Times New Roman"/>
          <w:szCs w:val="24"/>
        </w:rPr>
      </w:pPr>
      <w:r>
        <w:rPr>
          <w:rFonts w:cs="Times New Roman"/>
          <w:szCs w:val="24"/>
        </w:rPr>
        <w:t xml:space="preserve">Shell is a company that is active in the international energy market encompassing oil, gas, LNG, renewables, hydrogen and electric mobility. Its key rivals are BP, ExxonMobil, TotalEnergies and Chevron (Li, et al., 2022). Shell also has a robust upstream portfolio and an extensive retail network of fuels that serves millions of customers every day. It is also developing its EV charging networks in Europe and Asia </w:t>
      </w:r>
      <w:proofErr w:type="gramStart"/>
      <w:r>
        <w:rPr>
          <w:rFonts w:cs="Times New Roman"/>
          <w:szCs w:val="24"/>
        </w:rPr>
        <w:t>( Shell</w:t>
      </w:r>
      <w:proofErr w:type="gramEnd"/>
      <w:r>
        <w:rPr>
          <w:rFonts w:cs="Times New Roman"/>
          <w:szCs w:val="24"/>
        </w:rPr>
        <w:t>, 2024). The industry is however very capital-intensive and politically sensitive. Market conditions are still being influenced by climate control, legal disputes and geopolitical crises like the Ukraine crisis. Thus, it is necessary to know the external and internal environments in order to evaluate the future strategy of Shell.</w:t>
      </w:r>
    </w:p>
    <w:p w14:paraId="08822F06" w14:textId="39B5C664" w:rsidR="00817DFF" w:rsidRDefault="00817DFF" w:rsidP="00175F6B">
      <w:pPr>
        <w:pStyle w:val="Heading1"/>
        <w:spacing w:before="120" w:after="120"/>
      </w:pPr>
      <w:r>
        <w:lastRenderedPageBreak/>
        <w:t xml:space="preserve"> </w:t>
      </w:r>
      <w:bookmarkStart w:id="3" w:name="_Toc223779812"/>
      <w:r>
        <w:t>2</w:t>
      </w:r>
      <w:r w:rsidR="00991A03">
        <w:t>.</w:t>
      </w:r>
      <w:r>
        <w:t xml:space="preserve"> External and Internal Environment Analysis</w:t>
      </w:r>
      <w:bookmarkEnd w:id="3"/>
      <w:r>
        <w:t xml:space="preserve"> </w:t>
      </w:r>
    </w:p>
    <w:p w14:paraId="05529BF3" w14:textId="20F80AC5" w:rsidR="00817DFF" w:rsidRDefault="00DA0A89" w:rsidP="00175F6B">
      <w:pPr>
        <w:pStyle w:val="Heading2"/>
        <w:spacing w:before="120" w:after="120"/>
      </w:pPr>
      <w:bookmarkStart w:id="4" w:name="_Toc223779813"/>
      <w:r>
        <w:t>2.</w:t>
      </w:r>
      <w:r w:rsidR="00041026">
        <w:t>1</w:t>
      </w:r>
      <w:r w:rsidR="00817DFF">
        <w:t>. External Environment (PESTEL Analysis)</w:t>
      </w:r>
      <w:bookmarkEnd w:id="4"/>
    </w:p>
    <w:p w14:paraId="4D35778B" w14:textId="77777777" w:rsidR="00817DFF" w:rsidRDefault="00817DFF" w:rsidP="00175F6B">
      <w:pPr>
        <w:spacing w:before="120" w:after="120"/>
        <w:rPr>
          <w:rFonts w:cs="Times New Roman"/>
          <w:szCs w:val="24"/>
          <w:lang w:val="en-GB"/>
        </w:rPr>
      </w:pPr>
      <w:r>
        <w:rPr>
          <w:rFonts w:cs="Times New Roman"/>
          <w:szCs w:val="24"/>
        </w:rPr>
        <w:t>Shell is a business in a complicated international environment, in which political and economic factors have a very powerful effect on strategy. The key PESTEL aspects and their strategic implications are outlined in the table below.</w:t>
      </w:r>
    </w:p>
    <w:p w14:paraId="1737E72A" w14:textId="77777777" w:rsidR="00817DFF" w:rsidRDefault="00817DFF" w:rsidP="00175F6B">
      <w:pPr>
        <w:spacing w:before="120" w:after="120"/>
        <w:rPr>
          <w:rFonts w:cs="Times New Roman"/>
          <w:b/>
          <w:bCs/>
          <w:szCs w:val="24"/>
        </w:rPr>
      </w:pPr>
      <w:r>
        <w:rPr>
          <w:rFonts w:cs="Times New Roman"/>
          <w:b/>
          <w:bCs/>
          <w:szCs w:val="24"/>
        </w:rPr>
        <w:t>Table 1: PESTEL Analysis of Shell plc</w:t>
      </w:r>
    </w:p>
    <w:tbl>
      <w:tblPr>
        <w:tblStyle w:val="TableGridLight"/>
        <w:tblW w:w="0" w:type="auto"/>
        <w:tblInd w:w="0" w:type="dxa"/>
        <w:tblLook w:val="04A0" w:firstRow="1" w:lastRow="0" w:firstColumn="1" w:lastColumn="0" w:noHBand="0" w:noVBand="1"/>
      </w:tblPr>
      <w:tblGrid>
        <w:gridCol w:w="1759"/>
        <w:gridCol w:w="2623"/>
        <w:gridCol w:w="4634"/>
      </w:tblGrid>
      <w:tr w:rsidR="00817DFF" w14:paraId="39630235"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ABFDAA" w14:textId="77777777" w:rsidR="00817DFF" w:rsidRDefault="00817DFF" w:rsidP="00175F6B">
            <w:pPr>
              <w:spacing w:before="120" w:after="120"/>
              <w:rPr>
                <w:rFonts w:cs="Times New Roman"/>
                <w:b/>
                <w:bCs/>
                <w:szCs w:val="24"/>
              </w:rPr>
            </w:pPr>
            <w:r>
              <w:rPr>
                <w:rFonts w:cs="Times New Roman"/>
                <w:b/>
                <w:bCs/>
                <w:szCs w:val="24"/>
              </w:rPr>
              <w:t>Factor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2F4092" w14:textId="77777777" w:rsidR="00817DFF" w:rsidRDefault="00817DFF" w:rsidP="00175F6B">
            <w:pPr>
              <w:spacing w:before="120" w:after="120"/>
              <w:rPr>
                <w:rFonts w:cs="Times New Roman"/>
                <w:b/>
                <w:bCs/>
                <w:szCs w:val="24"/>
              </w:rPr>
            </w:pPr>
            <w:r>
              <w:rPr>
                <w:rFonts w:cs="Times New Roman"/>
                <w:b/>
                <w:bCs/>
                <w:szCs w:val="24"/>
              </w:rPr>
              <w:t>Key Issues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CCE466" w14:textId="77777777" w:rsidR="00817DFF" w:rsidRDefault="00817DFF" w:rsidP="00175F6B">
            <w:pPr>
              <w:spacing w:before="120" w:after="120"/>
              <w:rPr>
                <w:rFonts w:cs="Times New Roman"/>
                <w:b/>
                <w:bCs/>
                <w:szCs w:val="24"/>
              </w:rPr>
            </w:pPr>
            <w:r>
              <w:rPr>
                <w:rFonts w:cs="Times New Roman"/>
                <w:b/>
                <w:bCs/>
                <w:szCs w:val="24"/>
              </w:rPr>
              <w:t>Strategic Impact on Shell</w:t>
            </w:r>
          </w:p>
        </w:tc>
      </w:tr>
      <w:tr w:rsidR="00817DFF" w14:paraId="0E93A010"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588D7D" w14:textId="77777777" w:rsidR="00817DFF" w:rsidRDefault="00817DFF" w:rsidP="00175F6B">
            <w:pPr>
              <w:spacing w:before="120" w:after="120"/>
              <w:rPr>
                <w:rFonts w:cs="Times New Roman"/>
                <w:szCs w:val="24"/>
              </w:rPr>
            </w:pPr>
            <w:r>
              <w:rPr>
                <w:rFonts w:cs="Times New Roman"/>
                <w:b/>
                <w:bCs/>
                <w:szCs w:val="24"/>
              </w:rPr>
              <w:t>Political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38ACE8" w14:textId="77777777" w:rsidR="00817DFF" w:rsidRDefault="00817DFF" w:rsidP="00175F6B">
            <w:pPr>
              <w:spacing w:before="120" w:after="120"/>
              <w:rPr>
                <w:rFonts w:cs="Times New Roman"/>
                <w:szCs w:val="24"/>
              </w:rPr>
            </w:pPr>
            <w:r>
              <w:rPr>
                <w:rFonts w:cs="Times New Roman"/>
                <w:szCs w:val="24"/>
              </w:rPr>
              <w:t>UK and EU windfall taxes on oil profits (Enache, 2024).</w:t>
            </w:r>
          </w:p>
          <w:p w14:paraId="4F4E1879" w14:textId="77777777" w:rsidR="00817DFF" w:rsidRDefault="00817DFF" w:rsidP="00175F6B">
            <w:pPr>
              <w:spacing w:before="120" w:after="120"/>
              <w:rPr>
                <w:rFonts w:cs="Times New Roman"/>
                <w:szCs w:val="24"/>
              </w:rPr>
            </w:pPr>
            <w:r>
              <w:rPr>
                <w:rFonts w:cs="Times New Roman"/>
                <w:szCs w:val="24"/>
              </w:rPr>
              <w:t>Pressure to cut emissions</w:t>
            </w:r>
          </w:p>
          <w:p w14:paraId="020DABC8" w14:textId="77777777" w:rsidR="00817DFF" w:rsidRDefault="00817DFF" w:rsidP="00175F6B">
            <w:pPr>
              <w:spacing w:before="120" w:after="120"/>
              <w:rPr>
                <w:rFonts w:cs="Times New Roman"/>
                <w:szCs w:val="24"/>
              </w:rPr>
            </w:pPr>
            <w:r>
              <w:rPr>
                <w:rFonts w:cs="Times New Roman"/>
                <w:szCs w:val="24"/>
              </w:rPr>
              <w:t>Energy security policies after the Ukraine war</w:t>
            </w:r>
          </w:p>
          <w:p w14:paraId="6183D89E" w14:textId="77777777" w:rsidR="00817DFF" w:rsidRDefault="00817DFF" w:rsidP="00175F6B">
            <w:pPr>
              <w:spacing w:before="120" w:after="120"/>
              <w:rPr>
                <w:rFonts w:cs="Times New Roman"/>
                <w:szCs w:val="24"/>
              </w:rPr>
            </w:pPr>
            <w:r>
              <w:rPr>
                <w:rFonts w:cs="Times New Roman"/>
                <w:szCs w:val="24"/>
              </w:rPr>
              <w:t>US Inflation Reduction</w:t>
            </w:r>
          </w:p>
          <w:p w14:paraId="1A1A11C0" w14:textId="77777777" w:rsidR="00817DFF" w:rsidRDefault="00817DFF" w:rsidP="00175F6B">
            <w:pPr>
              <w:spacing w:before="120" w:after="120"/>
              <w:rPr>
                <w:rFonts w:cs="Times New Roman"/>
                <w:szCs w:val="24"/>
              </w:rPr>
            </w:pPr>
            <w:r>
              <w:rPr>
                <w:rFonts w:cs="Times New Roman"/>
                <w:szCs w:val="24"/>
              </w:rPr>
              <w:t>Act subsidies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27AFE3" w14:textId="77777777" w:rsidR="00817DFF" w:rsidRDefault="00817DFF" w:rsidP="00175F6B">
            <w:pPr>
              <w:spacing w:before="120" w:after="120"/>
              <w:rPr>
                <w:rFonts w:cs="Times New Roman"/>
                <w:szCs w:val="24"/>
                <w:lang w:val="en-GB"/>
              </w:rPr>
            </w:pPr>
            <w:r>
              <w:rPr>
                <w:rFonts w:cs="Times New Roman"/>
                <w:szCs w:val="24"/>
              </w:rPr>
              <w:t xml:space="preserve">Shell has to sustain the supply of fossil fuel as an energy security measure, while investing more in low-carbon to meet government expectations. </w:t>
            </w:r>
          </w:p>
        </w:tc>
      </w:tr>
      <w:tr w:rsidR="00817DFF" w14:paraId="25961B41"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703E62" w14:textId="77777777" w:rsidR="00817DFF" w:rsidRDefault="00817DFF" w:rsidP="00175F6B">
            <w:pPr>
              <w:spacing w:before="120" w:after="120"/>
              <w:rPr>
                <w:rFonts w:cs="Times New Roman"/>
                <w:szCs w:val="24"/>
              </w:rPr>
            </w:pPr>
            <w:r>
              <w:rPr>
                <w:rFonts w:cs="Times New Roman"/>
                <w:b/>
                <w:bCs/>
                <w:szCs w:val="24"/>
              </w:rPr>
              <w:t>Economic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1614C2" w14:textId="77777777" w:rsidR="00817DFF" w:rsidRDefault="00817DFF" w:rsidP="00175F6B">
            <w:pPr>
              <w:spacing w:before="120" w:after="120"/>
              <w:rPr>
                <w:rFonts w:cs="Times New Roman"/>
                <w:szCs w:val="24"/>
              </w:rPr>
            </w:pPr>
            <w:r>
              <w:rPr>
                <w:rFonts w:cs="Times New Roman"/>
                <w:szCs w:val="24"/>
              </w:rPr>
              <w:t>Oil price volatility</w:t>
            </w:r>
          </w:p>
          <w:p w14:paraId="53274A8A" w14:textId="77777777" w:rsidR="00817DFF" w:rsidRDefault="00817DFF" w:rsidP="00175F6B">
            <w:pPr>
              <w:spacing w:before="120" w:after="120"/>
              <w:rPr>
                <w:rFonts w:cs="Times New Roman"/>
                <w:szCs w:val="24"/>
              </w:rPr>
            </w:pPr>
            <w:r>
              <w:rPr>
                <w:rFonts w:cs="Times New Roman"/>
                <w:szCs w:val="24"/>
              </w:rPr>
              <w:t>Inflation in project costs</w:t>
            </w:r>
          </w:p>
          <w:p w14:paraId="256377E9" w14:textId="77777777" w:rsidR="00817DFF" w:rsidRDefault="00817DFF" w:rsidP="00175F6B">
            <w:pPr>
              <w:spacing w:before="120" w:after="120"/>
              <w:rPr>
                <w:rFonts w:cs="Times New Roman"/>
                <w:szCs w:val="24"/>
              </w:rPr>
            </w:pPr>
            <w:r>
              <w:rPr>
                <w:rFonts w:cs="Times New Roman"/>
                <w:szCs w:val="24"/>
              </w:rPr>
              <w:t>High interest rates</w:t>
            </w:r>
          </w:p>
          <w:p w14:paraId="73FBEF12" w14:textId="77777777" w:rsidR="00817DFF" w:rsidRDefault="00817DFF" w:rsidP="00175F6B">
            <w:pPr>
              <w:spacing w:before="120" w:after="120"/>
              <w:rPr>
                <w:rFonts w:cs="Times New Roman"/>
                <w:szCs w:val="24"/>
              </w:rPr>
            </w:pPr>
            <w:r>
              <w:rPr>
                <w:rFonts w:cs="Times New Roman"/>
                <w:szCs w:val="24"/>
              </w:rPr>
              <w:t>Rising LNG demand in Asia (IEEFA, 2025).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0F860B" w14:textId="77777777" w:rsidR="00817DFF" w:rsidRDefault="00817DFF" w:rsidP="00175F6B">
            <w:pPr>
              <w:spacing w:before="120" w:after="120"/>
              <w:rPr>
                <w:rFonts w:cs="Times New Roman"/>
                <w:szCs w:val="24"/>
                <w:lang w:val="en-GB"/>
              </w:rPr>
            </w:pPr>
            <w:r>
              <w:rPr>
                <w:rFonts w:cs="Times New Roman"/>
                <w:szCs w:val="24"/>
              </w:rPr>
              <w:t xml:space="preserve">Renewable investments become compromised because of the uncertainty in economics, although high oil prices boost cash flow. </w:t>
            </w:r>
          </w:p>
        </w:tc>
      </w:tr>
      <w:tr w:rsidR="00817DFF" w14:paraId="78CF3BD6"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A05C7E" w14:textId="77777777" w:rsidR="00817DFF" w:rsidRDefault="00817DFF" w:rsidP="00175F6B">
            <w:pPr>
              <w:spacing w:before="120" w:after="120"/>
              <w:rPr>
                <w:rFonts w:cs="Times New Roman"/>
                <w:szCs w:val="24"/>
              </w:rPr>
            </w:pPr>
            <w:r>
              <w:rPr>
                <w:rFonts w:cs="Times New Roman"/>
                <w:b/>
                <w:bCs/>
                <w:szCs w:val="24"/>
              </w:rPr>
              <w:t>Social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08F303" w14:textId="77777777" w:rsidR="00817DFF" w:rsidRDefault="00817DFF" w:rsidP="00175F6B">
            <w:pPr>
              <w:spacing w:before="120" w:after="120"/>
              <w:rPr>
                <w:rFonts w:cs="Times New Roman"/>
                <w:szCs w:val="24"/>
              </w:rPr>
            </w:pPr>
            <w:r>
              <w:rPr>
                <w:rFonts w:cs="Times New Roman"/>
                <w:szCs w:val="24"/>
              </w:rPr>
              <w:t>ESG activism</w:t>
            </w:r>
          </w:p>
          <w:p w14:paraId="035F9E7F" w14:textId="77777777" w:rsidR="00817DFF" w:rsidRDefault="00817DFF" w:rsidP="00175F6B">
            <w:pPr>
              <w:spacing w:before="120" w:after="120"/>
              <w:rPr>
                <w:rFonts w:cs="Times New Roman"/>
                <w:szCs w:val="24"/>
              </w:rPr>
            </w:pPr>
            <w:r>
              <w:rPr>
                <w:rFonts w:cs="Times New Roman"/>
                <w:szCs w:val="24"/>
              </w:rPr>
              <w:t>Growth in EV adoption</w:t>
            </w:r>
          </w:p>
          <w:p w14:paraId="065030E7" w14:textId="77777777" w:rsidR="00817DFF" w:rsidRDefault="00817DFF" w:rsidP="00175F6B">
            <w:pPr>
              <w:spacing w:before="120" w:after="120"/>
              <w:rPr>
                <w:rFonts w:cs="Times New Roman"/>
                <w:szCs w:val="24"/>
              </w:rPr>
            </w:pPr>
            <w:r>
              <w:rPr>
                <w:rFonts w:cs="Times New Roman"/>
                <w:szCs w:val="24"/>
              </w:rPr>
              <w:t>Climate protests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70BB53" w14:textId="77777777" w:rsidR="00817DFF" w:rsidRDefault="00817DFF" w:rsidP="00175F6B">
            <w:pPr>
              <w:spacing w:before="120" w:after="120"/>
              <w:rPr>
                <w:rFonts w:cs="Times New Roman"/>
                <w:szCs w:val="24"/>
                <w:lang w:val="en-GB"/>
              </w:rPr>
            </w:pPr>
            <w:r>
              <w:rPr>
                <w:rFonts w:cs="Times New Roman"/>
                <w:szCs w:val="24"/>
              </w:rPr>
              <w:t>Reputation risk has an impact on investor confidence and brand trust.</w:t>
            </w:r>
          </w:p>
        </w:tc>
      </w:tr>
      <w:tr w:rsidR="00817DFF" w14:paraId="1F6B5ECB"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377508" w14:textId="77777777" w:rsidR="00817DFF" w:rsidRDefault="00817DFF" w:rsidP="00175F6B">
            <w:pPr>
              <w:spacing w:before="120" w:after="120"/>
              <w:rPr>
                <w:rFonts w:cs="Times New Roman"/>
                <w:szCs w:val="24"/>
              </w:rPr>
            </w:pPr>
            <w:r>
              <w:rPr>
                <w:rFonts w:cs="Times New Roman"/>
                <w:b/>
                <w:bCs/>
                <w:szCs w:val="24"/>
              </w:rPr>
              <w:t>Technological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918A27" w14:textId="77777777" w:rsidR="00817DFF" w:rsidRDefault="00817DFF" w:rsidP="00175F6B">
            <w:pPr>
              <w:spacing w:before="120" w:after="120"/>
              <w:rPr>
                <w:rFonts w:cs="Times New Roman"/>
                <w:szCs w:val="24"/>
              </w:rPr>
            </w:pPr>
            <w:r>
              <w:rPr>
                <w:rFonts w:cs="Times New Roman"/>
                <w:szCs w:val="24"/>
              </w:rPr>
              <w:t xml:space="preserve">Hydrogen, CCUS, offshore wind </w:t>
            </w:r>
          </w:p>
          <w:p w14:paraId="756DB043" w14:textId="77777777" w:rsidR="00817DFF" w:rsidRDefault="00817DFF" w:rsidP="00175F6B">
            <w:pPr>
              <w:spacing w:before="120" w:after="120"/>
              <w:rPr>
                <w:rFonts w:cs="Times New Roman"/>
                <w:szCs w:val="24"/>
              </w:rPr>
            </w:pPr>
            <w:r>
              <w:rPr>
                <w:rFonts w:cs="Times New Roman"/>
                <w:szCs w:val="24"/>
              </w:rPr>
              <w:t>Falling renewable costs</w:t>
            </w:r>
          </w:p>
          <w:p w14:paraId="0C100017" w14:textId="77777777" w:rsidR="00817DFF" w:rsidRDefault="00817DFF" w:rsidP="00175F6B">
            <w:pPr>
              <w:spacing w:before="120" w:after="120"/>
              <w:rPr>
                <w:rFonts w:cs="Times New Roman"/>
                <w:szCs w:val="24"/>
              </w:rPr>
            </w:pPr>
            <w:r>
              <w:rPr>
                <w:rFonts w:cs="Times New Roman"/>
                <w:szCs w:val="24"/>
              </w:rPr>
              <w:lastRenderedPageBreak/>
              <w:t>EV infrastructure expansion (IEA, 2025).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E02EAC" w14:textId="77777777" w:rsidR="00817DFF" w:rsidRDefault="00817DFF" w:rsidP="00175F6B">
            <w:pPr>
              <w:spacing w:before="120" w:after="120"/>
              <w:rPr>
                <w:rFonts w:cs="Times New Roman"/>
                <w:szCs w:val="24"/>
                <w:lang w:val="en-GB"/>
              </w:rPr>
            </w:pPr>
            <w:r>
              <w:rPr>
                <w:rFonts w:cs="Times New Roman"/>
                <w:szCs w:val="24"/>
              </w:rPr>
              <w:lastRenderedPageBreak/>
              <w:t>Technology enhances the risk of substitution for oil and new market opportunities.</w:t>
            </w:r>
          </w:p>
        </w:tc>
      </w:tr>
      <w:tr w:rsidR="00817DFF" w14:paraId="3998C21A"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205135" w14:textId="77777777" w:rsidR="00817DFF" w:rsidRDefault="00817DFF" w:rsidP="00175F6B">
            <w:pPr>
              <w:spacing w:before="120" w:after="120"/>
              <w:rPr>
                <w:rFonts w:cs="Times New Roman"/>
                <w:szCs w:val="24"/>
              </w:rPr>
            </w:pPr>
            <w:r>
              <w:rPr>
                <w:rFonts w:cs="Times New Roman"/>
                <w:b/>
                <w:bCs/>
                <w:szCs w:val="24"/>
              </w:rPr>
              <w:lastRenderedPageBreak/>
              <w:t>Environmental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D858AF" w14:textId="77777777" w:rsidR="00817DFF" w:rsidRDefault="00817DFF" w:rsidP="00175F6B">
            <w:pPr>
              <w:spacing w:before="120" w:after="120"/>
              <w:rPr>
                <w:rFonts w:cs="Times New Roman"/>
                <w:szCs w:val="24"/>
              </w:rPr>
            </w:pPr>
            <w:r>
              <w:rPr>
                <w:rFonts w:cs="Times New Roman"/>
                <w:szCs w:val="24"/>
              </w:rPr>
              <w:t>Net-zero targets</w:t>
            </w:r>
          </w:p>
          <w:p w14:paraId="4DCF2A48" w14:textId="77777777" w:rsidR="00817DFF" w:rsidRDefault="00817DFF" w:rsidP="00175F6B">
            <w:pPr>
              <w:spacing w:before="120" w:after="120"/>
              <w:rPr>
                <w:rFonts w:cs="Times New Roman"/>
                <w:szCs w:val="24"/>
              </w:rPr>
            </w:pPr>
            <w:r>
              <w:rPr>
                <w:rFonts w:cs="Times New Roman"/>
                <w:szCs w:val="24"/>
              </w:rPr>
              <w:t>Pressure to reduce Scope 1, 2 and 3 emissions</w:t>
            </w:r>
          </w:p>
          <w:p w14:paraId="1F95FDFA" w14:textId="77777777" w:rsidR="00817DFF" w:rsidRDefault="00817DFF" w:rsidP="00175F6B">
            <w:pPr>
              <w:spacing w:before="120" w:after="120"/>
              <w:rPr>
                <w:rFonts w:cs="Times New Roman"/>
                <w:szCs w:val="24"/>
              </w:rPr>
            </w:pPr>
            <w:r>
              <w:rPr>
                <w:rFonts w:cs="Times New Roman"/>
                <w:szCs w:val="24"/>
              </w:rPr>
              <w:t>Climate litigation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3D0FEC" w14:textId="77777777" w:rsidR="00817DFF" w:rsidRDefault="00817DFF" w:rsidP="00175F6B">
            <w:pPr>
              <w:spacing w:before="120" w:after="120"/>
              <w:rPr>
                <w:rFonts w:cs="Times New Roman"/>
                <w:szCs w:val="24"/>
                <w:lang w:val="en-GB"/>
              </w:rPr>
            </w:pPr>
            <w:r>
              <w:rPr>
                <w:rFonts w:cs="Times New Roman"/>
                <w:szCs w:val="24"/>
              </w:rPr>
              <w:t>Shell is confronted with the regulatory costs and legal risks when the emission targets are not reached.</w:t>
            </w:r>
          </w:p>
        </w:tc>
      </w:tr>
      <w:tr w:rsidR="00817DFF" w14:paraId="1025D11B"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5B3278" w14:textId="77777777" w:rsidR="00817DFF" w:rsidRDefault="00817DFF" w:rsidP="00175F6B">
            <w:pPr>
              <w:spacing w:before="120" w:after="120"/>
              <w:rPr>
                <w:rFonts w:cs="Times New Roman"/>
                <w:szCs w:val="24"/>
              </w:rPr>
            </w:pPr>
            <w:r>
              <w:rPr>
                <w:rFonts w:cs="Times New Roman"/>
                <w:b/>
                <w:bCs/>
                <w:szCs w:val="24"/>
              </w:rPr>
              <w:t>Legal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ABE2F6" w14:textId="77777777" w:rsidR="00817DFF" w:rsidRDefault="00817DFF" w:rsidP="00175F6B">
            <w:pPr>
              <w:spacing w:before="120" w:after="120"/>
              <w:rPr>
                <w:rFonts w:cs="Times New Roman"/>
                <w:szCs w:val="24"/>
              </w:rPr>
            </w:pPr>
            <w:r>
              <w:rPr>
                <w:rFonts w:cs="Times New Roman"/>
                <w:szCs w:val="24"/>
              </w:rPr>
              <w:t>Carbon pricing</w:t>
            </w:r>
          </w:p>
          <w:p w14:paraId="422EC824" w14:textId="77777777" w:rsidR="00817DFF" w:rsidRDefault="00817DFF" w:rsidP="00175F6B">
            <w:pPr>
              <w:spacing w:before="120" w:after="120"/>
              <w:rPr>
                <w:rFonts w:cs="Times New Roman"/>
                <w:szCs w:val="24"/>
              </w:rPr>
            </w:pPr>
            <w:r>
              <w:rPr>
                <w:rFonts w:cs="Times New Roman"/>
                <w:szCs w:val="24"/>
              </w:rPr>
              <w:t>Sustainability reporting standards</w:t>
            </w:r>
          </w:p>
          <w:p w14:paraId="17C0DF94" w14:textId="77777777" w:rsidR="00817DFF" w:rsidRDefault="00817DFF" w:rsidP="00175F6B">
            <w:pPr>
              <w:spacing w:before="120" w:after="120"/>
              <w:rPr>
                <w:rFonts w:cs="Times New Roman"/>
                <w:szCs w:val="24"/>
              </w:rPr>
            </w:pPr>
            <w:r>
              <w:rPr>
                <w:rFonts w:cs="Times New Roman"/>
                <w:szCs w:val="24"/>
              </w:rPr>
              <w:t>Environmental compliance laws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4DE3B7" w14:textId="77777777" w:rsidR="00817DFF" w:rsidRDefault="00817DFF" w:rsidP="00175F6B">
            <w:pPr>
              <w:spacing w:before="120" w:after="120"/>
              <w:rPr>
                <w:rFonts w:cs="Times New Roman"/>
                <w:szCs w:val="24"/>
                <w:lang w:val="en-GB"/>
              </w:rPr>
            </w:pPr>
            <w:r>
              <w:rPr>
                <w:rFonts w:cs="Times New Roman"/>
                <w:szCs w:val="24"/>
              </w:rPr>
              <w:t xml:space="preserve">Adherence incurs more expenses but also determines long-term strategic orientation. </w:t>
            </w:r>
          </w:p>
        </w:tc>
      </w:tr>
    </w:tbl>
    <w:p w14:paraId="15D3A252" w14:textId="77777777" w:rsidR="00817DFF" w:rsidRDefault="00817DFF" w:rsidP="00175F6B">
      <w:pPr>
        <w:spacing w:before="120" w:after="120"/>
        <w:rPr>
          <w:rFonts w:cs="Times New Roman"/>
          <w:b/>
          <w:bCs/>
          <w:szCs w:val="24"/>
        </w:rPr>
      </w:pPr>
      <w:r>
        <w:rPr>
          <w:rFonts w:cs="Times New Roman"/>
          <w:b/>
          <w:bCs/>
          <w:szCs w:val="24"/>
        </w:rPr>
        <w:t>Political Factors</w:t>
      </w:r>
    </w:p>
    <w:p w14:paraId="7306EF64" w14:textId="605EB9D9" w:rsidR="00817DFF" w:rsidRDefault="00817DFF" w:rsidP="00175F6B">
      <w:pPr>
        <w:spacing w:before="120" w:after="120"/>
        <w:rPr>
          <w:rFonts w:cs="Times New Roman"/>
          <w:szCs w:val="24"/>
          <w:lang w:val="en-GB"/>
        </w:rPr>
      </w:pPr>
      <w:r>
        <w:rPr>
          <w:rFonts w:cs="Times New Roman"/>
          <w:szCs w:val="24"/>
        </w:rPr>
        <w:t>Governments are very active in influencing energy markets. The conflict with Ukraine made European states concerned with energy security, which led to a short-term rise in LNG demand (UWEC, 2026). This was an advantage to Shell, as the volumes of LNG traded went up and the prices were high. Nonetheless, windfall taxes on the energy gains were also introduced by governments. As an illustration, the UK Energy Profits Levy raised the taxation on oil producers (GOV.UK, 2022). Meanwhile, governments are facilitating decarbonisation by subsidising renewable energy, particularly in the US Inflation Reduction Act. Shell should thus act in two directions.</w:t>
      </w:r>
    </w:p>
    <w:p w14:paraId="6C1AB3BB" w14:textId="77777777" w:rsidR="00817DFF" w:rsidRDefault="00817DFF" w:rsidP="00175F6B">
      <w:pPr>
        <w:spacing w:before="120" w:after="120"/>
        <w:rPr>
          <w:rFonts w:cs="Times New Roman"/>
          <w:b/>
          <w:bCs/>
          <w:szCs w:val="24"/>
        </w:rPr>
      </w:pPr>
      <w:r>
        <w:rPr>
          <w:rFonts w:cs="Times New Roman"/>
          <w:b/>
          <w:bCs/>
          <w:szCs w:val="24"/>
        </w:rPr>
        <w:t>Economic Factors</w:t>
      </w:r>
    </w:p>
    <w:p w14:paraId="576DF60F" w14:textId="77777777" w:rsidR="00817DFF" w:rsidRDefault="00817DFF" w:rsidP="00175F6B">
      <w:pPr>
        <w:spacing w:before="120" w:after="120"/>
        <w:rPr>
          <w:rFonts w:cs="Times New Roman"/>
          <w:szCs w:val="24"/>
          <w:lang w:val="en-GB"/>
        </w:rPr>
      </w:pPr>
      <w:r>
        <w:rPr>
          <w:rFonts w:cs="Times New Roman"/>
          <w:szCs w:val="24"/>
        </w:rPr>
        <w:t>Oil is priced highly dynamically. In 2022, the price of Brent crude surged and in 2023, it fluctuated (EIA, 2024). Shell has good cash flows when prices are high which increases the shareholder returns. In 2023, Shell recorded revenues in excess of US300 billion with LNG and oil being the key drivers (ORF, 2026). However, inflation raised the cost of construction and projects across the world. Large renewable projects are also costly to borrow due to high interest rates. Although LNG demand grows in Asia, particularly in China and India, renewable markets are competitive and they do not always offer higher returns in the short term than oil and gas (IEEFA, 2025). Consequently, high oil earnings will decrease the pressure to hasten transition investment.</w:t>
      </w:r>
    </w:p>
    <w:p w14:paraId="3085714C" w14:textId="77777777" w:rsidR="00817DFF" w:rsidRDefault="00817DFF" w:rsidP="00175F6B">
      <w:pPr>
        <w:spacing w:before="120" w:after="120"/>
        <w:rPr>
          <w:rFonts w:cs="Times New Roman"/>
          <w:b/>
          <w:bCs/>
          <w:szCs w:val="24"/>
        </w:rPr>
      </w:pPr>
      <w:r>
        <w:rPr>
          <w:rFonts w:cs="Times New Roman"/>
          <w:b/>
          <w:bCs/>
          <w:szCs w:val="24"/>
        </w:rPr>
        <w:lastRenderedPageBreak/>
        <w:t>Social Factors</w:t>
      </w:r>
    </w:p>
    <w:p w14:paraId="0A582DE8" w14:textId="77777777" w:rsidR="00817DFF" w:rsidRDefault="00817DFF" w:rsidP="00175F6B">
      <w:pPr>
        <w:spacing w:before="120" w:after="120"/>
        <w:rPr>
          <w:rFonts w:cs="Times New Roman"/>
          <w:szCs w:val="24"/>
          <w:lang w:val="en-GB"/>
        </w:rPr>
      </w:pPr>
      <w:r>
        <w:rPr>
          <w:rFonts w:cs="Times New Roman"/>
          <w:szCs w:val="24"/>
        </w:rPr>
        <w:t>Climate change is a growing concern for society. Companies are now being evaluated by institutional investors based on ESG (</w:t>
      </w:r>
      <w:proofErr w:type="spellStart"/>
      <w:r>
        <w:rPr>
          <w:rFonts w:cs="Times New Roman"/>
          <w:szCs w:val="24"/>
        </w:rPr>
        <w:t>Khamisu</w:t>
      </w:r>
      <w:proofErr w:type="spellEnd"/>
      <w:r>
        <w:rPr>
          <w:rFonts w:cs="Times New Roman"/>
          <w:szCs w:val="24"/>
        </w:rPr>
        <w:t xml:space="preserve"> and </w:t>
      </w:r>
      <w:proofErr w:type="spellStart"/>
      <w:r>
        <w:rPr>
          <w:rFonts w:cs="Times New Roman"/>
          <w:szCs w:val="24"/>
        </w:rPr>
        <w:t>Paluri</w:t>
      </w:r>
      <w:proofErr w:type="spellEnd"/>
      <w:r>
        <w:rPr>
          <w:rFonts w:cs="Times New Roman"/>
          <w:szCs w:val="24"/>
        </w:rPr>
        <w:t xml:space="preserve">, 2024). </w:t>
      </w:r>
      <w:proofErr w:type="spellStart"/>
      <w:r>
        <w:rPr>
          <w:rFonts w:cs="Times New Roman"/>
          <w:szCs w:val="24"/>
        </w:rPr>
        <w:t>Megapension</w:t>
      </w:r>
      <w:proofErr w:type="spellEnd"/>
      <w:r>
        <w:rPr>
          <w:rFonts w:cs="Times New Roman"/>
          <w:szCs w:val="24"/>
        </w:rPr>
        <w:t xml:space="preserve"> funds and asset managers are doubtful of oil expansion policies. Meanwhile, the demand for electric vehicles is increasing among consumers, particularly in Europe and China. There is also the impact of climate activism and protests on the perception of the population (</w:t>
      </w:r>
      <w:proofErr w:type="spellStart"/>
      <w:r>
        <w:rPr>
          <w:rFonts w:cs="Times New Roman"/>
          <w:szCs w:val="24"/>
        </w:rPr>
        <w:t>Badullovich</w:t>
      </w:r>
      <w:proofErr w:type="spellEnd"/>
      <w:r>
        <w:rPr>
          <w:rFonts w:cs="Times New Roman"/>
          <w:szCs w:val="24"/>
        </w:rPr>
        <w:t>, et al., 2024). In case Shell is considered to be moving too slowly towards net zero, its image can suffer. The reputation itself has a direct impact on the brand value and the company's ability to obtain new approvals for projects. Thus, social pressure affects communication and strategy.</w:t>
      </w:r>
    </w:p>
    <w:p w14:paraId="73E5C0B8" w14:textId="77777777" w:rsidR="00817DFF" w:rsidRDefault="00817DFF" w:rsidP="00175F6B">
      <w:pPr>
        <w:spacing w:before="120" w:after="120"/>
        <w:rPr>
          <w:rFonts w:cs="Times New Roman"/>
          <w:b/>
          <w:bCs/>
          <w:szCs w:val="24"/>
        </w:rPr>
      </w:pPr>
      <w:r>
        <w:rPr>
          <w:rFonts w:cs="Times New Roman"/>
          <w:b/>
          <w:bCs/>
          <w:szCs w:val="24"/>
        </w:rPr>
        <w:t>Technological Factors</w:t>
      </w:r>
    </w:p>
    <w:p w14:paraId="501F4FD3" w14:textId="77777777" w:rsidR="00817DFF" w:rsidRDefault="00817DFF" w:rsidP="00175F6B">
      <w:pPr>
        <w:spacing w:before="120" w:after="120"/>
        <w:rPr>
          <w:rFonts w:cs="Times New Roman"/>
          <w:szCs w:val="24"/>
          <w:lang w:val="en-GB"/>
        </w:rPr>
      </w:pPr>
      <w:r>
        <w:rPr>
          <w:rFonts w:cs="Times New Roman"/>
          <w:szCs w:val="24"/>
        </w:rPr>
        <w:t>The energy industry is being transformed by technological change. Solar and wind energy have become considerably cheaper in the past ten years. The development of hydrogen and carbon capture technologies is promoted by government subsidies. Shell has invested in hydrogen hubs and carbon capture and these technologies are still in development. Charging networks of electric vehicles are growing at a high rate (IEA, 2025). Fossil fuels are under the threat of substitution. But Shell has a technical know-how on large-scale work in engineering and that gives them an edge in intricate energy work. Technology is a source of threat and opportunity.</w:t>
      </w:r>
    </w:p>
    <w:p w14:paraId="5C462A97" w14:textId="77777777" w:rsidR="00817DFF" w:rsidRDefault="00817DFF" w:rsidP="00175F6B">
      <w:pPr>
        <w:spacing w:before="120" w:after="120"/>
        <w:rPr>
          <w:rFonts w:cs="Times New Roman"/>
          <w:b/>
          <w:bCs/>
          <w:szCs w:val="24"/>
        </w:rPr>
      </w:pPr>
      <w:r>
        <w:rPr>
          <w:rFonts w:cs="Times New Roman"/>
          <w:b/>
          <w:bCs/>
          <w:szCs w:val="24"/>
        </w:rPr>
        <w:t>Environmental Factors</w:t>
      </w:r>
    </w:p>
    <w:p w14:paraId="0ADCD400" w14:textId="77777777" w:rsidR="00817DFF" w:rsidRDefault="00817DFF" w:rsidP="00175F6B">
      <w:pPr>
        <w:spacing w:before="120" w:after="120"/>
        <w:rPr>
          <w:rFonts w:cs="Times New Roman"/>
          <w:szCs w:val="24"/>
          <w:lang w:val="en-GB"/>
        </w:rPr>
      </w:pPr>
      <w:r>
        <w:rPr>
          <w:rFonts w:cs="Times New Roman"/>
          <w:szCs w:val="24"/>
        </w:rPr>
        <w:t xml:space="preserve">The regulation of the environment is tightening. Net-zero targets of 2050 have been implemented in many countries. Shell has pledged to cut Scope 1 and 2 emissions and to reduce the carbon intensity of its energy products (Shell, 2025a). However, environmentalists claim that in Scope 3, the emissions are still high, as oil does not cease production. </w:t>
      </w:r>
      <w:proofErr w:type="spellStart"/>
      <w:r>
        <w:rPr>
          <w:rFonts w:cs="Times New Roman"/>
          <w:szCs w:val="24"/>
        </w:rPr>
        <w:t>Megaboil</w:t>
      </w:r>
      <w:proofErr w:type="spellEnd"/>
      <w:r>
        <w:rPr>
          <w:rFonts w:cs="Times New Roman"/>
          <w:szCs w:val="24"/>
        </w:rPr>
        <w:t xml:space="preserve"> corporations have been sued on matters of climate responsibility. This adds insecurity and probable financial exposure. </w:t>
      </w:r>
    </w:p>
    <w:p w14:paraId="54BDC21D" w14:textId="77777777" w:rsidR="00817DFF" w:rsidRDefault="00817DFF" w:rsidP="00175F6B">
      <w:pPr>
        <w:spacing w:before="120" w:after="120"/>
        <w:rPr>
          <w:rFonts w:cs="Times New Roman"/>
          <w:b/>
          <w:bCs/>
          <w:szCs w:val="24"/>
        </w:rPr>
      </w:pPr>
      <w:r>
        <w:rPr>
          <w:rFonts w:cs="Times New Roman"/>
          <w:b/>
          <w:bCs/>
          <w:szCs w:val="24"/>
        </w:rPr>
        <w:t>Legal Factors</w:t>
      </w:r>
    </w:p>
    <w:p w14:paraId="0ECCC2A2" w14:textId="77777777" w:rsidR="00817DFF" w:rsidRDefault="00817DFF" w:rsidP="00175F6B">
      <w:pPr>
        <w:spacing w:before="120" w:after="120"/>
        <w:rPr>
          <w:rFonts w:cs="Times New Roman"/>
          <w:szCs w:val="24"/>
        </w:rPr>
      </w:pPr>
      <w:r>
        <w:rPr>
          <w:rFonts w:cs="Times New Roman"/>
          <w:szCs w:val="24"/>
        </w:rPr>
        <w:t>There are carbon pricing systems in Europe and elsewhere (OECD, 2025). Compulsory sustainability reporting regulations entail comprehensive reporting on climate risks. Rules on environmental compliance raise the cost of operation. Though these laws provide financial stress, they drive Shell to enhance transparency and governance practices.</w:t>
      </w:r>
    </w:p>
    <w:p w14:paraId="60536A23" w14:textId="77777777" w:rsidR="00817DFF" w:rsidRDefault="00817DFF" w:rsidP="00175F6B">
      <w:pPr>
        <w:spacing w:before="120" w:after="120"/>
        <w:rPr>
          <w:rFonts w:cs="Times New Roman"/>
          <w:szCs w:val="24"/>
        </w:rPr>
      </w:pPr>
      <w:r>
        <w:rPr>
          <w:rFonts w:cs="Times New Roman"/>
          <w:szCs w:val="24"/>
        </w:rPr>
        <w:t>In general, the macro-environment implies intense pressure regarding regulations but also presents LNG and renewable energy market opportunities.</w:t>
      </w:r>
    </w:p>
    <w:p w14:paraId="7B1B9DC6" w14:textId="66C1F2B8" w:rsidR="00817DFF" w:rsidRDefault="00041026" w:rsidP="00175F6B">
      <w:pPr>
        <w:pStyle w:val="Heading2"/>
        <w:spacing w:before="120" w:after="120"/>
      </w:pPr>
      <w:bookmarkStart w:id="5" w:name="_Toc223779814"/>
      <w:r>
        <w:lastRenderedPageBreak/>
        <w:t>2</w:t>
      </w:r>
      <w:r w:rsidR="00817DFF">
        <w:t>.</w:t>
      </w:r>
      <w:r w:rsidR="00DA0A89">
        <w:t>2</w:t>
      </w:r>
      <w:r w:rsidR="00817DFF">
        <w:t xml:space="preserve"> Critical Success Factors and Strategic Challenges</w:t>
      </w:r>
      <w:bookmarkEnd w:id="5"/>
    </w:p>
    <w:p w14:paraId="6D80A5B2" w14:textId="77777777" w:rsidR="00817DFF" w:rsidRDefault="00817DFF" w:rsidP="00175F6B">
      <w:pPr>
        <w:spacing w:before="120" w:after="120"/>
        <w:rPr>
          <w:rFonts w:cs="Times New Roman"/>
          <w:szCs w:val="24"/>
        </w:rPr>
      </w:pPr>
      <w:r>
        <w:rPr>
          <w:rFonts w:cs="Times New Roman"/>
          <w:szCs w:val="24"/>
        </w:rPr>
        <w:t>Based on PESTEL analysis, a number of critical success factors can be identified. First, Shell has to have good access to capital since energy projects are in billions of dollars. Second, it should enhance hydrogen, carbon capture and renewable power technological capacity. Third, licensing and subsidies require stable relations with governments. Fourth, the global supply chains must be effective to coordinate LNG and oil logistics (</w:t>
      </w:r>
      <w:proofErr w:type="spellStart"/>
      <w:r>
        <w:rPr>
          <w:rFonts w:cs="Times New Roman"/>
          <w:szCs w:val="24"/>
        </w:rPr>
        <w:t>Onukwulu</w:t>
      </w:r>
      <w:proofErr w:type="spellEnd"/>
      <w:r>
        <w:rPr>
          <w:rFonts w:cs="Times New Roman"/>
          <w:szCs w:val="24"/>
        </w:rPr>
        <w:t>, et al., 2023). Fifth, Shell will need to have the stakeholders' expectations to safeguard its social licence to operate. Lastly, cost effectiveness in upstream operations is also significant since oil and gas continue to earn the majority of revenue.</w:t>
      </w:r>
    </w:p>
    <w:p w14:paraId="7B6185BC" w14:textId="77777777" w:rsidR="00817DFF" w:rsidRDefault="00817DFF" w:rsidP="00175F6B">
      <w:pPr>
        <w:spacing w:before="120" w:after="120"/>
        <w:rPr>
          <w:rFonts w:cs="Times New Roman"/>
          <w:szCs w:val="24"/>
        </w:rPr>
      </w:pPr>
      <w:r>
        <w:rPr>
          <w:rFonts w:cs="Times New Roman"/>
          <w:szCs w:val="24"/>
        </w:rPr>
        <w:t>In spite of these strengths, Shell has key strategic challenges. It has to strike a balance between shareholder dividends, share buybacks and increasing transition spending. There is also a risk that a part of the oil assets will end up being stranded in case demand reduces beyond the expected rate. Competitors with a renewable orientation are growing rapidly and could establish the first-mover advantage (Kuik, et al., 2019). Besides this, the tension of brand legitimacy and doubling fossil fuel production poses a reputational problem.</w:t>
      </w:r>
    </w:p>
    <w:p w14:paraId="67548909" w14:textId="77777777" w:rsidR="00817DFF" w:rsidRDefault="00817DFF" w:rsidP="00175F6B">
      <w:pPr>
        <w:spacing w:before="120" w:after="120"/>
        <w:rPr>
          <w:rFonts w:cs="Times New Roman"/>
          <w:b/>
          <w:bCs/>
          <w:szCs w:val="24"/>
        </w:rPr>
      </w:pPr>
      <w:r>
        <w:rPr>
          <w:rFonts w:cs="Times New Roman"/>
          <w:b/>
          <w:bCs/>
          <w:szCs w:val="24"/>
        </w:rPr>
        <w:t>C. Internal Environment – Resources, Capabilities and VRIO</w:t>
      </w:r>
    </w:p>
    <w:p w14:paraId="311A1555" w14:textId="77777777" w:rsidR="00817DFF" w:rsidRDefault="00817DFF" w:rsidP="00175F6B">
      <w:pPr>
        <w:spacing w:before="120" w:after="120"/>
        <w:rPr>
          <w:rFonts w:cs="Times New Roman"/>
          <w:szCs w:val="24"/>
          <w:lang w:val="en-GB"/>
        </w:rPr>
      </w:pPr>
      <w:r>
        <w:rPr>
          <w:rFonts w:cs="Times New Roman"/>
          <w:szCs w:val="24"/>
        </w:rPr>
        <w:t>Tangible resources, intangible assets and organisational capabilities are all part of Shell's internal environment.</w:t>
      </w:r>
    </w:p>
    <w:p w14:paraId="50B12968" w14:textId="77777777" w:rsidR="00817DFF" w:rsidRDefault="00817DFF" w:rsidP="00175F6B">
      <w:pPr>
        <w:spacing w:before="120" w:after="120"/>
        <w:rPr>
          <w:rFonts w:cs="Times New Roman"/>
          <w:b/>
          <w:bCs/>
          <w:szCs w:val="24"/>
        </w:rPr>
      </w:pPr>
      <w:r>
        <w:rPr>
          <w:rFonts w:cs="Times New Roman"/>
          <w:b/>
          <w:bCs/>
          <w:szCs w:val="24"/>
        </w:rPr>
        <w:t>Tangible Resources</w:t>
      </w:r>
    </w:p>
    <w:p w14:paraId="378E5838" w14:textId="77777777" w:rsidR="00817DFF" w:rsidRDefault="00817DFF" w:rsidP="00175F6B">
      <w:pPr>
        <w:spacing w:before="120" w:after="120"/>
        <w:rPr>
          <w:rFonts w:cs="Times New Roman"/>
          <w:szCs w:val="24"/>
          <w:lang w:val="en-GB"/>
        </w:rPr>
      </w:pPr>
      <w:r>
        <w:rPr>
          <w:rFonts w:cs="Times New Roman"/>
          <w:szCs w:val="24"/>
        </w:rPr>
        <w:t xml:space="preserve">Shell has massive upstream oil and gas resources in various continents </w:t>
      </w:r>
      <w:proofErr w:type="gramStart"/>
      <w:r>
        <w:rPr>
          <w:rFonts w:cs="Times New Roman"/>
          <w:szCs w:val="24"/>
        </w:rPr>
        <w:t>( Shell</w:t>
      </w:r>
      <w:proofErr w:type="gramEnd"/>
      <w:r>
        <w:rPr>
          <w:rFonts w:cs="Times New Roman"/>
          <w:szCs w:val="24"/>
        </w:rPr>
        <w:t>, 2024b). It owns large LNG liquefaction plants and ship fleets. Another strength of the company is its great financial resources that are backed by high operating cash flow. It owns millions of customers who use its retail fuel network every day around the globe.</w:t>
      </w:r>
    </w:p>
    <w:p w14:paraId="6ADB2339" w14:textId="77777777" w:rsidR="00817DFF" w:rsidRDefault="00817DFF" w:rsidP="00175F6B">
      <w:pPr>
        <w:spacing w:before="120" w:after="120"/>
        <w:rPr>
          <w:rFonts w:cs="Times New Roman"/>
          <w:b/>
          <w:bCs/>
          <w:szCs w:val="24"/>
        </w:rPr>
      </w:pPr>
      <w:r>
        <w:rPr>
          <w:rFonts w:cs="Times New Roman"/>
          <w:b/>
          <w:bCs/>
          <w:szCs w:val="24"/>
        </w:rPr>
        <w:t>Intangible Resources</w:t>
      </w:r>
    </w:p>
    <w:p w14:paraId="73E33B76" w14:textId="77777777" w:rsidR="00817DFF" w:rsidRDefault="00817DFF" w:rsidP="00175F6B">
      <w:pPr>
        <w:spacing w:before="120" w:after="120"/>
        <w:rPr>
          <w:rFonts w:cs="Times New Roman"/>
          <w:szCs w:val="24"/>
          <w:lang w:val="en-GB"/>
        </w:rPr>
      </w:pPr>
      <w:r>
        <w:rPr>
          <w:rFonts w:cs="Times New Roman"/>
          <w:szCs w:val="24"/>
        </w:rPr>
        <w:t>Shell enjoys a great brand name across the world that was acquired over a century. It has innovative expertise in LNG markets. Prolonged government acquaintances promote approvals of projects. The company also has technological patents in energy processes.</w:t>
      </w:r>
    </w:p>
    <w:p w14:paraId="6F6D2483" w14:textId="77777777" w:rsidR="00817DFF" w:rsidRDefault="00817DFF" w:rsidP="00175F6B">
      <w:pPr>
        <w:spacing w:before="120" w:after="120"/>
        <w:rPr>
          <w:rFonts w:cs="Times New Roman"/>
          <w:b/>
          <w:bCs/>
          <w:szCs w:val="24"/>
        </w:rPr>
      </w:pPr>
      <w:r>
        <w:rPr>
          <w:rFonts w:cs="Times New Roman"/>
          <w:b/>
          <w:bCs/>
          <w:szCs w:val="24"/>
        </w:rPr>
        <w:t>Organisational Capabilities</w:t>
      </w:r>
    </w:p>
    <w:p w14:paraId="491E9F2A" w14:textId="77777777" w:rsidR="00817DFF" w:rsidRDefault="00817DFF" w:rsidP="00175F6B">
      <w:pPr>
        <w:spacing w:before="120" w:after="120"/>
        <w:rPr>
          <w:rFonts w:cs="Times New Roman"/>
          <w:szCs w:val="24"/>
        </w:rPr>
      </w:pPr>
      <w:r>
        <w:rPr>
          <w:rFonts w:cs="Times New Roman"/>
          <w:szCs w:val="24"/>
        </w:rPr>
        <w:t>Shell shows some ability in LNG trading and risk management. It deals with offshore complex projects and integrates the production-to-retail supply chains (Shell Energy India, 2026). These functions facilitate effectiveness and international coverage.</w:t>
      </w:r>
    </w:p>
    <w:p w14:paraId="36CCE58D" w14:textId="77777777" w:rsidR="00817DFF" w:rsidRDefault="00817DFF" w:rsidP="00175F6B">
      <w:pPr>
        <w:spacing w:before="120" w:after="120"/>
        <w:rPr>
          <w:rFonts w:cs="Times New Roman"/>
          <w:szCs w:val="24"/>
        </w:rPr>
      </w:pPr>
      <w:r>
        <w:rPr>
          <w:rFonts w:cs="Times New Roman"/>
          <w:szCs w:val="24"/>
        </w:rPr>
        <w:lastRenderedPageBreak/>
        <w:t xml:space="preserve">The VRIO framework assists in evaluating whether the resources generate sustainable </w:t>
      </w:r>
    </w:p>
    <w:p w14:paraId="6D8F1D26" w14:textId="77777777" w:rsidR="00817DFF" w:rsidRDefault="00817DFF" w:rsidP="00175F6B">
      <w:pPr>
        <w:spacing w:before="120" w:after="120"/>
        <w:rPr>
          <w:rFonts w:cs="Times New Roman"/>
          <w:b/>
          <w:bCs/>
          <w:szCs w:val="24"/>
        </w:rPr>
      </w:pPr>
      <w:r>
        <w:rPr>
          <w:rFonts w:cs="Times New Roman"/>
          <w:b/>
          <w:bCs/>
          <w:szCs w:val="24"/>
        </w:rPr>
        <w:t>Table 2: VRIO Analysis of Key Resources</w:t>
      </w:r>
    </w:p>
    <w:tbl>
      <w:tblPr>
        <w:tblStyle w:val="TableGridLight"/>
        <w:tblW w:w="0" w:type="auto"/>
        <w:tblInd w:w="0" w:type="dxa"/>
        <w:tblLook w:val="04A0" w:firstRow="1" w:lastRow="0" w:firstColumn="1" w:lastColumn="0" w:noHBand="0" w:noVBand="1"/>
      </w:tblPr>
      <w:tblGrid>
        <w:gridCol w:w="1676"/>
        <w:gridCol w:w="1115"/>
        <w:gridCol w:w="1516"/>
        <w:gridCol w:w="1373"/>
        <w:gridCol w:w="1336"/>
        <w:gridCol w:w="2000"/>
      </w:tblGrid>
      <w:tr w:rsidR="00817DFF" w14:paraId="0C7E91EE" w14:textId="77777777" w:rsidTr="004F41B3">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hideMark/>
          </w:tcPr>
          <w:p w14:paraId="265E2D39" w14:textId="77777777" w:rsidR="00817DFF" w:rsidRDefault="00817DFF" w:rsidP="00175F6B">
            <w:pPr>
              <w:spacing w:before="120" w:after="120"/>
              <w:rPr>
                <w:rFonts w:cs="Times New Roman"/>
                <w:b/>
                <w:bCs/>
                <w:szCs w:val="24"/>
              </w:rPr>
            </w:pPr>
            <w:r>
              <w:rPr>
                <w:rFonts w:cs="Times New Roman"/>
                <w:b/>
                <w:bCs/>
                <w:szCs w:val="24"/>
              </w:rPr>
              <w:t>Resource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hideMark/>
          </w:tcPr>
          <w:p w14:paraId="05F9A546" w14:textId="77777777" w:rsidR="00817DFF" w:rsidRDefault="00817DFF" w:rsidP="00175F6B">
            <w:pPr>
              <w:spacing w:before="120" w:after="120"/>
              <w:rPr>
                <w:rFonts w:cs="Times New Roman"/>
                <w:b/>
                <w:bCs/>
                <w:szCs w:val="24"/>
              </w:rPr>
            </w:pPr>
            <w:r>
              <w:rPr>
                <w:rFonts w:cs="Times New Roman"/>
                <w:b/>
                <w:bCs/>
                <w:szCs w:val="24"/>
              </w:rPr>
              <w:t>Valuable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hideMark/>
          </w:tcPr>
          <w:p w14:paraId="55461F6F" w14:textId="77777777" w:rsidR="00817DFF" w:rsidRDefault="00817DFF" w:rsidP="00175F6B">
            <w:pPr>
              <w:spacing w:before="120" w:after="120"/>
              <w:rPr>
                <w:rFonts w:cs="Times New Roman"/>
                <w:b/>
                <w:bCs/>
                <w:szCs w:val="24"/>
              </w:rPr>
            </w:pPr>
            <w:r>
              <w:rPr>
                <w:rFonts w:cs="Times New Roman"/>
                <w:b/>
                <w:bCs/>
                <w:szCs w:val="24"/>
              </w:rPr>
              <w:t>Rare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hideMark/>
          </w:tcPr>
          <w:p w14:paraId="7E30B738" w14:textId="77777777" w:rsidR="00817DFF" w:rsidRDefault="00817DFF" w:rsidP="00175F6B">
            <w:pPr>
              <w:spacing w:before="120" w:after="120"/>
              <w:rPr>
                <w:rFonts w:cs="Times New Roman"/>
                <w:b/>
                <w:bCs/>
                <w:szCs w:val="24"/>
              </w:rPr>
            </w:pPr>
            <w:r>
              <w:rPr>
                <w:rFonts w:cs="Times New Roman"/>
                <w:b/>
                <w:bCs/>
                <w:szCs w:val="24"/>
              </w:rPr>
              <w:t>Difficult to Imitate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hideMark/>
          </w:tcPr>
          <w:p w14:paraId="2DF1CDA4" w14:textId="77777777" w:rsidR="00817DFF" w:rsidRDefault="00817DFF" w:rsidP="00175F6B">
            <w:pPr>
              <w:spacing w:before="120" w:after="120"/>
              <w:rPr>
                <w:rFonts w:cs="Times New Roman"/>
                <w:b/>
                <w:bCs/>
                <w:szCs w:val="24"/>
              </w:rPr>
            </w:pPr>
            <w:r>
              <w:rPr>
                <w:rFonts w:cs="Times New Roman"/>
                <w:b/>
                <w:bCs/>
                <w:szCs w:val="24"/>
              </w:rPr>
              <w:t>Organised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hideMark/>
          </w:tcPr>
          <w:p w14:paraId="306ACE71" w14:textId="77777777" w:rsidR="00817DFF" w:rsidRDefault="00817DFF" w:rsidP="00175F6B">
            <w:pPr>
              <w:spacing w:before="120" w:after="120"/>
              <w:rPr>
                <w:rFonts w:cs="Times New Roman"/>
                <w:b/>
                <w:bCs/>
                <w:szCs w:val="24"/>
              </w:rPr>
            </w:pPr>
            <w:r>
              <w:rPr>
                <w:rFonts w:cs="Times New Roman"/>
                <w:b/>
                <w:bCs/>
                <w:szCs w:val="24"/>
              </w:rPr>
              <w:t>Competitive Outcome</w:t>
            </w:r>
          </w:p>
        </w:tc>
      </w:tr>
      <w:tr w:rsidR="00817DFF" w14:paraId="0C536A11"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B118DF" w14:textId="77777777" w:rsidR="00817DFF" w:rsidRDefault="00817DFF" w:rsidP="00175F6B">
            <w:pPr>
              <w:spacing w:before="120" w:after="120"/>
              <w:rPr>
                <w:rFonts w:cs="Times New Roman"/>
                <w:szCs w:val="24"/>
              </w:rPr>
            </w:pPr>
            <w:r>
              <w:rPr>
                <w:rFonts w:cs="Times New Roman"/>
                <w:szCs w:val="24"/>
              </w:rPr>
              <w:t>LNG Trading Platform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1412CF"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2242F9"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703800"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21476B"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BDB19B" w14:textId="77777777" w:rsidR="00817DFF" w:rsidRDefault="00817DFF" w:rsidP="00175F6B">
            <w:pPr>
              <w:spacing w:before="120" w:after="120"/>
              <w:rPr>
                <w:rFonts w:cs="Times New Roman"/>
                <w:szCs w:val="24"/>
              </w:rPr>
            </w:pPr>
            <w:r>
              <w:rPr>
                <w:rFonts w:cs="Times New Roman"/>
                <w:szCs w:val="24"/>
              </w:rPr>
              <w:t>Medium-term sustainable advantage</w:t>
            </w:r>
          </w:p>
        </w:tc>
      </w:tr>
      <w:tr w:rsidR="00817DFF" w14:paraId="250B4160"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18D115" w14:textId="77777777" w:rsidR="00817DFF" w:rsidRDefault="00817DFF" w:rsidP="00175F6B">
            <w:pPr>
              <w:spacing w:before="120" w:after="120"/>
              <w:rPr>
                <w:rFonts w:cs="Times New Roman"/>
                <w:szCs w:val="24"/>
              </w:rPr>
            </w:pPr>
            <w:r>
              <w:rPr>
                <w:rFonts w:cs="Times New Roman"/>
                <w:szCs w:val="24"/>
              </w:rPr>
              <w:t>Renewable Energy Portfolio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1A1AB4"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7F1979" w14:textId="77777777" w:rsidR="00817DFF" w:rsidRDefault="00817DFF" w:rsidP="00175F6B">
            <w:pPr>
              <w:spacing w:before="120" w:after="120"/>
              <w:rPr>
                <w:rFonts w:cs="Times New Roman"/>
                <w:szCs w:val="24"/>
              </w:rPr>
            </w:pPr>
            <w:r>
              <w:rPr>
                <w:rFonts w:cs="Times New Roman"/>
                <w:szCs w:val="24"/>
              </w:rPr>
              <w:t>No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0105A2" w14:textId="77777777" w:rsidR="00817DFF" w:rsidRDefault="00817DFF" w:rsidP="00175F6B">
            <w:pPr>
              <w:spacing w:before="120" w:after="120"/>
              <w:rPr>
                <w:rFonts w:cs="Times New Roman"/>
                <w:szCs w:val="24"/>
              </w:rPr>
            </w:pPr>
            <w:r>
              <w:rPr>
                <w:rFonts w:cs="Times New Roman"/>
                <w:szCs w:val="24"/>
              </w:rPr>
              <w:t>Moderate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41E70D" w14:textId="77777777" w:rsidR="00817DFF" w:rsidRDefault="00817DFF" w:rsidP="00175F6B">
            <w:pPr>
              <w:spacing w:before="120" w:after="120"/>
              <w:rPr>
                <w:rFonts w:cs="Times New Roman"/>
                <w:szCs w:val="24"/>
              </w:rPr>
            </w:pPr>
            <w:r>
              <w:rPr>
                <w:rFonts w:cs="Times New Roman"/>
                <w:szCs w:val="24"/>
              </w:rPr>
              <w:t>Developing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49B757" w14:textId="77777777" w:rsidR="00817DFF" w:rsidRDefault="00817DFF" w:rsidP="00175F6B">
            <w:pPr>
              <w:spacing w:before="120" w:after="120"/>
              <w:rPr>
                <w:rFonts w:cs="Times New Roman"/>
                <w:szCs w:val="24"/>
              </w:rPr>
            </w:pPr>
            <w:r>
              <w:rPr>
                <w:rFonts w:cs="Times New Roman"/>
                <w:szCs w:val="24"/>
              </w:rPr>
              <w:t>Temporary advantage</w:t>
            </w:r>
          </w:p>
        </w:tc>
      </w:tr>
      <w:tr w:rsidR="00817DFF" w14:paraId="1D420499"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D7BF44" w14:textId="77777777" w:rsidR="00817DFF" w:rsidRDefault="00817DFF" w:rsidP="00175F6B">
            <w:pPr>
              <w:spacing w:before="120" w:after="120"/>
              <w:rPr>
                <w:rFonts w:cs="Times New Roman"/>
                <w:szCs w:val="24"/>
              </w:rPr>
            </w:pPr>
            <w:r>
              <w:rPr>
                <w:rFonts w:cs="Times New Roman"/>
                <w:szCs w:val="24"/>
              </w:rPr>
              <w:t>Financial Strength</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D160CE"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7B9528" w14:textId="77777777" w:rsidR="00817DFF" w:rsidRDefault="00817DFF" w:rsidP="00175F6B">
            <w:pPr>
              <w:spacing w:before="120" w:after="120"/>
              <w:rPr>
                <w:rFonts w:cs="Times New Roman"/>
                <w:szCs w:val="24"/>
              </w:rPr>
            </w:pPr>
            <w:r>
              <w:rPr>
                <w:rFonts w:cs="Times New Roman"/>
                <w:szCs w:val="24"/>
              </w:rPr>
              <w:t>Yes (among a few majors)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15DC9A"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BCB4D8"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72A572" w14:textId="77777777" w:rsidR="00817DFF" w:rsidRDefault="00817DFF" w:rsidP="00175F6B">
            <w:pPr>
              <w:spacing w:before="120" w:after="120"/>
              <w:rPr>
                <w:rFonts w:cs="Times New Roman"/>
                <w:szCs w:val="24"/>
              </w:rPr>
            </w:pPr>
            <w:r>
              <w:rPr>
                <w:rFonts w:cs="Times New Roman"/>
                <w:szCs w:val="24"/>
              </w:rPr>
              <w:t>Strong competitive foundation</w:t>
            </w:r>
          </w:p>
        </w:tc>
      </w:tr>
      <w:tr w:rsidR="00817DFF" w14:paraId="57C259DC"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B71091" w14:textId="77777777" w:rsidR="00817DFF" w:rsidRDefault="00817DFF" w:rsidP="00175F6B">
            <w:pPr>
              <w:spacing w:before="120" w:after="120"/>
              <w:rPr>
                <w:rFonts w:cs="Times New Roman"/>
                <w:szCs w:val="24"/>
              </w:rPr>
            </w:pPr>
            <w:r>
              <w:rPr>
                <w:rFonts w:cs="Times New Roman"/>
                <w:szCs w:val="24"/>
              </w:rPr>
              <w:t>Global Retail Network</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0339E1"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0D05737" w14:textId="77777777" w:rsidR="00817DFF" w:rsidRDefault="00817DFF" w:rsidP="00175F6B">
            <w:pPr>
              <w:spacing w:before="120" w:after="120"/>
              <w:rPr>
                <w:rFonts w:cs="Times New Roman"/>
                <w:szCs w:val="24"/>
              </w:rPr>
            </w:pPr>
            <w:r>
              <w:rPr>
                <w:rFonts w:cs="Times New Roman"/>
                <w:szCs w:val="24"/>
              </w:rPr>
              <w:t>Moderate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AE90CD" w14:textId="77777777" w:rsidR="00817DFF" w:rsidRDefault="00817DFF" w:rsidP="00175F6B">
            <w:pPr>
              <w:spacing w:before="120" w:after="120"/>
              <w:rPr>
                <w:rFonts w:cs="Times New Roman"/>
                <w:szCs w:val="24"/>
              </w:rPr>
            </w:pPr>
            <w:r>
              <w:rPr>
                <w:rFonts w:cs="Times New Roman"/>
                <w:szCs w:val="24"/>
              </w:rPr>
              <w:t>Moderate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F5EEAC"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D23EDB" w14:textId="77777777" w:rsidR="00817DFF" w:rsidRDefault="00817DFF" w:rsidP="00175F6B">
            <w:pPr>
              <w:spacing w:before="120" w:after="120"/>
              <w:rPr>
                <w:rFonts w:cs="Times New Roman"/>
                <w:szCs w:val="24"/>
              </w:rPr>
            </w:pPr>
            <w:r>
              <w:rPr>
                <w:rFonts w:cs="Times New Roman"/>
                <w:szCs w:val="24"/>
              </w:rPr>
              <w:t>Competitive parity to advantage</w:t>
            </w:r>
          </w:p>
        </w:tc>
      </w:tr>
      <w:tr w:rsidR="00817DFF" w14:paraId="5342378D" w14:textId="77777777" w:rsidTr="00817DFF">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FE21F7" w14:textId="77777777" w:rsidR="00817DFF" w:rsidRDefault="00817DFF" w:rsidP="00175F6B">
            <w:pPr>
              <w:spacing w:before="120" w:after="120"/>
              <w:rPr>
                <w:rFonts w:cs="Times New Roman"/>
                <w:szCs w:val="24"/>
              </w:rPr>
            </w:pPr>
            <w:r>
              <w:rPr>
                <w:rFonts w:cs="Times New Roman"/>
                <w:szCs w:val="24"/>
              </w:rPr>
              <w:t>Brand Reputation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69E0CB"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E179FB" w14:textId="77777777" w:rsidR="00817DFF" w:rsidRDefault="00817DFF" w:rsidP="00175F6B">
            <w:pPr>
              <w:spacing w:before="120" w:after="120"/>
              <w:rPr>
                <w:rFonts w:cs="Times New Roman"/>
                <w:szCs w:val="24"/>
              </w:rPr>
            </w:pPr>
            <w:r>
              <w:rPr>
                <w:rFonts w:cs="Times New Roman"/>
                <w:szCs w:val="24"/>
              </w:rPr>
              <w:t>No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11486E" w14:textId="77777777" w:rsidR="00817DFF" w:rsidRDefault="00817DFF" w:rsidP="00175F6B">
            <w:pPr>
              <w:spacing w:before="120" w:after="120"/>
              <w:rPr>
                <w:rFonts w:cs="Times New Roman"/>
                <w:szCs w:val="24"/>
              </w:rPr>
            </w:pPr>
            <w:r>
              <w:rPr>
                <w:rFonts w:cs="Times New Roman"/>
                <w:szCs w:val="24"/>
              </w:rPr>
              <w:t>Moderate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149147" w14:textId="77777777" w:rsidR="00817DFF" w:rsidRDefault="00817DFF" w:rsidP="00175F6B">
            <w:pPr>
              <w:spacing w:before="120" w:after="120"/>
              <w:rPr>
                <w:rFonts w:cs="Times New Roman"/>
                <w:szCs w:val="24"/>
              </w:rPr>
            </w:pPr>
            <w:r>
              <w:rPr>
                <w:rFonts w:cs="Times New Roman"/>
                <w:szCs w:val="24"/>
              </w:rPr>
              <w:t>Yes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165185" w14:textId="77777777" w:rsidR="00817DFF" w:rsidRDefault="00817DFF" w:rsidP="00175F6B">
            <w:pPr>
              <w:spacing w:before="120" w:after="120"/>
              <w:rPr>
                <w:rFonts w:cs="Times New Roman"/>
                <w:szCs w:val="24"/>
              </w:rPr>
            </w:pPr>
            <w:r>
              <w:rPr>
                <w:rFonts w:cs="Times New Roman"/>
                <w:szCs w:val="24"/>
              </w:rPr>
              <w:t>Dependent on stakeholder trust</w:t>
            </w:r>
          </w:p>
        </w:tc>
      </w:tr>
    </w:tbl>
    <w:p w14:paraId="2E5A0D11" w14:textId="77777777" w:rsidR="00817DFF" w:rsidRDefault="00817DFF" w:rsidP="00175F6B">
      <w:pPr>
        <w:spacing w:before="120" w:after="120"/>
        <w:rPr>
          <w:rFonts w:cs="Times New Roman"/>
          <w:szCs w:val="24"/>
        </w:rPr>
      </w:pPr>
      <w:r>
        <w:rPr>
          <w:rFonts w:cs="Times New Roman"/>
          <w:szCs w:val="24"/>
        </w:rPr>
        <w:t>The LNG trading ability of Shell is one of its most valuable strategic advantages (IEEFA, 2025). The number of international energy companies running LNG portfolios on the same scale and complexity is minimal. Shell operates liquidation portfolios, freight fleets, regasification access and long-term supply contracts in various continents. This combined system is backed by years of market experience and business relationships. New entrants can not replicate such an experience easily. The size of operations also enables Shell to handle the price volatility compared to smaller competitors. Moreover, a good financial capacity is also of benefit. Shell has considerable operating cash flow and thus, it can invest in big upstream and LNG projects without excessive dependence on external borrowing (ORF, 2026).</w:t>
      </w:r>
    </w:p>
    <w:p w14:paraId="4FB40DC8" w14:textId="542FC638" w:rsidR="00817DFF" w:rsidRDefault="00817DFF" w:rsidP="00175F6B">
      <w:pPr>
        <w:spacing w:before="120" w:after="120"/>
        <w:rPr>
          <w:rFonts w:cs="Times New Roman"/>
          <w:szCs w:val="24"/>
        </w:rPr>
      </w:pPr>
      <w:r>
        <w:rPr>
          <w:rFonts w:cs="Times New Roman"/>
          <w:szCs w:val="24"/>
        </w:rPr>
        <w:t xml:space="preserve">But Shell has not yet developed such special renewable energy capabilities. Offshore wind, hydrogen and solar initiatives are being invested in by many oil majors and independent </w:t>
      </w:r>
      <w:r>
        <w:rPr>
          <w:rFonts w:cs="Times New Roman"/>
          <w:szCs w:val="24"/>
        </w:rPr>
        <w:lastRenderedPageBreak/>
        <w:t xml:space="preserve">renewable firms (Wang, et al., 2025). There is a high availability of technology in these fields and the competitive advantage is less than in upstream oil and LNG. Consequently, the competitive edge of Shell is closely connected with fossil fuel integration. Although transition investments are on the rise, internal strengths continue to portray traditional energy operations. </w:t>
      </w:r>
    </w:p>
    <w:p w14:paraId="29F3120E" w14:textId="36F05C91" w:rsidR="00740CD8" w:rsidRPr="00991A03" w:rsidRDefault="00817DFF" w:rsidP="00175F6B">
      <w:pPr>
        <w:pStyle w:val="Heading1"/>
        <w:spacing w:before="120" w:after="120"/>
        <w:rPr>
          <w:lang w:val="en-US"/>
        </w:rPr>
      </w:pPr>
      <w:r>
        <w:rPr>
          <w:lang w:val="en-US"/>
        </w:rPr>
        <w:br w:type="page"/>
      </w:r>
      <w:bookmarkStart w:id="6" w:name="_Toc223779815"/>
      <w:r w:rsidR="00756904">
        <w:rPr>
          <w:lang w:val="en-US"/>
        </w:rPr>
        <w:lastRenderedPageBreak/>
        <w:t>3. CSR and Sustainability Objectives</w:t>
      </w:r>
      <w:bookmarkEnd w:id="6"/>
    </w:p>
    <w:p w14:paraId="612FD3AE" w14:textId="5BE5988D" w:rsidR="00756904" w:rsidRDefault="00756904" w:rsidP="00175F6B">
      <w:pPr>
        <w:pStyle w:val="Heading2"/>
        <w:spacing w:before="120" w:after="120"/>
        <w:rPr>
          <w:lang w:val="en-US"/>
        </w:rPr>
      </w:pPr>
      <w:bookmarkStart w:id="7" w:name="_Toc223779816"/>
      <w:r>
        <w:rPr>
          <w:lang w:val="en-US"/>
        </w:rPr>
        <w:t>3.1 Overview of Shell’s CSR and Sustainability</w:t>
      </w:r>
      <w:bookmarkEnd w:id="7"/>
      <w:r>
        <w:rPr>
          <w:lang w:val="en-US"/>
        </w:rPr>
        <w:t xml:space="preserve"> </w:t>
      </w:r>
    </w:p>
    <w:p w14:paraId="121A2DE5" w14:textId="74F1ACA5" w:rsidR="00756904" w:rsidRDefault="00756904" w:rsidP="00175F6B">
      <w:pPr>
        <w:spacing w:before="120" w:after="120"/>
      </w:pPr>
      <w:r>
        <w:t>Shell Plc has incorporated corporate social responsibility (CSR) and sustainability in its corporate strategy as the global energy industry transitions to low-carbon energy systems. The company's sustainability strategy is shown by its Energy Transition Strategy</w:t>
      </w:r>
      <w:r w:rsidR="00802FF8">
        <w:t>, which</w:t>
      </w:r>
      <w:r>
        <w:t xml:space="preserve"> presents the vision of Shell transforming into a net-zero emissions energy company by 2050, as it will remain able to provide energy to international markets</w:t>
      </w:r>
      <w:r w:rsidR="00802FF8">
        <w:t xml:space="preserve"> (Shell, 2025)</w:t>
      </w:r>
      <w:r>
        <w:t xml:space="preserve">. </w:t>
      </w:r>
    </w:p>
    <w:p w14:paraId="19F5909A" w14:textId="07F4897B" w:rsidR="00C27C60" w:rsidRDefault="00802FF8" w:rsidP="00175F6B">
      <w:pPr>
        <w:spacing w:before="120" w:after="120"/>
      </w:pPr>
      <w:r w:rsidRPr="00802FF8">
        <w:t>The Shell CSR framework has focused on four key areas, namely climate change mitigation, responsible energy production, community engagement</w:t>
      </w:r>
      <w:r w:rsidR="000E00CF">
        <w:t xml:space="preserve"> and</w:t>
      </w:r>
      <w:r w:rsidRPr="00802FF8">
        <w:t xml:space="preserve"> corporate governance transparency</w:t>
      </w:r>
      <w:r w:rsidR="00C27C60">
        <w:t xml:space="preserve"> (Shell plc, 2024)</w:t>
      </w:r>
      <w:r w:rsidRPr="00802FF8">
        <w:t>. To achieve transparency on the environmental and social performance, the company releases sustainability and energy transition reports on a yearly basis</w:t>
      </w:r>
      <w:r w:rsidR="00C27C60">
        <w:t>.</w:t>
      </w:r>
    </w:p>
    <w:p w14:paraId="20B75E3D" w14:textId="4B9122EC" w:rsidR="00BF0A56" w:rsidRDefault="00BF0A56" w:rsidP="00175F6B">
      <w:pPr>
        <w:pStyle w:val="Heading2"/>
        <w:spacing w:before="120" w:after="120"/>
      </w:pPr>
      <w:bookmarkStart w:id="8" w:name="_Toc223779817"/>
      <w:r>
        <w:t>3.2 Alignment between CSR and Business Strategy</w:t>
      </w:r>
      <w:bookmarkEnd w:id="8"/>
    </w:p>
    <w:p w14:paraId="5C950819" w14:textId="5F053350" w:rsidR="00BF0A56" w:rsidRDefault="00BF0A56" w:rsidP="00175F6B">
      <w:pPr>
        <w:spacing w:before="120" w:after="120"/>
      </w:pPr>
      <w:r w:rsidRPr="00BF0A56">
        <w:t xml:space="preserve">CSR activities at Shell are combined with its corporate mission of changing </w:t>
      </w:r>
      <w:r>
        <w:t>from</w:t>
      </w:r>
      <w:r w:rsidRPr="00BF0A56">
        <w:t xml:space="preserve"> a traditional oil and gas company into an integrated energy company. The company has increased its investments in renewable energy segments such as offshore wind, solar power, hydrogen and electric vehicle charging infrastructure</w:t>
      </w:r>
      <w:r>
        <w:t xml:space="preserve"> (Shell, 2024)</w:t>
      </w:r>
      <w:r w:rsidRPr="00BF0A56">
        <w:t xml:space="preserve">. This sort of diversification indicates increasing global demand </w:t>
      </w:r>
      <w:r>
        <w:t>for</w:t>
      </w:r>
      <w:r w:rsidRPr="00BF0A56">
        <w:t xml:space="preserve"> clean energy technologies and helps Shell to position itself strategically in the long term in the energy transition. Shell has invested in carbon capture and storage (CCS) and low-carbon fuel development to lower the emissions of its present hydrocarbon operations</w:t>
      </w:r>
      <w:r>
        <w:t xml:space="preserve"> (</w:t>
      </w:r>
      <w:proofErr w:type="spellStart"/>
      <w:r>
        <w:t>Cavcic</w:t>
      </w:r>
      <w:proofErr w:type="spellEnd"/>
      <w:r>
        <w:t>, 2025)</w:t>
      </w:r>
      <w:r w:rsidRPr="00BF0A56">
        <w:t xml:space="preserve">. </w:t>
      </w:r>
    </w:p>
    <w:p w14:paraId="0BAB9A7F" w14:textId="23E2DABA" w:rsidR="00BF0A56" w:rsidRDefault="00BF0A56" w:rsidP="00175F6B">
      <w:pPr>
        <w:pStyle w:val="Heading2"/>
        <w:spacing w:before="120" w:after="120"/>
      </w:pPr>
      <w:bookmarkStart w:id="9" w:name="_Toc223779818"/>
      <w:r>
        <w:t>3.3 Critical Evaluation of CSR Effectiveness</w:t>
      </w:r>
      <w:bookmarkEnd w:id="9"/>
    </w:p>
    <w:p w14:paraId="50EDDB73" w14:textId="0C7DE9D5" w:rsidR="00BF0A56" w:rsidRDefault="009C3BBF" w:rsidP="00175F6B">
      <w:pPr>
        <w:spacing w:before="120" w:after="120"/>
      </w:pPr>
      <w:r w:rsidRPr="009C3BBF">
        <w:t xml:space="preserve">The CSR strategy adopted by Shell has proved to have a number of strengths, such as major investments in clean energy technologies and more transparency with the introduction of sustainability reporting. Such efforts support enhancing corporate legitimacy and stakeholder trust in the process of global energy transition. </w:t>
      </w:r>
      <w:r>
        <w:t>The</w:t>
      </w:r>
      <w:r w:rsidRPr="009C3BBF">
        <w:t xml:space="preserve"> success of </w:t>
      </w:r>
      <w:r>
        <w:t>Shell's</w:t>
      </w:r>
      <w:r w:rsidRPr="009C3BBF">
        <w:t xml:space="preserve"> CSR strategy is disputed. Environmental organisations and policy analysts posit that the growth of the fossil fuel production by the company causes some discrepancies in the climate pledging and their operational practices (</w:t>
      </w:r>
      <w:r>
        <w:t xml:space="preserve">West and Fattouh, </w:t>
      </w:r>
      <w:r w:rsidRPr="009C3BBF">
        <w:t>20</w:t>
      </w:r>
      <w:r>
        <w:t>19</w:t>
      </w:r>
      <w:r w:rsidRPr="009C3BBF">
        <w:t>)</w:t>
      </w:r>
      <w:r>
        <w:t>.</w:t>
      </w:r>
    </w:p>
    <w:p w14:paraId="7908C8F7" w14:textId="1CDBAE31" w:rsidR="009C3BBF" w:rsidRDefault="00A44E12" w:rsidP="00175F6B">
      <w:pPr>
        <w:pStyle w:val="Heading1"/>
        <w:spacing w:before="120" w:after="120"/>
      </w:pPr>
      <w:bookmarkStart w:id="10" w:name="_Toc223779819"/>
      <w:r>
        <w:lastRenderedPageBreak/>
        <w:t xml:space="preserve">4. </w:t>
      </w:r>
      <w:r w:rsidR="00EC309F">
        <w:t>Comprehensive and Holistic view</w:t>
      </w:r>
      <w:bookmarkEnd w:id="10"/>
      <w:r w:rsidR="00EC309F">
        <w:t xml:space="preserve"> </w:t>
      </w:r>
    </w:p>
    <w:p w14:paraId="32B65F40" w14:textId="5DA9D4E4" w:rsidR="00996625" w:rsidRPr="00996625" w:rsidRDefault="00996625" w:rsidP="00175F6B">
      <w:pPr>
        <w:pStyle w:val="Heading2"/>
        <w:spacing w:before="120" w:after="120"/>
      </w:pPr>
      <w:bookmarkStart w:id="11" w:name="_Toc223779820"/>
      <w:r>
        <w:t xml:space="preserve">4.1 </w:t>
      </w:r>
      <w:r w:rsidR="0035598C">
        <w:t>Financial Perspective</w:t>
      </w:r>
      <w:bookmarkEnd w:id="11"/>
    </w:p>
    <w:p w14:paraId="3133C48A" w14:textId="158CCACF" w:rsidR="00EC309F" w:rsidRDefault="00611D23" w:rsidP="00175F6B">
      <w:pPr>
        <w:spacing w:before="120" w:after="120"/>
      </w:pPr>
      <w:r>
        <w:t>The financial aspect of the Balanced Scorecard is based on the way an organisation strategically generates value to shareholders and the long-term financial feasibility</w:t>
      </w:r>
      <w:r w:rsidR="00916EEF">
        <w:t xml:space="preserve">. </w:t>
      </w:r>
      <w:r>
        <w:t xml:space="preserve">In the case of Shell Plc, financial performance has continued to become a core element of its strategic management as the company goes forward into an integrated business model of energy. </w:t>
      </w:r>
      <w:r w:rsidR="00916EEF" w:rsidRPr="00916EEF">
        <w:t xml:space="preserve">As described in the Shell Annual Report 2024, the corporation earned around 284.3 billion dollars </w:t>
      </w:r>
      <w:r w:rsidR="00E9738D">
        <w:t>in</w:t>
      </w:r>
      <w:r w:rsidR="00916EEF" w:rsidRPr="00916EEF">
        <w:t xml:space="preserve"> revenue in 2024, which corresponds to the magnitude of the global energy business</w:t>
      </w:r>
      <w:r w:rsidR="00E9738D">
        <w:t xml:space="preserve"> (Companies Market Cap</w:t>
      </w:r>
      <w:r w:rsidR="001C3894">
        <w:t>, 2025)</w:t>
      </w:r>
      <w:r w:rsidR="00916EEF" w:rsidRPr="00916EEF">
        <w:t>. The net income available to shareholders was about 16.1 billion</w:t>
      </w:r>
      <w:r w:rsidR="000E00CF">
        <w:t xml:space="preserve"> and</w:t>
      </w:r>
      <w:r w:rsidR="00916EEF" w:rsidRPr="00916EEF">
        <w:t xml:space="preserve"> the operating activity cash flow was 54.7 billion</w:t>
      </w:r>
      <w:r w:rsidR="00E9738D">
        <w:t>,</w:t>
      </w:r>
      <w:r w:rsidR="00916EEF" w:rsidRPr="00916EEF">
        <w:t xml:space="preserve"> which shows that the company is generating enough cash to operate its business despite changes in international energy prices</w:t>
      </w:r>
      <w:r w:rsidR="007165E7">
        <w:t xml:space="preserve"> (Euronext, 2025)</w:t>
      </w:r>
      <w:r w:rsidR="00916EEF" w:rsidRPr="00916EEF">
        <w:t xml:space="preserve">. </w:t>
      </w:r>
    </w:p>
    <w:p w14:paraId="004C524C" w14:textId="0A7DEB17" w:rsidR="00C3434F" w:rsidRDefault="00D55CDB" w:rsidP="00175F6B">
      <w:pPr>
        <w:spacing w:before="120" w:after="120"/>
      </w:pPr>
      <w:r>
        <w:t>So, t</w:t>
      </w:r>
      <w:r w:rsidRPr="00D55CDB">
        <w:t xml:space="preserve">he financial goals of Shell are aimed at maintaining profitability and investing in the energy transition. The key performance indicators (KPIs) will involve revenue growth, the rate of return on capital employed (ROCE), </w:t>
      </w:r>
      <w:r>
        <w:t xml:space="preserve">the </w:t>
      </w:r>
      <w:r w:rsidRPr="00D55CDB">
        <w:t>amount of cash flow</w:t>
      </w:r>
      <w:r w:rsidR="000E00CF">
        <w:t xml:space="preserve"> and</w:t>
      </w:r>
      <w:r w:rsidRPr="00D55CDB">
        <w:t xml:space="preserve"> shareholder distribution. In 2024, Shell paid out about 22.</w:t>
      </w:r>
      <w:r w:rsidR="00C77F9F">
        <w:t>5</w:t>
      </w:r>
      <w:r w:rsidRPr="00D55CDB">
        <w:t xml:space="preserve"> billion to shareholders in dividends and share buybacks, thus showing that it is investing in low-carbon energy assets and is committed to keeping its investors confident</w:t>
      </w:r>
      <w:r w:rsidR="005F19EC">
        <w:t xml:space="preserve"> (Ambrose, 2025)</w:t>
      </w:r>
      <w:r w:rsidRPr="00D55CDB">
        <w:t xml:space="preserve">. </w:t>
      </w:r>
      <w:r w:rsidR="00C3434F" w:rsidRPr="00C3434F">
        <w:t>The strategic programs that are aligned with these goals are the portfolio optimisation programs, cost efficiency programs and investment in LNG and renewable energy infrastructure</w:t>
      </w:r>
      <w:r w:rsidR="0064406B">
        <w:t xml:space="preserve">. </w:t>
      </w:r>
    </w:p>
    <w:p w14:paraId="3929101A" w14:textId="431A0EE0" w:rsidR="00592364" w:rsidRDefault="00962521" w:rsidP="00175F6B">
      <w:pPr>
        <w:pStyle w:val="Heading2"/>
        <w:spacing w:before="120" w:after="120"/>
      </w:pPr>
      <w:bookmarkStart w:id="12" w:name="_Toc223779821"/>
      <w:r>
        <w:t>4.2 C</w:t>
      </w:r>
      <w:r w:rsidR="0085054F">
        <w:t>ustomer Perspective</w:t>
      </w:r>
      <w:bookmarkEnd w:id="12"/>
      <w:r w:rsidR="0085054F">
        <w:t xml:space="preserve"> </w:t>
      </w:r>
    </w:p>
    <w:p w14:paraId="3F0BD0B8" w14:textId="03695E2D" w:rsidR="0085054F" w:rsidRDefault="008D7CFB" w:rsidP="00175F6B">
      <w:pPr>
        <w:spacing w:before="120" w:after="120"/>
      </w:pPr>
      <w:r w:rsidRPr="008D7CFB">
        <w:t>Customer perspective is concerned with the way organisations generate value to customers and enhance their position of competitive advantage within the market. In the case of Shell, the shift towards cleaner energy means that the company has to address the changing demands of consumers who are becoming more and more concerned with reliable, affordable and low-carbon energy</w:t>
      </w:r>
      <w:r w:rsidR="00543110">
        <w:t xml:space="preserve"> (Shell, 2025)</w:t>
      </w:r>
      <w:r w:rsidRPr="008D7CFB">
        <w:t xml:space="preserve">. </w:t>
      </w:r>
      <w:r w:rsidR="00DD378C" w:rsidRPr="00DD378C">
        <w:t xml:space="preserve">Shell focuses on working to enhance customer relations through the development of its sustainable energy product line. </w:t>
      </w:r>
      <w:r w:rsidR="00DD378C">
        <w:t xml:space="preserve">Like, </w:t>
      </w:r>
      <w:r w:rsidR="00DD378C" w:rsidRPr="00DD378C">
        <w:t xml:space="preserve">the company has been investing heavily in electric vehicle charging infrastructure </w:t>
      </w:r>
      <w:r w:rsidR="00DD378C">
        <w:t>through</w:t>
      </w:r>
      <w:r w:rsidR="00DD378C" w:rsidRPr="00DD378C">
        <w:t xml:space="preserve"> Shell Recharge</w:t>
      </w:r>
      <w:r w:rsidR="00DD378C">
        <w:t>,</w:t>
      </w:r>
      <w:r w:rsidR="00DD378C" w:rsidRPr="00DD378C">
        <w:t xml:space="preserve"> which is designed to serve the currently expanding EV market around the world</w:t>
      </w:r>
      <w:r w:rsidR="00793DAA">
        <w:t xml:space="preserve"> (</w:t>
      </w:r>
      <w:r w:rsidR="00793DAA" w:rsidRPr="006037FD">
        <w:rPr>
          <w:rFonts w:eastAsia="Times New Roman" w:cs="Times New Roman"/>
          <w:kern w:val="0"/>
          <w:szCs w:val="24"/>
          <w:lang w:eastAsia="en-IN"/>
          <w14:ligatures w14:val="none"/>
        </w:rPr>
        <w:t>Eren</w:t>
      </w:r>
      <w:r w:rsidR="00793DAA">
        <w:rPr>
          <w:rFonts w:eastAsia="Times New Roman" w:cs="Times New Roman"/>
          <w:kern w:val="0"/>
          <w:szCs w:val="24"/>
          <w:lang w:eastAsia="en-IN"/>
          <w14:ligatures w14:val="none"/>
        </w:rPr>
        <w:t>, 2025</w:t>
      </w:r>
      <w:r w:rsidR="00793DAA">
        <w:t>)</w:t>
      </w:r>
      <w:r w:rsidR="00DD378C" w:rsidRPr="00DD378C">
        <w:t xml:space="preserve">. </w:t>
      </w:r>
    </w:p>
    <w:p w14:paraId="48CF651D" w14:textId="60A2117E" w:rsidR="003840FD" w:rsidRDefault="0019597F" w:rsidP="00175F6B">
      <w:pPr>
        <w:spacing w:before="120" w:after="120"/>
      </w:pPr>
      <w:r w:rsidRPr="0019597F">
        <w:t>The main KPIs in this lens are the level of customer satisfaction, market share in the world-energy markets</w:t>
      </w:r>
      <w:r w:rsidR="000E00CF">
        <w:t xml:space="preserve"> and</w:t>
      </w:r>
      <w:r w:rsidRPr="0019597F">
        <w:t xml:space="preserve"> the rate of adoption of clean energy solutions. Targets undertaken by Shell include growth of EV charging infrastructure, </w:t>
      </w:r>
      <w:r>
        <w:t xml:space="preserve">an </w:t>
      </w:r>
      <w:r w:rsidRPr="0019597F">
        <w:t>enhanced number of renewable electricity clients and advanced digital customer interaction systems.</w:t>
      </w:r>
    </w:p>
    <w:p w14:paraId="08CA4B68" w14:textId="77777777" w:rsidR="00465038" w:rsidRDefault="003840FD" w:rsidP="00175F6B">
      <w:pPr>
        <w:pStyle w:val="Heading2"/>
        <w:spacing w:before="120" w:after="120"/>
      </w:pPr>
      <w:bookmarkStart w:id="13" w:name="_Toc223779822"/>
      <w:r>
        <w:lastRenderedPageBreak/>
        <w:t>4.3 Internal Business Process Perspective</w:t>
      </w:r>
      <w:bookmarkEnd w:id="13"/>
      <w:r>
        <w:t xml:space="preserve"> </w:t>
      </w:r>
    </w:p>
    <w:p w14:paraId="3FAF46F2" w14:textId="00911F5F" w:rsidR="007165E7" w:rsidRDefault="008E6EC0" w:rsidP="00175F6B">
      <w:pPr>
        <w:spacing w:before="120" w:after="120"/>
      </w:pPr>
      <w:r w:rsidRPr="008E6EC0">
        <w:t>The inner business process view is on the operational tasks that help organisations fulfil value effectively</w:t>
      </w:r>
      <w:r>
        <w:t>,</w:t>
      </w:r>
      <w:r w:rsidRPr="008E6EC0">
        <w:t xml:space="preserve"> as it supports strategic goals. In the case of Shell, operational efficiency and technological innovation are necessary in ensuring competitiveness and </w:t>
      </w:r>
      <w:r w:rsidR="00C41E0B">
        <w:t>minimising</w:t>
      </w:r>
      <w:r w:rsidRPr="008E6EC0">
        <w:t xml:space="preserve"> environmental impact.</w:t>
      </w:r>
      <w:r w:rsidR="000D1D3A">
        <w:t xml:space="preserve"> </w:t>
      </w:r>
      <w:r w:rsidR="009B2CE6">
        <w:t>T</w:t>
      </w:r>
      <w:r w:rsidR="00C41E0B" w:rsidRPr="00C41E0B">
        <w:t xml:space="preserve">he company is investing in carbon capture and storage (CCS) technologies, developing energy analytics and low-carbon fuels to enhance its operations </w:t>
      </w:r>
      <w:r w:rsidR="00AF3279">
        <w:t>(</w:t>
      </w:r>
      <w:proofErr w:type="spellStart"/>
      <w:r w:rsidR="00C41E0B">
        <w:t>Cavcic</w:t>
      </w:r>
      <w:proofErr w:type="spellEnd"/>
      <w:r w:rsidR="00C41E0B">
        <w:t>, 2025)</w:t>
      </w:r>
      <w:r w:rsidR="00C41E0B" w:rsidRPr="00C41E0B">
        <w:t xml:space="preserve">. </w:t>
      </w:r>
      <w:r w:rsidR="00DA231A" w:rsidRPr="00DA231A">
        <w:t>The main KPIs of the internal processes are operational efficiency, carbon intensity reduction</w:t>
      </w:r>
      <w:r w:rsidR="000E00CF">
        <w:t xml:space="preserve"> and</w:t>
      </w:r>
      <w:r w:rsidR="00DA231A" w:rsidRPr="00DA231A">
        <w:t xml:space="preserve"> research and development productivity. The strategic plans of Shell include reducing operations emissions, enhancing efficiency in energy production</w:t>
      </w:r>
      <w:r w:rsidR="000E00CF">
        <w:t xml:space="preserve"> and</w:t>
      </w:r>
      <w:r w:rsidR="00DA231A" w:rsidRPr="00DA231A">
        <w:t xml:space="preserve"> advancing safety performance in the global operations.</w:t>
      </w:r>
    </w:p>
    <w:p w14:paraId="123A7555" w14:textId="683613ED" w:rsidR="009B2CE6" w:rsidRPr="00EC309F" w:rsidRDefault="009B2CE6" w:rsidP="00175F6B">
      <w:pPr>
        <w:pStyle w:val="Heading2"/>
        <w:spacing w:before="120" w:after="120"/>
      </w:pPr>
      <w:bookmarkStart w:id="14" w:name="_Toc223779823"/>
      <w:r>
        <w:t>4.4 Learning and Growth Perspective</w:t>
      </w:r>
      <w:bookmarkEnd w:id="14"/>
      <w:r>
        <w:t xml:space="preserve"> </w:t>
      </w:r>
    </w:p>
    <w:p w14:paraId="306F1A88" w14:textId="2AD99F1E" w:rsidR="00975FA7" w:rsidRDefault="00D14508" w:rsidP="00175F6B">
      <w:pPr>
        <w:spacing w:before="120" w:after="120"/>
      </w:pPr>
      <w:r w:rsidRPr="00D14508">
        <w:t>Learning and growth perspective has underscored the significance of organisational capabilities, human capital development and innovation in the realisation of long</w:t>
      </w:r>
      <w:r w:rsidR="009F609A">
        <w:t>-</w:t>
      </w:r>
      <w:r w:rsidRPr="00D14508">
        <w:t>term strategic success. The strategic management theory argues that organisations should constantly build skills and technological competencies of their employees in order to achieve sustainable competitive advantage</w:t>
      </w:r>
      <w:r w:rsidR="009F609A">
        <w:t xml:space="preserve"> (</w:t>
      </w:r>
      <w:r w:rsidR="009F609A">
        <w:rPr>
          <w:shd w:val="clear" w:color="auto" w:fill="FFFFFF"/>
        </w:rPr>
        <w:t>Hitt, et al., 2020</w:t>
      </w:r>
      <w:r w:rsidR="009F609A">
        <w:t>)</w:t>
      </w:r>
      <w:r w:rsidR="00C65BBC">
        <w:t xml:space="preserve">. </w:t>
      </w:r>
      <w:r w:rsidR="009874B0" w:rsidRPr="009874B0">
        <w:t>Employee hours in training, level of investments in the R&amp;D</w:t>
      </w:r>
      <w:r w:rsidR="000E00CF">
        <w:t xml:space="preserve"> and</w:t>
      </w:r>
      <w:r w:rsidR="009874B0" w:rsidRPr="009874B0">
        <w:t xml:space="preserve"> outcomes of innovation in the energy technologies are the key KPIs. Shell has aims such as the expansion of research on hydrogen energy, renewable fuels and carbon control technologies and reskilling of the employees to help in the transition to low-carbon energy systems. </w:t>
      </w:r>
    </w:p>
    <w:p w14:paraId="1C815FF6" w14:textId="77777777" w:rsidR="008A31D4" w:rsidRDefault="008A31D4" w:rsidP="00175F6B">
      <w:pPr>
        <w:keepNext/>
        <w:spacing w:before="120" w:after="120"/>
        <w:jc w:val="center"/>
      </w:pPr>
      <w:r w:rsidRPr="008A31D4">
        <w:rPr>
          <w:noProof/>
          <w:lang w:val="en-US"/>
        </w:rPr>
        <w:drawing>
          <wp:inline distT="0" distB="0" distL="0" distR="0" wp14:anchorId="12C1818A" wp14:editId="034932DD">
            <wp:extent cx="4709160" cy="23874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17484" cy="2391669"/>
                    </a:xfrm>
                    <a:prstGeom prst="rect">
                      <a:avLst/>
                    </a:prstGeom>
                  </pic:spPr>
                </pic:pic>
              </a:graphicData>
            </a:graphic>
          </wp:inline>
        </w:drawing>
      </w:r>
    </w:p>
    <w:p w14:paraId="5DB64906" w14:textId="66DD5B74" w:rsidR="008A31D4" w:rsidRDefault="008A31D4" w:rsidP="00175F6B">
      <w:pPr>
        <w:pStyle w:val="Caption"/>
        <w:spacing w:before="120" w:after="120" w:line="360" w:lineRule="auto"/>
        <w:jc w:val="center"/>
        <w:rPr>
          <w:b/>
          <w:bCs/>
          <w:color w:val="auto"/>
          <w:sz w:val="24"/>
          <w:szCs w:val="24"/>
        </w:rPr>
      </w:pPr>
      <w:r w:rsidRPr="008A31D4">
        <w:rPr>
          <w:b/>
          <w:bCs/>
          <w:color w:val="auto"/>
          <w:sz w:val="24"/>
          <w:szCs w:val="24"/>
        </w:rPr>
        <w:t xml:space="preserve">Figure </w:t>
      </w:r>
      <w:r w:rsidRPr="008A31D4">
        <w:rPr>
          <w:b/>
          <w:bCs/>
          <w:color w:val="auto"/>
          <w:sz w:val="24"/>
          <w:szCs w:val="24"/>
        </w:rPr>
        <w:fldChar w:fldCharType="begin"/>
      </w:r>
      <w:r w:rsidRPr="008A31D4">
        <w:rPr>
          <w:b/>
          <w:bCs/>
          <w:color w:val="auto"/>
          <w:sz w:val="24"/>
          <w:szCs w:val="24"/>
        </w:rPr>
        <w:instrText xml:space="preserve"> SEQ Figure \* ARABIC </w:instrText>
      </w:r>
      <w:r w:rsidRPr="008A31D4">
        <w:rPr>
          <w:b/>
          <w:bCs/>
          <w:color w:val="auto"/>
          <w:sz w:val="24"/>
          <w:szCs w:val="24"/>
        </w:rPr>
        <w:fldChar w:fldCharType="separate"/>
      </w:r>
      <w:r w:rsidRPr="008A31D4">
        <w:rPr>
          <w:b/>
          <w:bCs/>
          <w:noProof/>
          <w:color w:val="auto"/>
          <w:sz w:val="24"/>
          <w:szCs w:val="24"/>
        </w:rPr>
        <w:t>1</w:t>
      </w:r>
      <w:r w:rsidRPr="008A31D4">
        <w:rPr>
          <w:b/>
          <w:bCs/>
          <w:color w:val="auto"/>
          <w:sz w:val="24"/>
          <w:szCs w:val="24"/>
        </w:rPr>
        <w:fldChar w:fldCharType="end"/>
      </w:r>
      <w:r w:rsidRPr="008A31D4">
        <w:rPr>
          <w:b/>
          <w:bCs/>
          <w:color w:val="auto"/>
          <w:sz w:val="24"/>
          <w:szCs w:val="24"/>
        </w:rPr>
        <w:t>: Representation of Balance Scorecard</w:t>
      </w:r>
    </w:p>
    <w:p w14:paraId="18E2082E" w14:textId="5DBEAD64" w:rsidR="008A31D4" w:rsidRPr="00F64478" w:rsidRDefault="008A31D4" w:rsidP="00175F6B">
      <w:pPr>
        <w:spacing w:before="120" w:after="120"/>
        <w:jc w:val="center"/>
        <w:rPr>
          <w:b/>
          <w:bCs/>
          <w:i/>
          <w:iCs/>
        </w:rPr>
      </w:pPr>
      <w:r w:rsidRPr="00F64478">
        <w:rPr>
          <w:b/>
          <w:bCs/>
          <w:i/>
          <w:iCs/>
        </w:rPr>
        <w:t>(S</w:t>
      </w:r>
      <w:r w:rsidR="005B5407" w:rsidRPr="00F64478">
        <w:rPr>
          <w:b/>
          <w:bCs/>
          <w:i/>
          <w:iCs/>
        </w:rPr>
        <w:t xml:space="preserve">ource: </w:t>
      </w:r>
      <w:r w:rsidR="00F64478" w:rsidRPr="00F64478">
        <w:rPr>
          <w:rFonts w:eastAsia="Times New Roman" w:cs="Times New Roman"/>
          <w:b/>
          <w:bCs/>
          <w:i/>
          <w:iCs/>
          <w:kern w:val="0"/>
          <w:szCs w:val="24"/>
          <w:lang w:eastAsia="en-IN"/>
          <w14:ligatures w14:val="none"/>
        </w:rPr>
        <w:t>CFI Team, 2022</w:t>
      </w:r>
      <w:r w:rsidRPr="00F64478">
        <w:rPr>
          <w:b/>
          <w:bCs/>
          <w:i/>
          <w:iCs/>
        </w:rPr>
        <w:t>)</w:t>
      </w:r>
    </w:p>
    <w:p w14:paraId="44A55032" w14:textId="49B7C9E8" w:rsidR="00E23872" w:rsidRPr="00807FAC" w:rsidRDefault="00C27C60" w:rsidP="00175F6B">
      <w:pPr>
        <w:pStyle w:val="Heading1"/>
        <w:spacing w:before="120" w:after="120"/>
      </w:pPr>
      <w:bookmarkStart w:id="15" w:name="_Toc223779824"/>
      <w:r>
        <w:rPr>
          <w:lang w:val="en-US"/>
        </w:rPr>
        <w:lastRenderedPageBreak/>
        <w:t xml:space="preserve">5. </w:t>
      </w:r>
      <w:r w:rsidR="00FC6152">
        <w:rPr>
          <w:lang w:val="en-US"/>
        </w:rPr>
        <w:t xml:space="preserve">Strategic Choices </w:t>
      </w:r>
      <w:r>
        <w:rPr>
          <w:lang w:val="en-US"/>
        </w:rPr>
        <w:t>and Implementation</w:t>
      </w:r>
      <w:bookmarkEnd w:id="15"/>
    </w:p>
    <w:p w14:paraId="3A1444FE" w14:textId="77777777" w:rsidR="007905F6" w:rsidRDefault="00E733C4" w:rsidP="00175F6B">
      <w:pPr>
        <w:pStyle w:val="Heading2"/>
        <w:spacing w:before="120" w:after="120"/>
        <w:rPr>
          <w:lang w:val="en-US"/>
        </w:rPr>
      </w:pPr>
      <w:bookmarkStart w:id="16" w:name="_Toc223779825"/>
      <w:r>
        <w:rPr>
          <w:lang w:val="en-US"/>
        </w:rPr>
        <w:t xml:space="preserve">5.1 </w:t>
      </w:r>
      <w:r w:rsidR="006D3FAB">
        <w:rPr>
          <w:lang w:val="en-US"/>
        </w:rPr>
        <w:t>Business</w:t>
      </w:r>
      <w:r w:rsidR="008926C1">
        <w:rPr>
          <w:lang w:val="en-US"/>
        </w:rPr>
        <w:t xml:space="preserve">-Level </w:t>
      </w:r>
      <w:r w:rsidR="001D2989">
        <w:rPr>
          <w:lang w:val="en-US"/>
        </w:rPr>
        <w:t>S</w:t>
      </w:r>
      <w:r w:rsidR="007905F6">
        <w:rPr>
          <w:lang w:val="en-US"/>
        </w:rPr>
        <w:t>trategies</w:t>
      </w:r>
      <w:bookmarkEnd w:id="16"/>
    </w:p>
    <w:p w14:paraId="48545A40" w14:textId="3A7B9637" w:rsidR="004C57BF" w:rsidRDefault="00C5304F" w:rsidP="00175F6B">
      <w:pPr>
        <w:spacing w:before="120" w:after="120"/>
      </w:pPr>
      <w:r w:rsidRPr="00C5304F">
        <w:t>Business-level strategy can be defined as the way an organisation competes in a given industry, or segment of the market</w:t>
      </w:r>
      <w:r>
        <w:t>,</w:t>
      </w:r>
      <w:r w:rsidRPr="00C5304F">
        <w:t xml:space="preserve"> to gain </w:t>
      </w:r>
      <w:r>
        <w:t xml:space="preserve">a </w:t>
      </w:r>
      <w:r w:rsidRPr="00C5304F">
        <w:t>competitive advantage</w:t>
      </w:r>
      <w:r w:rsidR="00ED4672">
        <w:t xml:space="preserve"> (</w:t>
      </w:r>
      <w:r w:rsidR="00ED4672" w:rsidRPr="000445A6">
        <w:rPr>
          <w:rFonts w:eastAsia="Times New Roman" w:cs="Times New Roman"/>
          <w:kern w:val="0"/>
          <w:szCs w:val="24"/>
          <w:lang w:eastAsia="en-IN"/>
          <w14:ligatures w14:val="none"/>
        </w:rPr>
        <w:t>The Strategy Institute</w:t>
      </w:r>
      <w:r w:rsidR="00ED4672">
        <w:rPr>
          <w:rFonts w:eastAsia="Times New Roman" w:cs="Times New Roman"/>
          <w:kern w:val="0"/>
          <w:szCs w:val="24"/>
          <w:lang w:eastAsia="en-IN"/>
          <w14:ligatures w14:val="none"/>
        </w:rPr>
        <w:t>, 2024</w:t>
      </w:r>
      <w:r w:rsidR="00ED4672">
        <w:t>)</w:t>
      </w:r>
      <w:r w:rsidRPr="00C5304F">
        <w:t>. The competitive positioning of Shell within the global energy industry can be mostly explained by the difference strategy developed by Porter</w:t>
      </w:r>
      <w:r w:rsidR="00ED4672">
        <w:t>,</w:t>
      </w:r>
      <w:r w:rsidRPr="00C5304F">
        <w:t xml:space="preserve"> wherein the company tries to develop unique value due to technological innovation, integrated energy services and sustainability programs</w:t>
      </w:r>
      <w:r w:rsidR="00CD291F">
        <w:t xml:space="preserve"> (</w:t>
      </w:r>
      <w:proofErr w:type="spellStart"/>
      <w:r w:rsidR="00CD291F">
        <w:rPr>
          <w:shd w:val="clear" w:color="auto" w:fill="FFFFFF"/>
        </w:rPr>
        <w:t>Pangarkar</w:t>
      </w:r>
      <w:proofErr w:type="spellEnd"/>
      <w:r w:rsidR="00CD291F">
        <w:rPr>
          <w:shd w:val="clear" w:color="auto" w:fill="FFFFFF"/>
        </w:rPr>
        <w:t xml:space="preserve"> and </w:t>
      </w:r>
      <w:proofErr w:type="spellStart"/>
      <w:r w:rsidR="00C664DB">
        <w:rPr>
          <w:shd w:val="clear" w:color="auto" w:fill="FFFFFF"/>
        </w:rPr>
        <w:t>Prahudesai</w:t>
      </w:r>
      <w:proofErr w:type="spellEnd"/>
      <w:r w:rsidR="00C664DB">
        <w:rPr>
          <w:shd w:val="clear" w:color="auto" w:fill="FFFFFF"/>
        </w:rPr>
        <w:t>, 2024</w:t>
      </w:r>
      <w:r w:rsidR="00CD291F">
        <w:t>)</w:t>
      </w:r>
      <w:r w:rsidRPr="00C5304F">
        <w:t xml:space="preserve">. </w:t>
      </w:r>
      <w:r w:rsidR="004C57BF" w:rsidRPr="004C57BF">
        <w:t xml:space="preserve">Shell stands out among other companies in that it has invested in renewable energy and low-carbon technologies to supplement its traditional oil and gas business. </w:t>
      </w:r>
      <w:r w:rsidR="004C57BF">
        <w:t xml:space="preserve">The </w:t>
      </w:r>
      <w:r w:rsidR="004C57BF" w:rsidRPr="004C57BF">
        <w:t xml:space="preserve">Energy Transition Strategy of the company focuses on providing more value with less emission as it gets ready to go </w:t>
      </w:r>
      <w:r w:rsidR="004C57BF">
        <w:t xml:space="preserve">a </w:t>
      </w:r>
      <w:r w:rsidR="004C57BF" w:rsidRPr="004C57BF">
        <w:t>net-zero energy business by 2050</w:t>
      </w:r>
      <w:r w:rsidR="004C57BF">
        <w:t xml:space="preserve"> (Shell, 2025)</w:t>
      </w:r>
      <w:r w:rsidR="004C57BF" w:rsidRPr="004C57BF">
        <w:t xml:space="preserve">. </w:t>
      </w:r>
    </w:p>
    <w:p w14:paraId="227A13D4" w14:textId="5B05FD1F" w:rsidR="00C664DB" w:rsidRDefault="00FD259A" w:rsidP="00175F6B">
      <w:pPr>
        <w:spacing w:before="120" w:after="120"/>
      </w:pPr>
      <w:r w:rsidRPr="00FD259A">
        <w:t>This strategic measure will entail coming up with new energy solutions</w:t>
      </w:r>
      <w:r>
        <w:t>,</w:t>
      </w:r>
      <w:r w:rsidRPr="00FD259A">
        <w:t xml:space="preserve"> including hydrogen, carbon capture and storage (CCS)</w:t>
      </w:r>
      <w:r>
        <w:t>,</w:t>
      </w:r>
      <w:r w:rsidRPr="00FD259A">
        <w:t xml:space="preserve"> electric vehicle charging infrastructure and renewable electricity supply. With these technologies, Shell is able to position itself as a producer of fossil </w:t>
      </w:r>
      <w:r>
        <w:t>fuels</w:t>
      </w:r>
      <w:r w:rsidRPr="00FD259A">
        <w:t xml:space="preserve"> a</w:t>
      </w:r>
      <w:r>
        <w:t xml:space="preserve">nd </w:t>
      </w:r>
      <w:r w:rsidRPr="00FD259A">
        <w:t xml:space="preserve">an integrated energy provider catering to various energy markets. </w:t>
      </w:r>
      <w:r w:rsidR="00112E6D">
        <w:t xml:space="preserve">Like, </w:t>
      </w:r>
      <w:r w:rsidR="00112E6D" w:rsidRPr="00112E6D">
        <w:t xml:space="preserve">Shell is increasing its global EV charging network, having over 70,000 public charging points across the globe, which proves that they </w:t>
      </w:r>
      <w:r w:rsidR="00457413">
        <w:t>are attempting</w:t>
      </w:r>
      <w:r w:rsidR="00112E6D" w:rsidRPr="00112E6D">
        <w:t xml:space="preserve"> to compete in the fast-evolving electric mobility market</w:t>
      </w:r>
      <w:r w:rsidR="00457413">
        <w:t xml:space="preserve"> (</w:t>
      </w:r>
      <w:r w:rsidR="00457413" w:rsidRPr="00457413">
        <w:rPr>
          <w:rFonts w:eastAsia="Times New Roman" w:cs="Times New Roman"/>
          <w:kern w:val="0"/>
          <w:szCs w:val="24"/>
          <w:lang w:eastAsia="en-IN"/>
          <w14:ligatures w14:val="none"/>
        </w:rPr>
        <w:t>Shell</w:t>
      </w:r>
      <w:r w:rsidR="00457413">
        <w:rPr>
          <w:rFonts w:eastAsia="Times New Roman" w:cs="Times New Roman"/>
          <w:kern w:val="0"/>
          <w:szCs w:val="24"/>
          <w:lang w:eastAsia="en-IN"/>
          <w14:ligatures w14:val="none"/>
        </w:rPr>
        <w:t>, 2024</w:t>
      </w:r>
      <w:r w:rsidR="00457413">
        <w:t>)</w:t>
      </w:r>
      <w:r w:rsidR="00112E6D" w:rsidRPr="00112E6D">
        <w:t>.</w:t>
      </w:r>
      <w:r w:rsidR="00E3012A">
        <w:t xml:space="preserve"> </w:t>
      </w:r>
      <w:r w:rsidR="00CD2DBC" w:rsidRPr="007166F1">
        <w:t>So</w:t>
      </w:r>
      <w:r w:rsidR="007166F1" w:rsidRPr="007166F1">
        <w:t>, Shell is forced to keep up the investment in innovation and big infrastructure as a way of maintaining its competitive edge.</w:t>
      </w:r>
    </w:p>
    <w:p w14:paraId="5F77C48B" w14:textId="77777777" w:rsidR="0006012B" w:rsidRDefault="004F4A79" w:rsidP="00175F6B">
      <w:pPr>
        <w:pStyle w:val="Heading2"/>
        <w:spacing w:before="120" w:after="120"/>
        <w:rPr>
          <w:lang w:val="en-US"/>
        </w:rPr>
      </w:pPr>
      <w:bookmarkStart w:id="17" w:name="_Toc223779826"/>
      <w:r>
        <w:rPr>
          <w:lang w:val="en-US"/>
        </w:rPr>
        <w:t xml:space="preserve">5.2 </w:t>
      </w:r>
      <w:r w:rsidR="00B049CE">
        <w:rPr>
          <w:lang w:val="en-US"/>
        </w:rPr>
        <w:t>Corporate</w:t>
      </w:r>
      <w:r w:rsidR="00EF378C">
        <w:rPr>
          <w:lang w:val="en-US"/>
        </w:rPr>
        <w:t xml:space="preserve">- Level </w:t>
      </w:r>
      <w:r w:rsidR="0006012B">
        <w:rPr>
          <w:lang w:val="en-US"/>
        </w:rPr>
        <w:t>Strategies</w:t>
      </w:r>
      <w:bookmarkEnd w:id="17"/>
    </w:p>
    <w:p w14:paraId="6791E6D5" w14:textId="3C25C04B" w:rsidR="009F12A8" w:rsidRPr="00F52A8A" w:rsidRDefault="00F52A8A" w:rsidP="00175F6B">
      <w:pPr>
        <w:spacing w:before="120" w:after="120"/>
        <w:rPr>
          <w:b/>
          <w:bCs/>
          <w:lang w:val="en-US"/>
        </w:rPr>
      </w:pPr>
      <w:r w:rsidRPr="00F52A8A">
        <w:rPr>
          <w:b/>
          <w:bCs/>
          <w:lang w:val="en-US"/>
        </w:rPr>
        <w:t>Diversification</w:t>
      </w:r>
    </w:p>
    <w:p w14:paraId="05C95A1E" w14:textId="77777777" w:rsidR="00863986" w:rsidRDefault="0006012B" w:rsidP="00175F6B">
      <w:pPr>
        <w:spacing w:before="120" w:after="120"/>
      </w:pPr>
      <w:r>
        <w:t>Diversification into renewable and low-carbon energy markets is one of the most important corporate strategies of Shell</w:t>
      </w:r>
      <w:r w:rsidR="003E0BE1">
        <w:t xml:space="preserve"> (</w:t>
      </w:r>
      <w:r w:rsidR="003E0BE1">
        <w:rPr>
          <w:shd w:val="clear" w:color="auto" w:fill="FFFFFF"/>
        </w:rPr>
        <w:t>Sakhawat and Kashif, 2025</w:t>
      </w:r>
      <w:r w:rsidR="003E0BE1">
        <w:t>)</w:t>
      </w:r>
      <w:r>
        <w:t xml:space="preserve">. The company has increased investments in wind power, hydrogen technology, electric mobility and biofuels. These efforts would mitigate the dependence on the existing fossil fuel earnings and place the firm in the new energy markets. </w:t>
      </w:r>
      <w:r w:rsidR="002A0F8A" w:rsidRPr="002A0F8A">
        <w:t>According to research, diversification into renewable energy technologies is a strategy that is shared by major oil companies that want to stay relevant in the global energy transition (Halttunen</w:t>
      </w:r>
      <w:r w:rsidR="00076B33">
        <w:t>, et al.,</w:t>
      </w:r>
      <w:r w:rsidR="002A0F8A" w:rsidRPr="002A0F8A">
        <w:t xml:space="preserve"> 2023). </w:t>
      </w:r>
    </w:p>
    <w:p w14:paraId="5DE920CF" w14:textId="154DF3D8" w:rsidR="00F52A8A" w:rsidRPr="00F52A8A" w:rsidRDefault="00F52A8A" w:rsidP="00175F6B">
      <w:pPr>
        <w:spacing w:before="120" w:after="120"/>
        <w:rPr>
          <w:b/>
          <w:bCs/>
        </w:rPr>
      </w:pPr>
      <w:r w:rsidRPr="00F52A8A">
        <w:rPr>
          <w:b/>
          <w:bCs/>
        </w:rPr>
        <w:t>International Expansion</w:t>
      </w:r>
    </w:p>
    <w:p w14:paraId="0DF1ED95" w14:textId="00F951F5" w:rsidR="00F33975" w:rsidRDefault="00863986" w:rsidP="00175F6B">
      <w:pPr>
        <w:spacing w:before="120" w:after="120"/>
      </w:pPr>
      <w:r w:rsidRPr="00863986">
        <w:t xml:space="preserve">Shell has operations in over 70 countries, which means that international expansion is a prominent feature of its corporate strategy. Its global nature means that the company can tap </w:t>
      </w:r>
      <w:r w:rsidRPr="00863986">
        <w:lastRenderedPageBreak/>
        <w:t>into the various energy markets and has the ability to deal with geopolitical risks and economies of scale in its operations</w:t>
      </w:r>
      <w:r w:rsidR="004B5F63">
        <w:t xml:space="preserve"> (</w:t>
      </w:r>
      <w:proofErr w:type="spellStart"/>
      <w:r w:rsidR="004B5F63" w:rsidRPr="000857BE">
        <w:rPr>
          <w:rFonts w:eastAsia="Times New Roman" w:cs="Times New Roman"/>
          <w:kern w:val="0"/>
          <w:szCs w:val="24"/>
          <w:lang w:eastAsia="en-IN"/>
          <w14:ligatures w14:val="none"/>
        </w:rPr>
        <w:t>Blondeel</w:t>
      </w:r>
      <w:proofErr w:type="spellEnd"/>
      <w:r w:rsidR="004B5F63">
        <w:rPr>
          <w:rFonts w:eastAsia="Times New Roman" w:cs="Times New Roman"/>
          <w:kern w:val="0"/>
          <w:szCs w:val="24"/>
          <w:lang w:eastAsia="en-IN"/>
          <w14:ligatures w14:val="none"/>
        </w:rPr>
        <w:t>, et al., 2021</w:t>
      </w:r>
      <w:r w:rsidR="004B5F63">
        <w:t>)</w:t>
      </w:r>
      <w:r w:rsidRPr="00863986">
        <w:t xml:space="preserve">. </w:t>
      </w:r>
      <w:r w:rsidR="00F33975" w:rsidRPr="00F33975">
        <w:t xml:space="preserve">International diversification also enables Shell to respond to varying regulatory forces and energy requirements in the different regions, especially since most energy transition policies differ among countries. </w:t>
      </w:r>
      <w:r w:rsidR="009F12A8" w:rsidRPr="009F12A8">
        <w:t xml:space="preserve">Shell is a vertically integrated business model with a strong command over various energy value chain processes such as exploration, production, refining, transportation, trading and retail distribution. This combination helps the </w:t>
      </w:r>
      <w:r w:rsidR="009F12A8">
        <w:t>organisation</w:t>
      </w:r>
      <w:r w:rsidR="009F12A8" w:rsidRPr="009F12A8">
        <w:t xml:space="preserve"> to enhance operational effectiveness and value capture along the whole energy supply chain. </w:t>
      </w:r>
    </w:p>
    <w:p w14:paraId="3EBC8D12" w14:textId="1CFF448C" w:rsidR="00F52A8A" w:rsidRDefault="00F52A8A" w:rsidP="00175F6B">
      <w:pPr>
        <w:pStyle w:val="Heading2"/>
        <w:spacing w:before="120" w:after="120"/>
      </w:pPr>
      <w:bookmarkStart w:id="18" w:name="_Toc223779827"/>
      <w:r>
        <w:t xml:space="preserve">5.3 </w:t>
      </w:r>
      <w:r w:rsidR="00754217">
        <w:t>Strategic Change Management</w:t>
      </w:r>
      <w:bookmarkEnd w:id="18"/>
      <w:r w:rsidR="00754217">
        <w:t xml:space="preserve"> </w:t>
      </w:r>
    </w:p>
    <w:p w14:paraId="6DC9F7E4" w14:textId="5BED941B" w:rsidR="00754217" w:rsidRDefault="00617855" w:rsidP="00175F6B">
      <w:pPr>
        <w:spacing w:before="120" w:after="120"/>
      </w:pPr>
      <w:r w:rsidRPr="00617855">
        <w:t>Strategic change management is defined as the dynamic process of organisations altering their structure, process and strategies to fit the changes in the external environment (</w:t>
      </w:r>
      <w:proofErr w:type="spellStart"/>
      <w:r w:rsidR="00A26E18">
        <w:rPr>
          <w:shd w:val="clear" w:color="auto" w:fill="FFFFFF"/>
        </w:rPr>
        <w:t>Atoum</w:t>
      </w:r>
      <w:proofErr w:type="spellEnd"/>
      <w:r w:rsidR="00A26E18">
        <w:rPr>
          <w:shd w:val="clear" w:color="auto" w:fill="FFFFFF"/>
        </w:rPr>
        <w:t>, et al., 2024</w:t>
      </w:r>
      <w:r w:rsidRPr="00617855">
        <w:t>). In the case of Shell, strategic change management is critical because of the continuous revolution of the energy industry on a global basis.</w:t>
      </w:r>
      <w:r w:rsidR="00E3012A">
        <w:t xml:space="preserve"> </w:t>
      </w:r>
      <w:r w:rsidR="00A05E7B" w:rsidRPr="00A05E7B">
        <w:t xml:space="preserve">This change necessitates significant organisational </w:t>
      </w:r>
      <w:r w:rsidR="00A05E7B">
        <w:t>redesign</w:t>
      </w:r>
      <w:r w:rsidR="00A05E7B" w:rsidRPr="00A05E7B">
        <w:t xml:space="preserve">, investment in new technology and creation of new business capabilities. </w:t>
      </w:r>
      <w:r w:rsidR="00716298" w:rsidRPr="00716298">
        <w:t xml:space="preserve">The strategy of Shell focuses on creating </w:t>
      </w:r>
      <w:r w:rsidR="00774531">
        <w:t xml:space="preserve">a </w:t>
      </w:r>
      <w:r w:rsidR="00716298" w:rsidRPr="00716298">
        <w:t>balance between energy security and decarbonisation through increasing renewable energy investments</w:t>
      </w:r>
      <w:r w:rsidR="00774531">
        <w:t>,</w:t>
      </w:r>
      <w:r w:rsidR="00716298" w:rsidRPr="00716298">
        <w:t xml:space="preserve"> but still delivering oil and natural gas in the period of transition</w:t>
      </w:r>
      <w:r w:rsidR="00774531">
        <w:t xml:space="preserve"> (</w:t>
      </w:r>
      <w:r w:rsidR="00774531" w:rsidRPr="00774531">
        <w:rPr>
          <w:rFonts w:eastAsia="Times New Roman" w:cs="Times New Roman"/>
          <w:kern w:val="0"/>
          <w:szCs w:val="24"/>
          <w:lang w:eastAsia="en-IN"/>
          <w14:ligatures w14:val="none"/>
        </w:rPr>
        <w:t>Shell</w:t>
      </w:r>
      <w:r w:rsidR="00774531">
        <w:rPr>
          <w:rFonts w:eastAsia="Times New Roman" w:cs="Times New Roman"/>
          <w:kern w:val="0"/>
          <w:szCs w:val="24"/>
          <w:lang w:eastAsia="en-IN"/>
          <w14:ligatures w14:val="none"/>
        </w:rPr>
        <w:t>, 2024</w:t>
      </w:r>
      <w:r w:rsidR="00774531">
        <w:t>)</w:t>
      </w:r>
      <w:r w:rsidR="00716298" w:rsidRPr="00716298">
        <w:t>.</w:t>
      </w:r>
    </w:p>
    <w:p w14:paraId="0ABA4A15" w14:textId="27B8B2CA" w:rsidR="00A00778" w:rsidRDefault="00A00778" w:rsidP="00175F6B">
      <w:pPr>
        <w:spacing w:before="120" w:after="120"/>
        <w:jc w:val="left"/>
      </w:pPr>
      <w:r>
        <w:br w:type="page"/>
      </w:r>
    </w:p>
    <w:p w14:paraId="73AFBAD5" w14:textId="6B81281F" w:rsidR="00A00778" w:rsidRDefault="00A00778" w:rsidP="00175F6B">
      <w:pPr>
        <w:pStyle w:val="Heading1"/>
        <w:spacing w:before="120" w:after="120"/>
      </w:pPr>
      <w:bookmarkStart w:id="19" w:name="_Toc223779828"/>
      <w:r>
        <w:lastRenderedPageBreak/>
        <w:t xml:space="preserve">6. </w:t>
      </w:r>
      <w:r w:rsidR="007C73DE">
        <w:t>Strat</w:t>
      </w:r>
      <w:r w:rsidR="00702788">
        <w:t xml:space="preserve">egic </w:t>
      </w:r>
      <w:r w:rsidR="00E917C6">
        <w:t xml:space="preserve">Evaluation </w:t>
      </w:r>
      <w:r w:rsidR="00534FBC">
        <w:t>and Recommendations</w:t>
      </w:r>
      <w:bookmarkEnd w:id="19"/>
    </w:p>
    <w:p w14:paraId="287A910D" w14:textId="6E0D02DC" w:rsidR="00534FBC" w:rsidRDefault="00534FBC" w:rsidP="00175F6B">
      <w:pPr>
        <w:pStyle w:val="Heading2"/>
        <w:spacing w:before="120" w:after="120"/>
      </w:pPr>
      <w:bookmarkStart w:id="20" w:name="_Toc223779829"/>
      <w:r>
        <w:t xml:space="preserve">6.1 </w:t>
      </w:r>
      <w:r w:rsidR="003D4C5F">
        <w:t>SWOT Analysis</w:t>
      </w:r>
      <w:bookmarkEnd w:id="20"/>
    </w:p>
    <w:p w14:paraId="3E79DAE5" w14:textId="77777777" w:rsidR="006513F2" w:rsidRDefault="002F5570" w:rsidP="00175F6B">
      <w:pPr>
        <w:spacing w:before="120" w:after="120"/>
      </w:pPr>
      <w:r w:rsidRPr="002F5570">
        <w:t xml:space="preserve">A SWOT analysis is a popular strategic management instrument and is an evaluation of the internal strengths and weaknesses of an organisation as well as the external opportunities and threats. </w:t>
      </w:r>
    </w:p>
    <w:p w14:paraId="6164D291" w14:textId="42EDF918" w:rsidR="00456D79" w:rsidRDefault="008B21DC" w:rsidP="00175F6B">
      <w:pPr>
        <w:spacing w:before="120" w:after="120"/>
      </w:pPr>
      <w:r w:rsidRPr="008B21DC">
        <w:rPr>
          <w:b/>
          <w:bCs/>
        </w:rPr>
        <w:t>Strengths:</w:t>
      </w:r>
      <w:r>
        <w:t xml:space="preserve"> </w:t>
      </w:r>
      <w:r w:rsidR="00041014" w:rsidRPr="00041014">
        <w:t xml:space="preserve">The global brand reputation and financial strength of Shell </w:t>
      </w:r>
      <w:r w:rsidR="001E4508">
        <w:t>are among</w:t>
      </w:r>
      <w:r w:rsidR="00041014" w:rsidRPr="00041014">
        <w:t xml:space="preserve"> its major advantages. Shell</w:t>
      </w:r>
      <w:r w:rsidR="001E4508">
        <w:t>,</w:t>
      </w:r>
      <w:r w:rsidR="00041014" w:rsidRPr="00041014">
        <w:t xml:space="preserve"> being one of the largest energy companies in the world</w:t>
      </w:r>
      <w:r w:rsidR="001E4508">
        <w:t>,</w:t>
      </w:r>
      <w:r w:rsidR="00041014" w:rsidRPr="00041014">
        <w:t xml:space="preserve"> has operations in over 70 countries with huge technological experience in energy exploration, production and distribution. The company also </w:t>
      </w:r>
      <w:r w:rsidR="001E4508">
        <w:t>has</w:t>
      </w:r>
      <w:r w:rsidR="00041014" w:rsidRPr="00041014">
        <w:t xml:space="preserve"> considerable financial resources that allow it to invest further in new energy technologies</w:t>
      </w:r>
      <w:r w:rsidR="00F8328E">
        <w:t xml:space="preserve"> (</w:t>
      </w:r>
      <w:r w:rsidR="00F8328E" w:rsidRPr="009241FA">
        <w:rPr>
          <w:rFonts w:eastAsia="Times New Roman" w:cs="Times New Roman"/>
          <w:kern w:val="0"/>
          <w:szCs w:val="24"/>
          <w:lang w:eastAsia="en-IN"/>
          <w14:ligatures w14:val="none"/>
        </w:rPr>
        <w:t>Shell</w:t>
      </w:r>
      <w:r w:rsidR="00F8328E">
        <w:rPr>
          <w:rFonts w:eastAsia="Times New Roman" w:cs="Times New Roman"/>
          <w:kern w:val="0"/>
          <w:szCs w:val="24"/>
          <w:lang w:eastAsia="en-IN"/>
          <w14:ligatures w14:val="none"/>
        </w:rPr>
        <w:t>, 2019</w:t>
      </w:r>
      <w:r w:rsidR="00F8328E">
        <w:t>)</w:t>
      </w:r>
      <w:r w:rsidR="00041014" w:rsidRPr="00041014">
        <w:t xml:space="preserve">. The Shell Annual Report 2024 indicates that the firm earned a revenue of more than 284 billion dollars, which demonstrates its high market share and operations size. </w:t>
      </w:r>
    </w:p>
    <w:p w14:paraId="193EF62B" w14:textId="0B610A50" w:rsidR="008B21DC" w:rsidRDefault="008B21DC" w:rsidP="00175F6B">
      <w:pPr>
        <w:spacing w:before="120" w:after="120"/>
      </w:pPr>
      <w:r w:rsidRPr="008B21DC">
        <w:rPr>
          <w:b/>
          <w:bCs/>
        </w:rPr>
        <w:t>Weaknesses</w:t>
      </w:r>
      <w:r>
        <w:t xml:space="preserve">: </w:t>
      </w:r>
      <w:r w:rsidR="00C32FC5" w:rsidRPr="00C32FC5">
        <w:t>One of its greatest weaknesses is that it still depends on the production of fossil fuels, which also takes a big share of its revenue. This reliance poses strategic risks as governments are enforcing more strict environmental policies and governments around the world are shifting to low-carbon sources of energy.</w:t>
      </w:r>
    </w:p>
    <w:p w14:paraId="59B7C2B9" w14:textId="205AF4FF" w:rsidR="001632C6" w:rsidRDefault="00E67F0E" w:rsidP="00175F6B">
      <w:pPr>
        <w:spacing w:before="120" w:after="120"/>
      </w:pPr>
      <w:r w:rsidRPr="009B0CA3">
        <w:rPr>
          <w:b/>
          <w:bCs/>
        </w:rPr>
        <w:t>Opportunity</w:t>
      </w:r>
      <w:r>
        <w:t xml:space="preserve">: </w:t>
      </w:r>
      <w:r w:rsidR="003E73CB">
        <w:t>The world is shifting to renewable energy technologies, which present high market opportunities in domains like hydrogen, renewable electricity, electric vehicle infrastructure and sustainable fuels. The International Energy Agency reports that the world is increasingly investing in clean energy technologies with an ever-growing pace of governmental decarbonisation policies.</w:t>
      </w:r>
    </w:p>
    <w:p w14:paraId="26852E9A" w14:textId="58C2AF16" w:rsidR="003E73CB" w:rsidRDefault="003E73CB" w:rsidP="00175F6B">
      <w:pPr>
        <w:spacing w:before="120" w:after="120"/>
      </w:pPr>
      <w:r w:rsidRPr="009B0CA3">
        <w:rPr>
          <w:b/>
          <w:bCs/>
        </w:rPr>
        <w:t>Threats:</w:t>
      </w:r>
      <w:r>
        <w:t xml:space="preserve"> </w:t>
      </w:r>
      <w:r w:rsidR="009B0CA3" w:rsidRPr="009B0CA3">
        <w:t>The growing number of environmental regulations, climate activism</w:t>
      </w:r>
      <w:r w:rsidR="000E00CF">
        <w:t xml:space="preserve"> and</w:t>
      </w:r>
      <w:r w:rsidR="009B0CA3" w:rsidRPr="009B0CA3">
        <w:t xml:space="preserve"> legal changes to carbon action pose major threats to the conventional oil and gas business</w:t>
      </w:r>
      <w:r w:rsidR="00862C60">
        <w:t xml:space="preserve"> (</w:t>
      </w:r>
      <w:r w:rsidR="006513F2" w:rsidRPr="00862C60">
        <w:rPr>
          <w:rFonts w:eastAsia="Times New Roman" w:cs="Times New Roman"/>
          <w:kern w:val="0"/>
          <w:szCs w:val="24"/>
          <w:lang w:eastAsia="en-IN"/>
          <w14:ligatures w14:val="none"/>
        </w:rPr>
        <w:t>UN EPFI</w:t>
      </w:r>
      <w:r w:rsidR="006513F2">
        <w:rPr>
          <w:rFonts w:eastAsia="Times New Roman" w:cs="Times New Roman"/>
          <w:kern w:val="0"/>
          <w:szCs w:val="24"/>
          <w:lang w:eastAsia="en-IN"/>
          <w14:ligatures w14:val="none"/>
        </w:rPr>
        <w:t>, 2026</w:t>
      </w:r>
      <w:r w:rsidR="00862C60">
        <w:t>)</w:t>
      </w:r>
      <w:r w:rsidR="009B0CA3" w:rsidRPr="009B0CA3">
        <w:t xml:space="preserve">. Moreover, </w:t>
      </w:r>
      <w:r w:rsidR="007F05EF">
        <w:t xml:space="preserve">the </w:t>
      </w:r>
      <w:r w:rsidR="009B0CA3" w:rsidRPr="009B0CA3">
        <w:t>increasing competitiveness of renewable energy corporations and other energy giants investing in low-carbon technologies increases the competition in the industry.</w:t>
      </w:r>
    </w:p>
    <w:p w14:paraId="26D34FEF" w14:textId="72A0A760" w:rsidR="009B0CA3" w:rsidRDefault="009B0CA3" w:rsidP="00175F6B">
      <w:pPr>
        <w:pStyle w:val="Heading2"/>
        <w:spacing w:before="120" w:after="120"/>
      </w:pPr>
      <w:bookmarkStart w:id="21" w:name="_Toc223779830"/>
      <w:r>
        <w:t xml:space="preserve">6.2 Ansoff </w:t>
      </w:r>
      <w:r w:rsidR="00BE28B2">
        <w:t>Matrix</w:t>
      </w:r>
      <w:bookmarkEnd w:id="21"/>
    </w:p>
    <w:p w14:paraId="35D00D4B" w14:textId="598CDCB8" w:rsidR="00BE28B2" w:rsidRDefault="00560E1F" w:rsidP="00175F6B">
      <w:pPr>
        <w:spacing w:before="120" w:after="120"/>
      </w:pPr>
      <w:r>
        <w:t xml:space="preserve">Ansoff Matrix offers an approach to analysis of organisational growth strategies, </w:t>
      </w:r>
      <w:r w:rsidR="007E7567">
        <w:t xml:space="preserve">which means </w:t>
      </w:r>
      <w:r>
        <w:t>it considers four possible approaches: market penetration, product development, market development and diversification</w:t>
      </w:r>
      <w:r w:rsidR="007E7567">
        <w:t xml:space="preserve"> (</w:t>
      </w:r>
      <w:proofErr w:type="spellStart"/>
      <w:r w:rsidR="007E7567" w:rsidRPr="007E7567">
        <w:rPr>
          <w:rFonts w:eastAsia="Times New Roman" w:cs="Times New Roman"/>
          <w:kern w:val="0"/>
          <w:szCs w:val="24"/>
          <w:lang w:eastAsia="en-IN"/>
          <w14:ligatures w14:val="none"/>
        </w:rPr>
        <w:t>Quantive</w:t>
      </w:r>
      <w:proofErr w:type="spellEnd"/>
      <w:r w:rsidR="007E7567">
        <w:rPr>
          <w:rFonts w:eastAsia="Times New Roman" w:cs="Times New Roman"/>
          <w:kern w:val="0"/>
          <w:szCs w:val="24"/>
          <w:lang w:eastAsia="en-IN"/>
          <w14:ligatures w14:val="none"/>
        </w:rPr>
        <w:t>, 2024</w:t>
      </w:r>
      <w:r w:rsidR="007E7567">
        <w:t>)</w:t>
      </w:r>
      <w:r>
        <w:t xml:space="preserve">. </w:t>
      </w:r>
    </w:p>
    <w:p w14:paraId="34BB6A4E" w14:textId="4773D585" w:rsidR="00E40D6C" w:rsidRDefault="00E40D6C" w:rsidP="00175F6B">
      <w:pPr>
        <w:spacing w:before="120" w:after="120"/>
      </w:pPr>
      <w:r>
        <w:t>M</w:t>
      </w:r>
      <w:r w:rsidRPr="00E40D6C">
        <w:t xml:space="preserve">arket penetration is observed in the way Shell has been striving to consolidate its market in the current energy markets by increasing fuel retail channels and enhancing customer energy </w:t>
      </w:r>
      <w:r w:rsidRPr="00E40D6C">
        <w:lastRenderedPageBreak/>
        <w:t>service. Commitment to optimisation of the current oil and gas production is still ongoing at the company to ensure profitability over the energy transition</w:t>
      </w:r>
      <w:r w:rsidR="003C6BE1">
        <w:t xml:space="preserve"> (</w:t>
      </w:r>
      <w:r w:rsidR="003C6BE1" w:rsidRPr="003C6BE1">
        <w:rPr>
          <w:rFonts w:eastAsia="Times New Roman" w:cs="Times New Roman"/>
          <w:kern w:val="0"/>
          <w:szCs w:val="24"/>
          <w:lang w:eastAsia="en-IN"/>
          <w14:ligatures w14:val="none"/>
        </w:rPr>
        <w:t xml:space="preserve">London Stock </w:t>
      </w:r>
      <w:r w:rsidR="003C6BE1">
        <w:rPr>
          <w:rFonts w:eastAsia="Times New Roman" w:cs="Times New Roman"/>
          <w:kern w:val="0"/>
          <w:szCs w:val="24"/>
          <w:lang w:eastAsia="en-IN"/>
          <w14:ligatures w14:val="none"/>
        </w:rPr>
        <w:t>Exchange, 2026</w:t>
      </w:r>
      <w:r w:rsidR="003C6BE1">
        <w:t>)</w:t>
      </w:r>
      <w:r w:rsidRPr="00E40D6C">
        <w:t>.</w:t>
      </w:r>
      <w:r>
        <w:t xml:space="preserve"> P</w:t>
      </w:r>
      <w:r w:rsidRPr="00E40D6C">
        <w:t>roduct development is also evidenced by the fact that Shell has invested in new energy technologies, including hydrogen fuel, renewable electricity</w:t>
      </w:r>
      <w:r w:rsidR="000E00CF">
        <w:t xml:space="preserve"> and</w:t>
      </w:r>
      <w:r w:rsidRPr="00E40D6C">
        <w:t xml:space="preserve"> low-carbon fuels. </w:t>
      </w:r>
    </w:p>
    <w:p w14:paraId="0386C251" w14:textId="7AAF5172" w:rsidR="009C3F43" w:rsidRDefault="009C3F43" w:rsidP="00175F6B">
      <w:pPr>
        <w:spacing w:before="120" w:after="120"/>
      </w:pPr>
      <w:r>
        <w:t>M</w:t>
      </w:r>
      <w:r w:rsidR="001712D9" w:rsidRPr="001712D9">
        <w:t>arket development is reflected by Shell expanding to new energy markets</w:t>
      </w:r>
      <w:r>
        <w:t>,</w:t>
      </w:r>
      <w:r w:rsidR="001712D9" w:rsidRPr="001712D9">
        <w:t xml:space="preserve"> such as electric vehicle charging infrastructure and </w:t>
      </w:r>
      <w:r>
        <w:t>businesses'</w:t>
      </w:r>
      <w:r w:rsidR="001712D9" w:rsidRPr="001712D9">
        <w:t xml:space="preserve"> supply of renewable energy. These initiatives will enable the company to access new client groups and utili</w:t>
      </w:r>
      <w:r>
        <w:t>s</w:t>
      </w:r>
      <w:r w:rsidR="001712D9" w:rsidRPr="001712D9">
        <w:t xml:space="preserve">e the available technological potentials. </w:t>
      </w:r>
      <w:r w:rsidRPr="009C3F43">
        <w:t>Through</w:t>
      </w:r>
      <w:r w:rsidR="003C6BE1">
        <w:t xml:space="preserve"> diversification</w:t>
      </w:r>
      <w:r w:rsidRPr="009C3F43">
        <w:t xml:space="preserve"> </w:t>
      </w:r>
      <w:r w:rsidR="003C6BE1">
        <w:t xml:space="preserve">of </w:t>
      </w:r>
      <w:r w:rsidRPr="009C3F43">
        <w:t>its long</w:t>
      </w:r>
      <w:r>
        <w:t>-</w:t>
      </w:r>
      <w:r w:rsidRPr="009C3F43">
        <w:t xml:space="preserve">term energy transition strategy, the company is expanding into renewable energy industries like offshore wind, solar energy and energy storage technologies. </w:t>
      </w:r>
    </w:p>
    <w:p w14:paraId="5B8324B9" w14:textId="14DF5ADA" w:rsidR="009C3F43" w:rsidRDefault="00AB6534" w:rsidP="00175F6B">
      <w:pPr>
        <w:pStyle w:val="Heading2"/>
        <w:spacing w:before="120" w:after="120"/>
      </w:pPr>
      <w:bookmarkStart w:id="22" w:name="_Toc223779831"/>
      <w:r>
        <w:t>6.3 Strategic Recommendations</w:t>
      </w:r>
      <w:bookmarkEnd w:id="22"/>
      <w:r>
        <w:t xml:space="preserve"> </w:t>
      </w:r>
    </w:p>
    <w:p w14:paraId="24939199" w14:textId="17C00784" w:rsidR="00AB6534" w:rsidRPr="00AF3DF2" w:rsidRDefault="00853126" w:rsidP="00175F6B">
      <w:pPr>
        <w:spacing w:before="120" w:after="120"/>
        <w:rPr>
          <w:b/>
          <w:bCs/>
        </w:rPr>
      </w:pPr>
      <w:r w:rsidRPr="00AF3DF2">
        <w:rPr>
          <w:b/>
          <w:bCs/>
        </w:rPr>
        <w:t xml:space="preserve">1. Accelerate Investment in Renewable Technologies </w:t>
      </w:r>
    </w:p>
    <w:p w14:paraId="6FE2502D" w14:textId="57325B7D" w:rsidR="00853126" w:rsidRDefault="00DF39B4" w:rsidP="00175F6B">
      <w:pPr>
        <w:spacing w:before="120" w:after="120"/>
      </w:pPr>
      <w:r>
        <w:t>S</w:t>
      </w:r>
      <w:r w:rsidRPr="00DF39B4">
        <w:t>hell needs to invest heavily in renewable energy sources</w:t>
      </w:r>
      <w:r>
        <w:t>,</w:t>
      </w:r>
      <w:r w:rsidRPr="00DF39B4">
        <w:t xml:space="preserve"> including wind, solar, hydrogen and energy storage technologies. The energy industry across the world is also shifting fast to low-carbon energy systems</w:t>
      </w:r>
      <w:r w:rsidR="0019420D">
        <w:t>,</w:t>
      </w:r>
      <w:r w:rsidRPr="00DF39B4">
        <w:t xml:space="preserve"> providing massive opportunities to energy companies that diversify their portfolio</w:t>
      </w:r>
      <w:r w:rsidR="0019420D">
        <w:t xml:space="preserve"> (</w:t>
      </w:r>
      <w:r w:rsidR="0019420D" w:rsidRPr="008865FE">
        <w:rPr>
          <w:shd w:val="clear" w:color="auto" w:fill="FFFFFF"/>
        </w:rPr>
        <w:t>Halttunen</w:t>
      </w:r>
      <w:r w:rsidR="0019420D">
        <w:rPr>
          <w:shd w:val="clear" w:color="auto" w:fill="FFFFFF"/>
        </w:rPr>
        <w:t>, et al., 2023</w:t>
      </w:r>
      <w:r w:rsidR="0019420D">
        <w:t>)</w:t>
      </w:r>
      <w:r w:rsidRPr="00DF39B4">
        <w:t>. It has been found out that big oil industry players such as Shell, BP and TotalEnergies are progressively expanding into renewable energy to keep up with the worldwide energy shift and continue to be competitive.</w:t>
      </w:r>
    </w:p>
    <w:p w14:paraId="30D8A0BB" w14:textId="6ED3B4ED" w:rsidR="0019420D" w:rsidRDefault="00BD7FCC" w:rsidP="00175F6B">
      <w:pPr>
        <w:spacing w:before="120" w:after="120"/>
        <w:rPr>
          <w:b/>
          <w:bCs/>
        </w:rPr>
      </w:pPr>
      <w:r w:rsidRPr="00AF3DF2">
        <w:rPr>
          <w:b/>
          <w:bCs/>
        </w:rPr>
        <w:t xml:space="preserve">2. Expand Electric Mobility </w:t>
      </w:r>
      <w:r w:rsidR="00AF3DF2" w:rsidRPr="00AF3DF2">
        <w:rPr>
          <w:b/>
          <w:bCs/>
        </w:rPr>
        <w:t>and Integrated Energy Services</w:t>
      </w:r>
    </w:p>
    <w:p w14:paraId="2BB716FF" w14:textId="5AC6B2B4" w:rsidR="00AF3DF2" w:rsidRDefault="005D1E7D" w:rsidP="00175F6B">
      <w:pPr>
        <w:spacing w:before="120" w:after="120"/>
      </w:pPr>
      <w:r w:rsidRPr="005D1E7D">
        <w:t>Shell should continue to increase its electric vehicle (EV) charging infrastructure and integrated energy solutions. The fast development of electric vehicles is changing the transport industry and establishing new energy consumption patterns</w:t>
      </w:r>
      <w:r w:rsidR="005B466A">
        <w:t xml:space="preserve"> (</w:t>
      </w:r>
      <w:r w:rsidR="005B466A" w:rsidRPr="005B466A">
        <w:rPr>
          <w:rFonts w:eastAsia="Times New Roman" w:cs="Times New Roman"/>
          <w:kern w:val="0"/>
          <w:szCs w:val="24"/>
          <w:lang w:eastAsia="en-IN"/>
          <w14:ligatures w14:val="none"/>
        </w:rPr>
        <w:t>Thomas</w:t>
      </w:r>
      <w:r w:rsidR="005B466A">
        <w:rPr>
          <w:rFonts w:eastAsia="Times New Roman" w:cs="Times New Roman"/>
          <w:kern w:val="0"/>
          <w:szCs w:val="24"/>
          <w:lang w:eastAsia="en-IN"/>
          <w14:ligatures w14:val="none"/>
        </w:rPr>
        <w:t>, 2025</w:t>
      </w:r>
      <w:r w:rsidR="005B466A">
        <w:t>)</w:t>
      </w:r>
      <w:r w:rsidRPr="005D1E7D">
        <w:t>. According to industry research, EV charging infrastructure can be identified as a logical strategic move of oil companies since they already have a widespread fuel retail system and the distribution of their energy resources.</w:t>
      </w:r>
    </w:p>
    <w:p w14:paraId="77FA5373" w14:textId="5F793FFE" w:rsidR="005D1E7D" w:rsidRPr="00030EDC" w:rsidRDefault="005D1E7D" w:rsidP="00175F6B">
      <w:pPr>
        <w:spacing w:before="120" w:after="120"/>
        <w:rPr>
          <w:b/>
          <w:bCs/>
        </w:rPr>
      </w:pPr>
      <w:r w:rsidRPr="00030EDC">
        <w:rPr>
          <w:b/>
          <w:bCs/>
        </w:rPr>
        <w:t xml:space="preserve">3. </w:t>
      </w:r>
      <w:r w:rsidR="00030EDC" w:rsidRPr="00030EDC">
        <w:rPr>
          <w:b/>
          <w:bCs/>
        </w:rPr>
        <w:t xml:space="preserve">Strengthen Innovation and Strategic Partnership </w:t>
      </w:r>
    </w:p>
    <w:p w14:paraId="3B869046" w14:textId="50BA7289" w:rsidR="00E40D6C" w:rsidRPr="00BE28B2" w:rsidRDefault="00E87E21" w:rsidP="00175F6B">
      <w:pPr>
        <w:spacing w:before="120" w:after="120"/>
      </w:pPr>
      <w:r w:rsidRPr="00E87E21">
        <w:t>Shell ought to enhance its research, innovation and strategic liaison with technology companies</w:t>
      </w:r>
      <w:r w:rsidR="007C441C">
        <w:t>,</w:t>
      </w:r>
      <w:r w:rsidRPr="00E87E21">
        <w:t xml:space="preserve"> renewable developers and research agencies. Innovation is important in facilitating companies to come up with new energy technologies and stay ahead of other firms in the </w:t>
      </w:r>
      <w:r w:rsidR="007C441C">
        <w:t>fast-changing</w:t>
      </w:r>
      <w:r w:rsidRPr="00E87E21">
        <w:t xml:space="preserve"> industries. </w:t>
      </w:r>
      <w:r w:rsidR="00EF0913" w:rsidRPr="00EF0913">
        <w:t xml:space="preserve">The International Energy Agency reported that oil and gas companies have become more and more involved in technology start-ups involving hydrogen, batteries and </w:t>
      </w:r>
      <w:r w:rsidR="00EF0913" w:rsidRPr="00EF0913">
        <w:lastRenderedPageBreak/>
        <w:t>renewable energy</w:t>
      </w:r>
      <w:r w:rsidR="00257CCB">
        <w:t>,</w:t>
      </w:r>
      <w:r w:rsidR="00EF0913" w:rsidRPr="00EF0913">
        <w:t xml:space="preserve"> with corporate venture capital investment in clean energy technologies rising considerably since 2018</w:t>
      </w:r>
      <w:r w:rsidR="00FE42BA">
        <w:t xml:space="preserve"> (</w:t>
      </w:r>
      <w:r w:rsidR="00FE42BA" w:rsidRPr="00257CCB">
        <w:rPr>
          <w:rFonts w:eastAsia="Times New Roman" w:cs="Times New Roman"/>
          <w:kern w:val="0"/>
          <w:szCs w:val="24"/>
          <w:lang w:eastAsia="en-IN"/>
          <w14:ligatures w14:val="none"/>
        </w:rPr>
        <w:t>IEA</w:t>
      </w:r>
      <w:r w:rsidR="00FE42BA">
        <w:rPr>
          <w:rFonts w:eastAsia="Times New Roman" w:cs="Times New Roman"/>
          <w:kern w:val="0"/>
          <w:szCs w:val="24"/>
          <w:lang w:eastAsia="en-IN"/>
          <w14:ligatures w14:val="none"/>
        </w:rPr>
        <w:t>, 2023</w:t>
      </w:r>
      <w:r w:rsidR="00FE42BA">
        <w:t>)</w:t>
      </w:r>
      <w:r w:rsidR="00EF0913" w:rsidRPr="00EF0913">
        <w:t>.</w:t>
      </w:r>
    </w:p>
    <w:p w14:paraId="2F6C8C42" w14:textId="77777777" w:rsidR="009B0CA3" w:rsidRDefault="009B0CA3" w:rsidP="00175F6B">
      <w:pPr>
        <w:spacing w:before="120" w:after="120"/>
      </w:pPr>
    </w:p>
    <w:p w14:paraId="620070FD" w14:textId="77777777" w:rsidR="00AA2B33" w:rsidRPr="008865FE" w:rsidRDefault="00AA2B33" w:rsidP="00175F6B">
      <w:pPr>
        <w:spacing w:before="120" w:after="120"/>
      </w:pPr>
    </w:p>
    <w:p w14:paraId="4A2C16A6" w14:textId="77777777" w:rsidR="003D4C5F" w:rsidRPr="003D4C5F" w:rsidRDefault="003D4C5F" w:rsidP="00175F6B">
      <w:pPr>
        <w:spacing w:before="120" w:after="120"/>
      </w:pPr>
    </w:p>
    <w:p w14:paraId="6A05C3A9" w14:textId="4C36071B" w:rsidR="00FB1323" w:rsidRDefault="00FB1323">
      <w:pPr>
        <w:spacing w:line="259" w:lineRule="auto"/>
        <w:jc w:val="left"/>
      </w:pPr>
      <w:r>
        <w:br w:type="page"/>
      </w:r>
    </w:p>
    <w:p w14:paraId="45D915CB" w14:textId="62E3AB45" w:rsidR="00FB1323" w:rsidRPr="00FB1323" w:rsidRDefault="00FB1323" w:rsidP="00693754">
      <w:pPr>
        <w:pStyle w:val="Heading1"/>
      </w:pPr>
      <w:bookmarkStart w:id="23" w:name="_Toc223779832"/>
      <w:r>
        <w:lastRenderedPageBreak/>
        <w:t xml:space="preserve">Section </w:t>
      </w:r>
      <w:r w:rsidRPr="00FB1323">
        <w:t>2. Reflective Account</w:t>
      </w:r>
      <w:bookmarkEnd w:id="23"/>
    </w:p>
    <w:p w14:paraId="3425DA99" w14:textId="77777777" w:rsidR="00FB1323" w:rsidRPr="00FB1323" w:rsidRDefault="00FB1323" w:rsidP="00FB1323">
      <w:pPr>
        <w:spacing w:before="120" w:after="120"/>
        <w:rPr>
          <w:b/>
          <w:bCs/>
        </w:rPr>
      </w:pPr>
      <w:r w:rsidRPr="00FB1323">
        <w:rPr>
          <w:b/>
          <w:bCs/>
        </w:rPr>
        <w:t>Description</w:t>
      </w:r>
    </w:p>
    <w:p w14:paraId="6ABF5354" w14:textId="74333FBB" w:rsidR="00FB1323" w:rsidRDefault="00FB1323" w:rsidP="00FB1323">
      <w:pPr>
        <w:spacing w:before="120" w:after="120"/>
      </w:pPr>
      <w:r w:rsidRPr="00FB1323">
        <w:t>This report required a thorough strategic analysis of Shell plc in the international energy sector. The evaluation entailed the evaluation of the external and internal environment of the company in terms of major strategic management frameworks. I used VRIO and other internal tools like PESTEL analysis to interpret macro-environment forces and competitive advantage. I also evaluated Shell in terms of sustainability positioning and strategic direction with regard to energy transition objectives. The study involved the examination of annual reports, sustainability disclosures, industry analysis</w:t>
      </w:r>
      <w:r w:rsidR="000E00CF">
        <w:t xml:space="preserve"> and</w:t>
      </w:r>
      <w:r w:rsidRPr="00FB1323">
        <w:t xml:space="preserve"> the scholarly literature. I balanced </w:t>
      </w:r>
      <w:r w:rsidR="007F05EF">
        <w:t>judgment</w:t>
      </w:r>
      <w:r w:rsidRPr="00FB1323">
        <w:t xml:space="preserve"> by comparing the statements of the companies with independent sources. The general objective of the report was to assess the possibility of Shell to sustain the competitive advantage as it addresses the growing environmental, political</w:t>
      </w:r>
      <w:r w:rsidR="000E00CF">
        <w:t xml:space="preserve"> and</w:t>
      </w:r>
      <w:r w:rsidRPr="00FB1323">
        <w:t xml:space="preserve"> stakeholder pressures in an industry that is rapidly changing.</w:t>
      </w:r>
    </w:p>
    <w:p w14:paraId="4EBB2824" w14:textId="77777777" w:rsidR="00FB1323" w:rsidRPr="00FB1323" w:rsidRDefault="00FB1323" w:rsidP="00FB1323">
      <w:pPr>
        <w:spacing w:before="120" w:after="120"/>
        <w:rPr>
          <w:b/>
          <w:bCs/>
        </w:rPr>
      </w:pPr>
      <w:r w:rsidRPr="00FB1323">
        <w:rPr>
          <w:b/>
          <w:bCs/>
        </w:rPr>
        <w:t>Feelings</w:t>
      </w:r>
    </w:p>
    <w:p w14:paraId="0ED84A96" w14:textId="77777777" w:rsidR="00FB1323" w:rsidRDefault="00FB1323" w:rsidP="00FB1323">
      <w:pPr>
        <w:spacing w:before="120" w:after="120"/>
      </w:pPr>
      <w:r w:rsidRPr="00FB1323">
        <w:t>My initial perception of Shell in this report was that it was a major oil producer that was trying to clean up its image concerning the environment. I thought at first that its sustainability strategy was mostly reactive to regulatory pressure. Nonetheless, as I studied financial reports and strategic releases, I noticed that the situation was not as straightforward as I thought it was. I was challenged in the course of examining capital allocation figures as it was necessary to carefully interpret the distinction between operational investment and transition investment. It was also a challenge to be entirely objective when examining the arguments of fossil fuel development and climate accountability. This prompted me to use scholarly materials and industry research as opposed to depending on corporate competition articles. Gradually I became more objective and analytical in my view.</w:t>
      </w:r>
    </w:p>
    <w:p w14:paraId="7C454E1E" w14:textId="77777777" w:rsidR="00FB1323" w:rsidRPr="00FB1323" w:rsidRDefault="00FB1323" w:rsidP="00FB1323">
      <w:pPr>
        <w:spacing w:before="120" w:after="120"/>
        <w:rPr>
          <w:b/>
          <w:bCs/>
        </w:rPr>
      </w:pPr>
      <w:r w:rsidRPr="00FB1323">
        <w:rPr>
          <w:b/>
          <w:bCs/>
        </w:rPr>
        <w:t>Evaluation</w:t>
      </w:r>
    </w:p>
    <w:p w14:paraId="2035321F" w14:textId="58BD8033" w:rsidR="00FB1323" w:rsidRDefault="00FB1323" w:rsidP="00FB1323">
      <w:pPr>
        <w:spacing w:before="120" w:after="120"/>
      </w:pPr>
      <w:r>
        <w:t>The application of strategic management models in a structured format was one of the strengths of my approach to this assessment. PESTEL analysis allowed me to identify the direct impact of political decisions</w:t>
      </w:r>
      <w:r w:rsidR="007F05EF">
        <w:t xml:space="preserve"> such as</w:t>
      </w:r>
      <w:r>
        <w:t xml:space="preserve"> windfall taxes</w:t>
      </w:r>
      <w:r w:rsidR="000E00CF">
        <w:t xml:space="preserve"> and</w:t>
      </w:r>
      <w:r>
        <w:t xml:space="preserve"> carbon regulation on the strategic decisions made by Shell. This made it apparent that corporate behaviour is heavily influenced by the energy security issue and the governmental policy. The VRIO framework came in quite handy since it required me to evaluate the issue of whether </w:t>
      </w:r>
      <w:r w:rsidR="007F05EF">
        <w:t>Shell's</w:t>
      </w:r>
      <w:r>
        <w:t xml:space="preserve"> resources really generate </w:t>
      </w:r>
      <w:r>
        <w:lastRenderedPageBreak/>
        <w:t xml:space="preserve">sustainable competitive advantage. Using this model, I have determined that the strengths </w:t>
      </w:r>
      <w:r w:rsidR="007F05EF">
        <w:t>include</w:t>
      </w:r>
      <w:r>
        <w:t xml:space="preserve"> LNG integration and financial capacity.</w:t>
      </w:r>
    </w:p>
    <w:p w14:paraId="08D9DF12" w14:textId="7551203A" w:rsidR="00FB1323" w:rsidRDefault="00FB1323" w:rsidP="00FB1323">
      <w:pPr>
        <w:spacing w:before="120" w:after="120"/>
      </w:pPr>
      <w:r>
        <w:t xml:space="preserve">I had weaknesses in my early drafts. First, I paid too much attention to outlining the sustainability commitments of Shell without critically </w:t>
      </w:r>
      <w:r w:rsidR="007F05EF">
        <w:t>analysing</w:t>
      </w:r>
      <w:r>
        <w:t xml:space="preserve"> their magnitude and implications. This made my work less </w:t>
      </w:r>
      <w:r w:rsidR="007F05EF">
        <w:t>analytical</w:t>
      </w:r>
      <w:r>
        <w:t>. My assessment was reinforced by looking at the independent research work and comparing the level of fossil fuel investments and the level of renewable investments. The other challenge was the ability to connect financial information and long-term strategic implications. Revenue and profit values are direct, yet to comprehend their role in decisions related to transition it was necessary to think harder.</w:t>
      </w:r>
    </w:p>
    <w:p w14:paraId="28B197C7" w14:textId="77777777" w:rsidR="00FB1323" w:rsidRPr="00FB1323" w:rsidRDefault="00FB1323" w:rsidP="00FB1323">
      <w:pPr>
        <w:spacing w:before="120" w:after="120"/>
        <w:rPr>
          <w:b/>
          <w:bCs/>
        </w:rPr>
      </w:pPr>
      <w:r w:rsidRPr="00FB1323">
        <w:rPr>
          <w:b/>
          <w:bCs/>
        </w:rPr>
        <w:t>Analysis</w:t>
      </w:r>
    </w:p>
    <w:p w14:paraId="41749FF9" w14:textId="0DE6B53B" w:rsidR="00FB1323" w:rsidRDefault="00FB1323" w:rsidP="00FB1323">
      <w:pPr>
        <w:spacing w:before="120" w:after="120"/>
      </w:pPr>
      <w:r>
        <w:t xml:space="preserve">This report significantly </w:t>
      </w:r>
      <w:r w:rsidR="007F05EF">
        <w:t>enhanced</w:t>
      </w:r>
      <w:r>
        <w:t xml:space="preserve"> my knowledge of how strategic management is applied in a business scenario. I understood that strategy is not just the choice of growth opportunities but also the balance between competing priorities. In Shell, tension between continuing to make </w:t>
      </w:r>
      <w:r w:rsidR="007F05EF">
        <w:t xml:space="preserve">a </w:t>
      </w:r>
      <w:r>
        <w:t xml:space="preserve">good profit </w:t>
      </w:r>
      <w:r w:rsidR="007F05EF">
        <w:t>from</w:t>
      </w:r>
      <w:r>
        <w:t xml:space="preserve"> oil and gas and investing in renewable energy is noticeable. This </w:t>
      </w:r>
      <w:r w:rsidR="007F05EF">
        <w:t>inconsistency</w:t>
      </w:r>
      <w:r>
        <w:t xml:space="preserve"> is a symptom of wider structural issues within the world energy system and not </w:t>
      </w:r>
      <w:r w:rsidR="007F05EF">
        <w:t xml:space="preserve">a </w:t>
      </w:r>
      <w:r>
        <w:t>mere management option.</w:t>
      </w:r>
    </w:p>
    <w:p w14:paraId="3229DDB6" w14:textId="62EB55B2" w:rsidR="00FB1323" w:rsidRDefault="00FB1323" w:rsidP="00FB1323">
      <w:pPr>
        <w:spacing w:before="120" w:after="120"/>
      </w:pPr>
      <w:r>
        <w:t xml:space="preserve">The Balanced Scorecard lens allowed me to view how a balance can be created between financial goals and environmental obligations. As an example, good operating cash flow can be used to make </w:t>
      </w:r>
      <w:r w:rsidR="007F05EF">
        <w:t xml:space="preserve">an </w:t>
      </w:r>
      <w:r>
        <w:t>investment in hydrogen and EV infrastructure, but the rate of transition might be slowed by high shareholder payments. This proved that strategic fit on financial, operational and learning levels is not an easy task. It also demonstrated that internal capability development and internal processes to support sustainability targets should be measurable.</w:t>
      </w:r>
    </w:p>
    <w:p w14:paraId="0B2B692F" w14:textId="2B6D7FF3" w:rsidR="00FB1323" w:rsidRDefault="00FB1323" w:rsidP="00FB1323">
      <w:pPr>
        <w:spacing w:before="120" w:after="120"/>
      </w:pPr>
      <w:r>
        <w:t xml:space="preserve">The use of systematic assessment criteria enhanced my critical evaluation. Regarding suitability, it was important to consider whether the strategy of Shell is in line with climate policy trends and energy transition scenarios. Acceptability was assessed by comprehending the expectations of shareholders and the perception of the population. Feasibility had to be measured through the analysis of financial strength and organisational capacity. This critical analysis </w:t>
      </w:r>
      <w:r w:rsidR="007F05EF">
        <w:t>minimised</w:t>
      </w:r>
      <w:r>
        <w:t xml:space="preserve"> individual bias and enhanced objectivity in my judgements.</w:t>
      </w:r>
    </w:p>
    <w:p w14:paraId="1B6EF04A" w14:textId="793E646F" w:rsidR="00FB1323" w:rsidRDefault="00FB1323" w:rsidP="00FB1323">
      <w:pPr>
        <w:spacing w:before="120" w:after="120"/>
      </w:pPr>
      <w:r>
        <w:t xml:space="preserve">Another thing I discovered is the significance of evidence triangulation. Corporate sustainability reports are focused on progress and future aspiration, whereas independent analysts tend to focus on further growth in fossil fuels. It was through the comparison of these views that I came up with a more balanced and </w:t>
      </w:r>
      <w:r w:rsidR="007F05EF">
        <w:t>evidence-based</w:t>
      </w:r>
      <w:r>
        <w:t xml:space="preserve"> argument. It was a process that </w:t>
      </w:r>
      <w:r>
        <w:lastRenderedPageBreak/>
        <w:t>enhanced my critical thinking and prevented me from making extreme conclusions. It also boosted my self-confidence in the interpretation of complicated strategic information.</w:t>
      </w:r>
    </w:p>
    <w:p w14:paraId="5B0217D3" w14:textId="5F4C4889" w:rsidR="00FB1323" w:rsidRDefault="00FB1323" w:rsidP="00FB1323">
      <w:pPr>
        <w:spacing w:before="120" w:after="120"/>
      </w:pPr>
      <w:r>
        <w:t xml:space="preserve">In addition, I gained a better consciousness of the impact of global uncertainties on strategy. Long-term planning among the energy companies is harder due to geopolitical </w:t>
      </w:r>
      <w:r w:rsidR="007F05EF">
        <w:t>shocks</w:t>
      </w:r>
      <w:r>
        <w:t>, inflation</w:t>
      </w:r>
      <w:r w:rsidR="000E00CF">
        <w:t xml:space="preserve"> and</w:t>
      </w:r>
      <w:r>
        <w:t xml:space="preserve"> </w:t>
      </w:r>
      <w:r w:rsidR="007F05EF">
        <w:t>changes</w:t>
      </w:r>
      <w:r>
        <w:t xml:space="preserve"> in regulation. This context made me assess the decisions of Shell more realistically as opposed to making them on </w:t>
      </w:r>
      <w:r w:rsidR="007F05EF">
        <w:t>my</w:t>
      </w:r>
      <w:r>
        <w:t xml:space="preserve"> own.</w:t>
      </w:r>
    </w:p>
    <w:p w14:paraId="08F5082F" w14:textId="77777777" w:rsidR="00FB1323" w:rsidRPr="00FB1323" w:rsidRDefault="00FB1323" w:rsidP="00FB1323">
      <w:pPr>
        <w:spacing w:before="120" w:after="120"/>
        <w:rPr>
          <w:b/>
          <w:bCs/>
        </w:rPr>
      </w:pPr>
      <w:r w:rsidRPr="00FB1323">
        <w:rPr>
          <w:b/>
          <w:bCs/>
        </w:rPr>
        <w:t>Conclusion</w:t>
      </w:r>
    </w:p>
    <w:p w14:paraId="5C32F1AC" w14:textId="1CD29A3B" w:rsidR="00FB1323" w:rsidRDefault="00FB1323" w:rsidP="00FB1323">
      <w:pPr>
        <w:spacing w:before="120" w:after="120"/>
      </w:pPr>
      <w:r>
        <w:t xml:space="preserve">All in all, the completion of this report helped me develop practical and critical application of strategic frameworks. I enhanced my ability </w:t>
      </w:r>
      <w:r w:rsidR="007F05EF">
        <w:t>to read</w:t>
      </w:r>
      <w:r>
        <w:t xml:space="preserve"> financial statements and </w:t>
      </w:r>
      <w:r w:rsidR="007F05EF">
        <w:t>connect</w:t>
      </w:r>
      <w:r>
        <w:t xml:space="preserve"> them to strategic direction. I also became more sensitive to the interaction of external regulation, stakeholder expectations and internal capabilities to influence corporate decisions.</w:t>
      </w:r>
    </w:p>
    <w:p w14:paraId="22752EA9" w14:textId="2923F5F4" w:rsidR="00FB1323" w:rsidRDefault="00FB1323" w:rsidP="00FB1323">
      <w:pPr>
        <w:spacing w:before="120" w:after="120"/>
      </w:pPr>
      <w:r>
        <w:t>The discussion has shown that big businesses are under complicated and even contradictory pressures. The strategic change in the energy sector cannot happen overnight</w:t>
      </w:r>
      <w:r w:rsidR="000E00CF">
        <w:t xml:space="preserve"> and</w:t>
      </w:r>
      <w:r>
        <w:t xml:space="preserve"> it should be plausible and quantifiable. The case of Shell explains why competitive advantage and sustainability goals have to be incrementally aligned over time. This </w:t>
      </w:r>
      <w:r w:rsidR="007F05EF">
        <w:t>realisation</w:t>
      </w:r>
      <w:r>
        <w:t xml:space="preserve"> made me even more impressed by strategic management as a dynamic and changing concept instead of a more rigid theoretical framework.</w:t>
      </w:r>
    </w:p>
    <w:p w14:paraId="6881762E" w14:textId="77777777" w:rsidR="00FB1323" w:rsidRPr="00FB1323" w:rsidRDefault="00FB1323" w:rsidP="00FB1323">
      <w:pPr>
        <w:spacing w:before="120" w:after="120"/>
        <w:rPr>
          <w:b/>
          <w:bCs/>
        </w:rPr>
      </w:pPr>
      <w:r w:rsidRPr="00FB1323">
        <w:rPr>
          <w:b/>
          <w:bCs/>
        </w:rPr>
        <w:t>Action Plan</w:t>
      </w:r>
    </w:p>
    <w:p w14:paraId="04976C43" w14:textId="746430F1" w:rsidR="00FB1323" w:rsidRDefault="00FB1323" w:rsidP="00FB1323">
      <w:pPr>
        <w:spacing w:before="120" w:after="120"/>
      </w:pPr>
      <w:r>
        <w:t xml:space="preserve">In further evaluations, I intend to enhance my financial analysis capability especially on capital expenditure trends and return ratios. I will also use peer-reviewed academic literature at the beginning of the research to enhance critical depth. I also intend to manage time better in reading long company reports to create more time to evaluate them. Last but not least I will also keep on building balanced </w:t>
      </w:r>
      <w:r w:rsidR="007F05EF">
        <w:t>judgment</w:t>
      </w:r>
      <w:r>
        <w:t xml:space="preserve"> by contrasting corporate disclosures with free analysis of the industry.</w:t>
      </w:r>
    </w:p>
    <w:p w14:paraId="33BA348F" w14:textId="6E18D180" w:rsidR="00FB1323" w:rsidRDefault="00FB1323" w:rsidP="00FB1323">
      <w:pPr>
        <w:spacing w:before="120" w:after="120"/>
      </w:pPr>
      <w:r>
        <w:t xml:space="preserve">This reflection has enhanced my level of analytical maturity and enhanced my confidence in using strategic management theory in solving complex </w:t>
      </w:r>
      <w:r w:rsidR="007F05EF">
        <w:t>real-world</w:t>
      </w:r>
      <w:r>
        <w:t xml:space="preserve"> business problems.</w:t>
      </w:r>
    </w:p>
    <w:p w14:paraId="02EB2F1B" w14:textId="77777777" w:rsidR="009F12A8" w:rsidRDefault="009F12A8" w:rsidP="00175F6B">
      <w:pPr>
        <w:spacing w:before="120" w:after="120"/>
      </w:pPr>
    </w:p>
    <w:p w14:paraId="76F8E7F1" w14:textId="77777777" w:rsidR="00FB1323" w:rsidRDefault="00FB1323">
      <w:pPr>
        <w:spacing w:line="259" w:lineRule="auto"/>
        <w:jc w:val="left"/>
        <w:rPr>
          <w:lang w:val="en-US"/>
        </w:rPr>
      </w:pPr>
      <w:r>
        <w:rPr>
          <w:lang w:val="en-US"/>
        </w:rPr>
        <w:br w:type="page"/>
      </w:r>
    </w:p>
    <w:p w14:paraId="6751FED1" w14:textId="086D723B" w:rsidR="00802FF8" w:rsidRPr="00756904" w:rsidRDefault="00802FF8" w:rsidP="00175F6B">
      <w:pPr>
        <w:pStyle w:val="Heading1"/>
        <w:spacing w:before="120" w:after="120"/>
        <w:rPr>
          <w:lang w:val="en-US"/>
        </w:rPr>
      </w:pPr>
      <w:bookmarkStart w:id="24" w:name="_Toc223779833"/>
      <w:r>
        <w:rPr>
          <w:lang w:val="en-US"/>
        </w:rPr>
        <w:lastRenderedPageBreak/>
        <w:t>References</w:t>
      </w:r>
      <w:bookmarkEnd w:id="24"/>
    </w:p>
    <w:p w14:paraId="17F4C592" w14:textId="77777777" w:rsidR="008D2801" w:rsidRDefault="008D2801" w:rsidP="00175F6B">
      <w:pPr>
        <w:pStyle w:val="NormalWeb"/>
        <w:spacing w:before="120" w:beforeAutospacing="0" w:after="120" w:afterAutospacing="0" w:line="360" w:lineRule="auto"/>
        <w:jc w:val="both"/>
      </w:pPr>
      <w:r>
        <w:t xml:space="preserve">Ambrose, J. (2025) </w:t>
      </w:r>
      <w:r>
        <w:rPr>
          <w:i/>
          <w:iCs/>
        </w:rPr>
        <w:t>Shell investors in line for multibillion-dollar windfall despite weak profits</w:t>
      </w:r>
      <w:r>
        <w:t xml:space="preserve">. [online] The Guardian. Available at: </w:t>
      </w:r>
      <w:hyperlink r:id="rId10" w:history="1">
        <w:r w:rsidRPr="00216364">
          <w:rPr>
            <w:rStyle w:val="Hyperlink"/>
          </w:rPr>
          <w:t>https://www.theguardian.com/business/2025/jan/30/shell-investors-in-line-for-multibillion-dollar-windfall-despite-weak-profits</w:t>
        </w:r>
      </w:hyperlink>
      <w:r>
        <w:t xml:space="preserve">  [Accessed 6 Mar. 2026].</w:t>
      </w:r>
    </w:p>
    <w:p w14:paraId="244C3973" w14:textId="77777777" w:rsidR="008D2801" w:rsidRPr="008D2801" w:rsidRDefault="008D2801" w:rsidP="00175F6B">
      <w:pPr>
        <w:spacing w:before="120" w:after="120"/>
        <w:rPr>
          <w:rFonts w:eastAsia="Times New Roman" w:cs="Times New Roman"/>
          <w:kern w:val="0"/>
          <w:szCs w:val="24"/>
          <w:lang w:eastAsia="en-IN"/>
          <w14:ligatures w14:val="none"/>
        </w:rPr>
      </w:pPr>
      <w:proofErr w:type="spellStart"/>
      <w:r w:rsidRPr="008D2801">
        <w:rPr>
          <w:shd w:val="clear" w:color="auto" w:fill="FFFFFF"/>
        </w:rPr>
        <w:t>Atoum</w:t>
      </w:r>
      <w:proofErr w:type="spellEnd"/>
      <w:r w:rsidRPr="008D2801">
        <w:rPr>
          <w:shd w:val="clear" w:color="auto" w:fill="FFFFFF"/>
        </w:rPr>
        <w:t xml:space="preserve">, Y.A., </w:t>
      </w:r>
      <w:proofErr w:type="spellStart"/>
      <w:r w:rsidRPr="008D2801">
        <w:rPr>
          <w:shd w:val="clear" w:color="auto" w:fill="FFFFFF"/>
        </w:rPr>
        <w:t>Alrawashedh</w:t>
      </w:r>
      <w:proofErr w:type="spellEnd"/>
      <w:r w:rsidRPr="008D2801">
        <w:rPr>
          <w:shd w:val="clear" w:color="auto" w:fill="FFFFFF"/>
        </w:rPr>
        <w:t xml:space="preserve">, N., </w:t>
      </w:r>
      <w:proofErr w:type="spellStart"/>
      <w:r w:rsidRPr="008D2801">
        <w:rPr>
          <w:shd w:val="clear" w:color="auto" w:fill="FFFFFF"/>
        </w:rPr>
        <w:t>Almarashdah</w:t>
      </w:r>
      <w:proofErr w:type="spellEnd"/>
      <w:r w:rsidRPr="008D2801">
        <w:rPr>
          <w:shd w:val="clear" w:color="auto" w:fill="FFFFFF"/>
        </w:rPr>
        <w:t xml:space="preserve">, M., Harahsheh, A., </w:t>
      </w:r>
      <w:proofErr w:type="spellStart"/>
      <w:r w:rsidRPr="008D2801">
        <w:rPr>
          <w:shd w:val="clear" w:color="auto" w:fill="FFFFFF"/>
        </w:rPr>
        <w:t>Zraqat</w:t>
      </w:r>
      <w:proofErr w:type="spellEnd"/>
      <w:r w:rsidRPr="008D2801">
        <w:rPr>
          <w:shd w:val="clear" w:color="auto" w:fill="FFFFFF"/>
        </w:rPr>
        <w:t xml:space="preserve">, O., Hussien, L. and </w:t>
      </w:r>
      <w:proofErr w:type="spellStart"/>
      <w:r w:rsidRPr="008D2801">
        <w:rPr>
          <w:shd w:val="clear" w:color="auto" w:fill="FFFFFF"/>
        </w:rPr>
        <w:t>Alamad</w:t>
      </w:r>
      <w:proofErr w:type="spellEnd"/>
      <w:r w:rsidRPr="008D2801">
        <w:rPr>
          <w:shd w:val="clear" w:color="auto" w:fill="FFFFFF"/>
        </w:rPr>
        <w:t>, T. (2024) The impact of strategic leadership on strategic performance in higher education institutions: The mediating role of change management. </w:t>
      </w:r>
      <w:r w:rsidRPr="008D2801">
        <w:rPr>
          <w:i/>
          <w:iCs/>
          <w:shd w:val="clear" w:color="auto" w:fill="FFFFFF"/>
        </w:rPr>
        <w:t>Periodicals of Engineering and Natural Sciences</w:t>
      </w:r>
      <w:r w:rsidRPr="008D2801">
        <w:rPr>
          <w:shd w:val="clear" w:color="auto" w:fill="FFFFFF"/>
        </w:rPr>
        <w:t>, </w:t>
      </w:r>
      <w:r w:rsidRPr="008D2801">
        <w:rPr>
          <w:i/>
          <w:iCs/>
          <w:shd w:val="clear" w:color="auto" w:fill="FFFFFF"/>
        </w:rPr>
        <w:t>12</w:t>
      </w:r>
      <w:r w:rsidRPr="008D2801">
        <w:rPr>
          <w:shd w:val="clear" w:color="auto" w:fill="FFFFFF"/>
        </w:rPr>
        <w:t>(2), pp.315-330.</w:t>
      </w:r>
    </w:p>
    <w:p w14:paraId="1B44A83A" w14:textId="77777777" w:rsidR="008D2801" w:rsidRPr="008D2801" w:rsidRDefault="008D2801" w:rsidP="00175F6B">
      <w:pPr>
        <w:spacing w:before="120" w:after="120"/>
        <w:rPr>
          <w:rFonts w:cs="Times New Roman"/>
          <w:szCs w:val="24"/>
        </w:rPr>
      </w:pPr>
      <w:proofErr w:type="spellStart"/>
      <w:r w:rsidRPr="008D2801">
        <w:rPr>
          <w:rFonts w:cs="Times New Roman"/>
          <w:szCs w:val="24"/>
        </w:rPr>
        <w:t>Badullovich</w:t>
      </w:r>
      <w:proofErr w:type="spellEnd"/>
      <w:r w:rsidRPr="008D2801">
        <w:rPr>
          <w:rFonts w:cs="Times New Roman"/>
          <w:szCs w:val="24"/>
        </w:rPr>
        <w:t xml:space="preserve">, N., Tucker, D., Amoako, R., Ansah, P., Davis, B., </w:t>
      </w:r>
      <w:proofErr w:type="spellStart"/>
      <w:r w:rsidRPr="008D2801">
        <w:rPr>
          <w:rFonts w:cs="Times New Roman"/>
          <w:szCs w:val="24"/>
        </w:rPr>
        <w:t>Horoszko</w:t>
      </w:r>
      <w:proofErr w:type="spellEnd"/>
      <w:r w:rsidRPr="008D2801">
        <w:rPr>
          <w:rFonts w:cs="Times New Roman"/>
          <w:szCs w:val="24"/>
        </w:rPr>
        <w:t xml:space="preserve">, U., Zakiyyah, L. and Maibach, E. (2024) How does public perception of climate protest influence support for climate action? </w:t>
      </w:r>
      <w:proofErr w:type="spellStart"/>
      <w:r w:rsidRPr="008D2801">
        <w:rPr>
          <w:rFonts w:cs="Times New Roman"/>
          <w:i/>
          <w:iCs/>
          <w:szCs w:val="24"/>
        </w:rPr>
        <w:t>npj</w:t>
      </w:r>
      <w:proofErr w:type="spellEnd"/>
      <w:r w:rsidRPr="008D2801">
        <w:rPr>
          <w:rFonts w:cs="Times New Roman"/>
          <w:i/>
          <w:iCs/>
          <w:szCs w:val="24"/>
        </w:rPr>
        <w:t xml:space="preserve"> Climate Action</w:t>
      </w:r>
      <w:r w:rsidRPr="008D2801">
        <w:rPr>
          <w:rFonts w:cs="Times New Roman"/>
          <w:szCs w:val="24"/>
        </w:rPr>
        <w:t xml:space="preserve">, 3(1). </w:t>
      </w:r>
    </w:p>
    <w:p w14:paraId="33F67C6F" w14:textId="77777777" w:rsidR="008D2801" w:rsidRPr="008D2801" w:rsidRDefault="008D2801" w:rsidP="00175F6B">
      <w:pPr>
        <w:spacing w:before="120" w:after="120"/>
        <w:rPr>
          <w:rFonts w:eastAsia="Times New Roman" w:cs="Times New Roman"/>
          <w:kern w:val="0"/>
          <w:szCs w:val="24"/>
          <w:lang w:eastAsia="en-IN"/>
          <w14:ligatures w14:val="none"/>
        </w:rPr>
      </w:pPr>
      <w:proofErr w:type="spellStart"/>
      <w:r w:rsidRPr="008D2801">
        <w:rPr>
          <w:rFonts w:eastAsia="Times New Roman" w:cs="Times New Roman"/>
          <w:kern w:val="0"/>
          <w:szCs w:val="24"/>
          <w:lang w:eastAsia="en-IN"/>
          <w14:ligatures w14:val="none"/>
        </w:rPr>
        <w:t>Blondeel</w:t>
      </w:r>
      <w:proofErr w:type="spellEnd"/>
      <w:r w:rsidRPr="008D2801">
        <w:rPr>
          <w:rFonts w:eastAsia="Times New Roman" w:cs="Times New Roman"/>
          <w:kern w:val="0"/>
          <w:szCs w:val="24"/>
          <w:lang w:eastAsia="en-IN"/>
          <w14:ligatures w14:val="none"/>
        </w:rPr>
        <w:t xml:space="preserve">, M., Bradshaw, M.J., Bridge, G. and </w:t>
      </w:r>
      <w:proofErr w:type="spellStart"/>
      <w:r w:rsidRPr="008D2801">
        <w:rPr>
          <w:rFonts w:eastAsia="Times New Roman" w:cs="Times New Roman"/>
          <w:kern w:val="0"/>
          <w:szCs w:val="24"/>
          <w:lang w:eastAsia="en-IN"/>
          <w14:ligatures w14:val="none"/>
        </w:rPr>
        <w:t>Kuzemko</w:t>
      </w:r>
      <w:proofErr w:type="spellEnd"/>
      <w:r w:rsidRPr="008D2801">
        <w:rPr>
          <w:rFonts w:eastAsia="Times New Roman" w:cs="Times New Roman"/>
          <w:kern w:val="0"/>
          <w:szCs w:val="24"/>
          <w:lang w:eastAsia="en-IN"/>
          <w14:ligatures w14:val="none"/>
        </w:rPr>
        <w:t xml:space="preserve">, C. (2021) The geopolitics of energy system transformation: A review. </w:t>
      </w:r>
      <w:r w:rsidRPr="008D2801">
        <w:rPr>
          <w:rFonts w:eastAsia="Times New Roman" w:cs="Times New Roman"/>
          <w:i/>
          <w:iCs/>
          <w:kern w:val="0"/>
          <w:szCs w:val="24"/>
          <w:lang w:eastAsia="en-IN"/>
          <w14:ligatures w14:val="none"/>
        </w:rPr>
        <w:t>Geography Compass</w:t>
      </w:r>
      <w:r w:rsidRPr="008D2801">
        <w:rPr>
          <w:rFonts w:eastAsia="Times New Roman" w:cs="Times New Roman"/>
          <w:kern w:val="0"/>
          <w:szCs w:val="24"/>
          <w:lang w:eastAsia="en-IN"/>
          <w14:ligatures w14:val="none"/>
        </w:rPr>
        <w:t xml:space="preserve">, </w:t>
      </w:r>
      <w:r w:rsidRPr="008D2801">
        <w:rPr>
          <w:rFonts w:eastAsia="Times New Roman" w:cs="Times New Roman"/>
          <w:i/>
          <w:iCs/>
          <w:kern w:val="0"/>
          <w:szCs w:val="24"/>
          <w:lang w:eastAsia="en-IN"/>
          <w14:ligatures w14:val="none"/>
        </w:rPr>
        <w:t>15</w:t>
      </w:r>
      <w:r w:rsidRPr="008D2801">
        <w:rPr>
          <w:rFonts w:eastAsia="Times New Roman" w:cs="Times New Roman"/>
          <w:kern w:val="0"/>
          <w:szCs w:val="24"/>
          <w:lang w:eastAsia="en-IN"/>
          <w14:ligatures w14:val="none"/>
        </w:rPr>
        <w:t xml:space="preserve">(7). </w:t>
      </w:r>
    </w:p>
    <w:p w14:paraId="12106D1E" w14:textId="77777777" w:rsidR="008D2801" w:rsidRPr="008D2801" w:rsidRDefault="008D2801" w:rsidP="00175F6B">
      <w:pPr>
        <w:spacing w:before="120" w:after="120"/>
        <w:rPr>
          <w:rFonts w:cs="Times New Roman"/>
          <w:szCs w:val="24"/>
        </w:rPr>
      </w:pPr>
      <w:r w:rsidRPr="008D2801">
        <w:rPr>
          <w:rFonts w:cs="Times New Roman"/>
          <w:szCs w:val="24"/>
        </w:rPr>
        <w:t xml:space="preserve">Bousso, R. (2024) </w:t>
      </w:r>
      <w:r w:rsidRPr="008D2801">
        <w:rPr>
          <w:rFonts w:cs="Times New Roman"/>
          <w:i/>
          <w:iCs/>
          <w:szCs w:val="24"/>
        </w:rPr>
        <w:t>Shell’s LNG trading makes $2.4 billion in final 2023 quarter, sources say</w:t>
      </w:r>
      <w:r w:rsidRPr="008D2801">
        <w:rPr>
          <w:rFonts w:cs="Times New Roman"/>
          <w:szCs w:val="24"/>
        </w:rPr>
        <w:t xml:space="preserve">. [online] Reuters. Available at: </w:t>
      </w:r>
      <w:hyperlink r:id="rId11" w:history="1">
        <w:r w:rsidRPr="008D2801">
          <w:rPr>
            <w:rStyle w:val="Hyperlink"/>
            <w:rFonts w:cs="Times New Roman"/>
            <w:szCs w:val="24"/>
          </w:rPr>
          <w:t>https://www.reuters.com/business/energy/shells-lng-trading-makes-24-bln-final-2023-quarter-sources-say-2024-02-23/</w:t>
        </w:r>
      </w:hyperlink>
      <w:r w:rsidRPr="008D2801">
        <w:rPr>
          <w:rFonts w:cs="Times New Roman"/>
          <w:szCs w:val="24"/>
        </w:rPr>
        <w:t xml:space="preserve"> [Accessed 6 Mar. 2026].</w:t>
      </w:r>
    </w:p>
    <w:p w14:paraId="1B36D39E" w14:textId="77777777" w:rsidR="008D2801" w:rsidRDefault="008D2801" w:rsidP="00175F6B">
      <w:pPr>
        <w:pStyle w:val="NormalWeb"/>
        <w:spacing w:before="120" w:beforeAutospacing="0" w:after="120" w:afterAutospacing="0" w:line="360" w:lineRule="auto"/>
        <w:jc w:val="both"/>
      </w:pPr>
      <w:proofErr w:type="spellStart"/>
      <w:r>
        <w:t>Cavcic</w:t>
      </w:r>
      <w:proofErr w:type="spellEnd"/>
      <w:r>
        <w:t xml:space="preserve">, M. (2025) </w:t>
      </w:r>
      <w:r>
        <w:rPr>
          <w:i/>
          <w:iCs/>
        </w:rPr>
        <w:t>Shell presents gas &amp; LNG as safe bets but keeps low carbon and renewable tools in play</w:t>
      </w:r>
      <w:r>
        <w:t xml:space="preserve">. [online] Offshore Energy. Available at: </w:t>
      </w:r>
      <w:hyperlink r:id="rId12" w:history="1">
        <w:r w:rsidRPr="00216364">
          <w:rPr>
            <w:rStyle w:val="Hyperlink"/>
          </w:rPr>
          <w:t>https://www.offshore-energy.biz/shell-presents-gas-lng-as-safe-bets-but-keeps-low-carbon-and-renewable-tools-in-play/</w:t>
        </w:r>
      </w:hyperlink>
      <w:r>
        <w:t xml:space="preserve"> [Accessed 6 Mar. 2026].</w:t>
      </w:r>
    </w:p>
    <w:p w14:paraId="21612553"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t xml:space="preserve">CFI Team (2022). </w:t>
      </w:r>
      <w:r w:rsidRPr="008D2801">
        <w:rPr>
          <w:rFonts w:eastAsia="Times New Roman" w:cs="Times New Roman"/>
          <w:i/>
          <w:iCs/>
          <w:kern w:val="0"/>
          <w:szCs w:val="24"/>
          <w:lang w:eastAsia="en-IN"/>
          <w14:ligatures w14:val="none"/>
        </w:rPr>
        <w:t>Balanced Scorecard</w:t>
      </w:r>
      <w:r w:rsidRPr="008D2801">
        <w:rPr>
          <w:rFonts w:eastAsia="Times New Roman" w:cs="Times New Roman"/>
          <w:kern w:val="0"/>
          <w:szCs w:val="24"/>
          <w:lang w:eastAsia="en-IN"/>
          <w14:ligatures w14:val="none"/>
        </w:rPr>
        <w:t xml:space="preserve">. [online] Corporate Finance Institute. Available at: </w:t>
      </w:r>
      <w:hyperlink r:id="rId13" w:history="1">
        <w:r w:rsidRPr="008D2801">
          <w:rPr>
            <w:rStyle w:val="Hyperlink"/>
            <w:rFonts w:eastAsia="Times New Roman" w:cs="Times New Roman"/>
            <w:kern w:val="0"/>
            <w:szCs w:val="24"/>
            <w:lang w:eastAsia="en-IN"/>
            <w14:ligatures w14:val="none"/>
          </w:rPr>
          <w:t>https://corporatefinanceinstitute.com/resources/management/balanced-scorecard/</w:t>
        </w:r>
      </w:hyperlink>
      <w:r w:rsidRPr="008D2801">
        <w:rPr>
          <w:rFonts w:eastAsia="Times New Roman" w:cs="Times New Roman"/>
          <w:kern w:val="0"/>
          <w:szCs w:val="24"/>
          <w:lang w:eastAsia="en-IN"/>
          <w14:ligatures w14:val="none"/>
        </w:rPr>
        <w:t xml:space="preserve"> [Accessed 6 Mar. 2026].</w:t>
      </w:r>
    </w:p>
    <w:p w14:paraId="26E19B39" w14:textId="77777777" w:rsidR="008D2801" w:rsidRDefault="008D2801" w:rsidP="00175F6B">
      <w:pPr>
        <w:pStyle w:val="NormalWeb"/>
        <w:spacing w:before="120" w:beforeAutospacing="0" w:after="120" w:afterAutospacing="0" w:line="360" w:lineRule="auto"/>
        <w:jc w:val="both"/>
      </w:pPr>
      <w:r>
        <w:t xml:space="preserve">Companies Market Cap (2025). </w:t>
      </w:r>
      <w:r>
        <w:rPr>
          <w:i/>
          <w:iCs/>
        </w:rPr>
        <w:t>Shell (SHEL) - Revenue</w:t>
      </w:r>
      <w:r>
        <w:t xml:space="preserve">. [online] companiesmarketcap.com. Available at: </w:t>
      </w:r>
      <w:hyperlink r:id="rId14" w:history="1">
        <w:r w:rsidRPr="00216364">
          <w:rPr>
            <w:rStyle w:val="Hyperlink"/>
          </w:rPr>
          <w:t>https://companiesmarketcap.com/shell/revenue/</w:t>
        </w:r>
      </w:hyperlink>
      <w:r>
        <w:t xml:space="preserve"> [Accessed 6 Mar. 2026].</w:t>
      </w:r>
    </w:p>
    <w:p w14:paraId="380CAAC8" w14:textId="77777777" w:rsidR="008D2801" w:rsidRPr="008D2801" w:rsidRDefault="008D2801" w:rsidP="00175F6B">
      <w:pPr>
        <w:spacing w:before="120" w:after="120"/>
        <w:rPr>
          <w:rFonts w:cs="Times New Roman"/>
          <w:szCs w:val="24"/>
        </w:rPr>
      </w:pPr>
      <w:r w:rsidRPr="008D2801">
        <w:rPr>
          <w:rFonts w:cs="Times New Roman"/>
          <w:szCs w:val="24"/>
        </w:rPr>
        <w:t xml:space="preserve">EIA (2024) </w:t>
      </w:r>
      <w:r w:rsidRPr="008D2801">
        <w:rPr>
          <w:rFonts w:cs="Times New Roman"/>
          <w:i/>
          <w:iCs/>
          <w:szCs w:val="24"/>
        </w:rPr>
        <w:t>Brent crude oil prices averaged $19 per barrel less in 2023 than 2022 - U.S. Energy Information Administration (EIA)</w:t>
      </w:r>
      <w:r w:rsidRPr="008D2801">
        <w:rPr>
          <w:rFonts w:cs="Times New Roman"/>
          <w:szCs w:val="24"/>
        </w:rPr>
        <w:t xml:space="preserve">. [online] www.eia.gov. Available at: </w:t>
      </w:r>
      <w:hyperlink r:id="rId15" w:history="1">
        <w:r w:rsidRPr="008D2801">
          <w:rPr>
            <w:rStyle w:val="Hyperlink"/>
            <w:rFonts w:cs="Times New Roman"/>
            <w:szCs w:val="24"/>
          </w:rPr>
          <w:t>https://www.eia.gov/todayinenergy/detail.php?id=61142</w:t>
        </w:r>
      </w:hyperlink>
      <w:r w:rsidRPr="008D2801">
        <w:rPr>
          <w:rFonts w:cs="Times New Roman"/>
          <w:szCs w:val="24"/>
        </w:rPr>
        <w:t xml:space="preserve"> [Accessed 6 Mar. 2026].</w:t>
      </w:r>
    </w:p>
    <w:p w14:paraId="590082A9" w14:textId="77777777" w:rsidR="008D2801" w:rsidRPr="008D2801" w:rsidRDefault="008D2801" w:rsidP="00175F6B">
      <w:pPr>
        <w:spacing w:before="120" w:after="120"/>
        <w:rPr>
          <w:rFonts w:cs="Times New Roman"/>
          <w:szCs w:val="24"/>
        </w:rPr>
      </w:pPr>
      <w:r w:rsidRPr="008D2801">
        <w:rPr>
          <w:rFonts w:cs="Times New Roman"/>
          <w:szCs w:val="24"/>
        </w:rPr>
        <w:lastRenderedPageBreak/>
        <w:t xml:space="preserve">Enache, C. (2024) </w:t>
      </w:r>
      <w:r w:rsidRPr="008D2801">
        <w:rPr>
          <w:rFonts w:cs="Times New Roman"/>
          <w:i/>
          <w:iCs/>
          <w:szCs w:val="24"/>
        </w:rPr>
        <w:t>What European Countries Are Doing about Oil and Gas Windfall Profits Taxes</w:t>
      </w:r>
      <w:r w:rsidRPr="008D2801">
        <w:rPr>
          <w:rFonts w:cs="Times New Roman"/>
          <w:szCs w:val="24"/>
        </w:rPr>
        <w:t xml:space="preserve">. [online] Tax Foundation. Available at: </w:t>
      </w:r>
      <w:hyperlink r:id="rId16" w:history="1">
        <w:r w:rsidRPr="008D2801">
          <w:rPr>
            <w:rStyle w:val="Hyperlink"/>
            <w:rFonts w:cs="Times New Roman"/>
            <w:szCs w:val="24"/>
          </w:rPr>
          <w:t>https://taxfoundation.org/research/all/eu/eu-windfall-profits-taxes-oil-gas/</w:t>
        </w:r>
      </w:hyperlink>
      <w:r w:rsidRPr="008D2801">
        <w:rPr>
          <w:rFonts w:cs="Times New Roman"/>
          <w:szCs w:val="24"/>
        </w:rPr>
        <w:t xml:space="preserve"> [Accessed 6 Mar. 2026].</w:t>
      </w:r>
    </w:p>
    <w:p w14:paraId="03A17C98"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t xml:space="preserve">Eren, E. (2025) </w:t>
      </w:r>
      <w:r w:rsidRPr="008D2801">
        <w:rPr>
          <w:rFonts w:eastAsia="Times New Roman" w:cs="Times New Roman"/>
          <w:i/>
          <w:iCs/>
          <w:kern w:val="0"/>
          <w:szCs w:val="24"/>
          <w:lang w:eastAsia="en-IN"/>
          <w14:ligatures w14:val="none"/>
        </w:rPr>
        <w:t xml:space="preserve">Shell EV Charging Strategy 2025: A Shocking Pivot to Profit - </w:t>
      </w:r>
      <w:proofErr w:type="spellStart"/>
      <w:r w:rsidRPr="008D2801">
        <w:rPr>
          <w:rFonts w:eastAsia="Times New Roman" w:cs="Times New Roman"/>
          <w:i/>
          <w:iCs/>
          <w:kern w:val="0"/>
          <w:szCs w:val="24"/>
          <w:lang w:eastAsia="en-IN"/>
          <w14:ligatures w14:val="none"/>
        </w:rPr>
        <w:t>EnkiAI</w:t>
      </w:r>
      <w:proofErr w:type="spellEnd"/>
      <w:r w:rsidRPr="008D2801">
        <w:rPr>
          <w:rFonts w:eastAsia="Times New Roman" w:cs="Times New Roman"/>
          <w:kern w:val="0"/>
          <w:szCs w:val="24"/>
          <w:lang w:eastAsia="en-IN"/>
          <w14:ligatures w14:val="none"/>
        </w:rPr>
        <w:t xml:space="preserve">. [online] </w:t>
      </w:r>
      <w:proofErr w:type="spellStart"/>
      <w:r w:rsidRPr="008D2801">
        <w:rPr>
          <w:rFonts w:eastAsia="Times New Roman" w:cs="Times New Roman"/>
          <w:kern w:val="0"/>
          <w:szCs w:val="24"/>
          <w:lang w:eastAsia="en-IN"/>
          <w14:ligatures w14:val="none"/>
        </w:rPr>
        <w:t>EnkiAI</w:t>
      </w:r>
      <w:proofErr w:type="spellEnd"/>
      <w:r w:rsidRPr="008D2801">
        <w:rPr>
          <w:rFonts w:eastAsia="Times New Roman" w:cs="Times New Roman"/>
          <w:kern w:val="0"/>
          <w:szCs w:val="24"/>
          <w:lang w:eastAsia="en-IN"/>
          <w14:ligatures w14:val="none"/>
        </w:rPr>
        <w:t xml:space="preserve"> - Find the right insight. Available at: </w:t>
      </w:r>
      <w:hyperlink r:id="rId17" w:history="1">
        <w:r w:rsidRPr="008D2801">
          <w:rPr>
            <w:rStyle w:val="Hyperlink"/>
            <w:rFonts w:eastAsia="Times New Roman" w:cs="Times New Roman"/>
            <w:kern w:val="0"/>
            <w:szCs w:val="24"/>
            <w:lang w:eastAsia="en-IN"/>
            <w14:ligatures w14:val="none"/>
          </w:rPr>
          <w:t>https://enkiai.com/shell/shell-ev-charging-strategy-2025-a-shocking-pivot-to-profit</w:t>
        </w:r>
      </w:hyperlink>
      <w:r w:rsidRPr="008D2801">
        <w:rPr>
          <w:rFonts w:eastAsia="Times New Roman" w:cs="Times New Roman"/>
          <w:kern w:val="0"/>
          <w:szCs w:val="24"/>
          <w:lang w:eastAsia="en-IN"/>
          <w14:ligatures w14:val="none"/>
        </w:rPr>
        <w:t xml:space="preserve"> [Accessed 6 Mar. 2026].</w:t>
      </w:r>
    </w:p>
    <w:p w14:paraId="6535759C" w14:textId="77777777" w:rsidR="008D2801" w:rsidRDefault="008D2801" w:rsidP="00175F6B">
      <w:pPr>
        <w:pStyle w:val="NormalWeb"/>
        <w:spacing w:before="120" w:beforeAutospacing="0" w:after="120" w:afterAutospacing="0" w:line="360" w:lineRule="auto"/>
        <w:jc w:val="both"/>
      </w:pPr>
      <w:r>
        <w:t xml:space="preserve">Euronext (2025). </w:t>
      </w:r>
      <w:r>
        <w:rPr>
          <w:i/>
          <w:iCs/>
        </w:rPr>
        <w:t>Shell plc publishes fourth quarter 2024 press release</w:t>
      </w:r>
      <w:r>
        <w:t xml:space="preserve">. [online] Euronext.com. Available at: </w:t>
      </w:r>
      <w:hyperlink r:id="rId18" w:history="1">
        <w:r w:rsidRPr="00216364">
          <w:rPr>
            <w:rStyle w:val="Hyperlink"/>
          </w:rPr>
          <w:t>https://live.euronext.com/en/products/equities/company-news/2025-01-30-shell-plc-publishes-fourth-quarter-2024-press-release</w:t>
        </w:r>
      </w:hyperlink>
      <w:r>
        <w:t xml:space="preserve"> [Accessed 6 Mar. 2026].</w:t>
      </w:r>
    </w:p>
    <w:p w14:paraId="4EEDC9D2" w14:textId="77777777" w:rsidR="008D2801" w:rsidRPr="008D2801" w:rsidRDefault="008D2801" w:rsidP="00175F6B">
      <w:pPr>
        <w:spacing w:before="120" w:after="120"/>
        <w:rPr>
          <w:rFonts w:cs="Times New Roman"/>
          <w:szCs w:val="24"/>
        </w:rPr>
      </w:pPr>
      <w:r w:rsidRPr="008D2801">
        <w:rPr>
          <w:rFonts w:cs="Times New Roman"/>
          <w:szCs w:val="24"/>
        </w:rPr>
        <w:t xml:space="preserve">GOV.UK (2022) </w:t>
      </w:r>
      <w:r w:rsidRPr="008D2801">
        <w:rPr>
          <w:rFonts w:cs="Times New Roman"/>
          <w:i/>
          <w:iCs/>
          <w:szCs w:val="24"/>
        </w:rPr>
        <w:t>Energy (Oil and Gas) Profits Levy</w:t>
      </w:r>
      <w:r w:rsidRPr="008D2801">
        <w:rPr>
          <w:rFonts w:cs="Times New Roman"/>
          <w:szCs w:val="24"/>
        </w:rPr>
        <w:t xml:space="preserve">. [online] GOV.UK. Available at: </w:t>
      </w:r>
      <w:hyperlink r:id="rId19" w:history="1">
        <w:r w:rsidRPr="008D2801">
          <w:rPr>
            <w:rStyle w:val="Hyperlink"/>
            <w:rFonts w:cs="Times New Roman"/>
            <w:szCs w:val="24"/>
          </w:rPr>
          <w:t>https://www.gov.uk/government/publications/changes-to-the-energy-oil-and-gas-profits-levy/energy-oil-and-gas-profits-levy</w:t>
        </w:r>
      </w:hyperlink>
      <w:r w:rsidRPr="008D2801">
        <w:rPr>
          <w:rFonts w:cs="Times New Roman"/>
          <w:szCs w:val="24"/>
        </w:rPr>
        <w:t xml:space="preserve"> [Accessed 6 Mar. 2026].</w:t>
      </w:r>
    </w:p>
    <w:p w14:paraId="13646990" w14:textId="77777777" w:rsidR="008D2801" w:rsidRPr="008D2801" w:rsidRDefault="008D2801" w:rsidP="00175F6B">
      <w:pPr>
        <w:spacing w:before="120" w:after="120"/>
        <w:rPr>
          <w:shd w:val="clear" w:color="auto" w:fill="FFFFFF"/>
        </w:rPr>
      </w:pPr>
      <w:r w:rsidRPr="008D2801">
        <w:rPr>
          <w:shd w:val="clear" w:color="auto" w:fill="FFFFFF"/>
        </w:rPr>
        <w:t xml:space="preserve">Halttunen, K., Slade, R. and </w:t>
      </w:r>
      <w:proofErr w:type="spellStart"/>
      <w:r w:rsidRPr="008D2801">
        <w:rPr>
          <w:shd w:val="clear" w:color="auto" w:fill="FFFFFF"/>
        </w:rPr>
        <w:t>Staffell</w:t>
      </w:r>
      <w:proofErr w:type="spellEnd"/>
      <w:r w:rsidRPr="008D2801">
        <w:rPr>
          <w:shd w:val="clear" w:color="auto" w:fill="FFFFFF"/>
        </w:rPr>
        <w:t>, I. (2023) Diversify or die: Strategy options for oil majors in the sustainable energy transition. </w:t>
      </w:r>
      <w:r w:rsidRPr="008D2801">
        <w:rPr>
          <w:i/>
          <w:iCs/>
          <w:shd w:val="clear" w:color="auto" w:fill="FFFFFF"/>
        </w:rPr>
        <w:t>Energy Research &amp; Social Science</w:t>
      </w:r>
      <w:r w:rsidRPr="008D2801">
        <w:rPr>
          <w:shd w:val="clear" w:color="auto" w:fill="FFFFFF"/>
        </w:rPr>
        <w:t>, </w:t>
      </w:r>
      <w:r w:rsidRPr="008D2801">
        <w:rPr>
          <w:i/>
          <w:iCs/>
          <w:shd w:val="clear" w:color="auto" w:fill="FFFFFF"/>
        </w:rPr>
        <w:t>104</w:t>
      </w:r>
      <w:r w:rsidRPr="008D2801">
        <w:rPr>
          <w:shd w:val="clear" w:color="auto" w:fill="FFFFFF"/>
        </w:rPr>
        <w:t>, p.103253.</w:t>
      </w:r>
    </w:p>
    <w:p w14:paraId="0E327ED9" w14:textId="77777777" w:rsidR="008D2801" w:rsidRPr="008D2801" w:rsidRDefault="008D2801" w:rsidP="00175F6B">
      <w:pPr>
        <w:spacing w:before="120" w:after="120"/>
        <w:rPr>
          <w:shd w:val="clear" w:color="auto" w:fill="FFFFFF"/>
        </w:rPr>
      </w:pPr>
      <w:proofErr w:type="spellStart"/>
      <w:r w:rsidRPr="008D2801">
        <w:rPr>
          <w:shd w:val="clear" w:color="auto" w:fill="FFFFFF"/>
        </w:rPr>
        <w:t>Hitt</w:t>
      </w:r>
      <w:proofErr w:type="spellEnd"/>
      <w:r w:rsidRPr="008D2801">
        <w:rPr>
          <w:shd w:val="clear" w:color="auto" w:fill="FFFFFF"/>
        </w:rPr>
        <w:t xml:space="preserve">, M.A., </w:t>
      </w:r>
      <w:proofErr w:type="spellStart"/>
      <w:r w:rsidRPr="008D2801">
        <w:rPr>
          <w:shd w:val="clear" w:color="auto" w:fill="FFFFFF"/>
        </w:rPr>
        <w:t>Arregle</w:t>
      </w:r>
      <w:proofErr w:type="spellEnd"/>
      <w:r w:rsidRPr="008D2801">
        <w:rPr>
          <w:shd w:val="clear" w:color="auto" w:fill="FFFFFF"/>
        </w:rPr>
        <w:t>, J.L. and Holmes Jr, R.M. (2020) Strategic management theory in a post</w:t>
      </w:r>
      <w:r w:rsidRPr="008D2801">
        <w:rPr>
          <w:rFonts w:ascii="Cambria Math" w:hAnsi="Cambria Math" w:cs="Cambria Math"/>
          <w:shd w:val="clear" w:color="auto" w:fill="FFFFFF"/>
        </w:rPr>
        <w:t>‐</w:t>
      </w:r>
      <w:r w:rsidRPr="008D2801">
        <w:rPr>
          <w:shd w:val="clear" w:color="auto" w:fill="FFFFFF"/>
        </w:rPr>
        <w:t>pandemic and non</w:t>
      </w:r>
      <w:r w:rsidRPr="008D2801">
        <w:rPr>
          <w:rFonts w:ascii="Cambria Math" w:hAnsi="Cambria Math" w:cs="Cambria Math"/>
          <w:shd w:val="clear" w:color="auto" w:fill="FFFFFF"/>
        </w:rPr>
        <w:t>‐</w:t>
      </w:r>
      <w:r w:rsidRPr="008D2801">
        <w:rPr>
          <w:shd w:val="clear" w:color="auto" w:fill="FFFFFF"/>
        </w:rPr>
        <w:t>ergodic world. </w:t>
      </w:r>
      <w:r w:rsidRPr="008D2801">
        <w:rPr>
          <w:i/>
          <w:iCs/>
          <w:shd w:val="clear" w:color="auto" w:fill="FFFFFF"/>
        </w:rPr>
        <w:t>Journal of management studies</w:t>
      </w:r>
      <w:r w:rsidRPr="008D2801">
        <w:rPr>
          <w:shd w:val="clear" w:color="auto" w:fill="FFFFFF"/>
        </w:rPr>
        <w:t>, </w:t>
      </w:r>
      <w:r w:rsidRPr="008D2801">
        <w:rPr>
          <w:i/>
          <w:iCs/>
          <w:shd w:val="clear" w:color="auto" w:fill="FFFFFF"/>
        </w:rPr>
        <w:t>58</w:t>
      </w:r>
      <w:r w:rsidRPr="008D2801">
        <w:rPr>
          <w:shd w:val="clear" w:color="auto" w:fill="FFFFFF"/>
        </w:rPr>
        <w:t>(1), p.259.</w:t>
      </w:r>
    </w:p>
    <w:p w14:paraId="423913E3"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t xml:space="preserve">IEA (2023) </w:t>
      </w:r>
      <w:r w:rsidRPr="008D2801">
        <w:rPr>
          <w:rFonts w:eastAsia="Times New Roman" w:cs="Times New Roman"/>
          <w:i/>
          <w:iCs/>
          <w:kern w:val="0"/>
          <w:szCs w:val="24"/>
          <w:lang w:eastAsia="en-IN"/>
          <w14:ligatures w14:val="none"/>
        </w:rPr>
        <w:t>The Oil and Gas Industry in Net Zero Transitions – Analysis</w:t>
      </w:r>
      <w:r w:rsidRPr="008D2801">
        <w:rPr>
          <w:rFonts w:eastAsia="Times New Roman" w:cs="Times New Roman"/>
          <w:kern w:val="0"/>
          <w:szCs w:val="24"/>
          <w:lang w:eastAsia="en-IN"/>
          <w14:ligatures w14:val="none"/>
        </w:rPr>
        <w:t xml:space="preserve">. [online] IEA. Available at: </w:t>
      </w:r>
      <w:hyperlink r:id="rId20" w:history="1">
        <w:r w:rsidRPr="008D2801">
          <w:rPr>
            <w:rStyle w:val="Hyperlink"/>
            <w:rFonts w:eastAsia="Times New Roman" w:cs="Times New Roman"/>
            <w:kern w:val="0"/>
            <w:szCs w:val="24"/>
            <w:lang w:eastAsia="en-IN"/>
            <w14:ligatures w14:val="none"/>
          </w:rPr>
          <w:t>https://www.iea.org/reports/the-oil-and-gas-industry-in-net-zero-transitions</w:t>
        </w:r>
      </w:hyperlink>
      <w:r w:rsidRPr="008D2801">
        <w:rPr>
          <w:rFonts w:eastAsia="Times New Roman" w:cs="Times New Roman"/>
          <w:kern w:val="0"/>
          <w:szCs w:val="24"/>
          <w:lang w:eastAsia="en-IN"/>
          <w14:ligatures w14:val="none"/>
        </w:rPr>
        <w:t xml:space="preserve">  [Accessed 7 Mar. 2026].</w:t>
      </w:r>
    </w:p>
    <w:p w14:paraId="22BCC921" w14:textId="77777777" w:rsidR="008D2801" w:rsidRPr="008D2801" w:rsidRDefault="008D2801" w:rsidP="00175F6B">
      <w:pPr>
        <w:spacing w:before="120" w:after="120"/>
        <w:rPr>
          <w:rFonts w:cs="Times New Roman"/>
          <w:szCs w:val="24"/>
        </w:rPr>
      </w:pPr>
      <w:r w:rsidRPr="008D2801">
        <w:rPr>
          <w:rFonts w:cs="Times New Roman"/>
          <w:szCs w:val="24"/>
        </w:rPr>
        <w:t xml:space="preserve">IEA (2025) </w:t>
      </w:r>
      <w:r w:rsidRPr="008D2801">
        <w:rPr>
          <w:rFonts w:cs="Times New Roman"/>
          <w:i/>
          <w:iCs/>
          <w:szCs w:val="24"/>
        </w:rPr>
        <w:t>Electric vehicle charging – Global EV Outlook 2025 – Analysis - IEA</w:t>
      </w:r>
      <w:r w:rsidRPr="008D2801">
        <w:rPr>
          <w:rFonts w:cs="Times New Roman"/>
          <w:szCs w:val="24"/>
        </w:rPr>
        <w:t xml:space="preserve">. [online] IEA. Available at: </w:t>
      </w:r>
      <w:hyperlink r:id="rId21" w:history="1">
        <w:r w:rsidRPr="008D2801">
          <w:rPr>
            <w:rStyle w:val="Hyperlink"/>
            <w:rFonts w:cs="Times New Roman"/>
            <w:szCs w:val="24"/>
          </w:rPr>
          <w:t>https://www.iea.org/reports/global-ev-outlook-2025/electric-vehicle-charging</w:t>
        </w:r>
      </w:hyperlink>
      <w:r w:rsidRPr="008D2801">
        <w:rPr>
          <w:rFonts w:cs="Times New Roman"/>
          <w:szCs w:val="24"/>
        </w:rPr>
        <w:t xml:space="preserve"> [Accessed 6 Mar. 2026].</w:t>
      </w:r>
    </w:p>
    <w:p w14:paraId="3F7CAC6A" w14:textId="77777777" w:rsidR="008D2801" w:rsidRPr="008D2801" w:rsidRDefault="008D2801" w:rsidP="00175F6B">
      <w:pPr>
        <w:spacing w:before="120" w:after="120"/>
        <w:rPr>
          <w:rFonts w:cs="Times New Roman"/>
          <w:szCs w:val="24"/>
        </w:rPr>
      </w:pPr>
      <w:r w:rsidRPr="008D2801">
        <w:rPr>
          <w:rFonts w:cs="Times New Roman"/>
          <w:szCs w:val="24"/>
        </w:rPr>
        <w:t xml:space="preserve">IEEFA (2025) </w:t>
      </w:r>
      <w:r w:rsidRPr="008D2801">
        <w:rPr>
          <w:rFonts w:cs="Times New Roman"/>
          <w:i/>
          <w:iCs/>
          <w:szCs w:val="24"/>
        </w:rPr>
        <w:t>Asia’s falling LNG demand in 2025 defies investor optimism for rapid growth</w:t>
      </w:r>
      <w:r w:rsidRPr="008D2801">
        <w:rPr>
          <w:rFonts w:cs="Times New Roman"/>
          <w:szCs w:val="24"/>
        </w:rPr>
        <w:t xml:space="preserve">. [online] Ieefa.org. Available at: </w:t>
      </w:r>
      <w:hyperlink r:id="rId22" w:history="1">
        <w:r w:rsidRPr="008D2801">
          <w:rPr>
            <w:rStyle w:val="Hyperlink"/>
            <w:rFonts w:cs="Times New Roman"/>
            <w:szCs w:val="24"/>
          </w:rPr>
          <w:t>https://ieefa.org/resources/asias-falling-lng-demand-2025-defies-investor-optimism-rapid-growth</w:t>
        </w:r>
      </w:hyperlink>
      <w:r w:rsidRPr="008D2801">
        <w:rPr>
          <w:rFonts w:cs="Times New Roman"/>
          <w:szCs w:val="24"/>
        </w:rPr>
        <w:t xml:space="preserve"> [Accessed 6 Mar. 2026].</w:t>
      </w:r>
    </w:p>
    <w:p w14:paraId="2CEF258B" w14:textId="77777777" w:rsidR="008D2801" w:rsidRPr="008D2801" w:rsidRDefault="008D2801" w:rsidP="00175F6B">
      <w:pPr>
        <w:spacing w:before="120" w:after="120"/>
        <w:rPr>
          <w:rFonts w:cs="Times New Roman"/>
          <w:szCs w:val="24"/>
        </w:rPr>
      </w:pPr>
      <w:r w:rsidRPr="008D2801">
        <w:rPr>
          <w:rFonts w:cs="Times New Roman"/>
          <w:szCs w:val="24"/>
        </w:rPr>
        <w:t xml:space="preserve">IEEFA (2025) </w:t>
      </w:r>
      <w:r w:rsidRPr="008D2801">
        <w:rPr>
          <w:rFonts w:cs="Times New Roman"/>
          <w:i/>
          <w:iCs/>
          <w:szCs w:val="24"/>
        </w:rPr>
        <w:t>Shell’s rationale for rapid LNG demand growth looks increasingly fragile, despite higher forecasts</w:t>
      </w:r>
      <w:r w:rsidRPr="008D2801">
        <w:rPr>
          <w:rFonts w:cs="Times New Roman"/>
          <w:szCs w:val="24"/>
        </w:rPr>
        <w:t xml:space="preserve">. [online] Ieefa.org. Available at: </w:t>
      </w:r>
      <w:hyperlink r:id="rId23" w:history="1">
        <w:r w:rsidRPr="008D2801">
          <w:rPr>
            <w:rStyle w:val="Hyperlink"/>
            <w:rFonts w:cs="Times New Roman"/>
            <w:szCs w:val="24"/>
          </w:rPr>
          <w:t>https://ieefa.org/resources/shells-rationale-rapid-lng-demand-growth-looks-increasingly-fragile-despite-higher</w:t>
        </w:r>
      </w:hyperlink>
      <w:r w:rsidRPr="008D2801">
        <w:rPr>
          <w:rFonts w:cs="Times New Roman"/>
          <w:szCs w:val="24"/>
        </w:rPr>
        <w:t xml:space="preserve"> [Accessed 6 Mar. 2026].</w:t>
      </w:r>
    </w:p>
    <w:p w14:paraId="6D800076" w14:textId="77777777" w:rsidR="008D2801" w:rsidRPr="008D2801" w:rsidRDefault="008D2801" w:rsidP="00175F6B">
      <w:pPr>
        <w:spacing w:before="120" w:after="120"/>
        <w:rPr>
          <w:rFonts w:cs="Times New Roman"/>
          <w:szCs w:val="24"/>
        </w:rPr>
      </w:pPr>
      <w:proofErr w:type="spellStart"/>
      <w:r w:rsidRPr="008D2801">
        <w:rPr>
          <w:rFonts w:cs="Times New Roman"/>
          <w:szCs w:val="24"/>
        </w:rPr>
        <w:lastRenderedPageBreak/>
        <w:t>Khamisu</w:t>
      </w:r>
      <w:proofErr w:type="spellEnd"/>
      <w:r w:rsidRPr="008D2801">
        <w:rPr>
          <w:rFonts w:cs="Times New Roman"/>
          <w:szCs w:val="24"/>
        </w:rPr>
        <w:t xml:space="preserve">, M.S. and </w:t>
      </w:r>
      <w:proofErr w:type="spellStart"/>
      <w:r w:rsidRPr="008D2801">
        <w:rPr>
          <w:rFonts w:cs="Times New Roman"/>
          <w:szCs w:val="24"/>
        </w:rPr>
        <w:t>Paluri</w:t>
      </w:r>
      <w:proofErr w:type="spellEnd"/>
      <w:r w:rsidRPr="008D2801">
        <w:rPr>
          <w:rFonts w:cs="Times New Roman"/>
          <w:szCs w:val="24"/>
        </w:rPr>
        <w:t xml:space="preserve">, R.A. (2024) Emerging Trends of Environmental Social and Governance (ESG) Disclosure Research. </w:t>
      </w:r>
      <w:r w:rsidRPr="008D2801">
        <w:rPr>
          <w:rFonts w:cs="Times New Roman"/>
          <w:i/>
          <w:iCs/>
          <w:szCs w:val="24"/>
        </w:rPr>
        <w:t>Cleaner Production Letters</w:t>
      </w:r>
      <w:r w:rsidRPr="008D2801">
        <w:rPr>
          <w:rFonts w:cs="Times New Roman"/>
          <w:szCs w:val="24"/>
        </w:rPr>
        <w:t xml:space="preserve">, [online] 7, pp.100079–100079. </w:t>
      </w:r>
    </w:p>
    <w:p w14:paraId="629EAD32" w14:textId="77777777" w:rsidR="008D2801" w:rsidRPr="008D2801" w:rsidRDefault="008D2801" w:rsidP="00175F6B">
      <w:pPr>
        <w:spacing w:before="120" w:after="120"/>
        <w:rPr>
          <w:rFonts w:cs="Times New Roman"/>
          <w:szCs w:val="24"/>
        </w:rPr>
      </w:pPr>
      <w:r w:rsidRPr="008D2801">
        <w:rPr>
          <w:rFonts w:cs="Times New Roman"/>
          <w:szCs w:val="24"/>
        </w:rPr>
        <w:t xml:space="preserve">Kuik, O., Branger, F. and Quirion, P. (2019) Competitive advantage in the renewable energy industry: Evidence from a gravity model. </w:t>
      </w:r>
      <w:r w:rsidRPr="008D2801">
        <w:rPr>
          <w:rFonts w:cs="Times New Roman"/>
          <w:i/>
          <w:iCs/>
          <w:szCs w:val="24"/>
        </w:rPr>
        <w:t>Renewable Energy</w:t>
      </w:r>
      <w:r w:rsidRPr="008D2801">
        <w:rPr>
          <w:rFonts w:cs="Times New Roman"/>
          <w:szCs w:val="24"/>
        </w:rPr>
        <w:t xml:space="preserve">, [online] 131, pp.472–481. </w:t>
      </w:r>
    </w:p>
    <w:p w14:paraId="7C673A97" w14:textId="77777777" w:rsidR="008D2801" w:rsidRPr="008D2801" w:rsidRDefault="008D2801" w:rsidP="00175F6B">
      <w:pPr>
        <w:spacing w:before="120" w:after="120"/>
        <w:rPr>
          <w:rFonts w:cs="Times New Roman"/>
          <w:szCs w:val="24"/>
        </w:rPr>
      </w:pPr>
      <w:r w:rsidRPr="008D2801">
        <w:rPr>
          <w:rFonts w:cs="Times New Roman"/>
          <w:szCs w:val="24"/>
        </w:rPr>
        <w:t xml:space="preserve">Li, M., Trencher, G. and Asuka, J. (2022) The clean energy claims of BP, chevron, </w:t>
      </w:r>
      <w:proofErr w:type="spellStart"/>
      <w:r w:rsidRPr="008D2801">
        <w:rPr>
          <w:rFonts w:cs="Times New Roman"/>
          <w:szCs w:val="24"/>
        </w:rPr>
        <w:t>exxonmobil</w:t>
      </w:r>
      <w:proofErr w:type="spellEnd"/>
      <w:r w:rsidRPr="008D2801">
        <w:rPr>
          <w:rFonts w:cs="Times New Roman"/>
          <w:szCs w:val="24"/>
        </w:rPr>
        <w:t xml:space="preserve"> and shell: A mismatch between discourse, actions and investments. </w:t>
      </w:r>
      <w:r w:rsidRPr="008D2801">
        <w:rPr>
          <w:rFonts w:cs="Times New Roman"/>
          <w:i/>
          <w:iCs/>
          <w:szCs w:val="24"/>
        </w:rPr>
        <w:t>PLOS ONE</w:t>
      </w:r>
      <w:r w:rsidRPr="008D2801">
        <w:rPr>
          <w:rFonts w:cs="Times New Roman"/>
          <w:szCs w:val="24"/>
        </w:rPr>
        <w:t xml:space="preserve">, [online] 17(2). </w:t>
      </w:r>
    </w:p>
    <w:p w14:paraId="1F3FB47C"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t xml:space="preserve">London Stock Exchange (2026) </w:t>
      </w:r>
      <w:r w:rsidRPr="008D2801">
        <w:rPr>
          <w:rFonts w:eastAsia="Times New Roman" w:cs="Times New Roman"/>
          <w:i/>
          <w:iCs/>
          <w:kern w:val="0"/>
          <w:szCs w:val="24"/>
          <w:lang w:eastAsia="en-IN"/>
          <w14:ligatures w14:val="none"/>
        </w:rPr>
        <w:t>London Stock Exchange | London Stock Exchange</w:t>
      </w:r>
      <w:r w:rsidRPr="008D2801">
        <w:rPr>
          <w:rFonts w:eastAsia="Times New Roman" w:cs="Times New Roman"/>
          <w:kern w:val="0"/>
          <w:szCs w:val="24"/>
          <w:lang w:eastAsia="en-IN"/>
          <w14:ligatures w14:val="none"/>
        </w:rPr>
        <w:t xml:space="preserve">. [online] www.londonstockexchange.com. Available at: </w:t>
      </w:r>
      <w:hyperlink r:id="rId24" w:history="1">
        <w:r w:rsidRPr="008D2801">
          <w:rPr>
            <w:rStyle w:val="Hyperlink"/>
            <w:rFonts w:eastAsia="Times New Roman" w:cs="Times New Roman"/>
            <w:kern w:val="0"/>
            <w:szCs w:val="24"/>
            <w:lang w:eastAsia="en-IN"/>
            <w14:ligatures w14:val="none"/>
          </w:rPr>
          <w:t>https://www.londonstockexchange.com/news-article/SHEL/shell-publishes-energy-transition-strategy-2024/16377270</w:t>
        </w:r>
      </w:hyperlink>
      <w:r w:rsidRPr="008D2801">
        <w:rPr>
          <w:rFonts w:eastAsia="Times New Roman" w:cs="Times New Roman"/>
          <w:kern w:val="0"/>
          <w:szCs w:val="24"/>
          <w:lang w:eastAsia="en-IN"/>
          <w14:ligatures w14:val="none"/>
        </w:rPr>
        <w:t xml:space="preserve"> [Accessed 7 Mar. 2026].</w:t>
      </w:r>
    </w:p>
    <w:p w14:paraId="69FBB5D0" w14:textId="77777777" w:rsidR="008D2801" w:rsidRPr="008D2801" w:rsidRDefault="008D2801" w:rsidP="00175F6B">
      <w:pPr>
        <w:spacing w:before="120" w:after="120"/>
        <w:rPr>
          <w:rFonts w:cs="Times New Roman"/>
          <w:szCs w:val="24"/>
        </w:rPr>
      </w:pPr>
      <w:proofErr w:type="spellStart"/>
      <w:r w:rsidRPr="008D2801">
        <w:rPr>
          <w:rFonts w:cs="Times New Roman"/>
          <w:szCs w:val="24"/>
        </w:rPr>
        <w:t>Norways</w:t>
      </w:r>
      <w:proofErr w:type="spellEnd"/>
      <w:r w:rsidRPr="008D2801">
        <w:rPr>
          <w:rFonts w:cs="Times New Roman"/>
          <w:szCs w:val="24"/>
        </w:rPr>
        <w:t xml:space="preserve">, K. (2026) </w:t>
      </w:r>
      <w:r w:rsidRPr="008D2801">
        <w:rPr>
          <w:rFonts w:cs="Times New Roman"/>
          <w:i/>
          <w:iCs/>
          <w:szCs w:val="24"/>
        </w:rPr>
        <w:t>Shell promises spending cuts, oil and gas growth to tackle price weakness</w:t>
      </w:r>
      <w:r w:rsidRPr="008D2801">
        <w:rPr>
          <w:rFonts w:cs="Times New Roman"/>
          <w:szCs w:val="24"/>
        </w:rPr>
        <w:t xml:space="preserve">. [online] S&amp;P Global Energy. Available at: </w:t>
      </w:r>
      <w:hyperlink r:id="rId25" w:history="1">
        <w:r w:rsidRPr="008D2801">
          <w:rPr>
            <w:rStyle w:val="Hyperlink"/>
            <w:rFonts w:cs="Times New Roman"/>
            <w:szCs w:val="24"/>
          </w:rPr>
          <w:t>https://www.spglobal.com/energy/en/news-research/latest-news/crude-oil/020526-shell-lifts-oil-and-gas-output-in-q4-2025-despite-profit-miss</w:t>
        </w:r>
      </w:hyperlink>
      <w:r w:rsidRPr="008D2801">
        <w:rPr>
          <w:rFonts w:cs="Times New Roman"/>
          <w:szCs w:val="24"/>
        </w:rPr>
        <w:t xml:space="preserve"> [Accessed 6 Mar. 2026].</w:t>
      </w:r>
    </w:p>
    <w:p w14:paraId="787AD250" w14:textId="77777777" w:rsidR="008D2801" w:rsidRPr="008D2801" w:rsidRDefault="008D2801" w:rsidP="00175F6B">
      <w:pPr>
        <w:spacing w:before="120" w:after="120"/>
        <w:rPr>
          <w:rFonts w:cs="Times New Roman"/>
          <w:szCs w:val="24"/>
        </w:rPr>
      </w:pPr>
      <w:r w:rsidRPr="008D2801">
        <w:rPr>
          <w:rFonts w:cs="Times New Roman"/>
          <w:szCs w:val="24"/>
        </w:rPr>
        <w:t xml:space="preserve">OECD (2025) </w:t>
      </w:r>
      <w:r w:rsidRPr="008D2801">
        <w:rPr>
          <w:rFonts w:cs="Times New Roman"/>
          <w:i/>
          <w:iCs/>
          <w:szCs w:val="24"/>
        </w:rPr>
        <w:t>Carbon pricing mechanisms are evolving to meet a broader range of policy objectives</w:t>
      </w:r>
      <w:r w:rsidRPr="008D2801">
        <w:rPr>
          <w:rFonts w:cs="Times New Roman"/>
          <w:szCs w:val="24"/>
        </w:rPr>
        <w:t xml:space="preserve">. [online] Oecd.org. Available at: </w:t>
      </w:r>
      <w:hyperlink r:id="rId26" w:history="1">
        <w:r w:rsidRPr="008D2801">
          <w:rPr>
            <w:rStyle w:val="Hyperlink"/>
            <w:rFonts w:cs="Times New Roman"/>
            <w:szCs w:val="24"/>
          </w:rPr>
          <w:t>https://www.oecd.org/en/about/news/press-releases/2025/11/carbon-pricing-mechanisms-are-evolving-to-meet-a-broader-range-of-policy-objectives.html</w:t>
        </w:r>
      </w:hyperlink>
      <w:r w:rsidRPr="008D2801">
        <w:rPr>
          <w:rFonts w:cs="Times New Roman"/>
          <w:szCs w:val="24"/>
        </w:rPr>
        <w:t xml:space="preserve"> [Accessed 6 Mar. 2026].</w:t>
      </w:r>
    </w:p>
    <w:p w14:paraId="1AE33A88" w14:textId="77777777" w:rsidR="008D2801" w:rsidRPr="008D2801" w:rsidRDefault="008D2801" w:rsidP="00175F6B">
      <w:pPr>
        <w:spacing w:before="120" w:after="120"/>
        <w:rPr>
          <w:rFonts w:cs="Times New Roman"/>
          <w:szCs w:val="24"/>
        </w:rPr>
      </w:pPr>
      <w:proofErr w:type="spellStart"/>
      <w:r w:rsidRPr="008D2801">
        <w:rPr>
          <w:rFonts w:cs="Times New Roman"/>
          <w:szCs w:val="24"/>
        </w:rPr>
        <w:t>Onukwulu</w:t>
      </w:r>
      <w:proofErr w:type="spellEnd"/>
      <w:r w:rsidRPr="008D2801">
        <w:rPr>
          <w:rFonts w:cs="Times New Roman"/>
          <w:szCs w:val="24"/>
        </w:rPr>
        <w:t xml:space="preserve">, E.C., </w:t>
      </w:r>
      <w:proofErr w:type="spellStart"/>
      <w:r w:rsidRPr="008D2801">
        <w:rPr>
          <w:rFonts w:cs="Times New Roman"/>
          <w:szCs w:val="24"/>
        </w:rPr>
        <w:t>Fiemotongha</w:t>
      </w:r>
      <w:proofErr w:type="spellEnd"/>
      <w:r w:rsidRPr="008D2801">
        <w:rPr>
          <w:rFonts w:cs="Times New Roman"/>
          <w:szCs w:val="24"/>
        </w:rPr>
        <w:t xml:space="preserve">, J.E., Igwe, A.N. and </w:t>
      </w:r>
      <w:proofErr w:type="spellStart"/>
      <w:r w:rsidRPr="008D2801">
        <w:rPr>
          <w:rFonts w:cs="Times New Roman"/>
          <w:szCs w:val="24"/>
        </w:rPr>
        <w:t>Chikezie</w:t>
      </w:r>
      <w:proofErr w:type="spellEnd"/>
      <w:r w:rsidRPr="008D2801">
        <w:rPr>
          <w:rFonts w:cs="Times New Roman"/>
          <w:szCs w:val="24"/>
        </w:rPr>
        <w:t xml:space="preserve"> Paul-</w:t>
      </w:r>
      <w:proofErr w:type="spellStart"/>
      <w:r w:rsidRPr="008D2801">
        <w:rPr>
          <w:rFonts w:cs="Times New Roman"/>
          <w:szCs w:val="24"/>
        </w:rPr>
        <w:t>Mikki</w:t>
      </w:r>
      <w:proofErr w:type="spellEnd"/>
      <w:r w:rsidRPr="008D2801">
        <w:rPr>
          <w:rFonts w:cs="Times New Roman"/>
          <w:szCs w:val="24"/>
        </w:rPr>
        <w:t xml:space="preserve"> </w:t>
      </w:r>
      <w:proofErr w:type="spellStart"/>
      <w:r w:rsidRPr="008D2801">
        <w:rPr>
          <w:rFonts w:cs="Times New Roman"/>
          <w:szCs w:val="24"/>
        </w:rPr>
        <w:t>Ewim</w:t>
      </w:r>
      <w:proofErr w:type="spellEnd"/>
      <w:r w:rsidRPr="008D2801">
        <w:rPr>
          <w:rFonts w:cs="Times New Roman"/>
          <w:szCs w:val="24"/>
        </w:rPr>
        <w:t xml:space="preserve"> (2023) Transforming supply chain logistics in oil and gas: best practices for optimizing efficiency and reducing operational costs. [online] 2(2), pp.59–76. </w:t>
      </w:r>
    </w:p>
    <w:p w14:paraId="1A492370" w14:textId="77777777" w:rsidR="008D2801" w:rsidRPr="008D2801" w:rsidRDefault="008D2801" w:rsidP="00175F6B">
      <w:pPr>
        <w:spacing w:before="120" w:after="120"/>
        <w:rPr>
          <w:rFonts w:cs="Times New Roman"/>
          <w:szCs w:val="24"/>
        </w:rPr>
      </w:pPr>
      <w:r w:rsidRPr="008D2801">
        <w:rPr>
          <w:rFonts w:cs="Times New Roman"/>
          <w:szCs w:val="24"/>
        </w:rPr>
        <w:t xml:space="preserve">ORF (2026) </w:t>
      </w:r>
      <w:r w:rsidRPr="008D2801">
        <w:rPr>
          <w:rFonts w:cs="Times New Roman"/>
          <w:i/>
          <w:iCs/>
          <w:szCs w:val="24"/>
        </w:rPr>
        <w:t>Energy News Monitor | Volume XIX, Issue 5</w:t>
      </w:r>
      <w:r w:rsidRPr="008D2801">
        <w:rPr>
          <w:rFonts w:cs="Times New Roman"/>
          <w:szCs w:val="24"/>
        </w:rPr>
        <w:t>. [online] orfonline.org. Available at: https://www.orfonline.org/research/enm-volume-xix-issue-5 [Accessed 6 Mar. 2026].</w:t>
      </w:r>
    </w:p>
    <w:p w14:paraId="02E143BA" w14:textId="77777777" w:rsidR="008D2801" w:rsidRPr="008D2801" w:rsidRDefault="008D2801" w:rsidP="00175F6B">
      <w:pPr>
        <w:spacing w:before="120" w:after="120"/>
        <w:rPr>
          <w:shd w:val="clear" w:color="auto" w:fill="FFFFFF"/>
        </w:rPr>
      </w:pPr>
      <w:r w:rsidRPr="008D2801">
        <w:rPr>
          <w:shd w:val="clear" w:color="auto" w:fill="FFFFFF"/>
        </w:rPr>
        <w:t xml:space="preserve">Pangarkar, N. and </w:t>
      </w:r>
      <w:proofErr w:type="spellStart"/>
      <w:r w:rsidRPr="008D2801">
        <w:rPr>
          <w:shd w:val="clear" w:color="auto" w:fill="FFFFFF"/>
        </w:rPr>
        <w:t>Prabhudesai</w:t>
      </w:r>
      <w:proofErr w:type="spellEnd"/>
      <w:r w:rsidRPr="008D2801">
        <w:rPr>
          <w:shd w:val="clear" w:color="auto" w:fill="FFFFFF"/>
        </w:rPr>
        <w:t>, R. (2024) Using Porter's Five Forces analysis to drive strategy. </w:t>
      </w:r>
      <w:r w:rsidRPr="008D2801">
        <w:rPr>
          <w:i/>
          <w:iCs/>
          <w:shd w:val="clear" w:color="auto" w:fill="FFFFFF"/>
        </w:rPr>
        <w:t>Global Business and Organizational Excellence</w:t>
      </w:r>
      <w:r w:rsidRPr="008D2801">
        <w:rPr>
          <w:shd w:val="clear" w:color="auto" w:fill="FFFFFF"/>
        </w:rPr>
        <w:t>, </w:t>
      </w:r>
      <w:r w:rsidRPr="008D2801">
        <w:rPr>
          <w:i/>
          <w:iCs/>
          <w:shd w:val="clear" w:color="auto" w:fill="FFFFFF"/>
        </w:rPr>
        <w:t>43</w:t>
      </w:r>
      <w:r w:rsidRPr="008D2801">
        <w:rPr>
          <w:shd w:val="clear" w:color="auto" w:fill="FFFFFF"/>
        </w:rPr>
        <w:t>(5), pp.24-34.</w:t>
      </w:r>
    </w:p>
    <w:p w14:paraId="16EFE75A" w14:textId="77777777" w:rsidR="008D2801" w:rsidRPr="008D2801" w:rsidRDefault="008D2801" w:rsidP="00175F6B">
      <w:pPr>
        <w:spacing w:before="120" w:after="120"/>
        <w:rPr>
          <w:rFonts w:eastAsia="Times New Roman" w:cs="Times New Roman"/>
          <w:kern w:val="0"/>
          <w:szCs w:val="24"/>
          <w:lang w:eastAsia="en-IN"/>
          <w14:ligatures w14:val="none"/>
        </w:rPr>
      </w:pPr>
      <w:proofErr w:type="spellStart"/>
      <w:r w:rsidRPr="008D2801">
        <w:rPr>
          <w:rFonts w:eastAsia="Times New Roman" w:cs="Times New Roman"/>
          <w:kern w:val="0"/>
          <w:szCs w:val="24"/>
          <w:lang w:eastAsia="en-IN"/>
          <w14:ligatures w14:val="none"/>
        </w:rPr>
        <w:t>Quantive</w:t>
      </w:r>
      <w:proofErr w:type="spellEnd"/>
      <w:r w:rsidRPr="008D2801">
        <w:rPr>
          <w:rFonts w:eastAsia="Times New Roman" w:cs="Times New Roman"/>
          <w:kern w:val="0"/>
          <w:szCs w:val="24"/>
          <w:lang w:eastAsia="en-IN"/>
          <w14:ligatures w14:val="none"/>
        </w:rPr>
        <w:t xml:space="preserve"> (2024) </w:t>
      </w:r>
      <w:r w:rsidRPr="008D2801">
        <w:rPr>
          <w:rFonts w:eastAsia="Times New Roman" w:cs="Times New Roman"/>
          <w:i/>
          <w:iCs/>
          <w:kern w:val="0"/>
          <w:szCs w:val="24"/>
          <w:lang w:eastAsia="en-IN"/>
          <w14:ligatures w14:val="none"/>
        </w:rPr>
        <w:t xml:space="preserve">What Is </w:t>
      </w:r>
      <w:proofErr w:type="gramStart"/>
      <w:r w:rsidRPr="008D2801">
        <w:rPr>
          <w:rFonts w:eastAsia="Times New Roman" w:cs="Times New Roman"/>
          <w:i/>
          <w:iCs/>
          <w:kern w:val="0"/>
          <w:szCs w:val="24"/>
          <w:lang w:eastAsia="en-IN"/>
          <w14:ligatures w14:val="none"/>
        </w:rPr>
        <w:t>The</w:t>
      </w:r>
      <w:proofErr w:type="gramEnd"/>
      <w:r w:rsidRPr="008D2801">
        <w:rPr>
          <w:rFonts w:eastAsia="Times New Roman" w:cs="Times New Roman"/>
          <w:i/>
          <w:iCs/>
          <w:kern w:val="0"/>
          <w:szCs w:val="24"/>
          <w:lang w:eastAsia="en-IN"/>
          <w14:ligatures w14:val="none"/>
        </w:rPr>
        <w:t xml:space="preserve"> Ansoff Matrix: Definition, Steps &amp; Examples</w:t>
      </w:r>
      <w:r w:rsidRPr="008D2801">
        <w:rPr>
          <w:rFonts w:eastAsia="Times New Roman" w:cs="Times New Roman"/>
          <w:kern w:val="0"/>
          <w:szCs w:val="24"/>
          <w:lang w:eastAsia="en-IN"/>
          <w14:ligatures w14:val="none"/>
        </w:rPr>
        <w:t xml:space="preserve">. [online] Quantive.com. Available at: </w:t>
      </w:r>
      <w:hyperlink r:id="rId27" w:history="1">
        <w:r w:rsidRPr="008D2801">
          <w:rPr>
            <w:rStyle w:val="Hyperlink"/>
            <w:rFonts w:eastAsia="Times New Roman" w:cs="Times New Roman"/>
            <w:kern w:val="0"/>
            <w:szCs w:val="24"/>
            <w:lang w:eastAsia="en-IN"/>
            <w14:ligatures w14:val="none"/>
          </w:rPr>
          <w:t>https://quantive.com/resources/articles/ansoff-matrix</w:t>
        </w:r>
      </w:hyperlink>
      <w:r w:rsidRPr="008D2801">
        <w:rPr>
          <w:rFonts w:eastAsia="Times New Roman" w:cs="Times New Roman"/>
          <w:kern w:val="0"/>
          <w:szCs w:val="24"/>
          <w:lang w:eastAsia="en-IN"/>
          <w14:ligatures w14:val="none"/>
        </w:rPr>
        <w:t xml:space="preserve"> [Accessed 7 Mar. 2026].</w:t>
      </w:r>
    </w:p>
    <w:p w14:paraId="0C8B24B1" w14:textId="77777777" w:rsidR="008D2801" w:rsidRPr="008D2801" w:rsidRDefault="008D2801" w:rsidP="00175F6B">
      <w:pPr>
        <w:spacing w:before="120" w:after="120"/>
        <w:rPr>
          <w:shd w:val="clear" w:color="auto" w:fill="FFFFFF"/>
        </w:rPr>
      </w:pPr>
      <w:r w:rsidRPr="008D2801">
        <w:rPr>
          <w:shd w:val="clear" w:color="auto" w:fill="FFFFFF"/>
        </w:rPr>
        <w:t>Sakhawat, H. and Kashif, M. (2025) The effectiveness of diversification as a corporate business strategy. </w:t>
      </w:r>
      <w:r w:rsidRPr="008D2801">
        <w:rPr>
          <w:i/>
          <w:iCs/>
          <w:shd w:val="clear" w:color="auto" w:fill="FFFFFF"/>
        </w:rPr>
        <w:t>Eye-The International Social Science Review</w:t>
      </w:r>
      <w:r w:rsidRPr="008D2801">
        <w:rPr>
          <w:shd w:val="clear" w:color="auto" w:fill="FFFFFF"/>
        </w:rPr>
        <w:t>, </w:t>
      </w:r>
      <w:r w:rsidRPr="008D2801">
        <w:rPr>
          <w:i/>
          <w:iCs/>
          <w:shd w:val="clear" w:color="auto" w:fill="FFFFFF"/>
        </w:rPr>
        <w:t>3</w:t>
      </w:r>
      <w:r w:rsidRPr="008D2801">
        <w:rPr>
          <w:shd w:val="clear" w:color="auto" w:fill="FFFFFF"/>
        </w:rPr>
        <w:t>(2), pp.1-10.</w:t>
      </w:r>
    </w:p>
    <w:p w14:paraId="510B5F3C"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lastRenderedPageBreak/>
        <w:t xml:space="preserve">Shell (2019) </w:t>
      </w:r>
      <w:r w:rsidRPr="008D2801">
        <w:rPr>
          <w:rFonts w:eastAsia="Times New Roman" w:cs="Times New Roman"/>
          <w:i/>
          <w:iCs/>
          <w:kern w:val="0"/>
          <w:szCs w:val="24"/>
          <w:lang w:eastAsia="en-IN"/>
          <w14:ligatures w14:val="none"/>
        </w:rPr>
        <w:t>Our strengths</w:t>
      </w:r>
      <w:r w:rsidRPr="008D2801">
        <w:rPr>
          <w:rFonts w:eastAsia="Times New Roman" w:cs="Times New Roman"/>
          <w:kern w:val="0"/>
          <w:szCs w:val="24"/>
          <w:lang w:eastAsia="en-IN"/>
          <w14:ligatures w14:val="none"/>
        </w:rPr>
        <w:t>. [online] Shell.com. Available at: https://www.shell.com/business-customers/chemicals/about-shell-chemicals/our-strengths.html [Accessed 7 Mar. 2026].</w:t>
      </w:r>
    </w:p>
    <w:p w14:paraId="3C515ED5"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t xml:space="preserve">Shell (2024) </w:t>
      </w:r>
      <w:r w:rsidRPr="008D2801">
        <w:rPr>
          <w:rFonts w:eastAsia="Times New Roman" w:cs="Times New Roman"/>
          <w:i/>
          <w:iCs/>
          <w:kern w:val="0"/>
          <w:szCs w:val="24"/>
          <w:lang w:eastAsia="en-IN"/>
          <w14:ligatures w14:val="none"/>
        </w:rPr>
        <w:t>Electric Vehicle Charging | Shell Global</w:t>
      </w:r>
      <w:r w:rsidRPr="008D2801">
        <w:rPr>
          <w:rFonts w:eastAsia="Times New Roman" w:cs="Times New Roman"/>
          <w:kern w:val="0"/>
          <w:szCs w:val="24"/>
          <w:lang w:eastAsia="en-IN"/>
          <w14:ligatures w14:val="none"/>
        </w:rPr>
        <w:t xml:space="preserve">. [online] www.shell.com. Available at: </w:t>
      </w:r>
      <w:hyperlink r:id="rId28" w:history="1">
        <w:r w:rsidRPr="008D2801">
          <w:rPr>
            <w:rStyle w:val="Hyperlink"/>
            <w:rFonts w:eastAsia="Times New Roman" w:cs="Times New Roman"/>
            <w:kern w:val="0"/>
            <w:szCs w:val="24"/>
            <w:lang w:eastAsia="en-IN"/>
            <w14:ligatures w14:val="none"/>
          </w:rPr>
          <w:t>https://www.shell.com/what-we-do/mobility/electric-vehicle-charging.html</w:t>
        </w:r>
      </w:hyperlink>
      <w:r w:rsidRPr="008D2801">
        <w:rPr>
          <w:rFonts w:eastAsia="Times New Roman" w:cs="Times New Roman"/>
          <w:kern w:val="0"/>
          <w:szCs w:val="24"/>
          <w:lang w:eastAsia="en-IN"/>
          <w14:ligatures w14:val="none"/>
        </w:rPr>
        <w:t xml:space="preserve"> [Accessed 6 Mar. 2026].</w:t>
      </w:r>
    </w:p>
    <w:p w14:paraId="18AFE9A6" w14:textId="77777777" w:rsidR="008D2801" w:rsidRDefault="008D2801" w:rsidP="00175F6B">
      <w:pPr>
        <w:pStyle w:val="NormalWeb"/>
        <w:spacing w:before="120" w:beforeAutospacing="0" w:after="120" w:afterAutospacing="0" w:line="360" w:lineRule="auto"/>
        <w:jc w:val="both"/>
      </w:pPr>
      <w:r>
        <w:t xml:space="preserve">Shell (2024) </w:t>
      </w:r>
      <w:r>
        <w:rPr>
          <w:i/>
          <w:iCs/>
        </w:rPr>
        <w:t>Renewable power | Shell Global</w:t>
      </w:r>
      <w:r>
        <w:t xml:space="preserve">. [online] www.shell.com. Available at: </w:t>
      </w:r>
      <w:hyperlink r:id="rId29" w:history="1">
        <w:r w:rsidRPr="00216364">
          <w:rPr>
            <w:rStyle w:val="Hyperlink"/>
          </w:rPr>
          <w:t>https://www.shell.com/what-we-do/renewable-power.html</w:t>
        </w:r>
      </w:hyperlink>
      <w:r>
        <w:t xml:space="preserve"> [Accessed 6 Mar. 2026].</w:t>
      </w:r>
    </w:p>
    <w:p w14:paraId="2FA337BC" w14:textId="77777777" w:rsidR="008D2801" w:rsidRPr="008D2801" w:rsidRDefault="008D2801" w:rsidP="00175F6B">
      <w:pPr>
        <w:spacing w:before="120" w:after="120"/>
        <w:rPr>
          <w:rFonts w:cs="Times New Roman"/>
          <w:szCs w:val="24"/>
        </w:rPr>
      </w:pPr>
      <w:r w:rsidRPr="008D2801">
        <w:rPr>
          <w:rFonts w:cs="Times New Roman"/>
          <w:szCs w:val="24"/>
        </w:rPr>
        <w:t xml:space="preserve">Shell (2024) </w:t>
      </w:r>
      <w:r w:rsidRPr="008D2801">
        <w:rPr>
          <w:rFonts w:cs="Times New Roman"/>
          <w:i/>
          <w:iCs/>
          <w:szCs w:val="24"/>
        </w:rPr>
        <w:t>Renewable power news releases | Shell Global</w:t>
      </w:r>
      <w:r w:rsidRPr="008D2801">
        <w:rPr>
          <w:rFonts w:cs="Times New Roman"/>
          <w:szCs w:val="24"/>
        </w:rPr>
        <w:t xml:space="preserve">. [online] www.shell.com. Available at: </w:t>
      </w:r>
      <w:hyperlink r:id="rId30" w:history="1">
        <w:r w:rsidRPr="008D2801">
          <w:rPr>
            <w:rStyle w:val="Hyperlink"/>
            <w:rFonts w:cs="Times New Roman"/>
            <w:szCs w:val="24"/>
          </w:rPr>
          <w:t>https://www.shell.com/what-we-do/renewable-power/renewable-power-news-releases.html</w:t>
        </w:r>
      </w:hyperlink>
      <w:r w:rsidRPr="008D2801">
        <w:rPr>
          <w:rFonts w:cs="Times New Roman"/>
          <w:szCs w:val="24"/>
        </w:rPr>
        <w:t xml:space="preserve"> [Accessed 6 Mar. 2026].</w:t>
      </w:r>
    </w:p>
    <w:p w14:paraId="239DE424" w14:textId="77777777" w:rsidR="008D2801" w:rsidRPr="008D2801" w:rsidRDefault="008D2801" w:rsidP="00175F6B">
      <w:pPr>
        <w:spacing w:before="120" w:after="120"/>
        <w:rPr>
          <w:rFonts w:cs="Times New Roman"/>
          <w:szCs w:val="24"/>
        </w:rPr>
      </w:pPr>
      <w:r w:rsidRPr="008D2801">
        <w:rPr>
          <w:rFonts w:cs="Times New Roman"/>
          <w:szCs w:val="24"/>
        </w:rPr>
        <w:t xml:space="preserve">Shell (2024) </w:t>
      </w:r>
      <w:r w:rsidRPr="008D2801">
        <w:rPr>
          <w:rFonts w:cs="Times New Roman"/>
          <w:i/>
          <w:iCs/>
          <w:szCs w:val="24"/>
        </w:rPr>
        <w:t>Shell at a glance | Shell Global</w:t>
      </w:r>
      <w:r w:rsidRPr="008D2801">
        <w:rPr>
          <w:rFonts w:cs="Times New Roman"/>
          <w:szCs w:val="24"/>
        </w:rPr>
        <w:t xml:space="preserve">. [online] www.shell.com. Available at: </w:t>
      </w:r>
      <w:hyperlink r:id="rId31" w:history="1">
        <w:r w:rsidRPr="008D2801">
          <w:rPr>
            <w:rStyle w:val="Hyperlink"/>
            <w:rFonts w:cs="Times New Roman"/>
            <w:szCs w:val="24"/>
          </w:rPr>
          <w:t>https://www.shell.com/who-we-are/shell-at-a-glance.html</w:t>
        </w:r>
      </w:hyperlink>
      <w:r w:rsidRPr="008D2801">
        <w:rPr>
          <w:rFonts w:cs="Times New Roman"/>
          <w:szCs w:val="24"/>
        </w:rPr>
        <w:t xml:space="preserve"> [Accessed 6 Mar. 2026].</w:t>
      </w:r>
    </w:p>
    <w:p w14:paraId="7B45FF6F"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t xml:space="preserve">Shell (2024) </w:t>
      </w:r>
      <w:r w:rsidRPr="008D2801">
        <w:rPr>
          <w:rFonts w:eastAsia="Times New Roman" w:cs="Times New Roman"/>
          <w:i/>
          <w:iCs/>
          <w:kern w:val="0"/>
          <w:szCs w:val="24"/>
          <w:lang w:eastAsia="en-IN"/>
          <w14:ligatures w14:val="none"/>
        </w:rPr>
        <w:t>Shell publishes Energy Transition Strategy 2024 | Shell Global</w:t>
      </w:r>
      <w:r w:rsidRPr="008D2801">
        <w:rPr>
          <w:rFonts w:eastAsia="Times New Roman" w:cs="Times New Roman"/>
          <w:kern w:val="0"/>
          <w:szCs w:val="24"/>
          <w:lang w:eastAsia="en-IN"/>
          <w14:ligatures w14:val="none"/>
        </w:rPr>
        <w:t xml:space="preserve">. [online] www.shell.com. Available at: </w:t>
      </w:r>
      <w:hyperlink r:id="rId32" w:history="1">
        <w:r w:rsidRPr="008D2801">
          <w:rPr>
            <w:rStyle w:val="Hyperlink"/>
            <w:rFonts w:eastAsia="Times New Roman" w:cs="Times New Roman"/>
            <w:kern w:val="0"/>
            <w:szCs w:val="24"/>
            <w:lang w:eastAsia="en-IN"/>
            <w14:ligatures w14:val="none"/>
          </w:rPr>
          <w:t>https://www.shell.com/news-and-insights/newsroom/news-and-media-releases/2024/shell-publishes-energy-transition-strategy-2024.html</w:t>
        </w:r>
      </w:hyperlink>
      <w:r w:rsidRPr="008D2801">
        <w:rPr>
          <w:rFonts w:eastAsia="Times New Roman" w:cs="Times New Roman"/>
          <w:kern w:val="0"/>
          <w:szCs w:val="24"/>
          <w:lang w:eastAsia="en-IN"/>
          <w14:ligatures w14:val="none"/>
        </w:rPr>
        <w:t xml:space="preserve"> [Accessed 6 Mar. 2026].</w:t>
      </w:r>
    </w:p>
    <w:p w14:paraId="476534AB" w14:textId="77777777" w:rsidR="008D2801" w:rsidRDefault="008D2801" w:rsidP="00175F6B">
      <w:pPr>
        <w:pStyle w:val="NormalWeb"/>
        <w:spacing w:before="120" w:beforeAutospacing="0" w:after="120" w:afterAutospacing="0" w:line="360" w:lineRule="auto"/>
        <w:jc w:val="both"/>
      </w:pPr>
      <w:r>
        <w:t xml:space="preserve">Shell (2025) </w:t>
      </w:r>
      <w:r>
        <w:rPr>
          <w:i/>
          <w:iCs/>
        </w:rPr>
        <w:t>Climate | Shell Global</w:t>
      </w:r>
      <w:r>
        <w:t xml:space="preserve">. [online] Shell.com. Available at: </w:t>
      </w:r>
      <w:hyperlink r:id="rId33" w:history="1">
        <w:r w:rsidRPr="00241CC8">
          <w:rPr>
            <w:rStyle w:val="Hyperlink"/>
          </w:rPr>
          <w:t>https://www.shell.com/sustainability/climate.html</w:t>
        </w:r>
      </w:hyperlink>
      <w:r>
        <w:t xml:space="preserve"> [Accessed 6 Mar. 2026].</w:t>
      </w:r>
    </w:p>
    <w:p w14:paraId="10A25AF7" w14:textId="77777777" w:rsidR="008D2801" w:rsidRPr="008D2801" w:rsidRDefault="008D2801" w:rsidP="00175F6B">
      <w:pPr>
        <w:spacing w:before="120" w:after="120"/>
        <w:rPr>
          <w:rFonts w:cs="Times New Roman"/>
          <w:szCs w:val="24"/>
        </w:rPr>
      </w:pPr>
      <w:r w:rsidRPr="008D2801">
        <w:rPr>
          <w:rFonts w:cs="Times New Roman"/>
          <w:szCs w:val="24"/>
        </w:rPr>
        <w:t xml:space="preserve">Shell (2025) </w:t>
      </w:r>
      <w:r w:rsidRPr="008D2801">
        <w:rPr>
          <w:rFonts w:cs="Times New Roman"/>
          <w:i/>
          <w:iCs/>
          <w:szCs w:val="24"/>
        </w:rPr>
        <w:t>Our climate target - FAQs | Shell Global</w:t>
      </w:r>
      <w:r w:rsidRPr="008D2801">
        <w:rPr>
          <w:rFonts w:cs="Times New Roman"/>
          <w:szCs w:val="24"/>
        </w:rPr>
        <w:t xml:space="preserve">. [online] Shell.com. Available at: </w:t>
      </w:r>
      <w:hyperlink r:id="rId34" w:history="1">
        <w:r w:rsidRPr="008D2801">
          <w:rPr>
            <w:rStyle w:val="Hyperlink"/>
            <w:rFonts w:cs="Times New Roman"/>
            <w:szCs w:val="24"/>
          </w:rPr>
          <w:t>https://www.shell.com/sustainability/climate/our-climate-target-faqs.html</w:t>
        </w:r>
      </w:hyperlink>
      <w:r w:rsidRPr="008D2801">
        <w:rPr>
          <w:rFonts w:cs="Times New Roman"/>
          <w:szCs w:val="24"/>
        </w:rPr>
        <w:t xml:space="preserve"> [Accessed 6 Mar. 2026].</w:t>
      </w:r>
    </w:p>
    <w:p w14:paraId="3F887D36" w14:textId="77777777" w:rsidR="008D2801" w:rsidRPr="008D2801" w:rsidRDefault="008D2801" w:rsidP="00175F6B">
      <w:pPr>
        <w:spacing w:before="120" w:after="120"/>
        <w:rPr>
          <w:rFonts w:cs="Times New Roman"/>
          <w:szCs w:val="24"/>
        </w:rPr>
      </w:pPr>
      <w:r w:rsidRPr="008D2801">
        <w:rPr>
          <w:rFonts w:cs="Times New Roman"/>
          <w:szCs w:val="24"/>
        </w:rPr>
        <w:t xml:space="preserve">Shell (2025) </w:t>
      </w:r>
      <w:r w:rsidRPr="008D2801">
        <w:rPr>
          <w:rFonts w:cs="Times New Roman"/>
          <w:i/>
          <w:iCs/>
          <w:szCs w:val="24"/>
        </w:rPr>
        <w:t>Our strategy | Shell Global</w:t>
      </w:r>
      <w:r w:rsidRPr="008D2801">
        <w:rPr>
          <w:rFonts w:cs="Times New Roman"/>
          <w:szCs w:val="24"/>
        </w:rPr>
        <w:t xml:space="preserve">. [online] Shell.com. Available at: </w:t>
      </w:r>
      <w:hyperlink r:id="rId35" w:history="1">
        <w:r w:rsidRPr="008D2801">
          <w:rPr>
            <w:rStyle w:val="Hyperlink"/>
            <w:rFonts w:cs="Times New Roman"/>
            <w:szCs w:val="24"/>
          </w:rPr>
          <w:t>https://www.shell.com/what-we-do/our-strategy.html</w:t>
        </w:r>
      </w:hyperlink>
      <w:r w:rsidRPr="008D2801">
        <w:rPr>
          <w:rFonts w:cs="Times New Roman"/>
          <w:szCs w:val="24"/>
        </w:rPr>
        <w:t xml:space="preserve"> [Accessed 6 Mar. 2026].</w:t>
      </w:r>
    </w:p>
    <w:p w14:paraId="72386565" w14:textId="77777777" w:rsidR="008D2801" w:rsidRPr="008D2801" w:rsidRDefault="008D2801" w:rsidP="00175F6B">
      <w:pPr>
        <w:spacing w:before="120" w:after="120"/>
        <w:rPr>
          <w:rFonts w:cs="Times New Roman"/>
          <w:szCs w:val="24"/>
        </w:rPr>
      </w:pPr>
      <w:r w:rsidRPr="008D2801">
        <w:rPr>
          <w:rFonts w:cs="Times New Roman"/>
          <w:szCs w:val="24"/>
        </w:rPr>
        <w:t xml:space="preserve">Shell (2025) </w:t>
      </w:r>
      <w:r w:rsidRPr="008D2801">
        <w:rPr>
          <w:rFonts w:cs="Times New Roman"/>
          <w:i/>
          <w:iCs/>
          <w:szCs w:val="24"/>
        </w:rPr>
        <w:t>Who we are | Shell Global</w:t>
      </w:r>
      <w:r w:rsidRPr="008D2801">
        <w:rPr>
          <w:rFonts w:cs="Times New Roman"/>
          <w:szCs w:val="24"/>
        </w:rPr>
        <w:t xml:space="preserve">. [online] Shell. Available at: </w:t>
      </w:r>
      <w:hyperlink r:id="rId36" w:history="1">
        <w:r w:rsidRPr="008D2801">
          <w:rPr>
            <w:rStyle w:val="Hyperlink"/>
            <w:rFonts w:cs="Times New Roman"/>
            <w:szCs w:val="24"/>
          </w:rPr>
          <w:t>https://www.shell.com/who-we-are.html</w:t>
        </w:r>
      </w:hyperlink>
      <w:r w:rsidRPr="008D2801">
        <w:rPr>
          <w:rFonts w:cs="Times New Roman"/>
          <w:szCs w:val="24"/>
        </w:rPr>
        <w:t xml:space="preserve"> [Accessed 6 Mar. 2026].</w:t>
      </w:r>
    </w:p>
    <w:p w14:paraId="7896B94B" w14:textId="2442928E" w:rsidR="008D2801" w:rsidRPr="008D2801" w:rsidRDefault="008D2801" w:rsidP="00175F6B">
      <w:pPr>
        <w:spacing w:before="120" w:after="120"/>
        <w:rPr>
          <w:rFonts w:cs="Times New Roman"/>
          <w:szCs w:val="24"/>
        </w:rPr>
      </w:pPr>
      <w:r w:rsidRPr="008D2801">
        <w:rPr>
          <w:rFonts w:cs="Times New Roman"/>
          <w:szCs w:val="24"/>
        </w:rPr>
        <w:t xml:space="preserve">Shell Energy India (2026) </w:t>
      </w:r>
      <w:r w:rsidRPr="008D2801">
        <w:rPr>
          <w:rFonts w:cs="Times New Roman"/>
          <w:i/>
          <w:iCs/>
          <w:szCs w:val="24"/>
        </w:rPr>
        <w:t>Natural Gas and LNG | Business</w:t>
      </w:r>
      <w:r w:rsidRPr="008D2801">
        <w:rPr>
          <w:rFonts w:cs="Times New Roman"/>
          <w:szCs w:val="24"/>
        </w:rPr>
        <w:t xml:space="preserve">. [online] Shell.in. Available at: </w:t>
      </w:r>
      <w:hyperlink r:id="rId37" w:history="1">
        <w:r w:rsidR="00175F6B" w:rsidRPr="00216364">
          <w:rPr>
            <w:rStyle w:val="Hyperlink"/>
            <w:rFonts w:cs="Times New Roman"/>
            <w:szCs w:val="24"/>
          </w:rPr>
          <w:t>https://www.shell.in/business/shell-energy-india/natural-gas-and-lng.html</w:t>
        </w:r>
      </w:hyperlink>
      <w:r w:rsidR="00175F6B">
        <w:rPr>
          <w:rFonts w:cs="Times New Roman"/>
          <w:szCs w:val="24"/>
        </w:rPr>
        <w:t xml:space="preserve"> </w:t>
      </w:r>
      <w:r w:rsidRPr="008D2801">
        <w:rPr>
          <w:rFonts w:cs="Times New Roman"/>
          <w:szCs w:val="24"/>
        </w:rPr>
        <w:t>[Accessed 6 Mar. 2026].</w:t>
      </w:r>
    </w:p>
    <w:p w14:paraId="494F57C6" w14:textId="77777777" w:rsidR="008D2801" w:rsidRPr="008D2801" w:rsidRDefault="008D2801" w:rsidP="00175F6B">
      <w:pPr>
        <w:spacing w:before="120" w:after="120"/>
        <w:rPr>
          <w:rFonts w:cs="Times New Roman"/>
          <w:szCs w:val="24"/>
        </w:rPr>
      </w:pPr>
      <w:r w:rsidRPr="008D2801">
        <w:rPr>
          <w:rFonts w:cs="Times New Roman"/>
          <w:szCs w:val="24"/>
        </w:rPr>
        <w:lastRenderedPageBreak/>
        <w:t xml:space="preserve">Shell Global (2024) </w:t>
      </w:r>
      <w:r w:rsidRPr="008D2801">
        <w:rPr>
          <w:rFonts w:cs="Times New Roman"/>
          <w:i/>
          <w:iCs/>
          <w:szCs w:val="24"/>
        </w:rPr>
        <w:t>Our company history | Shell Global</w:t>
      </w:r>
      <w:r w:rsidRPr="008D2801">
        <w:rPr>
          <w:rFonts w:cs="Times New Roman"/>
          <w:szCs w:val="24"/>
        </w:rPr>
        <w:t xml:space="preserve">. [online] www.shell.com. Available at: </w:t>
      </w:r>
      <w:hyperlink r:id="rId38" w:history="1">
        <w:r w:rsidRPr="008D2801">
          <w:rPr>
            <w:rStyle w:val="Hyperlink"/>
            <w:rFonts w:cs="Times New Roman"/>
            <w:szCs w:val="24"/>
          </w:rPr>
          <w:t>https://www.shell.com/who-we-are/our-history/our-company-history.html</w:t>
        </w:r>
      </w:hyperlink>
      <w:r w:rsidRPr="008D2801">
        <w:rPr>
          <w:rFonts w:cs="Times New Roman"/>
          <w:szCs w:val="24"/>
        </w:rPr>
        <w:t xml:space="preserve"> [Accessed 6 Mar. 2026].</w:t>
      </w:r>
    </w:p>
    <w:p w14:paraId="03E72591" w14:textId="77777777" w:rsidR="008D2801" w:rsidRDefault="008D2801" w:rsidP="00175F6B">
      <w:pPr>
        <w:pStyle w:val="NormalWeb"/>
        <w:spacing w:before="120" w:beforeAutospacing="0" w:after="120" w:afterAutospacing="0" w:line="360" w:lineRule="auto"/>
        <w:jc w:val="both"/>
      </w:pPr>
      <w:r>
        <w:t xml:space="preserve">Shell plc (2024) </w:t>
      </w:r>
      <w:r>
        <w:rPr>
          <w:i/>
          <w:iCs/>
        </w:rPr>
        <w:t>Annual Report and Accounts for the year 2024</w:t>
      </w:r>
      <w:r>
        <w:t xml:space="preserve">. [online] </w:t>
      </w:r>
      <w:r>
        <w:rPr>
          <w:i/>
          <w:iCs/>
        </w:rPr>
        <w:t>Shell.com</w:t>
      </w:r>
      <w:r>
        <w:t xml:space="preserve">, pp.1–481. Available at: </w:t>
      </w:r>
      <w:hyperlink r:id="rId39" w:history="1">
        <w:r w:rsidRPr="00216364">
          <w:rPr>
            <w:rStyle w:val="Hyperlink"/>
          </w:rPr>
          <w:t>https://www.shell.com/investors/results-and-reporting/annual-report/_jcr_content/root/main/section/promo/links/item0.stream/1752580693041/6c20b8111738b9a590ba145f0d1c4fa0e530dae0/shell-annual-report-2024.pdf</w:t>
        </w:r>
      </w:hyperlink>
      <w:r>
        <w:t xml:space="preserve"> [Accessed 6 Mar. 2026].</w:t>
      </w:r>
    </w:p>
    <w:p w14:paraId="5598EEF6"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t xml:space="preserve">The Strategy Institute (2024) </w:t>
      </w:r>
      <w:r w:rsidRPr="008D2801">
        <w:rPr>
          <w:rFonts w:eastAsia="Times New Roman" w:cs="Times New Roman"/>
          <w:i/>
          <w:iCs/>
          <w:kern w:val="0"/>
          <w:szCs w:val="24"/>
          <w:lang w:eastAsia="en-IN"/>
          <w14:ligatures w14:val="none"/>
        </w:rPr>
        <w:t>Porter’s five forces: The ultimate competitive strategy blueprint</w:t>
      </w:r>
      <w:r w:rsidRPr="008D2801">
        <w:rPr>
          <w:rFonts w:eastAsia="Times New Roman" w:cs="Times New Roman"/>
          <w:kern w:val="0"/>
          <w:szCs w:val="24"/>
          <w:lang w:eastAsia="en-IN"/>
          <w14:ligatures w14:val="none"/>
        </w:rPr>
        <w:t xml:space="preserve">. [online] www.thestrategyinstitute.org. Available at: </w:t>
      </w:r>
      <w:hyperlink r:id="rId40" w:history="1">
        <w:r w:rsidRPr="008D2801">
          <w:rPr>
            <w:rStyle w:val="Hyperlink"/>
            <w:rFonts w:eastAsia="Times New Roman" w:cs="Times New Roman"/>
            <w:kern w:val="0"/>
            <w:szCs w:val="24"/>
            <w:lang w:eastAsia="en-IN"/>
            <w14:ligatures w14:val="none"/>
          </w:rPr>
          <w:t>https://www.thestrategyinstitute.org/insights/porters-five-forces-the-ultimate-competitive-strategy-blueprint</w:t>
        </w:r>
      </w:hyperlink>
      <w:r w:rsidRPr="008D2801">
        <w:rPr>
          <w:rFonts w:eastAsia="Times New Roman" w:cs="Times New Roman"/>
          <w:kern w:val="0"/>
          <w:szCs w:val="24"/>
          <w:lang w:eastAsia="en-IN"/>
          <w14:ligatures w14:val="none"/>
        </w:rPr>
        <w:t xml:space="preserve"> [Accessed 6 Mar. 2026].</w:t>
      </w:r>
    </w:p>
    <w:p w14:paraId="6714318D"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t xml:space="preserve">Thomas, E. (2025) </w:t>
      </w:r>
      <w:r w:rsidRPr="008D2801">
        <w:rPr>
          <w:rFonts w:eastAsia="Times New Roman" w:cs="Times New Roman"/>
          <w:i/>
          <w:iCs/>
          <w:kern w:val="0"/>
          <w:szCs w:val="24"/>
          <w:lang w:eastAsia="en-IN"/>
          <w14:ligatures w14:val="none"/>
        </w:rPr>
        <w:t>Why Big Oil has its eye on APAC’s EV charging market</w:t>
      </w:r>
      <w:r w:rsidRPr="008D2801">
        <w:rPr>
          <w:rFonts w:eastAsia="Times New Roman" w:cs="Times New Roman"/>
          <w:kern w:val="0"/>
          <w:szCs w:val="24"/>
          <w:lang w:eastAsia="en-IN"/>
          <w14:ligatures w14:val="none"/>
        </w:rPr>
        <w:t xml:space="preserve">. [online] Power Technology. Available at: </w:t>
      </w:r>
      <w:hyperlink r:id="rId41" w:history="1">
        <w:r w:rsidRPr="008D2801">
          <w:rPr>
            <w:rStyle w:val="Hyperlink"/>
            <w:rFonts w:eastAsia="Times New Roman" w:cs="Times New Roman"/>
            <w:kern w:val="0"/>
            <w:szCs w:val="24"/>
            <w:lang w:eastAsia="en-IN"/>
            <w14:ligatures w14:val="none"/>
          </w:rPr>
          <w:t>https://www.power-technology.com/features/why-big-oil-has-its-eye-on-apacs-ev-charging-market/</w:t>
        </w:r>
      </w:hyperlink>
      <w:r w:rsidRPr="008D2801">
        <w:rPr>
          <w:rFonts w:eastAsia="Times New Roman" w:cs="Times New Roman"/>
          <w:kern w:val="0"/>
          <w:szCs w:val="24"/>
          <w:lang w:eastAsia="en-IN"/>
          <w14:ligatures w14:val="none"/>
        </w:rPr>
        <w:t xml:space="preserve"> [Accessed 7 Mar. 2026].</w:t>
      </w:r>
    </w:p>
    <w:p w14:paraId="0CBDD46E" w14:textId="77777777" w:rsidR="008D2801" w:rsidRPr="008D2801" w:rsidRDefault="008D2801" w:rsidP="00175F6B">
      <w:pPr>
        <w:spacing w:before="120" w:after="120"/>
        <w:rPr>
          <w:rFonts w:eastAsia="Times New Roman" w:cs="Times New Roman"/>
          <w:kern w:val="0"/>
          <w:szCs w:val="24"/>
          <w:lang w:eastAsia="en-IN"/>
          <w14:ligatures w14:val="none"/>
        </w:rPr>
      </w:pPr>
      <w:r w:rsidRPr="008D2801">
        <w:rPr>
          <w:rFonts w:eastAsia="Times New Roman" w:cs="Times New Roman"/>
          <w:kern w:val="0"/>
          <w:szCs w:val="24"/>
          <w:lang w:eastAsia="en-IN"/>
          <w14:ligatures w14:val="none"/>
        </w:rPr>
        <w:t xml:space="preserve">UN EPFI (2026) </w:t>
      </w:r>
      <w:r w:rsidRPr="008D2801">
        <w:rPr>
          <w:rFonts w:eastAsia="Times New Roman" w:cs="Times New Roman"/>
          <w:i/>
          <w:iCs/>
          <w:kern w:val="0"/>
          <w:szCs w:val="24"/>
          <w:lang w:eastAsia="en-IN"/>
          <w14:ligatures w14:val="none"/>
        </w:rPr>
        <w:t>Climate Risks in the Oil and Gas Sector – United Nations Environment – Finance Initiative</w:t>
      </w:r>
      <w:r w:rsidRPr="008D2801">
        <w:rPr>
          <w:rFonts w:eastAsia="Times New Roman" w:cs="Times New Roman"/>
          <w:kern w:val="0"/>
          <w:szCs w:val="24"/>
          <w:lang w:eastAsia="en-IN"/>
          <w14:ligatures w14:val="none"/>
        </w:rPr>
        <w:t xml:space="preserve">. [online] UN Environment Programme. Available at: </w:t>
      </w:r>
      <w:hyperlink r:id="rId42" w:history="1">
        <w:r w:rsidRPr="008D2801">
          <w:rPr>
            <w:rStyle w:val="Hyperlink"/>
            <w:rFonts w:eastAsia="Times New Roman" w:cs="Times New Roman"/>
            <w:kern w:val="0"/>
            <w:szCs w:val="24"/>
            <w:lang w:eastAsia="en-IN"/>
            <w14:ligatures w14:val="none"/>
          </w:rPr>
          <w:t>https://www.unepfi.org/themes/climate-change/climate-risks-in-the-oil-and-gas-sector/</w:t>
        </w:r>
      </w:hyperlink>
      <w:r w:rsidRPr="008D2801">
        <w:rPr>
          <w:rFonts w:eastAsia="Times New Roman" w:cs="Times New Roman"/>
          <w:kern w:val="0"/>
          <w:szCs w:val="24"/>
          <w:lang w:eastAsia="en-IN"/>
          <w14:ligatures w14:val="none"/>
        </w:rPr>
        <w:t xml:space="preserve">  [Accessed 7 Mar. 2026].</w:t>
      </w:r>
    </w:p>
    <w:p w14:paraId="698B2A25" w14:textId="77777777" w:rsidR="008D2801" w:rsidRPr="008D2801" w:rsidRDefault="008D2801" w:rsidP="00175F6B">
      <w:pPr>
        <w:spacing w:before="120" w:after="120"/>
        <w:rPr>
          <w:rFonts w:cs="Times New Roman"/>
          <w:szCs w:val="24"/>
        </w:rPr>
      </w:pPr>
      <w:r w:rsidRPr="008D2801">
        <w:rPr>
          <w:rFonts w:cs="Times New Roman"/>
          <w:szCs w:val="24"/>
        </w:rPr>
        <w:t xml:space="preserve">UWEC (2026) </w:t>
      </w:r>
      <w:r w:rsidRPr="008D2801">
        <w:rPr>
          <w:rFonts w:cs="Times New Roman"/>
          <w:i/>
          <w:iCs/>
          <w:szCs w:val="24"/>
        </w:rPr>
        <w:t>LNG dependency poses a risk to Europe’s climate ambitions – Ukraine War Environmental Consequences Work Group</w:t>
      </w:r>
      <w:r w:rsidRPr="008D2801">
        <w:rPr>
          <w:rFonts w:cs="Times New Roman"/>
          <w:szCs w:val="24"/>
        </w:rPr>
        <w:t>. [online] Ukraine War Environmental Consequences Work Group – Seeking solutions through information sharing about the environmental impacts of the war. UWEC Work Group. Available at: https://uwecworkgroup.info/lng-dependency-poses-a-risk-to-europes-climate-ambitions/ [Accessed 6 Mar. 2026].</w:t>
      </w:r>
    </w:p>
    <w:p w14:paraId="1ADCB166" w14:textId="77777777" w:rsidR="008D2801" w:rsidRPr="008D2801" w:rsidRDefault="008D2801" w:rsidP="00175F6B">
      <w:pPr>
        <w:spacing w:before="120" w:after="120"/>
        <w:rPr>
          <w:rFonts w:cs="Times New Roman"/>
          <w:szCs w:val="24"/>
        </w:rPr>
      </w:pPr>
      <w:r w:rsidRPr="008D2801">
        <w:rPr>
          <w:rFonts w:cs="Times New Roman"/>
          <w:szCs w:val="24"/>
        </w:rPr>
        <w:t xml:space="preserve">Wang, J., Nie, S., Gao, Y., Zheng, P., Su, Z., Sun, J., Wang, D., Zhou, S. and Wu, J. (2025) Enhancing offshore oil and gas platform sustainability through wind-powered hydrogen production. </w:t>
      </w:r>
      <w:r w:rsidRPr="008D2801">
        <w:rPr>
          <w:rFonts w:cs="Times New Roman"/>
          <w:i/>
          <w:iCs/>
          <w:szCs w:val="24"/>
        </w:rPr>
        <w:t>Natural Gas Industry B</w:t>
      </w:r>
      <w:r w:rsidRPr="008D2801">
        <w:rPr>
          <w:rFonts w:cs="Times New Roman"/>
          <w:szCs w:val="24"/>
        </w:rPr>
        <w:t xml:space="preserve">, [online] 12(6), pp.734–749. </w:t>
      </w:r>
    </w:p>
    <w:p w14:paraId="11910910" w14:textId="5E33A600" w:rsidR="00BF0A56" w:rsidRDefault="008D2801" w:rsidP="007F05EF">
      <w:pPr>
        <w:pStyle w:val="NormalWeb"/>
        <w:spacing w:before="120" w:beforeAutospacing="0" w:after="120" w:afterAutospacing="0" w:line="360" w:lineRule="auto"/>
        <w:jc w:val="both"/>
      </w:pPr>
      <w:r>
        <w:t xml:space="preserve">West, R. and Fattouh, B. (2019) </w:t>
      </w:r>
      <w:r>
        <w:rPr>
          <w:i/>
          <w:iCs/>
        </w:rPr>
        <w:t>Energy Insight: 50 The Energy Transition and Oil Companies’ Hard Choices</w:t>
      </w:r>
      <w:r>
        <w:t xml:space="preserve">. [online] Available at: </w:t>
      </w:r>
      <w:hyperlink r:id="rId43" w:history="1">
        <w:r w:rsidRPr="00216364">
          <w:rPr>
            <w:rStyle w:val="Hyperlink"/>
          </w:rPr>
          <w:t>https://www.oxfordenergy.org/wpcms/wp-content/uploads/2019/07/The-Energy-Transition-and-Oil-Companies-Hard-Choices-Energy-Insight-51.pdf</w:t>
        </w:r>
      </w:hyperlink>
      <w:r>
        <w:t xml:space="preserve"> [Accessed 6 Mar. 2026].</w:t>
      </w:r>
    </w:p>
    <w:p w14:paraId="58993024" w14:textId="77777777" w:rsidR="00BF0A56" w:rsidRDefault="00BF0A56" w:rsidP="00175F6B">
      <w:pPr>
        <w:pStyle w:val="NormalWeb"/>
        <w:spacing w:before="120" w:beforeAutospacing="0" w:after="120" w:afterAutospacing="0" w:line="360" w:lineRule="auto"/>
      </w:pPr>
    </w:p>
    <w:p w14:paraId="423D7A36" w14:textId="77777777" w:rsidR="00802FF8" w:rsidRDefault="00802FF8" w:rsidP="00175F6B">
      <w:pPr>
        <w:pStyle w:val="NormalWeb"/>
        <w:spacing w:before="120" w:beforeAutospacing="0" w:after="120" w:afterAutospacing="0" w:line="360" w:lineRule="auto"/>
      </w:pPr>
    </w:p>
    <w:p w14:paraId="15E06102" w14:textId="77777777" w:rsidR="00756904" w:rsidRPr="00756904" w:rsidRDefault="00756904" w:rsidP="00175F6B">
      <w:pPr>
        <w:spacing w:before="120" w:after="120"/>
        <w:rPr>
          <w:lang w:val="en-US"/>
        </w:rPr>
      </w:pPr>
    </w:p>
    <w:sectPr w:rsidR="00756904" w:rsidRPr="00756904" w:rsidSect="00756904">
      <w:footerReference w:type="default" r:id="rId44"/>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FA38D" w14:textId="77777777" w:rsidR="005C7196" w:rsidRDefault="005C7196" w:rsidP="00A44E12">
      <w:pPr>
        <w:spacing w:after="0" w:line="240" w:lineRule="auto"/>
      </w:pPr>
      <w:r>
        <w:separator/>
      </w:r>
    </w:p>
  </w:endnote>
  <w:endnote w:type="continuationSeparator" w:id="0">
    <w:p w14:paraId="3A011F37" w14:textId="77777777" w:rsidR="005C7196" w:rsidRDefault="005C7196" w:rsidP="00A44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177527"/>
      <w:docPartObj>
        <w:docPartGallery w:val="Page Numbers (Bottom of Page)"/>
        <w:docPartUnique/>
      </w:docPartObj>
    </w:sdtPr>
    <w:sdtEndPr>
      <w:rPr>
        <w:noProof/>
      </w:rPr>
    </w:sdtEndPr>
    <w:sdtContent>
      <w:p w14:paraId="5AF97B72" w14:textId="7497C92F" w:rsidR="00996625" w:rsidRDefault="00996625">
        <w:pPr>
          <w:pStyle w:val="Footer"/>
          <w:jc w:val="right"/>
        </w:pPr>
        <w:r>
          <w:fldChar w:fldCharType="begin"/>
        </w:r>
        <w:r>
          <w:instrText xml:space="preserve"> PAGE   \* MERGEFORMAT </w:instrText>
        </w:r>
        <w:r>
          <w:fldChar w:fldCharType="separate"/>
        </w:r>
        <w:r w:rsidR="00113B3A">
          <w:rPr>
            <w:noProof/>
          </w:rPr>
          <w:t>21</w:t>
        </w:r>
        <w:r>
          <w:rPr>
            <w:noProof/>
          </w:rPr>
          <w:fldChar w:fldCharType="end"/>
        </w:r>
      </w:p>
    </w:sdtContent>
  </w:sdt>
  <w:p w14:paraId="0C0D22FC" w14:textId="77777777" w:rsidR="00996625" w:rsidRDefault="009966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80133" w14:textId="77777777" w:rsidR="005C7196" w:rsidRDefault="005C7196" w:rsidP="00A44E12">
      <w:pPr>
        <w:spacing w:after="0" w:line="240" w:lineRule="auto"/>
      </w:pPr>
      <w:r>
        <w:separator/>
      </w:r>
    </w:p>
  </w:footnote>
  <w:footnote w:type="continuationSeparator" w:id="0">
    <w:p w14:paraId="7C5158D0" w14:textId="77777777" w:rsidR="005C7196" w:rsidRDefault="005C7196" w:rsidP="00A44E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7A2E"/>
    <w:multiLevelType w:val="hybridMultilevel"/>
    <w:tmpl w:val="F66A07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2017390"/>
    <w:multiLevelType w:val="hybridMultilevel"/>
    <w:tmpl w:val="7A6E48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BC55AD2"/>
    <w:multiLevelType w:val="hybridMultilevel"/>
    <w:tmpl w:val="DE6EC3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cyMzExMDSwNDA3NDVX0lEKTi0uzszPAykwqQUA8MZYESwAAAA="/>
  </w:docVars>
  <w:rsids>
    <w:rsidRoot w:val="00756904"/>
    <w:rsid w:val="00022966"/>
    <w:rsid w:val="00030EDC"/>
    <w:rsid w:val="00041014"/>
    <w:rsid w:val="00041026"/>
    <w:rsid w:val="000445A6"/>
    <w:rsid w:val="0006012B"/>
    <w:rsid w:val="00076B33"/>
    <w:rsid w:val="000857BE"/>
    <w:rsid w:val="0009579D"/>
    <w:rsid w:val="000D1D3A"/>
    <w:rsid w:val="000E00CF"/>
    <w:rsid w:val="00112E6D"/>
    <w:rsid w:val="001136C2"/>
    <w:rsid w:val="00113B3A"/>
    <w:rsid w:val="00147AAB"/>
    <w:rsid w:val="001547AA"/>
    <w:rsid w:val="00156C37"/>
    <w:rsid w:val="001632C6"/>
    <w:rsid w:val="001712D9"/>
    <w:rsid w:val="001745FC"/>
    <w:rsid w:val="00175F6B"/>
    <w:rsid w:val="0019420D"/>
    <w:rsid w:val="0019597F"/>
    <w:rsid w:val="001C3894"/>
    <w:rsid w:val="001D2989"/>
    <w:rsid w:val="001E4508"/>
    <w:rsid w:val="00257CCB"/>
    <w:rsid w:val="0029038F"/>
    <w:rsid w:val="002A0F8A"/>
    <w:rsid w:val="002F5570"/>
    <w:rsid w:val="0035598C"/>
    <w:rsid w:val="00366B2D"/>
    <w:rsid w:val="00373D9D"/>
    <w:rsid w:val="003840FD"/>
    <w:rsid w:val="003C6BE1"/>
    <w:rsid w:val="003D4C5F"/>
    <w:rsid w:val="003E0BE1"/>
    <w:rsid w:val="003E73CB"/>
    <w:rsid w:val="00436213"/>
    <w:rsid w:val="00456D79"/>
    <w:rsid w:val="00457413"/>
    <w:rsid w:val="00465038"/>
    <w:rsid w:val="004B5F63"/>
    <w:rsid w:val="004C3EAA"/>
    <w:rsid w:val="004C57BF"/>
    <w:rsid w:val="004E4881"/>
    <w:rsid w:val="004F41B3"/>
    <w:rsid w:val="004F4A79"/>
    <w:rsid w:val="00534FBC"/>
    <w:rsid w:val="00543110"/>
    <w:rsid w:val="00551CED"/>
    <w:rsid w:val="00560E1F"/>
    <w:rsid w:val="0056191F"/>
    <w:rsid w:val="00592364"/>
    <w:rsid w:val="005B466A"/>
    <w:rsid w:val="005B5407"/>
    <w:rsid w:val="005C7196"/>
    <w:rsid w:val="005D1E7D"/>
    <w:rsid w:val="005F19EC"/>
    <w:rsid w:val="006037FD"/>
    <w:rsid w:val="00611D23"/>
    <w:rsid w:val="00617855"/>
    <w:rsid w:val="0064406B"/>
    <w:rsid w:val="006513F2"/>
    <w:rsid w:val="00686B61"/>
    <w:rsid w:val="00693754"/>
    <w:rsid w:val="006B209D"/>
    <w:rsid w:val="006D3FAB"/>
    <w:rsid w:val="006F16B2"/>
    <w:rsid w:val="00702788"/>
    <w:rsid w:val="00716298"/>
    <w:rsid w:val="007165E7"/>
    <w:rsid w:val="007166F1"/>
    <w:rsid w:val="007306E7"/>
    <w:rsid w:val="00740CD8"/>
    <w:rsid w:val="00754217"/>
    <w:rsid w:val="00756904"/>
    <w:rsid w:val="00774531"/>
    <w:rsid w:val="007905F6"/>
    <w:rsid w:val="00793DAA"/>
    <w:rsid w:val="007C441C"/>
    <w:rsid w:val="007C73DE"/>
    <w:rsid w:val="007E6FFB"/>
    <w:rsid w:val="007E7567"/>
    <w:rsid w:val="007F05EF"/>
    <w:rsid w:val="00802FF8"/>
    <w:rsid w:val="00807FAC"/>
    <w:rsid w:val="00817DFF"/>
    <w:rsid w:val="0085054F"/>
    <w:rsid w:val="00853126"/>
    <w:rsid w:val="00862C60"/>
    <w:rsid w:val="00863986"/>
    <w:rsid w:val="008865FE"/>
    <w:rsid w:val="00892277"/>
    <w:rsid w:val="008926C1"/>
    <w:rsid w:val="008A31D4"/>
    <w:rsid w:val="008B21DC"/>
    <w:rsid w:val="008D2801"/>
    <w:rsid w:val="008D7CFB"/>
    <w:rsid w:val="008E6EC0"/>
    <w:rsid w:val="00916EEF"/>
    <w:rsid w:val="009241FA"/>
    <w:rsid w:val="00962521"/>
    <w:rsid w:val="00975FA7"/>
    <w:rsid w:val="009874B0"/>
    <w:rsid w:val="00991A03"/>
    <w:rsid w:val="00996625"/>
    <w:rsid w:val="009B0CA3"/>
    <w:rsid w:val="009B2CE6"/>
    <w:rsid w:val="009C3BBF"/>
    <w:rsid w:val="009C3F43"/>
    <w:rsid w:val="009F12A8"/>
    <w:rsid w:val="009F609A"/>
    <w:rsid w:val="00A00778"/>
    <w:rsid w:val="00A05E7B"/>
    <w:rsid w:val="00A26E18"/>
    <w:rsid w:val="00A44E12"/>
    <w:rsid w:val="00A64246"/>
    <w:rsid w:val="00AA2B33"/>
    <w:rsid w:val="00AB6534"/>
    <w:rsid w:val="00AD656B"/>
    <w:rsid w:val="00AF3279"/>
    <w:rsid w:val="00AF3DF2"/>
    <w:rsid w:val="00B049CE"/>
    <w:rsid w:val="00B86EFA"/>
    <w:rsid w:val="00BA17CC"/>
    <w:rsid w:val="00BD7FCC"/>
    <w:rsid w:val="00BE28B2"/>
    <w:rsid w:val="00BF0A56"/>
    <w:rsid w:val="00C27C60"/>
    <w:rsid w:val="00C32FC5"/>
    <w:rsid w:val="00C3434F"/>
    <w:rsid w:val="00C41E0B"/>
    <w:rsid w:val="00C5304F"/>
    <w:rsid w:val="00C65BBC"/>
    <w:rsid w:val="00C664DB"/>
    <w:rsid w:val="00C77F9F"/>
    <w:rsid w:val="00CC0479"/>
    <w:rsid w:val="00CD291F"/>
    <w:rsid w:val="00CD2DBC"/>
    <w:rsid w:val="00D14508"/>
    <w:rsid w:val="00D55CDB"/>
    <w:rsid w:val="00DA0A89"/>
    <w:rsid w:val="00DA231A"/>
    <w:rsid w:val="00DD378C"/>
    <w:rsid w:val="00DF39B4"/>
    <w:rsid w:val="00E23872"/>
    <w:rsid w:val="00E3012A"/>
    <w:rsid w:val="00E40D6C"/>
    <w:rsid w:val="00E67F0E"/>
    <w:rsid w:val="00E733C4"/>
    <w:rsid w:val="00E87E21"/>
    <w:rsid w:val="00E917C6"/>
    <w:rsid w:val="00E9738D"/>
    <w:rsid w:val="00EC309F"/>
    <w:rsid w:val="00ED4672"/>
    <w:rsid w:val="00ED76FE"/>
    <w:rsid w:val="00EF0913"/>
    <w:rsid w:val="00EF378C"/>
    <w:rsid w:val="00F06D94"/>
    <w:rsid w:val="00F33975"/>
    <w:rsid w:val="00F52A8A"/>
    <w:rsid w:val="00F64478"/>
    <w:rsid w:val="00F73942"/>
    <w:rsid w:val="00F8328E"/>
    <w:rsid w:val="00F944F9"/>
    <w:rsid w:val="00FB1323"/>
    <w:rsid w:val="00FC6152"/>
    <w:rsid w:val="00FD200D"/>
    <w:rsid w:val="00FD259A"/>
    <w:rsid w:val="00FD2E62"/>
    <w:rsid w:val="00FD5121"/>
    <w:rsid w:val="00FE42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7244"/>
  <w15:chartTrackingRefBased/>
  <w15:docId w15:val="{8E4FD44C-F00E-46ED-9014-D4190C21F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6B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F16B2"/>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6F16B2"/>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6F16B2"/>
    <w:pPr>
      <w:keepNext/>
      <w:keepLines/>
      <w:spacing w:before="40" w:after="0"/>
      <w:outlineLvl w:val="2"/>
    </w:pPr>
    <w:rPr>
      <w:rFonts w:eastAsiaTheme="majorEastAsia" w:cstheme="majorBidi"/>
      <w:b/>
      <w:i/>
      <w:color w:val="000000" w:themeColor="text1"/>
      <w:szCs w:val="24"/>
      <w:u w:val="single"/>
    </w:rPr>
  </w:style>
  <w:style w:type="paragraph" w:styleId="Heading4">
    <w:name w:val="heading 4"/>
    <w:basedOn w:val="Normal"/>
    <w:next w:val="Normal"/>
    <w:link w:val="Heading4Char"/>
    <w:uiPriority w:val="9"/>
    <w:semiHidden/>
    <w:unhideWhenUsed/>
    <w:qFormat/>
    <w:rsid w:val="007306E7"/>
    <w:pPr>
      <w:keepNext/>
      <w:keepLines/>
      <w:spacing w:before="40" w:after="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6B2"/>
    <w:rPr>
      <w:rFonts w:ascii="Times New Roman" w:eastAsiaTheme="majorEastAsia" w:hAnsi="Times New Roman" w:cstheme="majorBidi"/>
      <w:b/>
      <w:color w:val="000000" w:themeColor="text1"/>
      <w:sz w:val="24"/>
      <w:szCs w:val="32"/>
    </w:rPr>
  </w:style>
  <w:style w:type="paragraph" w:styleId="Subtitle">
    <w:name w:val="Subtitle"/>
    <w:aliases w:val="Heading3"/>
    <w:basedOn w:val="Normal"/>
    <w:next w:val="Normal"/>
    <w:link w:val="SubtitleChar"/>
    <w:uiPriority w:val="11"/>
    <w:qFormat/>
    <w:rsid w:val="00373D9D"/>
    <w:pPr>
      <w:numPr>
        <w:ilvl w:val="1"/>
      </w:numPr>
      <w:spacing w:before="120" w:after="280"/>
    </w:pPr>
    <w:rPr>
      <w:rFonts w:eastAsiaTheme="minorEastAsia"/>
      <w:b/>
      <w:i/>
      <w:color w:val="000000" w:themeColor="text1"/>
      <w:spacing w:val="15"/>
      <w:u w:val="single"/>
    </w:rPr>
  </w:style>
  <w:style w:type="character" w:customStyle="1" w:styleId="SubtitleChar">
    <w:name w:val="Subtitle Char"/>
    <w:aliases w:val="Heading3 Char"/>
    <w:basedOn w:val="DefaultParagraphFont"/>
    <w:link w:val="Subtitle"/>
    <w:uiPriority w:val="11"/>
    <w:rsid w:val="00373D9D"/>
    <w:rPr>
      <w:rFonts w:ascii="Times New Roman" w:eastAsiaTheme="minorEastAsia" w:hAnsi="Times New Roman"/>
      <w:b/>
      <w:i/>
      <w:color w:val="000000" w:themeColor="text1"/>
      <w:spacing w:val="15"/>
      <w:sz w:val="24"/>
      <w:u w:val="single"/>
    </w:rPr>
  </w:style>
  <w:style w:type="character" w:customStyle="1" w:styleId="Heading2Char">
    <w:name w:val="Heading 2 Char"/>
    <w:basedOn w:val="DefaultParagraphFont"/>
    <w:link w:val="Heading2"/>
    <w:uiPriority w:val="9"/>
    <w:rsid w:val="006F16B2"/>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6F16B2"/>
    <w:rPr>
      <w:rFonts w:ascii="Times New Roman" w:eastAsiaTheme="majorEastAsia" w:hAnsi="Times New Roman" w:cstheme="majorBidi"/>
      <w:b/>
      <w:i/>
      <w:color w:val="000000" w:themeColor="text1"/>
      <w:sz w:val="24"/>
      <w:szCs w:val="24"/>
      <w:u w:val="single"/>
    </w:rPr>
  </w:style>
  <w:style w:type="character" w:customStyle="1" w:styleId="Heading4Char">
    <w:name w:val="Heading 4 Char"/>
    <w:basedOn w:val="DefaultParagraphFont"/>
    <w:link w:val="Heading4"/>
    <w:uiPriority w:val="9"/>
    <w:semiHidden/>
    <w:rsid w:val="007306E7"/>
    <w:rPr>
      <w:rFonts w:ascii="Times New Roman" w:eastAsiaTheme="majorEastAsia" w:hAnsi="Times New Roman" w:cstheme="majorBidi"/>
      <w:i/>
      <w:iCs/>
      <w:color w:val="000000" w:themeColor="text1"/>
      <w:sz w:val="24"/>
    </w:rPr>
  </w:style>
  <w:style w:type="paragraph" w:styleId="NormalWeb">
    <w:name w:val="Normal (Web)"/>
    <w:basedOn w:val="Normal"/>
    <w:uiPriority w:val="99"/>
    <w:unhideWhenUsed/>
    <w:rsid w:val="00802FF8"/>
    <w:pPr>
      <w:spacing w:before="100" w:beforeAutospacing="1" w:after="100" w:afterAutospacing="1" w:line="240" w:lineRule="auto"/>
      <w:jc w:val="left"/>
    </w:pPr>
    <w:rPr>
      <w:rFonts w:eastAsia="Times New Roman" w:cs="Times New Roman"/>
      <w:kern w:val="0"/>
      <w:szCs w:val="24"/>
      <w:lang w:eastAsia="en-IN"/>
      <w14:ligatures w14:val="none"/>
    </w:rPr>
  </w:style>
  <w:style w:type="character" w:styleId="Hyperlink">
    <w:name w:val="Hyperlink"/>
    <w:basedOn w:val="DefaultParagraphFont"/>
    <w:uiPriority w:val="99"/>
    <w:unhideWhenUsed/>
    <w:rsid w:val="00802FF8"/>
    <w:rPr>
      <w:color w:val="0563C1" w:themeColor="hyperlink"/>
      <w:u w:val="single"/>
    </w:rPr>
  </w:style>
  <w:style w:type="character" w:customStyle="1" w:styleId="UnresolvedMention">
    <w:name w:val="Unresolved Mention"/>
    <w:basedOn w:val="DefaultParagraphFont"/>
    <w:uiPriority w:val="99"/>
    <w:semiHidden/>
    <w:unhideWhenUsed/>
    <w:rsid w:val="00802FF8"/>
    <w:rPr>
      <w:color w:val="605E5C"/>
      <w:shd w:val="clear" w:color="auto" w:fill="E1DFDD"/>
    </w:rPr>
  </w:style>
  <w:style w:type="paragraph" w:styleId="Header">
    <w:name w:val="header"/>
    <w:basedOn w:val="Normal"/>
    <w:link w:val="HeaderChar"/>
    <w:uiPriority w:val="99"/>
    <w:unhideWhenUsed/>
    <w:rsid w:val="00A44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E12"/>
    <w:rPr>
      <w:rFonts w:ascii="Times New Roman" w:hAnsi="Times New Roman"/>
      <w:sz w:val="24"/>
    </w:rPr>
  </w:style>
  <w:style w:type="paragraph" w:styleId="Footer">
    <w:name w:val="footer"/>
    <w:basedOn w:val="Normal"/>
    <w:link w:val="FooterChar"/>
    <w:uiPriority w:val="99"/>
    <w:unhideWhenUsed/>
    <w:rsid w:val="00A44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E12"/>
    <w:rPr>
      <w:rFonts w:ascii="Times New Roman" w:hAnsi="Times New Roman"/>
      <w:sz w:val="24"/>
    </w:rPr>
  </w:style>
  <w:style w:type="paragraph" w:styleId="Caption">
    <w:name w:val="caption"/>
    <w:basedOn w:val="Normal"/>
    <w:next w:val="Normal"/>
    <w:uiPriority w:val="35"/>
    <w:unhideWhenUsed/>
    <w:qFormat/>
    <w:rsid w:val="008A31D4"/>
    <w:pPr>
      <w:spacing w:after="200" w:line="240" w:lineRule="auto"/>
    </w:pPr>
    <w:rPr>
      <w:i/>
      <w:iCs/>
      <w:color w:val="44546A" w:themeColor="text2"/>
      <w:sz w:val="18"/>
      <w:szCs w:val="18"/>
    </w:rPr>
  </w:style>
  <w:style w:type="paragraph" w:styleId="ListParagraph">
    <w:name w:val="List Paragraph"/>
    <w:basedOn w:val="Normal"/>
    <w:uiPriority w:val="34"/>
    <w:qFormat/>
    <w:rsid w:val="008865FE"/>
    <w:pPr>
      <w:ind w:left="720"/>
      <w:contextualSpacing/>
    </w:pPr>
  </w:style>
  <w:style w:type="table" w:styleId="TableGridLight">
    <w:name w:val="Grid Table Light"/>
    <w:basedOn w:val="TableNormal"/>
    <w:uiPriority w:val="40"/>
    <w:rsid w:val="00817DFF"/>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991A03"/>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991A03"/>
    <w:pPr>
      <w:spacing w:after="100"/>
    </w:pPr>
  </w:style>
  <w:style w:type="paragraph" w:styleId="TOC2">
    <w:name w:val="toc 2"/>
    <w:basedOn w:val="Normal"/>
    <w:next w:val="Normal"/>
    <w:autoRedefine/>
    <w:uiPriority w:val="39"/>
    <w:unhideWhenUsed/>
    <w:rsid w:val="00991A0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7868">
      <w:bodyDiv w:val="1"/>
      <w:marLeft w:val="0"/>
      <w:marRight w:val="0"/>
      <w:marTop w:val="0"/>
      <w:marBottom w:val="0"/>
      <w:divBdr>
        <w:top w:val="none" w:sz="0" w:space="0" w:color="auto"/>
        <w:left w:val="none" w:sz="0" w:space="0" w:color="auto"/>
        <w:bottom w:val="none" w:sz="0" w:space="0" w:color="auto"/>
        <w:right w:val="none" w:sz="0" w:space="0" w:color="auto"/>
      </w:divBdr>
      <w:divsChild>
        <w:div w:id="1429501490">
          <w:marLeft w:val="0"/>
          <w:marRight w:val="0"/>
          <w:marTop w:val="0"/>
          <w:marBottom w:val="0"/>
          <w:divBdr>
            <w:top w:val="none" w:sz="0" w:space="0" w:color="auto"/>
            <w:left w:val="none" w:sz="0" w:space="0" w:color="auto"/>
            <w:bottom w:val="none" w:sz="0" w:space="0" w:color="auto"/>
            <w:right w:val="none" w:sz="0" w:space="0" w:color="auto"/>
          </w:divBdr>
        </w:div>
      </w:divsChild>
    </w:div>
    <w:div w:id="15085553">
      <w:bodyDiv w:val="1"/>
      <w:marLeft w:val="0"/>
      <w:marRight w:val="0"/>
      <w:marTop w:val="0"/>
      <w:marBottom w:val="0"/>
      <w:divBdr>
        <w:top w:val="none" w:sz="0" w:space="0" w:color="auto"/>
        <w:left w:val="none" w:sz="0" w:space="0" w:color="auto"/>
        <w:bottom w:val="none" w:sz="0" w:space="0" w:color="auto"/>
        <w:right w:val="none" w:sz="0" w:space="0" w:color="auto"/>
      </w:divBdr>
      <w:divsChild>
        <w:div w:id="897279140">
          <w:marLeft w:val="0"/>
          <w:marRight w:val="0"/>
          <w:marTop w:val="0"/>
          <w:marBottom w:val="0"/>
          <w:divBdr>
            <w:top w:val="none" w:sz="0" w:space="0" w:color="auto"/>
            <w:left w:val="none" w:sz="0" w:space="0" w:color="auto"/>
            <w:bottom w:val="none" w:sz="0" w:space="0" w:color="auto"/>
            <w:right w:val="none" w:sz="0" w:space="0" w:color="auto"/>
          </w:divBdr>
        </w:div>
      </w:divsChild>
    </w:div>
    <w:div w:id="78259720">
      <w:bodyDiv w:val="1"/>
      <w:marLeft w:val="0"/>
      <w:marRight w:val="0"/>
      <w:marTop w:val="0"/>
      <w:marBottom w:val="0"/>
      <w:divBdr>
        <w:top w:val="none" w:sz="0" w:space="0" w:color="auto"/>
        <w:left w:val="none" w:sz="0" w:space="0" w:color="auto"/>
        <w:bottom w:val="none" w:sz="0" w:space="0" w:color="auto"/>
        <w:right w:val="none" w:sz="0" w:space="0" w:color="auto"/>
      </w:divBdr>
      <w:divsChild>
        <w:div w:id="55052619">
          <w:marLeft w:val="0"/>
          <w:marRight w:val="0"/>
          <w:marTop w:val="0"/>
          <w:marBottom w:val="0"/>
          <w:divBdr>
            <w:top w:val="none" w:sz="0" w:space="0" w:color="auto"/>
            <w:left w:val="none" w:sz="0" w:space="0" w:color="auto"/>
            <w:bottom w:val="none" w:sz="0" w:space="0" w:color="auto"/>
            <w:right w:val="none" w:sz="0" w:space="0" w:color="auto"/>
          </w:divBdr>
        </w:div>
      </w:divsChild>
    </w:div>
    <w:div w:id="94832695">
      <w:bodyDiv w:val="1"/>
      <w:marLeft w:val="0"/>
      <w:marRight w:val="0"/>
      <w:marTop w:val="0"/>
      <w:marBottom w:val="0"/>
      <w:divBdr>
        <w:top w:val="none" w:sz="0" w:space="0" w:color="auto"/>
        <w:left w:val="none" w:sz="0" w:space="0" w:color="auto"/>
        <w:bottom w:val="none" w:sz="0" w:space="0" w:color="auto"/>
        <w:right w:val="none" w:sz="0" w:space="0" w:color="auto"/>
      </w:divBdr>
      <w:divsChild>
        <w:div w:id="1092508218">
          <w:marLeft w:val="0"/>
          <w:marRight w:val="0"/>
          <w:marTop w:val="0"/>
          <w:marBottom w:val="0"/>
          <w:divBdr>
            <w:top w:val="none" w:sz="0" w:space="0" w:color="auto"/>
            <w:left w:val="none" w:sz="0" w:space="0" w:color="auto"/>
            <w:bottom w:val="none" w:sz="0" w:space="0" w:color="auto"/>
            <w:right w:val="none" w:sz="0" w:space="0" w:color="auto"/>
          </w:divBdr>
        </w:div>
      </w:divsChild>
    </w:div>
    <w:div w:id="109130410">
      <w:bodyDiv w:val="1"/>
      <w:marLeft w:val="0"/>
      <w:marRight w:val="0"/>
      <w:marTop w:val="0"/>
      <w:marBottom w:val="0"/>
      <w:divBdr>
        <w:top w:val="none" w:sz="0" w:space="0" w:color="auto"/>
        <w:left w:val="none" w:sz="0" w:space="0" w:color="auto"/>
        <w:bottom w:val="none" w:sz="0" w:space="0" w:color="auto"/>
        <w:right w:val="none" w:sz="0" w:space="0" w:color="auto"/>
      </w:divBdr>
      <w:divsChild>
        <w:div w:id="1480489419">
          <w:marLeft w:val="0"/>
          <w:marRight w:val="0"/>
          <w:marTop w:val="0"/>
          <w:marBottom w:val="0"/>
          <w:divBdr>
            <w:top w:val="none" w:sz="0" w:space="0" w:color="auto"/>
            <w:left w:val="none" w:sz="0" w:space="0" w:color="auto"/>
            <w:bottom w:val="none" w:sz="0" w:space="0" w:color="auto"/>
            <w:right w:val="none" w:sz="0" w:space="0" w:color="auto"/>
          </w:divBdr>
        </w:div>
      </w:divsChild>
    </w:div>
    <w:div w:id="281378314">
      <w:bodyDiv w:val="1"/>
      <w:marLeft w:val="0"/>
      <w:marRight w:val="0"/>
      <w:marTop w:val="0"/>
      <w:marBottom w:val="0"/>
      <w:divBdr>
        <w:top w:val="none" w:sz="0" w:space="0" w:color="auto"/>
        <w:left w:val="none" w:sz="0" w:space="0" w:color="auto"/>
        <w:bottom w:val="none" w:sz="0" w:space="0" w:color="auto"/>
        <w:right w:val="none" w:sz="0" w:space="0" w:color="auto"/>
      </w:divBdr>
      <w:divsChild>
        <w:div w:id="919339315">
          <w:marLeft w:val="0"/>
          <w:marRight w:val="0"/>
          <w:marTop w:val="0"/>
          <w:marBottom w:val="0"/>
          <w:divBdr>
            <w:top w:val="none" w:sz="0" w:space="0" w:color="auto"/>
            <w:left w:val="none" w:sz="0" w:space="0" w:color="auto"/>
            <w:bottom w:val="none" w:sz="0" w:space="0" w:color="auto"/>
            <w:right w:val="none" w:sz="0" w:space="0" w:color="auto"/>
          </w:divBdr>
        </w:div>
      </w:divsChild>
    </w:div>
    <w:div w:id="308638507">
      <w:bodyDiv w:val="1"/>
      <w:marLeft w:val="0"/>
      <w:marRight w:val="0"/>
      <w:marTop w:val="0"/>
      <w:marBottom w:val="0"/>
      <w:divBdr>
        <w:top w:val="none" w:sz="0" w:space="0" w:color="auto"/>
        <w:left w:val="none" w:sz="0" w:space="0" w:color="auto"/>
        <w:bottom w:val="none" w:sz="0" w:space="0" w:color="auto"/>
        <w:right w:val="none" w:sz="0" w:space="0" w:color="auto"/>
      </w:divBdr>
      <w:divsChild>
        <w:div w:id="465978370">
          <w:marLeft w:val="0"/>
          <w:marRight w:val="0"/>
          <w:marTop w:val="0"/>
          <w:marBottom w:val="0"/>
          <w:divBdr>
            <w:top w:val="none" w:sz="0" w:space="0" w:color="auto"/>
            <w:left w:val="none" w:sz="0" w:space="0" w:color="auto"/>
            <w:bottom w:val="none" w:sz="0" w:space="0" w:color="auto"/>
            <w:right w:val="none" w:sz="0" w:space="0" w:color="auto"/>
          </w:divBdr>
        </w:div>
      </w:divsChild>
    </w:div>
    <w:div w:id="332995262">
      <w:bodyDiv w:val="1"/>
      <w:marLeft w:val="0"/>
      <w:marRight w:val="0"/>
      <w:marTop w:val="0"/>
      <w:marBottom w:val="0"/>
      <w:divBdr>
        <w:top w:val="none" w:sz="0" w:space="0" w:color="auto"/>
        <w:left w:val="none" w:sz="0" w:space="0" w:color="auto"/>
        <w:bottom w:val="none" w:sz="0" w:space="0" w:color="auto"/>
        <w:right w:val="none" w:sz="0" w:space="0" w:color="auto"/>
      </w:divBdr>
      <w:divsChild>
        <w:div w:id="975986805">
          <w:marLeft w:val="0"/>
          <w:marRight w:val="0"/>
          <w:marTop w:val="0"/>
          <w:marBottom w:val="0"/>
          <w:divBdr>
            <w:top w:val="none" w:sz="0" w:space="0" w:color="auto"/>
            <w:left w:val="none" w:sz="0" w:space="0" w:color="auto"/>
            <w:bottom w:val="none" w:sz="0" w:space="0" w:color="auto"/>
            <w:right w:val="none" w:sz="0" w:space="0" w:color="auto"/>
          </w:divBdr>
        </w:div>
      </w:divsChild>
    </w:div>
    <w:div w:id="344331100">
      <w:bodyDiv w:val="1"/>
      <w:marLeft w:val="0"/>
      <w:marRight w:val="0"/>
      <w:marTop w:val="0"/>
      <w:marBottom w:val="0"/>
      <w:divBdr>
        <w:top w:val="none" w:sz="0" w:space="0" w:color="auto"/>
        <w:left w:val="none" w:sz="0" w:space="0" w:color="auto"/>
        <w:bottom w:val="none" w:sz="0" w:space="0" w:color="auto"/>
        <w:right w:val="none" w:sz="0" w:space="0" w:color="auto"/>
      </w:divBdr>
      <w:divsChild>
        <w:div w:id="636884984">
          <w:marLeft w:val="0"/>
          <w:marRight w:val="0"/>
          <w:marTop w:val="0"/>
          <w:marBottom w:val="0"/>
          <w:divBdr>
            <w:top w:val="none" w:sz="0" w:space="0" w:color="auto"/>
            <w:left w:val="none" w:sz="0" w:space="0" w:color="auto"/>
            <w:bottom w:val="none" w:sz="0" w:space="0" w:color="auto"/>
            <w:right w:val="none" w:sz="0" w:space="0" w:color="auto"/>
          </w:divBdr>
        </w:div>
      </w:divsChild>
    </w:div>
    <w:div w:id="526795560">
      <w:bodyDiv w:val="1"/>
      <w:marLeft w:val="0"/>
      <w:marRight w:val="0"/>
      <w:marTop w:val="0"/>
      <w:marBottom w:val="0"/>
      <w:divBdr>
        <w:top w:val="none" w:sz="0" w:space="0" w:color="auto"/>
        <w:left w:val="none" w:sz="0" w:space="0" w:color="auto"/>
        <w:bottom w:val="none" w:sz="0" w:space="0" w:color="auto"/>
        <w:right w:val="none" w:sz="0" w:space="0" w:color="auto"/>
      </w:divBdr>
      <w:divsChild>
        <w:div w:id="1262297141">
          <w:marLeft w:val="0"/>
          <w:marRight w:val="0"/>
          <w:marTop w:val="0"/>
          <w:marBottom w:val="0"/>
          <w:divBdr>
            <w:top w:val="none" w:sz="0" w:space="0" w:color="auto"/>
            <w:left w:val="none" w:sz="0" w:space="0" w:color="auto"/>
            <w:bottom w:val="none" w:sz="0" w:space="0" w:color="auto"/>
            <w:right w:val="none" w:sz="0" w:space="0" w:color="auto"/>
          </w:divBdr>
        </w:div>
      </w:divsChild>
    </w:div>
    <w:div w:id="549879220">
      <w:bodyDiv w:val="1"/>
      <w:marLeft w:val="0"/>
      <w:marRight w:val="0"/>
      <w:marTop w:val="0"/>
      <w:marBottom w:val="0"/>
      <w:divBdr>
        <w:top w:val="none" w:sz="0" w:space="0" w:color="auto"/>
        <w:left w:val="none" w:sz="0" w:space="0" w:color="auto"/>
        <w:bottom w:val="none" w:sz="0" w:space="0" w:color="auto"/>
        <w:right w:val="none" w:sz="0" w:space="0" w:color="auto"/>
      </w:divBdr>
      <w:divsChild>
        <w:div w:id="952833076">
          <w:marLeft w:val="0"/>
          <w:marRight w:val="0"/>
          <w:marTop w:val="0"/>
          <w:marBottom w:val="0"/>
          <w:divBdr>
            <w:top w:val="none" w:sz="0" w:space="0" w:color="auto"/>
            <w:left w:val="none" w:sz="0" w:space="0" w:color="auto"/>
            <w:bottom w:val="none" w:sz="0" w:space="0" w:color="auto"/>
            <w:right w:val="none" w:sz="0" w:space="0" w:color="auto"/>
          </w:divBdr>
        </w:div>
      </w:divsChild>
    </w:div>
    <w:div w:id="601845076">
      <w:bodyDiv w:val="1"/>
      <w:marLeft w:val="0"/>
      <w:marRight w:val="0"/>
      <w:marTop w:val="0"/>
      <w:marBottom w:val="0"/>
      <w:divBdr>
        <w:top w:val="none" w:sz="0" w:space="0" w:color="auto"/>
        <w:left w:val="none" w:sz="0" w:space="0" w:color="auto"/>
        <w:bottom w:val="none" w:sz="0" w:space="0" w:color="auto"/>
        <w:right w:val="none" w:sz="0" w:space="0" w:color="auto"/>
      </w:divBdr>
      <w:divsChild>
        <w:div w:id="1502698630">
          <w:marLeft w:val="0"/>
          <w:marRight w:val="0"/>
          <w:marTop w:val="0"/>
          <w:marBottom w:val="0"/>
          <w:divBdr>
            <w:top w:val="none" w:sz="0" w:space="0" w:color="auto"/>
            <w:left w:val="none" w:sz="0" w:space="0" w:color="auto"/>
            <w:bottom w:val="none" w:sz="0" w:space="0" w:color="auto"/>
            <w:right w:val="none" w:sz="0" w:space="0" w:color="auto"/>
          </w:divBdr>
        </w:div>
      </w:divsChild>
    </w:div>
    <w:div w:id="649870207">
      <w:bodyDiv w:val="1"/>
      <w:marLeft w:val="0"/>
      <w:marRight w:val="0"/>
      <w:marTop w:val="0"/>
      <w:marBottom w:val="0"/>
      <w:divBdr>
        <w:top w:val="none" w:sz="0" w:space="0" w:color="auto"/>
        <w:left w:val="none" w:sz="0" w:space="0" w:color="auto"/>
        <w:bottom w:val="none" w:sz="0" w:space="0" w:color="auto"/>
        <w:right w:val="none" w:sz="0" w:space="0" w:color="auto"/>
      </w:divBdr>
      <w:divsChild>
        <w:div w:id="507864305">
          <w:marLeft w:val="0"/>
          <w:marRight w:val="0"/>
          <w:marTop w:val="0"/>
          <w:marBottom w:val="0"/>
          <w:divBdr>
            <w:top w:val="none" w:sz="0" w:space="0" w:color="auto"/>
            <w:left w:val="none" w:sz="0" w:space="0" w:color="auto"/>
            <w:bottom w:val="none" w:sz="0" w:space="0" w:color="auto"/>
            <w:right w:val="none" w:sz="0" w:space="0" w:color="auto"/>
          </w:divBdr>
        </w:div>
      </w:divsChild>
    </w:div>
    <w:div w:id="691541544">
      <w:bodyDiv w:val="1"/>
      <w:marLeft w:val="0"/>
      <w:marRight w:val="0"/>
      <w:marTop w:val="0"/>
      <w:marBottom w:val="0"/>
      <w:divBdr>
        <w:top w:val="none" w:sz="0" w:space="0" w:color="auto"/>
        <w:left w:val="none" w:sz="0" w:space="0" w:color="auto"/>
        <w:bottom w:val="none" w:sz="0" w:space="0" w:color="auto"/>
        <w:right w:val="none" w:sz="0" w:space="0" w:color="auto"/>
      </w:divBdr>
      <w:divsChild>
        <w:div w:id="1940063357">
          <w:marLeft w:val="0"/>
          <w:marRight w:val="0"/>
          <w:marTop w:val="0"/>
          <w:marBottom w:val="0"/>
          <w:divBdr>
            <w:top w:val="none" w:sz="0" w:space="0" w:color="auto"/>
            <w:left w:val="none" w:sz="0" w:space="0" w:color="auto"/>
            <w:bottom w:val="none" w:sz="0" w:space="0" w:color="auto"/>
            <w:right w:val="none" w:sz="0" w:space="0" w:color="auto"/>
          </w:divBdr>
        </w:div>
      </w:divsChild>
    </w:div>
    <w:div w:id="792362272">
      <w:bodyDiv w:val="1"/>
      <w:marLeft w:val="0"/>
      <w:marRight w:val="0"/>
      <w:marTop w:val="0"/>
      <w:marBottom w:val="0"/>
      <w:divBdr>
        <w:top w:val="none" w:sz="0" w:space="0" w:color="auto"/>
        <w:left w:val="none" w:sz="0" w:space="0" w:color="auto"/>
        <w:bottom w:val="none" w:sz="0" w:space="0" w:color="auto"/>
        <w:right w:val="none" w:sz="0" w:space="0" w:color="auto"/>
      </w:divBdr>
      <w:divsChild>
        <w:div w:id="1092043318">
          <w:marLeft w:val="0"/>
          <w:marRight w:val="0"/>
          <w:marTop w:val="0"/>
          <w:marBottom w:val="0"/>
          <w:divBdr>
            <w:top w:val="none" w:sz="0" w:space="0" w:color="auto"/>
            <w:left w:val="none" w:sz="0" w:space="0" w:color="auto"/>
            <w:bottom w:val="none" w:sz="0" w:space="0" w:color="auto"/>
            <w:right w:val="none" w:sz="0" w:space="0" w:color="auto"/>
          </w:divBdr>
        </w:div>
      </w:divsChild>
    </w:div>
    <w:div w:id="886726405">
      <w:bodyDiv w:val="1"/>
      <w:marLeft w:val="0"/>
      <w:marRight w:val="0"/>
      <w:marTop w:val="0"/>
      <w:marBottom w:val="0"/>
      <w:divBdr>
        <w:top w:val="none" w:sz="0" w:space="0" w:color="auto"/>
        <w:left w:val="none" w:sz="0" w:space="0" w:color="auto"/>
        <w:bottom w:val="none" w:sz="0" w:space="0" w:color="auto"/>
        <w:right w:val="none" w:sz="0" w:space="0" w:color="auto"/>
      </w:divBdr>
      <w:divsChild>
        <w:div w:id="1404064518">
          <w:marLeft w:val="0"/>
          <w:marRight w:val="0"/>
          <w:marTop w:val="0"/>
          <w:marBottom w:val="0"/>
          <w:divBdr>
            <w:top w:val="none" w:sz="0" w:space="0" w:color="auto"/>
            <w:left w:val="none" w:sz="0" w:space="0" w:color="auto"/>
            <w:bottom w:val="none" w:sz="0" w:space="0" w:color="auto"/>
            <w:right w:val="none" w:sz="0" w:space="0" w:color="auto"/>
          </w:divBdr>
        </w:div>
      </w:divsChild>
    </w:div>
    <w:div w:id="933316940">
      <w:bodyDiv w:val="1"/>
      <w:marLeft w:val="0"/>
      <w:marRight w:val="0"/>
      <w:marTop w:val="0"/>
      <w:marBottom w:val="0"/>
      <w:divBdr>
        <w:top w:val="none" w:sz="0" w:space="0" w:color="auto"/>
        <w:left w:val="none" w:sz="0" w:space="0" w:color="auto"/>
        <w:bottom w:val="none" w:sz="0" w:space="0" w:color="auto"/>
        <w:right w:val="none" w:sz="0" w:space="0" w:color="auto"/>
      </w:divBdr>
      <w:divsChild>
        <w:div w:id="1363281792">
          <w:marLeft w:val="0"/>
          <w:marRight w:val="0"/>
          <w:marTop w:val="0"/>
          <w:marBottom w:val="0"/>
          <w:divBdr>
            <w:top w:val="none" w:sz="0" w:space="0" w:color="auto"/>
            <w:left w:val="none" w:sz="0" w:space="0" w:color="auto"/>
            <w:bottom w:val="none" w:sz="0" w:space="0" w:color="auto"/>
            <w:right w:val="none" w:sz="0" w:space="0" w:color="auto"/>
          </w:divBdr>
        </w:div>
      </w:divsChild>
    </w:div>
    <w:div w:id="960262239">
      <w:bodyDiv w:val="1"/>
      <w:marLeft w:val="0"/>
      <w:marRight w:val="0"/>
      <w:marTop w:val="0"/>
      <w:marBottom w:val="0"/>
      <w:divBdr>
        <w:top w:val="none" w:sz="0" w:space="0" w:color="auto"/>
        <w:left w:val="none" w:sz="0" w:space="0" w:color="auto"/>
        <w:bottom w:val="none" w:sz="0" w:space="0" w:color="auto"/>
        <w:right w:val="none" w:sz="0" w:space="0" w:color="auto"/>
      </w:divBdr>
      <w:divsChild>
        <w:div w:id="759718487">
          <w:marLeft w:val="0"/>
          <w:marRight w:val="0"/>
          <w:marTop w:val="0"/>
          <w:marBottom w:val="0"/>
          <w:divBdr>
            <w:top w:val="none" w:sz="0" w:space="0" w:color="auto"/>
            <w:left w:val="none" w:sz="0" w:space="0" w:color="auto"/>
            <w:bottom w:val="none" w:sz="0" w:space="0" w:color="auto"/>
            <w:right w:val="none" w:sz="0" w:space="0" w:color="auto"/>
          </w:divBdr>
        </w:div>
      </w:divsChild>
    </w:div>
    <w:div w:id="962228618">
      <w:bodyDiv w:val="1"/>
      <w:marLeft w:val="0"/>
      <w:marRight w:val="0"/>
      <w:marTop w:val="0"/>
      <w:marBottom w:val="0"/>
      <w:divBdr>
        <w:top w:val="none" w:sz="0" w:space="0" w:color="auto"/>
        <w:left w:val="none" w:sz="0" w:space="0" w:color="auto"/>
        <w:bottom w:val="none" w:sz="0" w:space="0" w:color="auto"/>
        <w:right w:val="none" w:sz="0" w:space="0" w:color="auto"/>
      </w:divBdr>
      <w:divsChild>
        <w:div w:id="355933000">
          <w:marLeft w:val="0"/>
          <w:marRight w:val="0"/>
          <w:marTop w:val="0"/>
          <w:marBottom w:val="0"/>
          <w:divBdr>
            <w:top w:val="none" w:sz="0" w:space="0" w:color="auto"/>
            <w:left w:val="none" w:sz="0" w:space="0" w:color="auto"/>
            <w:bottom w:val="none" w:sz="0" w:space="0" w:color="auto"/>
            <w:right w:val="none" w:sz="0" w:space="0" w:color="auto"/>
          </w:divBdr>
        </w:div>
      </w:divsChild>
    </w:div>
    <w:div w:id="1049916296">
      <w:bodyDiv w:val="1"/>
      <w:marLeft w:val="0"/>
      <w:marRight w:val="0"/>
      <w:marTop w:val="0"/>
      <w:marBottom w:val="0"/>
      <w:divBdr>
        <w:top w:val="none" w:sz="0" w:space="0" w:color="auto"/>
        <w:left w:val="none" w:sz="0" w:space="0" w:color="auto"/>
        <w:bottom w:val="none" w:sz="0" w:space="0" w:color="auto"/>
        <w:right w:val="none" w:sz="0" w:space="0" w:color="auto"/>
      </w:divBdr>
      <w:divsChild>
        <w:div w:id="752052319">
          <w:marLeft w:val="0"/>
          <w:marRight w:val="0"/>
          <w:marTop w:val="0"/>
          <w:marBottom w:val="0"/>
          <w:divBdr>
            <w:top w:val="none" w:sz="0" w:space="0" w:color="auto"/>
            <w:left w:val="none" w:sz="0" w:space="0" w:color="auto"/>
            <w:bottom w:val="none" w:sz="0" w:space="0" w:color="auto"/>
            <w:right w:val="none" w:sz="0" w:space="0" w:color="auto"/>
          </w:divBdr>
        </w:div>
      </w:divsChild>
    </w:div>
    <w:div w:id="1272127745">
      <w:bodyDiv w:val="1"/>
      <w:marLeft w:val="0"/>
      <w:marRight w:val="0"/>
      <w:marTop w:val="0"/>
      <w:marBottom w:val="0"/>
      <w:divBdr>
        <w:top w:val="none" w:sz="0" w:space="0" w:color="auto"/>
        <w:left w:val="none" w:sz="0" w:space="0" w:color="auto"/>
        <w:bottom w:val="none" w:sz="0" w:space="0" w:color="auto"/>
        <w:right w:val="none" w:sz="0" w:space="0" w:color="auto"/>
      </w:divBdr>
      <w:divsChild>
        <w:div w:id="1718698761">
          <w:marLeft w:val="0"/>
          <w:marRight w:val="0"/>
          <w:marTop w:val="0"/>
          <w:marBottom w:val="0"/>
          <w:divBdr>
            <w:top w:val="none" w:sz="0" w:space="0" w:color="auto"/>
            <w:left w:val="none" w:sz="0" w:space="0" w:color="auto"/>
            <w:bottom w:val="none" w:sz="0" w:space="0" w:color="auto"/>
            <w:right w:val="none" w:sz="0" w:space="0" w:color="auto"/>
          </w:divBdr>
        </w:div>
      </w:divsChild>
    </w:div>
    <w:div w:id="1360544270">
      <w:bodyDiv w:val="1"/>
      <w:marLeft w:val="0"/>
      <w:marRight w:val="0"/>
      <w:marTop w:val="0"/>
      <w:marBottom w:val="0"/>
      <w:divBdr>
        <w:top w:val="none" w:sz="0" w:space="0" w:color="auto"/>
        <w:left w:val="none" w:sz="0" w:space="0" w:color="auto"/>
        <w:bottom w:val="none" w:sz="0" w:space="0" w:color="auto"/>
        <w:right w:val="none" w:sz="0" w:space="0" w:color="auto"/>
      </w:divBdr>
      <w:divsChild>
        <w:div w:id="410855706">
          <w:marLeft w:val="0"/>
          <w:marRight w:val="0"/>
          <w:marTop w:val="0"/>
          <w:marBottom w:val="0"/>
          <w:divBdr>
            <w:top w:val="none" w:sz="0" w:space="0" w:color="auto"/>
            <w:left w:val="none" w:sz="0" w:space="0" w:color="auto"/>
            <w:bottom w:val="none" w:sz="0" w:space="0" w:color="auto"/>
            <w:right w:val="none" w:sz="0" w:space="0" w:color="auto"/>
          </w:divBdr>
        </w:div>
      </w:divsChild>
    </w:div>
    <w:div w:id="1406996987">
      <w:bodyDiv w:val="1"/>
      <w:marLeft w:val="0"/>
      <w:marRight w:val="0"/>
      <w:marTop w:val="0"/>
      <w:marBottom w:val="0"/>
      <w:divBdr>
        <w:top w:val="none" w:sz="0" w:space="0" w:color="auto"/>
        <w:left w:val="none" w:sz="0" w:space="0" w:color="auto"/>
        <w:bottom w:val="none" w:sz="0" w:space="0" w:color="auto"/>
        <w:right w:val="none" w:sz="0" w:space="0" w:color="auto"/>
      </w:divBdr>
      <w:divsChild>
        <w:div w:id="1759522681">
          <w:marLeft w:val="0"/>
          <w:marRight w:val="0"/>
          <w:marTop w:val="0"/>
          <w:marBottom w:val="0"/>
          <w:divBdr>
            <w:top w:val="none" w:sz="0" w:space="0" w:color="auto"/>
            <w:left w:val="none" w:sz="0" w:space="0" w:color="auto"/>
            <w:bottom w:val="none" w:sz="0" w:space="0" w:color="auto"/>
            <w:right w:val="none" w:sz="0" w:space="0" w:color="auto"/>
          </w:divBdr>
        </w:div>
      </w:divsChild>
    </w:div>
    <w:div w:id="1682077192">
      <w:bodyDiv w:val="1"/>
      <w:marLeft w:val="0"/>
      <w:marRight w:val="0"/>
      <w:marTop w:val="0"/>
      <w:marBottom w:val="0"/>
      <w:divBdr>
        <w:top w:val="none" w:sz="0" w:space="0" w:color="auto"/>
        <w:left w:val="none" w:sz="0" w:space="0" w:color="auto"/>
        <w:bottom w:val="none" w:sz="0" w:space="0" w:color="auto"/>
        <w:right w:val="none" w:sz="0" w:space="0" w:color="auto"/>
      </w:divBdr>
    </w:div>
    <w:div w:id="1827279385">
      <w:bodyDiv w:val="1"/>
      <w:marLeft w:val="0"/>
      <w:marRight w:val="0"/>
      <w:marTop w:val="0"/>
      <w:marBottom w:val="0"/>
      <w:divBdr>
        <w:top w:val="none" w:sz="0" w:space="0" w:color="auto"/>
        <w:left w:val="none" w:sz="0" w:space="0" w:color="auto"/>
        <w:bottom w:val="none" w:sz="0" w:space="0" w:color="auto"/>
        <w:right w:val="none" w:sz="0" w:space="0" w:color="auto"/>
      </w:divBdr>
      <w:divsChild>
        <w:div w:id="1343816897">
          <w:marLeft w:val="0"/>
          <w:marRight w:val="0"/>
          <w:marTop w:val="0"/>
          <w:marBottom w:val="0"/>
          <w:divBdr>
            <w:top w:val="none" w:sz="0" w:space="0" w:color="auto"/>
            <w:left w:val="none" w:sz="0" w:space="0" w:color="auto"/>
            <w:bottom w:val="none" w:sz="0" w:space="0" w:color="auto"/>
            <w:right w:val="none" w:sz="0" w:space="0" w:color="auto"/>
          </w:divBdr>
        </w:div>
      </w:divsChild>
    </w:div>
    <w:div w:id="1855605561">
      <w:bodyDiv w:val="1"/>
      <w:marLeft w:val="0"/>
      <w:marRight w:val="0"/>
      <w:marTop w:val="0"/>
      <w:marBottom w:val="0"/>
      <w:divBdr>
        <w:top w:val="none" w:sz="0" w:space="0" w:color="auto"/>
        <w:left w:val="none" w:sz="0" w:space="0" w:color="auto"/>
        <w:bottom w:val="none" w:sz="0" w:space="0" w:color="auto"/>
        <w:right w:val="none" w:sz="0" w:space="0" w:color="auto"/>
      </w:divBdr>
      <w:divsChild>
        <w:div w:id="1523592368">
          <w:marLeft w:val="0"/>
          <w:marRight w:val="0"/>
          <w:marTop w:val="0"/>
          <w:marBottom w:val="0"/>
          <w:divBdr>
            <w:top w:val="none" w:sz="0" w:space="0" w:color="auto"/>
            <w:left w:val="none" w:sz="0" w:space="0" w:color="auto"/>
            <w:bottom w:val="none" w:sz="0" w:space="0" w:color="auto"/>
            <w:right w:val="none" w:sz="0" w:space="0" w:color="auto"/>
          </w:divBdr>
        </w:div>
      </w:divsChild>
    </w:div>
    <w:div w:id="1882816432">
      <w:bodyDiv w:val="1"/>
      <w:marLeft w:val="0"/>
      <w:marRight w:val="0"/>
      <w:marTop w:val="0"/>
      <w:marBottom w:val="0"/>
      <w:divBdr>
        <w:top w:val="none" w:sz="0" w:space="0" w:color="auto"/>
        <w:left w:val="none" w:sz="0" w:space="0" w:color="auto"/>
        <w:bottom w:val="none" w:sz="0" w:space="0" w:color="auto"/>
        <w:right w:val="none" w:sz="0" w:space="0" w:color="auto"/>
      </w:divBdr>
      <w:divsChild>
        <w:div w:id="1690448225">
          <w:marLeft w:val="0"/>
          <w:marRight w:val="0"/>
          <w:marTop w:val="0"/>
          <w:marBottom w:val="0"/>
          <w:divBdr>
            <w:top w:val="none" w:sz="0" w:space="0" w:color="auto"/>
            <w:left w:val="none" w:sz="0" w:space="0" w:color="auto"/>
            <w:bottom w:val="none" w:sz="0" w:space="0" w:color="auto"/>
            <w:right w:val="none" w:sz="0" w:space="0" w:color="auto"/>
          </w:divBdr>
        </w:div>
      </w:divsChild>
    </w:div>
    <w:div w:id="1909992372">
      <w:bodyDiv w:val="1"/>
      <w:marLeft w:val="0"/>
      <w:marRight w:val="0"/>
      <w:marTop w:val="0"/>
      <w:marBottom w:val="0"/>
      <w:divBdr>
        <w:top w:val="none" w:sz="0" w:space="0" w:color="auto"/>
        <w:left w:val="none" w:sz="0" w:space="0" w:color="auto"/>
        <w:bottom w:val="none" w:sz="0" w:space="0" w:color="auto"/>
        <w:right w:val="none" w:sz="0" w:space="0" w:color="auto"/>
      </w:divBdr>
      <w:divsChild>
        <w:div w:id="1322544552">
          <w:marLeft w:val="0"/>
          <w:marRight w:val="0"/>
          <w:marTop w:val="0"/>
          <w:marBottom w:val="0"/>
          <w:divBdr>
            <w:top w:val="none" w:sz="0" w:space="0" w:color="auto"/>
            <w:left w:val="none" w:sz="0" w:space="0" w:color="auto"/>
            <w:bottom w:val="none" w:sz="0" w:space="0" w:color="auto"/>
            <w:right w:val="none" w:sz="0" w:space="0" w:color="auto"/>
          </w:divBdr>
        </w:div>
      </w:divsChild>
    </w:div>
    <w:div w:id="2103452528">
      <w:bodyDiv w:val="1"/>
      <w:marLeft w:val="0"/>
      <w:marRight w:val="0"/>
      <w:marTop w:val="0"/>
      <w:marBottom w:val="0"/>
      <w:divBdr>
        <w:top w:val="none" w:sz="0" w:space="0" w:color="auto"/>
        <w:left w:val="none" w:sz="0" w:space="0" w:color="auto"/>
        <w:bottom w:val="none" w:sz="0" w:space="0" w:color="auto"/>
        <w:right w:val="none" w:sz="0" w:space="0" w:color="auto"/>
      </w:divBdr>
    </w:div>
    <w:div w:id="2119565688">
      <w:bodyDiv w:val="1"/>
      <w:marLeft w:val="0"/>
      <w:marRight w:val="0"/>
      <w:marTop w:val="0"/>
      <w:marBottom w:val="0"/>
      <w:divBdr>
        <w:top w:val="none" w:sz="0" w:space="0" w:color="auto"/>
        <w:left w:val="none" w:sz="0" w:space="0" w:color="auto"/>
        <w:bottom w:val="none" w:sz="0" w:space="0" w:color="auto"/>
        <w:right w:val="none" w:sz="0" w:space="0" w:color="auto"/>
      </w:divBdr>
      <w:divsChild>
        <w:div w:id="652879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management/balanced-scorecard/" TargetMode="External"/><Relationship Id="rId18" Type="http://schemas.openxmlformats.org/officeDocument/2006/relationships/hyperlink" Target="https://live.euronext.com/en/products/equities/company-news/2025-01-30-shell-plc-publishes-fourth-quarter-2024-press-release" TargetMode="External"/><Relationship Id="rId26" Type="http://schemas.openxmlformats.org/officeDocument/2006/relationships/hyperlink" Target="https://www.oecd.org/en/about/news/press-releases/2025/11/carbon-pricing-mechanisms-are-evolving-to-meet-a-broader-range-of-policy-objectives.html" TargetMode="External"/><Relationship Id="rId39" Type="http://schemas.openxmlformats.org/officeDocument/2006/relationships/hyperlink" Target="https://www.shell.com/investors/results-and-reporting/annual-report/_jcr_content/root/main/section/promo/links/item0.stream/1752580693041/6c20b8111738b9a590ba145f0d1c4fa0e530dae0/shell-annual-report-2024.pdf" TargetMode="External"/><Relationship Id="rId21" Type="http://schemas.openxmlformats.org/officeDocument/2006/relationships/hyperlink" Target="https://www.iea.org/reports/global-ev-outlook-2025/electric-vehicle-charging" TargetMode="External"/><Relationship Id="rId34" Type="http://schemas.openxmlformats.org/officeDocument/2006/relationships/hyperlink" Target="https://www.shell.com/sustainability/climate/our-climate-target-faqs.html" TargetMode="External"/><Relationship Id="rId42" Type="http://schemas.openxmlformats.org/officeDocument/2006/relationships/hyperlink" Target="https://www.unepfi.org/themes/climate-change/climate-risks-in-the-oil-and-gas-secto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axfoundation.org/research/all/eu/eu-windfall-profits-taxes-oil-gas/" TargetMode="External"/><Relationship Id="rId29" Type="http://schemas.openxmlformats.org/officeDocument/2006/relationships/hyperlink" Target="https://www.shell.com/what-we-do/renewable-power.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uters.com/business/energy/shells-lng-trading-makes-24-bln-final-2023-quarter-sources-say-2024-02-23/" TargetMode="External"/><Relationship Id="rId24" Type="http://schemas.openxmlformats.org/officeDocument/2006/relationships/hyperlink" Target="https://www.londonstockexchange.com/news-article/SHEL/shell-publishes-energy-transition-strategy-2024/16377270" TargetMode="External"/><Relationship Id="rId32" Type="http://schemas.openxmlformats.org/officeDocument/2006/relationships/hyperlink" Target="https://www.shell.com/news-and-insights/newsroom/news-and-media-releases/2024/shell-publishes-energy-transition-strategy-2024.html" TargetMode="External"/><Relationship Id="rId37" Type="http://schemas.openxmlformats.org/officeDocument/2006/relationships/hyperlink" Target="https://www.shell.in/business/shell-energy-india/natural-gas-and-lng.html" TargetMode="External"/><Relationship Id="rId40" Type="http://schemas.openxmlformats.org/officeDocument/2006/relationships/hyperlink" Target="https://www.thestrategyinstitute.org/insights/porters-five-forces-the-ultimate-competitive-strategy-blueprin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a.gov/todayinenergy/detail.php?id=61142" TargetMode="External"/><Relationship Id="rId23" Type="http://schemas.openxmlformats.org/officeDocument/2006/relationships/hyperlink" Target="https://ieefa.org/resources/shells-rationale-rapid-lng-demand-growth-looks-increasingly-fragile-despite-higher" TargetMode="External"/><Relationship Id="rId28" Type="http://schemas.openxmlformats.org/officeDocument/2006/relationships/hyperlink" Target="https://www.shell.com/what-we-do/mobility/electric-vehicle-charging.html" TargetMode="External"/><Relationship Id="rId36" Type="http://schemas.openxmlformats.org/officeDocument/2006/relationships/hyperlink" Target="https://www.shell.com/who-we-are.html" TargetMode="External"/><Relationship Id="rId10" Type="http://schemas.openxmlformats.org/officeDocument/2006/relationships/hyperlink" Target="https://www.theguardian.com/business/2025/jan/30/shell-investors-in-line-for-multibillion-dollar-windfall-despite-weak-profits" TargetMode="External"/><Relationship Id="rId19" Type="http://schemas.openxmlformats.org/officeDocument/2006/relationships/hyperlink" Target="https://www.gov.uk/government/publications/changes-to-the-energy-oil-and-gas-profits-levy/energy-oil-and-gas-profits-levy" TargetMode="External"/><Relationship Id="rId31" Type="http://schemas.openxmlformats.org/officeDocument/2006/relationships/hyperlink" Target="https://www.shell.com/who-we-are/shell-at-a-glance.html"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paniesmarketcap.com/shell/revenue/" TargetMode="External"/><Relationship Id="rId22" Type="http://schemas.openxmlformats.org/officeDocument/2006/relationships/hyperlink" Target="https://ieefa.org/resources/asias-falling-lng-demand-2025-defies-investor-optimism-rapid-growth" TargetMode="External"/><Relationship Id="rId27" Type="http://schemas.openxmlformats.org/officeDocument/2006/relationships/hyperlink" Target="https://quantive.com/resources/articles/ansoff-matrix" TargetMode="External"/><Relationship Id="rId30" Type="http://schemas.openxmlformats.org/officeDocument/2006/relationships/hyperlink" Target="https://www.shell.com/what-we-do/renewable-power/renewable-power-news-releases.html" TargetMode="External"/><Relationship Id="rId35" Type="http://schemas.openxmlformats.org/officeDocument/2006/relationships/hyperlink" Target="https://www.shell.com/what-we-do/our-strategy.html" TargetMode="External"/><Relationship Id="rId43" Type="http://schemas.openxmlformats.org/officeDocument/2006/relationships/hyperlink" Target="https://www.oxfordenergy.org/wpcms/wp-content/uploads/2019/07/The-Energy-Transition-and-Oil-Companies-Hard-Choices-Energy-Insight-51.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offshore-energy.biz/shell-presents-gas-lng-as-safe-bets-but-keeps-low-carbon-and-renewable-tools-in-play/" TargetMode="External"/><Relationship Id="rId17" Type="http://schemas.openxmlformats.org/officeDocument/2006/relationships/hyperlink" Target="https://enkiai.com/shell/shell-ev-charging-strategy-2025-a-shocking-pivot-to-profit" TargetMode="External"/><Relationship Id="rId25" Type="http://schemas.openxmlformats.org/officeDocument/2006/relationships/hyperlink" Target="https://www.spglobal.com/energy/en/news-research/latest-news/crude-oil/020526-shell-lifts-oil-and-gas-output-in-q4-2025-despite-profit-miss" TargetMode="External"/><Relationship Id="rId33" Type="http://schemas.openxmlformats.org/officeDocument/2006/relationships/hyperlink" Target="https://www.shell.com/sustainability/climate.html" TargetMode="External"/><Relationship Id="rId38" Type="http://schemas.openxmlformats.org/officeDocument/2006/relationships/hyperlink" Target="https://www.shell.com/who-we-are/our-history/our-company-history.html" TargetMode="External"/><Relationship Id="rId46" Type="http://schemas.openxmlformats.org/officeDocument/2006/relationships/theme" Target="theme/theme1.xml"/><Relationship Id="rId20" Type="http://schemas.openxmlformats.org/officeDocument/2006/relationships/hyperlink" Target="https://www.iea.org/reports/the-oil-and-gas-industry-in-net-zero-transitions" TargetMode="External"/><Relationship Id="rId41" Type="http://schemas.openxmlformats.org/officeDocument/2006/relationships/hyperlink" Target="https://www.power-technology.com/features/why-big-oil-has-its-eye-on-apacs-ev-charging-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6534D72-9050-4D32-AF1C-896FC332B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26</Pages>
  <Words>7853</Words>
  <Characters>44764</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DC</cp:lastModifiedBy>
  <cp:revision>166</cp:revision>
  <dcterms:created xsi:type="dcterms:W3CDTF">2026-03-06T09:53:00Z</dcterms:created>
  <dcterms:modified xsi:type="dcterms:W3CDTF">2026-04-29T23:47:00Z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30867e85-cc0e-4987-94f8-0424bc999ae2</vt:lpwstr>
  </property>
</Properties>
</file>