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491833884"/>
        <w:docPartObj>
          <w:docPartGallery w:val="Cover Pages"/>
          <w:docPartUnique/>
        </w:docPartObj>
      </w:sdtPr>
      <w:sdtEndPr>
        <w:rPr>
          <w:sz w:val="28"/>
          <w:szCs w:val="28"/>
        </w:rPr>
      </w:sdtEndPr>
      <w:sdtContent>
        <w:p w14:paraId="4CC33F0A" w14:textId="48A630C7" w:rsidR="003965E1" w:rsidRDefault="005634D4" w:rsidP="005E34C1">
          <w:r>
            <w:rPr>
              <w:noProof/>
            </w:rPr>
            <mc:AlternateContent>
              <mc:Choice Requires="wps">
                <w:drawing>
                  <wp:anchor distT="0" distB="0" distL="114300" distR="114300" simplePos="0" relativeHeight="251659264" behindDoc="0" locked="0" layoutInCell="1" allowOverlap="1" wp14:anchorId="38C3D8E7" wp14:editId="30F9B550">
                    <wp:simplePos x="0" y="0"/>
                    <wp:positionH relativeFrom="page">
                      <wp:posOffset>-182880</wp:posOffset>
                    </wp:positionH>
                    <wp:positionV relativeFrom="page">
                      <wp:posOffset>-876300</wp:posOffset>
                    </wp:positionV>
                    <wp:extent cx="7604760" cy="5650230"/>
                    <wp:effectExtent l="0" t="0" r="0" b="7620"/>
                    <wp:wrapSquare wrapText="bothSides"/>
                    <wp:docPr id="154" name="Text Box 54"/>
                    <wp:cNvGraphicFramePr/>
                    <a:graphic xmlns:a="http://schemas.openxmlformats.org/drawingml/2006/main">
                      <a:graphicData uri="http://schemas.microsoft.com/office/word/2010/wordprocessingShape">
                        <wps:wsp>
                          <wps:cNvSpPr txBox="1"/>
                          <wps:spPr>
                            <a:xfrm>
                              <a:off x="0" y="0"/>
                              <a:ext cx="7604760" cy="5650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213FF" w14:textId="1C92377C" w:rsidR="0092714C" w:rsidRDefault="00F13612" w:rsidP="000A2EAD">
                                <w:pPr>
                                  <w:rPr>
                                    <w:color w:val="549E39" w:themeColor="accent1"/>
                                    <w:sz w:val="64"/>
                                    <w:szCs w:val="64"/>
                                  </w:rPr>
                                </w:pPr>
                                <w:r w:rsidRPr="00F13612">
                                  <w:drawing>
                                    <wp:inline distT="0" distB="0" distL="0" distR="0" wp14:anchorId="3417BF85" wp14:editId="0C9FD60C">
                                      <wp:extent cx="4792878" cy="1744980"/>
                                      <wp:effectExtent l="0" t="0" r="8255" b="0"/>
                                      <wp:docPr id="1407984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9320" cy="1758248"/>
                                              </a:xfrm>
                                              <a:prstGeom prst="rect">
                                                <a:avLst/>
                                              </a:prstGeom>
                                              <a:noFill/>
                                              <a:ln>
                                                <a:noFill/>
                                              </a:ln>
                                            </pic:spPr>
                                          </pic:pic>
                                        </a:graphicData>
                                      </a:graphic>
                                    </wp:inline>
                                  </w:drawing>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E75CBA5" w14:textId="79073319" w:rsidR="0092714C" w:rsidRDefault="002F6BD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C3D8E7" id="_x0000_t202" coordsize="21600,21600" o:spt="202" path="m,l,21600r21600,l21600,xe">
                    <v:stroke joinstyle="miter"/>
                    <v:path gradientshapeok="t" o:connecttype="rect"/>
                  </v:shapetype>
                  <v:shape id="Text Box 54" o:spid="_x0000_s1026" type="#_x0000_t202" style="position:absolute;left:0;text-align:left;margin-left:-14.4pt;margin-top:-69pt;width:598.8pt;height:444.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" filled="f" stroked="f" strokeweight=".5pt">
                    <v:textbox inset="126pt,0,54pt,0">
                      <w:txbxContent>
                        <w:p w14:paraId="177213FF" w14:textId="1C92377C" w:rsidR="0092714C" w:rsidRDefault="00F13612" w:rsidP="000A2EAD">
                          <w:pPr>
                            <w:rPr>
                              <w:color w:val="549E39" w:themeColor="accent1"/>
                              <w:sz w:val="64"/>
                              <w:szCs w:val="64"/>
                            </w:rPr>
                          </w:pPr>
                          <w:r w:rsidRPr="00F13612">
                            <w:drawing>
                              <wp:inline distT="0" distB="0" distL="0" distR="0" wp14:anchorId="3417BF85" wp14:editId="0C9FD60C">
                                <wp:extent cx="4792878" cy="1744980"/>
                                <wp:effectExtent l="0" t="0" r="8255" b="0"/>
                                <wp:docPr id="1407984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9320" cy="1758248"/>
                                        </a:xfrm>
                                        <a:prstGeom prst="rect">
                                          <a:avLst/>
                                        </a:prstGeom>
                                        <a:noFill/>
                                        <a:ln>
                                          <a:noFill/>
                                        </a:ln>
                                      </pic:spPr>
                                    </pic:pic>
                                  </a:graphicData>
                                </a:graphic>
                              </wp:inline>
                            </w:drawing>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E75CBA5" w14:textId="79073319" w:rsidR="0092714C" w:rsidRDefault="002F6BD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EE74245" w14:textId="77777777" w:rsidR="003965E1" w:rsidRDefault="003965E1" w:rsidP="005E34C1"/>
        <w:p w14:paraId="78DFE6B2" w14:textId="2482CAAE" w:rsidR="005E34C1" w:rsidRPr="005E34C1" w:rsidRDefault="0092714C" w:rsidP="005E34C1">
          <w:r>
            <w:rPr>
              <w:noProof/>
            </w:rPr>
            <mc:AlternateContent>
              <mc:Choice Requires="wpg">
                <w:drawing>
                  <wp:anchor distT="0" distB="0" distL="114300" distR="114300" simplePos="0" relativeHeight="251662336" behindDoc="0" locked="0" layoutInCell="1" allowOverlap="1" wp14:anchorId="4F46F3A0" wp14:editId="6FFD1A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79D4D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49e3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E94870" wp14:editId="1F8CC4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93A1867" w14:textId="1476DCCA" w:rsidR="0092714C" w:rsidRDefault="002F6BDC">
                                    <w:pPr>
                                      <w:pStyle w:val="NoSpacing"/>
                                      <w:jc w:val="right"/>
                                      <w:rPr>
                                        <w:color w:val="595959" w:themeColor="text1" w:themeTint="A6"/>
                                        <w:sz w:val="28"/>
                                        <w:szCs w:val="28"/>
                                      </w:rPr>
                                    </w:pPr>
                                    <w:r>
                                      <w:rPr>
                                        <w:color w:val="595959" w:themeColor="text1" w:themeTint="A6"/>
                                        <w:sz w:val="28"/>
                                        <w:szCs w:val="28"/>
                                      </w:rPr>
                                      <w:t xml:space="preserve">     </w:t>
                                    </w:r>
                                  </w:p>
                                </w:sdtContent>
                              </w:sdt>
                              <w:p w14:paraId="54C71051" w14:textId="50A07A5C" w:rsidR="0092714C" w:rsidRDefault="0092714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F6BD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BE94870" id="Text Box 52"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93A1867" w14:textId="1476DCCA" w:rsidR="0092714C" w:rsidRDefault="002F6BDC">
                              <w:pPr>
                                <w:pStyle w:val="NoSpacing"/>
                                <w:jc w:val="right"/>
                                <w:rPr>
                                  <w:color w:val="595959" w:themeColor="text1" w:themeTint="A6"/>
                                  <w:sz w:val="28"/>
                                  <w:szCs w:val="28"/>
                                </w:rPr>
                              </w:pPr>
                              <w:r>
                                <w:rPr>
                                  <w:color w:val="595959" w:themeColor="text1" w:themeTint="A6"/>
                                  <w:sz w:val="28"/>
                                  <w:szCs w:val="28"/>
                                </w:rPr>
                                <w:t xml:space="preserve">     </w:t>
                              </w:r>
                            </w:p>
                          </w:sdtContent>
                        </w:sdt>
                        <w:p w14:paraId="54C71051" w14:textId="50A07A5C" w:rsidR="0092714C" w:rsidRDefault="0092714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F6BDC">
                                <w:rPr>
                                  <w:color w:val="595959" w:themeColor="text1" w:themeTint="A6"/>
                                  <w:sz w:val="18"/>
                                  <w:szCs w:val="18"/>
                                </w:rPr>
                                <w:t xml:space="preserve">     </w:t>
                              </w:r>
                            </w:sdtContent>
                          </w:sdt>
                        </w:p>
                      </w:txbxContent>
                    </v:textbox>
                    <w10:wrap type="square" anchorx="page" anchory="page"/>
                  </v:shape>
                </w:pict>
              </mc:Fallback>
            </mc:AlternateContent>
          </w:r>
          <w:r w:rsidR="003524B7">
            <w:rPr>
              <w:noProof/>
            </w:rPr>
            <mc:AlternateContent>
              <mc:Choice Requires="wps">
                <w:drawing>
                  <wp:anchor distT="0" distB="0" distL="114300" distR="114300" simplePos="0" relativeHeight="251661312" behindDoc="0" locked="0" layoutInCell="1" allowOverlap="1" wp14:anchorId="7667F88A" wp14:editId="32349AAF">
                    <wp:simplePos x="0" y="0"/>
                    <wp:positionH relativeFrom="margin">
                      <wp:align>center</wp:align>
                    </wp:positionH>
                    <wp:positionV relativeFrom="page">
                      <wp:posOffset>5419725</wp:posOffset>
                    </wp:positionV>
                    <wp:extent cx="7315200" cy="1009650"/>
                    <wp:effectExtent l="0" t="0" r="0" b="1270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9E41D" w14:textId="39124DD9" w:rsidR="0092714C" w:rsidRDefault="0092714C">
                                <w:pPr>
                                  <w:pStyle w:val="NoSpacing"/>
                                  <w:jc w:val="right"/>
                                  <w:rPr>
                                    <w:color w:val="549E39" w:themeColor="accent1"/>
                                    <w:sz w:val="28"/>
                                    <w:szCs w:val="28"/>
                                  </w:rPr>
                                </w:pPr>
                              </w:p>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34133EF" w14:textId="0E8C001A" w:rsidR="0092714C" w:rsidRPr="003524B7" w:rsidRDefault="00F13612" w:rsidP="00F13612">
                                    <w:pPr>
                                      <w:pStyle w:val="NoSpacing"/>
                                      <w:jc w:val="right"/>
                                      <w:rPr>
                                        <w:rFonts w:ascii="Arial" w:hAnsi="Arial" w:cs="Arial"/>
                                        <w:color w:val="595959" w:themeColor="text1" w:themeTint="A6"/>
                                        <w:sz w:val="32"/>
                                        <w:szCs w:val="32"/>
                                      </w:rPr>
                                    </w:pPr>
                                    <w:r w:rsidRPr="003524B7">
                                      <w:rPr>
                                        <w:rFonts w:ascii="Arial" w:hAnsi="Arial" w:cs="Arial"/>
                                        <w:color w:val="595959" w:themeColor="text1" w:themeTint="A6"/>
                                        <w:sz w:val="32"/>
                                        <w:szCs w:val="32"/>
                                      </w:rPr>
                                      <w:t>Module title: Personnel Resourcing and Development</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Module code: BMIH5005</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Lecturer’s name: Helen Lee</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Student name: Rosario del Rocio Garcia Baez</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t xml:space="preserve"> </w:t>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Student number: 2230623</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Date: February 5, 2024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667F88A" id="Text Box 53" o:spid="_x0000_s1028" type="#_x0000_t202" style="position:absolute;left:0;text-align:left;margin-left:0;margin-top:426.7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" filled="f" stroked="f" strokeweight=".5pt">
                    <v:textbox style="mso-fit-shape-to-text:t" inset="126pt,0,54pt,0">
                      <w:txbxContent>
                        <w:p w14:paraId="73C9E41D" w14:textId="39124DD9" w:rsidR="0092714C" w:rsidRDefault="0092714C">
                          <w:pPr>
                            <w:pStyle w:val="NoSpacing"/>
                            <w:jc w:val="right"/>
                            <w:rPr>
                              <w:color w:val="549E39" w:themeColor="accent1"/>
                              <w:sz w:val="28"/>
                              <w:szCs w:val="28"/>
                            </w:rPr>
                          </w:pPr>
                        </w:p>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34133EF" w14:textId="0E8C001A" w:rsidR="0092714C" w:rsidRPr="003524B7" w:rsidRDefault="00F13612" w:rsidP="00F13612">
                              <w:pPr>
                                <w:pStyle w:val="NoSpacing"/>
                                <w:jc w:val="right"/>
                                <w:rPr>
                                  <w:rFonts w:ascii="Arial" w:hAnsi="Arial" w:cs="Arial"/>
                                  <w:color w:val="595959" w:themeColor="text1" w:themeTint="A6"/>
                                  <w:sz w:val="32"/>
                                  <w:szCs w:val="32"/>
                                </w:rPr>
                              </w:pPr>
                              <w:r w:rsidRPr="003524B7">
                                <w:rPr>
                                  <w:rFonts w:ascii="Arial" w:hAnsi="Arial" w:cs="Arial"/>
                                  <w:color w:val="595959" w:themeColor="text1" w:themeTint="A6"/>
                                  <w:sz w:val="32"/>
                                  <w:szCs w:val="32"/>
                                </w:rPr>
                                <w:t>Module title: Personnel Resourcing and Development</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Module code: BMIH5005</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Lecturer’s name: Helen Lee</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Student name: Rosario del Rocio Garcia Baez</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t xml:space="preserve"> </w:t>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Student number: 2230623</w:t>
                              </w:r>
                              <w:r w:rsidR="005E34C1">
                                <w:rPr>
                                  <w:rFonts w:ascii="Arial" w:hAnsi="Arial" w:cs="Arial"/>
                                  <w:color w:val="595959" w:themeColor="text1" w:themeTint="A6"/>
                                  <w:sz w:val="32"/>
                                  <w:szCs w:val="32"/>
                                </w:rPr>
                                <w:br/>
                              </w:r>
                              <w:r w:rsidRPr="003524B7">
                                <w:rPr>
                                  <w:rFonts w:ascii="Arial" w:hAnsi="Arial" w:cs="Arial"/>
                                  <w:color w:val="595959" w:themeColor="text1" w:themeTint="A6"/>
                                  <w:sz w:val="32"/>
                                  <w:szCs w:val="32"/>
                                </w:rPr>
                                <w:br/>
                              </w:r>
                              <w:r w:rsidRPr="003524B7">
                                <w:rPr>
                                  <w:rFonts w:ascii="Arial" w:hAnsi="Arial" w:cs="Arial"/>
                                  <w:color w:val="595959" w:themeColor="text1" w:themeTint="A6"/>
                                  <w:sz w:val="32"/>
                                  <w:szCs w:val="32"/>
                                </w:rPr>
                                <w:t>Date: February 5, 2024</w:t>
                              </w:r>
                            </w:p>
                          </w:sdtContent>
                        </w:sdt>
                      </w:txbxContent>
                    </v:textbox>
                    <w10:wrap type="square" anchorx="margin" anchory="page"/>
                  </v:shape>
                </w:pict>
              </mc:Fallback>
            </mc:AlternateContent>
          </w:r>
        </w:p>
      </w:sdtContent>
    </w:sdt>
    <w:p w14:paraId="534320BA" w14:textId="69CCFB37" w:rsidR="00B16427" w:rsidRPr="005E34C1" w:rsidRDefault="00B16427" w:rsidP="00753D68">
      <w:pPr>
        <w:spacing w:line="360" w:lineRule="auto"/>
        <w:jc w:val="left"/>
        <w:rPr>
          <w:sz w:val="28"/>
          <w:szCs w:val="28"/>
        </w:rPr>
      </w:pPr>
      <w:r w:rsidRPr="00981439">
        <w:rPr>
          <w:rFonts w:ascii="Arial" w:eastAsia="Times New Roman" w:hAnsi="Arial" w:cs="Arial"/>
          <w:sz w:val="24"/>
          <w:szCs w:val="24"/>
          <w:lang w:eastAsia="en-GB"/>
        </w:rPr>
        <w:lastRenderedPageBreak/>
        <w:t>The essence of Human Resources Management (HRM) within the hospitality sector, particularly in international hotel brands like Marriott, has evolved significantly, transitioning from traditional administrative functions to becoming a pivotal element in strategic business development</w:t>
      </w:r>
      <w:r w:rsidR="00E40997" w:rsidRPr="00981439">
        <w:rPr>
          <w:rFonts w:ascii="Arial" w:hAnsi="Arial" w:cs="Arial"/>
          <w:sz w:val="24"/>
          <w:szCs w:val="24"/>
          <w:shd w:val="clear" w:color="auto" w:fill="FFFFFF"/>
        </w:rPr>
        <w:t>.</w:t>
      </w:r>
      <w:r w:rsidR="00E40997" w:rsidRPr="00981439">
        <w:rPr>
          <w:rFonts w:ascii="Arial" w:eastAsia="Times New Roman" w:hAnsi="Arial" w:cs="Arial"/>
          <w:sz w:val="24"/>
          <w:szCs w:val="24"/>
          <w:lang w:eastAsia="en-GB"/>
        </w:rPr>
        <w:t xml:space="preserve"> </w:t>
      </w:r>
      <w:r w:rsidRPr="00981439">
        <w:rPr>
          <w:rFonts w:ascii="Arial" w:eastAsia="Times New Roman" w:hAnsi="Arial" w:cs="Arial"/>
          <w:sz w:val="24"/>
          <w:szCs w:val="24"/>
          <w:lang w:eastAsia="en-GB"/>
        </w:rPr>
        <w:t xml:space="preserve"> This essay aims to dissect the evolution of HRM and its instrumental role in facilitating the strategic development of Marriott through meticulous workforce planning, recruitment, and selection processes. HRM encompasses a broad spectrum of functions aimed at maximizing employee performance in service of an employer's strategic objectives</w:t>
      </w:r>
      <w:r w:rsidR="007C1B60">
        <w:rPr>
          <w:rFonts w:ascii="Arial" w:eastAsia="Times New Roman" w:hAnsi="Arial" w:cs="Arial"/>
          <w:sz w:val="24"/>
          <w:szCs w:val="24"/>
          <w:lang w:eastAsia="en-GB"/>
        </w:rPr>
        <w:t xml:space="preserve">. </w:t>
      </w:r>
      <w:proofErr w:type="gramStart"/>
      <w:r w:rsidR="00B944CD" w:rsidRPr="00981439">
        <w:rPr>
          <w:rFonts w:ascii="Arial" w:eastAsia="Times New Roman" w:hAnsi="Arial" w:cs="Arial"/>
          <w:sz w:val="24"/>
          <w:szCs w:val="24"/>
          <w:lang w:eastAsia="en-GB"/>
        </w:rPr>
        <w:t>(</w:t>
      </w:r>
      <w:proofErr w:type="gramEnd"/>
      <w:r w:rsidR="00B944CD" w:rsidRPr="00981439">
        <w:rPr>
          <w:rFonts w:ascii="Arial" w:hAnsi="Arial" w:cs="Arial"/>
          <w:sz w:val="24"/>
          <w:szCs w:val="24"/>
          <w:shd w:val="clear" w:color="auto" w:fill="FFFFFF"/>
        </w:rPr>
        <w:t>Parks 2017 p. 10)</w:t>
      </w:r>
      <w:r w:rsidRPr="00981439">
        <w:rPr>
          <w:rFonts w:ascii="Arial" w:eastAsia="Times New Roman" w:hAnsi="Arial" w:cs="Arial"/>
          <w:sz w:val="24"/>
          <w:szCs w:val="24"/>
          <w:lang w:eastAsia="en-GB"/>
        </w:rPr>
        <w:t xml:space="preserve">. Strategic development refers to the long-term planning and execution of initiatives to achieve sustainable competitive advantage. Workforce planning is a systematic process for identifying and addressing the gaps between the workforce of today and the human capital needs of tomorrow. Recruitment and selection, on the other hand, are the processes of attracting, screening, and choosing qualified candidates for a job at an organization or firm </w:t>
      </w:r>
      <w:r w:rsidR="00B8760C" w:rsidRPr="00981439">
        <w:rPr>
          <w:rFonts w:ascii="Arial" w:eastAsia="Times New Roman" w:hAnsi="Arial" w:cs="Arial"/>
          <w:sz w:val="24"/>
          <w:szCs w:val="24"/>
          <w:lang w:eastAsia="en-GB"/>
        </w:rPr>
        <w:t>(</w:t>
      </w:r>
      <w:proofErr w:type="spellStart"/>
      <w:r w:rsidR="006F09CF" w:rsidRPr="00981439">
        <w:rPr>
          <w:rFonts w:ascii="Arial" w:hAnsi="Arial" w:cs="Arial"/>
          <w:sz w:val="24"/>
          <w:szCs w:val="24"/>
          <w:shd w:val="clear" w:color="auto" w:fill="FFFFFF"/>
        </w:rPr>
        <w:t>Hotho</w:t>
      </w:r>
      <w:proofErr w:type="spellEnd"/>
      <w:r w:rsidR="00B8760C" w:rsidRPr="00981439">
        <w:rPr>
          <w:rFonts w:ascii="Arial" w:hAnsi="Arial" w:cs="Arial"/>
          <w:sz w:val="24"/>
          <w:szCs w:val="24"/>
          <w:shd w:val="clear" w:color="auto" w:fill="FFFFFF"/>
        </w:rPr>
        <w:t xml:space="preserve"> </w:t>
      </w:r>
      <w:r w:rsidR="006F09CF" w:rsidRPr="00981439">
        <w:rPr>
          <w:rFonts w:ascii="Arial" w:hAnsi="Arial" w:cs="Arial"/>
          <w:sz w:val="24"/>
          <w:szCs w:val="24"/>
          <w:shd w:val="clear" w:color="auto" w:fill="FFFFFF"/>
        </w:rPr>
        <w:t>2020)</w:t>
      </w:r>
      <w:r w:rsidR="00493C13" w:rsidRPr="00981439">
        <w:rPr>
          <w:rFonts w:ascii="Arial" w:hAnsi="Arial" w:cs="Arial"/>
          <w:sz w:val="24"/>
          <w:szCs w:val="24"/>
          <w:shd w:val="clear" w:color="auto" w:fill="FFFFFF"/>
        </w:rPr>
        <w:t xml:space="preserve">. </w:t>
      </w:r>
      <w:r w:rsidRPr="00981439">
        <w:rPr>
          <w:rFonts w:ascii="Arial" w:eastAsia="Times New Roman" w:hAnsi="Arial" w:cs="Arial"/>
          <w:sz w:val="24"/>
          <w:szCs w:val="24"/>
          <w:lang w:eastAsia="en-GB"/>
        </w:rPr>
        <w:t>By examining these facets within the context of Marriott, this essay will uncover how HRM has transitioned from a support function to a strategic partner in the hotel industry.</w:t>
      </w:r>
      <w:r w:rsidR="00FB3FA1" w:rsidRPr="00981439">
        <w:rPr>
          <w:rFonts w:ascii="Arial" w:eastAsia="Times New Roman" w:hAnsi="Arial" w:cs="Arial"/>
          <w:sz w:val="24"/>
          <w:szCs w:val="24"/>
          <w:lang w:eastAsia="en-GB"/>
        </w:rPr>
        <w:tab/>
      </w:r>
    </w:p>
    <w:p w14:paraId="514B5B5B" w14:textId="43D9F39B"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The evolution of Human Resources Management (HRM) can be traced back to the industrial revolution, where it began as a simple function concerned with worker welfare and basic record-keeping </w:t>
      </w:r>
      <w:bookmarkStart w:id="0" w:name="_Hlk158047305"/>
      <w:r w:rsidR="000A20A4" w:rsidRPr="00981439">
        <w:rPr>
          <w:rFonts w:ascii="Arial" w:eastAsia="Times New Roman" w:hAnsi="Arial" w:cs="Arial"/>
          <w:sz w:val="24"/>
          <w:szCs w:val="24"/>
          <w:lang w:eastAsia="en-GB"/>
        </w:rPr>
        <w:t>(</w:t>
      </w:r>
      <w:proofErr w:type="spellStart"/>
      <w:r w:rsidR="00FD65E7" w:rsidRPr="00981439">
        <w:rPr>
          <w:rFonts w:ascii="Arial" w:hAnsi="Arial" w:cs="Arial"/>
          <w:color w:val="3A3A3A"/>
          <w:sz w:val="24"/>
          <w:szCs w:val="24"/>
          <w:shd w:val="clear" w:color="auto" w:fill="FFFFFF"/>
        </w:rPr>
        <w:t>Yalenios</w:t>
      </w:r>
      <w:proofErr w:type="spellEnd"/>
      <w:r w:rsidR="00FD65E7" w:rsidRPr="00981439">
        <w:rPr>
          <w:rFonts w:ascii="Arial" w:hAnsi="Arial" w:cs="Arial"/>
          <w:color w:val="3A3A3A"/>
          <w:sz w:val="24"/>
          <w:szCs w:val="24"/>
          <w:shd w:val="clear" w:color="auto" w:fill="FFFFFF"/>
        </w:rPr>
        <w:t>, 2023)</w:t>
      </w:r>
      <w:r w:rsidR="007005D4" w:rsidRPr="00981439">
        <w:rPr>
          <w:rFonts w:ascii="Arial" w:hAnsi="Arial" w:cs="Arial"/>
          <w:color w:val="3A3A3A"/>
          <w:sz w:val="24"/>
          <w:szCs w:val="24"/>
          <w:shd w:val="clear" w:color="auto" w:fill="FFFFFF"/>
        </w:rPr>
        <w:t>.</w:t>
      </w:r>
      <w:r w:rsidRPr="00981439">
        <w:rPr>
          <w:rFonts w:ascii="Arial" w:eastAsia="Times New Roman" w:hAnsi="Arial" w:cs="Arial"/>
          <w:sz w:val="24"/>
          <w:szCs w:val="24"/>
          <w:lang w:eastAsia="en-GB"/>
        </w:rPr>
        <w:t xml:space="preserve"> </w:t>
      </w:r>
      <w:bookmarkEnd w:id="0"/>
      <w:r w:rsidRPr="00981439">
        <w:rPr>
          <w:rFonts w:ascii="Arial" w:eastAsia="Times New Roman" w:hAnsi="Arial" w:cs="Arial"/>
          <w:sz w:val="24"/>
          <w:szCs w:val="24"/>
          <w:lang w:eastAsia="en-GB"/>
        </w:rPr>
        <w:t>Over the decades, HRM has undergone a profound transformation, particularly with the advent of scientific management in the early 20th century, which emphasized efficiency and productivity in the workforce. However, it was not until the latter half of the century that HRM started to gain recognition as a vital component in strategic planning, marked by an increased focus on organizational development, employee motivation, and the alignment of HR policies with business goals</w:t>
      </w:r>
      <w:r w:rsidR="00DC48A9" w:rsidRPr="00981439">
        <w:rPr>
          <w:rFonts w:ascii="Arial" w:eastAsia="Times New Roman" w:hAnsi="Arial" w:cs="Arial"/>
          <w:sz w:val="24"/>
          <w:szCs w:val="24"/>
          <w:lang w:eastAsia="en-GB"/>
        </w:rPr>
        <w:t>.</w:t>
      </w:r>
      <w:r w:rsidR="00783D1D" w:rsidRPr="00981439">
        <w:rPr>
          <w:rFonts w:ascii="Arial" w:hAnsi="Arial" w:cs="Arial"/>
          <w:color w:val="3A3A3A"/>
          <w:sz w:val="24"/>
          <w:szCs w:val="24"/>
          <w:shd w:val="clear" w:color="auto" w:fill="FFFFFF"/>
        </w:rPr>
        <w:t xml:space="preserve"> </w:t>
      </w:r>
      <w:r w:rsidR="00B86C2A" w:rsidRPr="00981439">
        <w:rPr>
          <w:rFonts w:ascii="Arial" w:hAnsi="Arial" w:cs="Arial"/>
          <w:color w:val="3A3A3A"/>
          <w:sz w:val="24"/>
          <w:szCs w:val="24"/>
          <w:shd w:val="clear" w:color="auto" w:fill="FFFFFF"/>
        </w:rPr>
        <w:t>(</w:t>
      </w:r>
      <w:r w:rsidR="00783D1D" w:rsidRPr="00981439">
        <w:rPr>
          <w:rFonts w:ascii="Arial" w:hAnsi="Arial" w:cs="Arial"/>
          <w:color w:val="3A3A3A"/>
          <w:sz w:val="24"/>
          <w:szCs w:val="24"/>
          <w:shd w:val="clear" w:color="auto" w:fill="FFFFFF"/>
        </w:rPr>
        <w:t>Gaur, 2023</w:t>
      </w:r>
      <w:r w:rsidR="00B86C2A" w:rsidRPr="00981439">
        <w:rPr>
          <w:rFonts w:ascii="Arial" w:hAnsi="Arial" w:cs="Arial"/>
          <w:color w:val="3A3A3A"/>
          <w:sz w:val="24"/>
          <w:szCs w:val="24"/>
          <w:shd w:val="clear" w:color="auto" w:fill="FFFFFF"/>
        </w:rPr>
        <w:t>)</w:t>
      </w:r>
      <w:r w:rsidRPr="00981439">
        <w:rPr>
          <w:rFonts w:ascii="Arial" w:eastAsia="Times New Roman" w:hAnsi="Arial" w:cs="Arial"/>
          <w:sz w:val="24"/>
          <w:szCs w:val="24"/>
          <w:lang w:eastAsia="en-GB"/>
        </w:rPr>
        <w:t>.</w:t>
      </w:r>
    </w:p>
    <w:p w14:paraId="52FC9F74" w14:textId="4E44280D"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transition from administrative to strategic HRM was propelled by the realization that human capital is a critical source of competitive advantage. Strategic HRM focuses on aligning HR strategies with the overall business strategy, emphasizing the importance of human capital in achieving business objectives</w:t>
      </w:r>
      <w:r w:rsidR="00477D05" w:rsidRPr="00981439">
        <w:rPr>
          <w:rFonts w:ascii="Arial" w:eastAsia="Times New Roman" w:hAnsi="Arial" w:cs="Arial"/>
          <w:sz w:val="24"/>
          <w:szCs w:val="24"/>
          <w:lang w:eastAsia="en-GB"/>
        </w:rPr>
        <w:t xml:space="preserve"> </w:t>
      </w:r>
      <w:r w:rsidR="00842FCC" w:rsidRPr="00981439">
        <w:rPr>
          <w:rFonts w:ascii="Arial" w:eastAsia="Times New Roman" w:hAnsi="Arial" w:cs="Arial"/>
          <w:sz w:val="24"/>
          <w:szCs w:val="24"/>
          <w:lang w:eastAsia="en-GB"/>
        </w:rPr>
        <w:t>(</w:t>
      </w:r>
      <w:r w:rsidR="00477D05" w:rsidRPr="00981439">
        <w:rPr>
          <w:rFonts w:ascii="Arial" w:hAnsi="Arial" w:cs="Arial"/>
          <w:color w:val="3A3A3A"/>
          <w:sz w:val="24"/>
          <w:szCs w:val="24"/>
          <w:shd w:val="clear" w:color="auto" w:fill="FFFFFF"/>
        </w:rPr>
        <w:t>Josan, 2013</w:t>
      </w:r>
      <w:r w:rsidR="00445B48" w:rsidRPr="00981439">
        <w:rPr>
          <w:rFonts w:ascii="Arial" w:hAnsi="Arial" w:cs="Arial"/>
          <w:color w:val="3A3A3A"/>
          <w:sz w:val="24"/>
          <w:szCs w:val="24"/>
          <w:shd w:val="clear" w:color="auto" w:fill="FFFFFF"/>
        </w:rPr>
        <w:t>, p. 39)</w:t>
      </w:r>
      <w:r w:rsidRPr="00981439">
        <w:rPr>
          <w:rFonts w:ascii="Arial" w:eastAsia="Times New Roman" w:hAnsi="Arial" w:cs="Arial"/>
          <w:sz w:val="24"/>
          <w:szCs w:val="24"/>
          <w:lang w:eastAsia="en-GB"/>
        </w:rPr>
        <w:t xml:space="preserve">. This shift was further influenced by globalization, which introduced new challenges and opportunities in managing a diverse and geographically dispersed workforce. Globalization demanded more adaptive, knowledgeable, and culturally </w:t>
      </w:r>
      <w:r w:rsidRPr="00981439">
        <w:rPr>
          <w:rFonts w:ascii="Arial" w:eastAsia="Times New Roman" w:hAnsi="Arial" w:cs="Arial"/>
          <w:sz w:val="24"/>
          <w:szCs w:val="24"/>
          <w:lang w:eastAsia="en-GB"/>
        </w:rPr>
        <w:lastRenderedPageBreak/>
        <w:t>sensitive HR practices, pushing HRM to adopt a more strategic and international perspective</w:t>
      </w:r>
      <w:r w:rsidR="000D6E5F" w:rsidRPr="00981439">
        <w:rPr>
          <w:rFonts w:ascii="Arial" w:eastAsia="Times New Roman" w:hAnsi="Arial" w:cs="Arial"/>
          <w:sz w:val="24"/>
          <w:szCs w:val="24"/>
          <w:lang w:eastAsia="en-GB"/>
        </w:rPr>
        <w:t>.</w:t>
      </w:r>
      <w:r w:rsidRPr="00981439">
        <w:rPr>
          <w:rFonts w:ascii="Arial" w:eastAsia="Times New Roman" w:hAnsi="Arial" w:cs="Arial"/>
          <w:sz w:val="24"/>
          <w:szCs w:val="24"/>
          <w:lang w:eastAsia="en-GB"/>
        </w:rPr>
        <w:t xml:space="preserve"> </w:t>
      </w:r>
      <w:bookmarkStart w:id="1" w:name="_Hlk158047890"/>
      <w:r w:rsidR="000D6E5F" w:rsidRPr="00981439">
        <w:rPr>
          <w:rFonts w:ascii="Arial" w:eastAsia="Times New Roman" w:hAnsi="Arial" w:cs="Arial"/>
          <w:sz w:val="24"/>
          <w:szCs w:val="24"/>
          <w:lang w:eastAsia="en-GB"/>
        </w:rPr>
        <w:t>(</w:t>
      </w:r>
      <w:r w:rsidR="003131DE" w:rsidRPr="00981439">
        <w:rPr>
          <w:rFonts w:ascii="Arial" w:hAnsi="Arial" w:cs="Arial"/>
          <w:color w:val="3A3A3A"/>
          <w:sz w:val="24"/>
          <w:szCs w:val="24"/>
          <w:shd w:val="clear" w:color="auto" w:fill="FFFFFF"/>
        </w:rPr>
        <w:t>Shaikh, 2022)</w:t>
      </w:r>
      <w:bookmarkEnd w:id="1"/>
      <w:r w:rsidR="00FB44C6" w:rsidRPr="00981439">
        <w:rPr>
          <w:rFonts w:ascii="Arial" w:hAnsi="Arial" w:cs="Arial"/>
          <w:color w:val="3A3A3A"/>
          <w:sz w:val="24"/>
          <w:szCs w:val="24"/>
          <w:shd w:val="clear" w:color="auto" w:fill="FFFFFF"/>
        </w:rPr>
        <w:t>.</w:t>
      </w:r>
    </w:p>
    <w:p w14:paraId="3DCB27EC" w14:textId="3E254B10"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impact of globalization on HRM has been profound, necessitating the adoption of more flexible, technology-driven, and employee-</w:t>
      </w:r>
      <w:proofErr w:type="spellStart"/>
      <w:r w:rsidRPr="00981439">
        <w:rPr>
          <w:rFonts w:ascii="Arial" w:eastAsia="Times New Roman" w:hAnsi="Arial" w:cs="Arial"/>
          <w:sz w:val="24"/>
          <w:szCs w:val="24"/>
          <w:lang w:eastAsia="en-GB"/>
        </w:rPr>
        <w:t>centered</w:t>
      </w:r>
      <w:proofErr w:type="spellEnd"/>
      <w:r w:rsidRPr="00981439">
        <w:rPr>
          <w:rFonts w:ascii="Arial" w:eastAsia="Times New Roman" w:hAnsi="Arial" w:cs="Arial"/>
          <w:sz w:val="24"/>
          <w:szCs w:val="24"/>
          <w:lang w:eastAsia="en-GB"/>
        </w:rPr>
        <w:t xml:space="preserve"> HR practices. The need for global talent management, cross-cultural management, and international </w:t>
      </w:r>
      <w:r w:rsidR="009A78DD" w:rsidRPr="00981439">
        <w:rPr>
          <w:rFonts w:ascii="Arial" w:eastAsia="Times New Roman" w:hAnsi="Arial" w:cs="Arial"/>
          <w:sz w:val="24"/>
          <w:szCs w:val="24"/>
          <w:lang w:eastAsia="en-GB"/>
        </w:rPr>
        <w:t>labour</w:t>
      </w:r>
      <w:r w:rsidRPr="00981439">
        <w:rPr>
          <w:rFonts w:ascii="Arial" w:eastAsia="Times New Roman" w:hAnsi="Arial" w:cs="Arial"/>
          <w:sz w:val="24"/>
          <w:szCs w:val="24"/>
          <w:lang w:eastAsia="en-GB"/>
        </w:rPr>
        <w:t xml:space="preserve"> standards became more pronounced, requiring HR professionals to possess a global outlook and strategic acumen</w:t>
      </w:r>
      <w:r w:rsidR="00C86D1B" w:rsidRPr="00981439">
        <w:rPr>
          <w:rFonts w:ascii="Arial" w:hAnsi="Arial" w:cs="Arial"/>
          <w:color w:val="3A3A3A"/>
          <w:sz w:val="24"/>
          <w:szCs w:val="24"/>
          <w:shd w:val="clear" w:color="auto" w:fill="FFFFFF"/>
        </w:rPr>
        <w:t xml:space="preserve"> </w:t>
      </w:r>
      <w:r w:rsidR="00DC3A40" w:rsidRPr="00981439">
        <w:rPr>
          <w:rFonts w:ascii="Arial" w:hAnsi="Arial" w:cs="Arial"/>
          <w:color w:val="3A3A3A"/>
          <w:sz w:val="24"/>
          <w:szCs w:val="24"/>
          <w:shd w:val="clear" w:color="auto" w:fill="FFFFFF"/>
        </w:rPr>
        <w:t>(</w:t>
      </w:r>
      <w:proofErr w:type="spellStart"/>
      <w:r w:rsidR="00C86D1B" w:rsidRPr="00981439">
        <w:rPr>
          <w:rFonts w:ascii="Arial" w:hAnsi="Arial" w:cs="Arial"/>
          <w:color w:val="3A3A3A"/>
          <w:sz w:val="24"/>
          <w:szCs w:val="24"/>
          <w:shd w:val="clear" w:color="auto" w:fill="FFFFFF"/>
        </w:rPr>
        <w:t>Mellahi</w:t>
      </w:r>
      <w:proofErr w:type="spellEnd"/>
      <w:r w:rsidR="00C86D1B" w:rsidRPr="00981439">
        <w:rPr>
          <w:rFonts w:ascii="Arial" w:hAnsi="Arial" w:cs="Arial"/>
          <w:color w:val="3A3A3A"/>
          <w:sz w:val="24"/>
          <w:szCs w:val="24"/>
          <w:shd w:val="clear" w:color="auto" w:fill="FFFFFF"/>
        </w:rPr>
        <w:t>, 2020)</w:t>
      </w:r>
      <w:r w:rsidRPr="00981439">
        <w:rPr>
          <w:rFonts w:ascii="Arial" w:eastAsia="Times New Roman" w:hAnsi="Arial" w:cs="Arial"/>
          <w:sz w:val="24"/>
          <w:szCs w:val="24"/>
          <w:lang w:eastAsia="en-GB"/>
        </w:rPr>
        <w:t>. This global shift has transformed HRM from a primarily administrative and operational function to a strategic partner that contributes directly to the achievement of global business strategies.</w:t>
      </w:r>
    </w:p>
    <w:p w14:paraId="35C76C04" w14:textId="1E7EDC9C"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integration of Human Resources Management (HRM) with business strategy represents a paradigm shift from traditional HR practices to a more strategic framework that aligns with organizational goals and objectives. This strategic alignment ensures that HR functions contribute directly to the business's success, particularly in dynamic and competitive sectors like the hospitality industry.</w:t>
      </w:r>
      <w:r w:rsidR="0013773D" w:rsidRPr="00981439">
        <w:rPr>
          <w:rFonts w:ascii="Arial" w:eastAsia="Times New Roman" w:hAnsi="Arial" w:cs="Arial"/>
          <w:sz w:val="24"/>
          <w:szCs w:val="24"/>
          <w:lang w:eastAsia="en-GB"/>
        </w:rPr>
        <w:t xml:space="preserve"> </w:t>
      </w:r>
      <w:r w:rsidRPr="00981439">
        <w:rPr>
          <w:rFonts w:ascii="Arial" w:eastAsia="Times New Roman" w:hAnsi="Arial" w:cs="Arial"/>
          <w:sz w:val="24"/>
          <w:szCs w:val="24"/>
          <w:lang w:eastAsia="en-GB"/>
        </w:rPr>
        <w:t xml:space="preserve">According to </w:t>
      </w:r>
      <w:r w:rsidR="00100AA0" w:rsidRPr="00981439">
        <w:rPr>
          <w:rFonts w:ascii="Arial" w:eastAsia="Times New Roman" w:hAnsi="Arial" w:cs="Arial"/>
          <w:sz w:val="24"/>
          <w:szCs w:val="24"/>
          <w:lang w:eastAsia="en-GB"/>
        </w:rPr>
        <w:t>Mohammad et al.</w:t>
      </w:r>
      <w:r w:rsidRPr="00981439">
        <w:rPr>
          <w:rFonts w:ascii="Arial" w:eastAsia="Times New Roman" w:hAnsi="Arial" w:cs="Arial"/>
          <w:sz w:val="24"/>
          <w:szCs w:val="24"/>
          <w:lang w:eastAsia="en-GB"/>
        </w:rPr>
        <w:t xml:space="preserve"> (</w:t>
      </w:r>
      <w:r w:rsidR="00100AA0" w:rsidRPr="00981439">
        <w:rPr>
          <w:rFonts w:ascii="Arial" w:eastAsia="Times New Roman" w:hAnsi="Arial" w:cs="Arial"/>
          <w:sz w:val="24"/>
          <w:szCs w:val="24"/>
          <w:lang w:eastAsia="en-GB"/>
        </w:rPr>
        <w:t>2021</w:t>
      </w:r>
      <w:r w:rsidRPr="00981439">
        <w:rPr>
          <w:rFonts w:ascii="Arial" w:eastAsia="Times New Roman" w:hAnsi="Arial" w:cs="Arial"/>
          <w:sz w:val="24"/>
          <w:szCs w:val="24"/>
          <w:lang w:eastAsia="en-GB"/>
        </w:rPr>
        <w:t>), strategic HRM focuses on aligning HR practices with business strategy to achieve competitive advantage. This involves a comprehensive understanding of the business's long-term goals and the</w:t>
      </w:r>
      <w:r w:rsidR="00D0177A" w:rsidRPr="00981439">
        <w:rPr>
          <w:rFonts w:ascii="Arial" w:eastAsia="Times New Roman" w:hAnsi="Arial" w:cs="Arial"/>
          <w:sz w:val="24"/>
          <w:szCs w:val="24"/>
          <w:lang w:eastAsia="en-GB"/>
        </w:rPr>
        <w:t xml:space="preserve"> </w:t>
      </w:r>
      <w:r w:rsidRPr="00981439">
        <w:rPr>
          <w:rFonts w:ascii="Arial" w:eastAsia="Times New Roman" w:hAnsi="Arial" w:cs="Arial"/>
          <w:sz w:val="24"/>
          <w:szCs w:val="24"/>
          <w:lang w:eastAsia="en-GB"/>
        </w:rPr>
        <w:t>deployment of HR practices that foster an environment conducive to achieving these objectives.</w:t>
      </w:r>
    </w:p>
    <w:p w14:paraId="3E87A2C8" w14:textId="24296465"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The strategic HR planning process is a cornerstone of this alignment, involving several critical steps: forecasting </w:t>
      </w:r>
      <w:r w:rsidR="00FB5B06" w:rsidRPr="00981439">
        <w:rPr>
          <w:rFonts w:ascii="Arial" w:eastAsia="Times New Roman" w:hAnsi="Arial" w:cs="Arial"/>
          <w:sz w:val="24"/>
          <w:szCs w:val="24"/>
          <w:lang w:eastAsia="en-GB"/>
        </w:rPr>
        <w:t>labour</w:t>
      </w:r>
      <w:r w:rsidRPr="00981439">
        <w:rPr>
          <w:rFonts w:ascii="Arial" w:eastAsia="Times New Roman" w:hAnsi="Arial" w:cs="Arial"/>
          <w:sz w:val="24"/>
          <w:szCs w:val="24"/>
          <w:lang w:eastAsia="en-GB"/>
        </w:rPr>
        <w:t xml:space="preserve"> demand and supply, goal setting, and strategic planning.</w:t>
      </w:r>
      <w:r w:rsidR="00DC6018" w:rsidRPr="00981439">
        <w:rPr>
          <w:rFonts w:ascii="Arial" w:hAnsi="Arial" w:cs="Arial"/>
          <w:color w:val="3A3A3A"/>
          <w:sz w:val="24"/>
          <w:szCs w:val="24"/>
          <w:shd w:val="clear" w:color="auto" w:fill="FFFFFF"/>
        </w:rPr>
        <w:t xml:space="preserve"> </w:t>
      </w:r>
      <w:r w:rsidRPr="005A5239">
        <w:rPr>
          <w:rFonts w:ascii="Arial" w:eastAsia="Times New Roman" w:hAnsi="Arial" w:cs="Arial"/>
          <w:sz w:val="24"/>
          <w:szCs w:val="24"/>
          <w:lang w:eastAsia="en-GB"/>
        </w:rPr>
        <w:t xml:space="preserve">Armstrong and Taylor (2020) </w:t>
      </w:r>
      <w:r w:rsidR="00AB76AD" w:rsidRPr="005A5239">
        <w:rPr>
          <w:rFonts w:ascii="Arial" w:eastAsia="Times New Roman" w:hAnsi="Arial" w:cs="Arial"/>
          <w:sz w:val="24"/>
          <w:szCs w:val="24"/>
          <w:lang w:eastAsia="en-GB"/>
        </w:rPr>
        <w:t>describe</w:t>
      </w:r>
      <w:r w:rsidRPr="00981439">
        <w:rPr>
          <w:rFonts w:ascii="Arial" w:eastAsia="Times New Roman" w:hAnsi="Arial" w:cs="Arial"/>
          <w:sz w:val="24"/>
          <w:szCs w:val="24"/>
          <w:lang w:eastAsia="en-GB"/>
        </w:rPr>
        <w:t xml:space="preserve"> forecasting </w:t>
      </w:r>
      <w:r w:rsidR="00FB5B06" w:rsidRPr="00981439">
        <w:rPr>
          <w:rFonts w:ascii="Arial" w:eastAsia="Times New Roman" w:hAnsi="Arial" w:cs="Arial"/>
          <w:sz w:val="24"/>
          <w:szCs w:val="24"/>
          <w:lang w:eastAsia="en-GB"/>
        </w:rPr>
        <w:t>labour</w:t>
      </w:r>
      <w:r w:rsidRPr="00981439">
        <w:rPr>
          <w:rFonts w:ascii="Arial" w:eastAsia="Times New Roman" w:hAnsi="Arial" w:cs="Arial"/>
          <w:sz w:val="24"/>
          <w:szCs w:val="24"/>
          <w:lang w:eastAsia="en-GB"/>
        </w:rPr>
        <w:t xml:space="preserve"> demand and supply as the process of estimating the future human resource requirements of an organization and the likely supply of employees. This forecasting is crucial for identifying potential gaps in the workforce that could impede the achievement of strategic goals.</w:t>
      </w:r>
    </w:p>
    <w:p w14:paraId="6ACD7A04" w14:textId="6A90FA0B"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Goal setting in the strategic HR planning process involves defining clear, measurable objectives that HR initiatives aim to achieve within a specific timeframe. These goals are typically aligned with broader business objectives and can range from improving employee engagement to enhancing workforce productivity. Strategic planning, as outlined by</w:t>
      </w:r>
      <w:r w:rsidR="00A779C7" w:rsidRPr="00981439">
        <w:rPr>
          <w:rFonts w:ascii="Arial" w:eastAsia="Times New Roman" w:hAnsi="Arial" w:cs="Arial"/>
          <w:sz w:val="24"/>
          <w:szCs w:val="24"/>
          <w:lang w:eastAsia="en-GB"/>
        </w:rPr>
        <w:t xml:space="preserve"> </w:t>
      </w:r>
      <w:r w:rsidR="00A779C7" w:rsidRPr="00981439">
        <w:rPr>
          <w:rFonts w:ascii="Arial" w:hAnsi="Arial" w:cs="Arial"/>
          <w:color w:val="3A3A3A"/>
          <w:sz w:val="24"/>
          <w:szCs w:val="24"/>
          <w:shd w:val="clear" w:color="auto" w:fill="FFFFFF"/>
        </w:rPr>
        <w:t>Rees and French</w:t>
      </w:r>
      <w:r w:rsidR="001A3FB5" w:rsidRPr="00981439">
        <w:rPr>
          <w:rFonts w:ascii="Arial" w:hAnsi="Arial" w:cs="Arial"/>
          <w:color w:val="3A3A3A"/>
          <w:sz w:val="24"/>
          <w:szCs w:val="24"/>
          <w:shd w:val="clear" w:color="auto" w:fill="FFFFFF"/>
        </w:rPr>
        <w:t xml:space="preserve"> </w:t>
      </w:r>
      <w:r w:rsidR="00A779C7" w:rsidRPr="00981439">
        <w:rPr>
          <w:rFonts w:ascii="Arial" w:hAnsi="Arial" w:cs="Arial"/>
          <w:color w:val="3A3A3A"/>
          <w:sz w:val="24"/>
          <w:szCs w:val="24"/>
          <w:shd w:val="clear" w:color="auto" w:fill="FFFFFF"/>
        </w:rPr>
        <w:t>(2023)</w:t>
      </w:r>
      <w:r w:rsidRPr="00981439">
        <w:rPr>
          <w:rFonts w:ascii="Arial" w:eastAsia="Times New Roman" w:hAnsi="Arial" w:cs="Arial"/>
          <w:sz w:val="24"/>
          <w:szCs w:val="24"/>
          <w:lang w:eastAsia="en-GB"/>
        </w:rPr>
        <w:t xml:space="preserve">, then involves developing specific HR initiatives </w:t>
      </w:r>
      <w:r w:rsidRPr="00981439">
        <w:rPr>
          <w:rFonts w:ascii="Arial" w:eastAsia="Times New Roman" w:hAnsi="Arial" w:cs="Arial"/>
          <w:sz w:val="24"/>
          <w:szCs w:val="24"/>
          <w:lang w:eastAsia="en-GB"/>
        </w:rPr>
        <w:lastRenderedPageBreak/>
        <w:t>and programs designed to meet these goals, such as training and development programs, succession planning, and performance management systems.</w:t>
      </w:r>
    </w:p>
    <w:p w14:paraId="67CEEE5A" w14:textId="1581E797"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The application of strategic HR planning within the Marriott International hotel brand exemplifies how sophisticated HR practices can facilitate the strategic development of a global hospitality business. Marriott's approach to workforce planning is anchored in a deep understanding of its strategic business needs and the dynamic nature of the global hospitality industry. By forecasting </w:t>
      </w:r>
      <w:r w:rsidR="009A78DD" w:rsidRPr="00981439">
        <w:rPr>
          <w:rFonts w:ascii="Arial" w:eastAsia="Times New Roman" w:hAnsi="Arial" w:cs="Arial"/>
          <w:sz w:val="24"/>
          <w:szCs w:val="24"/>
          <w:lang w:eastAsia="en-GB"/>
        </w:rPr>
        <w:t>labour</w:t>
      </w:r>
      <w:r w:rsidRPr="00981439">
        <w:rPr>
          <w:rFonts w:ascii="Arial" w:eastAsia="Times New Roman" w:hAnsi="Arial" w:cs="Arial"/>
          <w:sz w:val="24"/>
          <w:szCs w:val="24"/>
          <w:lang w:eastAsia="en-GB"/>
        </w:rPr>
        <w:t xml:space="preserve"> demand, Marriott identifies the critical roles and skills required to sustain its growth and maintain its competitive edge. This forecasting </w:t>
      </w:r>
      <w:proofErr w:type="gramStart"/>
      <w:r w:rsidRPr="00981439">
        <w:rPr>
          <w:rFonts w:ascii="Arial" w:eastAsia="Times New Roman" w:hAnsi="Arial" w:cs="Arial"/>
          <w:sz w:val="24"/>
          <w:szCs w:val="24"/>
          <w:lang w:eastAsia="en-GB"/>
        </w:rPr>
        <w:t>takes into account</w:t>
      </w:r>
      <w:proofErr w:type="gramEnd"/>
      <w:r w:rsidRPr="00981439">
        <w:rPr>
          <w:rFonts w:ascii="Arial" w:eastAsia="Times New Roman" w:hAnsi="Arial" w:cs="Arial"/>
          <w:sz w:val="24"/>
          <w:szCs w:val="24"/>
          <w:lang w:eastAsia="en-GB"/>
        </w:rPr>
        <w:t xml:space="preserve"> both the current industry trends and the company's expansion plans, ensuring that the workforce is agile and capable of meeting evolving business demands.</w:t>
      </w:r>
      <w:r w:rsidR="00405468" w:rsidRPr="00981439">
        <w:rPr>
          <w:rFonts w:ascii="Arial" w:hAnsi="Arial" w:cs="Arial"/>
          <w:color w:val="3A3A3A"/>
          <w:sz w:val="24"/>
          <w:szCs w:val="24"/>
          <w:shd w:val="clear" w:color="auto" w:fill="FFFFFF"/>
        </w:rPr>
        <w:t xml:space="preserve"> </w:t>
      </w:r>
      <w:r w:rsidR="0079071F" w:rsidRPr="00981439">
        <w:rPr>
          <w:rFonts w:ascii="Arial" w:hAnsi="Arial" w:cs="Arial"/>
          <w:color w:val="3A3A3A"/>
          <w:sz w:val="24"/>
          <w:szCs w:val="24"/>
          <w:shd w:val="clear" w:color="auto" w:fill="FFFFFF"/>
        </w:rPr>
        <w:t>(</w:t>
      </w:r>
      <w:proofErr w:type="spellStart"/>
      <w:r w:rsidR="00405468" w:rsidRPr="00981439">
        <w:rPr>
          <w:rFonts w:ascii="Arial" w:hAnsi="Arial" w:cs="Arial"/>
          <w:color w:val="3A3A3A"/>
          <w:sz w:val="24"/>
          <w:szCs w:val="24"/>
          <w:shd w:val="clear" w:color="auto" w:fill="FFFFFF"/>
        </w:rPr>
        <w:t>Baytok</w:t>
      </w:r>
      <w:proofErr w:type="spellEnd"/>
      <w:r w:rsidR="00405468" w:rsidRPr="00981439">
        <w:rPr>
          <w:rFonts w:ascii="Arial" w:hAnsi="Arial" w:cs="Arial"/>
          <w:color w:val="3A3A3A"/>
          <w:sz w:val="24"/>
          <w:szCs w:val="24"/>
          <w:shd w:val="clear" w:color="auto" w:fill="FFFFFF"/>
        </w:rPr>
        <w:t>,</w:t>
      </w:r>
      <w:r w:rsidR="00335CDA" w:rsidRPr="00981439">
        <w:rPr>
          <w:rFonts w:ascii="Arial" w:hAnsi="Arial" w:cs="Arial"/>
          <w:color w:val="3A3A3A"/>
          <w:sz w:val="24"/>
          <w:szCs w:val="24"/>
          <w:shd w:val="clear" w:color="auto" w:fill="FFFFFF"/>
        </w:rPr>
        <w:t xml:space="preserve"> </w:t>
      </w:r>
      <w:r w:rsidR="0079071F" w:rsidRPr="00981439">
        <w:rPr>
          <w:rFonts w:ascii="Arial" w:hAnsi="Arial" w:cs="Arial"/>
          <w:color w:val="3A3A3A"/>
          <w:sz w:val="24"/>
          <w:szCs w:val="24"/>
          <w:shd w:val="clear" w:color="auto" w:fill="FFFFFF"/>
        </w:rPr>
        <w:t>2023).</w:t>
      </w:r>
    </w:p>
    <w:p w14:paraId="089AD920" w14:textId="77777777"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Marriott's strategic HR goals often emphasize enhancing customer service, operational efficiency, and innovation. These goals are supported by targeted HR initiatives, such as customized training programs for staff to elevate service standards and leadership development programs aimed at nurturing future leaders within the organization. Such strategic alignment of HR practices with business objectives underscores the company's commitment to leveraging its human capital to achieve sustainable growth.</w:t>
      </w:r>
    </w:p>
    <w:p w14:paraId="37885FB7" w14:textId="08AC0B98" w:rsidR="00B16427" w:rsidRPr="00981439" w:rsidRDefault="00B16427" w:rsidP="00753D68">
      <w:pPr>
        <w:spacing w:after="0"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program implementation and evaluation phase in Marriott's strategic HR planning process is characterized by a rigorous approach to monitoring and assessing the effectiveness of HR initiatives. This involves setting key performance indicators (KPIs) for HR programs and regularly reviewing these metrics to ensure that the initiatives are contributing to the strategic objectives.</w:t>
      </w:r>
      <w:r w:rsidR="005D5501" w:rsidRPr="00981439">
        <w:rPr>
          <w:rFonts w:ascii="Arial" w:eastAsia="Times New Roman" w:hAnsi="Arial" w:cs="Arial"/>
          <w:sz w:val="24"/>
          <w:szCs w:val="24"/>
          <w:lang w:eastAsia="en-GB"/>
        </w:rPr>
        <w:t xml:space="preserve"> </w:t>
      </w:r>
      <w:r w:rsidR="006C6D96" w:rsidRPr="00981439">
        <w:rPr>
          <w:rFonts w:ascii="Arial" w:eastAsia="Times New Roman" w:hAnsi="Arial" w:cs="Arial"/>
          <w:sz w:val="24"/>
          <w:szCs w:val="24"/>
          <w:lang w:eastAsia="en-GB"/>
        </w:rPr>
        <w:t>(</w:t>
      </w:r>
      <w:r w:rsidR="007760D1" w:rsidRPr="00981439">
        <w:rPr>
          <w:rFonts w:ascii="Arial" w:eastAsia="Times New Roman" w:hAnsi="Arial" w:cs="Arial"/>
          <w:sz w:val="24"/>
          <w:szCs w:val="24"/>
          <w:lang w:eastAsia="en-GB"/>
        </w:rPr>
        <w:t>Marr,</w:t>
      </w:r>
      <w:r w:rsidR="006C6D96" w:rsidRPr="00981439">
        <w:rPr>
          <w:rFonts w:ascii="Arial" w:eastAsia="Times New Roman" w:hAnsi="Arial" w:cs="Arial"/>
          <w:sz w:val="24"/>
          <w:szCs w:val="24"/>
          <w:lang w:eastAsia="en-GB"/>
        </w:rPr>
        <w:t xml:space="preserve"> </w:t>
      </w:r>
      <w:r w:rsidR="007760D1" w:rsidRPr="00981439">
        <w:rPr>
          <w:rFonts w:ascii="Arial" w:eastAsia="Times New Roman" w:hAnsi="Arial" w:cs="Arial"/>
          <w:sz w:val="24"/>
          <w:szCs w:val="24"/>
          <w:lang w:eastAsia="en-GB"/>
        </w:rPr>
        <w:t>2012)</w:t>
      </w:r>
      <w:r w:rsidR="008F4E1E" w:rsidRPr="00981439">
        <w:rPr>
          <w:rFonts w:ascii="Arial" w:eastAsia="Times New Roman" w:hAnsi="Arial" w:cs="Arial"/>
          <w:sz w:val="24"/>
          <w:szCs w:val="24"/>
          <w:lang w:eastAsia="en-GB"/>
        </w:rPr>
        <w:t xml:space="preserve">. </w:t>
      </w:r>
      <w:r w:rsidRPr="00981439">
        <w:rPr>
          <w:rFonts w:ascii="Arial" w:eastAsia="Times New Roman" w:hAnsi="Arial" w:cs="Arial"/>
          <w:sz w:val="24"/>
          <w:szCs w:val="24"/>
          <w:lang w:eastAsia="en-GB"/>
        </w:rPr>
        <w:t>Feedback mechanisms and continuous improvement practices are integral to this phase, allowing Marriott to refine its HR strategies in response to both internal and external changes.</w:t>
      </w:r>
    </w:p>
    <w:p w14:paraId="1BFDE458" w14:textId="011A6D56"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In conclusion, the strategic role of HR functions within organizations like Marriott International highlights the critical importance of aligning HR practices with business strategy. Through effective strategic HR planning, including meticulous forecasting, goal setting, and program implementation, Marriott has been able to harness its </w:t>
      </w:r>
      <w:r w:rsidRPr="00981439">
        <w:rPr>
          <w:rFonts w:ascii="Arial" w:eastAsia="Times New Roman" w:hAnsi="Arial" w:cs="Arial"/>
          <w:sz w:val="24"/>
          <w:szCs w:val="24"/>
          <w:lang w:eastAsia="en-GB"/>
        </w:rPr>
        <w:lastRenderedPageBreak/>
        <w:t>human capital to support its strategic objectives, thereby ensuring its continued success and competitiveness in the global hospitality industry.</w:t>
      </w:r>
    </w:p>
    <w:p w14:paraId="762DBF89" w14:textId="1375E133" w:rsidR="00B16427" w:rsidRPr="00981439" w:rsidRDefault="00B16427" w:rsidP="00753D68">
      <w:pPr>
        <w:pStyle w:val="NormalWeb"/>
        <w:spacing w:line="360" w:lineRule="auto"/>
        <w:jc w:val="left"/>
        <w:rPr>
          <w:rFonts w:ascii="Arial" w:hAnsi="Arial" w:cs="Arial"/>
          <w:sz w:val="24"/>
          <w:szCs w:val="24"/>
        </w:rPr>
      </w:pPr>
      <w:r w:rsidRPr="00981439">
        <w:rPr>
          <w:rFonts w:ascii="Arial" w:hAnsi="Arial" w:cs="Arial"/>
          <w:sz w:val="24"/>
          <w:szCs w:val="24"/>
        </w:rPr>
        <w:t>The rapid advancement of technology has significantly impacted Human Resources Management (HRM), with innovative tools and practices becoming integral to strategic HR planning and implementation. At Marriott International, leveraging technology and innovation in HRM has been pivotal in enhancing recruitment, selection, workforce planning, and overall employee engagement.</w:t>
      </w:r>
      <w:r w:rsidR="002C142F">
        <w:rPr>
          <w:rFonts w:ascii="Arial" w:hAnsi="Arial" w:cs="Arial"/>
          <w:sz w:val="24"/>
          <w:szCs w:val="24"/>
        </w:rPr>
        <w:t xml:space="preserve"> </w:t>
      </w:r>
      <w:r w:rsidR="00BE2306" w:rsidRPr="00981439">
        <w:rPr>
          <w:rFonts w:ascii="Arial" w:hAnsi="Arial" w:cs="Arial"/>
          <w:sz w:val="24"/>
          <w:szCs w:val="24"/>
        </w:rPr>
        <w:t>Scott</w:t>
      </w:r>
      <w:r w:rsidR="000B1982">
        <w:rPr>
          <w:rFonts w:ascii="Arial" w:hAnsi="Arial" w:cs="Arial"/>
          <w:sz w:val="24"/>
          <w:szCs w:val="24"/>
        </w:rPr>
        <w:t>,</w:t>
      </w:r>
      <w:r w:rsidR="002C142F">
        <w:rPr>
          <w:rFonts w:ascii="Arial" w:hAnsi="Arial" w:cs="Arial"/>
          <w:sz w:val="24"/>
          <w:szCs w:val="24"/>
        </w:rPr>
        <w:t xml:space="preserve"> </w:t>
      </w:r>
      <w:r w:rsidR="00BE2306" w:rsidRPr="00981439">
        <w:rPr>
          <w:rFonts w:ascii="Arial" w:hAnsi="Arial" w:cs="Arial"/>
          <w:sz w:val="24"/>
          <w:szCs w:val="24"/>
        </w:rPr>
        <w:t>(2013</w:t>
      </w:r>
      <w:r w:rsidR="00BE2306" w:rsidRPr="00981439">
        <w:rPr>
          <w:rFonts w:ascii="Arial" w:hAnsi="Arial" w:cs="Arial"/>
          <w:sz w:val="24"/>
          <w:szCs w:val="24"/>
        </w:rPr>
        <w:t>) highlight</w:t>
      </w:r>
      <w:r w:rsidRPr="00981439">
        <w:rPr>
          <w:rFonts w:ascii="Arial" w:hAnsi="Arial" w:cs="Arial"/>
          <w:sz w:val="24"/>
          <w:szCs w:val="24"/>
        </w:rPr>
        <w:t xml:space="preserve"> the transformative power of technology in HRM, enabling organizations to make more informed decisions, streamline HR processes, and enhance employee experiences.</w:t>
      </w:r>
    </w:p>
    <w:p w14:paraId="5419D41E" w14:textId="51A840F2" w:rsidR="00B16427" w:rsidRPr="00981439" w:rsidRDefault="00B16427" w:rsidP="00753D68">
      <w:pPr>
        <w:pStyle w:val="NormalWeb"/>
        <w:spacing w:line="360" w:lineRule="auto"/>
        <w:jc w:val="left"/>
        <w:rPr>
          <w:rFonts w:ascii="Arial" w:hAnsi="Arial" w:cs="Arial"/>
          <w:sz w:val="24"/>
          <w:szCs w:val="24"/>
        </w:rPr>
      </w:pPr>
      <w:r w:rsidRPr="00981439">
        <w:rPr>
          <w:rFonts w:ascii="Arial" w:hAnsi="Arial" w:cs="Arial"/>
          <w:sz w:val="24"/>
          <w:szCs w:val="24"/>
        </w:rPr>
        <w:t>One of the key areas where technology has revolutionized HRM at Marriott is in the recruitment and selection process. Digital platforms and Applicant Tracking Systems (ATS) have streamlined the application process, making it more efficient for both candidates and HR professionals.</w:t>
      </w:r>
      <w:r w:rsidR="002D4979">
        <w:rPr>
          <w:rFonts w:ascii="Arial" w:hAnsi="Arial" w:cs="Arial"/>
          <w:sz w:val="24"/>
          <w:szCs w:val="24"/>
        </w:rPr>
        <w:t xml:space="preserve"> </w:t>
      </w:r>
      <w:r w:rsidRPr="00981439">
        <w:rPr>
          <w:rFonts w:ascii="Arial" w:hAnsi="Arial" w:cs="Arial"/>
          <w:sz w:val="24"/>
          <w:szCs w:val="24"/>
        </w:rPr>
        <w:t>LinkedIn</w:t>
      </w:r>
      <w:r w:rsidR="002D4979">
        <w:rPr>
          <w:rFonts w:ascii="Arial" w:hAnsi="Arial" w:cs="Arial"/>
          <w:sz w:val="24"/>
          <w:szCs w:val="24"/>
        </w:rPr>
        <w:t xml:space="preserve"> </w:t>
      </w:r>
      <w:r w:rsidRPr="00981439">
        <w:rPr>
          <w:rFonts w:ascii="Arial" w:hAnsi="Arial" w:cs="Arial"/>
          <w:sz w:val="24"/>
          <w:szCs w:val="24"/>
        </w:rPr>
        <w:t>and Ulrich (2013) emphasize the importance of social media and professional networking sites in modern recruitment strategies, which Marriott has effectively integrated into its talent acquisition approach. These platforms not only widen the talent pool but also align recruitment efforts with Marriott's strategic goal of attracting a diverse and skilled workforce.</w:t>
      </w:r>
    </w:p>
    <w:p w14:paraId="7DEB6BB8" w14:textId="69B8DD07" w:rsidR="00B16427" w:rsidRPr="00981439" w:rsidRDefault="00B16427" w:rsidP="00753D68">
      <w:pPr>
        <w:pStyle w:val="NormalWeb"/>
        <w:spacing w:line="360" w:lineRule="auto"/>
        <w:jc w:val="left"/>
        <w:rPr>
          <w:rFonts w:ascii="Arial" w:hAnsi="Arial" w:cs="Arial"/>
          <w:sz w:val="24"/>
          <w:szCs w:val="24"/>
        </w:rPr>
      </w:pPr>
      <w:r w:rsidRPr="00981439">
        <w:rPr>
          <w:rFonts w:ascii="Arial" w:hAnsi="Arial" w:cs="Arial"/>
          <w:sz w:val="24"/>
          <w:szCs w:val="24"/>
        </w:rPr>
        <w:t xml:space="preserve">Furthermore, Marriott has embraced data analytics to inform its HR decisions, particularly in workforce planning and talent management. The use of HR analytics helps Marriott to forecast </w:t>
      </w:r>
      <w:r w:rsidR="009A78DD" w:rsidRPr="00981439">
        <w:rPr>
          <w:rFonts w:ascii="Arial" w:hAnsi="Arial" w:cs="Arial"/>
          <w:sz w:val="24"/>
          <w:szCs w:val="24"/>
        </w:rPr>
        <w:t>labour</w:t>
      </w:r>
      <w:r w:rsidRPr="00981439">
        <w:rPr>
          <w:rFonts w:ascii="Arial" w:hAnsi="Arial" w:cs="Arial"/>
          <w:sz w:val="24"/>
          <w:szCs w:val="24"/>
        </w:rPr>
        <w:t xml:space="preserve"> demand accurately, identify skills gaps, and measure the effectiveness of HR initiatives against strategic business objectives.</w:t>
      </w:r>
      <w:r w:rsidR="000777EC" w:rsidRPr="00981439">
        <w:rPr>
          <w:rFonts w:ascii="Arial" w:hAnsi="Arial" w:cs="Arial"/>
          <w:sz w:val="24"/>
          <w:szCs w:val="24"/>
        </w:rPr>
        <w:t xml:space="preserve"> </w:t>
      </w:r>
      <w:r w:rsidRPr="00981439">
        <w:rPr>
          <w:rFonts w:ascii="Arial" w:hAnsi="Arial" w:cs="Arial"/>
          <w:sz w:val="24"/>
          <w:szCs w:val="24"/>
        </w:rPr>
        <w:t>Marler and Boudreau (2017) discuss how HR analytics contribute to strategic HRM by providing data-driven insights that support decision-making and strategic planning.</w:t>
      </w:r>
    </w:p>
    <w:p w14:paraId="4B907677" w14:textId="3D530E5A" w:rsidR="00B16427" w:rsidRPr="00981439" w:rsidRDefault="00B16427" w:rsidP="00753D68">
      <w:pPr>
        <w:pStyle w:val="NormalWeb"/>
        <w:spacing w:line="360" w:lineRule="auto"/>
        <w:jc w:val="left"/>
        <w:rPr>
          <w:rFonts w:ascii="Arial" w:hAnsi="Arial" w:cs="Arial"/>
          <w:sz w:val="24"/>
          <w:szCs w:val="24"/>
        </w:rPr>
      </w:pPr>
      <w:r w:rsidRPr="00981439">
        <w:rPr>
          <w:rFonts w:ascii="Arial" w:hAnsi="Arial" w:cs="Arial"/>
          <w:sz w:val="24"/>
          <w:szCs w:val="24"/>
        </w:rPr>
        <w:t xml:space="preserve">Innovative employee engagement and development programs at Marriott also illustrate the company's commitment to leveraging HRM for strategic development. Through customized training programs, e-learning platforms, and career development initiatives, Marriott invests in its employees' growth and satisfaction, which is crucial for sustaining its competitive advantage in the hospitality industry. Nankervis et al. (2013) assert that employee development and engagement are </w:t>
      </w:r>
      <w:r w:rsidRPr="00981439">
        <w:rPr>
          <w:rFonts w:ascii="Arial" w:hAnsi="Arial" w:cs="Arial"/>
          <w:sz w:val="24"/>
          <w:szCs w:val="24"/>
        </w:rPr>
        <w:lastRenderedPageBreak/>
        <w:t>critical components of strategic HRM, directly impacting organizational performance and growth.</w:t>
      </w:r>
    </w:p>
    <w:p w14:paraId="0BA51B97" w14:textId="4B978C2B" w:rsidR="00B16427" w:rsidRPr="00981439" w:rsidRDefault="00B16427" w:rsidP="00753D68">
      <w:pPr>
        <w:pStyle w:val="NormalWeb"/>
        <w:spacing w:line="360" w:lineRule="auto"/>
        <w:jc w:val="left"/>
        <w:rPr>
          <w:rFonts w:ascii="Arial" w:hAnsi="Arial" w:cs="Arial"/>
          <w:sz w:val="24"/>
          <w:szCs w:val="24"/>
        </w:rPr>
      </w:pPr>
      <w:r w:rsidRPr="00981439">
        <w:rPr>
          <w:rFonts w:ascii="Arial" w:hAnsi="Arial" w:cs="Arial"/>
          <w:sz w:val="24"/>
          <w:szCs w:val="24"/>
        </w:rPr>
        <w:t>Incorporating technology and innovation into HRM practices not only enhances operational efficiency but also aligns HR functions more closely with Marriott's strategic goals. By adopting advanced HR technologies and innovative practices, Marriott ensures its HRM approach is adaptable, proactive, and capable of supporting the brand's global expansion and market leadership aspirations.</w:t>
      </w:r>
    </w:p>
    <w:p w14:paraId="58202594" w14:textId="77777777"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Marriott International's approach to recruitment and selection is a testament to the strategic role these processes play in aligning human resources with business goals. The company's recruitment strategy is designed to attract a diverse pool of candidates who not only possess the necessary skills and experience but also embody the core values of the Marriott brand. This alignment ensures that new hires contribute positively to the company's culture and long-term strategic objectives.</w:t>
      </w:r>
    </w:p>
    <w:p w14:paraId="644E900C" w14:textId="21351C44"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recruitment process at Marriott typically begins with a thorough job analysis to identify the key requirements and responsibilities of the role. This is followed by targeted job postings on various platforms, including the company's career site, social media, and professional networking sites, to reach a wide audience. Taylor and Collins (2000) emphasize the importance of effective recruitment channels in attracting high-quality applicants who are aligned with the organization's strategic goals.</w:t>
      </w:r>
    </w:p>
    <w:p w14:paraId="34F8FF7E" w14:textId="72B0EF6A"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Selection at Marriott involves a series of assessments and interviews designed to evaluate candidates' competencies, cultural fit, and potential for long-term success within the company. </w:t>
      </w:r>
      <w:r w:rsidR="00664166" w:rsidRPr="00981439">
        <w:rPr>
          <w:rFonts w:ascii="Arial" w:eastAsia="Times New Roman" w:hAnsi="Arial" w:cs="Arial"/>
          <w:sz w:val="24"/>
          <w:szCs w:val="24"/>
          <w:lang w:eastAsia="en-GB"/>
        </w:rPr>
        <w:t>Behavioural</w:t>
      </w:r>
      <w:r w:rsidRPr="00981439">
        <w:rPr>
          <w:rFonts w:ascii="Arial" w:eastAsia="Times New Roman" w:hAnsi="Arial" w:cs="Arial"/>
          <w:sz w:val="24"/>
          <w:szCs w:val="24"/>
          <w:lang w:eastAsia="en-GB"/>
        </w:rPr>
        <w:t xml:space="preserve"> interviews</w:t>
      </w:r>
      <w:proofErr w:type="gramStart"/>
      <w:r w:rsidRPr="00981439">
        <w:rPr>
          <w:rFonts w:ascii="Arial" w:eastAsia="Times New Roman" w:hAnsi="Arial" w:cs="Arial"/>
          <w:sz w:val="24"/>
          <w:szCs w:val="24"/>
          <w:lang w:eastAsia="en-GB"/>
        </w:rPr>
        <w:t>, in particular, allow</w:t>
      </w:r>
      <w:proofErr w:type="gramEnd"/>
      <w:r w:rsidRPr="00981439">
        <w:rPr>
          <w:rFonts w:ascii="Arial" w:eastAsia="Times New Roman" w:hAnsi="Arial" w:cs="Arial"/>
          <w:sz w:val="24"/>
          <w:szCs w:val="24"/>
          <w:lang w:eastAsia="en-GB"/>
        </w:rPr>
        <w:t xml:space="preserve"> the company to assess how </w:t>
      </w:r>
      <w:r w:rsidR="00D22758" w:rsidRPr="00981439">
        <w:rPr>
          <w:rFonts w:ascii="Arial" w:eastAsia="Times New Roman" w:hAnsi="Arial" w:cs="Arial"/>
          <w:sz w:val="24"/>
          <w:szCs w:val="24"/>
          <w:lang w:eastAsia="en-GB"/>
        </w:rPr>
        <w:t>candidates</w:t>
      </w:r>
      <w:r w:rsidRPr="00981439">
        <w:rPr>
          <w:rFonts w:ascii="Arial" w:eastAsia="Times New Roman" w:hAnsi="Arial" w:cs="Arial"/>
          <w:sz w:val="24"/>
          <w:szCs w:val="24"/>
          <w:lang w:eastAsia="en-GB"/>
        </w:rPr>
        <w:t xml:space="preserve"> past experiences and actions align with Marriott's values and service standards</w:t>
      </w:r>
      <w:r w:rsidR="009D3259" w:rsidRPr="00981439">
        <w:rPr>
          <w:rFonts w:ascii="Arial" w:hAnsi="Arial" w:cs="Arial"/>
          <w:color w:val="3A3A3A"/>
          <w:sz w:val="24"/>
          <w:szCs w:val="24"/>
          <w:shd w:val="clear" w:color="auto" w:fill="FFFFFF"/>
        </w:rPr>
        <w:t>.</w:t>
      </w:r>
      <w:r w:rsidR="009D3259" w:rsidRPr="00981439">
        <w:rPr>
          <w:rFonts w:ascii="Arial" w:eastAsia="Times New Roman" w:hAnsi="Arial" w:cs="Arial"/>
          <w:sz w:val="24"/>
          <w:szCs w:val="24"/>
          <w:lang w:eastAsia="en-GB"/>
        </w:rPr>
        <w:t xml:space="preserve"> </w:t>
      </w:r>
      <w:r w:rsidRPr="00981439">
        <w:rPr>
          <w:rFonts w:ascii="Arial" w:eastAsia="Times New Roman" w:hAnsi="Arial" w:cs="Arial"/>
          <w:sz w:val="24"/>
          <w:szCs w:val="24"/>
          <w:lang w:eastAsia="en-GB"/>
        </w:rPr>
        <w:t xml:space="preserve">According to </w:t>
      </w:r>
      <w:r w:rsidR="00710D1C" w:rsidRPr="00981439">
        <w:rPr>
          <w:rFonts w:ascii="Arial" w:eastAsia="Times New Roman" w:hAnsi="Arial" w:cs="Arial"/>
          <w:sz w:val="24"/>
          <w:szCs w:val="24"/>
          <w:lang w:eastAsia="en-GB"/>
        </w:rPr>
        <w:t>Qin</w:t>
      </w:r>
      <w:r w:rsidRPr="00981439">
        <w:rPr>
          <w:rFonts w:ascii="Arial" w:eastAsia="Times New Roman" w:hAnsi="Arial" w:cs="Arial"/>
          <w:sz w:val="24"/>
          <w:szCs w:val="24"/>
          <w:lang w:eastAsia="en-GB"/>
        </w:rPr>
        <w:t xml:space="preserve"> (20</w:t>
      </w:r>
      <w:r w:rsidR="00A37266" w:rsidRPr="00981439">
        <w:rPr>
          <w:rFonts w:ascii="Arial" w:eastAsia="Times New Roman" w:hAnsi="Arial" w:cs="Arial"/>
          <w:sz w:val="24"/>
          <w:szCs w:val="24"/>
          <w:lang w:eastAsia="en-GB"/>
        </w:rPr>
        <w:t>23</w:t>
      </w:r>
      <w:r w:rsidRPr="00981439">
        <w:rPr>
          <w:rFonts w:ascii="Arial" w:eastAsia="Times New Roman" w:hAnsi="Arial" w:cs="Arial"/>
          <w:sz w:val="24"/>
          <w:szCs w:val="24"/>
          <w:lang w:eastAsia="en-GB"/>
        </w:rPr>
        <w:t>), such competency-based selection processes are crucial for identifying individuals who will perform effectively in their roles and contribute to the organization's strategic objectives.</w:t>
      </w:r>
    </w:p>
    <w:p w14:paraId="40205EE8" w14:textId="17AC9BF3" w:rsidR="00034574"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 xml:space="preserve">Examples of Marriott's strategic recruitment can be seen in its leadership development programs, which aim to identify and nurture high-potential talent for future leadership roles within the company. These programs are strategically </w:t>
      </w:r>
      <w:r w:rsidRPr="00981439">
        <w:rPr>
          <w:rFonts w:ascii="Arial" w:eastAsia="Times New Roman" w:hAnsi="Arial" w:cs="Arial"/>
          <w:sz w:val="24"/>
          <w:szCs w:val="24"/>
          <w:lang w:eastAsia="en-GB"/>
        </w:rPr>
        <w:lastRenderedPageBreak/>
        <w:t>designed to support business unit development by ensuring a pipeline of skilled leaders ready to drive innovation and growth.</w:t>
      </w:r>
    </w:p>
    <w:p w14:paraId="6F47052A" w14:textId="77777777" w:rsidR="00034574" w:rsidRPr="00981439" w:rsidRDefault="00034574" w:rsidP="00753D68">
      <w:pPr>
        <w:spacing w:before="100" w:beforeAutospacing="1" w:after="100" w:afterAutospacing="1" w:line="360" w:lineRule="auto"/>
        <w:jc w:val="left"/>
        <w:rPr>
          <w:rFonts w:ascii="Arial" w:eastAsia="Times New Roman" w:hAnsi="Arial" w:cs="Arial"/>
          <w:sz w:val="24"/>
          <w:szCs w:val="24"/>
          <w:lang w:eastAsia="en-GB"/>
        </w:rPr>
      </w:pPr>
    </w:p>
    <w:p w14:paraId="4861BBBD" w14:textId="771E8F1E"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evolution of Human Resources Management (HRM) from administrative functions to strategic partnership has significantly impacted the way international hotel brands like Marriott International develop and sustain their competitive edge. Through strategic HR planning, including forecasting, goal setting, and program implementation, Marriott has effectively aligned its human resources with its broader business objectives.</w:t>
      </w:r>
      <w:r w:rsidR="00D02961" w:rsidRPr="00981439">
        <w:rPr>
          <w:rFonts w:ascii="Arial" w:eastAsia="Times New Roman" w:hAnsi="Arial" w:cs="Arial"/>
          <w:sz w:val="24"/>
          <w:szCs w:val="24"/>
          <w:lang w:eastAsia="en-GB"/>
        </w:rPr>
        <w:t xml:space="preserve"> (</w:t>
      </w:r>
      <w:r w:rsidR="00566D3F" w:rsidRPr="00981439">
        <w:rPr>
          <w:rFonts w:ascii="Arial" w:hAnsi="Arial" w:cs="Arial"/>
          <w:color w:val="3A3A3A"/>
          <w:sz w:val="24"/>
          <w:szCs w:val="24"/>
          <w:shd w:val="clear" w:color="auto" w:fill="FFFFFF"/>
        </w:rPr>
        <w:t>Sweet,</w:t>
      </w:r>
      <w:r w:rsidR="00D02961" w:rsidRPr="00981439">
        <w:rPr>
          <w:rFonts w:ascii="Arial" w:hAnsi="Arial" w:cs="Arial"/>
          <w:color w:val="3A3A3A"/>
          <w:sz w:val="24"/>
          <w:szCs w:val="24"/>
          <w:shd w:val="clear" w:color="auto" w:fill="FFFFFF"/>
        </w:rPr>
        <w:t xml:space="preserve"> </w:t>
      </w:r>
      <w:r w:rsidR="00566D3F" w:rsidRPr="00981439">
        <w:rPr>
          <w:rFonts w:ascii="Arial" w:hAnsi="Arial" w:cs="Arial"/>
          <w:color w:val="3A3A3A"/>
          <w:sz w:val="24"/>
          <w:szCs w:val="24"/>
          <w:shd w:val="clear" w:color="auto" w:fill="FFFFFF"/>
        </w:rPr>
        <w:t>2020)</w:t>
      </w:r>
      <w:r w:rsidR="00D02961" w:rsidRPr="00981439">
        <w:rPr>
          <w:rFonts w:ascii="Arial" w:hAnsi="Arial" w:cs="Arial"/>
          <w:color w:val="3A3A3A"/>
          <w:sz w:val="24"/>
          <w:szCs w:val="24"/>
          <w:shd w:val="clear" w:color="auto" w:fill="FFFFFF"/>
        </w:rPr>
        <w:t>.</w:t>
      </w:r>
    </w:p>
    <w:p w14:paraId="71333975" w14:textId="77777777" w:rsidR="00566D3F" w:rsidRPr="00981439" w:rsidRDefault="00566D3F" w:rsidP="00753D68">
      <w:pPr>
        <w:spacing w:before="100" w:beforeAutospacing="1" w:after="100" w:afterAutospacing="1" w:line="360" w:lineRule="auto"/>
        <w:jc w:val="left"/>
        <w:rPr>
          <w:rFonts w:ascii="Arial" w:eastAsia="Times New Roman" w:hAnsi="Arial" w:cs="Arial"/>
          <w:sz w:val="24"/>
          <w:szCs w:val="24"/>
          <w:lang w:eastAsia="en-GB"/>
        </w:rPr>
      </w:pPr>
    </w:p>
    <w:p w14:paraId="686C2516" w14:textId="77777777"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The impact of strategic HR functions on Marriott's growth cannot be overstated. By integrating HRM with business strategy, Marriott has not only enhanced its operational efficiency and service standards but also fostered innovation and leadership within the organization. This strategic approach to HRM is a key driver of Marriott's sustained success in the highly competitive hospitality industry.</w:t>
      </w:r>
    </w:p>
    <w:p w14:paraId="17D7BE9F" w14:textId="77777777" w:rsidR="00B16427" w:rsidRPr="00981439" w:rsidRDefault="00B16427" w:rsidP="00753D68">
      <w:pPr>
        <w:spacing w:before="100" w:beforeAutospacing="1" w:after="100" w:afterAutospacing="1" w:line="360" w:lineRule="auto"/>
        <w:jc w:val="left"/>
        <w:rPr>
          <w:rFonts w:ascii="Arial" w:eastAsia="Times New Roman" w:hAnsi="Arial" w:cs="Arial"/>
          <w:sz w:val="24"/>
          <w:szCs w:val="24"/>
          <w:lang w:eastAsia="en-GB"/>
        </w:rPr>
      </w:pPr>
      <w:r w:rsidRPr="00981439">
        <w:rPr>
          <w:rFonts w:ascii="Arial" w:eastAsia="Times New Roman" w:hAnsi="Arial" w:cs="Arial"/>
          <w:sz w:val="24"/>
          <w:szCs w:val="24"/>
          <w:lang w:eastAsia="en-GB"/>
        </w:rPr>
        <w:t>In conclusion, the strategic development of HRM functions plays a pivotal role in the growth and competitiveness of international hotel brands. Marriott International's success story underscores the importance of aligning HR practices with business strategy to achieve organizational objectives and maintain a leading position in the global market.</w:t>
      </w:r>
    </w:p>
    <w:p w14:paraId="4AB89661" w14:textId="77777777" w:rsidR="00B16427" w:rsidRDefault="00B16427" w:rsidP="00753D68">
      <w:pPr>
        <w:spacing w:before="100" w:beforeAutospacing="1" w:after="100" w:afterAutospacing="1" w:line="360" w:lineRule="auto"/>
        <w:jc w:val="left"/>
        <w:rPr>
          <w:rFonts w:ascii="Times New Roman" w:eastAsia="Times New Roman" w:hAnsi="Times New Roman" w:cs="Times New Roman"/>
          <w:lang w:eastAsia="en-GB"/>
        </w:rPr>
      </w:pPr>
    </w:p>
    <w:p w14:paraId="6D1691C4" w14:textId="77777777" w:rsidR="000F1A28" w:rsidRDefault="000F1A28" w:rsidP="00B16427">
      <w:pPr>
        <w:spacing w:before="100" w:beforeAutospacing="1" w:after="100" w:afterAutospacing="1"/>
        <w:outlineLvl w:val="2"/>
        <w:rPr>
          <w:rFonts w:ascii="Times New Roman" w:eastAsia="Times New Roman" w:hAnsi="Times New Roman" w:cs="Times New Roman"/>
          <w:b/>
          <w:bCs/>
          <w:sz w:val="27"/>
          <w:szCs w:val="27"/>
          <w:lang w:eastAsia="en-GB"/>
        </w:rPr>
      </w:pPr>
    </w:p>
    <w:p w14:paraId="4129517F" w14:textId="77777777" w:rsidR="000F1A28" w:rsidRDefault="000F1A28" w:rsidP="00B16427">
      <w:pPr>
        <w:spacing w:before="100" w:beforeAutospacing="1" w:after="100" w:afterAutospacing="1"/>
        <w:outlineLvl w:val="2"/>
        <w:rPr>
          <w:rFonts w:ascii="Times New Roman" w:eastAsia="Times New Roman" w:hAnsi="Times New Roman" w:cs="Times New Roman"/>
          <w:b/>
          <w:bCs/>
          <w:sz w:val="27"/>
          <w:szCs w:val="27"/>
          <w:lang w:eastAsia="en-GB"/>
        </w:rPr>
      </w:pPr>
    </w:p>
    <w:p w14:paraId="491A4DA0" w14:textId="77777777" w:rsidR="000F1A28" w:rsidRDefault="000F1A28" w:rsidP="00B16427">
      <w:pPr>
        <w:spacing w:before="100" w:beforeAutospacing="1" w:after="100" w:afterAutospacing="1"/>
        <w:outlineLvl w:val="2"/>
        <w:rPr>
          <w:rFonts w:ascii="Times New Roman" w:eastAsia="Times New Roman" w:hAnsi="Times New Roman" w:cs="Times New Roman"/>
          <w:b/>
          <w:bCs/>
          <w:sz w:val="27"/>
          <w:szCs w:val="27"/>
          <w:lang w:eastAsia="en-GB"/>
        </w:rPr>
      </w:pPr>
    </w:p>
    <w:p w14:paraId="2FD76EC3" w14:textId="77777777" w:rsidR="000F1A28" w:rsidRDefault="000F1A28" w:rsidP="00B16427">
      <w:pPr>
        <w:spacing w:before="100" w:beforeAutospacing="1" w:after="100" w:afterAutospacing="1"/>
        <w:outlineLvl w:val="2"/>
        <w:rPr>
          <w:rFonts w:ascii="Times New Roman" w:eastAsia="Times New Roman" w:hAnsi="Times New Roman" w:cs="Times New Roman"/>
          <w:b/>
          <w:bCs/>
          <w:sz w:val="27"/>
          <w:szCs w:val="27"/>
          <w:lang w:eastAsia="en-GB"/>
        </w:rPr>
      </w:pPr>
    </w:p>
    <w:p w14:paraId="62DC1665" w14:textId="77777777" w:rsidR="000F1A28" w:rsidRDefault="000F1A28" w:rsidP="00B16427">
      <w:pPr>
        <w:spacing w:before="100" w:beforeAutospacing="1" w:after="100" w:afterAutospacing="1"/>
        <w:outlineLvl w:val="2"/>
        <w:rPr>
          <w:rFonts w:ascii="Times New Roman" w:eastAsia="Times New Roman" w:hAnsi="Times New Roman" w:cs="Times New Roman"/>
          <w:b/>
          <w:bCs/>
          <w:sz w:val="27"/>
          <w:szCs w:val="27"/>
          <w:lang w:eastAsia="en-GB"/>
        </w:rPr>
      </w:pPr>
    </w:p>
    <w:p w14:paraId="2FDBB385" w14:textId="77777777" w:rsidR="006215B5" w:rsidRDefault="006215B5" w:rsidP="00B16427">
      <w:pPr>
        <w:spacing w:before="100" w:beforeAutospacing="1" w:after="100" w:afterAutospacing="1"/>
        <w:outlineLvl w:val="2"/>
        <w:rPr>
          <w:rFonts w:ascii="Arial" w:eastAsia="Times New Roman" w:hAnsi="Arial" w:cs="Arial"/>
          <w:b/>
          <w:bCs/>
          <w:lang w:eastAsia="en-GB"/>
        </w:rPr>
      </w:pPr>
    </w:p>
    <w:p w14:paraId="229AB986" w14:textId="77777777" w:rsidR="006215B5" w:rsidRDefault="006215B5" w:rsidP="00B16427">
      <w:pPr>
        <w:spacing w:before="100" w:beforeAutospacing="1" w:after="100" w:afterAutospacing="1"/>
        <w:outlineLvl w:val="2"/>
        <w:rPr>
          <w:rFonts w:ascii="Arial" w:eastAsia="Times New Roman" w:hAnsi="Arial" w:cs="Arial"/>
          <w:b/>
          <w:bCs/>
          <w:lang w:eastAsia="en-GB"/>
        </w:rPr>
      </w:pPr>
    </w:p>
    <w:p w14:paraId="4156F238" w14:textId="77777777" w:rsidR="006215B5" w:rsidRDefault="006215B5" w:rsidP="00B16427">
      <w:pPr>
        <w:spacing w:before="100" w:beforeAutospacing="1" w:after="100" w:afterAutospacing="1"/>
        <w:outlineLvl w:val="2"/>
        <w:rPr>
          <w:rFonts w:ascii="Arial" w:eastAsia="Times New Roman" w:hAnsi="Arial" w:cs="Arial"/>
          <w:b/>
          <w:bCs/>
          <w:lang w:eastAsia="en-GB"/>
        </w:rPr>
      </w:pPr>
    </w:p>
    <w:p w14:paraId="26015855" w14:textId="77777777" w:rsidR="006215B5" w:rsidRDefault="006215B5" w:rsidP="00B16427">
      <w:pPr>
        <w:spacing w:before="100" w:beforeAutospacing="1" w:after="100" w:afterAutospacing="1"/>
        <w:outlineLvl w:val="2"/>
        <w:rPr>
          <w:rFonts w:ascii="Arial" w:eastAsia="Times New Roman" w:hAnsi="Arial" w:cs="Arial"/>
          <w:b/>
          <w:bCs/>
          <w:lang w:eastAsia="en-GB"/>
        </w:rPr>
      </w:pPr>
    </w:p>
    <w:p w14:paraId="3AE0CFFC" w14:textId="77777777" w:rsidR="006215B5" w:rsidRDefault="006215B5" w:rsidP="00B16427">
      <w:pPr>
        <w:spacing w:before="100" w:beforeAutospacing="1" w:after="100" w:afterAutospacing="1"/>
        <w:outlineLvl w:val="2"/>
        <w:rPr>
          <w:rFonts w:ascii="Arial" w:eastAsia="Times New Roman" w:hAnsi="Arial" w:cs="Arial"/>
          <w:b/>
          <w:bCs/>
          <w:lang w:eastAsia="en-GB"/>
        </w:rPr>
      </w:pPr>
    </w:p>
    <w:p w14:paraId="35A648A6" w14:textId="77777777" w:rsidR="001A0190" w:rsidRDefault="001A0190" w:rsidP="00B16427">
      <w:pPr>
        <w:spacing w:before="100" w:beforeAutospacing="1" w:after="100" w:afterAutospacing="1"/>
        <w:outlineLvl w:val="2"/>
        <w:rPr>
          <w:rFonts w:ascii="Arial" w:eastAsia="Times New Roman" w:hAnsi="Arial" w:cs="Arial"/>
          <w:b/>
          <w:bCs/>
          <w:sz w:val="24"/>
          <w:szCs w:val="24"/>
          <w:lang w:eastAsia="en-GB"/>
        </w:rPr>
      </w:pPr>
    </w:p>
    <w:p w14:paraId="266DDF0E" w14:textId="2F504650" w:rsidR="00B16427" w:rsidRPr="002E0981" w:rsidRDefault="00B16427" w:rsidP="00B16427">
      <w:pPr>
        <w:spacing w:before="100" w:beforeAutospacing="1" w:after="100" w:afterAutospacing="1"/>
        <w:outlineLvl w:val="2"/>
        <w:rPr>
          <w:rFonts w:ascii="Arial" w:eastAsia="Times New Roman" w:hAnsi="Arial" w:cs="Arial"/>
          <w:b/>
          <w:bCs/>
          <w:sz w:val="24"/>
          <w:szCs w:val="24"/>
          <w:lang w:eastAsia="en-GB"/>
        </w:rPr>
      </w:pPr>
      <w:r w:rsidRPr="002E0981">
        <w:rPr>
          <w:rFonts w:ascii="Arial" w:eastAsia="Times New Roman" w:hAnsi="Arial" w:cs="Arial"/>
          <w:b/>
          <w:bCs/>
          <w:sz w:val="24"/>
          <w:szCs w:val="24"/>
          <w:lang w:eastAsia="en-GB"/>
        </w:rPr>
        <w:t>References</w:t>
      </w:r>
      <w:r w:rsidR="003A2C60" w:rsidRPr="002E0981">
        <w:rPr>
          <w:rFonts w:ascii="Arial" w:eastAsia="Times New Roman" w:hAnsi="Arial" w:cs="Arial"/>
          <w:b/>
          <w:bCs/>
          <w:sz w:val="24"/>
          <w:szCs w:val="24"/>
          <w:lang w:eastAsia="en-GB"/>
        </w:rPr>
        <w:t>:</w:t>
      </w:r>
    </w:p>
    <w:p w14:paraId="6012F16D" w14:textId="15677739" w:rsidR="00B16427" w:rsidRPr="00EE2957" w:rsidRDefault="00B16427" w:rsidP="00B67EA7">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 xml:space="preserve">Armstrong, M. and Taylor, S., 2020. </w:t>
      </w:r>
      <w:r w:rsidRPr="00EE2957">
        <w:rPr>
          <w:rFonts w:ascii="Arial" w:eastAsia="Times New Roman" w:hAnsi="Arial" w:cs="Arial"/>
          <w:i/>
          <w:iCs/>
          <w:sz w:val="24"/>
          <w:szCs w:val="24"/>
          <w:lang w:eastAsia="en-GB"/>
        </w:rPr>
        <w:t>Armstrong's Handbook of Human Resource Management Practice</w:t>
      </w:r>
      <w:r w:rsidRPr="00EE2957">
        <w:rPr>
          <w:rFonts w:ascii="Arial" w:eastAsia="Times New Roman" w:hAnsi="Arial" w:cs="Arial"/>
          <w:sz w:val="24"/>
          <w:szCs w:val="24"/>
          <w:lang w:eastAsia="en-GB"/>
        </w:rPr>
        <w:t>. 14th ed. Kogan Page.</w:t>
      </w:r>
    </w:p>
    <w:p w14:paraId="7349F93B"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5E054CAA" w14:textId="3D557FA1" w:rsidR="002E40A1" w:rsidRPr="00EE2957" w:rsidRDefault="002E40A1" w:rsidP="001F7D0C">
      <w:pPr>
        <w:pStyle w:val="ListParagraph"/>
        <w:numPr>
          <w:ilvl w:val="0"/>
          <w:numId w:val="1"/>
        </w:numPr>
        <w:spacing w:before="100" w:beforeAutospacing="1" w:after="100" w:afterAutospacing="1"/>
        <w:rPr>
          <w:rFonts w:ascii="Arial" w:hAnsi="Arial" w:cs="Arial"/>
          <w:color w:val="3A3A3A"/>
          <w:sz w:val="24"/>
          <w:szCs w:val="24"/>
          <w:shd w:val="clear" w:color="auto" w:fill="FFFFFF"/>
        </w:rPr>
      </w:pPr>
      <w:proofErr w:type="spellStart"/>
      <w:r w:rsidRPr="00EE2957">
        <w:rPr>
          <w:rFonts w:ascii="Arial" w:hAnsi="Arial" w:cs="Arial"/>
          <w:color w:val="3A3A3A"/>
          <w:sz w:val="24"/>
          <w:szCs w:val="24"/>
          <w:shd w:val="clear" w:color="auto" w:fill="FFFFFF"/>
        </w:rPr>
        <w:t>Baytok</w:t>
      </w:r>
      <w:proofErr w:type="spellEnd"/>
      <w:r w:rsidRPr="00EE2957">
        <w:rPr>
          <w:rFonts w:ascii="Arial" w:hAnsi="Arial" w:cs="Arial"/>
          <w:color w:val="3A3A3A"/>
          <w:sz w:val="24"/>
          <w:szCs w:val="24"/>
          <w:shd w:val="clear" w:color="auto" w:fill="FFFFFF"/>
        </w:rPr>
        <w:t>, A. (ed.) (2023) </w:t>
      </w:r>
      <w:r w:rsidRPr="00EE2957">
        <w:rPr>
          <w:rFonts w:ascii="Arial" w:hAnsi="Arial" w:cs="Arial"/>
          <w:i/>
          <w:iCs/>
          <w:color w:val="3A3A3A"/>
          <w:sz w:val="24"/>
          <w:szCs w:val="24"/>
          <w:shd w:val="clear" w:color="auto" w:fill="FFFFFF"/>
        </w:rPr>
        <w:t>Leadership approaches in global hospitality and tourism</w:t>
      </w:r>
      <w:r w:rsidRPr="00EE2957">
        <w:rPr>
          <w:rFonts w:ascii="Arial" w:hAnsi="Arial" w:cs="Arial"/>
          <w:color w:val="3A3A3A"/>
          <w:sz w:val="24"/>
          <w:szCs w:val="24"/>
          <w:shd w:val="clear" w:color="auto" w:fill="FFFFFF"/>
        </w:rPr>
        <w:t>. 1st ed. Hershey, Pennsylvania: Business Science Reference an imprint of IGI Global.</w:t>
      </w:r>
    </w:p>
    <w:p w14:paraId="33D0AC62" w14:textId="77777777" w:rsidR="00564E38" w:rsidRPr="00EE2957" w:rsidRDefault="00564E38" w:rsidP="00564E38">
      <w:pPr>
        <w:pStyle w:val="ListParagraph"/>
        <w:rPr>
          <w:rFonts w:ascii="Arial" w:hAnsi="Arial" w:cs="Arial"/>
          <w:color w:val="3A3A3A"/>
          <w:sz w:val="24"/>
          <w:szCs w:val="24"/>
          <w:shd w:val="clear" w:color="auto" w:fill="FFFFFF"/>
        </w:rPr>
      </w:pPr>
    </w:p>
    <w:p w14:paraId="096BD957" w14:textId="77777777" w:rsidR="00564E38" w:rsidRPr="00EE2957" w:rsidRDefault="00564E38" w:rsidP="00564E38">
      <w:pPr>
        <w:pStyle w:val="ListParagraph"/>
        <w:spacing w:before="100" w:beforeAutospacing="1" w:after="100" w:afterAutospacing="1"/>
        <w:rPr>
          <w:rFonts w:ascii="Arial" w:hAnsi="Arial" w:cs="Arial"/>
          <w:color w:val="3A3A3A"/>
          <w:sz w:val="24"/>
          <w:szCs w:val="24"/>
          <w:shd w:val="clear" w:color="auto" w:fill="FFFFFF"/>
        </w:rPr>
      </w:pPr>
    </w:p>
    <w:p w14:paraId="55BA46DB" w14:textId="77777777" w:rsidR="00463F19" w:rsidRPr="00EE2957" w:rsidRDefault="00463F19"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 xml:space="preserve">Boudreau, J.W., &amp; </w:t>
      </w:r>
      <w:proofErr w:type="spellStart"/>
      <w:r w:rsidRPr="00EE2957">
        <w:rPr>
          <w:rFonts w:ascii="Arial" w:eastAsia="Times New Roman" w:hAnsi="Arial" w:cs="Arial"/>
          <w:sz w:val="24"/>
          <w:szCs w:val="24"/>
          <w:lang w:eastAsia="en-GB"/>
        </w:rPr>
        <w:t>Jesuthasan</w:t>
      </w:r>
      <w:proofErr w:type="spellEnd"/>
      <w:r w:rsidRPr="00EE2957">
        <w:rPr>
          <w:rFonts w:ascii="Arial" w:eastAsia="Times New Roman" w:hAnsi="Arial" w:cs="Arial"/>
          <w:sz w:val="24"/>
          <w:szCs w:val="24"/>
          <w:lang w:eastAsia="en-GB"/>
        </w:rPr>
        <w:t>, R. (2011). Transformative HR: How Great Companies Use Evidence-Based Change for Sustainable Advantage. Jossey-Bass.</w:t>
      </w:r>
    </w:p>
    <w:p w14:paraId="21344F15" w14:textId="77777777" w:rsidR="00564E38" w:rsidRPr="00EE2957" w:rsidRDefault="00564E38" w:rsidP="00564E38">
      <w:pPr>
        <w:pStyle w:val="ListParagraph"/>
        <w:spacing w:before="100" w:beforeAutospacing="1" w:after="100" w:afterAutospacing="1"/>
        <w:rPr>
          <w:rFonts w:ascii="Arial" w:eastAsia="Times New Roman" w:hAnsi="Arial" w:cs="Arial"/>
          <w:b/>
          <w:bCs/>
          <w:sz w:val="24"/>
          <w:szCs w:val="24"/>
          <w:lang w:eastAsia="en-GB"/>
        </w:rPr>
      </w:pPr>
    </w:p>
    <w:p w14:paraId="71B2EEDC" w14:textId="3A490D2A" w:rsidR="00B86C2A" w:rsidRPr="00EE2957" w:rsidRDefault="00B86C2A"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hAnsi="Arial" w:cs="Arial"/>
          <w:color w:val="3A3A3A"/>
          <w:sz w:val="24"/>
          <w:szCs w:val="24"/>
          <w:shd w:val="clear" w:color="auto" w:fill="FFFFFF"/>
        </w:rPr>
        <w:t>Gaur, V. (2023) “A study on the effects of Globalisation, Changing Economy on HRM and its effects on the Economic Sustainability of Organisations,” in </w:t>
      </w:r>
      <w:r w:rsidRPr="00EE2957">
        <w:rPr>
          <w:rFonts w:ascii="Arial" w:hAnsi="Arial" w:cs="Arial"/>
          <w:i/>
          <w:iCs/>
          <w:color w:val="3A3A3A"/>
          <w:sz w:val="24"/>
          <w:szCs w:val="24"/>
          <w:shd w:val="clear" w:color="auto" w:fill="FFFFFF"/>
        </w:rPr>
        <w:t>The Business &amp; Management Review</w:t>
      </w:r>
      <w:r w:rsidRPr="00EE2957">
        <w:rPr>
          <w:rFonts w:ascii="Arial" w:hAnsi="Arial" w:cs="Arial"/>
          <w:color w:val="3A3A3A"/>
          <w:sz w:val="24"/>
          <w:szCs w:val="24"/>
          <w:shd w:val="clear" w:color="auto" w:fill="FFFFFF"/>
        </w:rPr>
        <w:t xml:space="preserve">. London: Centre for Business &amp; Economic Research, pp. 120–130. Available at: </w:t>
      </w:r>
      <w:hyperlink r:id="rId13" w:history="1">
        <w:r w:rsidRPr="00EE2957">
          <w:rPr>
            <w:rStyle w:val="Hyperlink"/>
            <w:rFonts w:ascii="Arial" w:hAnsi="Arial" w:cs="Arial"/>
            <w:sz w:val="24"/>
            <w:szCs w:val="24"/>
            <w:shd w:val="clear" w:color="auto" w:fill="FFFFFF"/>
          </w:rPr>
          <w:t>https://doi.org/10.24052/BMR/V14NU02/ART-14</w:t>
        </w:r>
      </w:hyperlink>
      <w:r w:rsidR="00183876" w:rsidRPr="00EE2957">
        <w:rPr>
          <w:rFonts w:ascii="Arial" w:hAnsi="Arial" w:cs="Arial"/>
          <w:color w:val="3A3A3A"/>
          <w:sz w:val="24"/>
          <w:szCs w:val="24"/>
          <w:shd w:val="clear" w:color="auto" w:fill="FFFFFF"/>
        </w:rPr>
        <w:t xml:space="preserve"> </w:t>
      </w:r>
      <w:r w:rsidR="004C1982" w:rsidRPr="00EE2957">
        <w:rPr>
          <w:rFonts w:ascii="Arial" w:hAnsi="Arial" w:cs="Arial"/>
          <w:color w:val="3A3A3A"/>
          <w:sz w:val="24"/>
          <w:szCs w:val="24"/>
          <w:shd w:val="clear" w:color="auto" w:fill="FFFFFF"/>
        </w:rPr>
        <w:t xml:space="preserve"> </w:t>
      </w:r>
      <w:r w:rsidR="00E30C0D" w:rsidRPr="00EE2957">
        <w:rPr>
          <w:rFonts w:ascii="Arial" w:hAnsi="Arial" w:cs="Arial"/>
          <w:color w:val="3A3A3A"/>
          <w:sz w:val="24"/>
          <w:szCs w:val="24"/>
          <w:shd w:val="clear" w:color="auto" w:fill="FFFFFF"/>
        </w:rPr>
        <w:t xml:space="preserve">(Accessed: </w:t>
      </w:r>
      <w:r w:rsidR="00E30C0D" w:rsidRPr="00EE2957">
        <w:rPr>
          <w:rFonts w:ascii="Arial" w:hAnsi="Arial" w:cs="Arial"/>
          <w:color w:val="3A3A3A"/>
          <w:sz w:val="24"/>
          <w:szCs w:val="24"/>
          <w:shd w:val="clear" w:color="auto" w:fill="FFFFFF"/>
        </w:rPr>
        <w:t>01 February</w:t>
      </w:r>
      <w:r w:rsidR="00E30C0D" w:rsidRPr="00EE2957">
        <w:rPr>
          <w:rFonts w:ascii="Arial" w:hAnsi="Arial" w:cs="Arial"/>
          <w:color w:val="3A3A3A"/>
          <w:sz w:val="24"/>
          <w:szCs w:val="24"/>
          <w:shd w:val="clear" w:color="auto" w:fill="FFFFFF"/>
        </w:rPr>
        <w:t xml:space="preserve"> 20</w:t>
      </w:r>
      <w:r w:rsidR="00E30C0D" w:rsidRPr="00EE2957">
        <w:rPr>
          <w:rFonts w:ascii="Arial" w:hAnsi="Arial" w:cs="Arial"/>
          <w:color w:val="3A3A3A"/>
          <w:sz w:val="24"/>
          <w:szCs w:val="24"/>
          <w:shd w:val="clear" w:color="auto" w:fill="FFFFFF"/>
        </w:rPr>
        <w:t>24</w:t>
      </w:r>
      <w:r w:rsidR="00E30C0D" w:rsidRPr="00EE2957">
        <w:rPr>
          <w:rFonts w:ascii="Arial" w:hAnsi="Arial" w:cs="Arial"/>
          <w:color w:val="3A3A3A"/>
          <w:sz w:val="24"/>
          <w:szCs w:val="24"/>
          <w:shd w:val="clear" w:color="auto" w:fill="FFFFFF"/>
        </w:rPr>
        <w:t>)</w:t>
      </w:r>
      <w:r w:rsidR="00E30C0D" w:rsidRPr="00EE2957">
        <w:rPr>
          <w:rFonts w:ascii="Arial" w:hAnsi="Arial" w:cs="Arial"/>
          <w:color w:val="3A3A3A"/>
          <w:sz w:val="24"/>
          <w:szCs w:val="24"/>
          <w:shd w:val="clear" w:color="auto" w:fill="FFFFFF"/>
        </w:rPr>
        <w:t>.</w:t>
      </w:r>
    </w:p>
    <w:p w14:paraId="1A4E01AD" w14:textId="77777777" w:rsidR="00564E38" w:rsidRPr="00EE2957" w:rsidRDefault="00564E38" w:rsidP="00564E38">
      <w:pPr>
        <w:pStyle w:val="ListParagraph"/>
        <w:rPr>
          <w:rFonts w:ascii="Arial" w:eastAsia="Times New Roman" w:hAnsi="Arial" w:cs="Arial"/>
          <w:sz w:val="24"/>
          <w:szCs w:val="24"/>
          <w:lang w:eastAsia="en-GB"/>
        </w:rPr>
      </w:pPr>
    </w:p>
    <w:p w14:paraId="6DD4DDCD"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706E35A3" w14:textId="2C7A4223" w:rsidR="00601693" w:rsidRPr="00EE2957" w:rsidRDefault="00601693"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proofErr w:type="spellStart"/>
      <w:r w:rsidRPr="00EE2957">
        <w:rPr>
          <w:rFonts w:ascii="Arial" w:eastAsia="Times New Roman" w:hAnsi="Arial" w:cs="Arial"/>
          <w:sz w:val="24"/>
          <w:szCs w:val="24"/>
          <w:lang w:eastAsia="en-GB"/>
        </w:rPr>
        <w:t>Hotho</w:t>
      </w:r>
      <w:proofErr w:type="spellEnd"/>
      <w:r w:rsidRPr="00EE2957">
        <w:rPr>
          <w:rFonts w:ascii="Arial" w:eastAsia="Times New Roman" w:hAnsi="Arial" w:cs="Arial"/>
          <w:sz w:val="24"/>
          <w:szCs w:val="24"/>
          <w:lang w:eastAsia="en-GB"/>
        </w:rPr>
        <w:t>, J. </w:t>
      </w:r>
      <w:r w:rsidRPr="00EE2957">
        <w:rPr>
          <w:rFonts w:ascii="Arial" w:eastAsia="Times New Roman" w:hAnsi="Arial" w:cs="Arial"/>
          <w:i/>
          <w:iCs/>
          <w:sz w:val="24"/>
          <w:szCs w:val="24"/>
          <w:lang w:eastAsia="en-GB"/>
        </w:rPr>
        <w:t>et al.</w:t>
      </w:r>
      <w:r w:rsidRPr="00EE2957">
        <w:rPr>
          <w:rFonts w:ascii="Arial" w:eastAsia="Times New Roman" w:hAnsi="Arial" w:cs="Arial"/>
          <w:sz w:val="24"/>
          <w:szCs w:val="24"/>
          <w:lang w:eastAsia="en-GB"/>
        </w:rPr>
        <w:t xml:space="preserve"> (2020) “Coping with </w:t>
      </w:r>
      <w:proofErr w:type="spellStart"/>
      <w:r w:rsidRPr="00EE2957">
        <w:rPr>
          <w:rFonts w:ascii="Arial" w:eastAsia="Times New Roman" w:hAnsi="Arial" w:cs="Arial"/>
          <w:sz w:val="24"/>
          <w:szCs w:val="24"/>
          <w:lang w:eastAsia="en-GB"/>
        </w:rPr>
        <w:t>Favoritism</w:t>
      </w:r>
      <w:proofErr w:type="spellEnd"/>
      <w:r w:rsidRPr="00EE2957">
        <w:rPr>
          <w:rFonts w:ascii="Arial" w:eastAsia="Times New Roman" w:hAnsi="Arial" w:cs="Arial"/>
          <w:sz w:val="24"/>
          <w:szCs w:val="24"/>
          <w:lang w:eastAsia="en-GB"/>
        </w:rPr>
        <w:t xml:space="preserve"> in Recruitment and Selection: A Communal Perspective,” </w:t>
      </w:r>
      <w:r w:rsidRPr="00EE2957">
        <w:rPr>
          <w:rFonts w:ascii="Arial" w:eastAsia="Times New Roman" w:hAnsi="Arial" w:cs="Arial"/>
          <w:i/>
          <w:iCs/>
          <w:sz w:val="24"/>
          <w:szCs w:val="24"/>
          <w:lang w:eastAsia="en-GB"/>
        </w:rPr>
        <w:t>Journal of business ethics</w:t>
      </w:r>
      <w:r w:rsidRPr="00EE2957">
        <w:rPr>
          <w:rFonts w:ascii="Arial" w:eastAsia="Times New Roman" w:hAnsi="Arial" w:cs="Arial"/>
          <w:sz w:val="24"/>
          <w:szCs w:val="24"/>
          <w:lang w:eastAsia="en-GB"/>
        </w:rPr>
        <w:t xml:space="preserve">, 165(4), pp. 659–679. Available at: </w:t>
      </w:r>
      <w:hyperlink r:id="rId14" w:history="1">
        <w:r w:rsidR="00D77B0F" w:rsidRPr="00EE2957">
          <w:rPr>
            <w:rStyle w:val="Hyperlink"/>
            <w:rFonts w:ascii="Arial" w:eastAsia="Times New Roman" w:hAnsi="Arial" w:cs="Arial"/>
            <w:sz w:val="24"/>
            <w:szCs w:val="24"/>
            <w:lang w:eastAsia="en-GB"/>
          </w:rPr>
          <w:t>https://doi.org/10.1007/s10551-018-4094-9</w:t>
        </w:r>
      </w:hyperlink>
      <w:r w:rsidR="00183876" w:rsidRPr="00EE2957">
        <w:rPr>
          <w:rFonts w:ascii="Arial" w:eastAsia="Times New Roman" w:hAnsi="Arial" w:cs="Arial"/>
          <w:sz w:val="24"/>
          <w:szCs w:val="24"/>
          <w:lang w:eastAsia="en-GB"/>
        </w:rPr>
        <w:t xml:space="preserve">  </w:t>
      </w:r>
      <w:r w:rsidR="00183876" w:rsidRPr="00EE2957">
        <w:rPr>
          <w:rFonts w:ascii="Arial" w:hAnsi="Arial" w:cs="Arial"/>
          <w:color w:val="3A3A3A"/>
          <w:sz w:val="24"/>
          <w:szCs w:val="24"/>
          <w:shd w:val="clear" w:color="auto" w:fill="FFFFFF"/>
        </w:rPr>
        <w:t>(Accessed: 01 February 2024).</w:t>
      </w:r>
    </w:p>
    <w:p w14:paraId="1DB87727"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5020483E" w14:textId="27220FE7" w:rsidR="00D77B0F" w:rsidRPr="00EE2957" w:rsidRDefault="00D77B0F"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hAnsi="Arial" w:cs="Arial"/>
          <w:color w:val="3A3A3A"/>
          <w:sz w:val="24"/>
          <w:szCs w:val="24"/>
          <w:shd w:val="clear" w:color="auto" w:fill="FFFFFF"/>
        </w:rPr>
        <w:t>Josan, I.-J. (2013) “Human Capital and organizational effectiveness,” </w:t>
      </w:r>
      <w:r w:rsidRPr="00EE2957">
        <w:rPr>
          <w:rFonts w:ascii="Arial" w:hAnsi="Arial" w:cs="Arial"/>
          <w:i/>
          <w:iCs/>
          <w:color w:val="3A3A3A"/>
          <w:sz w:val="24"/>
          <w:szCs w:val="24"/>
          <w:shd w:val="clear" w:color="auto" w:fill="FFFFFF"/>
        </w:rPr>
        <w:t>Manager (</w:t>
      </w:r>
      <w:proofErr w:type="spellStart"/>
      <w:r w:rsidRPr="00EE2957">
        <w:rPr>
          <w:rFonts w:ascii="Arial" w:hAnsi="Arial" w:cs="Arial"/>
          <w:i/>
          <w:iCs/>
          <w:color w:val="3A3A3A"/>
          <w:sz w:val="24"/>
          <w:szCs w:val="24"/>
          <w:shd w:val="clear" w:color="auto" w:fill="FFFFFF"/>
        </w:rPr>
        <w:t>Bucureşti</w:t>
      </w:r>
      <w:proofErr w:type="spellEnd"/>
      <w:r w:rsidRPr="00EE2957">
        <w:rPr>
          <w:rFonts w:ascii="Arial" w:hAnsi="Arial" w:cs="Arial"/>
          <w:i/>
          <w:iCs/>
          <w:color w:val="3A3A3A"/>
          <w:sz w:val="24"/>
          <w:szCs w:val="24"/>
          <w:shd w:val="clear" w:color="auto" w:fill="FFFFFF"/>
        </w:rPr>
        <w:t>)</w:t>
      </w:r>
      <w:r w:rsidRPr="00EE2957">
        <w:rPr>
          <w:rFonts w:ascii="Arial" w:hAnsi="Arial" w:cs="Arial"/>
          <w:color w:val="3A3A3A"/>
          <w:sz w:val="24"/>
          <w:szCs w:val="24"/>
          <w:shd w:val="clear" w:color="auto" w:fill="FFFFFF"/>
        </w:rPr>
        <w:t>, (17), pp. 39–45.</w:t>
      </w:r>
    </w:p>
    <w:p w14:paraId="7643715C" w14:textId="77777777" w:rsidR="00564E38" w:rsidRPr="00EE2957" w:rsidRDefault="00564E38" w:rsidP="00564E38">
      <w:pPr>
        <w:pStyle w:val="ListParagraph"/>
        <w:rPr>
          <w:rFonts w:ascii="Arial" w:eastAsia="Times New Roman" w:hAnsi="Arial" w:cs="Arial"/>
          <w:sz w:val="24"/>
          <w:szCs w:val="24"/>
          <w:lang w:eastAsia="en-GB"/>
        </w:rPr>
      </w:pPr>
    </w:p>
    <w:p w14:paraId="7FCCFE44"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52CCA6E5" w14:textId="5A7C7114" w:rsidR="00B16427" w:rsidRPr="00EE2957" w:rsidRDefault="00B16427"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 xml:space="preserve">LinkedIn, &amp; Ulrich, D. (2013). The 2020 Workplace: How Innovative Companies Attract, Develop, and Keep Tomorrow’s Employees Today. </w:t>
      </w:r>
      <w:proofErr w:type="spellStart"/>
      <w:r w:rsidRPr="00EE2957">
        <w:rPr>
          <w:rFonts w:ascii="Arial" w:eastAsia="Times New Roman" w:hAnsi="Arial" w:cs="Arial"/>
          <w:sz w:val="24"/>
          <w:szCs w:val="24"/>
          <w:lang w:eastAsia="en-GB"/>
        </w:rPr>
        <w:t>HarperBusiness</w:t>
      </w:r>
      <w:proofErr w:type="spellEnd"/>
      <w:r w:rsidRPr="00EE2957">
        <w:rPr>
          <w:rFonts w:ascii="Arial" w:eastAsia="Times New Roman" w:hAnsi="Arial" w:cs="Arial"/>
          <w:sz w:val="24"/>
          <w:szCs w:val="24"/>
          <w:lang w:eastAsia="en-GB"/>
        </w:rPr>
        <w:t>.</w:t>
      </w:r>
    </w:p>
    <w:p w14:paraId="64BE4C5E" w14:textId="77777777" w:rsidR="00564E38" w:rsidRPr="00EE2957" w:rsidRDefault="00564E38" w:rsidP="00564E38">
      <w:pPr>
        <w:pStyle w:val="ListParagraph"/>
        <w:spacing w:before="100" w:beforeAutospacing="1" w:after="100" w:afterAutospacing="1"/>
        <w:rPr>
          <w:rFonts w:ascii="Arial" w:eastAsia="Times New Roman" w:hAnsi="Arial" w:cs="Arial"/>
          <w:b/>
          <w:bCs/>
          <w:sz w:val="24"/>
          <w:szCs w:val="24"/>
          <w:lang w:eastAsia="en-GB"/>
        </w:rPr>
      </w:pPr>
    </w:p>
    <w:p w14:paraId="64F5C238" w14:textId="77777777" w:rsidR="001F7D0C" w:rsidRPr="00EE2957" w:rsidRDefault="001F7D0C" w:rsidP="001F7D0C">
      <w:pPr>
        <w:pStyle w:val="ListParagraph"/>
        <w:spacing w:before="100" w:beforeAutospacing="1" w:after="100" w:afterAutospacing="1"/>
        <w:rPr>
          <w:rFonts w:ascii="Arial" w:eastAsia="Times New Roman" w:hAnsi="Arial" w:cs="Arial"/>
          <w:b/>
          <w:bCs/>
          <w:sz w:val="24"/>
          <w:szCs w:val="24"/>
          <w:lang w:eastAsia="en-GB"/>
        </w:rPr>
      </w:pPr>
    </w:p>
    <w:p w14:paraId="50C9CB93" w14:textId="38E8EA97" w:rsidR="00725E55" w:rsidRPr="00EE2957" w:rsidRDefault="00725E55" w:rsidP="001F7D0C">
      <w:pPr>
        <w:pStyle w:val="ListParagraph"/>
        <w:numPr>
          <w:ilvl w:val="0"/>
          <w:numId w:val="1"/>
        </w:numPr>
        <w:spacing w:before="100" w:beforeAutospacing="1" w:after="100" w:afterAutospacing="1"/>
        <w:rPr>
          <w:rFonts w:ascii="Arial" w:eastAsia="Times New Roman" w:hAnsi="Arial" w:cs="Arial"/>
          <w:b/>
          <w:bCs/>
          <w:sz w:val="24"/>
          <w:szCs w:val="24"/>
          <w:lang w:eastAsia="en-GB"/>
        </w:rPr>
      </w:pPr>
      <w:proofErr w:type="spellStart"/>
      <w:r w:rsidRPr="00EE2957">
        <w:rPr>
          <w:rFonts w:ascii="Arial" w:hAnsi="Arial" w:cs="Arial"/>
          <w:color w:val="3A3A3A"/>
          <w:sz w:val="24"/>
          <w:szCs w:val="24"/>
          <w:shd w:val="clear" w:color="auto" w:fill="FFFFFF"/>
        </w:rPr>
        <w:t>Mellahi</w:t>
      </w:r>
      <w:proofErr w:type="spellEnd"/>
      <w:r w:rsidRPr="00EE2957">
        <w:rPr>
          <w:rFonts w:ascii="Arial" w:hAnsi="Arial" w:cs="Arial"/>
          <w:color w:val="3A3A3A"/>
          <w:sz w:val="24"/>
          <w:szCs w:val="24"/>
          <w:shd w:val="clear" w:color="auto" w:fill="FFFFFF"/>
        </w:rPr>
        <w:t>, K. </w:t>
      </w:r>
      <w:r w:rsidRPr="00EE2957">
        <w:rPr>
          <w:rFonts w:ascii="Arial" w:hAnsi="Arial" w:cs="Arial"/>
          <w:i/>
          <w:iCs/>
          <w:color w:val="3A3A3A"/>
          <w:sz w:val="24"/>
          <w:szCs w:val="24"/>
          <w:shd w:val="clear" w:color="auto" w:fill="FFFFFF"/>
        </w:rPr>
        <w:t>et al.</w:t>
      </w:r>
      <w:r w:rsidRPr="00EE2957">
        <w:rPr>
          <w:rFonts w:ascii="Arial" w:hAnsi="Arial" w:cs="Arial"/>
          <w:color w:val="3A3A3A"/>
          <w:sz w:val="24"/>
          <w:szCs w:val="24"/>
          <w:shd w:val="clear" w:color="auto" w:fill="FFFFFF"/>
        </w:rPr>
        <w:t> (eds) (2020) </w:t>
      </w:r>
      <w:r w:rsidRPr="00EE2957">
        <w:rPr>
          <w:rFonts w:ascii="Arial" w:hAnsi="Arial" w:cs="Arial"/>
          <w:i/>
          <w:iCs/>
          <w:color w:val="3A3A3A"/>
          <w:sz w:val="24"/>
          <w:szCs w:val="24"/>
          <w:shd w:val="clear" w:color="auto" w:fill="FFFFFF"/>
        </w:rPr>
        <w:t>The Oxford handbook of international business strategy</w:t>
      </w:r>
      <w:r w:rsidRPr="00EE2957">
        <w:rPr>
          <w:rFonts w:ascii="Arial" w:hAnsi="Arial" w:cs="Arial"/>
          <w:color w:val="3A3A3A"/>
          <w:sz w:val="24"/>
          <w:szCs w:val="24"/>
          <w:shd w:val="clear" w:color="auto" w:fill="FFFFFF"/>
        </w:rPr>
        <w:t>. Oxford: Oxford University Press.</w:t>
      </w:r>
    </w:p>
    <w:p w14:paraId="414E3FD0"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102B8074" w14:textId="01640845" w:rsidR="00B16427" w:rsidRPr="00EE2957" w:rsidRDefault="00B16427" w:rsidP="001F7D0C">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Marler, J.H., &amp; Boudreau, J.W. (2017). An evidence-based review of HR Analytics. The International Journal of Human Resource Management, 28(1), 3-26.</w:t>
      </w:r>
    </w:p>
    <w:p w14:paraId="4451F285" w14:textId="77777777" w:rsidR="00564E38" w:rsidRPr="00EE2957" w:rsidRDefault="00564E38" w:rsidP="00564E38">
      <w:pPr>
        <w:pStyle w:val="ListParagraph"/>
        <w:rPr>
          <w:rFonts w:ascii="Arial" w:eastAsia="Times New Roman" w:hAnsi="Arial" w:cs="Arial"/>
          <w:b/>
          <w:bCs/>
          <w:sz w:val="24"/>
          <w:szCs w:val="24"/>
          <w:lang w:eastAsia="en-GB"/>
        </w:rPr>
      </w:pPr>
    </w:p>
    <w:p w14:paraId="0D605963" w14:textId="77777777" w:rsidR="00564E38" w:rsidRPr="00EE2957" w:rsidRDefault="00564E38" w:rsidP="00564E38">
      <w:pPr>
        <w:pStyle w:val="ListParagraph"/>
        <w:spacing w:before="100" w:beforeAutospacing="1" w:after="100" w:afterAutospacing="1"/>
        <w:rPr>
          <w:rFonts w:ascii="Arial" w:eastAsia="Times New Roman" w:hAnsi="Arial" w:cs="Arial"/>
          <w:b/>
          <w:bCs/>
          <w:sz w:val="24"/>
          <w:szCs w:val="24"/>
          <w:lang w:eastAsia="en-GB"/>
        </w:rPr>
      </w:pPr>
    </w:p>
    <w:p w14:paraId="2D2E4ADC" w14:textId="6CB122FC" w:rsidR="00C83F69" w:rsidRPr="00EE2957" w:rsidRDefault="00C83F69" w:rsidP="00FC6D8A">
      <w:pPr>
        <w:pStyle w:val="ListParagraph"/>
        <w:numPr>
          <w:ilvl w:val="0"/>
          <w:numId w:val="1"/>
        </w:numPr>
        <w:spacing w:before="100" w:beforeAutospacing="1" w:after="100" w:afterAutospacing="1"/>
        <w:rPr>
          <w:rFonts w:ascii="Arial" w:eastAsia="Times New Roman" w:hAnsi="Arial" w:cs="Arial"/>
          <w:b/>
          <w:bCs/>
          <w:sz w:val="24"/>
          <w:szCs w:val="24"/>
          <w:lang w:eastAsia="en-GB"/>
        </w:rPr>
      </w:pPr>
      <w:r w:rsidRPr="00EE2957">
        <w:rPr>
          <w:rFonts w:ascii="Arial" w:eastAsia="Times New Roman" w:hAnsi="Arial" w:cs="Arial"/>
          <w:sz w:val="24"/>
          <w:szCs w:val="24"/>
          <w:lang w:eastAsia="en-GB"/>
        </w:rPr>
        <w:t xml:space="preserve">Marr, Bernard. (2012) </w:t>
      </w:r>
      <w:r w:rsidRPr="00EE2957">
        <w:rPr>
          <w:rFonts w:ascii="Arial" w:eastAsia="Times New Roman" w:hAnsi="Arial" w:cs="Arial"/>
          <w:i/>
          <w:iCs/>
          <w:sz w:val="24"/>
          <w:szCs w:val="24"/>
          <w:lang w:eastAsia="en-GB"/>
        </w:rPr>
        <w:t xml:space="preserve">Key performance </w:t>
      </w:r>
      <w:r w:rsidR="00EE6BDF" w:rsidRPr="00EE2957">
        <w:rPr>
          <w:rFonts w:ascii="Arial" w:eastAsia="Times New Roman" w:hAnsi="Arial" w:cs="Arial"/>
          <w:i/>
          <w:iCs/>
          <w:sz w:val="24"/>
          <w:szCs w:val="24"/>
          <w:lang w:eastAsia="en-GB"/>
        </w:rPr>
        <w:t>indicators:</w:t>
      </w:r>
      <w:r w:rsidRPr="00EE2957">
        <w:rPr>
          <w:rFonts w:ascii="Arial" w:eastAsia="Times New Roman" w:hAnsi="Arial" w:cs="Arial"/>
          <w:i/>
          <w:iCs/>
          <w:sz w:val="24"/>
          <w:szCs w:val="24"/>
          <w:lang w:eastAsia="en-GB"/>
        </w:rPr>
        <w:t xml:space="preserve"> the 75 measures every manager needs to know</w:t>
      </w:r>
      <w:r w:rsidRPr="00EE2957">
        <w:rPr>
          <w:rFonts w:ascii="Arial" w:eastAsia="Times New Roman" w:hAnsi="Arial" w:cs="Arial"/>
          <w:sz w:val="24"/>
          <w:szCs w:val="24"/>
          <w:lang w:eastAsia="en-GB"/>
        </w:rPr>
        <w:t>. 1st ed. Harlow: Pearson.</w:t>
      </w:r>
    </w:p>
    <w:p w14:paraId="7EC0934E" w14:textId="77777777" w:rsidR="00564E38" w:rsidRPr="00EE2957" w:rsidRDefault="00564E38" w:rsidP="00564E38">
      <w:pPr>
        <w:pStyle w:val="ListParagraph"/>
        <w:spacing w:before="100" w:beforeAutospacing="1" w:after="100" w:afterAutospacing="1"/>
        <w:rPr>
          <w:rFonts w:ascii="Arial" w:eastAsia="Times New Roman" w:hAnsi="Arial" w:cs="Arial"/>
          <w:b/>
          <w:bCs/>
          <w:sz w:val="24"/>
          <w:szCs w:val="24"/>
          <w:lang w:eastAsia="en-GB"/>
        </w:rPr>
      </w:pPr>
    </w:p>
    <w:p w14:paraId="13CD41C7" w14:textId="76DCEE61" w:rsidR="006E76AD" w:rsidRPr="00EE2957" w:rsidRDefault="006E76AD" w:rsidP="00FC6D8A">
      <w:pPr>
        <w:pStyle w:val="ListParagraph"/>
        <w:numPr>
          <w:ilvl w:val="0"/>
          <w:numId w:val="1"/>
        </w:numPr>
        <w:spacing w:before="100" w:beforeAutospacing="1" w:after="100" w:afterAutospacing="1"/>
        <w:rPr>
          <w:rFonts w:ascii="Arial" w:eastAsia="Times New Roman" w:hAnsi="Arial" w:cs="Arial"/>
          <w:b/>
          <w:bCs/>
          <w:sz w:val="24"/>
          <w:szCs w:val="24"/>
          <w:lang w:eastAsia="en-GB"/>
        </w:rPr>
      </w:pPr>
      <w:r w:rsidRPr="00EE2957">
        <w:rPr>
          <w:rFonts w:ascii="Arial" w:hAnsi="Arial" w:cs="Arial"/>
          <w:color w:val="3A3A3A"/>
          <w:sz w:val="24"/>
          <w:szCs w:val="24"/>
          <w:shd w:val="clear" w:color="auto" w:fill="FFFFFF"/>
        </w:rPr>
        <w:t xml:space="preserve">Mohammad </w:t>
      </w:r>
      <w:proofErr w:type="spellStart"/>
      <w:r w:rsidRPr="00EE2957">
        <w:rPr>
          <w:rFonts w:ascii="Arial" w:hAnsi="Arial" w:cs="Arial"/>
          <w:color w:val="3A3A3A"/>
          <w:sz w:val="24"/>
          <w:szCs w:val="24"/>
          <w:shd w:val="clear" w:color="auto" w:fill="FFFFFF"/>
        </w:rPr>
        <w:t>Abooyee</w:t>
      </w:r>
      <w:proofErr w:type="spellEnd"/>
      <w:r w:rsidRPr="00EE2957">
        <w:rPr>
          <w:rFonts w:ascii="Arial" w:hAnsi="Arial" w:cs="Arial"/>
          <w:color w:val="3A3A3A"/>
          <w:sz w:val="24"/>
          <w:szCs w:val="24"/>
          <w:shd w:val="clear" w:color="auto" w:fill="FFFFFF"/>
        </w:rPr>
        <w:t xml:space="preserve"> </w:t>
      </w:r>
      <w:proofErr w:type="spellStart"/>
      <w:r w:rsidRPr="00EE2957">
        <w:rPr>
          <w:rFonts w:ascii="Arial" w:hAnsi="Arial" w:cs="Arial"/>
          <w:color w:val="3A3A3A"/>
          <w:sz w:val="24"/>
          <w:szCs w:val="24"/>
          <w:shd w:val="clear" w:color="auto" w:fill="FFFFFF"/>
        </w:rPr>
        <w:t>Ardakan</w:t>
      </w:r>
      <w:proofErr w:type="spellEnd"/>
      <w:r w:rsidRPr="00EE2957">
        <w:rPr>
          <w:rFonts w:ascii="Arial" w:hAnsi="Arial" w:cs="Arial"/>
          <w:color w:val="3A3A3A"/>
          <w:sz w:val="24"/>
          <w:szCs w:val="24"/>
          <w:shd w:val="clear" w:color="auto" w:fill="FFFFFF"/>
        </w:rPr>
        <w:t> </w:t>
      </w:r>
      <w:r w:rsidRPr="00EE2957">
        <w:rPr>
          <w:rFonts w:ascii="Arial" w:hAnsi="Arial" w:cs="Arial"/>
          <w:i/>
          <w:iCs/>
          <w:color w:val="3A3A3A"/>
          <w:sz w:val="24"/>
          <w:szCs w:val="24"/>
          <w:shd w:val="clear" w:color="auto" w:fill="FFFFFF"/>
        </w:rPr>
        <w:t>et al.</w:t>
      </w:r>
      <w:r w:rsidRPr="00EE2957">
        <w:rPr>
          <w:rFonts w:ascii="Arial" w:hAnsi="Arial" w:cs="Arial"/>
          <w:color w:val="3A3A3A"/>
          <w:sz w:val="24"/>
          <w:szCs w:val="24"/>
          <w:shd w:val="clear" w:color="auto" w:fill="FFFFFF"/>
        </w:rPr>
        <w:t> (2021) “Studying a Method for Aligning Business Strategy HR Practices,” </w:t>
      </w:r>
      <w:proofErr w:type="spellStart"/>
      <w:r w:rsidRPr="00EE2957">
        <w:rPr>
          <w:rFonts w:ascii="Arial" w:hAnsi="Arial" w:cs="Arial"/>
          <w:i/>
          <w:iCs/>
          <w:color w:val="3A3A3A"/>
          <w:sz w:val="24"/>
          <w:szCs w:val="24"/>
          <w:shd w:val="clear" w:color="auto" w:fill="FFFFFF"/>
        </w:rPr>
        <w:t>Mudīrīyat-i</w:t>
      </w:r>
      <w:proofErr w:type="spellEnd"/>
      <w:r w:rsidRPr="00EE2957">
        <w:rPr>
          <w:rFonts w:ascii="Arial" w:hAnsi="Arial" w:cs="Arial"/>
          <w:i/>
          <w:iCs/>
          <w:color w:val="3A3A3A"/>
          <w:sz w:val="24"/>
          <w:szCs w:val="24"/>
          <w:shd w:val="clear" w:color="auto" w:fill="FFFFFF"/>
        </w:rPr>
        <w:t xml:space="preserve"> </w:t>
      </w:r>
      <w:proofErr w:type="spellStart"/>
      <w:r w:rsidRPr="00EE2957">
        <w:rPr>
          <w:rFonts w:ascii="Arial" w:hAnsi="Arial" w:cs="Arial"/>
          <w:i/>
          <w:iCs/>
          <w:color w:val="3A3A3A"/>
          <w:sz w:val="24"/>
          <w:szCs w:val="24"/>
          <w:shd w:val="clear" w:color="auto" w:fill="FFFFFF"/>
        </w:rPr>
        <w:t>dawlatī</w:t>
      </w:r>
      <w:proofErr w:type="spellEnd"/>
      <w:r w:rsidRPr="00EE2957">
        <w:rPr>
          <w:rFonts w:ascii="Arial" w:hAnsi="Arial" w:cs="Arial"/>
          <w:i/>
          <w:iCs/>
          <w:color w:val="3A3A3A"/>
          <w:sz w:val="24"/>
          <w:szCs w:val="24"/>
          <w:shd w:val="clear" w:color="auto" w:fill="FFFFFF"/>
        </w:rPr>
        <w:t xml:space="preserve"> (</w:t>
      </w:r>
      <w:proofErr w:type="spellStart"/>
      <w:r w:rsidRPr="00EE2957">
        <w:rPr>
          <w:rFonts w:ascii="Arial" w:hAnsi="Arial" w:cs="Arial"/>
          <w:i/>
          <w:iCs/>
          <w:color w:val="3A3A3A"/>
          <w:sz w:val="24"/>
          <w:szCs w:val="24"/>
          <w:shd w:val="clear" w:color="auto" w:fill="FFFFFF"/>
        </w:rPr>
        <w:t>Dānishgāh-i</w:t>
      </w:r>
      <w:proofErr w:type="spellEnd"/>
      <w:r w:rsidRPr="00EE2957">
        <w:rPr>
          <w:rFonts w:ascii="Arial" w:hAnsi="Arial" w:cs="Arial"/>
          <w:i/>
          <w:iCs/>
          <w:color w:val="3A3A3A"/>
          <w:sz w:val="24"/>
          <w:szCs w:val="24"/>
          <w:shd w:val="clear" w:color="auto" w:fill="FFFFFF"/>
        </w:rPr>
        <w:t xml:space="preserve"> </w:t>
      </w:r>
      <w:proofErr w:type="spellStart"/>
      <w:r w:rsidRPr="00EE2957">
        <w:rPr>
          <w:rFonts w:ascii="Arial" w:hAnsi="Arial" w:cs="Arial"/>
          <w:i/>
          <w:iCs/>
          <w:color w:val="3A3A3A"/>
          <w:sz w:val="24"/>
          <w:szCs w:val="24"/>
          <w:shd w:val="clear" w:color="auto" w:fill="FFFFFF"/>
        </w:rPr>
        <w:t>Tihrān</w:t>
      </w:r>
      <w:proofErr w:type="spellEnd"/>
      <w:r w:rsidRPr="00EE2957">
        <w:rPr>
          <w:rFonts w:ascii="Arial" w:hAnsi="Arial" w:cs="Arial"/>
          <w:i/>
          <w:iCs/>
          <w:color w:val="3A3A3A"/>
          <w:sz w:val="24"/>
          <w:szCs w:val="24"/>
          <w:shd w:val="clear" w:color="auto" w:fill="FFFFFF"/>
        </w:rPr>
        <w:t xml:space="preserve">. </w:t>
      </w:r>
      <w:proofErr w:type="spellStart"/>
      <w:r w:rsidRPr="00EE2957">
        <w:rPr>
          <w:rFonts w:ascii="Arial" w:hAnsi="Arial" w:cs="Arial"/>
          <w:i/>
          <w:iCs/>
          <w:color w:val="3A3A3A"/>
          <w:sz w:val="24"/>
          <w:szCs w:val="24"/>
          <w:shd w:val="clear" w:color="auto" w:fill="FFFFFF"/>
        </w:rPr>
        <w:t>Dānishkadah-i</w:t>
      </w:r>
      <w:proofErr w:type="spellEnd"/>
      <w:r w:rsidRPr="00EE2957">
        <w:rPr>
          <w:rFonts w:ascii="Arial" w:hAnsi="Arial" w:cs="Arial"/>
          <w:i/>
          <w:iCs/>
          <w:color w:val="3A3A3A"/>
          <w:sz w:val="24"/>
          <w:szCs w:val="24"/>
          <w:shd w:val="clear" w:color="auto" w:fill="FFFFFF"/>
        </w:rPr>
        <w:t xml:space="preserve"> </w:t>
      </w:r>
      <w:proofErr w:type="spellStart"/>
      <w:r w:rsidRPr="00EE2957">
        <w:rPr>
          <w:rFonts w:ascii="Arial" w:hAnsi="Arial" w:cs="Arial"/>
          <w:i/>
          <w:iCs/>
          <w:color w:val="3A3A3A"/>
          <w:sz w:val="24"/>
          <w:szCs w:val="24"/>
          <w:shd w:val="clear" w:color="auto" w:fill="FFFFFF"/>
        </w:rPr>
        <w:t>Mudīrīyat</w:t>
      </w:r>
      <w:proofErr w:type="spellEnd"/>
      <w:r w:rsidRPr="00EE2957">
        <w:rPr>
          <w:rFonts w:ascii="Arial" w:hAnsi="Arial" w:cs="Arial"/>
          <w:i/>
          <w:iCs/>
          <w:color w:val="3A3A3A"/>
          <w:sz w:val="24"/>
          <w:szCs w:val="24"/>
          <w:shd w:val="clear" w:color="auto" w:fill="FFFFFF"/>
        </w:rPr>
        <w:t>)</w:t>
      </w:r>
      <w:r w:rsidRPr="00EE2957">
        <w:rPr>
          <w:rFonts w:ascii="Arial" w:hAnsi="Arial" w:cs="Arial"/>
          <w:color w:val="3A3A3A"/>
          <w:sz w:val="24"/>
          <w:szCs w:val="24"/>
          <w:shd w:val="clear" w:color="auto" w:fill="FFFFFF"/>
        </w:rPr>
        <w:t xml:space="preserve">, 13(2), pp. 354–384. Available at: </w:t>
      </w:r>
      <w:hyperlink r:id="rId15" w:history="1">
        <w:r w:rsidR="000B6CD8" w:rsidRPr="00EE2957">
          <w:rPr>
            <w:rStyle w:val="Hyperlink"/>
            <w:rFonts w:ascii="Arial" w:hAnsi="Arial" w:cs="Arial"/>
            <w:sz w:val="24"/>
            <w:szCs w:val="24"/>
            <w:shd w:val="clear" w:color="auto" w:fill="FFFFFF"/>
          </w:rPr>
          <w:t>https://doi.org/10.22059/jipa.2020.307321.2785</w:t>
        </w:r>
      </w:hyperlink>
      <w:r w:rsidRPr="00EE2957">
        <w:rPr>
          <w:rFonts w:ascii="Arial" w:hAnsi="Arial" w:cs="Arial"/>
          <w:color w:val="3A3A3A"/>
          <w:sz w:val="24"/>
          <w:szCs w:val="24"/>
          <w:shd w:val="clear" w:color="auto" w:fill="FFFFFF"/>
        </w:rPr>
        <w:t>.</w:t>
      </w:r>
      <w:r w:rsidR="00183876" w:rsidRPr="00EE2957">
        <w:rPr>
          <w:rFonts w:ascii="Arial" w:hAnsi="Arial" w:cs="Arial"/>
          <w:color w:val="3A3A3A"/>
          <w:sz w:val="24"/>
          <w:szCs w:val="24"/>
          <w:shd w:val="clear" w:color="auto" w:fill="FFFFFF"/>
        </w:rPr>
        <w:t xml:space="preserve"> </w:t>
      </w:r>
      <w:r w:rsidR="00183876" w:rsidRPr="00EE2957">
        <w:rPr>
          <w:rFonts w:ascii="Arial" w:hAnsi="Arial" w:cs="Arial"/>
          <w:color w:val="3A3A3A"/>
          <w:sz w:val="24"/>
          <w:szCs w:val="24"/>
          <w:shd w:val="clear" w:color="auto" w:fill="FFFFFF"/>
        </w:rPr>
        <w:t>(Accessed: 0</w:t>
      </w:r>
      <w:r w:rsidR="00183876" w:rsidRPr="00EE2957">
        <w:rPr>
          <w:rFonts w:ascii="Arial" w:hAnsi="Arial" w:cs="Arial"/>
          <w:color w:val="3A3A3A"/>
          <w:sz w:val="24"/>
          <w:szCs w:val="24"/>
          <w:shd w:val="clear" w:color="auto" w:fill="FFFFFF"/>
        </w:rPr>
        <w:t>2</w:t>
      </w:r>
      <w:r w:rsidR="00183876" w:rsidRPr="00EE2957">
        <w:rPr>
          <w:rFonts w:ascii="Arial" w:hAnsi="Arial" w:cs="Arial"/>
          <w:color w:val="3A3A3A"/>
          <w:sz w:val="24"/>
          <w:szCs w:val="24"/>
          <w:shd w:val="clear" w:color="auto" w:fill="FFFFFF"/>
        </w:rPr>
        <w:t xml:space="preserve"> February 2024).</w:t>
      </w:r>
    </w:p>
    <w:p w14:paraId="23F30AF4" w14:textId="77777777" w:rsidR="000B6CD8" w:rsidRPr="00EE2957" w:rsidRDefault="000B6CD8" w:rsidP="000B6CD8">
      <w:pPr>
        <w:pStyle w:val="ListParagraph"/>
        <w:rPr>
          <w:rFonts w:ascii="Arial" w:eastAsia="Times New Roman" w:hAnsi="Arial" w:cs="Arial"/>
          <w:b/>
          <w:bCs/>
          <w:sz w:val="24"/>
          <w:szCs w:val="24"/>
          <w:lang w:eastAsia="en-GB"/>
        </w:rPr>
      </w:pPr>
    </w:p>
    <w:p w14:paraId="0CB00267" w14:textId="77777777" w:rsidR="000B6CD8" w:rsidRPr="00EE2957" w:rsidRDefault="000B6CD8" w:rsidP="000B6CD8">
      <w:pPr>
        <w:pStyle w:val="ListParagraph"/>
        <w:spacing w:before="100" w:beforeAutospacing="1" w:after="100" w:afterAutospacing="1"/>
        <w:rPr>
          <w:rFonts w:ascii="Arial" w:eastAsia="Times New Roman" w:hAnsi="Arial" w:cs="Arial"/>
          <w:b/>
          <w:bCs/>
          <w:sz w:val="24"/>
          <w:szCs w:val="24"/>
          <w:lang w:eastAsia="en-GB"/>
        </w:rPr>
      </w:pPr>
    </w:p>
    <w:p w14:paraId="6FEB8CC6" w14:textId="23A7F369" w:rsidR="00B16427" w:rsidRPr="00EE2957" w:rsidRDefault="00B16427" w:rsidP="00FC6D8A">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Nankervis, A., Baird, M., Coffey, J., &amp; Shields, J. (2013). Human Resource Management: Strategy and Practice. Cengage Learning Australia.</w:t>
      </w:r>
    </w:p>
    <w:p w14:paraId="7C35F7FA" w14:textId="77777777" w:rsidR="00564E38" w:rsidRPr="00EE2957" w:rsidRDefault="00564E38" w:rsidP="00564E38">
      <w:pPr>
        <w:pStyle w:val="ListParagraph"/>
        <w:spacing w:before="100" w:beforeAutospacing="1" w:after="100" w:afterAutospacing="1"/>
        <w:rPr>
          <w:rFonts w:ascii="Arial" w:eastAsia="Times New Roman" w:hAnsi="Arial" w:cs="Arial"/>
          <w:b/>
          <w:bCs/>
          <w:sz w:val="24"/>
          <w:szCs w:val="24"/>
          <w:lang w:eastAsia="en-GB"/>
        </w:rPr>
      </w:pPr>
    </w:p>
    <w:p w14:paraId="79D9208B" w14:textId="77777777" w:rsidR="00C56637" w:rsidRPr="00EE2957" w:rsidRDefault="00463F19" w:rsidP="00FC6D8A">
      <w:pPr>
        <w:pStyle w:val="ListParagraph"/>
        <w:numPr>
          <w:ilvl w:val="0"/>
          <w:numId w:val="1"/>
        </w:numPr>
        <w:spacing w:before="100" w:beforeAutospacing="1" w:after="100" w:afterAutospacing="1"/>
        <w:outlineLvl w:val="2"/>
        <w:rPr>
          <w:rFonts w:ascii="Arial" w:eastAsia="Times New Roman" w:hAnsi="Arial" w:cs="Arial"/>
          <w:b/>
          <w:bCs/>
          <w:sz w:val="24"/>
          <w:szCs w:val="24"/>
          <w:lang w:eastAsia="en-GB"/>
        </w:rPr>
      </w:pPr>
      <w:r w:rsidRPr="00EE2957">
        <w:rPr>
          <w:rFonts w:ascii="Arial" w:hAnsi="Arial" w:cs="Arial"/>
          <w:color w:val="3A3A3A"/>
          <w:sz w:val="24"/>
          <w:szCs w:val="24"/>
          <w:shd w:val="clear" w:color="auto" w:fill="FFFFFF"/>
        </w:rPr>
        <w:t>Parks, J. and Hilvert, C. (2017) “Maximizing employees’ performance: a 6-step approach,” </w:t>
      </w:r>
      <w:r w:rsidRPr="00EE2957">
        <w:rPr>
          <w:rFonts w:ascii="Arial" w:hAnsi="Arial" w:cs="Arial"/>
          <w:i/>
          <w:iCs/>
          <w:color w:val="3A3A3A"/>
          <w:sz w:val="24"/>
          <w:szCs w:val="24"/>
          <w:shd w:val="clear" w:color="auto" w:fill="FFFFFF"/>
        </w:rPr>
        <w:t>Public management</w:t>
      </w:r>
      <w:r w:rsidRPr="00EE2957">
        <w:rPr>
          <w:rFonts w:ascii="Arial" w:hAnsi="Arial" w:cs="Arial"/>
          <w:color w:val="3A3A3A"/>
          <w:sz w:val="24"/>
          <w:szCs w:val="24"/>
          <w:shd w:val="clear" w:color="auto" w:fill="FFFFFF"/>
        </w:rPr>
        <w:t>, 99(8), pp. 10-</w:t>
      </w:r>
    </w:p>
    <w:p w14:paraId="4211C5FF" w14:textId="77777777" w:rsidR="00564E38" w:rsidRPr="00EE2957" w:rsidRDefault="00564E38" w:rsidP="00564E38">
      <w:pPr>
        <w:pStyle w:val="ListParagraph"/>
        <w:rPr>
          <w:rFonts w:ascii="Arial" w:eastAsia="Times New Roman" w:hAnsi="Arial" w:cs="Arial"/>
          <w:b/>
          <w:bCs/>
          <w:sz w:val="24"/>
          <w:szCs w:val="24"/>
          <w:lang w:eastAsia="en-GB"/>
        </w:rPr>
      </w:pPr>
    </w:p>
    <w:p w14:paraId="201789E4" w14:textId="77777777" w:rsidR="00564E38" w:rsidRPr="00EE2957" w:rsidRDefault="00564E38" w:rsidP="00564E38">
      <w:pPr>
        <w:pStyle w:val="ListParagraph"/>
        <w:spacing w:before="100" w:beforeAutospacing="1" w:after="100" w:afterAutospacing="1"/>
        <w:outlineLvl w:val="2"/>
        <w:rPr>
          <w:rFonts w:ascii="Arial" w:eastAsia="Times New Roman" w:hAnsi="Arial" w:cs="Arial"/>
          <w:b/>
          <w:bCs/>
          <w:sz w:val="24"/>
          <w:szCs w:val="24"/>
          <w:lang w:eastAsia="en-GB"/>
        </w:rPr>
      </w:pPr>
    </w:p>
    <w:p w14:paraId="59ADA1C7" w14:textId="5256BEF0" w:rsidR="006B03CC" w:rsidRPr="00EE2957" w:rsidRDefault="006B03CC" w:rsidP="00FC6D8A">
      <w:pPr>
        <w:pStyle w:val="ListParagraph"/>
        <w:numPr>
          <w:ilvl w:val="0"/>
          <w:numId w:val="1"/>
        </w:numPr>
        <w:spacing w:before="100" w:beforeAutospacing="1" w:after="100" w:afterAutospacing="1"/>
        <w:outlineLvl w:val="2"/>
        <w:rPr>
          <w:rFonts w:ascii="Arial" w:eastAsia="Times New Roman" w:hAnsi="Arial" w:cs="Arial"/>
          <w:b/>
          <w:bCs/>
          <w:sz w:val="24"/>
          <w:szCs w:val="24"/>
          <w:lang w:eastAsia="en-GB"/>
        </w:rPr>
      </w:pPr>
      <w:r w:rsidRPr="00EE2957">
        <w:rPr>
          <w:rFonts w:ascii="Arial" w:hAnsi="Arial" w:cs="Arial"/>
          <w:color w:val="3A3A3A"/>
          <w:sz w:val="24"/>
          <w:szCs w:val="24"/>
          <w:shd w:val="clear" w:color="auto" w:fill="FFFFFF"/>
        </w:rPr>
        <w:t>Qin, C. </w:t>
      </w:r>
      <w:r w:rsidRPr="00EE2957">
        <w:rPr>
          <w:rFonts w:ascii="Arial" w:hAnsi="Arial" w:cs="Arial"/>
          <w:i/>
          <w:iCs/>
          <w:color w:val="3A3A3A"/>
          <w:sz w:val="24"/>
          <w:szCs w:val="24"/>
          <w:shd w:val="clear" w:color="auto" w:fill="FFFFFF"/>
        </w:rPr>
        <w:t>et al.</w:t>
      </w:r>
      <w:r w:rsidRPr="00EE2957">
        <w:rPr>
          <w:rFonts w:ascii="Arial" w:hAnsi="Arial" w:cs="Arial"/>
          <w:color w:val="3A3A3A"/>
          <w:sz w:val="24"/>
          <w:szCs w:val="24"/>
          <w:shd w:val="clear" w:color="auto" w:fill="FFFFFF"/>
        </w:rPr>
        <w:t> (2023) “Automatic Skill-Oriented Question Generation and Recommendation for Intelligent Job Interviews,” </w:t>
      </w:r>
      <w:r w:rsidRPr="00EE2957">
        <w:rPr>
          <w:rFonts w:ascii="Arial" w:hAnsi="Arial" w:cs="Arial"/>
          <w:i/>
          <w:iCs/>
          <w:color w:val="3A3A3A"/>
          <w:sz w:val="24"/>
          <w:szCs w:val="24"/>
          <w:shd w:val="clear" w:color="auto" w:fill="FFFFFF"/>
        </w:rPr>
        <w:t>ACM transactions on information systems</w:t>
      </w:r>
      <w:r w:rsidRPr="00EE2957">
        <w:rPr>
          <w:rFonts w:ascii="Arial" w:hAnsi="Arial" w:cs="Arial"/>
          <w:color w:val="3A3A3A"/>
          <w:sz w:val="24"/>
          <w:szCs w:val="24"/>
          <w:shd w:val="clear" w:color="auto" w:fill="FFFFFF"/>
        </w:rPr>
        <w:t xml:space="preserve">, 42(1), pp. 1–32. Available at: </w:t>
      </w:r>
      <w:hyperlink r:id="rId16" w:history="1">
        <w:r w:rsidR="00564E38" w:rsidRPr="00EE2957">
          <w:rPr>
            <w:rStyle w:val="Hyperlink"/>
            <w:rFonts w:ascii="Arial" w:hAnsi="Arial" w:cs="Arial"/>
            <w:sz w:val="24"/>
            <w:szCs w:val="24"/>
            <w:shd w:val="clear" w:color="auto" w:fill="FFFFFF"/>
          </w:rPr>
          <w:t>https://doi.org/10.1145/3604552</w:t>
        </w:r>
      </w:hyperlink>
      <w:r w:rsidRPr="00EE2957">
        <w:rPr>
          <w:rFonts w:ascii="Arial" w:hAnsi="Arial" w:cs="Arial"/>
          <w:color w:val="3A3A3A"/>
          <w:sz w:val="24"/>
          <w:szCs w:val="24"/>
          <w:shd w:val="clear" w:color="auto" w:fill="FFFFFF"/>
        </w:rPr>
        <w:t>.</w:t>
      </w:r>
      <w:r w:rsidR="00183876" w:rsidRPr="00EE2957">
        <w:rPr>
          <w:rFonts w:ascii="Arial" w:hAnsi="Arial" w:cs="Arial"/>
          <w:color w:val="3A3A3A"/>
          <w:sz w:val="24"/>
          <w:szCs w:val="24"/>
          <w:shd w:val="clear" w:color="auto" w:fill="FFFFFF"/>
        </w:rPr>
        <w:t xml:space="preserve"> </w:t>
      </w:r>
      <w:r w:rsidR="00183876" w:rsidRPr="00EE2957">
        <w:rPr>
          <w:rFonts w:ascii="Arial" w:hAnsi="Arial" w:cs="Arial"/>
          <w:color w:val="3A3A3A"/>
          <w:sz w:val="24"/>
          <w:szCs w:val="24"/>
          <w:shd w:val="clear" w:color="auto" w:fill="FFFFFF"/>
        </w:rPr>
        <w:t>(Accessed: 0</w:t>
      </w:r>
      <w:r w:rsidR="00183876" w:rsidRPr="00EE2957">
        <w:rPr>
          <w:rFonts w:ascii="Arial" w:hAnsi="Arial" w:cs="Arial"/>
          <w:color w:val="3A3A3A"/>
          <w:sz w:val="24"/>
          <w:szCs w:val="24"/>
          <w:shd w:val="clear" w:color="auto" w:fill="FFFFFF"/>
        </w:rPr>
        <w:t>2</w:t>
      </w:r>
      <w:r w:rsidR="00183876" w:rsidRPr="00EE2957">
        <w:rPr>
          <w:rFonts w:ascii="Arial" w:hAnsi="Arial" w:cs="Arial"/>
          <w:color w:val="3A3A3A"/>
          <w:sz w:val="24"/>
          <w:szCs w:val="24"/>
          <w:shd w:val="clear" w:color="auto" w:fill="FFFFFF"/>
        </w:rPr>
        <w:t xml:space="preserve"> February 2024).</w:t>
      </w:r>
    </w:p>
    <w:p w14:paraId="250DE4E0" w14:textId="77777777" w:rsidR="00564E38" w:rsidRPr="00EE2957" w:rsidRDefault="00564E38" w:rsidP="00564E38">
      <w:pPr>
        <w:pStyle w:val="ListParagraph"/>
        <w:spacing w:before="100" w:beforeAutospacing="1" w:after="100" w:afterAutospacing="1"/>
        <w:outlineLvl w:val="2"/>
        <w:rPr>
          <w:rFonts w:ascii="Arial" w:eastAsia="Times New Roman" w:hAnsi="Arial" w:cs="Arial"/>
          <w:b/>
          <w:bCs/>
          <w:sz w:val="24"/>
          <w:szCs w:val="24"/>
          <w:lang w:eastAsia="en-GB"/>
        </w:rPr>
      </w:pPr>
    </w:p>
    <w:p w14:paraId="096ECCC3" w14:textId="7C1CB592" w:rsidR="008E11A9" w:rsidRPr="00EE2957" w:rsidRDefault="008E11A9" w:rsidP="00FC6D8A">
      <w:pPr>
        <w:pStyle w:val="ListParagraph"/>
        <w:numPr>
          <w:ilvl w:val="0"/>
          <w:numId w:val="1"/>
        </w:numPr>
        <w:rPr>
          <w:rFonts w:ascii="Arial" w:hAnsi="Arial" w:cs="Arial"/>
          <w:color w:val="3A3A3A"/>
          <w:sz w:val="24"/>
          <w:szCs w:val="24"/>
          <w:shd w:val="clear" w:color="auto" w:fill="FFFFFF"/>
        </w:rPr>
      </w:pPr>
      <w:r w:rsidRPr="00EE2957">
        <w:rPr>
          <w:rFonts w:ascii="Arial" w:hAnsi="Arial" w:cs="Arial"/>
          <w:color w:val="3A3A3A"/>
          <w:sz w:val="24"/>
          <w:szCs w:val="24"/>
          <w:shd w:val="clear" w:color="auto" w:fill="FFFFFF"/>
        </w:rPr>
        <w:t>Rees, G. and French, R. (eds) (2023) </w:t>
      </w:r>
      <w:r w:rsidRPr="00EE2957">
        <w:rPr>
          <w:rFonts w:ascii="Arial" w:hAnsi="Arial" w:cs="Arial"/>
          <w:i/>
          <w:iCs/>
          <w:color w:val="3A3A3A"/>
          <w:sz w:val="24"/>
          <w:szCs w:val="24"/>
          <w:shd w:val="clear" w:color="auto" w:fill="FFFFFF"/>
        </w:rPr>
        <w:t xml:space="preserve">Strategic people management and </w:t>
      </w:r>
      <w:r w:rsidR="00EE6BDF" w:rsidRPr="00EE2957">
        <w:rPr>
          <w:rFonts w:ascii="Arial" w:hAnsi="Arial" w:cs="Arial"/>
          <w:i/>
          <w:iCs/>
          <w:color w:val="3A3A3A"/>
          <w:sz w:val="24"/>
          <w:szCs w:val="24"/>
          <w:shd w:val="clear" w:color="auto" w:fill="FFFFFF"/>
        </w:rPr>
        <w:t>development:</w:t>
      </w:r>
      <w:r w:rsidRPr="00EE2957">
        <w:rPr>
          <w:rFonts w:ascii="Arial" w:hAnsi="Arial" w:cs="Arial"/>
          <w:i/>
          <w:iCs/>
          <w:color w:val="3A3A3A"/>
          <w:sz w:val="24"/>
          <w:szCs w:val="24"/>
          <w:shd w:val="clear" w:color="auto" w:fill="FFFFFF"/>
        </w:rPr>
        <w:t xml:space="preserve"> theory and practice</w:t>
      </w:r>
      <w:r w:rsidRPr="00EE2957">
        <w:rPr>
          <w:rFonts w:ascii="Arial" w:hAnsi="Arial" w:cs="Arial"/>
          <w:color w:val="3A3A3A"/>
          <w:sz w:val="24"/>
          <w:szCs w:val="24"/>
          <w:shd w:val="clear" w:color="auto" w:fill="FFFFFF"/>
        </w:rPr>
        <w:t xml:space="preserve">. Sixth edition. London: </w:t>
      </w:r>
      <w:proofErr w:type="spellStart"/>
      <w:r w:rsidRPr="00EE2957">
        <w:rPr>
          <w:rFonts w:ascii="Arial" w:hAnsi="Arial" w:cs="Arial"/>
          <w:color w:val="3A3A3A"/>
          <w:sz w:val="24"/>
          <w:szCs w:val="24"/>
          <w:shd w:val="clear" w:color="auto" w:fill="FFFFFF"/>
        </w:rPr>
        <w:t>KoganPage</w:t>
      </w:r>
      <w:proofErr w:type="spellEnd"/>
      <w:r w:rsidRPr="00EE2957">
        <w:rPr>
          <w:rFonts w:ascii="Arial" w:hAnsi="Arial" w:cs="Arial"/>
          <w:color w:val="3A3A3A"/>
          <w:sz w:val="24"/>
          <w:szCs w:val="24"/>
          <w:shd w:val="clear" w:color="auto" w:fill="FFFFFF"/>
        </w:rPr>
        <w:t>.</w:t>
      </w:r>
    </w:p>
    <w:p w14:paraId="29466DD7" w14:textId="77777777" w:rsidR="00564E38" w:rsidRPr="00EE2957" w:rsidRDefault="00564E38" w:rsidP="00564E38">
      <w:pPr>
        <w:pStyle w:val="ListParagraph"/>
        <w:rPr>
          <w:rFonts w:ascii="Arial" w:hAnsi="Arial" w:cs="Arial"/>
          <w:color w:val="3A3A3A"/>
          <w:sz w:val="24"/>
          <w:szCs w:val="24"/>
          <w:shd w:val="clear" w:color="auto" w:fill="FFFFFF"/>
        </w:rPr>
      </w:pPr>
    </w:p>
    <w:p w14:paraId="1B34C7ED" w14:textId="2D001B6A" w:rsidR="0075184D" w:rsidRPr="00EE2957" w:rsidRDefault="0075184D" w:rsidP="00B065AC">
      <w:pPr>
        <w:pStyle w:val="ListParagraph"/>
        <w:numPr>
          <w:ilvl w:val="0"/>
          <w:numId w:val="1"/>
        </w:numPr>
        <w:rPr>
          <w:rFonts w:ascii="Arial" w:hAnsi="Arial" w:cs="Arial"/>
          <w:sz w:val="24"/>
          <w:szCs w:val="24"/>
        </w:rPr>
      </w:pPr>
      <w:bookmarkStart w:id="2" w:name="_Hlk158046185"/>
      <w:r w:rsidRPr="00EE2957">
        <w:rPr>
          <w:rFonts w:ascii="Arial" w:hAnsi="Arial" w:cs="Arial"/>
          <w:sz w:val="24"/>
          <w:szCs w:val="24"/>
        </w:rPr>
        <w:t xml:space="preserve">Scott P. Mondore (2013) </w:t>
      </w:r>
      <w:bookmarkEnd w:id="2"/>
      <w:r w:rsidRPr="00EE2957">
        <w:rPr>
          <w:rFonts w:ascii="Arial" w:hAnsi="Arial" w:cs="Arial"/>
          <w:sz w:val="24"/>
          <w:szCs w:val="24"/>
        </w:rPr>
        <w:t xml:space="preserve">“John W. Boudreau and Ravin </w:t>
      </w:r>
      <w:proofErr w:type="spellStart"/>
      <w:r w:rsidRPr="00EE2957">
        <w:rPr>
          <w:rFonts w:ascii="Arial" w:hAnsi="Arial" w:cs="Arial"/>
          <w:sz w:val="24"/>
          <w:szCs w:val="24"/>
        </w:rPr>
        <w:t>Jesuthasan</w:t>
      </w:r>
      <w:proofErr w:type="spellEnd"/>
      <w:r w:rsidRPr="00EE2957">
        <w:rPr>
          <w:rFonts w:ascii="Arial" w:hAnsi="Arial" w:cs="Arial"/>
          <w:sz w:val="24"/>
          <w:szCs w:val="24"/>
        </w:rPr>
        <w:t>. Transformative HR: How Great Companies Use Evidence-Based Change for Sustainable Advantage. San Francisco, CA: Jossey-Bass, 2011, 253 pages, BOOK REVIEWS,” </w:t>
      </w:r>
      <w:r w:rsidRPr="00EE2957">
        <w:rPr>
          <w:rFonts w:ascii="Arial" w:hAnsi="Arial" w:cs="Arial"/>
          <w:i/>
          <w:iCs/>
          <w:sz w:val="24"/>
          <w:szCs w:val="24"/>
        </w:rPr>
        <w:t>Personnel psychology</w:t>
      </w:r>
      <w:r w:rsidRPr="00EE2957">
        <w:rPr>
          <w:rFonts w:ascii="Arial" w:hAnsi="Arial" w:cs="Arial"/>
          <w:sz w:val="24"/>
          <w:szCs w:val="24"/>
        </w:rPr>
        <w:t xml:space="preserve">, 66, pp. 522–524. Available at: </w:t>
      </w:r>
      <w:hyperlink r:id="rId17" w:history="1">
        <w:r w:rsidRPr="00EE2957">
          <w:rPr>
            <w:rStyle w:val="Hyperlink"/>
            <w:rFonts w:ascii="Arial" w:hAnsi="Arial" w:cs="Arial"/>
            <w:sz w:val="24"/>
            <w:szCs w:val="24"/>
          </w:rPr>
          <w:t>https://doi.org/10.1111/peps.12031_4</w:t>
        </w:r>
      </w:hyperlink>
      <w:r w:rsidRPr="00EE2957">
        <w:rPr>
          <w:rFonts w:ascii="Arial" w:hAnsi="Arial" w:cs="Arial"/>
          <w:sz w:val="24"/>
          <w:szCs w:val="24"/>
        </w:rPr>
        <w:t>.</w:t>
      </w:r>
      <w:r w:rsidR="00183876" w:rsidRPr="00EE2957">
        <w:rPr>
          <w:rFonts w:ascii="Arial" w:hAnsi="Arial" w:cs="Arial"/>
          <w:sz w:val="24"/>
          <w:szCs w:val="24"/>
        </w:rPr>
        <w:t xml:space="preserve"> </w:t>
      </w:r>
      <w:r w:rsidR="00183876" w:rsidRPr="00EE2957">
        <w:rPr>
          <w:rFonts w:ascii="Arial" w:hAnsi="Arial" w:cs="Arial"/>
          <w:color w:val="3A3A3A"/>
          <w:sz w:val="24"/>
          <w:szCs w:val="24"/>
          <w:shd w:val="clear" w:color="auto" w:fill="FFFFFF"/>
        </w:rPr>
        <w:t>(Accessed: 01 February 2024).</w:t>
      </w:r>
    </w:p>
    <w:p w14:paraId="56BDF790" w14:textId="77777777" w:rsidR="00564E38" w:rsidRPr="00EE2957" w:rsidRDefault="00564E38" w:rsidP="00564E38">
      <w:pPr>
        <w:pStyle w:val="ListParagraph"/>
        <w:rPr>
          <w:rFonts w:ascii="Arial" w:hAnsi="Arial" w:cs="Arial"/>
          <w:sz w:val="24"/>
          <w:szCs w:val="24"/>
        </w:rPr>
      </w:pPr>
    </w:p>
    <w:p w14:paraId="798857B1" w14:textId="02A49116" w:rsidR="00D52AD2" w:rsidRPr="00EE2957" w:rsidRDefault="00D52AD2" w:rsidP="00CC748C">
      <w:pPr>
        <w:pStyle w:val="ListParagraph"/>
        <w:numPr>
          <w:ilvl w:val="0"/>
          <w:numId w:val="1"/>
        </w:numPr>
        <w:rPr>
          <w:rFonts w:ascii="Arial" w:hAnsi="Arial" w:cs="Arial"/>
          <w:color w:val="3A3A3A"/>
          <w:sz w:val="24"/>
          <w:szCs w:val="24"/>
          <w:shd w:val="clear" w:color="auto" w:fill="FFFFFF"/>
        </w:rPr>
      </w:pPr>
      <w:r w:rsidRPr="00EE2957">
        <w:rPr>
          <w:rFonts w:ascii="Arial" w:hAnsi="Arial" w:cs="Arial"/>
          <w:color w:val="3A3A3A"/>
          <w:sz w:val="24"/>
          <w:szCs w:val="24"/>
          <w:shd w:val="clear" w:color="auto" w:fill="FFFFFF"/>
        </w:rPr>
        <w:t xml:space="preserve">Shaikh, E. and </w:t>
      </w:r>
      <w:proofErr w:type="spellStart"/>
      <w:r w:rsidRPr="00EE2957">
        <w:rPr>
          <w:rFonts w:ascii="Arial" w:hAnsi="Arial" w:cs="Arial"/>
          <w:color w:val="3A3A3A"/>
          <w:sz w:val="24"/>
          <w:szCs w:val="24"/>
          <w:shd w:val="clear" w:color="auto" w:fill="FFFFFF"/>
        </w:rPr>
        <w:t>Tunio</w:t>
      </w:r>
      <w:proofErr w:type="spellEnd"/>
      <w:r w:rsidRPr="00EE2957">
        <w:rPr>
          <w:rFonts w:ascii="Arial" w:hAnsi="Arial" w:cs="Arial"/>
          <w:color w:val="3A3A3A"/>
          <w:sz w:val="24"/>
          <w:szCs w:val="24"/>
          <w:shd w:val="clear" w:color="auto" w:fill="FFFFFF"/>
        </w:rPr>
        <w:t>, M.N. (2022) </w:t>
      </w:r>
      <w:r w:rsidRPr="00EE2957">
        <w:rPr>
          <w:rFonts w:ascii="Arial" w:hAnsi="Arial" w:cs="Arial"/>
          <w:i/>
          <w:iCs/>
          <w:color w:val="3A3A3A"/>
          <w:sz w:val="24"/>
          <w:szCs w:val="24"/>
          <w:shd w:val="clear" w:color="auto" w:fill="FFFFFF"/>
        </w:rPr>
        <w:t>Sustainable development of human resources in a globalization period</w:t>
      </w:r>
      <w:r w:rsidRPr="00EE2957">
        <w:rPr>
          <w:rFonts w:ascii="Arial" w:hAnsi="Arial" w:cs="Arial"/>
          <w:color w:val="3A3A3A"/>
          <w:sz w:val="24"/>
          <w:szCs w:val="24"/>
          <w:shd w:val="clear" w:color="auto" w:fill="FFFFFF"/>
        </w:rPr>
        <w:t>. Hershey, PA: Business Science Reference</w:t>
      </w:r>
    </w:p>
    <w:p w14:paraId="37CEFECE" w14:textId="77777777" w:rsidR="00564E38" w:rsidRPr="00EE2957" w:rsidRDefault="00564E38" w:rsidP="00564E38">
      <w:pPr>
        <w:pStyle w:val="ListParagraph"/>
        <w:rPr>
          <w:rFonts w:ascii="Arial" w:hAnsi="Arial" w:cs="Arial"/>
          <w:color w:val="3A3A3A"/>
          <w:sz w:val="24"/>
          <w:szCs w:val="24"/>
          <w:shd w:val="clear" w:color="auto" w:fill="FFFFFF"/>
        </w:rPr>
      </w:pPr>
    </w:p>
    <w:p w14:paraId="12053552" w14:textId="77777777" w:rsidR="002A03EF" w:rsidRPr="00EE2957" w:rsidRDefault="002A03EF" w:rsidP="00CC748C">
      <w:pPr>
        <w:pStyle w:val="ListParagraph"/>
        <w:numPr>
          <w:ilvl w:val="0"/>
          <w:numId w:val="1"/>
        </w:numPr>
        <w:rPr>
          <w:rFonts w:ascii="Arial" w:hAnsi="Arial" w:cs="Arial"/>
          <w:color w:val="3A3A3A"/>
          <w:sz w:val="24"/>
          <w:szCs w:val="24"/>
          <w:shd w:val="clear" w:color="auto" w:fill="FFFFFF"/>
        </w:rPr>
      </w:pPr>
      <w:r w:rsidRPr="00EE2957">
        <w:rPr>
          <w:rFonts w:ascii="Arial" w:hAnsi="Arial" w:cs="Arial"/>
          <w:color w:val="3A3A3A"/>
          <w:sz w:val="24"/>
          <w:szCs w:val="24"/>
          <w:shd w:val="clear" w:color="auto" w:fill="FFFFFF"/>
        </w:rPr>
        <w:lastRenderedPageBreak/>
        <w:t>Sweet, J. and Sorenson, A. (2020) </w:t>
      </w:r>
      <w:r w:rsidRPr="00EE2957">
        <w:rPr>
          <w:rFonts w:ascii="Arial" w:hAnsi="Arial" w:cs="Arial"/>
          <w:i/>
          <w:iCs/>
          <w:color w:val="3A3A3A"/>
          <w:sz w:val="24"/>
          <w:szCs w:val="24"/>
          <w:shd w:val="clear" w:color="auto" w:fill="FFFFFF"/>
        </w:rPr>
        <w:t>Accenture and Marriott International on business leadership</w:t>
      </w:r>
      <w:r w:rsidRPr="00EE2957">
        <w:rPr>
          <w:rFonts w:ascii="Arial" w:hAnsi="Arial" w:cs="Arial"/>
          <w:color w:val="3A3A3A"/>
          <w:sz w:val="24"/>
          <w:szCs w:val="24"/>
          <w:shd w:val="clear" w:color="auto" w:fill="FFFFFF"/>
        </w:rPr>
        <w:t>. New York, NY: Wall Street Journal.</w:t>
      </w:r>
    </w:p>
    <w:p w14:paraId="1A7B5A82" w14:textId="77777777" w:rsidR="00564E38" w:rsidRPr="00EE2957" w:rsidRDefault="00564E38" w:rsidP="00564E38">
      <w:pPr>
        <w:pStyle w:val="ListParagraph"/>
        <w:rPr>
          <w:rFonts w:ascii="Arial" w:hAnsi="Arial" w:cs="Arial"/>
          <w:color w:val="3A3A3A"/>
          <w:sz w:val="24"/>
          <w:szCs w:val="24"/>
          <w:shd w:val="clear" w:color="auto" w:fill="FFFFFF"/>
        </w:rPr>
      </w:pPr>
    </w:p>
    <w:p w14:paraId="23C0C9D9" w14:textId="77777777" w:rsidR="0033609A" w:rsidRPr="00EE2957" w:rsidRDefault="0033609A" w:rsidP="00437BE4">
      <w:pPr>
        <w:pStyle w:val="ListParagraph"/>
        <w:numPr>
          <w:ilvl w:val="0"/>
          <w:numId w:val="1"/>
        </w:numPr>
        <w:spacing w:before="100" w:beforeAutospacing="1" w:after="100" w:afterAutospacing="1"/>
        <w:rPr>
          <w:rFonts w:ascii="Arial" w:eastAsia="Times New Roman" w:hAnsi="Arial" w:cs="Arial"/>
          <w:sz w:val="24"/>
          <w:szCs w:val="24"/>
          <w:lang w:eastAsia="en-GB"/>
        </w:rPr>
      </w:pPr>
      <w:r w:rsidRPr="00EE2957">
        <w:rPr>
          <w:rFonts w:ascii="Arial" w:eastAsia="Times New Roman" w:hAnsi="Arial" w:cs="Arial"/>
          <w:sz w:val="24"/>
          <w:szCs w:val="24"/>
          <w:lang w:eastAsia="en-GB"/>
        </w:rPr>
        <w:t xml:space="preserve">Taylor, S., &amp; Collins, G. (2000). The impact of alternative job information on the relation between applicant work experience and job performance. </w:t>
      </w:r>
      <w:r w:rsidRPr="00EE2957">
        <w:rPr>
          <w:rFonts w:ascii="Arial" w:eastAsia="Times New Roman" w:hAnsi="Arial" w:cs="Arial"/>
          <w:i/>
          <w:iCs/>
          <w:sz w:val="24"/>
          <w:szCs w:val="24"/>
          <w:lang w:eastAsia="en-GB"/>
        </w:rPr>
        <w:t>Journal of Applied Psychology</w:t>
      </w:r>
      <w:r w:rsidRPr="00EE2957">
        <w:rPr>
          <w:rFonts w:ascii="Arial" w:eastAsia="Times New Roman" w:hAnsi="Arial" w:cs="Arial"/>
          <w:sz w:val="24"/>
          <w:szCs w:val="24"/>
          <w:lang w:eastAsia="en-GB"/>
        </w:rPr>
        <w:t>, 85(1), 163-172.</w:t>
      </w:r>
    </w:p>
    <w:p w14:paraId="74CDD034" w14:textId="77777777" w:rsidR="00564E38" w:rsidRPr="00EE2957" w:rsidRDefault="00564E38" w:rsidP="00564E38">
      <w:pPr>
        <w:pStyle w:val="ListParagraph"/>
        <w:rPr>
          <w:rFonts w:ascii="Arial" w:eastAsia="Times New Roman" w:hAnsi="Arial" w:cs="Arial"/>
          <w:sz w:val="24"/>
          <w:szCs w:val="24"/>
          <w:lang w:eastAsia="en-GB"/>
        </w:rPr>
      </w:pPr>
    </w:p>
    <w:p w14:paraId="40681A82" w14:textId="77777777" w:rsidR="00564E38" w:rsidRPr="00EE2957" w:rsidRDefault="00564E38" w:rsidP="00564E38">
      <w:pPr>
        <w:pStyle w:val="ListParagraph"/>
        <w:spacing w:before="100" w:beforeAutospacing="1" w:after="100" w:afterAutospacing="1"/>
        <w:rPr>
          <w:rFonts w:ascii="Arial" w:eastAsia="Times New Roman" w:hAnsi="Arial" w:cs="Arial"/>
          <w:sz w:val="24"/>
          <w:szCs w:val="24"/>
          <w:lang w:eastAsia="en-GB"/>
        </w:rPr>
      </w:pPr>
    </w:p>
    <w:p w14:paraId="4703B691" w14:textId="6DAC2334" w:rsidR="00817C94" w:rsidRPr="00EE2957" w:rsidRDefault="00817C94" w:rsidP="00437BE4">
      <w:pPr>
        <w:pStyle w:val="ListParagraph"/>
        <w:numPr>
          <w:ilvl w:val="0"/>
          <w:numId w:val="1"/>
        </w:numPr>
        <w:rPr>
          <w:rFonts w:ascii="Arial" w:eastAsia="Times New Roman" w:hAnsi="Arial" w:cs="Arial"/>
          <w:sz w:val="24"/>
          <w:szCs w:val="24"/>
          <w:lang w:eastAsia="en-GB"/>
        </w:rPr>
      </w:pPr>
      <w:proofErr w:type="spellStart"/>
      <w:r w:rsidRPr="00EE2957">
        <w:rPr>
          <w:rFonts w:ascii="Arial" w:hAnsi="Arial" w:cs="Arial"/>
          <w:color w:val="3A3A3A"/>
          <w:sz w:val="24"/>
          <w:szCs w:val="24"/>
          <w:shd w:val="clear" w:color="auto" w:fill="FFFFFF"/>
        </w:rPr>
        <w:t>Yalenios</w:t>
      </w:r>
      <w:proofErr w:type="spellEnd"/>
      <w:r w:rsidRPr="00EE2957">
        <w:rPr>
          <w:rFonts w:ascii="Arial" w:hAnsi="Arial" w:cs="Arial"/>
          <w:color w:val="3A3A3A"/>
          <w:sz w:val="24"/>
          <w:szCs w:val="24"/>
          <w:shd w:val="clear" w:color="auto" w:fill="FFFFFF"/>
        </w:rPr>
        <w:t xml:space="preserve">, J. and </w:t>
      </w:r>
      <w:proofErr w:type="spellStart"/>
      <w:r w:rsidRPr="00EE2957">
        <w:rPr>
          <w:rFonts w:ascii="Arial" w:hAnsi="Arial" w:cs="Arial"/>
          <w:color w:val="3A3A3A"/>
          <w:sz w:val="24"/>
          <w:szCs w:val="24"/>
          <w:shd w:val="clear" w:color="auto" w:fill="FFFFFF"/>
        </w:rPr>
        <w:t>d’Armagnac</w:t>
      </w:r>
      <w:proofErr w:type="spellEnd"/>
      <w:r w:rsidRPr="00EE2957">
        <w:rPr>
          <w:rFonts w:ascii="Arial" w:hAnsi="Arial" w:cs="Arial"/>
          <w:color w:val="3A3A3A"/>
          <w:sz w:val="24"/>
          <w:szCs w:val="24"/>
          <w:shd w:val="clear" w:color="auto" w:fill="FFFFFF"/>
        </w:rPr>
        <w:t>, S. (2023) “Work transformation and the HR ecosystem dynamics: A longitudinal case study of HRM disruption in the era of the 4th industrial revolution,” </w:t>
      </w:r>
      <w:r w:rsidRPr="00EE2957">
        <w:rPr>
          <w:rFonts w:ascii="Arial" w:hAnsi="Arial" w:cs="Arial"/>
          <w:i/>
          <w:iCs/>
          <w:color w:val="3A3A3A"/>
          <w:sz w:val="24"/>
          <w:szCs w:val="24"/>
          <w:shd w:val="clear" w:color="auto" w:fill="FFFFFF"/>
        </w:rPr>
        <w:t>Human resource management</w:t>
      </w:r>
      <w:r w:rsidRPr="00EE2957">
        <w:rPr>
          <w:rFonts w:ascii="Arial" w:hAnsi="Arial" w:cs="Arial"/>
          <w:color w:val="3A3A3A"/>
          <w:sz w:val="24"/>
          <w:szCs w:val="24"/>
          <w:shd w:val="clear" w:color="auto" w:fill="FFFFFF"/>
        </w:rPr>
        <w:t xml:space="preserve">, 62(1), pp. 55–77. Available at: </w:t>
      </w:r>
      <w:hyperlink r:id="rId18" w:history="1">
        <w:r w:rsidRPr="00EE2957">
          <w:rPr>
            <w:rStyle w:val="Hyperlink"/>
            <w:rFonts w:ascii="Arial" w:hAnsi="Arial" w:cs="Arial"/>
            <w:sz w:val="24"/>
            <w:szCs w:val="24"/>
            <w:shd w:val="clear" w:color="auto" w:fill="FFFFFF"/>
          </w:rPr>
          <w:t>https://doi.org/10.1002/hrm.22114</w:t>
        </w:r>
      </w:hyperlink>
      <w:r w:rsidRPr="00EE2957">
        <w:rPr>
          <w:rFonts w:ascii="Arial" w:eastAsia="Times New Roman" w:hAnsi="Arial" w:cs="Arial"/>
          <w:sz w:val="24"/>
          <w:szCs w:val="24"/>
          <w:lang w:eastAsia="en-GB"/>
        </w:rPr>
        <w:t>.</w:t>
      </w:r>
      <w:r w:rsidR="00EE2957" w:rsidRPr="00EE2957">
        <w:rPr>
          <w:rFonts w:ascii="Arial" w:eastAsia="Times New Roman" w:hAnsi="Arial" w:cs="Arial"/>
          <w:sz w:val="24"/>
          <w:szCs w:val="24"/>
          <w:lang w:eastAsia="en-GB"/>
        </w:rPr>
        <w:t xml:space="preserve"> </w:t>
      </w:r>
      <w:r w:rsidR="00EE2957" w:rsidRPr="00EE2957">
        <w:rPr>
          <w:rFonts w:ascii="Arial" w:hAnsi="Arial" w:cs="Arial"/>
          <w:color w:val="3A3A3A"/>
          <w:sz w:val="24"/>
          <w:szCs w:val="24"/>
          <w:shd w:val="clear" w:color="auto" w:fill="FFFFFF"/>
        </w:rPr>
        <w:t>(Accessed: 01 February 2024).</w:t>
      </w:r>
    </w:p>
    <w:p w14:paraId="266456E9" w14:textId="77777777" w:rsidR="006543BD" w:rsidRDefault="006543BD">
      <w:pPr>
        <w:rPr>
          <w:rFonts w:ascii="Times New Roman" w:eastAsia="Times New Roman" w:hAnsi="Times New Roman" w:cs="Times New Roman"/>
          <w:lang w:eastAsia="en-GB"/>
        </w:rPr>
      </w:pPr>
    </w:p>
    <w:p w14:paraId="71E042DC" w14:textId="77777777" w:rsidR="006543BD" w:rsidRDefault="006543BD">
      <w:pPr>
        <w:rPr>
          <w:rFonts w:ascii="Times New Roman" w:eastAsia="Times New Roman" w:hAnsi="Times New Roman" w:cs="Times New Roman"/>
          <w:lang w:eastAsia="en-GB"/>
        </w:rPr>
      </w:pPr>
    </w:p>
    <w:p w14:paraId="01A83250" w14:textId="77777777" w:rsidR="006543BD" w:rsidRDefault="006543BD">
      <w:pPr>
        <w:rPr>
          <w:rFonts w:ascii="Times New Roman" w:eastAsia="Times New Roman" w:hAnsi="Times New Roman" w:cs="Times New Roman"/>
          <w:lang w:eastAsia="en-GB"/>
        </w:rPr>
      </w:pPr>
    </w:p>
    <w:p w14:paraId="643E5CCC" w14:textId="77777777" w:rsidR="006543BD" w:rsidRDefault="006543BD">
      <w:pPr>
        <w:rPr>
          <w:rFonts w:ascii="Times New Roman" w:eastAsia="Times New Roman" w:hAnsi="Times New Roman" w:cs="Times New Roman"/>
          <w:lang w:eastAsia="en-GB"/>
        </w:rPr>
      </w:pPr>
    </w:p>
    <w:p w14:paraId="5123EB2C" w14:textId="77777777" w:rsidR="006543BD" w:rsidRDefault="006543BD">
      <w:pPr>
        <w:rPr>
          <w:rFonts w:ascii="Times New Roman" w:eastAsia="Times New Roman" w:hAnsi="Times New Roman" w:cs="Times New Roman"/>
          <w:lang w:eastAsia="en-GB"/>
        </w:rPr>
      </w:pPr>
    </w:p>
    <w:p w14:paraId="61E049E4" w14:textId="77777777" w:rsidR="006543BD" w:rsidRDefault="006543BD">
      <w:pPr>
        <w:rPr>
          <w:rFonts w:ascii="Times New Roman" w:eastAsia="Times New Roman" w:hAnsi="Times New Roman" w:cs="Times New Roman"/>
          <w:lang w:eastAsia="en-GB"/>
        </w:rPr>
      </w:pPr>
    </w:p>
    <w:p w14:paraId="6134F8B7" w14:textId="77777777" w:rsidR="006543BD" w:rsidRDefault="006543BD">
      <w:pPr>
        <w:rPr>
          <w:rFonts w:ascii="Times New Roman" w:eastAsia="Times New Roman" w:hAnsi="Times New Roman" w:cs="Times New Roman"/>
          <w:lang w:eastAsia="en-GB"/>
        </w:rPr>
      </w:pPr>
    </w:p>
    <w:p w14:paraId="6B45A502" w14:textId="77777777" w:rsidR="006543BD" w:rsidRDefault="006543BD">
      <w:pPr>
        <w:rPr>
          <w:rFonts w:ascii="Times New Roman" w:eastAsia="Times New Roman" w:hAnsi="Times New Roman" w:cs="Times New Roman"/>
          <w:lang w:eastAsia="en-GB"/>
        </w:rPr>
      </w:pPr>
    </w:p>
    <w:p w14:paraId="02BD827B" w14:textId="77777777" w:rsidR="00817C94" w:rsidRPr="000F1A28" w:rsidRDefault="00817C94">
      <w:pPr>
        <w:rPr>
          <w:b/>
          <w:bCs/>
        </w:rPr>
      </w:pPr>
    </w:p>
    <w:sectPr w:rsidR="00817C94" w:rsidRPr="000F1A28" w:rsidSect="00ED34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B1CED"/>
    <w:multiLevelType w:val="hybridMultilevel"/>
    <w:tmpl w:val="3B06AA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972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27"/>
    <w:rsid w:val="00034574"/>
    <w:rsid w:val="00067F44"/>
    <w:rsid w:val="000777EC"/>
    <w:rsid w:val="000819C5"/>
    <w:rsid w:val="000A20A4"/>
    <w:rsid w:val="000A2EAD"/>
    <w:rsid w:val="000B0385"/>
    <w:rsid w:val="000B1982"/>
    <w:rsid w:val="000B25E3"/>
    <w:rsid w:val="000B6CD8"/>
    <w:rsid w:val="000B7C5D"/>
    <w:rsid w:val="000D6E5F"/>
    <w:rsid w:val="000F1A28"/>
    <w:rsid w:val="00100AA0"/>
    <w:rsid w:val="001363F3"/>
    <w:rsid w:val="0013773D"/>
    <w:rsid w:val="001662A7"/>
    <w:rsid w:val="001665E6"/>
    <w:rsid w:val="00166F3C"/>
    <w:rsid w:val="00176A1B"/>
    <w:rsid w:val="001813D0"/>
    <w:rsid w:val="00183876"/>
    <w:rsid w:val="001A0190"/>
    <w:rsid w:val="001A3FB5"/>
    <w:rsid w:val="001B1DE3"/>
    <w:rsid w:val="001C26A3"/>
    <w:rsid w:val="001D150F"/>
    <w:rsid w:val="001E0ED3"/>
    <w:rsid w:val="001F5E06"/>
    <w:rsid w:val="001F7D0C"/>
    <w:rsid w:val="00213955"/>
    <w:rsid w:val="00226587"/>
    <w:rsid w:val="00252427"/>
    <w:rsid w:val="00275F56"/>
    <w:rsid w:val="002A03EF"/>
    <w:rsid w:val="002A3B67"/>
    <w:rsid w:val="002B2635"/>
    <w:rsid w:val="002C142F"/>
    <w:rsid w:val="002D4979"/>
    <w:rsid w:val="002D7B64"/>
    <w:rsid w:val="002E0981"/>
    <w:rsid w:val="002E40A1"/>
    <w:rsid w:val="002F6BDC"/>
    <w:rsid w:val="00312043"/>
    <w:rsid w:val="003131DE"/>
    <w:rsid w:val="00335CDA"/>
    <w:rsid w:val="0033609A"/>
    <w:rsid w:val="003524B7"/>
    <w:rsid w:val="0035524A"/>
    <w:rsid w:val="00373D38"/>
    <w:rsid w:val="003965E1"/>
    <w:rsid w:val="003A2C60"/>
    <w:rsid w:val="003E447F"/>
    <w:rsid w:val="003F1004"/>
    <w:rsid w:val="00401815"/>
    <w:rsid w:val="00405468"/>
    <w:rsid w:val="0040582A"/>
    <w:rsid w:val="004211B1"/>
    <w:rsid w:val="004251D5"/>
    <w:rsid w:val="00437BE4"/>
    <w:rsid w:val="00445B48"/>
    <w:rsid w:val="00454325"/>
    <w:rsid w:val="00463F19"/>
    <w:rsid w:val="00477D05"/>
    <w:rsid w:val="0048255F"/>
    <w:rsid w:val="0048447C"/>
    <w:rsid w:val="00493C13"/>
    <w:rsid w:val="004C1982"/>
    <w:rsid w:val="004F0E99"/>
    <w:rsid w:val="004F7F5C"/>
    <w:rsid w:val="00547BAC"/>
    <w:rsid w:val="005621A2"/>
    <w:rsid w:val="005634D4"/>
    <w:rsid w:val="00564E38"/>
    <w:rsid w:val="00566D3F"/>
    <w:rsid w:val="005A5239"/>
    <w:rsid w:val="005A5E9A"/>
    <w:rsid w:val="005A69B5"/>
    <w:rsid w:val="005D5501"/>
    <w:rsid w:val="005E34C1"/>
    <w:rsid w:val="005F3D1E"/>
    <w:rsid w:val="00601693"/>
    <w:rsid w:val="006215B5"/>
    <w:rsid w:val="00644CD3"/>
    <w:rsid w:val="006543BD"/>
    <w:rsid w:val="00664166"/>
    <w:rsid w:val="00664FBE"/>
    <w:rsid w:val="006B03CC"/>
    <w:rsid w:val="006C6D96"/>
    <w:rsid w:val="006E76AD"/>
    <w:rsid w:val="006F09CF"/>
    <w:rsid w:val="006F44BB"/>
    <w:rsid w:val="007005D4"/>
    <w:rsid w:val="00710D1C"/>
    <w:rsid w:val="007157B0"/>
    <w:rsid w:val="00717427"/>
    <w:rsid w:val="00725E55"/>
    <w:rsid w:val="0075184D"/>
    <w:rsid w:val="00753D68"/>
    <w:rsid w:val="007719B4"/>
    <w:rsid w:val="00775991"/>
    <w:rsid w:val="007760D1"/>
    <w:rsid w:val="00783D1D"/>
    <w:rsid w:val="0079071F"/>
    <w:rsid w:val="007C1B60"/>
    <w:rsid w:val="007C1FFC"/>
    <w:rsid w:val="00817C94"/>
    <w:rsid w:val="00834B74"/>
    <w:rsid w:val="00842FCC"/>
    <w:rsid w:val="008A0481"/>
    <w:rsid w:val="008C5144"/>
    <w:rsid w:val="008E11A9"/>
    <w:rsid w:val="008F4E1E"/>
    <w:rsid w:val="0092714C"/>
    <w:rsid w:val="00932517"/>
    <w:rsid w:val="00981439"/>
    <w:rsid w:val="009A78DD"/>
    <w:rsid w:val="009D3259"/>
    <w:rsid w:val="009F4496"/>
    <w:rsid w:val="00A07052"/>
    <w:rsid w:val="00A10671"/>
    <w:rsid w:val="00A121B2"/>
    <w:rsid w:val="00A37266"/>
    <w:rsid w:val="00A43A99"/>
    <w:rsid w:val="00A44CCC"/>
    <w:rsid w:val="00A779C7"/>
    <w:rsid w:val="00AB76AD"/>
    <w:rsid w:val="00AC6898"/>
    <w:rsid w:val="00B030CD"/>
    <w:rsid w:val="00B065AC"/>
    <w:rsid w:val="00B16427"/>
    <w:rsid w:val="00B67EA7"/>
    <w:rsid w:val="00B86C2A"/>
    <w:rsid w:val="00B8760C"/>
    <w:rsid w:val="00B93BA8"/>
    <w:rsid w:val="00B944CD"/>
    <w:rsid w:val="00BB5856"/>
    <w:rsid w:val="00BC1462"/>
    <w:rsid w:val="00BD208A"/>
    <w:rsid w:val="00BD3EF6"/>
    <w:rsid w:val="00BE2306"/>
    <w:rsid w:val="00C42EE6"/>
    <w:rsid w:val="00C56637"/>
    <w:rsid w:val="00C677BB"/>
    <w:rsid w:val="00C83F69"/>
    <w:rsid w:val="00C86D1B"/>
    <w:rsid w:val="00CC748C"/>
    <w:rsid w:val="00D0177A"/>
    <w:rsid w:val="00D02961"/>
    <w:rsid w:val="00D22758"/>
    <w:rsid w:val="00D31EDD"/>
    <w:rsid w:val="00D43394"/>
    <w:rsid w:val="00D52AD2"/>
    <w:rsid w:val="00D613AC"/>
    <w:rsid w:val="00D77B0F"/>
    <w:rsid w:val="00D77DE2"/>
    <w:rsid w:val="00D955A1"/>
    <w:rsid w:val="00DC0FBD"/>
    <w:rsid w:val="00DC3A40"/>
    <w:rsid w:val="00DC48A9"/>
    <w:rsid w:val="00DC6018"/>
    <w:rsid w:val="00DF58DA"/>
    <w:rsid w:val="00E30C0D"/>
    <w:rsid w:val="00E40997"/>
    <w:rsid w:val="00E720D9"/>
    <w:rsid w:val="00E730F1"/>
    <w:rsid w:val="00E9760B"/>
    <w:rsid w:val="00EC7567"/>
    <w:rsid w:val="00ED34DF"/>
    <w:rsid w:val="00EE2957"/>
    <w:rsid w:val="00EE6BDF"/>
    <w:rsid w:val="00F00A0A"/>
    <w:rsid w:val="00F13612"/>
    <w:rsid w:val="00F8742C"/>
    <w:rsid w:val="00F923C8"/>
    <w:rsid w:val="00FB3FA1"/>
    <w:rsid w:val="00FB44C6"/>
    <w:rsid w:val="00FB5B06"/>
    <w:rsid w:val="00FC6D8A"/>
    <w:rsid w:val="00FD5BDA"/>
    <w:rsid w:val="00FD6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07055"/>
  <w15:chartTrackingRefBased/>
  <w15:docId w15:val="{8381E90A-DFD6-4E77-896B-AE6BBF13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B67"/>
  </w:style>
  <w:style w:type="paragraph" w:styleId="Heading1">
    <w:name w:val="heading 1"/>
    <w:basedOn w:val="Normal"/>
    <w:next w:val="Normal"/>
    <w:link w:val="Heading1Char"/>
    <w:uiPriority w:val="9"/>
    <w:qFormat/>
    <w:rsid w:val="002A3B67"/>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2A3B67"/>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2A3B67"/>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A3B67"/>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A3B67"/>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A3B67"/>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A3B67"/>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A3B67"/>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A3B67"/>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A3B67"/>
    <w:rPr>
      <w:rFonts w:asciiTheme="majorHAnsi" w:eastAsiaTheme="majorEastAsia" w:hAnsiTheme="majorHAnsi" w:cstheme="majorBidi"/>
      <w:spacing w:val="4"/>
      <w:sz w:val="24"/>
      <w:szCs w:val="24"/>
    </w:rPr>
  </w:style>
  <w:style w:type="paragraph" w:styleId="NormalWeb">
    <w:name w:val="Normal (Web)"/>
    <w:basedOn w:val="Normal"/>
    <w:uiPriority w:val="99"/>
    <w:unhideWhenUsed/>
    <w:rsid w:val="00B16427"/>
    <w:pPr>
      <w:spacing w:before="100" w:beforeAutospacing="1" w:after="100" w:afterAutospacing="1"/>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2A3B6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A3B67"/>
    <w:rPr>
      <w:rFonts w:asciiTheme="majorHAnsi" w:eastAsiaTheme="majorEastAsia" w:hAnsiTheme="majorHAnsi" w:cstheme="majorBidi"/>
      <w:b/>
      <w:bCs/>
      <w:spacing w:val="-7"/>
      <w:sz w:val="48"/>
      <w:szCs w:val="48"/>
    </w:rPr>
  </w:style>
  <w:style w:type="character" w:styleId="Hyperlink">
    <w:name w:val="Hyperlink"/>
    <w:basedOn w:val="DefaultParagraphFont"/>
    <w:uiPriority w:val="99"/>
    <w:unhideWhenUsed/>
    <w:rsid w:val="00D955A1"/>
    <w:rPr>
      <w:color w:val="6B9F25" w:themeColor="hyperlink"/>
      <w:u w:val="single"/>
    </w:rPr>
  </w:style>
  <w:style w:type="character" w:styleId="UnresolvedMention">
    <w:name w:val="Unresolved Mention"/>
    <w:basedOn w:val="DefaultParagraphFont"/>
    <w:uiPriority w:val="99"/>
    <w:semiHidden/>
    <w:unhideWhenUsed/>
    <w:rsid w:val="00D955A1"/>
    <w:rPr>
      <w:color w:val="605E5C"/>
      <w:shd w:val="clear" w:color="auto" w:fill="E1DFDD"/>
    </w:rPr>
  </w:style>
  <w:style w:type="paragraph" w:styleId="ListParagraph">
    <w:name w:val="List Paragraph"/>
    <w:basedOn w:val="Normal"/>
    <w:uiPriority w:val="34"/>
    <w:qFormat/>
    <w:rsid w:val="00A121B2"/>
    <w:pPr>
      <w:ind w:left="720"/>
      <w:contextualSpacing/>
    </w:pPr>
  </w:style>
  <w:style w:type="character" w:customStyle="1" w:styleId="Heading1Char">
    <w:name w:val="Heading 1 Char"/>
    <w:basedOn w:val="DefaultParagraphFont"/>
    <w:link w:val="Heading1"/>
    <w:uiPriority w:val="9"/>
    <w:rsid w:val="002A3B67"/>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2A3B67"/>
    <w:rPr>
      <w:rFonts w:asciiTheme="majorHAnsi" w:eastAsiaTheme="majorEastAsia" w:hAnsiTheme="majorHAnsi" w:cstheme="majorBidi"/>
      <w:b/>
      <w:bCs/>
      <w:sz w:val="28"/>
      <w:szCs w:val="28"/>
    </w:rPr>
  </w:style>
  <w:style w:type="character" w:customStyle="1" w:styleId="Heading4Char">
    <w:name w:val="Heading 4 Char"/>
    <w:basedOn w:val="DefaultParagraphFont"/>
    <w:link w:val="Heading4"/>
    <w:uiPriority w:val="9"/>
    <w:semiHidden/>
    <w:rsid w:val="002A3B67"/>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A3B67"/>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A3B6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A3B67"/>
    <w:rPr>
      <w:i/>
      <w:iCs/>
    </w:rPr>
  </w:style>
  <w:style w:type="character" w:customStyle="1" w:styleId="Heading8Char">
    <w:name w:val="Heading 8 Char"/>
    <w:basedOn w:val="DefaultParagraphFont"/>
    <w:link w:val="Heading8"/>
    <w:uiPriority w:val="9"/>
    <w:semiHidden/>
    <w:rsid w:val="002A3B67"/>
    <w:rPr>
      <w:b/>
      <w:bCs/>
    </w:rPr>
  </w:style>
  <w:style w:type="character" w:customStyle="1" w:styleId="Heading9Char">
    <w:name w:val="Heading 9 Char"/>
    <w:basedOn w:val="DefaultParagraphFont"/>
    <w:link w:val="Heading9"/>
    <w:uiPriority w:val="9"/>
    <w:semiHidden/>
    <w:rsid w:val="002A3B67"/>
    <w:rPr>
      <w:i/>
      <w:iCs/>
    </w:rPr>
  </w:style>
  <w:style w:type="paragraph" w:styleId="Caption">
    <w:name w:val="caption"/>
    <w:basedOn w:val="Normal"/>
    <w:next w:val="Normal"/>
    <w:uiPriority w:val="35"/>
    <w:semiHidden/>
    <w:unhideWhenUsed/>
    <w:qFormat/>
    <w:rsid w:val="002A3B67"/>
    <w:rPr>
      <w:b/>
      <w:bCs/>
      <w:sz w:val="18"/>
      <w:szCs w:val="18"/>
    </w:rPr>
  </w:style>
  <w:style w:type="paragraph" w:styleId="Subtitle">
    <w:name w:val="Subtitle"/>
    <w:basedOn w:val="Normal"/>
    <w:next w:val="Normal"/>
    <w:link w:val="SubtitleChar"/>
    <w:uiPriority w:val="11"/>
    <w:qFormat/>
    <w:rsid w:val="002A3B67"/>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A3B67"/>
    <w:rPr>
      <w:rFonts w:asciiTheme="majorHAnsi" w:eastAsiaTheme="majorEastAsia" w:hAnsiTheme="majorHAnsi" w:cstheme="majorBidi"/>
      <w:sz w:val="24"/>
      <w:szCs w:val="24"/>
    </w:rPr>
  </w:style>
  <w:style w:type="character" w:styleId="Strong">
    <w:name w:val="Strong"/>
    <w:basedOn w:val="DefaultParagraphFont"/>
    <w:uiPriority w:val="22"/>
    <w:qFormat/>
    <w:rsid w:val="002A3B67"/>
    <w:rPr>
      <w:b/>
      <w:bCs/>
      <w:color w:val="auto"/>
    </w:rPr>
  </w:style>
  <w:style w:type="character" w:styleId="Emphasis">
    <w:name w:val="Emphasis"/>
    <w:basedOn w:val="DefaultParagraphFont"/>
    <w:uiPriority w:val="20"/>
    <w:qFormat/>
    <w:rsid w:val="002A3B67"/>
    <w:rPr>
      <w:i/>
      <w:iCs/>
      <w:color w:val="auto"/>
    </w:rPr>
  </w:style>
  <w:style w:type="paragraph" w:styleId="NoSpacing">
    <w:name w:val="No Spacing"/>
    <w:link w:val="NoSpacingChar"/>
    <w:uiPriority w:val="1"/>
    <w:qFormat/>
    <w:rsid w:val="002A3B67"/>
    <w:pPr>
      <w:spacing w:after="0" w:line="240" w:lineRule="auto"/>
    </w:pPr>
  </w:style>
  <w:style w:type="paragraph" w:styleId="Quote">
    <w:name w:val="Quote"/>
    <w:basedOn w:val="Normal"/>
    <w:next w:val="Normal"/>
    <w:link w:val="QuoteChar"/>
    <w:uiPriority w:val="29"/>
    <w:qFormat/>
    <w:rsid w:val="002A3B6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A3B67"/>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A3B6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A3B67"/>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A3B67"/>
    <w:rPr>
      <w:i/>
      <w:iCs/>
      <w:color w:val="auto"/>
    </w:rPr>
  </w:style>
  <w:style w:type="character" w:styleId="IntenseEmphasis">
    <w:name w:val="Intense Emphasis"/>
    <w:basedOn w:val="DefaultParagraphFont"/>
    <w:uiPriority w:val="21"/>
    <w:qFormat/>
    <w:rsid w:val="002A3B67"/>
    <w:rPr>
      <w:b/>
      <w:bCs/>
      <w:i/>
      <w:iCs/>
      <w:color w:val="auto"/>
    </w:rPr>
  </w:style>
  <w:style w:type="character" w:styleId="SubtleReference">
    <w:name w:val="Subtle Reference"/>
    <w:basedOn w:val="DefaultParagraphFont"/>
    <w:uiPriority w:val="31"/>
    <w:qFormat/>
    <w:rsid w:val="002A3B67"/>
    <w:rPr>
      <w:smallCaps/>
      <w:color w:val="auto"/>
      <w:u w:val="single" w:color="7F7F7F" w:themeColor="text1" w:themeTint="80"/>
    </w:rPr>
  </w:style>
  <w:style w:type="character" w:styleId="IntenseReference">
    <w:name w:val="Intense Reference"/>
    <w:basedOn w:val="DefaultParagraphFont"/>
    <w:uiPriority w:val="32"/>
    <w:qFormat/>
    <w:rsid w:val="002A3B67"/>
    <w:rPr>
      <w:b/>
      <w:bCs/>
      <w:smallCaps/>
      <w:color w:val="auto"/>
      <w:u w:val="single"/>
    </w:rPr>
  </w:style>
  <w:style w:type="character" w:styleId="BookTitle">
    <w:name w:val="Book Title"/>
    <w:basedOn w:val="DefaultParagraphFont"/>
    <w:uiPriority w:val="33"/>
    <w:qFormat/>
    <w:rsid w:val="002A3B67"/>
    <w:rPr>
      <w:b/>
      <w:bCs/>
      <w:smallCaps/>
      <w:color w:val="auto"/>
    </w:rPr>
  </w:style>
  <w:style w:type="paragraph" w:styleId="TOCHeading">
    <w:name w:val="TOC Heading"/>
    <w:basedOn w:val="Heading1"/>
    <w:next w:val="Normal"/>
    <w:uiPriority w:val="39"/>
    <w:semiHidden/>
    <w:unhideWhenUsed/>
    <w:qFormat/>
    <w:rsid w:val="002A3B67"/>
    <w:pPr>
      <w:outlineLvl w:val="9"/>
    </w:pPr>
  </w:style>
  <w:style w:type="character" w:customStyle="1" w:styleId="NoSpacingChar">
    <w:name w:val="No Spacing Char"/>
    <w:basedOn w:val="DefaultParagraphFont"/>
    <w:link w:val="NoSpacing"/>
    <w:uiPriority w:val="1"/>
    <w:rsid w:val="00067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935538">
      <w:bodyDiv w:val="1"/>
      <w:marLeft w:val="0"/>
      <w:marRight w:val="0"/>
      <w:marTop w:val="0"/>
      <w:marBottom w:val="0"/>
      <w:divBdr>
        <w:top w:val="none" w:sz="0" w:space="0" w:color="auto"/>
        <w:left w:val="none" w:sz="0" w:space="0" w:color="auto"/>
        <w:bottom w:val="none" w:sz="0" w:space="0" w:color="auto"/>
        <w:right w:val="none" w:sz="0" w:space="0" w:color="auto"/>
      </w:divBdr>
    </w:div>
    <w:div w:id="2102482199">
      <w:bodyDiv w:val="1"/>
      <w:marLeft w:val="0"/>
      <w:marRight w:val="0"/>
      <w:marTop w:val="0"/>
      <w:marBottom w:val="0"/>
      <w:divBdr>
        <w:top w:val="none" w:sz="0" w:space="0" w:color="auto"/>
        <w:left w:val="none" w:sz="0" w:space="0" w:color="auto"/>
        <w:bottom w:val="none" w:sz="0" w:space="0" w:color="auto"/>
        <w:right w:val="none" w:sz="0" w:space="0" w:color="auto"/>
      </w:divBdr>
      <w:divsChild>
        <w:div w:id="199957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oi.org/10.24052/BMR/V14NU02/ART-14" TargetMode="External"/><Relationship Id="rId18" Type="http://schemas.openxmlformats.org/officeDocument/2006/relationships/hyperlink" Target="https://doi.org/10.1002/hrm.22114"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111/peps.12031_4" TargetMode="External"/><Relationship Id="rId2" Type="http://schemas.openxmlformats.org/officeDocument/2006/relationships/customXml" Target="../customXml/item2.xml"/><Relationship Id="rId16" Type="http://schemas.openxmlformats.org/officeDocument/2006/relationships/hyperlink" Target="https://doi.org/10.1145/360455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doi.org/10.22059/jipa.2020.307321.2785" TargetMode="Externa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007/s10551-018-4094-9"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title: Personnel Resourcing and Development
Module code: BMIH5005
Lecturer’s name: Helen Lee
Student name: Rosario del Rocio Garcia Baez
Student number: 2230623
Date: February 5, 2024</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E3F316-37C3-40D9-8E20-55A9C497E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4913F-B801-4C86-B9DD-4403035A7D83}">
  <ds:schemaRefs>
    <ds:schemaRef ds:uri="http://schemas.microsoft.com/sharepoint/v3/contenttype/forms"/>
  </ds:schemaRefs>
</ds:datastoreItem>
</file>

<file path=customXml/itemProps4.xml><?xml version="1.0" encoding="utf-8"?>
<ds:datastoreItem xmlns:ds="http://schemas.openxmlformats.org/officeDocument/2006/customXml" ds:itemID="{29F17467-0B82-4C2F-ABEE-DA84B033C795}">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41853DC3-FB83-4A64-B726-B2225A7F0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10</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
  <dc:creator/>
  <cp:keywords/>
  <dc:description/>
  <cp:lastModifiedBy>Rosario Del Rocio Garcia Baez (2230623)</cp:lastModifiedBy>
  <cp:revision>177</cp:revision>
  <dcterms:created xsi:type="dcterms:W3CDTF">2024-02-04T12:43:00Z</dcterms:created>
  <dcterms:modified xsi:type="dcterms:W3CDTF">2024-02-05T22:31:00Z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