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FAB4EC" w14:textId="0A2CDBEB" w:rsidR="000D499B" w:rsidRDefault="00206AD9">
      <w:pPr>
        <w:pStyle w:val="Title"/>
        <w:spacing w:after="400"/>
        <w:jc w:val="center"/>
      </w:pPr>
      <w:r>
        <w:rPr>
          <w:noProof/>
        </w:rPr>
        <w:drawing>
          <wp:inline distT="0" distB="0" distL="0" distR="0" wp14:anchorId="75FD8E39" wp14:editId="6145318A">
            <wp:extent cx="5731510" cy="868228"/>
            <wp:effectExtent l="0" t="0" r="254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1585" b="78895"/>
                    <a:stretch/>
                  </pic:blipFill>
                  <pic:spPr bwMode="auto">
                    <a:xfrm>
                      <a:off x="0" y="0"/>
                      <a:ext cx="5731510" cy="868228"/>
                    </a:xfrm>
                    <a:prstGeom prst="rect">
                      <a:avLst/>
                    </a:prstGeom>
                    <a:ln>
                      <a:noFill/>
                    </a:ln>
                    <a:extLst>
                      <a:ext uri="{53640926-AAD7-44D8-BBD7-CCE9431645EC}">
                        <a14:shadowObscured xmlns:a14="http://schemas.microsoft.com/office/drawing/2010/main"/>
                      </a:ext>
                    </a:extLst>
                  </pic:spPr>
                </pic:pic>
              </a:graphicData>
            </a:graphic>
          </wp:inline>
        </w:drawing>
      </w:r>
    </w:p>
    <w:p w14:paraId="6F1C0DF0" w14:textId="77777777" w:rsidR="00206AD9" w:rsidRPr="00B7553A" w:rsidRDefault="00206AD9" w:rsidP="00206AD9">
      <w:pPr>
        <w:spacing w:before="600" w:after="100"/>
        <w:jc w:val="center"/>
        <w:rPr>
          <w:b/>
          <w:bCs/>
          <w:color w:val="1B2A4A"/>
          <w:sz w:val="32"/>
          <w:szCs w:val="32"/>
        </w:rPr>
      </w:pPr>
      <w:r w:rsidRPr="00B7553A">
        <w:rPr>
          <w:b/>
          <w:bCs/>
          <w:color w:val="1B2A4A"/>
          <w:sz w:val="32"/>
          <w:szCs w:val="32"/>
        </w:rPr>
        <w:t>Programme: MSc Public Health and Social Care in Practice</w:t>
      </w:r>
    </w:p>
    <w:p w14:paraId="224FAE5E" w14:textId="33C9A669" w:rsidR="00206AD9" w:rsidRPr="00B7553A" w:rsidRDefault="00206AD9" w:rsidP="00206AD9">
      <w:pPr>
        <w:spacing w:before="600" w:after="100"/>
        <w:jc w:val="center"/>
        <w:rPr>
          <w:b/>
          <w:bCs/>
          <w:color w:val="1B2A4A"/>
          <w:sz w:val="32"/>
          <w:szCs w:val="32"/>
        </w:rPr>
      </w:pPr>
      <w:r w:rsidRPr="00B7553A">
        <w:rPr>
          <w:b/>
          <w:bCs/>
          <w:color w:val="1B2A4A"/>
          <w:sz w:val="32"/>
          <w:szCs w:val="32"/>
        </w:rPr>
        <w:t>Module: Social Epidemiology and Public Health                                         Development</w:t>
      </w:r>
    </w:p>
    <w:p w14:paraId="65E1217D" w14:textId="0573B3A3" w:rsidR="00206AD9" w:rsidRPr="00B7553A" w:rsidRDefault="00206AD9" w:rsidP="00206AD9">
      <w:pPr>
        <w:spacing w:before="600" w:after="100"/>
        <w:ind w:left="720"/>
        <w:jc w:val="center"/>
        <w:rPr>
          <w:b/>
          <w:bCs/>
          <w:color w:val="1B2A4A"/>
          <w:sz w:val="32"/>
          <w:szCs w:val="32"/>
        </w:rPr>
      </w:pPr>
      <w:r w:rsidRPr="00B7553A">
        <w:rPr>
          <w:b/>
          <w:bCs/>
          <w:color w:val="1B2A4A"/>
          <w:sz w:val="32"/>
          <w:szCs w:val="32"/>
        </w:rPr>
        <w:t>Module Code: LCHS7000</w:t>
      </w:r>
    </w:p>
    <w:p w14:paraId="08CEB458" w14:textId="048D84E1" w:rsidR="00206AD9" w:rsidRPr="00B7553A" w:rsidRDefault="00206AD9" w:rsidP="00206AD9">
      <w:pPr>
        <w:spacing w:before="600" w:after="100"/>
        <w:jc w:val="center"/>
        <w:rPr>
          <w:b/>
          <w:bCs/>
          <w:color w:val="1B2A4A"/>
          <w:sz w:val="32"/>
          <w:szCs w:val="32"/>
        </w:rPr>
      </w:pPr>
      <w:r w:rsidRPr="00B7553A">
        <w:rPr>
          <w:b/>
          <w:bCs/>
          <w:color w:val="1B2A4A"/>
          <w:sz w:val="32"/>
          <w:szCs w:val="32"/>
        </w:rPr>
        <w:t xml:space="preserve">     Lecturer: Dr Itse Olaoye</w:t>
      </w:r>
    </w:p>
    <w:p w14:paraId="6ED6A7C6" w14:textId="77777777" w:rsidR="00B7553A" w:rsidRPr="00B7553A" w:rsidRDefault="00B7553A" w:rsidP="00B7553A">
      <w:pPr>
        <w:spacing w:before="600" w:after="100"/>
        <w:jc w:val="center"/>
        <w:rPr>
          <w:b/>
          <w:bCs/>
          <w:color w:val="1B2A4A"/>
          <w:sz w:val="32"/>
          <w:szCs w:val="32"/>
        </w:rPr>
      </w:pPr>
      <w:r w:rsidRPr="00B7553A">
        <w:rPr>
          <w:b/>
          <w:bCs/>
          <w:color w:val="1B2A4A"/>
          <w:sz w:val="32"/>
          <w:szCs w:val="32"/>
        </w:rPr>
        <w:t>Assignment Title: Task 1 &amp; 2 – Social Epidemiological Analysis and Epidemiological Analysis</w:t>
      </w:r>
    </w:p>
    <w:p w14:paraId="7CE95813" w14:textId="77777777" w:rsidR="00206AD9" w:rsidRPr="00B7553A" w:rsidRDefault="00206AD9" w:rsidP="00B7553A">
      <w:pPr>
        <w:spacing w:before="600" w:after="100"/>
        <w:rPr>
          <w:b/>
          <w:bCs/>
          <w:color w:val="1B2A4A"/>
          <w:sz w:val="32"/>
          <w:szCs w:val="32"/>
        </w:rPr>
      </w:pPr>
    </w:p>
    <w:p w14:paraId="1EE4D561" w14:textId="4425D359" w:rsidR="00206AD9" w:rsidRPr="00B7553A" w:rsidRDefault="00B7553A" w:rsidP="003F7A2D">
      <w:pPr>
        <w:rPr>
          <w:b/>
          <w:bCs/>
          <w:color w:val="0E2841" w:themeColor="text2"/>
          <w:sz w:val="32"/>
          <w:szCs w:val="32"/>
        </w:rPr>
      </w:pPr>
      <w:r w:rsidRPr="00B7553A">
        <w:rPr>
          <w:b/>
          <w:bCs/>
          <w:color w:val="0E2841" w:themeColor="text2"/>
          <w:sz w:val="32"/>
          <w:szCs w:val="32"/>
        </w:rPr>
        <w:t xml:space="preserve">        </w:t>
      </w:r>
      <w:r w:rsidR="00206AD9" w:rsidRPr="00B7553A">
        <w:rPr>
          <w:b/>
          <w:bCs/>
          <w:color w:val="0E2841" w:themeColor="text2"/>
          <w:sz w:val="32"/>
          <w:szCs w:val="32"/>
        </w:rPr>
        <w:t>STUDENT NAME: SIMRAN VEDKUMAR YADAV</w:t>
      </w:r>
    </w:p>
    <w:p w14:paraId="4BDAA31C" w14:textId="77777777" w:rsidR="00206AD9" w:rsidRPr="00B7553A" w:rsidRDefault="00206AD9" w:rsidP="00206AD9">
      <w:pPr>
        <w:jc w:val="center"/>
        <w:rPr>
          <w:b/>
          <w:bCs/>
          <w:color w:val="0E2841" w:themeColor="text2"/>
          <w:sz w:val="32"/>
          <w:szCs w:val="32"/>
        </w:rPr>
      </w:pPr>
      <w:r w:rsidRPr="00B7553A">
        <w:rPr>
          <w:b/>
          <w:bCs/>
          <w:color w:val="0E2841" w:themeColor="text2"/>
          <w:sz w:val="32"/>
          <w:szCs w:val="32"/>
        </w:rPr>
        <w:t>STUDENT ID:2534012</w:t>
      </w:r>
    </w:p>
    <w:p w14:paraId="1DB03DD8" w14:textId="77777777" w:rsidR="00206AD9" w:rsidRDefault="00206AD9" w:rsidP="00206AD9">
      <w:pPr>
        <w:spacing w:before="600" w:after="100"/>
        <w:jc w:val="center"/>
        <w:rPr>
          <w:b/>
          <w:bCs/>
          <w:color w:val="1B2A4A"/>
          <w:sz w:val="44"/>
          <w:szCs w:val="44"/>
        </w:rPr>
      </w:pPr>
    </w:p>
    <w:p w14:paraId="44D71955" w14:textId="77777777" w:rsidR="000D499B" w:rsidRDefault="000D499B" w:rsidP="00206AD9">
      <w:pPr>
        <w:pStyle w:val="Title"/>
        <w:spacing w:after="400"/>
      </w:pPr>
    </w:p>
    <w:p w14:paraId="044C2972" w14:textId="052A5A4E" w:rsidR="00A80E02" w:rsidRDefault="00000000">
      <w:pPr>
        <w:pStyle w:val="Title"/>
        <w:spacing w:after="400"/>
        <w:jc w:val="center"/>
      </w:pPr>
      <w:r>
        <w:lastRenderedPageBreak/>
        <w:t>Task 1</w:t>
      </w:r>
    </w:p>
    <w:p w14:paraId="195F1DE1" w14:textId="4A00305D" w:rsidR="00F67F23" w:rsidRPr="00EB4800" w:rsidRDefault="00000000">
      <w:pPr>
        <w:pStyle w:val="Title"/>
        <w:spacing w:after="400"/>
        <w:jc w:val="center"/>
        <w:rPr>
          <w:sz w:val="52"/>
          <w:szCs w:val="52"/>
        </w:rPr>
      </w:pPr>
      <w:r w:rsidRPr="00EB4800">
        <w:rPr>
          <w:sz w:val="52"/>
          <w:szCs w:val="52"/>
        </w:rPr>
        <w:t>Disability and Health Inequality in the UK</w:t>
      </w:r>
    </w:p>
    <w:p w14:paraId="7109F9AE" w14:textId="77777777" w:rsidR="00F67F23" w:rsidRDefault="00000000">
      <w:pPr>
        <w:pStyle w:val="Heading1"/>
        <w:spacing w:before="300" w:after="150"/>
      </w:pPr>
      <w:r>
        <w:t>1. Introduction</w:t>
      </w:r>
    </w:p>
    <w:p w14:paraId="26BC8A37" w14:textId="10DCC34B" w:rsidR="00F67F23" w:rsidRPr="00EB4800" w:rsidRDefault="00000000" w:rsidP="00CD20ED">
      <w:pPr>
        <w:spacing w:after="160"/>
        <w:jc w:val="both"/>
        <w:rPr>
          <w:sz w:val="22"/>
          <w:szCs w:val="22"/>
        </w:rPr>
      </w:pPr>
      <w:r>
        <w:t>Under the Equality Act 2010, a person is disabled if they have a physical or mental impairment with a substantial, long-term adverse effect on daily activities (Equality Act 2010, s.6). On this definition, 16.8 million people in the UK, around one in four, were classed as disabled in 2023/24 (House of Commons Library, 2026). Disabled people are among the groups most exposed to health inequalities: impairment increases vulnerability to illness, but the larger driver is structural — inaccessible services, discriminatory attitudes and a benefits system that leaves many in poverty. The social model of disability, used across UK health policy, frames these barriers, not the impairment itself, as the main cause of inequality (NHS England, n.d.). This report examines three disease-related and three social inequalities disabled people face, then the national and charitable response.</w:t>
      </w:r>
    </w:p>
    <w:p w14:paraId="2A0F1927" w14:textId="77777777" w:rsidR="00F67F23" w:rsidRDefault="00000000">
      <w:pPr>
        <w:pStyle w:val="Heading1"/>
        <w:spacing w:before="300" w:after="150"/>
      </w:pPr>
      <w:r>
        <w:t>2. Higher rates of mental illness</w:t>
      </w:r>
    </w:p>
    <w:p w14:paraId="2044B759" w14:textId="77777777" w:rsidR="00F67F23" w:rsidRPr="00EB4800" w:rsidRDefault="00000000" w:rsidP="00CD20ED">
      <w:pPr>
        <w:spacing w:after="160"/>
        <w:jc w:val="both"/>
        <w:rPr>
          <w:sz w:val="22"/>
          <w:szCs w:val="22"/>
        </w:rPr>
      </w:pPr>
      <w:r>
        <w:t>Mental health difficulties are the most commonly reported impairment among working-age disabled people, cited by 48% in 2023/24 (House of Commons Library, 2026). People with a long-term physical condition are more than twice as likely to experience a common mental health problem, 32.9% versus 12.6% (Mental Health Foundation, 2025), and Sense (2023) found markedly higher anxiety and lower happiness among people with complex disabilities. This stems from the strain of impairment, poverty and stigma, compounded by mental health services being commissioned separately from physical disability care. Screening should be built into every routine health contact, backed by disability-led peer-support networks.</w:t>
      </w:r>
    </w:p>
    <w:p w14:paraId="4C7CC149" w14:textId="77777777" w:rsidR="00F67F23" w:rsidRDefault="00000000">
      <w:pPr>
        <w:pStyle w:val="Heading1"/>
        <w:spacing w:before="300" w:after="150"/>
      </w:pPr>
      <w:r>
        <w:t>3. Higher mortality and reduced life expectancy</w:t>
      </w:r>
    </w:p>
    <w:p w14:paraId="690FEA47" w14:textId="77777777" w:rsidR="00F67F23" w:rsidRPr="00EB4800" w:rsidRDefault="00000000" w:rsidP="00CD20ED">
      <w:pPr>
        <w:spacing w:after="160"/>
        <w:jc w:val="both"/>
        <w:rPr>
          <w:sz w:val="22"/>
          <w:szCs w:val="22"/>
        </w:rPr>
      </w:pPr>
      <w:r>
        <w:t xml:space="preserve">Disabled people, particularly those with a learning disability, die younger than the general population and more often from preventable causes. The final national LeDeR report found the median age of death for an adult with a learning disability was 62.8 years, nineteen below the general population's 81.8, with 39% of deaths avoidable (Learning Disability Today, 2026). Much of this reflects diagnostic overshadowing, where new symptoms are wrongly attributed to a person's existing disability rather than </w:t>
      </w:r>
      <w:r>
        <w:lastRenderedPageBreak/>
        <w:t>investigated, identified by a parliamentary inquiry as a major driver of early death (Women and Equalities Committee, 2026). Clinical training should target diagnostic overshadowing, and the LeDeR review model should extend to other high-risk disabled groups, with health passports flagging risk at every appointment.</w:t>
      </w:r>
    </w:p>
    <w:p w14:paraId="229BA10D" w14:textId="77777777" w:rsidR="00F67F23" w:rsidRDefault="00000000">
      <w:pPr>
        <w:spacing w:before="100" w:after="200"/>
        <w:jc w:val="center"/>
      </w:pPr>
      <w:r>
        <w:rPr>
          <w:noProof/>
        </w:rPr>
        <w:drawing>
          <wp:inline distT="0" distB="0" distL="0" distR="0" wp14:anchorId="15091695" wp14:editId="18B41C76">
            <wp:extent cx="3619500" cy="2895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a:picLocks noChangeAspect="1" noChangeArrowheads="1"/>
                    </pic:cNvPicPr>
                  </pic:nvPicPr>
                  <pic:blipFill>
                    <a:blip r:embed="rId9"/>
                    <a:stretch>
                      <a:fillRect/>
                    </a:stretch>
                  </pic:blipFill>
                  <pic:spPr bwMode="auto">
                    <a:xfrm>
                      <a:off x="0" y="0"/>
                      <a:ext cx="3619500" cy="2895600"/>
                    </a:xfrm>
                    <a:prstGeom prst="rect">
                      <a:avLst/>
                    </a:prstGeom>
                  </pic:spPr>
                </pic:pic>
              </a:graphicData>
            </a:graphic>
          </wp:inline>
        </w:drawing>
      </w:r>
    </w:p>
    <w:p w14:paraId="7318E686" w14:textId="77777777" w:rsidR="00F67F23" w:rsidRDefault="00000000">
      <w:pPr>
        <w:pStyle w:val="Heading1"/>
        <w:spacing w:before="300" w:after="150"/>
      </w:pPr>
      <w:r>
        <w:t>4. Unequal access to healthcare</w:t>
      </w:r>
    </w:p>
    <w:p w14:paraId="1D50A642" w14:textId="77777777" w:rsidR="00F67F23" w:rsidRPr="00EB4800" w:rsidRDefault="00000000" w:rsidP="00CD20ED">
      <w:pPr>
        <w:spacing w:after="160"/>
        <w:jc w:val="both"/>
        <w:rPr>
          <w:sz w:val="22"/>
          <w:szCs w:val="22"/>
        </w:rPr>
      </w:pPr>
      <w:r>
        <w:t>Although the Equality Act 2010 places a legal duty on the NHS to make reasonable adjustments for disabled patients, provision remains inconsistent: adjustments such as longer appointments were often absent or dependent on individual staff (Read et al., 2018). People with a severe disability are four and a half times more likely to go without mental healthcare because of cost (House of Lords Library, 2024). Few NHS Trusts could evidence adjustments to face-to-face treatment, and most staff did not know where to record them (Heslop et al., 2018). Adjustments should be flagged automatically in patient records and audited routinely, with a named disability liaison role in every trust.</w:t>
      </w:r>
    </w:p>
    <w:p w14:paraId="283812D0" w14:textId="77777777" w:rsidR="00F67F23" w:rsidRDefault="00000000">
      <w:pPr>
        <w:pStyle w:val="Heading1"/>
        <w:spacing w:before="300" w:after="150"/>
      </w:pPr>
      <w:r>
        <w:t>5. Poverty and the extra cost of disability</w:t>
      </w:r>
    </w:p>
    <w:p w14:paraId="0A367B06" w14:textId="377ECD9A" w:rsidR="00F67F23" w:rsidRPr="00EB4800" w:rsidRDefault="00000000" w:rsidP="00CD20ED">
      <w:pPr>
        <w:spacing w:after="160"/>
        <w:jc w:val="both"/>
        <w:rPr>
          <w:sz w:val="22"/>
          <w:szCs w:val="22"/>
        </w:rPr>
      </w:pPr>
      <w:r>
        <w:t>Disabled people are considerably more likely to live in poverty, at 28% compared with 20% of non-disabled people in 2023/24 (Joseph Rowntree Foundation, 2026). Scope's Disability Price Tag puts the extra cost of living with a disability at £1,095 a month in 2025/26 (Scope, 2026), rarely covered by benefits. This is driven by lower employment — 52.8% versus 82.5% — and a disability pay gap of 17.2% in 2023/24 (TUC, 2025). Benefits should be uprated in line with actual extra costs, employment support should focus on flexible roles, and larger employers should report their disability pay gap.</w:t>
      </w:r>
    </w:p>
    <w:p w14:paraId="671A5744" w14:textId="77777777" w:rsidR="00F67F23" w:rsidRDefault="00000000">
      <w:pPr>
        <w:spacing w:before="100" w:after="200"/>
        <w:jc w:val="center"/>
      </w:pPr>
      <w:r>
        <w:rPr>
          <w:noProof/>
        </w:rPr>
        <w:lastRenderedPageBreak/>
        <w:drawing>
          <wp:inline distT="0" distB="0" distL="0" distR="0" wp14:anchorId="50B49589" wp14:editId="3AD98B3A">
            <wp:extent cx="3619500" cy="2895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a:picLocks noChangeAspect="1" noChangeArrowheads="1"/>
                    </pic:cNvPicPr>
                  </pic:nvPicPr>
                  <pic:blipFill>
                    <a:blip r:embed="rId10"/>
                    <a:stretch>
                      <a:fillRect/>
                    </a:stretch>
                  </pic:blipFill>
                  <pic:spPr bwMode="auto">
                    <a:xfrm>
                      <a:off x="0" y="0"/>
                      <a:ext cx="3619500" cy="2895600"/>
                    </a:xfrm>
                    <a:prstGeom prst="rect">
                      <a:avLst/>
                    </a:prstGeom>
                  </pic:spPr>
                </pic:pic>
              </a:graphicData>
            </a:graphic>
          </wp:inline>
        </w:drawing>
      </w:r>
    </w:p>
    <w:p w14:paraId="2E164976" w14:textId="12DC077C" w:rsidR="00F67F23" w:rsidRDefault="00000000" w:rsidP="000D499B">
      <w:pPr>
        <w:spacing w:before="100" w:after="200"/>
      </w:pPr>
      <w:r>
        <w:rPr>
          <w:noProof/>
        </w:rPr>
        <w:drawing>
          <wp:anchor distT="0" distB="0" distL="114300" distR="114300" simplePos="0" relativeHeight="251658240" behindDoc="0" locked="0" layoutInCell="1" allowOverlap="1" wp14:anchorId="46BEFD79" wp14:editId="280ED6C9">
            <wp:simplePos x="0" y="0"/>
            <wp:positionH relativeFrom="column">
              <wp:posOffset>1066800</wp:posOffset>
            </wp:positionH>
            <wp:positionV relativeFrom="paragraph">
              <wp:posOffset>0</wp:posOffset>
            </wp:positionV>
            <wp:extent cx="3619500" cy="2524125"/>
            <wp:effectExtent l="0" t="0" r="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3619500" cy="2524125"/>
                    </a:xfrm>
                    <a:prstGeom prst="rect">
                      <a:avLst/>
                    </a:prstGeom>
                  </pic:spPr>
                </pic:pic>
              </a:graphicData>
            </a:graphic>
          </wp:anchor>
        </w:drawing>
      </w:r>
    </w:p>
    <w:p w14:paraId="3993EDEA" w14:textId="77777777" w:rsidR="00F67F23" w:rsidRDefault="00F67F23" w:rsidP="000D499B">
      <w:pPr>
        <w:spacing w:before="100" w:after="200"/>
      </w:pPr>
    </w:p>
    <w:p w14:paraId="280CFE6C" w14:textId="77777777" w:rsidR="00F67F23" w:rsidRDefault="00000000">
      <w:pPr>
        <w:spacing w:before="100" w:after="200"/>
        <w:jc w:val="center"/>
      </w:pPr>
      <w:r>
        <w:rPr>
          <w:noProof/>
        </w:rPr>
        <w:drawing>
          <wp:inline distT="0" distB="0" distL="0" distR="0" wp14:anchorId="5C52AFF7" wp14:editId="390AC616">
            <wp:extent cx="3619500" cy="27908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a:picLocks noChangeAspect="1" noChangeArrowheads="1"/>
                    </pic:cNvPicPr>
                  </pic:nvPicPr>
                  <pic:blipFill>
                    <a:blip r:embed="rId12"/>
                    <a:stretch>
                      <a:fillRect/>
                    </a:stretch>
                  </pic:blipFill>
                  <pic:spPr bwMode="auto">
                    <a:xfrm>
                      <a:off x="0" y="0"/>
                      <a:ext cx="3619500" cy="2790825"/>
                    </a:xfrm>
                    <a:prstGeom prst="rect">
                      <a:avLst/>
                    </a:prstGeom>
                  </pic:spPr>
                </pic:pic>
              </a:graphicData>
            </a:graphic>
          </wp:inline>
        </w:drawing>
      </w:r>
    </w:p>
    <w:p w14:paraId="7882FEC5" w14:textId="66B18C6E" w:rsidR="00F67F23" w:rsidRDefault="00F955E4">
      <w:pPr>
        <w:pStyle w:val="Heading1"/>
        <w:spacing w:before="300" w:after="150"/>
      </w:pPr>
      <w:r>
        <w:lastRenderedPageBreak/>
        <w:t>6</w:t>
      </w:r>
      <w:r w:rsidR="00B7553A">
        <w:t>. Social isolation and loneliness</w:t>
      </w:r>
    </w:p>
    <w:p w14:paraId="5474B331" w14:textId="77777777" w:rsidR="00F67F23" w:rsidRPr="001650B4" w:rsidRDefault="00000000" w:rsidP="00CD20ED">
      <w:pPr>
        <w:spacing w:after="160"/>
        <w:jc w:val="both"/>
        <w:rPr>
          <w:sz w:val="22"/>
          <w:szCs w:val="22"/>
        </w:rPr>
      </w:pPr>
      <w:r>
        <w:t>Disabled people are around four times as likely as non-disabled people to report substantial loneliness, at 25% compared with 6% (Campaign to End Loneliness, 2023), and Sense (2022) found 61% experienced chronic loneliness, rising to 70% among 16- to 24-year-olds. This is driven by inaccessible transport and reduced social care: 92% of disabled people encountered a transport barrier, and disabled adults made up to 35% fewer trips than non-disabled peers (Motability Foundation/DfT, 2025). Local authorities should treat accessible transport and funded social care as loneliness-prevention measures, funding peer-support schemes run by disability organisations.</w:t>
      </w:r>
    </w:p>
    <w:p w14:paraId="1C0B40BC" w14:textId="77777777" w:rsidR="00F67F23" w:rsidRDefault="00000000">
      <w:pPr>
        <w:spacing w:before="100" w:after="200"/>
        <w:jc w:val="center"/>
      </w:pPr>
      <w:r>
        <w:rPr>
          <w:noProof/>
        </w:rPr>
        <w:drawing>
          <wp:inline distT="0" distB="0" distL="0" distR="0" wp14:anchorId="7C9C7DAA" wp14:editId="1A8DDB52">
            <wp:extent cx="3619500" cy="26289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a:picLocks noChangeAspect="1" noChangeArrowheads="1"/>
                    </pic:cNvPicPr>
                  </pic:nvPicPr>
                  <pic:blipFill>
                    <a:blip r:embed="rId13"/>
                    <a:stretch>
                      <a:fillRect/>
                    </a:stretch>
                  </pic:blipFill>
                  <pic:spPr bwMode="auto">
                    <a:xfrm>
                      <a:off x="0" y="0"/>
                      <a:ext cx="3619500" cy="2628900"/>
                    </a:xfrm>
                    <a:prstGeom prst="rect">
                      <a:avLst/>
                    </a:prstGeom>
                  </pic:spPr>
                </pic:pic>
              </a:graphicData>
            </a:graphic>
          </wp:inline>
        </w:drawing>
      </w:r>
    </w:p>
    <w:p w14:paraId="1F85C5D5" w14:textId="77777777" w:rsidR="00F67F23" w:rsidRDefault="00000000">
      <w:pPr>
        <w:spacing w:before="100" w:after="200"/>
        <w:jc w:val="center"/>
      </w:pPr>
      <w:r>
        <w:rPr>
          <w:noProof/>
        </w:rPr>
        <w:drawing>
          <wp:inline distT="0" distB="0" distL="0" distR="0" wp14:anchorId="4F23964E" wp14:editId="234A0D0C">
            <wp:extent cx="3238500" cy="29146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a:picLocks noChangeAspect="1" noChangeArrowheads="1"/>
                    </pic:cNvPicPr>
                  </pic:nvPicPr>
                  <pic:blipFill>
                    <a:blip r:embed="rId14">
                      <a:extLst>
                        <a:ext uri="{BEBA8EAE-BF5A-486C-A8C5-ECC9F3942E4B}">
                          <a14:imgProps xmlns:a14="http://schemas.microsoft.com/office/drawing/2010/main">
                            <a14:imgLayer>
                              <a14:imgEffect>
                                <a14:colorTemperature colorTemp="11200"/>
                              </a14:imgEffect>
                            </a14:imgLayer>
                          </a14:imgProps>
                        </a:ext>
                      </a:extLst>
                    </a:blip>
                    <a:stretch>
                      <a:fillRect/>
                    </a:stretch>
                  </pic:blipFill>
                  <pic:spPr bwMode="auto">
                    <a:xfrm>
                      <a:off x="0" y="0"/>
                      <a:ext cx="3238500" cy="2914650"/>
                    </a:xfrm>
                    <a:prstGeom prst="rect">
                      <a:avLst/>
                    </a:prstGeom>
                  </pic:spPr>
                </pic:pic>
              </a:graphicData>
            </a:graphic>
          </wp:inline>
        </w:drawing>
      </w:r>
    </w:p>
    <w:p w14:paraId="2B0962A5" w14:textId="46A0601A" w:rsidR="00F955E4" w:rsidRPr="00B7553A" w:rsidRDefault="00F955E4" w:rsidP="00F955E4">
      <w:pPr>
        <w:pStyle w:val="Heading1"/>
        <w:spacing w:after="160"/>
        <w:jc w:val="both"/>
        <w:rPr>
          <w:color w:val="4C94D8" w:themeColor="text2" w:themeTint="80"/>
          <w:sz w:val="32"/>
          <w:szCs w:val="32"/>
        </w:rPr>
      </w:pPr>
      <w:r>
        <w:rPr>
          <w:color w:val="4C94D8" w:themeColor="text2" w:themeTint="80"/>
          <w:sz w:val="32"/>
          <w:szCs w:val="32"/>
        </w:rPr>
        <w:t>7</w:t>
      </w:r>
      <w:r w:rsidRPr="00B7553A">
        <w:rPr>
          <w:color w:val="4C94D8" w:themeColor="text2" w:themeTint="80"/>
          <w:sz w:val="32"/>
          <w:szCs w:val="32"/>
        </w:rPr>
        <w:t>. Discrimination and negative public attitudes</w:t>
      </w:r>
    </w:p>
    <w:p w14:paraId="0ED0AAD7" w14:textId="1876E4D3" w:rsidR="00C634E4" w:rsidRPr="002E5289" w:rsidRDefault="00F955E4" w:rsidP="002E5289">
      <w:pPr>
        <w:spacing w:after="160"/>
        <w:jc w:val="both"/>
        <w:rPr>
          <w:sz w:val="22"/>
          <w:szCs w:val="22"/>
        </w:rPr>
      </w:pPr>
      <w:r>
        <w:t xml:space="preserve">Discrimination and negative public attitudes are a significant, often overlooked, driver of disabled people's health inequality. Scope (2023) found three in four disabled people had experienced </w:t>
      </w:r>
      <w:r>
        <w:lastRenderedPageBreak/>
        <w:t>discrimination in the previous five years, reinforced by a persistent "perception gap" in which public attitudes remain more negative than most realise, shaping hiring and transport access. These attitudes discourage participation in work and community life, and require sustained campaigns alongside stronger enforcement of the Equality Act.</w:t>
      </w:r>
    </w:p>
    <w:p w14:paraId="2E3A789F" w14:textId="1E317884" w:rsidR="00F67F23" w:rsidRDefault="00B7553A">
      <w:pPr>
        <w:pStyle w:val="Heading1"/>
        <w:spacing w:before="300" w:after="150"/>
      </w:pPr>
      <w:r>
        <w:t>8. National response to reduce health inequalities in disabled people</w:t>
      </w:r>
    </w:p>
    <w:p w14:paraId="14323126" w14:textId="77777777" w:rsidR="00F67F23" w:rsidRPr="001650B4" w:rsidRDefault="00000000" w:rsidP="00CD20ED">
      <w:pPr>
        <w:spacing w:after="160"/>
        <w:jc w:val="both"/>
        <w:rPr>
          <w:sz w:val="22"/>
          <w:szCs w:val="22"/>
        </w:rPr>
      </w:pPr>
      <w:r>
        <w:t>Two national mechanisms stand out. First, the Equality Act 2010 places a statutory duty on public bodies, including the NHS, to make reasonable adjustments (NHS England, n.d.), underpinning accessible information and longer GP appointments. Second, the NHS-commissioned LeDeR programme reviews the death of every person with a learning disability in England (Local Government Association, 2023), alongside an annual health check. Together these have contributed to a fall in avoidable deaths, from 46% in 2021 to 39% in 2024 (Learning Disability Today, 2026), though the gap with the general population remains wide.</w:t>
      </w:r>
    </w:p>
    <w:p w14:paraId="649439EC" w14:textId="0D2D7705" w:rsidR="00F67F23" w:rsidRDefault="00B7553A">
      <w:pPr>
        <w:pStyle w:val="Heading1"/>
        <w:spacing w:before="300" w:after="150"/>
      </w:pPr>
      <w:r>
        <w:t>9. Organisations that support disabled people: Scope</w:t>
      </w:r>
    </w:p>
    <w:p w14:paraId="257EF8A4" w14:textId="77777777" w:rsidR="00F67F23" w:rsidRPr="001650B4" w:rsidRDefault="00000000" w:rsidP="00CD20ED">
      <w:pPr>
        <w:spacing w:after="160"/>
        <w:jc w:val="both"/>
        <w:rPr>
          <w:sz w:val="22"/>
          <w:szCs w:val="22"/>
        </w:rPr>
      </w:pPr>
      <w:r>
        <w:t>Scope is the UK's largest pan-disability equality charity, working towards "everyday equality" for disabled people (Scope, 2026). Its research team produces the annual Disability Price Tag report, used to lobby government for cost-of-living payments (Scope, 2026), and it runs a helpline reaching 3.73 million people a year alongside youth programmes such as Scope for Change (Scope, 2023). Its wider goal is to shift public attitudes: its Disability Perception Gap research evidences the scale of discrimination disabled people face, informing campaigns aimed at employers and government.</w:t>
      </w:r>
    </w:p>
    <w:p w14:paraId="13156041" w14:textId="00557EE6" w:rsidR="00F67F23" w:rsidRDefault="00B7553A">
      <w:pPr>
        <w:pStyle w:val="Heading1"/>
        <w:spacing w:before="300" w:after="150"/>
      </w:pPr>
      <w:r>
        <w:t>10. Conclusion</w:t>
      </w:r>
    </w:p>
    <w:p w14:paraId="361A6BB1" w14:textId="77777777" w:rsidR="00F67F23" w:rsidRPr="001650B4" w:rsidRDefault="00000000" w:rsidP="00CD20ED">
      <w:pPr>
        <w:spacing w:after="160"/>
        <w:jc w:val="both"/>
        <w:rPr>
          <w:sz w:val="22"/>
          <w:szCs w:val="22"/>
        </w:rPr>
      </w:pPr>
      <w:r>
        <w:t>Disabled people in the UK face a distinct and persistent set of health inequalities, from higher rates of mental illness and avoidable death to the compounding effects of poverty and loneliness. These issues are interconnected: financial hardship worsens mental health, and isolation reduces access to support. Legal protections such as the Equality Act 2010 and programmes like LeDeR have improved outcomes, but disabled people continue to die younger and live poorer lives. Closing this gap requires sustained investment and consistent enforcement of existing rights.</w:t>
      </w:r>
    </w:p>
    <w:p w14:paraId="1106BF08" w14:textId="77777777" w:rsidR="001F2371" w:rsidRDefault="001F2371" w:rsidP="00F955E4">
      <w:pPr>
        <w:pStyle w:val="Title"/>
        <w:spacing w:after="40"/>
      </w:pPr>
    </w:p>
    <w:p w14:paraId="279CBF4C" w14:textId="77777777" w:rsidR="002E5289" w:rsidRDefault="002E5289" w:rsidP="00B85BF4">
      <w:pPr>
        <w:pStyle w:val="Title"/>
        <w:spacing w:after="40"/>
        <w:jc w:val="center"/>
      </w:pPr>
    </w:p>
    <w:p w14:paraId="53527960" w14:textId="243530C5" w:rsidR="00B85BF4" w:rsidRDefault="00000000" w:rsidP="00B85BF4">
      <w:pPr>
        <w:pStyle w:val="Title"/>
        <w:spacing w:after="40"/>
        <w:jc w:val="center"/>
      </w:pPr>
      <w:r>
        <w:lastRenderedPageBreak/>
        <w:t>Task 2</w:t>
      </w:r>
    </w:p>
    <w:p w14:paraId="1E0736E3" w14:textId="77777777" w:rsidR="00B85BF4" w:rsidRDefault="00000000" w:rsidP="00B85BF4">
      <w:pPr>
        <w:pStyle w:val="Title"/>
        <w:spacing w:after="40"/>
        <w:jc w:val="center"/>
      </w:pPr>
      <w:r>
        <w:t>Coronary Heart Disease in the London Borough of Newham</w:t>
      </w:r>
    </w:p>
    <w:p w14:paraId="15D1623B" w14:textId="77777777" w:rsidR="00B85BF4" w:rsidRDefault="00000000" w:rsidP="00B85BF4">
      <w:pPr>
        <w:spacing w:after="400"/>
        <w:jc w:val="center"/>
      </w:pPr>
      <w:r>
        <w:rPr>
          <w:i/>
          <w:iCs/>
        </w:rPr>
        <w:t>An Epidemiological Analysis — Regional Epidemiologist Report</w:t>
      </w:r>
    </w:p>
    <w:p w14:paraId="1CB23B04" w14:textId="77777777" w:rsidR="00B85BF4" w:rsidRDefault="00000000" w:rsidP="00B85BF4">
      <w:pPr>
        <w:pStyle w:val="Heading1"/>
        <w:spacing w:before="300" w:after="150"/>
      </w:pPr>
      <w:r>
        <w:t>Introduction</w:t>
      </w:r>
    </w:p>
    <w:p w14:paraId="7C8ECA29" w14:textId="77777777" w:rsidR="00B85BF4" w:rsidRPr="00311FA6" w:rsidRDefault="00000000" w:rsidP="00B85BF4">
      <w:pPr>
        <w:spacing w:after="160"/>
        <w:jc w:val="both"/>
        <w:rPr>
          <w:sz w:val="22"/>
          <w:szCs w:val="22"/>
        </w:rPr>
      </w:pPr>
      <w:r>
        <w:t>Coronary heart disease (CHD), also known as ischaemic heart disease, occurs when the coronary arteries become narrowed or blocked by atherosclerotic plaque, restricting blood flow and oxygen to the heart. It can present as stable angina or acute myocardial infarction, and is frequently complicated by arrhythmia and heart failure. CHD sits within the broader family of cardiovascular disease (CVD), sharing modifiable and non-modifiable risk factors with stroke and peripheral arterial disease.</w:t>
      </w:r>
    </w:p>
    <w:p w14:paraId="0CEE9290" w14:textId="77777777" w:rsidR="00B85BF4" w:rsidRPr="00311FA6" w:rsidRDefault="00000000" w:rsidP="00B85BF4">
      <w:pPr>
        <w:spacing w:after="160"/>
        <w:jc w:val="both"/>
        <w:rPr>
          <w:sz w:val="22"/>
          <w:szCs w:val="22"/>
        </w:rPr>
      </w:pPr>
      <w:r>
        <w:t>The social, cultural and health consequences of CHD are substantial. Beyond the immediate risk of death or disability, CHD reduces quality of life, restricts employment and income, places a caring burden on families, and generates high costs for health and social care systems. Family history of CHD is also associated with a raised risk of vascular dementia, extending its impact across the life course (British Heart Foundation, 2025).</w:t>
      </w:r>
    </w:p>
    <w:p w14:paraId="377967F8" w14:textId="76ED838E" w:rsidR="00B85BF4" w:rsidRPr="00311FA6" w:rsidRDefault="00000000" w:rsidP="00B85BF4">
      <w:pPr>
        <w:spacing w:after="160"/>
        <w:jc w:val="both"/>
        <w:rPr>
          <w:sz w:val="22"/>
          <w:szCs w:val="22"/>
        </w:rPr>
      </w:pPr>
      <w:r>
        <w:t>Globally, CVD is the leading cause of death, responsible for an estimated 19.8 million deaths in 2022, around 32% of all deaths worldwide (World Health Organisation, 2025). Ischaemic heart disease alone accounts for approximately 13% of global deaths, rising from 6.4 million in 2000 to around 9 million in 2021 (World Health Organisation, 2024). In the UK, around 1.9 million people live with CHD in England, and heart disease causes roughly one in six deaths in England — about 90,000 a year. Ischaemic heart disease was the leading cause of death among men in the UK in 2022 (British Heart Foundation, 2025; 2026).</w:t>
      </w:r>
    </w:p>
    <w:p w14:paraId="47965DC6" w14:textId="77777777" w:rsidR="00B85BF4" w:rsidRDefault="00000000" w:rsidP="00B85BF4">
      <w:pPr>
        <w:spacing w:before="100" w:after="200"/>
        <w:jc w:val="center"/>
      </w:pPr>
      <w:r>
        <w:rPr>
          <w:noProof/>
        </w:rPr>
        <w:lastRenderedPageBreak/>
        <w:drawing>
          <wp:inline distT="0" distB="0" distL="0" distR="0" wp14:anchorId="6AE34F9C" wp14:editId="42F97440">
            <wp:extent cx="6181725" cy="30194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a:picLocks noChangeAspect="1" noChangeArrowheads="1"/>
                    </pic:cNvPicPr>
                  </pic:nvPicPr>
                  <pic:blipFill>
                    <a:blip r:embed="rId15">
                      <a:extLst>
                        <a:ext uri="{BEBA8EAE-BF5A-486C-A8C5-ECC9F3942E4B}">
                          <a14:imgProps xmlns:a14="http://schemas.microsoft.com/office/drawing/2010/main">
                            <a14:imgLayer>
                              <a14:imgEffect>
                                <a14:colorTemperature colorTemp="6515"/>
                              </a14:imgEffect>
                            </a14:imgLayer>
                          </a14:imgProps>
                        </a:ext>
                      </a:extLst>
                    </a:blip>
                    <a:stretch>
                      <a:fillRect/>
                    </a:stretch>
                  </pic:blipFill>
                  <pic:spPr bwMode="auto">
                    <a:xfrm>
                      <a:off x="0" y="0"/>
                      <a:ext cx="6181725" cy="3019425"/>
                    </a:xfrm>
                    <a:prstGeom prst="rect">
                      <a:avLst/>
                    </a:prstGeom>
                  </pic:spPr>
                </pic:pic>
              </a:graphicData>
            </a:graphic>
          </wp:inline>
        </w:drawing>
      </w:r>
    </w:p>
    <w:p w14:paraId="6E98561C" w14:textId="049771E0" w:rsidR="00B85BF4" w:rsidRDefault="00000000" w:rsidP="00B85BF4">
      <w:pPr>
        <w:spacing w:after="160"/>
        <w:jc w:val="both"/>
      </w:pPr>
      <w:r>
        <w:t>This report focuses on the London Borough of Newham, an appropriately scaled population for local epidemiological analysis. Newham is one of the most ethnically diverse and deprived boroughs in London. Its JSNA shows Newham has the highest all-age mortality rate and third-highest rate of premature (under-75) mortality of any London borough, with circulatory disease among the leading causes of death (London Borough of Newham, 2025). Its combination of deprivation and a large South Asian and Black African/Caribbean population, ethnic groups known to carry higher genetic and lifestyle-related risk of CHD and hypertension, makes it a population at elevated risk of CHD-related health inequality.</w:t>
      </w:r>
    </w:p>
    <w:p w14:paraId="652C6090" w14:textId="77777777" w:rsidR="00B85BF4" w:rsidRDefault="00000000" w:rsidP="00B85BF4">
      <w:pPr>
        <w:pStyle w:val="Heading1"/>
        <w:spacing w:before="300" w:after="150"/>
      </w:pPr>
      <w:r>
        <w:t>Main Body</w:t>
      </w:r>
    </w:p>
    <w:p w14:paraId="72815FD5" w14:textId="77777777" w:rsidR="00B85BF4" w:rsidRDefault="00000000" w:rsidP="00B85BF4">
      <w:pPr>
        <w:pStyle w:val="Heading1"/>
        <w:spacing w:before="300" w:after="150"/>
      </w:pPr>
      <w:r>
        <w:t>Public Health Measures: Prevention, Promotion and Protection</w:t>
      </w:r>
    </w:p>
    <w:p w14:paraId="68466151" w14:textId="77777777" w:rsidR="00B85BF4" w:rsidRPr="00311FA6" w:rsidRDefault="00000000" w:rsidP="00B85BF4">
      <w:pPr>
        <w:spacing w:after="160"/>
        <w:jc w:val="both"/>
        <w:rPr>
          <w:sz w:val="22"/>
          <w:szCs w:val="22"/>
        </w:rPr>
      </w:pPr>
      <w:r>
        <w:t>Public health responses to CHD in Newham can be organised around the three domains of public health practice, the '3 P's': Prevention, Promotion and Protection.</w:t>
      </w:r>
    </w:p>
    <w:p w14:paraId="6F1052D7" w14:textId="77777777" w:rsidR="00B85BF4" w:rsidRDefault="00000000" w:rsidP="00B85BF4">
      <w:pPr>
        <w:spacing w:before="100" w:after="200"/>
        <w:jc w:val="center"/>
      </w:pPr>
      <w:r>
        <w:rPr>
          <w:noProof/>
        </w:rPr>
        <w:lastRenderedPageBreak/>
        <w:drawing>
          <wp:inline distT="0" distB="0" distL="0" distR="0" wp14:anchorId="0C79E9D0" wp14:editId="403393B8">
            <wp:extent cx="5847715" cy="3733800"/>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a:picLocks noChangeAspect="1" noChangeArrowheads="1"/>
                    </pic:cNvPicPr>
                  </pic:nvPicPr>
                  <pic:blipFill>
                    <a:blip r:embed="rId16">
                      <a:extLst>
                        <a:ext uri="{BEBA8EAE-BF5A-486C-A8C5-ECC9F3942E4B}">
                          <a14:imgProps xmlns:a14="http://schemas.microsoft.com/office/drawing/2010/main">
                            <a14:imgLayer>
                              <a14:imgEffect>
                                <a14:saturation sat="107000"/>
                              </a14:imgEffect>
                            </a14:imgLayer>
                          </a14:imgProps>
                        </a:ext>
                      </a:extLst>
                    </a:blip>
                    <a:stretch>
                      <a:fillRect/>
                    </a:stretch>
                  </pic:blipFill>
                  <pic:spPr bwMode="auto">
                    <a:xfrm>
                      <a:off x="0" y="0"/>
                      <a:ext cx="5850467" cy="3735557"/>
                    </a:xfrm>
                    <a:prstGeom prst="rect">
                      <a:avLst/>
                    </a:prstGeom>
                    <a:blipFill rotWithShape="1">
                      <a:blip r:embed="rId17"/>
                      <a:tile tx="0" ty="0" sx="100000" sy="100000" flip="none" algn="tl"/>
                    </a:blipFill>
                  </pic:spPr>
                </pic:pic>
              </a:graphicData>
            </a:graphic>
          </wp:inline>
        </w:drawing>
      </w:r>
    </w:p>
    <w:p w14:paraId="6046E9F4" w14:textId="77777777" w:rsidR="00B85BF4" w:rsidRPr="00311FA6" w:rsidRDefault="00000000" w:rsidP="00B85BF4">
      <w:pPr>
        <w:spacing w:after="160"/>
        <w:jc w:val="both"/>
        <w:rPr>
          <w:sz w:val="22"/>
          <w:szCs w:val="22"/>
        </w:rPr>
      </w:pPr>
      <w:r>
        <w:t>Prevention refers to clinical and service-based action that reduces the onset, progression or recurrence of disease. The NHS Health Check programme, offered to adults aged 40–74 without existing CVD, is estimated to prevent over 1,600 heart attacks and strokes and around 650 premature CVD deaths a year when delivered as intended (Chang et al., cited in NHS Health Check evaluation literature). The CVDPREVENT audit and QOF extend this by helping GPs identify and manage undiagnosed hypertension, atrial fibrillation and high cholesterol (NHS England, 2026). For those already affected, prevention includes cardiac rehabilitation, revascularisation and integrated heart failure services.</w:t>
      </w:r>
    </w:p>
    <w:p w14:paraId="1B8A2C8E" w14:textId="77777777" w:rsidR="00B85BF4" w:rsidRPr="00311FA6" w:rsidRDefault="00000000" w:rsidP="00B85BF4">
      <w:pPr>
        <w:spacing w:after="160"/>
        <w:jc w:val="both"/>
        <w:rPr>
          <w:sz w:val="22"/>
          <w:szCs w:val="22"/>
        </w:rPr>
      </w:pPr>
      <w:r>
        <w:t>Promotion supports individuals and communities to adopt healthy behaviours, addressing modifiable lifestyle drivers of CHD. In Newham this includes smoking-cessation, weight-management and physical-activity programmes co-designed with the borough's South Asian and Black African/Caribbean communities and delivered through trusted local organisations. Newham's Health and Wellbeing Strategy also addresses upstream drivers such as employment, poverty and green space.</w:t>
      </w:r>
    </w:p>
    <w:p w14:paraId="1EDC012E" w14:textId="77777777" w:rsidR="00B85BF4" w:rsidRPr="00311FA6" w:rsidRDefault="00000000" w:rsidP="00B85BF4">
      <w:pPr>
        <w:spacing w:after="160"/>
        <w:jc w:val="both"/>
        <w:rPr>
          <w:sz w:val="22"/>
          <w:szCs w:val="22"/>
        </w:rPr>
      </w:pPr>
      <w:r>
        <w:t>Protection refers to population-level and regulatory measures that reduce exposure to harm without requiring individual behaviour change: smoke-free legislation, salt and sugar reformulation, and regulation of the food environment. Locally, protection includes wider public-access defibrillator coverage, important given the UK's 40,000-plus annual out-of-hospital cardiac arrests and under-one-in-ten survival rate (British Heart Foundation, 2025), and air quality regulation, since pollution is an established contributor to cardiovascular risk.</w:t>
      </w:r>
    </w:p>
    <w:p w14:paraId="5E883F09" w14:textId="77777777" w:rsidR="002E5289" w:rsidRDefault="002E5289" w:rsidP="00B85BF4">
      <w:pPr>
        <w:pStyle w:val="Heading1"/>
        <w:spacing w:before="300" w:after="150"/>
      </w:pPr>
    </w:p>
    <w:p w14:paraId="79260106" w14:textId="43639642" w:rsidR="00B85BF4" w:rsidRDefault="00000000" w:rsidP="00B85BF4">
      <w:pPr>
        <w:pStyle w:val="Heading1"/>
        <w:spacing w:before="300" w:after="150"/>
      </w:pPr>
      <w:r>
        <w:lastRenderedPageBreak/>
        <w:t>Key Determinants and Risk Factors</w:t>
      </w:r>
    </w:p>
    <w:p w14:paraId="42022FAD" w14:textId="77777777" w:rsidR="00B85BF4" w:rsidRPr="00311FA6" w:rsidRDefault="00000000" w:rsidP="00B85BF4">
      <w:pPr>
        <w:spacing w:after="160"/>
        <w:jc w:val="both"/>
        <w:rPr>
          <w:sz w:val="22"/>
          <w:szCs w:val="22"/>
        </w:rPr>
      </w:pPr>
      <w:r>
        <w:t>CHD risk factors divide into non-modifiable (age, male sex, family history and ethnicity — South Asian and Black African/Caribbean populations, well represented in Newham, carry higher CHD and hypertension risk) and modifiable factors: smoking, inactivity, poor diet, obesity, alcohol, hypertension, dyslipidaemia and diabetes, which affects over 5.8 million people in the UK, around a million undiagnosed (British Heart Foundation, 2025b). Deprivation is a cross-cutting determinant: less deprived patients had more complete CVD risk-factor recording than more deprived patients, an 'inverse care law' whereby those at greatest risk are least likely to be screened (Lang et al., 2016).</w:t>
      </w:r>
    </w:p>
    <w:p w14:paraId="68EBDA49" w14:textId="77777777" w:rsidR="00B85BF4" w:rsidRDefault="00000000" w:rsidP="00B85BF4">
      <w:pPr>
        <w:spacing w:before="100" w:after="200"/>
        <w:jc w:val="center"/>
      </w:pPr>
      <w:r>
        <w:rPr>
          <w:noProof/>
        </w:rPr>
        <w:drawing>
          <wp:inline distT="0" distB="0" distL="0" distR="0" wp14:anchorId="2100635E" wp14:editId="14267096">
            <wp:extent cx="5437505" cy="34385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a:picLocks noChangeAspect="1" noChangeArrowheads="1"/>
                    </pic:cNvPicPr>
                  </pic:nvPicPr>
                  <pic:blipFill>
                    <a:blip r:embed="rId18"/>
                    <a:stretch>
                      <a:fillRect/>
                    </a:stretch>
                  </pic:blipFill>
                  <pic:spPr bwMode="auto">
                    <a:xfrm>
                      <a:off x="0" y="0"/>
                      <a:ext cx="5466127" cy="3456625"/>
                    </a:xfrm>
                    <a:prstGeom prst="rect">
                      <a:avLst/>
                    </a:prstGeom>
                  </pic:spPr>
                </pic:pic>
              </a:graphicData>
            </a:graphic>
          </wp:inline>
        </w:drawing>
      </w:r>
    </w:p>
    <w:p w14:paraId="5EB79A45" w14:textId="4711AD62" w:rsidR="002E5289" w:rsidRDefault="00000000" w:rsidP="002E5289">
      <w:pPr>
        <w:spacing w:before="100" w:after="200"/>
        <w:jc w:val="center"/>
      </w:pPr>
      <w:r>
        <w:rPr>
          <w:noProof/>
        </w:rPr>
        <w:drawing>
          <wp:inline distT="0" distB="0" distL="0" distR="0" wp14:anchorId="7F4552D5" wp14:editId="63CCE8F3">
            <wp:extent cx="3238500" cy="26860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a:picLocks noChangeAspect="1" noChangeArrowheads="1"/>
                    </pic:cNvPicPr>
                  </pic:nvPicPr>
                  <pic:blipFill>
                    <a:blip r:embed="rId19"/>
                    <a:stretch>
                      <a:fillRect/>
                    </a:stretch>
                  </pic:blipFill>
                  <pic:spPr bwMode="auto">
                    <a:xfrm>
                      <a:off x="0" y="0"/>
                      <a:ext cx="3238500" cy="2686050"/>
                    </a:xfrm>
                    <a:prstGeom prst="rect">
                      <a:avLst/>
                    </a:prstGeom>
                  </pic:spPr>
                </pic:pic>
              </a:graphicData>
            </a:graphic>
          </wp:inline>
        </w:drawing>
      </w:r>
    </w:p>
    <w:p w14:paraId="233CB730" w14:textId="2BE72D0A" w:rsidR="00B85BF4" w:rsidRDefault="00000000" w:rsidP="00B85BF4">
      <w:pPr>
        <w:pStyle w:val="Heading1"/>
        <w:spacing w:before="300" w:after="150"/>
      </w:pPr>
      <w:r>
        <w:lastRenderedPageBreak/>
        <w:t>Epidemiological Studies and Health Needs Assessment</w:t>
      </w:r>
    </w:p>
    <w:p w14:paraId="6B4C7DA8" w14:textId="77777777" w:rsidR="00B85BF4" w:rsidRPr="00311FA6" w:rsidRDefault="00000000" w:rsidP="00B85BF4">
      <w:pPr>
        <w:spacing w:after="160"/>
        <w:jc w:val="both"/>
        <w:rPr>
          <w:sz w:val="22"/>
          <w:szCs w:val="22"/>
        </w:rPr>
      </w:pPr>
      <w:r>
        <w:t>A Joint Strategic Needs Assessment (JSNA) is the statutory process through which local authorities identify current and future health needs, examining wider determinants such as poverty and housing alongside behavioural risk factors (Leicester City Council, 2024a). Newham's JSNA has identified circulatory disease as a leading local cause of death and a widening life-expectancy gap between its best- and worst-performing wards, prioritising CVD prevention within its '50 Steps' strategy (London Borough of Newham, 2025).</w:t>
      </w:r>
    </w:p>
    <w:p w14:paraId="707D9256" w14:textId="77777777" w:rsidR="00B85BF4" w:rsidRPr="00311FA6" w:rsidRDefault="00000000" w:rsidP="00B85BF4">
      <w:pPr>
        <w:spacing w:after="160"/>
        <w:jc w:val="both"/>
        <w:rPr>
          <w:sz w:val="22"/>
          <w:szCs w:val="22"/>
        </w:rPr>
      </w:pPr>
      <w:r>
        <w:t>At national level, the NHS Core20PLUS5 framework directs resources toward the most deprived 20% of the population and five clinical priorities, including hypertension case-finding, to reduce the gap between estimated CHD/hypertension prevalence and recorded diagnosis (Leicester City Council, 2024b). GP registers and QOF data, by deprivation decile, let commissioners target this activity toward areas such as Newham.</w:t>
      </w:r>
    </w:p>
    <w:p w14:paraId="1C63D445" w14:textId="77777777" w:rsidR="00B85BF4" w:rsidRDefault="00000000" w:rsidP="00B85BF4">
      <w:pPr>
        <w:pStyle w:val="Heading1"/>
        <w:spacing w:before="300" w:after="150"/>
      </w:pPr>
      <w:r>
        <w:t>Surveillance and Monitoring Systems</w:t>
      </w:r>
    </w:p>
    <w:p w14:paraId="3CD32B9D" w14:textId="77777777" w:rsidR="00B85BF4" w:rsidRPr="00311FA6" w:rsidRDefault="00000000" w:rsidP="00B85BF4">
      <w:pPr>
        <w:spacing w:after="160"/>
        <w:jc w:val="both"/>
        <w:rPr>
          <w:sz w:val="22"/>
          <w:szCs w:val="22"/>
        </w:rPr>
      </w:pPr>
      <w:r>
        <w:t>Multiple surveillance systems monitor CHD in England. Mortality is tracked through ONS death registrations coded to ICD-10. Morbidity and risk-factor prevalence are captured through QOF disease registers and the CVDPREVENT audit, which links quarterly GP data to Hospital Episode Statistics and mortality data across the care pathway (NHS England, 2026). The Health Survey for England provides biomarker data, and the OHID Fingertips tool publishes small-area indicators letting Newham benchmark local outcomes. Globally, the WHO Global Health Estimates and Global Burden of Disease study compare CHD burden between countries (World Health Organisation, 2024).</w:t>
      </w:r>
    </w:p>
    <w:p w14:paraId="0C3D09FE" w14:textId="77777777" w:rsidR="00B85BF4" w:rsidRDefault="00000000" w:rsidP="00B85BF4">
      <w:pPr>
        <w:spacing w:before="100" w:after="200"/>
        <w:jc w:val="center"/>
      </w:pPr>
      <w:r>
        <w:rPr>
          <w:noProof/>
        </w:rPr>
        <w:drawing>
          <wp:inline distT="0" distB="0" distL="0" distR="0" wp14:anchorId="6FC67602" wp14:editId="2BAA0F48">
            <wp:extent cx="6115050" cy="21431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a:picLocks noChangeAspect="1" noChangeArrowheads="1"/>
                    </pic:cNvPicPr>
                  </pic:nvPicPr>
                  <pic:blipFill>
                    <a:blip r:embed="rId20"/>
                    <a:srcRect b="12790"/>
                    <a:stretch>
                      <a:fillRect/>
                    </a:stretch>
                  </pic:blipFill>
                  <pic:spPr bwMode="auto">
                    <a:xfrm>
                      <a:off x="0" y="0"/>
                      <a:ext cx="6115050" cy="2143125"/>
                    </a:xfrm>
                    <a:prstGeom prst="rect">
                      <a:avLst/>
                    </a:prstGeom>
                    <a:ln>
                      <a:noFill/>
                    </a:ln>
                    <a:extLst>
                      <a:ext uri="{53640926-AAD7-44D8-BBD7-CCE9431645EC}">
                        <a14:shadowObscured xmlns:a14="http://schemas.microsoft.com/office/drawing/2010/main"/>
                      </a:ext>
                    </a:extLst>
                  </pic:spPr>
                </pic:pic>
              </a:graphicData>
            </a:graphic>
          </wp:inline>
        </w:drawing>
      </w:r>
    </w:p>
    <w:p w14:paraId="1CB51497" w14:textId="77777777" w:rsidR="00B85BF4" w:rsidRDefault="00000000" w:rsidP="00B85BF4">
      <w:pPr>
        <w:pStyle w:val="Heading1"/>
        <w:spacing w:before="300" w:after="150"/>
      </w:pPr>
      <w:r>
        <w:t>Public Health Impact: Short- and Long-Term Consequences</w:t>
      </w:r>
    </w:p>
    <w:p w14:paraId="35CF84A4" w14:textId="7EF9D4AB" w:rsidR="00B7553A" w:rsidRPr="00F955E4" w:rsidRDefault="00000000" w:rsidP="00F955E4">
      <w:pPr>
        <w:spacing w:after="160"/>
        <w:jc w:val="both"/>
        <w:rPr>
          <w:sz w:val="22"/>
          <w:szCs w:val="22"/>
        </w:rPr>
      </w:pPr>
      <w:r>
        <w:t>In the short term, CHD generates acute demand on emergency services: over 40,000 out-of-hospital cardiac arrests occur annually in the UK, with survival below one in ten (British Heart Foundation, 2025), and acute admissions cause sudden loss of income for working-age residents in a borough where in-</w:t>
      </w:r>
      <w:r>
        <w:lastRenderedPageBreak/>
        <w:t>work poverty is already high. In the longer term, CHD contributes to chronic disability, heart failure and vascular dementia risk, alongside rising treatment costs. Because deprivation and ethnicity are both associated with poorer risk-factor detection, the long-term burden falls disproportionately on communities such as Newham, reinforcing cycles of health inequality.</w:t>
      </w:r>
    </w:p>
    <w:p w14:paraId="5E238659" w14:textId="1E90D887" w:rsidR="00B85BF4" w:rsidRDefault="00000000" w:rsidP="00B85BF4">
      <w:pPr>
        <w:pStyle w:val="Heading1"/>
        <w:spacing w:before="300" w:after="150"/>
      </w:pPr>
      <w:r>
        <w:t>Design and Evaluation of a Health Intervention Programme</w:t>
      </w:r>
    </w:p>
    <w:p w14:paraId="13E5E764" w14:textId="77777777" w:rsidR="00B85BF4" w:rsidRPr="00311FA6" w:rsidRDefault="00000000" w:rsidP="00B85BF4">
      <w:pPr>
        <w:spacing w:after="160"/>
        <w:jc w:val="both"/>
        <w:rPr>
          <w:sz w:val="22"/>
          <w:szCs w:val="22"/>
        </w:rPr>
      </w:pPr>
      <w:r>
        <w:t>A targeted, multi-component CHD prevention programme for Newham could combine:</w:t>
      </w:r>
    </w:p>
    <w:p w14:paraId="75EA9FBF" w14:textId="77777777" w:rsidR="00B85BF4" w:rsidRPr="00311FA6" w:rsidRDefault="00000000" w:rsidP="00B85BF4">
      <w:pPr>
        <w:spacing w:after="160"/>
        <w:jc w:val="both"/>
        <w:rPr>
          <w:sz w:val="22"/>
          <w:szCs w:val="22"/>
        </w:rPr>
      </w:pPr>
      <w:r>
        <w:t>(1) proactive, multilingual NHS Health Check and hypertension/atrial-fibrillation case-finding in the most deprived wards, using CVDPREVENT and QOF data in line with Core20PLUS5;</w:t>
      </w:r>
    </w:p>
    <w:p w14:paraId="44FF59F9" w14:textId="77777777" w:rsidR="00B85BF4" w:rsidRPr="00311FA6" w:rsidRDefault="00000000" w:rsidP="00B85BF4">
      <w:pPr>
        <w:spacing w:after="160"/>
        <w:jc w:val="both"/>
        <w:rPr>
          <w:sz w:val="22"/>
          <w:szCs w:val="22"/>
        </w:rPr>
      </w:pPr>
      <w:r>
        <w:t>(2) culturally tailored smoking-cessation, weight-management and physical-activity programmes co-designed with local communities and delivered through trusted organisations;</w:t>
      </w:r>
    </w:p>
    <w:p w14:paraId="132B7B67" w14:textId="77777777" w:rsidR="00B85BF4" w:rsidRPr="00311FA6" w:rsidRDefault="00000000" w:rsidP="00B85BF4">
      <w:pPr>
        <w:spacing w:after="160"/>
        <w:jc w:val="both"/>
        <w:rPr>
          <w:sz w:val="22"/>
          <w:szCs w:val="22"/>
        </w:rPr>
      </w:pPr>
      <w:r>
        <w:t>(3) upstream action on housing, employment and the local food environment;</w:t>
      </w:r>
    </w:p>
    <w:p w14:paraId="0629DF03" w14:textId="77777777" w:rsidR="00B85BF4" w:rsidRPr="00311FA6" w:rsidRDefault="00000000" w:rsidP="00B85BF4">
      <w:pPr>
        <w:spacing w:after="160"/>
        <w:jc w:val="both"/>
        <w:rPr>
          <w:sz w:val="22"/>
          <w:szCs w:val="22"/>
        </w:rPr>
      </w:pPr>
      <w:r>
        <w:t>(4) strengthened clinical pathways, including optimised prescribing and expanded public-access defibrillator coverage.</w:t>
      </w:r>
    </w:p>
    <w:p w14:paraId="0AF11A31" w14:textId="7B7941B3" w:rsidR="00DA6A3F" w:rsidRPr="00B7553A" w:rsidRDefault="00000000" w:rsidP="00B7553A">
      <w:pPr>
        <w:spacing w:after="160"/>
        <w:jc w:val="both"/>
        <w:rPr>
          <w:sz w:val="22"/>
          <w:szCs w:val="22"/>
        </w:rPr>
      </w:pPr>
      <w:r>
        <w:t>Evaluation should combine process measures (Health Check uptake, treatment-target attainment, tracked via CVDPREVENT) with outcome measures (CHD incidence, premature mortality, emergency admissions, tracked via ONS and Hospital Episode Statistics), disaggregated by deprivation and ethnicity to confirm whether the inequalities gap is narrowing. An economic evaluation, expressing outcomes in quality-adjusted life years against NICE's £20,000-per-QALY threshold, would mirror the microsimulation approach previously used to model NHS Health Check cost-effectiveness and equity in a comparably deprived UK city (Kypridemos et al., cited in NHS Health Check modelling literature).</w:t>
      </w:r>
    </w:p>
    <w:p w14:paraId="019DCD8B" w14:textId="2AAB5BE5" w:rsidR="00B85BF4" w:rsidRDefault="00000000" w:rsidP="00B85BF4">
      <w:pPr>
        <w:pStyle w:val="Heading1"/>
        <w:spacing w:before="300" w:after="150"/>
      </w:pPr>
      <w:r>
        <w:t>Strengths and Weaknesses of the Epidemiological Approach</w:t>
      </w:r>
    </w:p>
    <w:p w14:paraId="1DE3108F" w14:textId="798F5DE1" w:rsidR="00B85BF4" w:rsidRPr="00311FA6" w:rsidRDefault="00000000" w:rsidP="00B85BF4">
      <w:pPr>
        <w:spacing w:after="160"/>
        <w:jc w:val="both"/>
        <w:rPr>
          <w:sz w:val="22"/>
          <w:szCs w:val="22"/>
        </w:rPr>
      </w:pPr>
      <w:r>
        <w:t>This approach draws heavily on routine data sources — QOF, CVDPREVENT, ONS mortality statistics and Hospital Episode Statistics — which offer low-cost, near real-time, population-wide coverage without new primary data collection, and can be linked down to practice level to target resources precisely, a significant strength for a resource-constrained regional public health function.</w:t>
      </w:r>
    </w:p>
    <w:p w14:paraId="0A18CE5E" w14:textId="0C118238" w:rsidR="00826F9A" w:rsidRPr="00B7553A" w:rsidRDefault="00000000" w:rsidP="00B7553A">
      <w:pPr>
        <w:spacing w:after="160"/>
        <w:jc w:val="both"/>
        <w:rPr>
          <w:sz w:val="22"/>
          <w:szCs w:val="22"/>
        </w:rPr>
      </w:pPr>
      <w:r>
        <w:t>However, the approach has notable limitations. Routine primary-care data depend on accurate coding, and deprived populations are frequently under-screened, so recorded CHD prevalence may understate true burden in boroughs such as Newham — the inverse care law identified by Lang et al. (2016). Population surveys are subject to recall and social-desirability bias, and global modelled estimates rely on assumptions of varying quality. Critically, cross-sectional data are observational and cannot alone establish causal pathways between deprivation, ethnicity and CHD risk, and evaluations of interventions such as the NHS Health Check have been limited by the absence of randomised controlled trial evidence.</w:t>
      </w:r>
    </w:p>
    <w:p w14:paraId="14C53A24" w14:textId="3366CED0" w:rsidR="00B85BF4" w:rsidRDefault="00000000" w:rsidP="00B85BF4">
      <w:pPr>
        <w:pStyle w:val="Heading1"/>
        <w:spacing w:before="300" w:after="150"/>
      </w:pPr>
      <w:r>
        <w:lastRenderedPageBreak/>
        <w:t>Conclusion</w:t>
      </w:r>
    </w:p>
    <w:p w14:paraId="6D542EC9" w14:textId="77777777" w:rsidR="00B85BF4" w:rsidRPr="00311FA6" w:rsidRDefault="00000000" w:rsidP="00311FA6">
      <w:pPr>
        <w:spacing w:after="160"/>
        <w:jc w:val="both"/>
        <w:rPr>
          <w:sz w:val="22"/>
          <w:szCs w:val="22"/>
        </w:rPr>
      </w:pPr>
      <w:r>
        <w:t>CHD remains one of the largest single causes of death and disability both globally and in the UK, and its burden is not evenly distributed: deprivation, ethnicity and geography combine to concentrate risk in populations such as those in Newham. Addressing this requires action across Prevention, Promotion and Protection, underpinned by robust surveillance and by health needs assessment processes such as the JSNA that translate epidemiological evidence into targeted intervention. Routine data systems offer an efficient evidence base, but their limitations mean reducing CHD-related health inequality will depend as much on how equitably services reach at-risk populations as on the data itself.</w:t>
      </w:r>
    </w:p>
    <w:p w14:paraId="43AFA280" w14:textId="77777777" w:rsidR="00B85BF4" w:rsidRDefault="00B85BF4" w:rsidP="00CD20ED">
      <w:pPr>
        <w:spacing w:after="160"/>
        <w:jc w:val="both"/>
      </w:pPr>
    </w:p>
    <w:p w14:paraId="2EA2231E" w14:textId="315BDC53" w:rsidR="00F67F23" w:rsidRDefault="00000000">
      <w:pPr>
        <w:pStyle w:val="Heading1"/>
        <w:spacing w:before="300" w:after="150"/>
      </w:pPr>
      <w:r>
        <w:t xml:space="preserve"> Reference list</w:t>
      </w:r>
      <w:r w:rsidR="001650B4">
        <w:t xml:space="preserve"> Task 1</w:t>
      </w:r>
    </w:p>
    <w:p w14:paraId="1D2A0A1F" w14:textId="77777777" w:rsidR="00F67F23" w:rsidRPr="00311FA6" w:rsidRDefault="00000000" w:rsidP="00311FA6">
      <w:pPr>
        <w:pStyle w:val="ListParagraph"/>
        <w:numPr>
          <w:ilvl w:val="0"/>
          <w:numId w:val="2"/>
        </w:numPr>
        <w:spacing w:after="160"/>
        <w:rPr>
          <w:sz w:val="22"/>
          <w:szCs w:val="22"/>
        </w:rPr>
      </w:pPr>
      <w:r w:rsidRPr="00311FA6">
        <w:rPr>
          <w:sz w:val="22"/>
          <w:szCs w:val="22"/>
        </w:rPr>
        <w:t xml:space="preserve">Heslop, P., Read, S. and Dunwoodie Stirton, F. (2018). 'The hospital provision of reasonable adjustments for people with learning disabilities: findings from Freedom of Information requests', </w:t>
      </w:r>
      <w:r w:rsidRPr="00311FA6">
        <w:rPr>
          <w:i/>
          <w:iCs/>
          <w:sz w:val="22"/>
          <w:szCs w:val="22"/>
        </w:rPr>
        <w:t>British Journal of Learning Disabilities</w:t>
      </w:r>
      <w:r w:rsidRPr="00311FA6">
        <w:rPr>
          <w:sz w:val="22"/>
          <w:szCs w:val="22"/>
        </w:rPr>
        <w:t>, 46(4), pp. 258–267. Available at: https://onlinelibrary.wiley.com/doi/abs/10.1111/bld.12244 (Accessed: 16 August 2026).</w:t>
      </w:r>
    </w:p>
    <w:p w14:paraId="70D30107" w14:textId="77777777" w:rsidR="00F67F23" w:rsidRPr="00311FA6" w:rsidRDefault="00000000" w:rsidP="00311FA6">
      <w:pPr>
        <w:pStyle w:val="ListParagraph"/>
        <w:numPr>
          <w:ilvl w:val="0"/>
          <w:numId w:val="2"/>
        </w:numPr>
        <w:spacing w:after="160"/>
        <w:rPr>
          <w:sz w:val="22"/>
          <w:szCs w:val="22"/>
        </w:rPr>
      </w:pPr>
      <w:r w:rsidRPr="00311FA6">
        <w:rPr>
          <w:sz w:val="22"/>
          <w:szCs w:val="22"/>
        </w:rPr>
        <w:t xml:space="preserve">Campaign to End Loneliness (2023) </w:t>
      </w:r>
      <w:r w:rsidRPr="00311FA6">
        <w:rPr>
          <w:i/>
          <w:iCs/>
          <w:sz w:val="22"/>
          <w:szCs w:val="22"/>
        </w:rPr>
        <w:t>How can we combat loneliness and social isolation amongst disabled people?</w:t>
      </w:r>
      <w:r w:rsidRPr="00311FA6">
        <w:rPr>
          <w:sz w:val="22"/>
          <w:szCs w:val="22"/>
        </w:rPr>
        <w:t xml:space="preserve"> Available at: https://www.campaigntoendloneliness.org/disability-and-loneliness/ (Accessed: 16 August 2026).</w:t>
      </w:r>
    </w:p>
    <w:p w14:paraId="69DB6B77" w14:textId="77777777" w:rsidR="00F67F23" w:rsidRPr="00311FA6" w:rsidRDefault="00000000" w:rsidP="00311FA6">
      <w:pPr>
        <w:pStyle w:val="ListParagraph"/>
        <w:numPr>
          <w:ilvl w:val="0"/>
          <w:numId w:val="2"/>
        </w:numPr>
        <w:spacing w:after="160"/>
        <w:rPr>
          <w:sz w:val="22"/>
          <w:szCs w:val="22"/>
        </w:rPr>
      </w:pPr>
      <w:r w:rsidRPr="00311FA6">
        <w:rPr>
          <w:sz w:val="22"/>
          <w:szCs w:val="22"/>
        </w:rPr>
        <w:t>Equality Act 2010, s.6. Available at: https://www.legislation.gov.uk/ukpga/2010/15/section/6 (Accessed: 16 August 2026).</w:t>
      </w:r>
    </w:p>
    <w:p w14:paraId="21B6B33C" w14:textId="77777777" w:rsidR="00F67F23" w:rsidRPr="00311FA6" w:rsidRDefault="00000000" w:rsidP="00311FA6">
      <w:pPr>
        <w:pStyle w:val="ListParagraph"/>
        <w:numPr>
          <w:ilvl w:val="0"/>
          <w:numId w:val="2"/>
        </w:numPr>
        <w:spacing w:after="160"/>
        <w:rPr>
          <w:sz w:val="22"/>
          <w:szCs w:val="22"/>
        </w:rPr>
      </w:pPr>
      <w:r w:rsidRPr="00311FA6">
        <w:rPr>
          <w:sz w:val="22"/>
          <w:szCs w:val="22"/>
        </w:rPr>
        <w:t xml:space="preserve">House of Commons Library (2026) </w:t>
      </w:r>
      <w:r w:rsidRPr="00311FA6">
        <w:rPr>
          <w:i/>
          <w:iCs/>
          <w:sz w:val="22"/>
          <w:szCs w:val="22"/>
        </w:rPr>
        <w:t>Disabled people in employment.</w:t>
      </w:r>
      <w:r w:rsidRPr="00311FA6">
        <w:rPr>
          <w:sz w:val="22"/>
          <w:szCs w:val="22"/>
        </w:rPr>
        <w:t xml:space="preserve"> Research briefing CBP-7540. Available at: https://commonslibrary.parliament.uk/research-briefings/cbp-7540/ (Accessed: 16 August 2026).</w:t>
      </w:r>
    </w:p>
    <w:p w14:paraId="7906DA10" w14:textId="77777777" w:rsidR="00F67F23" w:rsidRPr="00311FA6" w:rsidRDefault="00000000" w:rsidP="00311FA6">
      <w:pPr>
        <w:pStyle w:val="ListParagraph"/>
        <w:numPr>
          <w:ilvl w:val="0"/>
          <w:numId w:val="2"/>
        </w:numPr>
        <w:spacing w:after="160"/>
        <w:rPr>
          <w:sz w:val="22"/>
          <w:szCs w:val="22"/>
        </w:rPr>
      </w:pPr>
      <w:r w:rsidRPr="00311FA6">
        <w:rPr>
          <w:sz w:val="22"/>
          <w:szCs w:val="22"/>
        </w:rPr>
        <w:t xml:space="preserve">House of Commons Work and Pensions Committee (2026) </w:t>
      </w:r>
      <w:r w:rsidRPr="00311FA6">
        <w:rPr>
          <w:i/>
          <w:iCs/>
          <w:sz w:val="22"/>
          <w:szCs w:val="22"/>
        </w:rPr>
        <w:t>Employment support for disabled people: Disability at Work.</w:t>
      </w:r>
      <w:r w:rsidRPr="00311FA6">
        <w:rPr>
          <w:sz w:val="22"/>
          <w:szCs w:val="22"/>
        </w:rPr>
        <w:t xml:space="preserve"> Available at: https://publications.parliament.uk/pa/cm5901/cmselect/cmworpen/1227/report.html (Accessed: 16 August 2026).</w:t>
      </w:r>
    </w:p>
    <w:p w14:paraId="16E88CC7" w14:textId="77777777" w:rsidR="00F67F23" w:rsidRPr="00311FA6" w:rsidRDefault="00000000" w:rsidP="00311FA6">
      <w:pPr>
        <w:pStyle w:val="ListParagraph"/>
        <w:numPr>
          <w:ilvl w:val="0"/>
          <w:numId w:val="2"/>
        </w:numPr>
        <w:spacing w:after="160"/>
        <w:rPr>
          <w:sz w:val="22"/>
          <w:szCs w:val="22"/>
        </w:rPr>
      </w:pPr>
      <w:r w:rsidRPr="00311FA6">
        <w:rPr>
          <w:sz w:val="22"/>
          <w:szCs w:val="22"/>
        </w:rPr>
        <w:t xml:space="preserve">House of Lords Library (2024) </w:t>
      </w:r>
      <w:r w:rsidRPr="00311FA6">
        <w:rPr>
          <w:i/>
          <w:iCs/>
          <w:sz w:val="22"/>
          <w:szCs w:val="22"/>
        </w:rPr>
        <w:t>Challenges faced by people with disabilities.</w:t>
      </w:r>
      <w:r w:rsidRPr="00311FA6">
        <w:rPr>
          <w:sz w:val="22"/>
          <w:szCs w:val="22"/>
        </w:rPr>
        <w:t xml:space="preserve"> Available at: https://lordslibrary.parliament.uk/challenges-faced-by-people-with-disabilities/ (Accessed: 16 August 2026).</w:t>
      </w:r>
    </w:p>
    <w:p w14:paraId="726D7699" w14:textId="77777777" w:rsidR="00F67F23" w:rsidRPr="00311FA6" w:rsidRDefault="00000000" w:rsidP="00311FA6">
      <w:pPr>
        <w:pStyle w:val="ListParagraph"/>
        <w:numPr>
          <w:ilvl w:val="0"/>
          <w:numId w:val="2"/>
        </w:numPr>
        <w:spacing w:after="160"/>
        <w:rPr>
          <w:sz w:val="22"/>
          <w:szCs w:val="22"/>
        </w:rPr>
      </w:pPr>
      <w:r w:rsidRPr="00311FA6">
        <w:rPr>
          <w:sz w:val="22"/>
          <w:szCs w:val="22"/>
        </w:rPr>
        <w:lastRenderedPageBreak/>
        <w:t xml:space="preserve">Joseph Rowntree Foundation (2026) </w:t>
      </w:r>
      <w:r w:rsidRPr="00311FA6">
        <w:rPr>
          <w:i/>
          <w:iCs/>
          <w:sz w:val="22"/>
          <w:szCs w:val="22"/>
        </w:rPr>
        <w:t>UK Poverty 2026: The essential guide to understanding poverty in the UK.</w:t>
      </w:r>
      <w:r w:rsidRPr="00311FA6">
        <w:rPr>
          <w:sz w:val="22"/>
          <w:szCs w:val="22"/>
        </w:rPr>
        <w:t xml:space="preserve"> Available at: https://www.jrf.org.uk/uk-poverty-2026-the-essential-guide-to-understanding-poverty-in-the-uk (Accessed: 16 August 2026).</w:t>
      </w:r>
    </w:p>
    <w:p w14:paraId="6C6BB049" w14:textId="77777777" w:rsidR="00F67F23" w:rsidRPr="00311FA6" w:rsidRDefault="00000000" w:rsidP="00311FA6">
      <w:pPr>
        <w:pStyle w:val="ListParagraph"/>
        <w:numPr>
          <w:ilvl w:val="0"/>
          <w:numId w:val="2"/>
        </w:numPr>
        <w:spacing w:after="160"/>
        <w:rPr>
          <w:sz w:val="22"/>
          <w:szCs w:val="22"/>
        </w:rPr>
      </w:pPr>
      <w:r w:rsidRPr="00311FA6">
        <w:rPr>
          <w:sz w:val="22"/>
          <w:szCs w:val="22"/>
        </w:rPr>
        <w:t xml:space="preserve">Learning Disability Today (2024) </w:t>
      </w:r>
      <w:r w:rsidRPr="00311FA6">
        <w:rPr>
          <w:i/>
          <w:iCs/>
          <w:sz w:val="22"/>
          <w:szCs w:val="22"/>
        </w:rPr>
        <w:t>Diagnostic overshadowing and learning disability: can we help clinicians get it right?</w:t>
      </w:r>
      <w:r w:rsidRPr="00311FA6">
        <w:rPr>
          <w:sz w:val="22"/>
          <w:szCs w:val="22"/>
        </w:rPr>
        <w:t xml:space="preserve"> Available at: https://www.learningdisabilitytoday.co.uk/topic/health/diagnostic-overshadowing-and-learning-disability-can-we-help-clinicians-get-it-right/ (Accessed: 16 August 2026).</w:t>
      </w:r>
    </w:p>
    <w:p w14:paraId="7A56BF27" w14:textId="77777777" w:rsidR="00F67F23" w:rsidRPr="00311FA6" w:rsidRDefault="00000000" w:rsidP="00311FA6">
      <w:pPr>
        <w:pStyle w:val="ListParagraph"/>
        <w:numPr>
          <w:ilvl w:val="0"/>
          <w:numId w:val="2"/>
        </w:numPr>
        <w:spacing w:after="160"/>
        <w:rPr>
          <w:sz w:val="22"/>
          <w:szCs w:val="22"/>
        </w:rPr>
      </w:pPr>
      <w:r w:rsidRPr="00311FA6">
        <w:rPr>
          <w:sz w:val="22"/>
          <w:szCs w:val="22"/>
        </w:rPr>
        <w:t xml:space="preserve">Learning Disability Today (2026) </w:t>
      </w:r>
      <w:r w:rsidRPr="00311FA6">
        <w:rPr>
          <w:i/>
          <w:iCs/>
          <w:sz w:val="22"/>
          <w:szCs w:val="22"/>
        </w:rPr>
        <w:t>LeDeR programme publishes its last report and shows small drop in avoidable deaths.</w:t>
      </w:r>
      <w:r w:rsidRPr="00311FA6">
        <w:rPr>
          <w:sz w:val="22"/>
          <w:szCs w:val="22"/>
        </w:rPr>
        <w:t xml:space="preserve"> Available at: https://www.learningdisabilitytoday.co.uk/news/latest-leder-report-shows-small-drop-in-avoidable-deaths-among-people-with-learning-disabilities/ (Accessed: 16 August 2026).</w:t>
      </w:r>
    </w:p>
    <w:p w14:paraId="6CF024E4" w14:textId="77777777" w:rsidR="00F67F23" w:rsidRPr="00311FA6" w:rsidRDefault="00000000" w:rsidP="00311FA6">
      <w:pPr>
        <w:pStyle w:val="ListParagraph"/>
        <w:numPr>
          <w:ilvl w:val="0"/>
          <w:numId w:val="2"/>
        </w:numPr>
        <w:spacing w:after="160"/>
        <w:rPr>
          <w:sz w:val="22"/>
          <w:szCs w:val="22"/>
        </w:rPr>
      </w:pPr>
      <w:r w:rsidRPr="00311FA6">
        <w:rPr>
          <w:sz w:val="22"/>
          <w:szCs w:val="22"/>
        </w:rPr>
        <w:t xml:space="preserve">Local Government Association (2023) </w:t>
      </w:r>
      <w:r w:rsidRPr="00311FA6">
        <w:rPr>
          <w:i/>
          <w:iCs/>
          <w:sz w:val="22"/>
          <w:szCs w:val="22"/>
        </w:rPr>
        <w:t>Learning from Life and Death Reviews of people with a learning disability and autistic people (LeDeR).</w:t>
      </w:r>
      <w:r w:rsidRPr="00311FA6">
        <w:rPr>
          <w:sz w:val="22"/>
          <w:szCs w:val="22"/>
        </w:rPr>
        <w:t xml:space="preserve"> Available at: https://www.local.gov.uk/parliament/briefings-and-responses/learning-life-and-death-reviews-people-learning-disability-and (Accessed: 16 August 2026).</w:t>
      </w:r>
    </w:p>
    <w:p w14:paraId="53C4240E" w14:textId="77777777" w:rsidR="00F67F23" w:rsidRPr="00311FA6" w:rsidRDefault="00000000" w:rsidP="00311FA6">
      <w:pPr>
        <w:pStyle w:val="ListParagraph"/>
        <w:numPr>
          <w:ilvl w:val="0"/>
          <w:numId w:val="2"/>
        </w:numPr>
        <w:spacing w:after="160"/>
        <w:rPr>
          <w:sz w:val="22"/>
          <w:szCs w:val="22"/>
        </w:rPr>
      </w:pPr>
      <w:r w:rsidRPr="00311FA6">
        <w:rPr>
          <w:sz w:val="22"/>
          <w:szCs w:val="22"/>
        </w:rPr>
        <w:t xml:space="preserve">Mental Health Foundation (2025) </w:t>
      </w:r>
      <w:r w:rsidRPr="00311FA6">
        <w:rPr>
          <w:i/>
          <w:iCs/>
          <w:sz w:val="22"/>
          <w:szCs w:val="22"/>
        </w:rPr>
        <w:t>People with physical health conditions: statistics.</w:t>
      </w:r>
      <w:r w:rsidRPr="00311FA6">
        <w:rPr>
          <w:sz w:val="22"/>
          <w:szCs w:val="22"/>
        </w:rPr>
        <w:t xml:space="preserve"> Available at: https://www.mentalhealth.org.uk/explore-mental-health/statistics/people-physical-health-conditions-statistics (Accessed: 16 August 2026).</w:t>
      </w:r>
    </w:p>
    <w:p w14:paraId="26A81636" w14:textId="77777777" w:rsidR="00F67F23" w:rsidRPr="00311FA6" w:rsidRDefault="00000000" w:rsidP="00311FA6">
      <w:pPr>
        <w:pStyle w:val="ListParagraph"/>
        <w:numPr>
          <w:ilvl w:val="0"/>
          <w:numId w:val="2"/>
        </w:numPr>
        <w:spacing w:after="160"/>
        <w:rPr>
          <w:sz w:val="22"/>
          <w:szCs w:val="22"/>
        </w:rPr>
      </w:pPr>
      <w:r w:rsidRPr="00311FA6">
        <w:rPr>
          <w:sz w:val="22"/>
          <w:szCs w:val="22"/>
        </w:rPr>
        <w:t xml:space="preserve">Motability Foundation (2025) </w:t>
      </w:r>
      <w:r w:rsidRPr="00311FA6">
        <w:rPr>
          <w:i/>
          <w:iCs/>
          <w:sz w:val="22"/>
          <w:szCs w:val="22"/>
        </w:rPr>
        <w:t>Written evidence to the House of Commons Transport Select Committee inquiry into accessible transport.</w:t>
      </w:r>
      <w:r w:rsidRPr="00311FA6">
        <w:rPr>
          <w:sz w:val="22"/>
          <w:szCs w:val="22"/>
        </w:rPr>
        <w:t xml:space="preserve"> Available at: https://committees.parliament.uk/writtenevidence/150061/html/ (Accessed: 16 August 2026).</w:t>
      </w:r>
    </w:p>
    <w:p w14:paraId="1968E964" w14:textId="77777777" w:rsidR="00F67F23" w:rsidRPr="00311FA6" w:rsidRDefault="00000000" w:rsidP="00311FA6">
      <w:pPr>
        <w:pStyle w:val="ListParagraph"/>
        <w:numPr>
          <w:ilvl w:val="0"/>
          <w:numId w:val="2"/>
        </w:numPr>
        <w:spacing w:after="160"/>
        <w:rPr>
          <w:sz w:val="22"/>
          <w:szCs w:val="22"/>
        </w:rPr>
      </w:pPr>
      <w:r w:rsidRPr="00311FA6">
        <w:rPr>
          <w:sz w:val="22"/>
          <w:szCs w:val="22"/>
        </w:rPr>
        <w:t xml:space="preserve">Onwuchekwa, O., Davidson, C. and Sharma, V. (2022) 'Attitudes and experience of autism and learning disability: a survey of mental healthcare staff', </w:t>
      </w:r>
      <w:r w:rsidRPr="00311FA6">
        <w:rPr>
          <w:i/>
          <w:iCs/>
          <w:sz w:val="22"/>
          <w:szCs w:val="22"/>
        </w:rPr>
        <w:t>BJPsych Open</w:t>
      </w:r>
      <w:r w:rsidRPr="00311FA6">
        <w:rPr>
          <w:sz w:val="22"/>
          <w:szCs w:val="22"/>
        </w:rPr>
        <w:t>, 8(S1). Available at: https://www.ncbi.nlm.nih.gov/pmc/articles/PMC9378064/ (Accessed: 16 August 2026).</w:t>
      </w:r>
    </w:p>
    <w:p w14:paraId="68CE57A6" w14:textId="77777777" w:rsidR="00F67F23" w:rsidRPr="00311FA6" w:rsidRDefault="00000000" w:rsidP="00311FA6">
      <w:pPr>
        <w:pStyle w:val="ListParagraph"/>
        <w:numPr>
          <w:ilvl w:val="0"/>
          <w:numId w:val="2"/>
        </w:numPr>
        <w:spacing w:after="160"/>
        <w:rPr>
          <w:sz w:val="22"/>
          <w:szCs w:val="22"/>
        </w:rPr>
      </w:pPr>
      <w:r w:rsidRPr="00311FA6">
        <w:rPr>
          <w:sz w:val="22"/>
          <w:szCs w:val="22"/>
        </w:rPr>
        <w:t xml:space="preserve">NHS England (n.d.) </w:t>
      </w:r>
      <w:r w:rsidRPr="00311FA6">
        <w:rPr>
          <w:i/>
          <w:iCs/>
          <w:sz w:val="22"/>
          <w:szCs w:val="22"/>
        </w:rPr>
        <w:t>NHS Workforce Disability Equality Standard (WDES) 2023: Technical Guidance.</w:t>
      </w:r>
      <w:r w:rsidRPr="00311FA6">
        <w:rPr>
          <w:sz w:val="22"/>
          <w:szCs w:val="22"/>
        </w:rPr>
        <w:t xml:space="preserve"> Available at: https://www.england.nhs.uk/long-read/nhs-wdes-2023-technical-guidance/ (Accessed: 16 August 2026).</w:t>
      </w:r>
    </w:p>
    <w:p w14:paraId="4F056F98" w14:textId="77777777" w:rsidR="00F67F23" w:rsidRPr="00311FA6" w:rsidRDefault="00000000" w:rsidP="00311FA6">
      <w:pPr>
        <w:pStyle w:val="ListParagraph"/>
        <w:numPr>
          <w:ilvl w:val="0"/>
          <w:numId w:val="2"/>
        </w:numPr>
        <w:spacing w:after="160"/>
        <w:rPr>
          <w:sz w:val="22"/>
          <w:szCs w:val="22"/>
        </w:rPr>
      </w:pPr>
      <w:r w:rsidRPr="00311FA6">
        <w:rPr>
          <w:sz w:val="22"/>
          <w:szCs w:val="22"/>
        </w:rPr>
        <w:t xml:space="preserve">Office for National Statistics (2024) </w:t>
      </w:r>
      <w:r w:rsidRPr="00311FA6">
        <w:rPr>
          <w:i/>
          <w:iCs/>
          <w:sz w:val="22"/>
          <w:szCs w:val="22"/>
        </w:rPr>
        <w:t>Disability pay gaps in the UK: 2014 to 2023.</w:t>
      </w:r>
      <w:r w:rsidRPr="00311FA6">
        <w:rPr>
          <w:sz w:val="22"/>
          <w:szCs w:val="22"/>
        </w:rPr>
        <w:t xml:space="preserve"> Available at: </w:t>
      </w:r>
      <w:r w:rsidRPr="00311FA6">
        <w:rPr>
          <w:sz w:val="22"/>
          <w:szCs w:val="22"/>
        </w:rPr>
        <w:lastRenderedPageBreak/>
        <w:t>https://www.ons.gov.uk/peoplepopulationandcommunity/healthandsocialcare/disability/articles/disabilitypaygapsintheuk/2014to2023 (Accessed: 16 August 2026).</w:t>
      </w:r>
    </w:p>
    <w:p w14:paraId="1E96F077" w14:textId="77777777" w:rsidR="00F67F23" w:rsidRPr="00311FA6" w:rsidRDefault="00000000" w:rsidP="00311FA6">
      <w:pPr>
        <w:pStyle w:val="ListParagraph"/>
        <w:numPr>
          <w:ilvl w:val="0"/>
          <w:numId w:val="2"/>
        </w:numPr>
        <w:spacing w:after="160"/>
        <w:rPr>
          <w:sz w:val="22"/>
          <w:szCs w:val="22"/>
        </w:rPr>
      </w:pPr>
      <w:r w:rsidRPr="00311FA6">
        <w:rPr>
          <w:sz w:val="22"/>
          <w:szCs w:val="22"/>
        </w:rPr>
        <w:t xml:space="preserve">Read, S., Heslop, P., Turner, S., Mason-Angelow, V., Tilbury, N., Miles, C. and Hatton, C. (2018) 'Disabled people’s experiences of accessing reasonable adjustments in hospitals: a qualitative study', </w:t>
      </w:r>
      <w:r w:rsidRPr="00311FA6">
        <w:rPr>
          <w:i/>
          <w:iCs/>
          <w:sz w:val="22"/>
          <w:szCs w:val="22"/>
        </w:rPr>
        <w:t>BMC Health Services Research</w:t>
      </w:r>
      <w:r w:rsidRPr="00311FA6">
        <w:rPr>
          <w:sz w:val="22"/>
          <w:szCs w:val="22"/>
        </w:rPr>
        <w:t>, 18, article 931. Available at: https://bmchealthservres.biomedcentral.com/articles/10.1186/s12913-018-3757-7 (Accessed: 16 August 2026).</w:t>
      </w:r>
    </w:p>
    <w:p w14:paraId="1F93BB55" w14:textId="77777777" w:rsidR="00F67F23" w:rsidRPr="00311FA6" w:rsidRDefault="00000000" w:rsidP="00311FA6">
      <w:pPr>
        <w:pStyle w:val="ListParagraph"/>
        <w:numPr>
          <w:ilvl w:val="0"/>
          <w:numId w:val="2"/>
        </w:numPr>
        <w:spacing w:after="160"/>
        <w:rPr>
          <w:sz w:val="22"/>
          <w:szCs w:val="22"/>
        </w:rPr>
      </w:pPr>
      <w:r w:rsidRPr="00311FA6">
        <w:rPr>
          <w:sz w:val="22"/>
          <w:szCs w:val="22"/>
        </w:rPr>
        <w:t xml:space="preserve">Scope (2023) </w:t>
      </w:r>
      <w:r w:rsidRPr="00311FA6">
        <w:rPr>
          <w:i/>
          <w:iCs/>
          <w:sz w:val="22"/>
          <w:szCs w:val="22"/>
        </w:rPr>
        <w:t>Annual Report 2022–2023.</w:t>
      </w:r>
      <w:r w:rsidRPr="00311FA6">
        <w:rPr>
          <w:sz w:val="22"/>
          <w:szCs w:val="22"/>
        </w:rPr>
        <w:t xml:space="preserve"> Available at: https://www.scope.org.uk/about-us/annual-report-2022-2023 (Accessed: 16 August 2026).</w:t>
      </w:r>
    </w:p>
    <w:p w14:paraId="018664E7" w14:textId="77777777" w:rsidR="00F67F23" w:rsidRPr="00311FA6" w:rsidRDefault="00000000" w:rsidP="00311FA6">
      <w:pPr>
        <w:pStyle w:val="ListParagraph"/>
        <w:numPr>
          <w:ilvl w:val="0"/>
          <w:numId w:val="2"/>
        </w:numPr>
        <w:spacing w:after="160"/>
        <w:rPr>
          <w:sz w:val="22"/>
          <w:szCs w:val="22"/>
        </w:rPr>
      </w:pPr>
      <w:r w:rsidRPr="00311FA6">
        <w:rPr>
          <w:sz w:val="22"/>
          <w:szCs w:val="22"/>
        </w:rPr>
        <w:t xml:space="preserve">Scope (2023) </w:t>
      </w:r>
      <w:r w:rsidRPr="00311FA6">
        <w:rPr>
          <w:i/>
          <w:iCs/>
          <w:sz w:val="22"/>
          <w:szCs w:val="22"/>
        </w:rPr>
        <w:t>Disability Perception Gap.</w:t>
      </w:r>
      <w:r w:rsidRPr="00311FA6">
        <w:rPr>
          <w:sz w:val="22"/>
          <w:szCs w:val="22"/>
        </w:rPr>
        <w:t xml:space="preserve"> Available at: https://www.scope.org.uk/campaigns/disability-perception-gap (Accessed: 16 August 2026).</w:t>
      </w:r>
    </w:p>
    <w:p w14:paraId="1BD9AE2A" w14:textId="77777777" w:rsidR="00F67F23" w:rsidRPr="00311FA6" w:rsidRDefault="00000000" w:rsidP="00311FA6">
      <w:pPr>
        <w:pStyle w:val="ListParagraph"/>
        <w:numPr>
          <w:ilvl w:val="0"/>
          <w:numId w:val="2"/>
        </w:numPr>
        <w:spacing w:after="160"/>
        <w:rPr>
          <w:sz w:val="22"/>
          <w:szCs w:val="22"/>
        </w:rPr>
      </w:pPr>
      <w:r w:rsidRPr="00311FA6">
        <w:rPr>
          <w:sz w:val="22"/>
          <w:szCs w:val="22"/>
        </w:rPr>
        <w:t xml:space="preserve">Scope (2026) </w:t>
      </w:r>
      <w:r w:rsidRPr="00311FA6">
        <w:rPr>
          <w:i/>
          <w:iCs/>
          <w:sz w:val="22"/>
          <w:szCs w:val="22"/>
        </w:rPr>
        <w:t>Disability Price Tag 2025.</w:t>
      </w:r>
      <w:r w:rsidRPr="00311FA6">
        <w:rPr>
          <w:sz w:val="22"/>
          <w:szCs w:val="22"/>
        </w:rPr>
        <w:t xml:space="preserve"> Available at: https://www.scope.org.uk/campaigns/disability-price-tag (Accessed: 16 August 2026).</w:t>
      </w:r>
    </w:p>
    <w:p w14:paraId="08FB363D" w14:textId="77777777" w:rsidR="00F67F23" w:rsidRPr="00311FA6" w:rsidRDefault="00000000" w:rsidP="00311FA6">
      <w:pPr>
        <w:pStyle w:val="ListParagraph"/>
        <w:numPr>
          <w:ilvl w:val="0"/>
          <w:numId w:val="2"/>
        </w:numPr>
        <w:spacing w:after="160"/>
        <w:rPr>
          <w:sz w:val="22"/>
          <w:szCs w:val="22"/>
        </w:rPr>
      </w:pPr>
      <w:r w:rsidRPr="00311FA6">
        <w:rPr>
          <w:sz w:val="22"/>
          <w:szCs w:val="22"/>
        </w:rPr>
        <w:t xml:space="preserve">Sense (2022) </w:t>
      </w:r>
      <w:r w:rsidRPr="00311FA6">
        <w:rPr>
          <w:i/>
          <w:iCs/>
          <w:sz w:val="22"/>
          <w:szCs w:val="22"/>
        </w:rPr>
        <w:t>Loneliness rises dramatically among disabled people.</w:t>
      </w:r>
      <w:r w:rsidRPr="00311FA6">
        <w:rPr>
          <w:sz w:val="22"/>
          <w:szCs w:val="22"/>
        </w:rPr>
        <w:t xml:space="preserve"> Available at: https://www.sense.org.uk/media/latest-press-releases/loneliness-rises-dramatically-among-disabled-people/ (Accessed: 16 August 2026).</w:t>
      </w:r>
    </w:p>
    <w:p w14:paraId="5AF576D3" w14:textId="77777777" w:rsidR="00C5672E" w:rsidRPr="00311FA6" w:rsidRDefault="00000000" w:rsidP="00311FA6">
      <w:pPr>
        <w:pStyle w:val="ListParagraph"/>
        <w:numPr>
          <w:ilvl w:val="0"/>
          <w:numId w:val="2"/>
        </w:numPr>
        <w:spacing w:after="160"/>
        <w:rPr>
          <w:sz w:val="22"/>
          <w:szCs w:val="22"/>
        </w:rPr>
      </w:pPr>
      <w:r w:rsidRPr="00311FA6">
        <w:rPr>
          <w:sz w:val="22"/>
          <w:szCs w:val="22"/>
        </w:rPr>
        <w:t xml:space="preserve">Sense (2023) </w:t>
      </w:r>
      <w:r w:rsidRPr="00311FA6">
        <w:rPr>
          <w:i/>
          <w:iCs/>
          <w:sz w:val="22"/>
          <w:szCs w:val="22"/>
        </w:rPr>
        <w:t>Potential and Possibility 2023: Healt</w:t>
      </w:r>
    </w:p>
    <w:p w14:paraId="285C6AE3" w14:textId="186E4FBB" w:rsidR="00F67F23" w:rsidRPr="00311FA6" w:rsidRDefault="00000000" w:rsidP="00311FA6">
      <w:pPr>
        <w:pStyle w:val="ListParagraph"/>
        <w:numPr>
          <w:ilvl w:val="0"/>
          <w:numId w:val="2"/>
        </w:numPr>
        <w:spacing w:after="160"/>
        <w:rPr>
          <w:sz w:val="22"/>
          <w:szCs w:val="22"/>
        </w:rPr>
      </w:pPr>
      <w:r w:rsidRPr="00311FA6">
        <w:rPr>
          <w:i/>
          <w:iCs/>
          <w:sz w:val="22"/>
          <w:szCs w:val="22"/>
        </w:rPr>
        <w:t>h and wellbeing.</w:t>
      </w:r>
      <w:r w:rsidRPr="00311FA6">
        <w:rPr>
          <w:sz w:val="22"/>
          <w:szCs w:val="22"/>
        </w:rPr>
        <w:t xml:space="preserve"> Available at: https://www.sense.org.uk/about-us/research/potential-and-possibility-research/potential-and-possibility-2023/health-and-wellbeing/ (Accessed: 16 August 2026).</w:t>
      </w:r>
    </w:p>
    <w:p w14:paraId="7C7D4271" w14:textId="77777777" w:rsidR="00F67F23" w:rsidRPr="00311FA6" w:rsidRDefault="00000000" w:rsidP="00311FA6">
      <w:pPr>
        <w:pStyle w:val="ListParagraph"/>
        <w:numPr>
          <w:ilvl w:val="0"/>
          <w:numId w:val="2"/>
        </w:numPr>
        <w:spacing w:after="160"/>
        <w:rPr>
          <w:sz w:val="22"/>
          <w:szCs w:val="22"/>
        </w:rPr>
      </w:pPr>
      <w:r w:rsidRPr="00311FA6">
        <w:rPr>
          <w:sz w:val="22"/>
          <w:szCs w:val="22"/>
        </w:rPr>
        <w:t xml:space="preserve">TUC (2025) </w:t>
      </w:r>
      <w:r w:rsidRPr="00311FA6">
        <w:rPr>
          <w:i/>
          <w:iCs/>
          <w:sz w:val="22"/>
          <w:szCs w:val="22"/>
        </w:rPr>
        <w:t>Disability pay and employment gaps.</w:t>
      </w:r>
      <w:r w:rsidRPr="00311FA6">
        <w:rPr>
          <w:sz w:val="22"/>
          <w:szCs w:val="22"/>
        </w:rPr>
        <w:t xml:space="preserve"> Available at: https://www.tuc.org.uk/research-analysis/reports/disability-pay-and-employment-gaps (Accessed: 16 August 2026).</w:t>
      </w:r>
    </w:p>
    <w:p w14:paraId="70EE6853" w14:textId="6855B1EC" w:rsidR="00B7553A" w:rsidRPr="00F955E4" w:rsidRDefault="00000000" w:rsidP="00F955E4">
      <w:pPr>
        <w:pStyle w:val="ListParagraph"/>
        <w:numPr>
          <w:ilvl w:val="0"/>
          <w:numId w:val="2"/>
        </w:numPr>
        <w:spacing w:after="160"/>
        <w:rPr>
          <w:sz w:val="22"/>
          <w:szCs w:val="22"/>
        </w:rPr>
      </w:pPr>
      <w:r w:rsidRPr="00311FA6">
        <w:rPr>
          <w:sz w:val="22"/>
          <w:szCs w:val="22"/>
        </w:rPr>
        <w:t xml:space="preserve">Women and Equalities Committee (2026) </w:t>
      </w:r>
      <w:r w:rsidRPr="00311FA6">
        <w:rPr>
          <w:i/>
          <w:iCs/>
          <w:sz w:val="22"/>
          <w:szCs w:val="22"/>
        </w:rPr>
        <w:t>Inequalities in healthcare and employment for people with a learning disability and autistic people.</w:t>
      </w:r>
      <w:r w:rsidRPr="00311FA6">
        <w:rPr>
          <w:sz w:val="22"/>
          <w:szCs w:val="22"/>
        </w:rPr>
        <w:t xml:space="preserve"> HC 134. Available at: https://publications.parliament.uk/pa/cm5804/cmselect/cmwomeq/134/report.html (Accessed: 16 August 2026).</w:t>
      </w:r>
    </w:p>
    <w:p w14:paraId="6FF4C593" w14:textId="77777777" w:rsidR="002E5289" w:rsidRDefault="002E5289" w:rsidP="001650B4">
      <w:pPr>
        <w:pStyle w:val="Heading1"/>
        <w:spacing w:before="300" w:after="150"/>
      </w:pPr>
    </w:p>
    <w:p w14:paraId="10016D44" w14:textId="16A26B22" w:rsidR="001650B4" w:rsidRDefault="00000000" w:rsidP="001650B4">
      <w:pPr>
        <w:pStyle w:val="Heading1"/>
        <w:spacing w:before="300" w:after="150"/>
      </w:pPr>
      <w:r>
        <w:lastRenderedPageBreak/>
        <w:t>Reference list Task 2</w:t>
      </w:r>
    </w:p>
    <w:p w14:paraId="21C98F2A" w14:textId="77777777" w:rsidR="001650B4" w:rsidRPr="00311FA6" w:rsidRDefault="00000000" w:rsidP="00F955E4">
      <w:pPr>
        <w:pStyle w:val="ListParagraph"/>
        <w:numPr>
          <w:ilvl w:val="0"/>
          <w:numId w:val="5"/>
        </w:numPr>
        <w:spacing w:after="160"/>
        <w:rPr>
          <w:sz w:val="22"/>
          <w:szCs w:val="22"/>
        </w:rPr>
      </w:pPr>
      <w:r w:rsidRPr="00311FA6">
        <w:rPr>
          <w:sz w:val="22"/>
          <w:szCs w:val="22"/>
        </w:rPr>
        <w:t xml:space="preserve">British Heart Foundation (2025) </w:t>
      </w:r>
      <w:r w:rsidRPr="00311FA6">
        <w:rPr>
          <w:i/>
          <w:iCs/>
          <w:sz w:val="22"/>
          <w:szCs w:val="22"/>
        </w:rPr>
        <w:t>Heart and Circulatory Disease Statistics, 2025 Compendium.</w:t>
      </w:r>
      <w:r w:rsidRPr="00311FA6">
        <w:rPr>
          <w:sz w:val="22"/>
          <w:szCs w:val="22"/>
        </w:rPr>
        <w:t xml:space="preserve"> Available at: https://www.bhf.org.uk/what-we-do/our-research/heart-statistics/heart-statistics-publications/cardiovascular-disease-statistics-2025 (Accessed: 16 August 2026).</w:t>
      </w:r>
    </w:p>
    <w:p w14:paraId="4C860058" w14:textId="77777777" w:rsidR="001650B4" w:rsidRPr="00311FA6" w:rsidRDefault="00000000" w:rsidP="00F955E4">
      <w:pPr>
        <w:pStyle w:val="ListParagraph"/>
        <w:numPr>
          <w:ilvl w:val="0"/>
          <w:numId w:val="5"/>
        </w:numPr>
        <w:spacing w:after="160"/>
        <w:rPr>
          <w:sz w:val="22"/>
          <w:szCs w:val="22"/>
        </w:rPr>
      </w:pPr>
      <w:r w:rsidRPr="00311FA6">
        <w:rPr>
          <w:sz w:val="22"/>
          <w:szCs w:val="22"/>
        </w:rPr>
        <w:t xml:space="preserve">British Heart Foundation (2026) </w:t>
      </w:r>
      <w:r w:rsidRPr="00311FA6">
        <w:rPr>
          <w:i/>
          <w:iCs/>
          <w:sz w:val="22"/>
          <w:szCs w:val="22"/>
        </w:rPr>
        <w:t>UK Cardiovascular Disease Factsheet.</w:t>
      </w:r>
      <w:r w:rsidRPr="00311FA6">
        <w:rPr>
          <w:sz w:val="22"/>
          <w:szCs w:val="22"/>
        </w:rPr>
        <w:t xml:space="preserve"> Available at: https://www.bhf.org.uk/-/media/files/for-professionals/research/heart-statistics/bhf-cvd-statistics-uk-factsheet-jan26.pdf (Accessed: 16 August 2026).</w:t>
      </w:r>
    </w:p>
    <w:p w14:paraId="4BC811C0" w14:textId="77777777" w:rsidR="001650B4" w:rsidRPr="00311FA6" w:rsidRDefault="00000000" w:rsidP="00F955E4">
      <w:pPr>
        <w:pStyle w:val="ListParagraph"/>
        <w:numPr>
          <w:ilvl w:val="0"/>
          <w:numId w:val="5"/>
        </w:numPr>
        <w:spacing w:after="160"/>
        <w:rPr>
          <w:sz w:val="22"/>
          <w:szCs w:val="22"/>
        </w:rPr>
      </w:pPr>
      <w:r w:rsidRPr="00311FA6">
        <w:rPr>
          <w:sz w:val="22"/>
          <w:szCs w:val="22"/>
        </w:rPr>
        <w:t xml:space="preserve">Lang, S.J., Abel, G.A., Mant, J. and Mullis, R. (2016) 'Impact of socioeconomic deprivation on screening for cardiovascular disease risk in a primary prevention population: a cross-sectional study', </w:t>
      </w:r>
      <w:r w:rsidRPr="00311FA6">
        <w:rPr>
          <w:i/>
          <w:iCs/>
          <w:sz w:val="22"/>
          <w:szCs w:val="22"/>
        </w:rPr>
        <w:t>BMJ Open</w:t>
      </w:r>
      <w:r w:rsidRPr="00311FA6">
        <w:rPr>
          <w:sz w:val="22"/>
          <w:szCs w:val="22"/>
        </w:rPr>
        <w:t>, 6(3), e009984. Available at: https://www.ncbi.nlm.nih.gov/pmc/articles/PMC4809080/ (Accessed: 16 August 2026).</w:t>
      </w:r>
    </w:p>
    <w:p w14:paraId="555DCE29" w14:textId="77777777" w:rsidR="001650B4" w:rsidRPr="00311FA6" w:rsidRDefault="00000000" w:rsidP="00F955E4">
      <w:pPr>
        <w:pStyle w:val="ListParagraph"/>
        <w:numPr>
          <w:ilvl w:val="0"/>
          <w:numId w:val="5"/>
        </w:numPr>
        <w:spacing w:after="160"/>
        <w:rPr>
          <w:sz w:val="22"/>
          <w:szCs w:val="22"/>
        </w:rPr>
      </w:pPr>
      <w:r w:rsidRPr="00311FA6">
        <w:rPr>
          <w:sz w:val="22"/>
          <w:szCs w:val="22"/>
        </w:rPr>
        <w:t xml:space="preserve">Leicester City Council (2024a) </w:t>
      </w:r>
      <w:r w:rsidRPr="00311FA6">
        <w:rPr>
          <w:i/>
          <w:iCs/>
          <w:sz w:val="22"/>
          <w:szCs w:val="22"/>
        </w:rPr>
        <w:t>Joint Strategic Needs Assessment.</w:t>
      </w:r>
      <w:r w:rsidRPr="00311FA6">
        <w:rPr>
          <w:sz w:val="22"/>
          <w:szCs w:val="22"/>
        </w:rPr>
        <w:t xml:space="preserve"> Available at: https://www.leicester.gov.uk/about-council/policies-plans-and-strategies/public-health/data-reports-and-strategies/joint-strategic-needs-assessment (Accessed: 16 August 2026).</w:t>
      </w:r>
    </w:p>
    <w:p w14:paraId="0ABAEBD1" w14:textId="77777777" w:rsidR="001650B4" w:rsidRPr="00311FA6" w:rsidRDefault="00000000" w:rsidP="00F955E4">
      <w:pPr>
        <w:pStyle w:val="ListParagraph"/>
        <w:numPr>
          <w:ilvl w:val="0"/>
          <w:numId w:val="5"/>
        </w:numPr>
        <w:spacing w:after="160"/>
        <w:rPr>
          <w:sz w:val="22"/>
          <w:szCs w:val="22"/>
        </w:rPr>
      </w:pPr>
      <w:r w:rsidRPr="00311FA6">
        <w:rPr>
          <w:sz w:val="22"/>
          <w:szCs w:val="22"/>
        </w:rPr>
        <w:t xml:space="preserve">Leicester City Council (2024b) </w:t>
      </w:r>
      <w:r w:rsidRPr="00311FA6">
        <w:rPr>
          <w:i/>
          <w:iCs/>
          <w:sz w:val="22"/>
          <w:szCs w:val="22"/>
        </w:rPr>
        <w:t>Core20PLUS5, Leicester's Health, Care and Wellbeing Strategy 2022–2027.</w:t>
      </w:r>
      <w:r w:rsidRPr="00311FA6">
        <w:rPr>
          <w:sz w:val="22"/>
          <w:szCs w:val="22"/>
        </w:rPr>
        <w:t xml:space="preserve"> Available at: https://www.leicester.gov.uk/about-council/policies-plans-and-strategies/leicesters-health-care-and-wellbeing-strategy-2022-2027/core-20-plus-5 (Accessed: 16 August 2026).</w:t>
      </w:r>
    </w:p>
    <w:p w14:paraId="3FF55A23" w14:textId="77777777" w:rsidR="001650B4" w:rsidRPr="00311FA6" w:rsidRDefault="00000000" w:rsidP="00F955E4">
      <w:pPr>
        <w:pStyle w:val="ListParagraph"/>
        <w:numPr>
          <w:ilvl w:val="0"/>
          <w:numId w:val="5"/>
        </w:numPr>
        <w:spacing w:after="160"/>
        <w:rPr>
          <w:sz w:val="22"/>
          <w:szCs w:val="22"/>
        </w:rPr>
      </w:pPr>
      <w:r w:rsidRPr="00311FA6">
        <w:rPr>
          <w:sz w:val="22"/>
          <w:szCs w:val="22"/>
        </w:rPr>
        <w:t xml:space="preserve">London Borough of Newham (2025) </w:t>
      </w:r>
      <w:r w:rsidRPr="00311FA6">
        <w:rPr>
          <w:i/>
          <w:iCs/>
          <w:sz w:val="22"/>
          <w:szCs w:val="22"/>
        </w:rPr>
        <w:t>Newham Joint Strategic Needs Assessment 2025: 50 Steps to a Healthier Newham.</w:t>
      </w:r>
      <w:r w:rsidRPr="00311FA6">
        <w:rPr>
          <w:sz w:val="22"/>
          <w:szCs w:val="22"/>
        </w:rPr>
        <w:t xml:space="preserve"> Available at: https://www.newham.gov.uk/downloads/file/8509/newham-joint-strategic-needs-assessment-2025-v5-2- (Accessed: 16 August 2026).</w:t>
      </w:r>
    </w:p>
    <w:p w14:paraId="428FC6CF" w14:textId="77777777" w:rsidR="001650B4" w:rsidRPr="00311FA6" w:rsidRDefault="00000000" w:rsidP="00F955E4">
      <w:pPr>
        <w:pStyle w:val="ListParagraph"/>
        <w:numPr>
          <w:ilvl w:val="0"/>
          <w:numId w:val="5"/>
        </w:numPr>
        <w:spacing w:after="160"/>
        <w:rPr>
          <w:sz w:val="22"/>
          <w:szCs w:val="22"/>
        </w:rPr>
      </w:pPr>
      <w:r w:rsidRPr="00311FA6">
        <w:rPr>
          <w:sz w:val="22"/>
          <w:szCs w:val="22"/>
        </w:rPr>
        <w:t xml:space="preserve">NHS England (2026) </w:t>
      </w:r>
      <w:r w:rsidRPr="00311FA6">
        <w:rPr>
          <w:i/>
          <w:iCs/>
          <w:sz w:val="22"/>
          <w:szCs w:val="22"/>
        </w:rPr>
        <w:t>CVDPREVENT.</w:t>
      </w:r>
      <w:r w:rsidRPr="00311FA6">
        <w:rPr>
          <w:sz w:val="22"/>
          <w:szCs w:val="22"/>
        </w:rPr>
        <w:t xml:space="preserve"> Available at: https://www.england.nhs.uk/ourwork/clinical-policy/cvd/cvdprevent/ (Accessed: 16 August 2026).</w:t>
      </w:r>
    </w:p>
    <w:p w14:paraId="20CAC1BA" w14:textId="77777777" w:rsidR="001650B4" w:rsidRPr="00311FA6" w:rsidRDefault="00000000" w:rsidP="00F955E4">
      <w:pPr>
        <w:pStyle w:val="ListParagraph"/>
        <w:numPr>
          <w:ilvl w:val="0"/>
          <w:numId w:val="5"/>
        </w:numPr>
        <w:spacing w:after="160"/>
        <w:rPr>
          <w:sz w:val="22"/>
          <w:szCs w:val="22"/>
        </w:rPr>
      </w:pPr>
      <w:r w:rsidRPr="00311FA6">
        <w:rPr>
          <w:sz w:val="22"/>
          <w:szCs w:val="22"/>
        </w:rPr>
        <w:t xml:space="preserve">World Health Organization (2024) </w:t>
      </w:r>
      <w:r w:rsidRPr="00311FA6">
        <w:rPr>
          <w:i/>
          <w:iCs/>
          <w:sz w:val="22"/>
          <w:szCs w:val="22"/>
        </w:rPr>
        <w:t>The Top 10 Causes of Death.</w:t>
      </w:r>
      <w:r w:rsidRPr="00311FA6">
        <w:rPr>
          <w:sz w:val="22"/>
          <w:szCs w:val="22"/>
        </w:rPr>
        <w:t xml:space="preserve"> Available at: https://www.who.int/news-room/fact-sheets/detail/the-top-10-causes-of-death (Accessed: 16 August 2026).</w:t>
      </w:r>
    </w:p>
    <w:p w14:paraId="1D76BDD6" w14:textId="77777777" w:rsidR="001650B4" w:rsidRPr="00311FA6" w:rsidRDefault="00000000" w:rsidP="00F955E4">
      <w:pPr>
        <w:pStyle w:val="ListParagraph"/>
        <w:numPr>
          <w:ilvl w:val="0"/>
          <w:numId w:val="5"/>
        </w:numPr>
        <w:spacing w:after="160"/>
        <w:rPr>
          <w:sz w:val="22"/>
          <w:szCs w:val="22"/>
        </w:rPr>
      </w:pPr>
      <w:r w:rsidRPr="00311FA6">
        <w:rPr>
          <w:sz w:val="22"/>
          <w:szCs w:val="22"/>
        </w:rPr>
        <w:lastRenderedPageBreak/>
        <w:t xml:space="preserve">World Health Organization (2025) </w:t>
      </w:r>
      <w:r w:rsidRPr="00311FA6">
        <w:rPr>
          <w:i/>
          <w:iCs/>
          <w:sz w:val="22"/>
          <w:szCs w:val="22"/>
        </w:rPr>
        <w:t>Cardiovascular Diseases (CVDs).</w:t>
      </w:r>
      <w:r w:rsidRPr="00311FA6">
        <w:rPr>
          <w:sz w:val="22"/>
          <w:szCs w:val="22"/>
        </w:rPr>
        <w:t xml:space="preserve"> Available at: https://www.who.int/news-room/fact-sheets/detail/cardiovascular-diseases-(cvds) (Accessed: 16 August 2026).</w:t>
      </w:r>
    </w:p>
    <w:p w14:paraId="6F5D763C" w14:textId="77777777" w:rsidR="001650B4" w:rsidRDefault="001650B4" w:rsidP="00B7553A">
      <w:pPr>
        <w:spacing w:after="160"/>
        <w:jc w:val="right"/>
      </w:pPr>
    </w:p>
    <w:p w14:paraId="6B091FD7" w14:textId="77777777" w:rsidR="001650B4" w:rsidRDefault="001650B4" w:rsidP="001650B4">
      <w:pPr>
        <w:spacing w:after="160"/>
        <w:ind w:left="360"/>
      </w:pPr>
    </w:p>
    <w:sectPr w:rsidR="001650B4" w:rsidSect="00B7553A">
      <w:pgSz w:w="11906" w:h="16838"/>
      <w:pgMar w:top="1440" w:right="1440" w:bottom="1440" w:left="1440" w:header="706" w:footer="706"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7F2921" w14:textId="77777777" w:rsidR="007F244C" w:rsidRDefault="007F244C" w:rsidP="00B7553A">
      <w:r>
        <w:separator/>
      </w:r>
    </w:p>
  </w:endnote>
  <w:endnote w:type="continuationSeparator" w:id="0">
    <w:p w14:paraId="56742017" w14:textId="77777777" w:rsidR="007F244C" w:rsidRDefault="007F244C" w:rsidP="00B755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929418" w14:textId="77777777" w:rsidR="007F244C" w:rsidRDefault="007F244C" w:rsidP="00B7553A">
      <w:r>
        <w:separator/>
      </w:r>
    </w:p>
  </w:footnote>
  <w:footnote w:type="continuationSeparator" w:id="0">
    <w:p w14:paraId="7EEFBC57" w14:textId="77777777" w:rsidR="007F244C" w:rsidRDefault="007F244C" w:rsidP="00B755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13873"/>
    <w:multiLevelType w:val="hybridMultilevel"/>
    <w:tmpl w:val="BAA01B30"/>
    <w:lvl w:ilvl="0" w:tplc="BB16ECDE">
      <w:start w:val="1"/>
      <w:numFmt w:val="decimal"/>
      <w:lvlText w:val="%1."/>
      <w:lvlJc w:val="left"/>
      <w:pPr>
        <w:ind w:left="720" w:hanging="360"/>
      </w:pPr>
    </w:lvl>
    <w:lvl w:ilvl="1" w:tplc="A7CCD32C" w:tentative="1">
      <w:start w:val="1"/>
      <w:numFmt w:val="lowerLetter"/>
      <w:lvlText w:val="%2."/>
      <w:lvlJc w:val="left"/>
      <w:pPr>
        <w:ind w:left="1440" w:hanging="360"/>
      </w:pPr>
    </w:lvl>
    <w:lvl w:ilvl="2" w:tplc="EC28531E" w:tentative="1">
      <w:start w:val="1"/>
      <w:numFmt w:val="lowerRoman"/>
      <w:lvlText w:val="%3."/>
      <w:lvlJc w:val="right"/>
      <w:pPr>
        <w:ind w:left="2160" w:hanging="180"/>
      </w:pPr>
    </w:lvl>
    <w:lvl w:ilvl="3" w:tplc="1F569226" w:tentative="1">
      <w:start w:val="1"/>
      <w:numFmt w:val="decimal"/>
      <w:lvlText w:val="%4."/>
      <w:lvlJc w:val="left"/>
      <w:pPr>
        <w:ind w:left="2880" w:hanging="360"/>
      </w:pPr>
    </w:lvl>
    <w:lvl w:ilvl="4" w:tplc="425E6C76" w:tentative="1">
      <w:start w:val="1"/>
      <w:numFmt w:val="lowerLetter"/>
      <w:lvlText w:val="%5."/>
      <w:lvlJc w:val="left"/>
      <w:pPr>
        <w:ind w:left="3600" w:hanging="360"/>
      </w:pPr>
    </w:lvl>
    <w:lvl w:ilvl="5" w:tplc="459A73A4" w:tentative="1">
      <w:start w:val="1"/>
      <w:numFmt w:val="lowerRoman"/>
      <w:lvlText w:val="%6."/>
      <w:lvlJc w:val="right"/>
      <w:pPr>
        <w:ind w:left="4320" w:hanging="180"/>
      </w:pPr>
    </w:lvl>
    <w:lvl w:ilvl="6" w:tplc="F9946E10" w:tentative="1">
      <w:start w:val="1"/>
      <w:numFmt w:val="decimal"/>
      <w:lvlText w:val="%7."/>
      <w:lvlJc w:val="left"/>
      <w:pPr>
        <w:ind w:left="5040" w:hanging="360"/>
      </w:pPr>
    </w:lvl>
    <w:lvl w:ilvl="7" w:tplc="BD724EBC" w:tentative="1">
      <w:start w:val="1"/>
      <w:numFmt w:val="lowerLetter"/>
      <w:lvlText w:val="%8."/>
      <w:lvlJc w:val="left"/>
      <w:pPr>
        <w:ind w:left="5760" w:hanging="360"/>
      </w:pPr>
    </w:lvl>
    <w:lvl w:ilvl="8" w:tplc="D2488C5C" w:tentative="1">
      <w:start w:val="1"/>
      <w:numFmt w:val="lowerRoman"/>
      <w:lvlText w:val="%9."/>
      <w:lvlJc w:val="right"/>
      <w:pPr>
        <w:ind w:left="6480" w:hanging="180"/>
      </w:pPr>
    </w:lvl>
  </w:abstractNum>
  <w:abstractNum w:abstractNumId="1" w15:restartNumberingAfterBreak="0">
    <w:nsid w:val="24BE39DB"/>
    <w:multiLevelType w:val="hybridMultilevel"/>
    <w:tmpl w:val="890C2C0E"/>
    <w:lvl w:ilvl="0" w:tplc="22128514">
      <w:start w:val="1"/>
      <w:numFmt w:val="bullet"/>
      <w:lvlText w:val="●"/>
      <w:lvlJc w:val="left"/>
      <w:pPr>
        <w:ind w:left="720" w:hanging="360"/>
      </w:pPr>
    </w:lvl>
    <w:lvl w:ilvl="1" w:tplc="EABA63B2">
      <w:start w:val="1"/>
      <w:numFmt w:val="bullet"/>
      <w:lvlText w:val="○"/>
      <w:lvlJc w:val="left"/>
      <w:pPr>
        <w:ind w:left="1440" w:hanging="360"/>
      </w:pPr>
    </w:lvl>
    <w:lvl w:ilvl="2" w:tplc="1E2E33BA">
      <w:start w:val="1"/>
      <w:numFmt w:val="bullet"/>
      <w:lvlText w:val="■"/>
      <w:lvlJc w:val="left"/>
      <w:pPr>
        <w:ind w:left="2160" w:hanging="360"/>
      </w:pPr>
    </w:lvl>
    <w:lvl w:ilvl="3" w:tplc="D090CE2C">
      <w:start w:val="1"/>
      <w:numFmt w:val="bullet"/>
      <w:lvlText w:val="●"/>
      <w:lvlJc w:val="left"/>
      <w:pPr>
        <w:ind w:left="2880" w:hanging="360"/>
      </w:pPr>
    </w:lvl>
    <w:lvl w:ilvl="4" w:tplc="132A7520">
      <w:start w:val="1"/>
      <w:numFmt w:val="bullet"/>
      <w:lvlText w:val="○"/>
      <w:lvlJc w:val="left"/>
      <w:pPr>
        <w:ind w:left="3600" w:hanging="360"/>
      </w:pPr>
    </w:lvl>
    <w:lvl w:ilvl="5" w:tplc="EC24E456">
      <w:start w:val="1"/>
      <w:numFmt w:val="bullet"/>
      <w:lvlText w:val="■"/>
      <w:lvlJc w:val="left"/>
      <w:pPr>
        <w:ind w:left="4320" w:hanging="360"/>
      </w:pPr>
    </w:lvl>
    <w:lvl w:ilvl="6" w:tplc="66C067BE">
      <w:start w:val="1"/>
      <w:numFmt w:val="bullet"/>
      <w:lvlText w:val="●"/>
      <w:lvlJc w:val="left"/>
      <w:pPr>
        <w:ind w:left="5040" w:hanging="360"/>
      </w:pPr>
    </w:lvl>
    <w:lvl w:ilvl="7" w:tplc="696E15C0">
      <w:start w:val="1"/>
      <w:numFmt w:val="bullet"/>
      <w:lvlText w:val="●"/>
      <w:lvlJc w:val="left"/>
      <w:pPr>
        <w:ind w:left="5760" w:hanging="360"/>
      </w:pPr>
    </w:lvl>
    <w:lvl w:ilvl="8" w:tplc="AFF61D1C">
      <w:start w:val="1"/>
      <w:numFmt w:val="bullet"/>
      <w:lvlText w:val="●"/>
      <w:lvlJc w:val="left"/>
      <w:pPr>
        <w:ind w:left="6480" w:hanging="360"/>
      </w:pPr>
    </w:lvl>
  </w:abstractNum>
  <w:abstractNum w:abstractNumId="2" w15:restartNumberingAfterBreak="0">
    <w:nsid w:val="2EEA0364"/>
    <w:multiLevelType w:val="hybridMultilevel"/>
    <w:tmpl w:val="76F40324"/>
    <w:lvl w:ilvl="0" w:tplc="9980668E">
      <w:start w:val="1"/>
      <w:numFmt w:val="decimal"/>
      <w:lvlText w:val="%1)"/>
      <w:lvlJc w:val="left"/>
      <w:pPr>
        <w:ind w:left="720" w:hanging="360"/>
      </w:pPr>
    </w:lvl>
    <w:lvl w:ilvl="1" w:tplc="C9AA13D4" w:tentative="1">
      <w:start w:val="1"/>
      <w:numFmt w:val="lowerLetter"/>
      <w:lvlText w:val="%2."/>
      <w:lvlJc w:val="left"/>
      <w:pPr>
        <w:ind w:left="1440" w:hanging="360"/>
      </w:pPr>
    </w:lvl>
    <w:lvl w:ilvl="2" w:tplc="0AD29CF4" w:tentative="1">
      <w:start w:val="1"/>
      <w:numFmt w:val="lowerRoman"/>
      <w:lvlText w:val="%3."/>
      <w:lvlJc w:val="right"/>
      <w:pPr>
        <w:ind w:left="2160" w:hanging="180"/>
      </w:pPr>
    </w:lvl>
    <w:lvl w:ilvl="3" w:tplc="EBF0F654" w:tentative="1">
      <w:start w:val="1"/>
      <w:numFmt w:val="decimal"/>
      <w:lvlText w:val="%4."/>
      <w:lvlJc w:val="left"/>
      <w:pPr>
        <w:ind w:left="2880" w:hanging="360"/>
      </w:pPr>
    </w:lvl>
    <w:lvl w:ilvl="4" w:tplc="AFDE8EB8" w:tentative="1">
      <w:start w:val="1"/>
      <w:numFmt w:val="lowerLetter"/>
      <w:lvlText w:val="%5."/>
      <w:lvlJc w:val="left"/>
      <w:pPr>
        <w:ind w:left="3600" w:hanging="360"/>
      </w:pPr>
    </w:lvl>
    <w:lvl w:ilvl="5" w:tplc="8FB8F828" w:tentative="1">
      <w:start w:val="1"/>
      <w:numFmt w:val="lowerRoman"/>
      <w:lvlText w:val="%6."/>
      <w:lvlJc w:val="right"/>
      <w:pPr>
        <w:ind w:left="4320" w:hanging="180"/>
      </w:pPr>
    </w:lvl>
    <w:lvl w:ilvl="6" w:tplc="BF48D93A" w:tentative="1">
      <w:start w:val="1"/>
      <w:numFmt w:val="decimal"/>
      <w:lvlText w:val="%7."/>
      <w:lvlJc w:val="left"/>
      <w:pPr>
        <w:ind w:left="5040" w:hanging="360"/>
      </w:pPr>
    </w:lvl>
    <w:lvl w:ilvl="7" w:tplc="23F490D6" w:tentative="1">
      <w:start w:val="1"/>
      <w:numFmt w:val="lowerLetter"/>
      <w:lvlText w:val="%8."/>
      <w:lvlJc w:val="left"/>
      <w:pPr>
        <w:ind w:left="5760" w:hanging="360"/>
      </w:pPr>
    </w:lvl>
    <w:lvl w:ilvl="8" w:tplc="F2E842E0" w:tentative="1">
      <w:start w:val="1"/>
      <w:numFmt w:val="lowerRoman"/>
      <w:lvlText w:val="%9."/>
      <w:lvlJc w:val="right"/>
      <w:pPr>
        <w:ind w:left="6480" w:hanging="180"/>
      </w:pPr>
    </w:lvl>
  </w:abstractNum>
  <w:abstractNum w:abstractNumId="3" w15:restartNumberingAfterBreak="0">
    <w:nsid w:val="44F40B3A"/>
    <w:multiLevelType w:val="hybridMultilevel"/>
    <w:tmpl w:val="BAA01B30"/>
    <w:lvl w:ilvl="0" w:tplc="2954DF7A">
      <w:start w:val="1"/>
      <w:numFmt w:val="decimal"/>
      <w:lvlText w:val="%1."/>
      <w:lvlJc w:val="left"/>
      <w:pPr>
        <w:ind w:left="720" w:hanging="360"/>
      </w:pPr>
    </w:lvl>
    <w:lvl w:ilvl="1" w:tplc="F92492C2" w:tentative="1">
      <w:start w:val="1"/>
      <w:numFmt w:val="lowerLetter"/>
      <w:lvlText w:val="%2."/>
      <w:lvlJc w:val="left"/>
      <w:pPr>
        <w:ind w:left="1440" w:hanging="360"/>
      </w:pPr>
    </w:lvl>
    <w:lvl w:ilvl="2" w:tplc="A11676DE" w:tentative="1">
      <w:start w:val="1"/>
      <w:numFmt w:val="lowerRoman"/>
      <w:lvlText w:val="%3."/>
      <w:lvlJc w:val="right"/>
      <w:pPr>
        <w:ind w:left="2160" w:hanging="180"/>
      </w:pPr>
    </w:lvl>
    <w:lvl w:ilvl="3" w:tplc="9D24EE36" w:tentative="1">
      <w:start w:val="1"/>
      <w:numFmt w:val="decimal"/>
      <w:lvlText w:val="%4."/>
      <w:lvlJc w:val="left"/>
      <w:pPr>
        <w:ind w:left="2880" w:hanging="360"/>
      </w:pPr>
    </w:lvl>
    <w:lvl w:ilvl="4" w:tplc="50729828" w:tentative="1">
      <w:start w:val="1"/>
      <w:numFmt w:val="lowerLetter"/>
      <w:lvlText w:val="%5."/>
      <w:lvlJc w:val="left"/>
      <w:pPr>
        <w:ind w:left="3600" w:hanging="360"/>
      </w:pPr>
    </w:lvl>
    <w:lvl w:ilvl="5" w:tplc="B150EAF6" w:tentative="1">
      <w:start w:val="1"/>
      <w:numFmt w:val="lowerRoman"/>
      <w:lvlText w:val="%6."/>
      <w:lvlJc w:val="right"/>
      <w:pPr>
        <w:ind w:left="4320" w:hanging="180"/>
      </w:pPr>
    </w:lvl>
    <w:lvl w:ilvl="6" w:tplc="6AAA5F26" w:tentative="1">
      <w:start w:val="1"/>
      <w:numFmt w:val="decimal"/>
      <w:lvlText w:val="%7."/>
      <w:lvlJc w:val="left"/>
      <w:pPr>
        <w:ind w:left="5040" w:hanging="360"/>
      </w:pPr>
    </w:lvl>
    <w:lvl w:ilvl="7" w:tplc="90800E88" w:tentative="1">
      <w:start w:val="1"/>
      <w:numFmt w:val="lowerLetter"/>
      <w:lvlText w:val="%8."/>
      <w:lvlJc w:val="left"/>
      <w:pPr>
        <w:ind w:left="5760" w:hanging="360"/>
      </w:pPr>
    </w:lvl>
    <w:lvl w:ilvl="8" w:tplc="E526735A" w:tentative="1">
      <w:start w:val="1"/>
      <w:numFmt w:val="lowerRoman"/>
      <w:lvlText w:val="%9."/>
      <w:lvlJc w:val="right"/>
      <w:pPr>
        <w:ind w:left="6480" w:hanging="180"/>
      </w:pPr>
    </w:lvl>
  </w:abstractNum>
  <w:abstractNum w:abstractNumId="4" w15:restartNumberingAfterBreak="0">
    <w:nsid w:val="770D0721"/>
    <w:multiLevelType w:val="hybridMultilevel"/>
    <w:tmpl w:val="53A8C97A"/>
    <w:lvl w:ilvl="0" w:tplc="04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2113359649">
    <w:abstractNumId w:val="1"/>
    <w:lvlOverride w:ilvl="0">
      <w:startOverride w:val="1"/>
    </w:lvlOverride>
  </w:num>
  <w:num w:numId="2" w16cid:durableId="554049889">
    <w:abstractNumId w:val="2"/>
  </w:num>
  <w:num w:numId="3" w16cid:durableId="1857847154">
    <w:abstractNumId w:val="0"/>
  </w:num>
  <w:num w:numId="4" w16cid:durableId="1373967933">
    <w:abstractNumId w:val="3"/>
  </w:num>
  <w:num w:numId="5" w16cid:durableId="95980305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7F23"/>
    <w:rsid w:val="000B3308"/>
    <w:rsid w:val="000D499B"/>
    <w:rsid w:val="000F7CB8"/>
    <w:rsid w:val="00100A58"/>
    <w:rsid w:val="001650B4"/>
    <w:rsid w:val="001815AB"/>
    <w:rsid w:val="001F2371"/>
    <w:rsid w:val="00206AD9"/>
    <w:rsid w:val="00256078"/>
    <w:rsid w:val="002E5289"/>
    <w:rsid w:val="00311FA6"/>
    <w:rsid w:val="003F7A2D"/>
    <w:rsid w:val="004304C2"/>
    <w:rsid w:val="004C547C"/>
    <w:rsid w:val="006E716F"/>
    <w:rsid w:val="00734F68"/>
    <w:rsid w:val="007C1A57"/>
    <w:rsid w:val="007F244C"/>
    <w:rsid w:val="00822ED0"/>
    <w:rsid w:val="00826F9A"/>
    <w:rsid w:val="00843CD5"/>
    <w:rsid w:val="00844EC8"/>
    <w:rsid w:val="009F7478"/>
    <w:rsid w:val="00A80E02"/>
    <w:rsid w:val="00AA76B3"/>
    <w:rsid w:val="00B7553A"/>
    <w:rsid w:val="00B85BF4"/>
    <w:rsid w:val="00C5672E"/>
    <w:rsid w:val="00C634E4"/>
    <w:rsid w:val="00CD20ED"/>
    <w:rsid w:val="00D07B4C"/>
    <w:rsid w:val="00DA6A3F"/>
    <w:rsid w:val="00EB4800"/>
    <w:rsid w:val="00EC62B6"/>
    <w:rsid w:val="00F069CE"/>
    <w:rsid w:val="00F67F23"/>
    <w:rsid w:val="00F955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2DF8F"/>
  <w15:docId w15:val="{B98F98AF-F58B-4425-A333-8AD69DD13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GB" w:eastAsia="en-GB"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50B4"/>
  </w:style>
  <w:style w:type="paragraph" w:styleId="Heading1">
    <w:name w:val="heading 1"/>
    <w:link w:val="Heading1Char"/>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link w:val="TitleChar"/>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character" w:customStyle="1" w:styleId="Heading1Char">
    <w:name w:val="Heading 1 Char"/>
    <w:basedOn w:val="DefaultParagraphFont"/>
    <w:link w:val="Heading1"/>
    <w:uiPriority w:val="9"/>
    <w:rsid w:val="00B85BF4"/>
    <w:rPr>
      <w:color w:val="2E74B5"/>
      <w:sz w:val="32"/>
      <w:szCs w:val="32"/>
    </w:rPr>
  </w:style>
  <w:style w:type="character" w:customStyle="1" w:styleId="TitleChar">
    <w:name w:val="Title Char"/>
    <w:basedOn w:val="DefaultParagraphFont"/>
    <w:link w:val="Title"/>
    <w:uiPriority w:val="10"/>
    <w:rsid w:val="00B85BF4"/>
    <w:rPr>
      <w:sz w:val="56"/>
      <w:szCs w:val="56"/>
    </w:rPr>
  </w:style>
  <w:style w:type="paragraph" w:styleId="Header">
    <w:name w:val="header"/>
    <w:basedOn w:val="Normal"/>
    <w:link w:val="HeaderChar"/>
    <w:uiPriority w:val="99"/>
    <w:unhideWhenUsed/>
    <w:rsid w:val="001650B4"/>
    <w:pPr>
      <w:tabs>
        <w:tab w:val="center" w:pos="4513"/>
        <w:tab w:val="right" w:pos="9026"/>
      </w:tabs>
    </w:pPr>
  </w:style>
  <w:style w:type="character" w:customStyle="1" w:styleId="HeaderChar">
    <w:name w:val="Header Char"/>
    <w:basedOn w:val="DefaultParagraphFont"/>
    <w:link w:val="Header"/>
    <w:uiPriority w:val="99"/>
    <w:rsid w:val="001650B4"/>
  </w:style>
  <w:style w:type="paragraph" w:styleId="Footer">
    <w:name w:val="footer"/>
    <w:basedOn w:val="Normal"/>
    <w:link w:val="FooterChar"/>
    <w:uiPriority w:val="99"/>
    <w:unhideWhenUsed/>
    <w:rsid w:val="001650B4"/>
    <w:pPr>
      <w:tabs>
        <w:tab w:val="center" w:pos="4513"/>
        <w:tab w:val="right" w:pos="9026"/>
      </w:tabs>
    </w:pPr>
  </w:style>
  <w:style w:type="character" w:customStyle="1" w:styleId="FooterChar">
    <w:name w:val="Footer Char"/>
    <w:basedOn w:val="DefaultParagraphFont"/>
    <w:link w:val="Footer"/>
    <w:uiPriority w:val="99"/>
    <w:rsid w:val="001650B4"/>
  </w:style>
  <w:style w:type="character" w:styleId="CommentReference">
    <w:name w:val="annotation reference"/>
    <w:basedOn w:val="DefaultParagraphFont"/>
    <w:uiPriority w:val="99"/>
    <w:semiHidden/>
    <w:unhideWhenUsed/>
    <w:rsid w:val="00826F9A"/>
    <w:rPr>
      <w:sz w:val="16"/>
      <w:szCs w:val="16"/>
    </w:rPr>
  </w:style>
  <w:style w:type="paragraph" w:styleId="CommentText">
    <w:name w:val="annotation text"/>
    <w:basedOn w:val="Normal"/>
    <w:link w:val="CommentTextChar"/>
    <w:uiPriority w:val="99"/>
    <w:semiHidden/>
    <w:unhideWhenUsed/>
    <w:rsid w:val="00826F9A"/>
  </w:style>
  <w:style w:type="character" w:customStyle="1" w:styleId="CommentTextChar">
    <w:name w:val="Comment Text Char"/>
    <w:basedOn w:val="DefaultParagraphFont"/>
    <w:link w:val="CommentText"/>
    <w:uiPriority w:val="99"/>
    <w:semiHidden/>
    <w:rsid w:val="00826F9A"/>
  </w:style>
  <w:style w:type="paragraph" w:styleId="CommentSubject">
    <w:name w:val="annotation subject"/>
    <w:basedOn w:val="CommentText"/>
    <w:next w:val="CommentText"/>
    <w:link w:val="CommentSubjectChar"/>
    <w:uiPriority w:val="99"/>
    <w:semiHidden/>
    <w:unhideWhenUsed/>
    <w:rsid w:val="00826F9A"/>
    <w:rPr>
      <w:b/>
      <w:bCs/>
    </w:rPr>
  </w:style>
  <w:style w:type="character" w:customStyle="1" w:styleId="CommentSubjectChar">
    <w:name w:val="Comment Subject Char"/>
    <w:basedOn w:val="CommentTextChar"/>
    <w:link w:val="CommentSubject"/>
    <w:uiPriority w:val="99"/>
    <w:semiHidden/>
    <w:rsid w:val="00826F9A"/>
    <w:rPr>
      <w:b/>
      <w:bCs/>
    </w:rPr>
  </w:style>
  <w:style w:type="paragraph" w:styleId="NormalWeb">
    <w:name w:val="Normal (Web)"/>
    <w:basedOn w:val="Normal"/>
    <w:uiPriority w:val="99"/>
    <w:semiHidden/>
    <w:unhideWhenUsed/>
    <w:rsid w:val="00206AD9"/>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841915">
      <w:bodyDiv w:val="1"/>
      <w:marLeft w:val="0"/>
      <w:marRight w:val="0"/>
      <w:marTop w:val="0"/>
      <w:marBottom w:val="0"/>
      <w:divBdr>
        <w:top w:val="none" w:sz="0" w:space="0" w:color="auto"/>
        <w:left w:val="none" w:sz="0" w:space="0" w:color="auto"/>
        <w:bottom w:val="none" w:sz="0" w:space="0" w:color="auto"/>
        <w:right w:val="none" w:sz="0" w:space="0" w:color="auto"/>
      </w:divBdr>
    </w:div>
    <w:div w:id="70084867">
      <w:bodyDiv w:val="1"/>
      <w:marLeft w:val="0"/>
      <w:marRight w:val="0"/>
      <w:marTop w:val="0"/>
      <w:marBottom w:val="0"/>
      <w:divBdr>
        <w:top w:val="none" w:sz="0" w:space="0" w:color="auto"/>
        <w:left w:val="none" w:sz="0" w:space="0" w:color="auto"/>
        <w:bottom w:val="none" w:sz="0" w:space="0" w:color="auto"/>
        <w:right w:val="none" w:sz="0" w:space="0" w:color="auto"/>
      </w:divBdr>
    </w:div>
    <w:div w:id="690451256">
      <w:bodyDiv w:val="1"/>
      <w:marLeft w:val="0"/>
      <w:marRight w:val="0"/>
      <w:marTop w:val="0"/>
      <w:marBottom w:val="0"/>
      <w:divBdr>
        <w:top w:val="none" w:sz="0" w:space="0" w:color="auto"/>
        <w:left w:val="none" w:sz="0" w:space="0" w:color="auto"/>
        <w:bottom w:val="none" w:sz="0" w:space="0" w:color="auto"/>
        <w:right w:val="none" w:sz="0" w:space="0" w:color="auto"/>
      </w:divBdr>
    </w:div>
    <w:div w:id="817890171">
      <w:bodyDiv w:val="1"/>
      <w:marLeft w:val="0"/>
      <w:marRight w:val="0"/>
      <w:marTop w:val="0"/>
      <w:marBottom w:val="0"/>
      <w:divBdr>
        <w:top w:val="none" w:sz="0" w:space="0" w:color="auto"/>
        <w:left w:val="none" w:sz="0" w:space="0" w:color="auto"/>
        <w:bottom w:val="none" w:sz="0" w:space="0" w:color="auto"/>
        <w:right w:val="none" w:sz="0" w:space="0" w:color="auto"/>
      </w:divBdr>
    </w:div>
    <w:div w:id="877011759">
      <w:bodyDiv w:val="1"/>
      <w:marLeft w:val="0"/>
      <w:marRight w:val="0"/>
      <w:marTop w:val="0"/>
      <w:marBottom w:val="0"/>
      <w:divBdr>
        <w:top w:val="none" w:sz="0" w:space="0" w:color="auto"/>
        <w:left w:val="none" w:sz="0" w:space="0" w:color="auto"/>
        <w:bottom w:val="none" w:sz="0" w:space="0" w:color="auto"/>
        <w:right w:val="none" w:sz="0" w:space="0" w:color="auto"/>
      </w:divBdr>
    </w:div>
    <w:div w:id="90394750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34AC14-15C1-4B6A-8B60-6E768A394C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323</TotalTime>
  <Pages>17</Pages>
  <Words>3841</Words>
  <Characters>21900</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KARAN YADAV</cp:lastModifiedBy>
  <cp:revision>11</cp:revision>
  <dcterms:created xsi:type="dcterms:W3CDTF">2026-08-16T16:51:00Z</dcterms:created>
  <dcterms:modified xsi:type="dcterms:W3CDTF">2026-08-19T07:15:00Z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1c15aadd-c77e-4287-aa8c-8e821d925d00</vt:lpwstr>
  </property>
</Properties>
</file>