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4B1B9">
      <w:pPr>
        <w:rPr>
          <w:rFonts w:ascii="Times New Roman" w:hAnsi="Times New Roman" w:cs="Times New Roman"/>
        </w:rPr>
      </w:pPr>
    </w:p>
    <w:p w14:paraId="56942DA4">
      <w:pPr>
        <w:rPr>
          <w:rFonts w:ascii="Times New Roman" w:hAnsi="Times New Roman" w:cs="Times New Roman"/>
        </w:rPr>
      </w:pPr>
    </w:p>
    <w:p w14:paraId="7E8308EA">
      <w:pPr>
        <w:rPr>
          <w:rFonts w:ascii="Times New Roman" w:hAnsi="Times New Roman" w:cs="Times New Roman"/>
        </w:rPr>
      </w:pPr>
    </w:p>
    <w:p w14:paraId="44C9E0C2">
      <w:pPr>
        <w:spacing w:line="480" w:lineRule="auto"/>
        <w:jc w:val="center"/>
        <w:rPr>
          <w:rFonts w:ascii="Times New Roman" w:hAnsi="Times New Roman" w:cs="Times New Roman"/>
          <w:b/>
          <w:bCs/>
        </w:rPr>
      </w:pPr>
      <w:r>
        <w:rPr>
          <w:rFonts w:ascii="Times New Roman" w:hAnsi="Times New Roman" w:cs="Times New Roman"/>
          <w:b/>
          <w:bCs/>
        </w:rPr>
        <w:t>An Examination and Analysis of How the ‘Early Help’ System Is Signposted to UK Families by Three Local Authority Websites</w:t>
      </w:r>
    </w:p>
    <w:p w14:paraId="38DD657A">
      <w:pPr>
        <w:spacing w:line="480" w:lineRule="auto"/>
        <w:rPr>
          <w:rFonts w:ascii="Times New Roman" w:hAnsi="Times New Roman" w:cs="Times New Roman"/>
        </w:rPr>
      </w:pPr>
    </w:p>
    <w:p w14:paraId="371D7C2E">
      <w:pPr>
        <w:spacing w:line="480" w:lineRule="auto"/>
        <w:rPr>
          <w:rFonts w:ascii="Times New Roman" w:hAnsi="Times New Roman" w:cs="Times New Roman"/>
        </w:rPr>
      </w:pPr>
    </w:p>
    <w:p w14:paraId="180EFC38">
      <w:pPr>
        <w:spacing w:line="480" w:lineRule="auto"/>
        <w:rPr>
          <w:rFonts w:ascii="Times New Roman" w:hAnsi="Times New Roman" w:cs="Times New Roman"/>
        </w:rPr>
      </w:pPr>
    </w:p>
    <w:p w14:paraId="166EB334">
      <w:pPr>
        <w:spacing w:line="480" w:lineRule="auto"/>
        <w:rPr>
          <w:rFonts w:ascii="Times New Roman" w:hAnsi="Times New Roman" w:cs="Times New Roman"/>
        </w:rPr>
      </w:pPr>
    </w:p>
    <w:p w14:paraId="1DEA08F6">
      <w:pPr>
        <w:spacing w:line="480" w:lineRule="auto"/>
        <w:rPr>
          <w:rFonts w:ascii="Times New Roman" w:hAnsi="Times New Roman" w:cs="Times New Roman"/>
        </w:rPr>
      </w:pPr>
    </w:p>
    <w:p w14:paraId="77D345C7">
      <w:pPr>
        <w:spacing w:line="480" w:lineRule="auto"/>
        <w:rPr>
          <w:rFonts w:ascii="Times New Roman" w:hAnsi="Times New Roman" w:cs="Times New Roman"/>
        </w:rPr>
      </w:pPr>
    </w:p>
    <w:p w14:paraId="2C705244">
      <w:pPr>
        <w:spacing w:line="480" w:lineRule="auto"/>
        <w:rPr>
          <w:rFonts w:ascii="Times New Roman" w:hAnsi="Times New Roman" w:cs="Times New Roman"/>
        </w:rPr>
      </w:pPr>
    </w:p>
    <w:p w14:paraId="6A3C48B9">
      <w:pPr>
        <w:spacing w:line="480" w:lineRule="auto"/>
        <w:rPr>
          <w:rFonts w:ascii="Times New Roman" w:hAnsi="Times New Roman" w:cs="Times New Roman"/>
        </w:rPr>
      </w:pPr>
    </w:p>
    <w:p w14:paraId="383CC1E4">
      <w:pPr>
        <w:spacing w:line="480" w:lineRule="auto"/>
        <w:rPr>
          <w:rFonts w:ascii="Times New Roman" w:hAnsi="Times New Roman" w:cs="Times New Roman"/>
        </w:rPr>
      </w:pPr>
    </w:p>
    <w:p w14:paraId="571A8FF2">
      <w:pPr>
        <w:spacing w:line="480" w:lineRule="auto"/>
        <w:rPr>
          <w:rFonts w:ascii="Times New Roman" w:hAnsi="Times New Roman" w:cs="Times New Roman"/>
        </w:rPr>
      </w:pPr>
    </w:p>
    <w:p w14:paraId="3F32F6C2">
      <w:pPr>
        <w:spacing w:line="480" w:lineRule="auto"/>
        <w:jc w:val="center"/>
        <w:rPr>
          <w:rFonts w:hint="default" w:ascii="Times New Roman" w:hAnsi="Times New Roman" w:cs="Times New Roman"/>
          <w:lang w:val="en-GB"/>
        </w:rPr>
      </w:pPr>
      <w:r>
        <w:rPr>
          <w:rFonts w:ascii="Times New Roman" w:hAnsi="Times New Roman" w:cs="Times New Roman"/>
        </w:rPr>
        <w:t xml:space="preserve">Student </w:t>
      </w:r>
      <w:r>
        <w:rPr>
          <w:rFonts w:ascii="Times New Roman" w:hAnsi="Times New Roman" w:cs="Times New Roman"/>
          <w:lang w:val="en-GB"/>
        </w:rPr>
        <w:t xml:space="preserve">Name: </w:t>
      </w:r>
      <w:r>
        <w:rPr>
          <w:rFonts w:hint="default" w:ascii="Times New Roman" w:hAnsi="Times New Roman" w:cs="Times New Roman"/>
          <w:lang w:val="en-GB"/>
        </w:rPr>
        <w:t xml:space="preserve">Pavlin Enchev </w:t>
      </w:r>
    </w:p>
    <w:p w14:paraId="5DCC0A3C">
      <w:pPr>
        <w:spacing w:line="480" w:lineRule="auto"/>
        <w:jc w:val="center"/>
        <w:rPr>
          <w:rFonts w:hint="default" w:ascii="Times New Roman" w:hAnsi="Times New Roman" w:cs="Times New Roman"/>
          <w:lang w:val="en-GB"/>
        </w:rPr>
      </w:pPr>
      <w:r>
        <w:rPr>
          <w:rFonts w:hint="default" w:ascii="Times New Roman" w:hAnsi="Times New Roman" w:cs="Times New Roman"/>
          <w:lang w:val="en-GB"/>
        </w:rPr>
        <w:t xml:space="preserve">Student Number: 2327272 </w:t>
      </w:r>
    </w:p>
    <w:p w14:paraId="0E331447">
      <w:pPr>
        <w:spacing w:line="480" w:lineRule="auto"/>
        <w:jc w:val="center"/>
        <w:rPr>
          <w:rFonts w:hint="default" w:ascii="Times New Roman" w:hAnsi="Times New Roman" w:cs="Times New Roman"/>
          <w:lang w:val="en-GB"/>
        </w:rPr>
      </w:pPr>
      <w:r>
        <w:rPr>
          <w:rFonts w:ascii="Times New Roman" w:hAnsi="Times New Roman" w:cs="Times New Roman"/>
        </w:rPr>
        <w:t>Professor’s Full Name</w:t>
      </w:r>
      <w:r>
        <w:rPr>
          <w:rFonts w:hint="default" w:ascii="Times New Roman" w:hAnsi="Times New Roman" w:cs="Times New Roman"/>
          <w:lang w:val="en-GB"/>
        </w:rPr>
        <w:t>: Amanda Jones</w:t>
      </w:r>
      <w:bookmarkStart w:id="10" w:name="_GoBack"/>
      <w:bookmarkEnd w:id="10"/>
    </w:p>
    <w:p w14:paraId="25601521">
      <w:pPr>
        <w:spacing w:line="480" w:lineRule="auto"/>
        <w:jc w:val="both"/>
        <w:rPr>
          <w:rFonts w:ascii="Times New Roman" w:hAnsi="Times New Roman" w:cs="Times New Roman"/>
        </w:rPr>
      </w:pPr>
    </w:p>
    <w:p w14:paraId="074EBC2A">
      <w:pPr>
        <w:rPr>
          <w:rFonts w:ascii="Times New Roman" w:hAnsi="Times New Roman" w:cs="Times New Roman"/>
        </w:rPr>
      </w:pPr>
    </w:p>
    <w:sdt>
      <w:sdtPr>
        <w:id w:val="-741027998"/>
        <w:docPartObj>
          <w:docPartGallery w:val="Table of Contents"/>
          <w:docPartUnique/>
        </w:docPartObj>
      </w:sdtPr>
      <w:sdtEndPr>
        <w:rPr>
          <w:rFonts w:asciiTheme="minorHAnsi" w:hAnsiTheme="minorHAnsi" w:eastAsiaTheme="minorHAnsi" w:cstheme="minorBidi"/>
          <w:b/>
          <w:bCs/>
          <w:color w:val="auto"/>
          <w:kern w:val="2"/>
          <w:sz w:val="24"/>
          <w:szCs w:val="24"/>
          <w:lang w:val="zh-CN"/>
          <w14:ligatures w14:val="standardContextual"/>
        </w:rPr>
      </w:sdtEndPr>
      <w:sdtContent>
        <w:p w14:paraId="30C76F6A">
          <w:pPr>
            <w:pStyle w:val="42"/>
            <w:rPr>
              <w:rFonts w:ascii="Times New Roman" w:hAnsi="Times New Roman" w:cs="Times New Roman"/>
            </w:rPr>
          </w:pPr>
          <w:r>
            <w:rPr>
              <w:rFonts w:ascii="Times New Roman" w:hAnsi="Times New Roman" w:cs="Times New Roman"/>
            </w:rPr>
            <w:t>Table of Contents</w:t>
          </w:r>
        </w:p>
        <w:p w14:paraId="57FD3677">
          <w:pPr>
            <w:pStyle w:val="19"/>
            <w:tabs>
              <w:tab w:val="right" w:leader="dot" w:pos="9016"/>
            </w:tabs>
          </w:pPr>
          <w:r>
            <w:fldChar w:fldCharType="begin"/>
          </w:r>
          <w:r>
            <w:instrText xml:space="preserve"> TOC \o "1-3" \h \z \u </w:instrText>
          </w:r>
          <w:r>
            <w:fldChar w:fldCharType="separate"/>
          </w:r>
          <w:r>
            <w:fldChar w:fldCharType="begin"/>
          </w:r>
          <w:r>
            <w:instrText xml:space="preserve"> HYPERLINK \l "_Toc216290248" </w:instrText>
          </w:r>
          <w:r>
            <w:fldChar w:fldCharType="separate"/>
          </w:r>
          <w:r>
            <w:rPr>
              <w:rStyle w:val="15"/>
              <w:rFonts w:ascii="Times New Roman" w:hAnsi="Times New Roman" w:cs="Times New Roman"/>
            </w:rPr>
            <w:t>Introduction</w:t>
          </w:r>
          <w:r>
            <w:tab/>
          </w:r>
          <w:r>
            <w:fldChar w:fldCharType="begin"/>
          </w:r>
          <w:r>
            <w:instrText xml:space="preserve"> PAGEREF _Toc216290248 \h </w:instrText>
          </w:r>
          <w:r>
            <w:fldChar w:fldCharType="separate"/>
          </w:r>
          <w:r>
            <w:t>3</w:t>
          </w:r>
          <w:r>
            <w:fldChar w:fldCharType="end"/>
          </w:r>
          <w:r>
            <w:fldChar w:fldCharType="end"/>
          </w:r>
        </w:p>
        <w:p w14:paraId="5FFE5C7B">
          <w:pPr>
            <w:pStyle w:val="19"/>
            <w:tabs>
              <w:tab w:val="right" w:leader="dot" w:pos="9016"/>
            </w:tabs>
          </w:pPr>
          <w:r>
            <w:fldChar w:fldCharType="begin"/>
          </w:r>
          <w:r>
            <w:instrText xml:space="preserve"> HYPERLINK \l "_Toc216290249" </w:instrText>
          </w:r>
          <w:r>
            <w:fldChar w:fldCharType="separate"/>
          </w:r>
          <w:r>
            <w:rPr>
              <w:rStyle w:val="15"/>
              <w:rFonts w:ascii="Times New Roman" w:hAnsi="Times New Roman" w:cs="Times New Roman"/>
            </w:rPr>
            <w:t>Explanation of the Early Help System</w:t>
          </w:r>
          <w:r>
            <w:tab/>
          </w:r>
          <w:r>
            <w:fldChar w:fldCharType="begin"/>
          </w:r>
          <w:r>
            <w:instrText xml:space="preserve"> PAGEREF _Toc216290249 \h </w:instrText>
          </w:r>
          <w:r>
            <w:fldChar w:fldCharType="separate"/>
          </w:r>
          <w:r>
            <w:t>3</w:t>
          </w:r>
          <w:r>
            <w:fldChar w:fldCharType="end"/>
          </w:r>
          <w:r>
            <w:fldChar w:fldCharType="end"/>
          </w:r>
        </w:p>
        <w:p w14:paraId="4C5CB163">
          <w:pPr>
            <w:pStyle w:val="19"/>
            <w:tabs>
              <w:tab w:val="right" w:leader="dot" w:pos="9016"/>
            </w:tabs>
          </w:pPr>
          <w:r>
            <w:fldChar w:fldCharType="begin"/>
          </w:r>
          <w:r>
            <w:instrText xml:space="preserve"> HYPERLINK \l "_Toc216290250" </w:instrText>
          </w:r>
          <w:r>
            <w:fldChar w:fldCharType="separate"/>
          </w:r>
          <w:r>
            <w:rPr>
              <w:rStyle w:val="15"/>
              <w:rFonts w:ascii="Times New Roman" w:hAnsi="Times New Roman" w:cs="Times New Roman"/>
            </w:rPr>
            <w:t>Explanation of Multi-Agency Working</w:t>
          </w:r>
          <w:r>
            <w:tab/>
          </w:r>
          <w:r>
            <w:fldChar w:fldCharType="begin"/>
          </w:r>
          <w:r>
            <w:instrText xml:space="preserve"> PAGEREF _Toc216290250 \h </w:instrText>
          </w:r>
          <w:r>
            <w:fldChar w:fldCharType="separate"/>
          </w:r>
          <w:r>
            <w:t>4</w:t>
          </w:r>
          <w:r>
            <w:fldChar w:fldCharType="end"/>
          </w:r>
          <w:r>
            <w:fldChar w:fldCharType="end"/>
          </w:r>
        </w:p>
        <w:p w14:paraId="761590B1">
          <w:pPr>
            <w:pStyle w:val="19"/>
            <w:tabs>
              <w:tab w:val="right" w:leader="dot" w:pos="9016"/>
            </w:tabs>
          </w:pPr>
          <w:r>
            <w:fldChar w:fldCharType="begin"/>
          </w:r>
          <w:r>
            <w:instrText xml:space="preserve"> HYPERLINK \l "_Toc216290251" </w:instrText>
          </w:r>
          <w:r>
            <w:fldChar w:fldCharType="separate"/>
          </w:r>
          <w:r>
            <w:rPr>
              <w:rStyle w:val="15"/>
              <w:rFonts w:ascii="Times New Roman" w:hAnsi="Times New Roman" w:cs="Times New Roman"/>
            </w:rPr>
            <w:t>Evaluation of the Three Local Authority Websites</w:t>
          </w:r>
          <w:r>
            <w:tab/>
          </w:r>
          <w:r>
            <w:fldChar w:fldCharType="begin"/>
          </w:r>
          <w:r>
            <w:instrText xml:space="preserve"> PAGEREF _Toc216290251 \h </w:instrText>
          </w:r>
          <w:r>
            <w:fldChar w:fldCharType="separate"/>
          </w:r>
          <w:r>
            <w:t>5</w:t>
          </w:r>
          <w:r>
            <w:fldChar w:fldCharType="end"/>
          </w:r>
          <w:r>
            <w:fldChar w:fldCharType="end"/>
          </w:r>
        </w:p>
        <w:p w14:paraId="32E5DC1B">
          <w:pPr>
            <w:pStyle w:val="20"/>
            <w:tabs>
              <w:tab w:val="right" w:leader="dot" w:pos="9016"/>
            </w:tabs>
          </w:pPr>
          <w:r>
            <w:fldChar w:fldCharType="begin"/>
          </w:r>
          <w:r>
            <w:instrText xml:space="preserve"> HYPERLINK \l "_Toc216290252" </w:instrText>
          </w:r>
          <w:r>
            <w:fldChar w:fldCharType="separate"/>
          </w:r>
          <w:r>
            <w:rPr>
              <w:rStyle w:val="15"/>
              <w:rFonts w:ascii="Times New Roman" w:hAnsi="Times New Roman" w:cs="Times New Roman"/>
            </w:rPr>
            <w:t>1. Leeds City Council</w:t>
          </w:r>
          <w:r>
            <w:tab/>
          </w:r>
          <w:r>
            <w:fldChar w:fldCharType="begin"/>
          </w:r>
          <w:r>
            <w:instrText xml:space="preserve"> PAGEREF _Toc216290252 \h </w:instrText>
          </w:r>
          <w:r>
            <w:fldChar w:fldCharType="separate"/>
          </w:r>
          <w:r>
            <w:t>5</w:t>
          </w:r>
          <w:r>
            <w:fldChar w:fldCharType="end"/>
          </w:r>
          <w:r>
            <w:fldChar w:fldCharType="end"/>
          </w:r>
        </w:p>
        <w:p w14:paraId="508C3C53">
          <w:pPr>
            <w:pStyle w:val="20"/>
            <w:tabs>
              <w:tab w:val="right" w:leader="dot" w:pos="9016"/>
            </w:tabs>
          </w:pPr>
          <w:r>
            <w:fldChar w:fldCharType="begin"/>
          </w:r>
          <w:r>
            <w:instrText xml:space="preserve"> HYPERLINK \l "_Toc216290253" </w:instrText>
          </w:r>
          <w:r>
            <w:fldChar w:fldCharType="separate"/>
          </w:r>
          <w:r>
            <w:rPr>
              <w:rStyle w:val="15"/>
              <w:rFonts w:ascii="Times New Roman" w:hAnsi="Times New Roman" w:cs="Times New Roman"/>
            </w:rPr>
            <w:t>2. Norfolk County Council</w:t>
          </w:r>
          <w:r>
            <w:tab/>
          </w:r>
          <w:r>
            <w:fldChar w:fldCharType="begin"/>
          </w:r>
          <w:r>
            <w:instrText xml:space="preserve"> PAGEREF _Toc216290253 \h </w:instrText>
          </w:r>
          <w:r>
            <w:fldChar w:fldCharType="separate"/>
          </w:r>
          <w:r>
            <w:t>7</w:t>
          </w:r>
          <w:r>
            <w:fldChar w:fldCharType="end"/>
          </w:r>
          <w:r>
            <w:fldChar w:fldCharType="end"/>
          </w:r>
        </w:p>
        <w:p w14:paraId="1090795B">
          <w:pPr>
            <w:pStyle w:val="20"/>
            <w:tabs>
              <w:tab w:val="right" w:leader="dot" w:pos="9016"/>
            </w:tabs>
          </w:pPr>
          <w:r>
            <w:fldChar w:fldCharType="begin"/>
          </w:r>
          <w:r>
            <w:instrText xml:space="preserve"> HYPERLINK \l "_Toc216290254" </w:instrText>
          </w:r>
          <w:r>
            <w:fldChar w:fldCharType="separate"/>
          </w:r>
          <w:r>
            <w:rPr>
              <w:rStyle w:val="15"/>
              <w:rFonts w:ascii="Times New Roman" w:hAnsi="Times New Roman" w:cs="Times New Roman"/>
            </w:rPr>
            <w:t>3. Nottinghamshire County Council</w:t>
          </w:r>
          <w:r>
            <w:tab/>
          </w:r>
          <w:r>
            <w:fldChar w:fldCharType="begin"/>
          </w:r>
          <w:r>
            <w:instrText xml:space="preserve"> PAGEREF _Toc216290254 \h </w:instrText>
          </w:r>
          <w:r>
            <w:fldChar w:fldCharType="separate"/>
          </w:r>
          <w:r>
            <w:t>8</w:t>
          </w:r>
          <w:r>
            <w:fldChar w:fldCharType="end"/>
          </w:r>
          <w:r>
            <w:fldChar w:fldCharType="end"/>
          </w:r>
        </w:p>
        <w:p w14:paraId="3D85BA87">
          <w:pPr>
            <w:pStyle w:val="19"/>
            <w:tabs>
              <w:tab w:val="right" w:leader="dot" w:pos="9016"/>
            </w:tabs>
          </w:pPr>
          <w:r>
            <w:fldChar w:fldCharType="begin"/>
          </w:r>
          <w:r>
            <w:instrText xml:space="preserve"> HYPERLINK \l "_Toc216290255" </w:instrText>
          </w:r>
          <w:r>
            <w:fldChar w:fldCharType="separate"/>
          </w:r>
          <w:r>
            <w:rPr>
              <w:rStyle w:val="15"/>
              <w:rFonts w:ascii="Times New Roman" w:hAnsi="Times New Roman" w:cs="Times New Roman"/>
            </w:rPr>
            <w:t>Comparative Analysis: Strengths and Weaknesses across the Three Websites</w:t>
          </w:r>
          <w:r>
            <w:tab/>
          </w:r>
          <w:r>
            <w:fldChar w:fldCharType="begin"/>
          </w:r>
          <w:r>
            <w:instrText xml:space="preserve"> PAGEREF _Toc216290255 \h </w:instrText>
          </w:r>
          <w:r>
            <w:fldChar w:fldCharType="separate"/>
          </w:r>
          <w:r>
            <w:t>9</w:t>
          </w:r>
          <w:r>
            <w:fldChar w:fldCharType="end"/>
          </w:r>
          <w:r>
            <w:fldChar w:fldCharType="end"/>
          </w:r>
        </w:p>
        <w:p w14:paraId="000B6DA6">
          <w:pPr>
            <w:pStyle w:val="19"/>
            <w:tabs>
              <w:tab w:val="right" w:leader="dot" w:pos="9016"/>
            </w:tabs>
          </w:pPr>
          <w:r>
            <w:fldChar w:fldCharType="begin"/>
          </w:r>
          <w:r>
            <w:instrText xml:space="preserve"> HYPERLINK \l "_Toc216290256" </w:instrText>
          </w:r>
          <w:r>
            <w:fldChar w:fldCharType="separate"/>
          </w:r>
          <w:r>
            <w:rPr>
              <w:rStyle w:val="15"/>
              <w:rFonts w:ascii="Times New Roman" w:hAnsi="Times New Roman" w:cs="Times New Roman"/>
            </w:rPr>
            <w:t>Conclusion and Recommendations</w:t>
          </w:r>
          <w:r>
            <w:tab/>
          </w:r>
          <w:r>
            <w:fldChar w:fldCharType="begin"/>
          </w:r>
          <w:r>
            <w:instrText xml:space="preserve"> PAGEREF _Toc216290256 \h </w:instrText>
          </w:r>
          <w:r>
            <w:fldChar w:fldCharType="separate"/>
          </w:r>
          <w:r>
            <w:t>10</w:t>
          </w:r>
          <w:r>
            <w:fldChar w:fldCharType="end"/>
          </w:r>
          <w:r>
            <w:fldChar w:fldCharType="end"/>
          </w:r>
        </w:p>
        <w:p w14:paraId="1299A48C">
          <w:pPr>
            <w:pStyle w:val="19"/>
            <w:tabs>
              <w:tab w:val="right" w:leader="dot" w:pos="9016"/>
            </w:tabs>
          </w:pPr>
          <w:r>
            <w:fldChar w:fldCharType="begin"/>
          </w:r>
          <w:r>
            <w:instrText xml:space="preserve"> HYPERLINK \l "_Toc216290257" </w:instrText>
          </w:r>
          <w:r>
            <w:fldChar w:fldCharType="separate"/>
          </w:r>
          <w:r>
            <w:rPr>
              <w:rStyle w:val="15"/>
              <w:rFonts w:ascii="Times New Roman" w:hAnsi="Times New Roman" w:cs="Times New Roman"/>
            </w:rPr>
            <w:t>Reference List</w:t>
          </w:r>
          <w:r>
            <w:tab/>
          </w:r>
          <w:r>
            <w:fldChar w:fldCharType="begin"/>
          </w:r>
          <w:r>
            <w:instrText xml:space="preserve"> PAGEREF _Toc216290257 \h </w:instrText>
          </w:r>
          <w:r>
            <w:fldChar w:fldCharType="separate"/>
          </w:r>
          <w:r>
            <w:t>13</w:t>
          </w:r>
          <w:r>
            <w:fldChar w:fldCharType="end"/>
          </w:r>
          <w:r>
            <w:fldChar w:fldCharType="end"/>
          </w:r>
        </w:p>
        <w:p w14:paraId="0E228626">
          <w:r>
            <w:rPr>
              <w:b/>
              <w:bCs/>
            </w:rPr>
            <w:fldChar w:fldCharType="end"/>
          </w:r>
        </w:p>
      </w:sdtContent>
    </w:sdt>
    <w:p w14:paraId="1E87862B">
      <w:pPr>
        <w:rPr>
          <w:rFonts w:ascii="Times New Roman" w:hAnsi="Times New Roman" w:cs="Times New Roman"/>
        </w:rPr>
      </w:pPr>
    </w:p>
    <w:p w14:paraId="5C654947">
      <w:pPr>
        <w:rPr>
          <w:rFonts w:ascii="Times New Roman" w:hAnsi="Times New Roman" w:cs="Times New Roman"/>
        </w:rPr>
      </w:pPr>
      <w:r>
        <w:rPr>
          <w:rFonts w:ascii="Times New Roman" w:hAnsi="Times New Roman" w:cs="Times New Roman"/>
        </w:rPr>
        <w:br w:type="page"/>
      </w:r>
    </w:p>
    <w:p w14:paraId="65E3B356">
      <w:pPr>
        <w:pStyle w:val="2"/>
        <w:rPr>
          <w:rFonts w:ascii="Times New Roman" w:hAnsi="Times New Roman" w:cs="Times New Roman"/>
          <w:sz w:val="24"/>
          <w:szCs w:val="24"/>
        </w:rPr>
      </w:pPr>
      <w:bookmarkStart w:id="0" w:name="_Toc216290248"/>
      <w:r>
        <w:rPr>
          <w:rFonts w:ascii="Times New Roman" w:hAnsi="Times New Roman" w:cs="Times New Roman"/>
          <w:sz w:val="24"/>
          <w:szCs w:val="24"/>
        </w:rPr>
        <w:t>Introduction</w:t>
      </w:r>
      <w:bookmarkEnd w:id="0"/>
    </w:p>
    <w:p w14:paraId="20B1A6F2">
      <w:pPr>
        <w:spacing w:line="480" w:lineRule="auto"/>
        <w:ind w:firstLine="720"/>
        <w:rPr>
          <w:rFonts w:ascii="Times New Roman" w:hAnsi="Times New Roman" w:cs="Times New Roman"/>
        </w:rPr>
      </w:pPr>
      <w:r>
        <w:rPr>
          <w:rFonts w:ascii="Times New Roman" w:hAnsi="Times New Roman" w:cs="Times New Roman"/>
        </w:rPr>
        <w:t xml:space="preserve">‘Early Help’ constitutes a crucial component of support that is offered to children and families in the United Kingdom. The local authorities have to make information easier to understand to make the families see what Early Help is, how it works, and how they can obtain the support when it is the right moment. This report discusses the communication of Early Help on the public websites of three local authorities: Leeds City Council, Norfolk County Council, and Nottinghamshire County Council. The critique is based on clarity, access, the level of information, and conformity to national guidance. In writing the report, the Early Help System Guide (Department for Education, 2022) and Working Together to Safeguard Children (HM Government, 2023) proved imperative. The report concludes and recommends areas for early help communication with local authorities for improvements. </w:t>
      </w:r>
    </w:p>
    <w:p w14:paraId="32292AE0">
      <w:pPr>
        <w:pStyle w:val="2"/>
        <w:jc w:val="center"/>
        <w:rPr>
          <w:rFonts w:ascii="Times New Roman" w:hAnsi="Times New Roman" w:cs="Times New Roman"/>
          <w:sz w:val="24"/>
          <w:szCs w:val="24"/>
        </w:rPr>
      </w:pPr>
      <w:bookmarkStart w:id="1" w:name="_Toc216290249"/>
      <w:r>
        <w:rPr>
          <w:rFonts w:ascii="Times New Roman" w:hAnsi="Times New Roman" w:cs="Times New Roman"/>
          <w:sz w:val="24"/>
          <w:szCs w:val="24"/>
        </w:rPr>
        <w:t>Explanation of the Early Help System</w:t>
      </w:r>
      <w:bookmarkEnd w:id="1"/>
    </w:p>
    <w:p w14:paraId="4666DBF9">
      <w:pPr>
        <w:spacing w:line="480" w:lineRule="auto"/>
        <w:ind w:firstLine="720"/>
        <w:rPr>
          <w:rFonts w:ascii="Times New Roman" w:hAnsi="Times New Roman" w:cs="Times New Roman"/>
        </w:rPr>
      </w:pPr>
      <w:r>
        <w:rPr>
          <w:rFonts w:ascii="Times New Roman" w:hAnsi="Times New Roman" w:cs="Times New Roman"/>
        </w:rPr>
        <w:t xml:space="preserve">Early Help is a national strategy that aims to assist children, youth, and families at the earliest opportunity when the difficulties have not yet become severe issues. It involves identifying needs at an early stage and providing long-term practical, emotional, or developmental support to avoid escalation. It would be proactive prevention and not an intervention to save the crisis. The </w:t>
      </w:r>
      <w:r>
        <w:rPr>
          <w:rFonts w:ascii="Times New Roman" w:hAnsi="Times New Roman" w:cs="Times New Roman"/>
          <w:i/>
          <w:iCs/>
        </w:rPr>
        <w:t>Early Help System Guide</w:t>
      </w:r>
      <w:r>
        <w:rPr>
          <w:rFonts w:ascii="Times New Roman" w:hAnsi="Times New Roman" w:cs="Times New Roman"/>
        </w:rPr>
        <w:t xml:space="preserve"> provides that Early Help should be perceived as “a whole-system response comprising partnership, shared responsibility, and early action” (Department of Education, 2022). This implies that the system is based upon close inter-dependence of schools, health services, local authorities, voluntary organisations, and community groups.</w:t>
      </w:r>
    </w:p>
    <w:p w14:paraId="52A86B49">
      <w:pPr>
        <w:spacing w:line="480" w:lineRule="auto"/>
        <w:ind w:firstLine="720"/>
        <w:rPr>
          <w:rFonts w:ascii="Times New Roman" w:hAnsi="Times New Roman" w:cs="Times New Roman"/>
        </w:rPr>
      </w:pPr>
      <w:r>
        <w:rPr>
          <w:rFonts w:ascii="Times New Roman" w:hAnsi="Times New Roman" w:cs="Times New Roman"/>
        </w:rPr>
        <w:t xml:space="preserve"> The Early Help process can involve an Early Help assessment, the settlement of an action plan with the involved family and agencies, and periodic reviews in which the progress can be observed. It is aimed at reinforcing protective factors, minimizing risks, and offering coordinated assistance based on the needs of the family. The assistance can be in the areas of parenting, behaviour, school attendance, physical or mental, housing, financial, or relationship difficulties. Notably, Early Help is voluntary, consensual, and focused on meeting families and not doing to them.</w:t>
      </w:r>
    </w:p>
    <w:p w14:paraId="2A47CA6D">
      <w:pPr>
        <w:spacing w:line="480" w:lineRule="auto"/>
        <w:ind w:firstLine="720"/>
        <w:rPr>
          <w:rFonts w:ascii="Times New Roman" w:hAnsi="Times New Roman" w:cs="Times New Roman"/>
        </w:rPr>
      </w:pPr>
      <w:r>
        <w:rPr>
          <w:rFonts w:ascii="Times New Roman" w:hAnsi="Times New Roman" w:cs="Times New Roman"/>
        </w:rPr>
        <w:t xml:space="preserve">The significance of this approach is supported by national guidelines. </w:t>
      </w:r>
      <w:r>
        <w:rPr>
          <w:rFonts w:ascii="Times New Roman" w:hAnsi="Times New Roman" w:cs="Times New Roman"/>
          <w:i/>
          <w:iCs/>
        </w:rPr>
        <w:t>Working Together to Safeguard Children</w:t>
      </w:r>
      <w:r>
        <w:rPr>
          <w:rFonts w:ascii="Times New Roman" w:hAnsi="Times New Roman" w:cs="Times New Roman"/>
        </w:rPr>
        <w:t xml:space="preserve"> emphasises that Early Help “is necessary since children can require assistance from numerous organisations” (HM Government 2023, p. 12). It further provides that it is the role of local authorities to make sure that clear information about Early Help is readily available, and families know what assistance is provided, the manner in which the process is released, and how to request support. Good communication with the public is thus a cornerstone of an efficient Early Help system, where families can identify problems early in life before they run out of control.</w:t>
      </w:r>
    </w:p>
    <w:p w14:paraId="793A952E">
      <w:pPr>
        <w:pStyle w:val="2"/>
        <w:jc w:val="center"/>
        <w:rPr>
          <w:rFonts w:ascii="Times New Roman" w:hAnsi="Times New Roman" w:cs="Times New Roman"/>
          <w:sz w:val="24"/>
          <w:szCs w:val="24"/>
        </w:rPr>
      </w:pPr>
      <w:bookmarkStart w:id="2" w:name="_Toc216290250"/>
      <w:r>
        <w:rPr>
          <w:rFonts w:ascii="Times New Roman" w:hAnsi="Times New Roman" w:cs="Times New Roman"/>
          <w:sz w:val="24"/>
          <w:szCs w:val="24"/>
        </w:rPr>
        <w:t>Explanation of Multi-Agency Working</w:t>
      </w:r>
      <w:bookmarkEnd w:id="2"/>
    </w:p>
    <w:p w14:paraId="11F08756">
      <w:pPr>
        <w:spacing w:line="480" w:lineRule="auto"/>
        <w:ind w:firstLine="720"/>
        <w:rPr>
          <w:rFonts w:ascii="Times New Roman" w:hAnsi="Times New Roman" w:cs="Times New Roman"/>
        </w:rPr>
      </w:pPr>
      <w:r>
        <w:rPr>
          <w:rFonts w:ascii="Times New Roman" w:hAnsi="Times New Roman" w:cs="Times New Roman"/>
        </w:rPr>
        <w:t>Working across the board with multiple agencies is one of the fundamental ideas of the Early Help system since the needs of children are multifaceted and broad. Every task of a family situation cannot be sorted through a single practitioner or organisation because of the lack of capacity and experience to cater to all the facets of the family. The individuals involved in early identification, assessment, and support are schools, early years providers, health visitors, GPs, youth workers, police, housing teams, community groups, and children's social care. With such professionals collaborating, families get a unified and integrated response instead of having to retell their stories or use multiple and unlinked services.</w:t>
      </w:r>
    </w:p>
    <w:p w14:paraId="434858C5">
      <w:pPr>
        <w:spacing w:line="480" w:lineRule="auto"/>
        <w:ind w:firstLine="720"/>
        <w:rPr>
          <w:rFonts w:ascii="Times New Roman" w:hAnsi="Times New Roman" w:cs="Times New Roman"/>
        </w:rPr>
      </w:pPr>
      <w:r>
        <w:rPr>
          <w:rFonts w:ascii="Times New Roman" w:hAnsi="Times New Roman" w:cs="Times New Roman"/>
        </w:rPr>
        <w:t xml:space="preserve">The national guidance emphasizes the need to have organized collaboration. Open exchange of information, collective review, and collaborative planning are a few essential needs. The </w:t>
      </w:r>
      <w:r>
        <w:rPr>
          <w:rFonts w:ascii="Times New Roman" w:hAnsi="Times New Roman" w:cs="Times New Roman"/>
          <w:i/>
          <w:iCs/>
        </w:rPr>
        <w:t>Early Help System Guide</w:t>
      </w:r>
      <w:r>
        <w:rPr>
          <w:rFonts w:ascii="Times New Roman" w:hAnsi="Times New Roman" w:cs="Times New Roman"/>
        </w:rPr>
        <w:t xml:space="preserve"> urges local areas to develop systems where partners share responsibility to achieve results in such a manner that the support seems to be integrated and coherent in the eyes of the family. Moreover, </w:t>
      </w:r>
      <w:r>
        <w:rPr>
          <w:rFonts w:ascii="Times New Roman" w:hAnsi="Times New Roman" w:cs="Times New Roman"/>
          <w:i/>
          <w:iCs/>
        </w:rPr>
        <w:t>Working Together to Safeguard Children</w:t>
      </w:r>
      <w:r>
        <w:rPr>
          <w:rFonts w:ascii="Times New Roman" w:hAnsi="Times New Roman" w:cs="Times New Roman"/>
        </w:rPr>
        <w:t xml:space="preserve"> explains that local safeguarding collaborations should be in the lead and coordinate multiagency collaboration, which fosters interagency responsibility and constant enhancement.</w:t>
      </w:r>
    </w:p>
    <w:p w14:paraId="3D020026">
      <w:pPr>
        <w:spacing w:line="480" w:lineRule="auto"/>
        <w:ind w:firstLine="720"/>
        <w:rPr>
          <w:rFonts w:ascii="Times New Roman" w:hAnsi="Times New Roman" w:cs="Times New Roman"/>
        </w:rPr>
      </w:pPr>
      <w:r>
        <w:rPr>
          <w:rFonts w:ascii="Times New Roman" w:hAnsi="Times New Roman" w:cs="Times New Roman"/>
        </w:rPr>
        <w:t>The concept of multi-agency working is based on sound professional relationships, accepted referral channels, and open communications, both operational and public. Local authority websites, thus, are valuable in clarifying the interaction between agencies, the contribution of each service, and the way families should expect professionals to collaborate.</w:t>
      </w:r>
    </w:p>
    <w:p w14:paraId="29E48C90">
      <w:pPr>
        <w:spacing w:line="480" w:lineRule="auto"/>
        <w:ind w:firstLine="720"/>
        <w:rPr>
          <w:rFonts w:ascii="Times New Roman" w:hAnsi="Times New Roman" w:cs="Times New Roman"/>
        </w:rPr>
      </w:pPr>
      <w:r>
        <w:rPr>
          <w:rFonts w:ascii="Times New Roman" w:hAnsi="Times New Roman" w:cs="Times New Roman"/>
        </w:rPr>
        <w:t xml:space="preserve">To the families, the knowledge of the people involved and how the system operates gives confidence and trust. With such information available to families through clear and easily accessible means, such as public websites, they are more likely to pursue help at an early stage and take an active part in the services provided to assist them. </w:t>
      </w:r>
    </w:p>
    <w:p w14:paraId="2586639A">
      <w:pPr>
        <w:pStyle w:val="2"/>
        <w:jc w:val="center"/>
        <w:rPr>
          <w:rFonts w:ascii="Times New Roman" w:hAnsi="Times New Roman" w:cs="Times New Roman"/>
          <w:sz w:val="24"/>
          <w:szCs w:val="24"/>
        </w:rPr>
      </w:pPr>
      <w:bookmarkStart w:id="3" w:name="_Toc216290251"/>
      <w:r>
        <w:rPr>
          <w:rFonts w:ascii="Times New Roman" w:hAnsi="Times New Roman" w:cs="Times New Roman"/>
          <w:sz w:val="24"/>
          <w:szCs w:val="24"/>
        </w:rPr>
        <w:t>Evaluation of the Three Local Authority Websites</w:t>
      </w:r>
      <w:bookmarkEnd w:id="3"/>
    </w:p>
    <w:p w14:paraId="7D107C96">
      <w:pPr>
        <w:pStyle w:val="3"/>
        <w:rPr>
          <w:rFonts w:ascii="Times New Roman" w:hAnsi="Times New Roman" w:cs="Times New Roman"/>
          <w:sz w:val="24"/>
          <w:szCs w:val="24"/>
        </w:rPr>
      </w:pPr>
      <w:bookmarkStart w:id="4" w:name="_Toc216290252"/>
      <w:r>
        <w:rPr>
          <w:rFonts w:ascii="Times New Roman" w:hAnsi="Times New Roman" w:cs="Times New Roman"/>
          <w:sz w:val="24"/>
          <w:szCs w:val="24"/>
        </w:rPr>
        <w:t>1. Leeds City Council</w:t>
      </w:r>
      <w:bookmarkEnd w:id="4"/>
    </w:p>
    <w:p w14:paraId="34802731">
      <w:pPr>
        <w:spacing w:line="480" w:lineRule="auto"/>
        <w:ind w:firstLine="720"/>
        <w:rPr>
          <w:rFonts w:ascii="Times New Roman" w:hAnsi="Times New Roman" w:cs="Times New Roman"/>
        </w:rPr>
      </w:pPr>
      <w:r>
        <w:rPr>
          <w:rFonts w:ascii="Times New Roman" w:hAnsi="Times New Roman" w:cs="Times New Roman"/>
        </w:rPr>
        <w:t>Leeds City Council describes Early Help information openly and understandably. The design is plain, and the text is not hard to comprehend. Data falls under the “Children and Families” category, under which families can find Early Help easily.</w:t>
      </w:r>
    </w:p>
    <w:p w14:paraId="27E63CA1">
      <w:pPr>
        <w:rPr>
          <w:rFonts w:ascii="Times New Roman" w:hAnsi="Times New Roman" w:cs="Times New Roman"/>
        </w:rPr>
      </w:pPr>
      <w:r>
        <w:drawing>
          <wp:inline distT="0" distB="0" distL="0" distR="0">
            <wp:extent cx="2573020" cy="1285875"/>
            <wp:effectExtent l="0" t="0" r="0" b="9525"/>
            <wp:docPr id="275033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33038" name="Picture 1"/>
                    <pic:cNvPicPr>
                      <a:picLocks noChangeAspect="1"/>
                    </pic:cNvPicPr>
                  </pic:nvPicPr>
                  <pic:blipFill>
                    <a:blip r:embed="rId7"/>
                    <a:stretch>
                      <a:fillRect/>
                    </a:stretch>
                  </pic:blipFill>
                  <pic:spPr>
                    <a:xfrm>
                      <a:off x="0" y="0"/>
                      <a:ext cx="2616794" cy="1307817"/>
                    </a:xfrm>
                    <a:prstGeom prst="rect">
                      <a:avLst/>
                    </a:prstGeom>
                  </pic:spPr>
                </pic:pic>
              </a:graphicData>
            </a:graphic>
          </wp:inline>
        </w:drawing>
      </w:r>
      <w:r>
        <w:rPr>
          <w:rFonts w:ascii="Times New Roman" w:hAnsi="Times New Roman" w:cs="Times New Roman"/>
        </w:rPr>
        <w:t xml:space="preserve"> </w:t>
      </w:r>
      <w:r>
        <w:drawing>
          <wp:inline distT="0" distB="0" distL="0" distR="0">
            <wp:extent cx="2926080" cy="1594485"/>
            <wp:effectExtent l="0" t="0" r="7620" b="5715"/>
            <wp:docPr id="1606097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097884" name="Picture 1"/>
                    <pic:cNvPicPr>
                      <a:picLocks noChangeAspect="1"/>
                    </pic:cNvPicPr>
                  </pic:nvPicPr>
                  <pic:blipFill>
                    <a:blip r:embed="rId8"/>
                    <a:stretch>
                      <a:fillRect/>
                    </a:stretch>
                  </pic:blipFill>
                  <pic:spPr>
                    <a:xfrm>
                      <a:off x="0" y="0"/>
                      <a:ext cx="2959847" cy="1613062"/>
                    </a:xfrm>
                    <a:prstGeom prst="rect">
                      <a:avLst/>
                    </a:prstGeom>
                  </pic:spPr>
                </pic:pic>
              </a:graphicData>
            </a:graphic>
          </wp:inline>
        </w:drawing>
      </w:r>
    </w:p>
    <w:p w14:paraId="2C082769">
      <w:pPr>
        <w:rPr>
          <w:rFonts w:ascii="Times New Roman" w:hAnsi="Times New Roman" w:cs="Times New Roman"/>
        </w:rPr>
      </w:pPr>
      <w:r>
        <w:rPr>
          <w:rFonts w:ascii="Times New Roman" w:hAnsi="Times New Roman" w:cs="Times New Roman"/>
          <w:i/>
          <w:iCs/>
        </w:rPr>
        <w:t>Fig 1</w:t>
      </w:r>
      <w:r>
        <w:rPr>
          <w:rFonts w:ascii="Times New Roman" w:hAnsi="Times New Roman" w:cs="Times New Roman"/>
        </w:rPr>
        <w:t>:</w:t>
      </w:r>
      <w:r>
        <w:rPr>
          <w:rFonts w:ascii="Times New Roman" w:hAnsi="Times New Roman" w:cs="Times New Roman"/>
          <w:b/>
          <w:bCs/>
        </w:rPr>
        <w:t xml:space="preserve"> </w:t>
      </w:r>
      <w:r>
        <w:rPr>
          <w:rFonts w:ascii="Times New Roman" w:hAnsi="Times New Roman" w:cs="Times New Roman"/>
        </w:rPr>
        <w:t>Leeds Early Help Landing Page, Thrive Model</w:t>
      </w:r>
    </w:p>
    <w:p w14:paraId="3866C3F2">
      <w:pPr>
        <w:spacing w:line="480" w:lineRule="auto"/>
        <w:ind w:firstLine="720"/>
        <w:rPr>
          <w:rFonts w:ascii="Times New Roman" w:hAnsi="Times New Roman" w:cs="Times New Roman"/>
        </w:rPr>
      </w:pPr>
      <w:r>
        <w:rPr>
          <w:rFonts w:ascii="Times New Roman" w:hAnsi="Times New Roman" w:cs="Times New Roman"/>
        </w:rPr>
        <w:t>The site provides a simple definition of Early Help. It explains the aim of the support as well as provides examples and outlines to families the benefits. The page is not loaded with technical terms. The language is informal and encouraging, and it contributes to the interaction. The description explains the way in which Early Help can assist in school attendance, emotional well-being, behaviour, or family relationships. This assists parents in associating Early Help with what they have experienced in life.</w:t>
      </w:r>
    </w:p>
    <w:p w14:paraId="2A4F5DCB">
      <w:pPr>
        <w:spacing w:line="480" w:lineRule="auto"/>
        <w:ind w:firstLine="720"/>
        <w:rPr>
          <w:rFonts w:ascii="Times New Roman" w:hAnsi="Times New Roman" w:cs="Times New Roman"/>
        </w:rPr>
      </w:pPr>
      <w:r>
        <w:rPr>
          <w:rFonts w:ascii="Times New Roman" w:hAnsi="Times New Roman" w:cs="Times New Roman"/>
        </w:rPr>
        <w:t>There is also a clear explanation of access routes. Leeds gives telephone and online enquiry alternatives, as well as direct connections to allied services. Families have a way of knowing who to reach and how to begin the process. The Leeds Early Help Assessment form is also available on the site. This provides the same base information to the public and professionals.</w:t>
      </w:r>
    </w:p>
    <w:p w14:paraId="6077E518">
      <w:pPr>
        <w:spacing w:line="480" w:lineRule="auto"/>
        <w:ind w:firstLine="720"/>
        <w:rPr>
          <w:rFonts w:ascii="Times New Roman" w:hAnsi="Times New Roman" w:cs="Times New Roman"/>
        </w:rPr>
      </w:pPr>
      <w:r>
        <w:rPr>
          <w:rFonts w:ascii="Times New Roman" w:hAnsi="Times New Roman" w:cs="Times New Roman"/>
        </w:rPr>
        <w:t xml:space="preserve">Leeds also mentions the contribution of various partners. It has information regarding community hubs, schools, health teams, and voluntary organisations. This is in line with the values of multi-agency working laid out in </w:t>
      </w:r>
      <w:r>
        <w:rPr>
          <w:rFonts w:ascii="Times New Roman" w:hAnsi="Times New Roman" w:cs="Times New Roman"/>
          <w:i/>
          <w:iCs/>
        </w:rPr>
        <w:t>Working Together</w:t>
      </w:r>
      <w:r>
        <w:rPr>
          <w:rFonts w:ascii="Times New Roman" w:hAnsi="Times New Roman" w:cs="Times New Roman"/>
        </w:rPr>
        <w:t xml:space="preserve"> (2023). The website states that families can collaborate with multiple agencies simultaneously, depending on their requirements.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14:paraId="6136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4BA45798">
            <w:pPr>
              <w:spacing w:after="0" w:line="240" w:lineRule="auto"/>
              <w:rPr>
                <w:rFonts w:ascii="Times New Roman" w:hAnsi="Times New Roman" w:cs="Times New Roman"/>
                <w:b/>
                <w:bCs/>
              </w:rPr>
            </w:pPr>
            <w:r>
              <w:rPr>
                <w:rFonts w:ascii="Times New Roman" w:hAnsi="Times New Roman" w:cs="Times New Roman"/>
                <w:b/>
                <w:bCs/>
              </w:rPr>
              <w:t>Strengths</w:t>
            </w:r>
          </w:p>
        </w:tc>
        <w:tc>
          <w:tcPr>
            <w:tcW w:w="4508" w:type="dxa"/>
          </w:tcPr>
          <w:p w14:paraId="753005AA">
            <w:pPr>
              <w:spacing w:after="0" w:line="240" w:lineRule="auto"/>
              <w:rPr>
                <w:rFonts w:ascii="Times New Roman" w:hAnsi="Times New Roman" w:cs="Times New Roman"/>
                <w:b/>
                <w:bCs/>
              </w:rPr>
            </w:pPr>
            <w:r>
              <w:rPr>
                <w:rFonts w:ascii="Times New Roman" w:hAnsi="Times New Roman" w:cs="Times New Roman"/>
                <w:b/>
                <w:bCs/>
              </w:rPr>
              <w:t>Weaknesses</w:t>
            </w:r>
          </w:p>
        </w:tc>
      </w:tr>
      <w:tr w14:paraId="2DC36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004BFD86">
            <w:pPr>
              <w:numPr>
                <w:ilvl w:val="0"/>
                <w:numId w:val="1"/>
              </w:numPr>
              <w:spacing w:after="160" w:line="278" w:lineRule="auto"/>
              <w:rPr>
                <w:rFonts w:ascii="Times New Roman" w:hAnsi="Times New Roman" w:cs="Times New Roman"/>
              </w:rPr>
            </w:pPr>
            <w:r>
              <w:rPr>
                <w:rFonts w:ascii="Times New Roman" w:hAnsi="Times New Roman" w:cs="Times New Roman"/>
              </w:rPr>
              <w:t>Clear and simple explanations.</w:t>
            </w:r>
          </w:p>
          <w:p w14:paraId="104B094C">
            <w:pPr>
              <w:numPr>
                <w:ilvl w:val="0"/>
                <w:numId w:val="1"/>
              </w:numPr>
              <w:spacing w:after="160" w:line="278" w:lineRule="auto"/>
              <w:rPr>
                <w:rFonts w:ascii="Times New Roman" w:hAnsi="Times New Roman" w:cs="Times New Roman"/>
              </w:rPr>
            </w:pPr>
            <w:r>
              <w:rPr>
                <w:rFonts w:ascii="Times New Roman" w:hAnsi="Times New Roman" w:cs="Times New Roman"/>
              </w:rPr>
              <w:t>Contemporary and convenient design.</w:t>
            </w:r>
          </w:p>
          <w:p w14:paraId="436FC558">
            <w:pPr>
              <w:numPr>
                <w:ilvl w:val="0"/>
                <w:numId w:val="1"/>
              </w:numPr>
              <w:spacing w:after="160" w:line="278" w:lineRule="auto"/>
              <w:rPr>
                <w:rFonts w:ascii="Times New Roman" w:hAnsi="Times New Roman" w:cs="Times New Roman"/>
              </w:rPr>
            </w:pPr>
            <w:r>
              <w:rPr>
                <w:rFonts w:ascii="Times New Roman" w:hAnsi="Times New Roman" w:cs="Times New Roman"/>
              </w:rPr>
              <w:t>Suitable for parents with limited digital skills.</w:t>
            </w:r>
          </w:p>
          <w:p w14:paraId="574B755A">
            <w:pPr>
              <w:numPr>
                <w:ilvl w:val="0"/>
                <w:numId w:val="1"/>
              </w:numPr>
              <w:spacing w:after="160" w:line="278" w:lineRule="auto"/>
              <w:rPr>
                <w:rFonts w:ascii="Times New Roman" w:hAnsi="Times New Roman" w:cs="Times New Roman"/>
              </w:rPr>
            </w:pPr>
            <w:r>
              <w:rPr>
                <w:rFonts w:ascii="Times New Roman" w:hAnsi="Times New Roman" w:cs="Times New Roman"/>
              </w:rPr>
              <w:t>Clear referral routes.</w:t>
            </w:r>
          </w:p>
          <w:p w14:paraId="3B4DBD99">
            <w:pPr>
              <w:numPr>
                <w:ilvl w:val="0"/>
                <w:numId w:val="1"/>
              </w:numPr>
              <w:spacing w:after="160" w:line="278" w:lineRule="auto"/>
              <w:rPr>
                <w:rFonts w:ascii="Times New Roman" w:hAnsi="Times New Roman" w:cs="Times New Roman"/>
              </w:rPr>
            </w:pPr>
            <w:r>
              <w:rPr>
                <w:rFonts w:ascii="Times New Roman" w:hAnsi="Times New Roman" w:cs="Times New Roman"/>
              </w:rPr>
              <w:t>Links to local partners.</w:t>
            </w:r>
          </w:p>
        </w:tc>
        <w:tc>
          <w:tcPr>
            <w:tcW w:w="4508" w:type="dxa"/>
          </w:tcPr>
          <w:p w14:paraId="57F855F0">
            <w:pPr>
              <w:numPr>
                <w:ilvl w:val="0"/>
                <w:numId w:val="1"/>
              </w:numPr>
              <w:spacing w:after="160" w:line="278" w:lineRule="auto"/>
              <w:rPr>
                <w:rFonts w:ascii="Times New Roman" w:hAnsi="Times New Roman" w:cs="Times New Roman"/>
              </w:rPr>
            </w:pPr>
            <w:r>
              <w:rPr>
                <w:rFonts w:ascii="Times New Roman" w:hAnsi="Times New Roman" w:cs="Times New Roman"/>
              </w:rPr>
              <w:t>Fewer downloadable resources compared with Norfolk.</w:t>
            </w:r>
          </w:p>
          <w:p w14:paraId="5511ADB6">
            <w:pPr>
              <w:numPr>
                <w:ilvl w:val="0"/>
                <w:numId w:val="1"/>
              </w:numPr>
              <w:spacing w:after="160" w:line="278" w:lineRule="auto"/>
              <w:rPr>
                <w:rFonts w:ascii="Times New Roman" w:hAnsi="Times New Roman" w:cs="Times New Roman"/>
              </w:rPr>
            </w:pPr>
            <w:r>
              <w:rPr>
                <w:rFonts w:ascii="Times New Roman" w:hAnsi="Times New Roman" w:cs="Times New Roman"/>
              </w:rPr>
              <w:t>Limited diagrams for visual learners.</w:t>
            </w:r>
          </w:p>
        </w:tc>
      </w:tr>
    </w:tbl>
    <w:p w14:paraId="2776DF45">
      <w:pPr>
        <w:rPr>
          <w:rFonts w:ascii="Times New Roman" w:hAnsi="Times New Roman" w:cs="Times New Roman"/>
        </w:rPr>
      </w:pPr>
    </w:p>
    <w:p w14:paraId="705C65C6">
      <w:pPr>
        <w:pStyle w:val="3"/>
        <w:rPr>
          <w:rFonts w:ascii="Times New Roman" w:hAnsi="Times New Roman" w:cs="Times New Roman"/>
          <w:sz w:val="24"/>
          <w:szCs w:val="24"/>
        </w:rPr>
      </w:pPr>
      <w:bookmarkStart w:id="5" w:name="_Toc216290253"/>
      <w:r>
        <w:rPr>
          <w:rFonts w:ascii="Times New Roman" w:hAnsi="Times New Roman" w:cs="Times New Roman"/>
          <w:sz w:val="24"/>
          <w:szCs w:val="24"/>
        </w:rPr>
        <w:t>2. Norfolk County Council</w:t>
      </w:r>
      <w:bookmarkEnd w:id="5"/>
    </w:p>
    <w:p w14:paraId="4210EF11">
      <w:pPr>
        <w:spacing w:line="480" w:lineRule="auto"/>
        <w:ind w:firstLine="720"/>
        <w:rPr>
          <w:rFonts w:ascii="Times New Roman" w:hAnsi="Times New Roman" w:cs="Times New Roman"/>
        </w:rPr>
      </w:pPr>
      <w:r>
        <w:rPr>
          <w:rFonts w:ascii="Times New Roman" w:hAnsi="Times New Roman" w:cs="Times New Roman"/>
        </w:rPr>
        <w:t>Norfolk County Council has one of the most developed Early Help webpages among local authorities. The information is displayed under the “family section” and is divided into a few comprehensive sections. The demonstration also has more text than Leeds; however, it also provides several downloadable leaflets and forms.</w:t>
      </w:r>
    </w:p>
    <w:p w14:paraId="01C7E846">
      <w:pPr>
        <w:rPr>
          <w:rFonts w:ascii="Times New Roman" w:hAnsi="Times New Roman" w:cs="Times New Roman"/>
        </w:rPr>
      </w:pPr>
      <w:r>
        <w:drawing>
          <wp:inline distT="0" distB="0" distL="0" distR="0">
            <wp:extent cx="5731510" cy="2994025"/>
            <wp:effectExtent l="0" t="0" r="2540" b="0"/>
            <wp:docPr id="1996443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43770" name="Picture 1"/>
                    <pic:cNvPicPr>
                      <a:picLocks noChangeAspect="1"/>
                    </pic:cNvPicPr>
                  </pic:nvPicPr>
                  <pic:blipFill>
                    <a:blip r:embed="rId9"/>
                    <a:stretch>
                      <a:fillRect/>
                    </a:stretch>
                  </pic:blipFill>
                  <pic:spPr>
                    <a:xfrm>
                      <a:off x="0" y="0"/>
                      <a:ext cx="5731510" cy="2994025"/>
                    </a:xfrm>
                    <a:prstGeom prst="rect">
                      <a:avLst/>
                    </a:prstGeom>
                  </pic:spPr>
                </pic:pic>
              </a:graphicData>
            </a:graphic>
          </wp:inline>
        </w:drawing>
      </w:r>
    </w:p>
    <w:p w14:paraId="38761C41">
      <w:pPr>
        <w:rPr>
          <w:rFonts w:ascii="Times New Roman" w:hAnsi="Times New Roman" w:cs="Times New Roman"/>
        </w:rPr>
      </w:pPr>
      <w:r>
        <w:rPr>
          <w:rFonts w:ascii="Times New Roman" w:hAnsi="Times New Roman" w:cs="Times New Roman"/>
          <w:i/>
          <w:iCs/>
        </w:rPr>
        <w:t>Fig 2</w:t>
      </w:r>
      <w:r>
        <w:rPr>
          <w:rFonts w:ascii="Times New Roman" w:hAnsi="Times New Roman" w:cs="Times New Roman"/>
          <w:b/>
          <w:bCs/>
        </w:rPr>
        <w:t xml:space="preserve">: </w:t>
      </w:r>
      <w:r>
        <w:rPr>
          <w:rFonts w:ascii="Times New Roman" w:hAnsi="Times New Roman" w:cs="Times New Roman"/>
        </w:rPr>
        <w:t>Norfolk Early Help Information Interface</w:t>
      </w:r>
    </w:p>
    <w:p w14:paraId="2BE997E2">
      <w:pPr>
        <w:spacing w:line="480" w:lineRule="auto"/>
        <w:ind w:firstLine="720"/>
        <w:rPr>
          <w:rFonts w:ascii="Times New Roman" w:hAnsi="Times New Roman" w:cs="Times New Roman"/>
        </w:rPr>
      </w:pPr>
      <w:r>
        <w:rPr>
          <w:rFonts w:ascii="Times New Roman" w:hAnsi="Times New Roman" w:cs="Times New Roman"/>
        </w:rPr>
        <w:t>Norfolk provides an extremely precise description of Early Help, its purpose, and ways in which families can enjoy assistance. The site emphasises that the Early Help maintains the togetherness of families and alleviates issues in time. It clarifies that help can be in short-term or long-term work, based on the requirements. The tone is supportive but more formal than Leeds.</w:t>
      </w:r>
    </w:p>
    <w:p w14:paraId="6889AE47">
      <w:pPr>
        <w:spacing w:line="480" w:lineRule="auto"/>
        <w:ind w:firstLine="720"/>
        <w:rPr>
          <w:rFonts w:ascii="Times New Roman" w:hAnsi="Times New Roman" w:cs="Times New Roman"/>
        </w:rPr>
      </w:pPr>
      <w:r>
        <w:rPr>
          <w:rFonts w:ascii="Times New Roman" w:hAnsi="Times New Roman" w:cs="Times New Roman"/>
        </w:rPr>
        <w:t>Norfolk features good referral information. It contains several guidance notes, steps, and online forms. It is possible to download material that clarifies the process by families and professionals. Examples of these are instructions on how to fill out assessments and descriptions of the work of partner organisations. These reports enhance honesty and accountability.</w:t>
      </w:r>
    </w:p>
    <w:p w14:paraId="430B415A">
      <w:pPr>
        <w:spacing w:line="480" w:lineRule="auto"/>
        <w:ind w:firstLine="720"/>
        <w:rPr>
          <w:rFonts w:ascii="Times New Roman" w:hAnsi="Times New Roman" w:cs="Times New Roman"/>
        </w:rPr>
      </w:pPr>
      <w:r>
        <w:rPr>
          <w:rFonts w:ascii="Times New Roman" w:hAnsi="Times New Roman" w:cs="Times New Roman"/>
        </w:rPr>
        <w:t xml:space="preserve">There is a lot of multi-agency information available on the website. Norfolk emphasizes collaboration of the health services, schools, social care team, police, and voluntary groups. It also shows the details of the multi-agency safeguarding hub within Norfolk. This is highly consistent with the requirements of </w:t>
      </w:r>
      <w:r>
        <w:rPr>
          <w:rFonts w:ascii="Times New Roman" w:hAnsi="Times New Roman" w:cs="Times New Roman"/>
          <w:i/>
          <w:iCs/>
        </w:rPr>
        <w:t>Working Together</w:t>
      </w:r>
      <w:r>
        <w:rPr>
          <w:rFonts w:ascii="Times New Roman" w:hAnsi="Times New Roman" w:cs="Times New Roman"/>
        </w:rPr>
        <w:t xml:space="preserve"> (2023).</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14:paraId="11F94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0E061277">
            <w:pPr>
              <w:spacing w:after="0" w:line="240" w:lineRule="auto"/>
              <w:rPr>
                <w:rFonts w:ascii="Times New Roman" w:hAnsi="Times New Roman" w:cs="Times New Roman"/>
                <w:b/>
                <w:bCs/>
              </w:rPr>
            </w:pPr>
            <w:r>
              <w:rPr>
                <w:rFonts w:ascii="Times New Roman" w:hAnsi="Times New Roman" w:cs="Times New Roman"/>
                <w:b/>
                <w:bCs/>
              </w:rPr>
              <w:t>Strengths</w:t>
            </w:r>
          </w:p>
        </w:tc>
        <w:tc>
          <w:tcPr>
            <w:tcW w:w="4508" w:type="dxa"/>
          </w:tcPr>
          <w:p w14:paraId="79BFA5B5">
            <w:pPr>
              <w:spacing w:after="0" w:line="240" w:lineRule="auto"/>
              <w:rPr>
                <w:rFonts w:ascii="Times New Roman" w:hAnsi="Times New Roman" w:cs="Times New Roman"/>
                <w:b/>
                <w:bCs/>
              </w:rPr>
            </w:pPr>
            <w:r>
              <w:rPr>
                <w:rFonts w:ascii="Times New Roman" w:hAnsi="Times New Roman" w:cs="Times New Roman"/>
                <w:b/>
                <w:bCs/>
              </w:rPr>
              <w:t>Weaknesses</w:t>
            </w:r>
          </w:p>
        </w:tc>
      </w:tr>
      <w:tr w14:paraId="44CB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7628F0C8">
            <w:pPr>
              <w:numPr>
                <w:ilvl w:val="0"/>
                <w:numId w:val="2"/>
              </w:numPr>
              <w:spacing w:after="160" w:line="278" w:lineRule="auto"/>
              <w:rPr>
                <w:rFonts w:ascii="Times New Roman" w:hAnsi="Times New Roman" w:cs="Times New Roman"/>
              </w:rPr>
            </w:pPr>
            <w:r>
              <w:rPr>
                <w:rFonts w:ascii="Times New Roman" w:hAnsi="Times New Roman" w:cs="Times New Roman"/>
              </w:rPr>
              <w:t>Extensive Early Help documentation.</w:t>
            </w:r>
          </w:p>
          <w:p w14:paraId="5AAEE0EB">
            <w:pPr>
              <w:numPr>
                <w:ilvl w:val="0"/>
                <w:numId w:val="2"/>
              </w:numPr>
              <w:spacing w:after="160" w:line="278" w:lineRule="auto"/>
              <w:rPr>
                <w:rFonts w:ascii="Times New Roman" w:hAnsi="Times New Roman" w:cs="Times New Roman"/>
              </w:rPr>
            </w:pPr>
            <w:r>
              <w:rPr>
                <w:rFonts w:ascii="Times New Roman" w:hAnsi="Times New Roman" w:cs="Times New Roman"/>
              </w:rPr>
              <w:t>Clear guidance on referrals.</w:t>
            </w:r>
          </w:p>
          <w:p w14:paraId="0B33A816">
            <w:pPr>
              <w:numPr>
                <w:ilvl w:val="0"/>
                <w:numId w:val="2"/>
              </w:numPr>
              <w:spacing w:after="160" w:line="278" w:lineRule="auto"/>
              <w:rPr>
                <w:rFonts w:ascii="Times New Roman" w:hAnsi="Times New Roman" w:cs="Times New Roman"/>
              </w:rPr>
            </w:pPr>
            <w:r>
              <w:rPr>
                <w:rFonts w:ascii="Times New Roman" w:hAnsi="Times New Roman" w:cs="Times New Roman"/>
              </w:rPr>
              <w:t>Several downloadable resources.</w:t>
            </w:r>
          </w:p>
          <w:p w14:paraId="77048D00">
            <w:pPr>
              <w:numPr>
                <w:ilvl w:val="0"/>
                <w:numId w:val="2"/>
              </w:numPr>
              <w:spacing w:after="160" w:line="278" w:lineRule="auto"/>
              <w:rPr>
                <w:rFonts w:ascii="Times New Roman" w:hAnsi="Times New Roman" w:cs="Times New Roman"/>
              </w:rPr>
            </w:pPr>
            <w:r>
              <w:rPr>
                <w:rFonts w:ascii="Times New Roman" w:hAnsi="Times New Roman" w:cs="Times New Roman"/>
              </w:rPr>
              <w:t>Strong explanation of multi-agency working.</w:t>
            </w:r>
          </w:p>
          <w:p w14:paraId="2CC37940">
            <w:pPr>
              <w:numPr>
                <w:ilvl w:val="0"/>
                <w:numId w:val="2"/>
              </w:numPr>
              <w:spacing w:after="160" w:line="278" w:lineRule="auto"/>
              <w:rPr>
                <w:rFonts w:ascii="Times New Roman" w:hAnsi="Times New Roman" w:cs="Times New Roman"/>
              </w:rPr>
            </w:pPr>
            <w:r>
              <w:rPr>
                <w:rFonts w:ascii="Times New Roman" w:hAnsi="Times New Roman" w:cs="Times New Roman"/>
              </w:rPr>
              <w:t>Accessible leaflets for the public.</w:t>
            </w:r>
          </w:p>
          <w:p w14:paraId="26609275">
            <w:pPr>
              <w:spacing w:after="0" w:line="240" w:lineRule="auto"/>
              <w:rPr>
                <w:rFonts w:ascii="Times New Roman" w:hAnsi="Times New Roman" w:cs="Times New Roman"/>
              </w:rPr>
            </w:pPr>
          </w:p>
        </w:tc>
        <w:tc>
          <w:tcPr>
            <w:tcW w:w="4508" w:type="dxa"/>
          </w:tcPr>
          <w:p w14:paraId="131118CB">
            <w:pPr>
              <w:numPr>
                <w:ilvl w:val="0"/>
                <w:numId w:val="3"/>
              </w:numPr>
              <w:spacing w:after="160" w:line="278" w:lineRule="auto"/>
              <w:rPr>
                <w:rFonts w:ascii="Times New Roman" w:hAnsi="Times New Roman" w:cs="Times New Roman"/>
              </w:rPr>
            </w:pPr>
            <w:r>
              <w:rPr>
                <w:rFonts w:ascii="Times New Roman" w:hAnsi="Times New Roman" w:cs="Times New Roman"/>
              </w:rPr>
              <w:t>Text-heavy structure may feel overwhelming.</w:t>
            </w:r>
          </w:p>
          <w:p w14:paraId="6CE1A641">
            <w:pPr>
              <w:numPr>
                <w:ilvl w:val="0"/>
                <w:numId w:val="3"/>
              </w:numPr>
              <w:spacing w:after="160" w:line="278" w:lineRule="auto"/>
              <w:rPr>
                <w:rFonts w:ascii="Times New Roman" w:hAnsi="Times New Roman" w:cs="Times New Roman"/>
              </w:rPr>
            </w:pPr>
            <w:r>
              <w:rPr>
                <w:rFonts w:ascii="Times New Roman" w:hAnsi="Times New Roman" w:cs="Times New Roman"/>
              </w:rPr>
              <w:t>Website design is less modern than Leeds.</w:t>
            </w:r>
          </w:p>
          <w:p w14:paraId="40E6AC49">
            <w:pPr>
              <w:spacing w:after="0" w:line="240" w:lineRule="auto"/>
              <w:rPr>
                <w:rFonts w:ascii="Times New Roman" w:hAnsi="Times New Roman" w:cs="Times New Roman"/>
              </w:rPr>
            </w:pPr>
          </w:p>
        </w:tc>
      </w:tr>
    </w:tbl>
    <w:p w14:paraId="165BB459">
      <w:pPr>
        <w:rPr>
          <w:rFonts w:ascii="Times New Roman" w:hAnsi="Times New Roman" w:cs="Times New Roman"/>
        </w:rPr>
      </w:pPr>
    </w:p>
    <w:p w14:paraId="0F4C4AA3">
      <w:pPr>
        <w:pStyle w:val="3"/>
        <w:rPr>
          <w:rFonts w:ascii="Times New Roman" w:hAnsi="Times New Roman" w:cs="Times New Roman"/>
          <w:sz w:val="24"/>
          <w:szCs w:val="24"/>
        </w:rPr>
      </w:pPr>
      <w:bookmarkStart w:id="6" w:name="_Toc216290254"/>
      <w:r>
        <w:rPr>
          <w:rFonts w:ascii="Times New Roman" w:hAnsi="Times New Roman" w:cs="Times New Roman"/>
          <w:sz w:val="24"/>
          <w:szCs w:val="24"/>
        </w:rPr>
        <w:t>3. Nottinghamshire County Council</w:t>
      </w:r>
      <w:bookmarkEnd w:id="6"/>
    </w:p>
    <w:p w14:paraId="59CEF8AF">
      <w:pPr>
        <w:spacing w:line="480" w:lineRule="auto"/>
        <w:ind w:firstLine="720"/>
        <w:rPr>
          <w:rFonts w:ascii="Times New Roman" w:hAnsi="Times New Roman" w:cs="Times New Roman"/>
        </w:rPr>
      </w:pPr>
      <w:r>
        <w:rPr>
          <w:rFonts w:ascii="Times New Roman" w:hAnsi="Times New Roman" w:cs="Times New Roman"/>
        </w:rPr>
        <w:t xml:space="preserve">The ‘Early Help’ section offered by Nottinghamshire County Council is well-organized and balances the levels of clarity and detail. The pages of Early Help can be found in the section “Children and Families.”  </w:t>
      </w:r>
    </w:p>
    <w:p w14:paraId="642B35C8">
      <w:pPr>
        <w:rPr>
          <w:rFonts w:ascii="Times New Roman" w:hAnsi="Times New Roman" w:cs="Times New Roman"/>
        </w:rPr>
      </w:pPr>
      <w:r>
        <w:drawing>
          <wp:inline distT="0" distB="0" distL="0" distR="0">
            <wp:extent cx="5731510" cy="2777490"/>
            <wp:effectExtent l="0" t="0" r="2540" b="3810"/>
            <wp:docPr id="38383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8265" name="Picture 1"/>
                    <pic:cNvPicPr>
                      <a:picLocks noChangeAspect="1"/>
                    </pic:cNvPicPr>
                  </pic:nvPicPr>
                  <pic:blipFill>
                    <a:blip r:embed="rId10"/>
                    <a:stretch>
                      <a:fillRect/>
                    </a:stretch>
                  </pic:blipFill>
                  <pic:spPr>
                    <a:xfrm>
                      <a:off x="0" y="0"/>
                      <a:ext cx="5731510" cy="2777490"/>
                    </a:xfrm>
                    <a:prstGeom prst="rect">
                      <a:avLst/>
                    </a:prstGeom>
                  </pic:spPr>
                </pic:pic>
              </a:graphicData>
            </a:graphic>
          </wp:inline>
        </w:drawing>
      </w:r>
    </w:p>
    <w:p w14:paraId="7130D4BF">
      <w:pPr>
        <w:rPr>
          <w:rFonts w:ascii="Times New Roman" w:hAnsi="Times New Roman" w:cs="Times New Roman"/>
        </w:rPr>
      </w:pPr>
      <w:r>
        <w:rPr>
          <w:rFonts w:ascii="Times New Roman" w:hAnsi="Times New Roman" w:cs="Times New Roman"/>
          <w:b/>
          <w:bCs/>
        </w:rPr>
        <w:t xml:space="preserve"> </w:t>
      </w:r>
      <w:r>
        <w:rPr>
          <w:rFonts w:ascii="Times New Roman" w:hAnsi="Times New Roman" w:cs="Times New Roman"/>
          <w:i/>
          <w:iCs/>
        </w:rPr>
        <w:t>Fig 3</w:t>
      </w:r>
      <w:r>
        <w:rPr>
          <w:rFonts w:ascii="Times New Roman" w:hAnsi="Times New Roman" w:cs="Times New Roman"/>
          <w:b/>
          <w:bCs/>
        </w:rPr>
        <w:t xml:space="preserve">: </w:t>
      </w:r>
      <w:r>
        <w:rPr>
          <w:rFonts w:ascii="Times New Roman" w:hAnsi="Times New Roman" w:cs="Times New Roman"/>
        </w:rPr>
        <w:t>Nottinghamshire Early Help Pathway</w:t>
      </w:r>
    </w:p>
    <w:p w14:paraId="2A15067A">
      <w:pPr>
        <w:spacing w:line="480" w:lineRule="auto"/>
        <w:ind w:firstLine="720"/>
        <w:rPr>
          <w:rFonts w:ascii="Times New Roman" w:hAnsi="Times New Roman" w:cs="Times New Roman"/>
        </w:rPr>
      </w:pPr>
      <w:r>
        <w:rPr>
          <w:rFonts w:ascii="Times New Roman" w:hAnsi="Times New Roman" w:cs="Times New Roman"/>
        </w:rPr>
        <w:t>The site describes the Early Help in an easy language. It states the purpose and nature of Early Help, how it will prevent the escalation of the problem, and the way families can be supported with behaviour, attendance, or emotional well-being. The language is clear and speaks to a general audience.</w:t>
      </w:r>
    </w:p>
    <w:p w14:paraId="31B930E9">
      <w:pPr>
        <w:spacing w:line="480" w:lineRule="auto"/>
        <w:ind w:firstLine="720"/>
        <w:rPr>
          <w:rFonts w:ascii="Times New Roman" w:hAnsi="Times New Roman" w:cs="Times New Roman"/>
        </w:rPr>
      </w:pPr>
      <w:r>
        <w:rPr>
          <w:rFonts w:ascii="Times New Roman" w:hAnsi="Times New Roman" w:cs="Times New Roman"/>
        </w:rPr>
        <w:t xml:space="preserve">The process of referral is clear. Nottinghamshire provides Early Help forms of assessment and guidance. It also presents new players' contacts of local teams. The site provides information in a structured fashion and has fewer examples than Leeds. </w:t>
      </w:r>
    </w:p>
    <w:p w14:paraId="076B569C">
      <w:pPr>
        <w:spacing w:line="480" w:lineRule="auto"/>
        <w:ind w:firstLine="720"/>
        <w:rPr>
          <w:rFonts w:ascii="Times New Roman" w:hAnsi="Times New Roman" w:cs="Times New Roman"/>
        </w:rPr>
      </w:pPr>
      <w:r>
        <w:rPr>
          <w:rFonts w:ascii="Times New Roman" w:hAnsi="Times New Roman" w:cs="Times New Roman"/>
        </w:rPr>
        <w:t>The website also outlines multi-agency arrangements. It also points to a well-structured Early Help Framework that defines partner collaboration. They are recognised as schools, health services, and social care teams. On the other hand, when compared to Norfolk, Nottinghamshire has fewer elaborate records explaining these roles.</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14:paraId="5A342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204DDC5E">
            <w:pPr>
              <w:spacing w:after="0" w:line="240" w:lineRule="auto"/>
              <w:rPr>
                <w:rFonts w:ascii="Times New Roman" w:hAnsi="Times New Roman" w:cs="Times New Roman"/>
                <w:b/>
                <w:bCs/>
              </w:rPr>
            </w:pPr>
            <w:r>
              <w:rPr>
                <w:rFonts w:ascii="Times New Roman" w:hAnsi="Times New Roman" w:cs="Times New Roman"/>
                <w:b/>
                <w:bCs/>
              </w:rPr>
              <w:t>Strengths</w:t>
            </w:r>
          </w:p>
        </w:tc>
        <w:tc>
          <w:tcPr>
            <w:tcW w:w="4508" w:type="dxa"/>
          </w:tcPr>
          <w:p w14:paraId="11FAB41B">
            <w:pPr>
              <w:spacing w:after="0" w:line="240" w:lineRule="auto"/>
              <w:rPr>
                <w:rFonts w:ascii="Times New Roman" w:hAnsi="Times New Roman" w:cs="Times New Roman"/>
                <w:b/>
                <w:bCs/>
              </w:rPr>
            </w:pPr>
            <w:r>
              <w:rPr>
                <w:rFonts w:ascii="Times New Roman" w:hAnsi="Times New Roman" w:cs="Times New Roman"/>
                <w:b/>
                <w:bCs/>
              </w:rPr>
              <w:t>Weaknesses</w:t>
            </w:r>
          </w:p>
        </w:tc>
      </w:tr>
      <w:tr w14:paraId="49DE5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14:paraId="70972205">
            <w:pPr>
              <w:numPr>
                <w:ilvl w:val="0"/>
                <w:numId w:val="4"/>
              </w:numPr>
              <w:spacing w:after="160" w:line="278" w:lineRule="auto"/>
              <w:rPr>
                <w:rFonts w:ascii="Times New Roman" w:hAnsi="Times New Roman" w:cs="Times New Roman"/>
              </w:rPr>
            </w:pPr>
            <w:r>
              <w:rPr>
                <w:rFonts w:ascii="Times New Roman" w:hAnsi="Times New Roman" w:cs="Times New Roman"/>
              </w:rPr>
              <w:t>Clear and structured information.</w:t>
            </w:r>
          </w:p>
          <w:p w14:paraId="1950DC2E">
            <w:pPr>
              <w:numPr>
                <w:ilvl w:val="0"/>
                <w:numId w:val="4"/>
              </w:numPr>
              <w:spacing w:after="160" w:line="278" w:lineRule="auto"/>
              <w:rPr>
                <w:rFonts w:ascii="Times New Roman" w:hAnsi="Times New Roman" w:cs="Times New Roman"/>
              </w:rPr>
            </w:pPr>
            <w:r>
              <w:rPr>
                <w:rFonts w:ascii="Times New Roman" w:hAnsi="Times New Roman" w:cs="Times New Roman"/>
              </w:rPr>
              <w:t>Simple access to referral forms.</w:t>
            </w:r>
          </w:p>
          <w:p w14:paraId="75F72B6F">
            <w:pPr>
              <w:numPr>
                <w:ilvl w:val="0"/>
                <w:numId w:val="4"/>
              </w:numPr>
              <w:spacing w:after="160" w:line="278" w:lineRule="auto"/>
              <w:rPr>
                <w:rFonts w:ascii="Times New Roman" w:hAnsi="Times New Roman" w:cs="Times New Roman"/>
              </w:rPr>
            </w:pPr>
            <w:r>
              <w:rPr>
                <w:rFonts w:ascii="Times New Roman" w:hAnsi="Times New Roman" w:cs="Times New Roman"/>
              </w:rPr>
              <w:t>Well-organised layout.</w:t>
            </w:r>
          </w:p>
          <w:p w14:paraId="6764EB72">
            <w:pPr>
              <w:numPr>
                <w:ilvl w:val="0"/>
                <w:numId w:val="4"/>
              </w:numPr>
              <w:spacing w:after="160" w:line="278" w:lineRule="auto"/>
              <w:rPr>
                <w:rFonts w:ascii="Times New Roman" w:hAnsi="Times New Roman" w:cs="Times New Roman"/>
              </w:rPr>
            </w:pPr>
            <w:r>
              <w:rPr>
                <w:rFonts w:ascii="Times New Roman" w:hAnsi="Times New Roman" w:cs="Times New Roman"/>
              </w:rPr>
              <w:t>Balanced level of detail.</w:t>
            </w:r>
          </w:p>
          <w:p w14:paraId="6DB08F99">
            <w:pPr>
              <w:spacing w:after="0" w:line="240" w:lineRule="auto"/>
              <w:rPr>
                <w:rFonts w:ascii="Times New Roman" w:hAnsi="Times New Roman" w:cs="Times New Roman"/>
              </w:rPr>
            </w:pPr>
          </w:p>
        </w:tc>
        <w:tc>
          <w:tcPr>
            <w:tcW w:w="4508" w:type="dxa"/>
          </w:tcPr>
          <w:p w14:paraId="2DA9514B">
            <w:pPr>
              <w:numPr>
                <w:ilvl w:val="0"/>
                <w:numId w:val="5"/>
              </w:numPr>
              <w:spacing w:after="160" w:line="278" w:lineRule="auto"/>
              <w:rPr>
                <w:rFonts w:ascii="Times New Roman" w:hAnsi="Times New Roman" w:cs="Times New Roman"/>
              </w:rPr>
            </w:pPr>
            <w:r>
              <w:rPr>
                <w:rFonts w:ascii="Times New Roman" w:hAnsi="Times New Roman" w:cs="Times New Roman"/>
              </w:rPr>
              <w:t>Less visual content.</w:t>
            </w:r>
          </w:p>
          <w:p w14:paraId="674815B5">
            <w:pPr>
              <w:numPr>
                <w:ilvl w:val="0"/>
                <w:numId w:val="5"/>
              </w:numPr>
              <w:spacing w:after="160" w:line="278" w:lineRule="auto"/>
              <w:rPr>
                <w:rFonts w:ascii="Times New Roman" w:hAnsi="Times New Roman" w:cs="Times New Roman"/>
              </w:rPr>
            </w:pPr>
            <w:r>
              <w:rPr>
                <w:rFonts w:ascii="Times New Roman" w:hAnsi="Times New Roman" w:cs="Times New Roman"/>
              </w:rPr>
              <w:t xml:space="preserve">Not as many multi-agencies as in Norfolk. </w:t>
            </w:r>
          </w:p>
          <w:p w14:paraId="325ACD4B">
            <w:pPr>
              <w:numPr>
                <w:ilvl w:val="0"/>
                <w:numId w:val="5"/>
              </w:numPr>
              <w:spacing w:after="160" w:line="278" w:lineRule="auto"/>
              <w:rPr>
                <w:rFonts w:ascii="Times New Roman" w:hAnsi="Times New Roman" w:cs="Times New Roman"/>
              </w:rPr>
            </w:pPr>
            <w:r>
              <w:rPr>
                <w:rFonts w:ascii="Times New Roman" w:hAnsi="Times New Roman" w:cs="Times New Roman"/>
              </w:rPr>
              <w:t>Limited real-life scenarios for families.</w:t>
            </w:r>
          </w:p>
          <w:p w14:paraId="04C7AAD0">
            <w:pPr>
              <w:spacing w:after="0" w:line="240" w:lineRule="auto"/>
              <w:rPr>
                <w:rFonts w:ascii="Times New Roman" w:hAnsi="Times New Roman" w:cs="Times New Roman"/>
              </w:rPr>
            </w:pPr>
          </w:p>
        </w:tc>
      </w:tr>
    </w:tbl>
    <w:p w14:paraId="383DD473">
      <w:pPr>
        <w:rPr>
          <w:rFonts w:ascii="Times New Roman" w:hAnsi="Times New Roman" w:cs="Times New Roman"/>
        </w:rPr>
      </w:pPr>
    </w:p>
    <w:p w14:paraId="115020FE">
      <w:pPr>
        <w:pStyle w:val="2"/>
        <w:jc w:val="center"/>
        <w:rPr>
          <w:rFonts w:ascii="Times New Roman" w:hAnsi="Times New Roman" w:cs="Times New Roman"/>
          <w:sz w:val="24"/>
          <w:szCs w:val="24"/>
        </w:rPr>
      </w:pPr>
      <w:bookmarkStart w:id="7" w:name="_Toc216290255"/>
      <w:r>
        <w:rPr>
          <w:rFonts w:ascii="Times New Roman" w:hAnsi="Times New Roman" w:cs="Times New Roman"/>
          <w:sz w:val="24"/>
          <w:szCs w:val="24"/>
        </w:rPr>
        <w:t>Comparative Analysis: Strengths and Weaknesses across the Three Websites</w:t>
      </w:r>
      <w:bookmarkEnd w:id="7"/>
    </w:p>
    <w:p w14:paraId="279FE4F9">
      <w:pPr>
        <w:spacing w:line="480" w:lineRule="auto"/>
        <w:ind w:firstLine="720"/>
        <w:rPr>
          <w:rFonts w:ascii="Times New Roman" w:hAnsi="Times New Roman" w:cs="Times New Roman"/>
        </w:rPr>
      </w:pPr>
      <w:r>
        <w:rPr>
          <w:rFonts w:ascii="Times New Roman" w:hAnsi="Times New Roman" w:cs="Times New Roman"/>
        </w:rPr>
        <w:t>Leeds, Norfolk, and Nottinghamshire introduce Early Help well, although they vary in the approach, complexity, and availability.</w:t>
      </w:r>
    </w:p>
    <w:p w14:paraId="22D9AE38">
      <w:pPr>
        <w:spacing w:line="480" w:lineRule="auto"/>
        <w:rPr>
          <w:rFonts w:ascii="Times New Roman" w:hAnsi="Times New Roman" w:cs="Times New Roman"/>
        </w:rPr>
      </w:pPr>
      <w:r>
        <w:rPr>
          <w:rFonts w:ascii="Times New Roman" w:hAnsi="Times New Roman" w:cs="Times New Roman"/>
          <w:b/>
          <w:bCs/>
          <w:i/>
          <w:iCs/>
        </w:rPr>
        <w:t>Accessibility and Navigation</w:t>
      </w:r>
      <w:r>
        <w:rPr>
          <w:rFonts w:ascii="Times New Roman" w:hAnsi="Times New Roman" w:cs="Times New Roman"/>
          <w:b/>
          <w:bCs/>
        </w:rPr>
        <w:t>:</w:t>
      </w:r>
      <w:r>
        <w:rPr>
          <w:rFonts w:ascii="Times New Roman" w:hAnsi="Times New Roman" w:cs="Times New Roman"/>
        </w:rPr>
        <w:t xml:space="preserve"> The site that is most accessible is Leeds. It has a plain and contemporary design. Norfolk offers more in-depth content, yet it is heavier text-wise. Nottinghamshire is less visual with good clarity.</w:t>
      </w:r>
    </w:p>
    <w:p w14:paraId="11870D5B">
      <w:pPr>
        <w:spacing w:line="480" w:lineRule="auto"/>
        <w:rPr>
          <w:rFonts w:ascii="Times New Roman" w:hAnsi="Times New Roman" w:cs="Times New Roman"/>
        </w:rPr>
      </w:pPr>
      <w:r>
        <w:rPr>
          <w:rFonts w:ascii="Times New Roman" w:hAnsi="Times New Roman" w:cs="Times New Roman"/>
          <w:b/>
          <w:bCs/>
          <w:i/>
          <w:iCs/>
        </w:rPr>
        <w:t>Clarity of Early Help Information</w:t>
      </w:r>
      <w:r>
        <w:rPr>
          <w:rFonts w:ascii="Times New Roman" w:hAnsi="Times New Roman" w:cs="Times New Roman"/>
          <w:b/>
          <w:bCs/>
        </w:rPr>
        <w:t>:</w:t>
      </w:r>
      <w:r>
        <w:rPr>
          <w:rFonts w:ascii="Times New Roman" w:hAnsi="Times New Roman" w:cs="Times New Roman"/>
        </w:rPr>
        <w:t xml:space="preserve"> Leeds provides the most understandable explanations to non-specialists. Norfolk is the most detailed, though it might not be easily digestible by families that may prefer short and concise messages. Notably, Nottinghamshire offers a middle-ground approach.</w:t>
      </w:r>
    </w:p>
    <w:p w14:paraId="5171FF36">
      <w:pPr>
        <w:spacing w:line="480" w:lineRule="auto"/>
        <w:rPr>
          <w:rFonts w:ascii="Times New Roman" w:hAnsi="Times New Roman" w:cs="Times New Roman"/>
        </w:rPr>
      </w:pPr>
      <w:r>
        <w:rPr>
          <w:rFonts w:ascii="Times New Roman" w:hAnsi="Times New Roman" w:cs="Times New Roman"/>
          <w:b/>
          <w:bCs/>
          <w:i/>
          <w:iCs/>
        </w:rPr>
        <w:t>Referral Guidance</w:t>
      </w:r>
      <w:r>
        <w:rPr>
          <w:rFonts w:ascii="Times New Roman" w:hAnsi="Times New Roman" w:cs="Times New Roman"/>
          <w:b/>
          <w:bCs/>
        </w:rPr>
        <w:t>:</w:t>
      </w:r>
      <w:r>
        <w:rPr>
          <w:rFonts w:ascii="Times New Roman" w:hAnsi="Times New Roman" w:cs="Times New Roman"/>
        </w:rPr>
        <w:t xml:space="preserve"> Norfolk scores best in this aspect. Another advantage is that access routes in Leeds are clear, and a download in Nottinghamshire is solid though not as comprehensive.</w:t>
      </w:r>
    </w:p>
    <w:p w14:paraId="2DD87C03">
      <w:pPr>
        <w:spacing w:line="480" w:lineRule="auto"/>
        <w:rPr>
          <w:rFonts w:ascii="Times New Roman" w:hAnsi="Times New Roman" w:cs="Times New Roman"/>
        </w:rPr>
      </w:pPr>
      <w:r>
        <w:rPr>
          <w:rFonts w:ascii="Times New Roman" w:hAnsi="Times New Roman" w:cs="Times New Roman"/>
          <w:b/>
          <w:bCs/>
          <w:i/>
          <w:iCs/>
        </w:rPr>
        <w:t>Multi-Agency Working</w:t>
      </w:r>
      <w:r>
        <w:rPr>
          <w:rFonts w:ascii="Times New Roman" w:hAnsi="Times New Roman" w:cs="Times New Roman"/>
          <w:b/>
          <w:bCs/>
        </w:rPr>
        <w:t>:</w:t>
      </w:r>
      <w:r>
        <w:rPr>
          <w:rFonts w:ascii="Times New Roman" w:hAnsi="Times New Roman" w:cs="Times New Roman"/>
        </w:rPr>
        <w:t xml:space="preserve"> Norfolk gives the most intuitive data concerning multi-agency positions and systems. Leeds quibbles over this field less elaborately. The county of Nottinghamshire has a strong framework, but has fewer examples to support it.</w:t>
      </w:r>
    </w:p>
    <w:p w14:paraId="5756C0C8">
      <w:pPr>
        <w:spacing w:line="480" w:lineRule="auto"/>
        <w:rPr>
          <w:rFonts w:ascii="Times New Roman" w:hAnsi="Times New Roman" w:cs="Times New Roman"/>
        </w:rPr>
      </w:pPr>
      <w:r>
        <w:rPr>
          <w:rFonts w:ascii="Times New Roman" w:hAnsi="Times New Roman" w:cs="Times New Roman"/>
          <w:b/>
          <w:bCs/>
          <w:i/>
          <w:iCs/>
        </w:rPr>
        <w:t>Overall Effectiveness</w:t>
      </w:r>
      <w:r>
        <w:rPr>
          <w:rFonts w:ascii="Times New Roman" w:hAnsi="Times New Roman" w:cs="Times New Roman"/>
          <w:b/>
          <w:bCs/>
        </w:rPr>
        <w:t>:</w:t>
      </w:r>
      <w:r>
        <w:rPr>
          <w:rFonts w:ascii="Times New Roman" w:hAnsi="Times New Roman" w:cs="Times New Roman"/>
        </w:rPr>
        <w:t xml:space="preserve"> Leeds has the most balanced approach to be adopted by the family, as it is straightforward, easy to understand, and has a friendly tone. Norfolk is packed with both professionals and families who would like more details. Nottinghamshire has a clear structure, but may increase the level of multi-agency solutions.</w:t>
      </w:r>
    </w:p>
    <w:p w14:paraId="64EC8821">
      <w:pPr>
        <w:pStyle w:val="2"/>
        <w:jc w:val="center"/>
        <w:rPr>
          <w:rFonts w:ascii="Times New Roman" w:hAnsi="Times New Roman" w:cs="Times New Roman"/>
          <w:sz w:val="24"/>
          <w:szCs w:val="24"/>
        </w:rPr>
      </w:pPr>
      <w:bookmarkStart w:id="8" w:name="_Toc216290256"/>
      <w:r>
        <w:rPr>
          <w:rFonts w:ascii="Times New Roman" w:hAnsi="Times New Roman" w:cs="Times New Roman"/>
          <w:sz w:val="24"/>
          <w:szCs w:val="24"/>
        </w:rPr>
        <w:t>Conclusion and Recommendations</w:t>
      </w:r>
      <w:bookmarkEnd w:id="8"/>
    </w:p>
    <w:p w14:paraId="7F1F89F4">
      <w:pPr>
        <w:spacing w:line="480" w:lineRule="auto"/>
        <w:ind w:firstLine="720"/>
        <w:rPr>
          <w:rFonts w:ascii="Times New Roman" w:hAnsi="Times New Roman" w:cs="Times New Roman"/>
        </w:rPr>
      </w:pPr>
      <w:r>
        <w:rPr>
          <w:rFonts w:ascii="Times New Roman" w:hAnsi="Times New Roman" w:cs="Times New Roman"/>
        </w:rPr>
        <w:t>The report has explored the manner in which Leeds, Norfolk, and Nottinghamshire market the Early Help offer and the efficacy of the communication methods they utilize to serve families requiring support. All three local authorities have understandable and relatively open information available, but they differ significantly in their focus, structure, and style of presentation. Leeds proves the most presentable because of its simple design, the use of clear language, and clear navigation, as the reader can easily read and access available support opportunities. Norfolk offers the most comprehensive detail, especially to professionals, which offers detailed information but with a more formal tone that might not be easy to read for the common man. Nottinghamshire also has an opportunity to provide a well-arranged and structured presentation, but uses fewer visuals and involvement elements, and this aspect decreases intuitive interpretability.</w:t>
      </w:r>
    </w:p>
    <w:p w14:paraId="6A770031">
      <w:pPr>
        <w:spacing w:line="480" w:lineRule="auto"/>
        <w:ind w:firstLine="720"/>
        <w:rPr>
          <w:rFonts w:ascii="Times New Roman" w:hAnsi="Times New Roman" w:cs="Times New Roman"/>
        </w:rPr>
      </w:pPr>
      <w:r>
        <w:rPr>
          <w:rFonts w:ascii="Times New Roman" w:hAnsi="Times New Roman" w:cs="Times New Roman"/>
        </w:rPr>
        <w:t>To enhance the Early Help communications across the country and facilitate the continuity and family-focused messages of the message across the local authorities, the recommendations are as follows:</w:t>
      </w:r>
    </w:p>
    <w:p w14:paraId="330F15D1">
      <w:pPr>
        <w:pStyle w:val="34"/>
        <w:numPr>
          <w:ilvl w:val="0"/>
          <w:numId w:val="6"/>
        </w:numPr>
        <w:spacing w:line="480" w:lineRule="auto"/>
        <w:rPr>
          <w:rFonts w:ascii="Times New Roman" w:hAnsi="Times New Roman" w:cs="Times New Roman"/>
        </w:rPr>
      </w:pPr>
      <w:r>
        <w:rPr>
          <w:rFonts w:ascii="Times New Roman" w:hAnsi="Times New Roman" w:cs="Times New Roman"/>
          <w:b/>
          <w:bCs/>
          <w:i/>
          <w:iCs/>
        </w:rPr>
        <w:t>Consolidate and cement the diagram usage</w:t>
      </w:r>
      <w:r>
        <w:rPr>
          <w:rFonts w:ascii="Times New Roman" w:hAnsi="Times New Roman" w:cs="Times New Roman"/>
        </w:rPr>
        <w:t xml:space="preserve"> - making the Early Help pathways more visual and helping families see the way they get support better. </w:t>
      </w:r>
    </w:p>
    <w:p w14:paraId="6DEB1BC3">
      <w:pPr>
        <w:pStyle w:val="34"/>
        <w:numPr>
          <w:ilvl w:val="0"/>
          <w:numId w:val="6"/>
        </w:numPr>
        <w:spacing w:line="480" w:lineRule="auto"/>
        <w:rPr>
          <w:rFonts w:ascii="Times New Roman" w:hAnsi="Times New Roman" w:cs="Times New Roman"/>
        </w:rPr>
      </w:pPr>
      <w:r>
        <w:rPr>
          <w:rFonts w:ascii="Times New Roman" w:hAnsi="Times New Roman" w:cs="Times New Roman"/>
          <w:b/>
          <w:bCs/>
          <w:i/>
          <w:iCs/>
        </w:rPr>
        <w:t>Prepare short downloadable leaflets in all councils</w:t>
      </w:r>
      <w:r>
        <w:rPr>
          <w:rFonts w:ascii="Times New Roman" w:hAnsi="Times New Roman" w:cs="Times New Roman"/>
        </w:rPr>
        <w:t xml:space="preserve"> - making sure that there is a consistent level of access to information and also easy-to-read information across the different local authorities (Sapiets et al. 2022). </w:t>
      </w:r>
    </w:p>
    <w:p w14:paraId="52885521">
      <w:pPr>
        <w:pStyle w:val="34"/>
        <w:numPr>
          <w:ilvl w:val="0"/>
          <w:numId w:val="6"/>
        </w:numPr>
        <w:spacing w:line="480" w:lineRule="auto"/>
        <w:rPr>
          <w:rFonts w:ascii="Times New Roman" w:hAnsi="Times New Roman" w:cs="Times New Roman"/>
        </w:rPr>
      </w:pPr>
      <w:r>
        <w:rPr>
          <w:rFonts w:ascii="Times New Roman" w:hAnsi="Times New Roman" w:cs="Times New Roman"/>
          <w:b/>
          <w:bCs/>
          <w:i/>
          <w:iCs/>
        </w:rPr>
        <w:t>Streamline referral advice to non-professionals</w:t>
      </w:r>
      <w:r>
        <w:rPr>
          <w:rFonts w:ascii="Times New Roman" w:hAnsi="Times New Roman" w:cs="Times New Roman"/>
        </w:rPr>
        <w:t xml:space="preserve"> - make this process less complicated and allow the family without specialist expertise to complete the referral process by themselves (Grant et al., 2025).</w:t>
      </w:r>
    </w:p>
    <w:p w14:paraId="6BB3E0DE">
      <w:pPr>
        <w:pStyle w:val="34"/>
        <w:numPr>
          <w:ilvl w:val="0"/>
          <w:numId w:val="6"/>
        </w:numPr>
        <w:spacing w:line="480" w:lineRule="auto"/>
        <w:rPr>
          <w:rFonts w:ascii="Times New Roman" w:hAnsi="Times New Roman" w:cs="Times New Roman"/>
        </w:rPr>
      </w:pPr>
      <w:r>
        <w:rPr>
          <w:rFonts w:ascii="Times New Roman" w:hAnsi="Times New Roman" w:cs="Times New Roman"/>
        </w:rPr>
        <w:t xml:space="preserve">Strengthen governance through public description of the </w:t>
      </w:r>
      <w:r>
        <w:rPr>
          <w:rFonts w:ascii="Times New Roman" w:hAnsi="Times New Roman" w:cs="Times New Roman"/>
          <w:b/>
          <w:bCs/>
          <w:i/>
          <w:iCs/>
        </w:rPr>
        <w:t>multi-agency role functions</w:t>
      </w:r>
      <w:r>
        <w:rPr>
          <w:rFonts w:ascii="Times New Roman" w:hAnsi="Times New Roman" w:cs="Times New Roman"/>
        </w:rPr>
        <w:t xml:space="preserve"> - enhancing clarity regarding the role of schools, health services, social care, and community organisations in the Early Help (Munro, 2011).</w:t>
      </w:r>
    </w:p>
    <w:p w14:paraId="7FCA3B69">
      <w:pPr>
        <w:pStyle w:val="34"/>
        <w:numPr>
          <w:ilvl w:val="0"/>
          <w:numId w:val="6"/>
        </w:numPr>
        <w:spacing w:line="480" w:lineRule="auto"/>
        <w:rPr>
          <w:rFonts w:ascii="Times New Roman" w:hAnsi="Times New Roman" w:cs="Times New Roman"/>
        </w:rPr>
      </w:pPr>
      <w:r>
        <w:rPr>
          <w:rFonts w:ascii="Times New Roman" w:hAnsi="Times New Roman" w:cs="Times New Roman"/>
          <w:b/>
          <w:bCs/>
          <w:i/>
          <w:iCs/>
        </w:rPr>
        <w:t>Incorporation of more real-life examples within public materials</w:t>
      </w:r>
      <w:r>
        <w:rPr>
          <w:rFonts w:ascii="Times New Roman" w:hAnsi="Times New Roman" w:cs="Times New Roman"/>
        </w:rPr>
        <w:t xml:space="preserve"> – making families identify the guidance with their personal situations and promote preliminary use of support resources (Brandon et al., 2012).</w:t>
      </w:r>
    </w:p>
    <w:p w14:paraId="186B21DD">
      <w:pPr>
        <w:rPr>
          <w:rFonts w:ascii="Times New Roman" w:hAnsi="Times New Roman" w:cs="Times New Roman"/>
        </w:rPr>
      </w:pPr>
      <w:r>
        <w:rPr>
          <w:rFonts w:ascii="Times New Roman" w:hAnsi="Times New Roman" w:cs="Times New Roman"/>
        </w:rPr>
        <w:drawing>
          <wp:inline distT="0" distB="0" distL="0" distR="0">
            <wp:extent cx="4897120" cy="2252980"/>
            <wp:effectExtent l="0" t="0" r="0" b="13970"/>
            <wp:docPr id="115755912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16C9377">
      <w:pPr>
        <w:rPr>
          <w:rFonts w:ascii="Times New Roman" w:hAnsi="Times New Roman" w:cs="Times New Roman"/>
        </w:rPr>
      </w:pPr>
      <w:r>
        <w:rPr>
          <w:rFonts w:ascii="Times New Roman" w:hAnsi="Times New Roman" w:cs="Times New Roman"/>
          <w:i/>
          <w:iCs/>
        </w:rPr>
        <w:t>Fig 4</w:t>
      </w:r>
      <w:r>
        <w:rPr>
          <w:rFonts w:ascii="Times New Roman" w:hAnsi="Times New Roman" w:cs="Times New Roman"/>
        </w:rPr>
        <w:t>: Suggested Early Help Pathway Diagram</w:t>
      </w:r>
    </w:p>
    <w:p w14:paraId="015CF894">
      <w:pPr>
        <w:spacing w:line="480" w:lineRule="auto"/>
        <w:ind w:firstLine="720"/>
        <w:rPr>
          <w:rFonts w:ascii="Times New Roman" w:hAnsi="Times New Roman" w:cs="Times New Roman"/>
        </w:rPr>
      </w:pPr>
      <w:r>
        <w:rPr>
          <w:rFonts w:ascii="Times New Roman" w:hAnsi="Times New Roman" w:cs="Times New Roman"/>
        </w:rPr>
        <w:t>Together, these suggestions facilitate more effective and regular communication and help to receive Early Help in time before complications might arise.</w:t>
      </w:r>
    </w:p>
    <w:p w14:paraId="586BC279">
      <w:pPr>
        <w:rPr>
          <w:rFonts w:ascii="Times New Roman" w:hAnsi="Times New Roman" w:cs="Times New Roman"/>
        </w:rPr>
      </w:pPr>
    </w:p>
    <w:p w14:paraId="50775C6F">
      <w:pPr>
        <w:rPr>
          <w:rFonts w:ascii="Times New Roman" w:hAnsi="Times New Roman" w:cs="Times New Roman"/>
        </w:rPr>
      </w:pPr>
    </w:p>
    <w:p w14:paraId="32A22D6C">
      <w:pPr>
        <w:rPr>
          <w:rFonts w:ascii="Times New Roman" w:hAnsi="Times New Roman" w:cs="Times New Roman"/>
        </w:rPr>
      </w:pPr>
      <w:r>
        <w:rPr>
          <w:rFonts w:ascii="Times New Roman" w:hAnsi="Times New Roman" w:cs="Times New Roman"/>
        </w:rPr>
        <w:br w:type="page"/>
      </w:r>
    </w:p>
    <w:p w14:paraId="450D4E14">
      <w:pPr>
        <w:pStyle w:val="2"/>
        <w:jc w:val="center"/>
        <w:rPr>
          <w:rFonts w:ascii="Times New Roman" w:hAnsi="Times New Roman" w:cs="Times New Roman"/>
          <w:sz w:val="24"/>
          <w:szCs w:val="24"/>
        </w:rPr>
      </w:pPr>
      <w:bookmarkStart w:id="9" w:name="_Toc216290257"/>
      <w:r>
        <w:rPr>
          <w:rFonts w:ascii="Times New Roman" w:hAnsi="Times New Roman" w:cs="Times New Roman"/>
          <w:sz w:val="24"/>
          <w:szCs w:val="24"/>
        </w:rPr>
        <w:t>Reference List</w:t>
      </w:r>
      <w:bookmarkEnd w:id="9"/>
    </w:p>
    <w:p w14:paraId="78D241A8">
      <w:pPr>
        <w:ind w:left="720" w:hanging="720"/>
        <w:rPr>
          <w:rFonts w:ascii="Times New Roman" w:hAnsi="Times New Roman" w:cs="Times New Roman"/>
        </w:rPr>
      </w:pPr>
      <w:r>
        <w:rPr>
          <w:rFonts w:ascii="Times New Roman" w:hAnsi="Times New Roman" w:cs="Times New Roman"/>
        </w:rPr>
        <w:t xml:space="preserve">Brandon, M., Sidebotham, P., Bailey, S., Belderson, P., Hawley, C., Ellis, C. and Megson, M. (2012). </w:t>
      </w:r>
      <w:r>
        <w:rPr>
          <w:rFonts w:ascii="Times New Roman" w:hAnsi="Times New Roman" w:cs="Times New Roman"/>
          <w:i/>
          <w:iCs/>
        </w:rPr>
        <w:t>New learning from serious case reviews: a two year report for</w:t>
      </w:r>
      <w:r>
        <w:rPr>
          <w:rFonts w:ascii="Times New Roman" w:hAnsi="Times New Roman" w:cs="Times New Roman"/>
        </w:rPr>
        <w:t>. [online] Available at: https://assets.publishing.service.gov.uk/media/5a7a0893ed915d6d99f5cab0/DFE-RR226_Report.pdf.</w:t>
      </w:r>
    </w:p>
    <w:p w14:paraId="0AF980C2">
      <w:pPr>
        <w:ind w:left="720" w:hanging="720"/>
        <w:rPr>
          <w:rFonts w:ascii="Times New Roman" w:hAnsi="Times New Roman" w:cs="Times New Roman"/>
        </w:rPr>
      </w:pPr>
      <w:r>
        <w:rPr>
          <w:rFonts w:ascii="Times New Roman" w:hAnsi="Times New Roman" w:cs="Times New Roman"/>
        </w:rPr>
        <w:t xml:space="preserve">Department for Education (2022) </w:t>
      </w:r>
      <w:r>
        <w:rPr>
          <w:rFonts w:ascii="Times New Roman" w:hAnsi="Times New Roman" w:cs="Times New Roman"/>
          <w:i/>
          <w:iCs/>
        </w:rPr>
        <w:t>Early Help System Guide</w:t>
      </w:r>
      <w:r>
        <w:rPr>
          <w:rFonts w:ascii="Times New Roman" w:hAnsi="Times New Roman" w:cs="Times New Roman"/>
        </w:rPr>
        <w:t>. London: DfE.Early Help System Guide (publishing.service.gov.uk)</w:t>
      </w:r>
    </w:p>
    <w:p w14:paraId="30C83D13">
      <w:pPr>
        <w:ind w:left="720" w:hanging="720"/>
        <w:rPr>
          <w:rFonts w:ascii="Times New Roman" w:hAnsi="Times New Roman" w:cs="Times New Roman"/>
        </w:rPr>
      </w:pPr>
      <w:r>
        <w:rPr>
          <w:rFonts w:ascii="Times New Roman" w:hAnsi="Times New Roman" w:cs="Times New Roman"/>
        </w:rPr>
        <w:t xml:space="preserve">Grant, L., Bostock, L., Kinman, G., Shephard, L. and Tinarwo, S. (2025). </w:t>
      </w:r>
      <w:r>
        <w:rPr>
          <w:rFonts w:ascii="Times New Roman" w:hAnsi="Times New Roman" w:cs="Times New Roman"/>
          <w:i/>
          <w:iCs/>
        </w:rPr>
        <w:t>Child and family social worker knowledge and skills Rapid evidence review April 2025</w:t>
      </w:r>
      <w:r>
        <w:rPr>
          <w:rFonts w:ascii="Times New Roman" w:hAnsi="Times New Roman" w:cs="Times New Roman"/>
        </w:rPr>
        <w:t>. [online] Available at: https://assets.publishing.service.gov.uk/media/6808da570324470d6a394efc/Child_and_family_social_worker_knowledge_and_skills.pdf.</w:t>
      </w:r>
    </w:p>
    <w:p w14:paraId="5016539D">
      <w:pPr>
        <w:ind w:left="720" w:hanging="720"/>
        <w:rPr>
          <w:rFonts w:ascii="Times New Roman" w:hAnsi="Times New Roman" w:cs="Times New Roman"/>
        </w:rPr>
      </w:pPr>
      <w:r>
        <w:rPr>
          <w:rFonts w:ascii="Times New Roman" w:hAnsi="Times New Roman" w:cs="Times New Roman"/>
        </w:rPr>
        <w:t xml:space="preserve">HM Government (2023) </w:t>
      </w:r>
      <w:r>
        <w:rPr>
          <w:rFonts w:ascii="Times New Roman" w:hAnsi="Times New Roman" w:cs="Times New Roman"/>
          <w:i/>
          <w:iCs/>
        </w:rPr>
        <w:t>Working Together to Safeguard Children 2023: Statutory Guidance</w:t>
      </w:r>
      <w:r>
        <w:rPr>
          <w:rFonts w:ascii="Times New Roman" w:hAnsi="Times New Roman" w:cs="Times New Roman"/>
        </w:rPr>
        <w:t>. London: HMSO. http://Working together to safeguard children 2023: statutory guidance (publishing.service.gov.uk)</w:t>
      </w:r>
    </w:p>
    <w:p w14:paraId="34DC1955">
      <w:pPr>
        <w:ind w:left="720" w:hanging="720"/>
        <w:rPr>
          <w:rFonts w:ascii="Times New Roman" w:hAnsi="Times New Roman" w:cs="Times New Roman"/>
        </w:rPr>
      </w:pPr>
      <w:r>
        <w:rPr>
          <w:rFonts w:ascii="Times New Roman" w:hAnsi="Times New Roman" w:cs="Times New Roman"/>
        </w:rPr>
        <w:t xml:space="preserve">Munro, E. (2011). </w:t>
      </w:r>
      <w:r>
        <w:rPr>
          <w:rFonts w:ascii="Times New Roman" w:hAnsi="Times New Roman" w:cs="Times New Roman"/>
          <w:i/>
          <w:iCs/>
        </w:rPr>
        <w:t>Munro review of child protection: a child-centred system</w:t>
      </w:r>
      <w:r>
        <w:rPr>
          <w:rFonts w:ascii="Times New Roman" w:hAnsi="Times New Roman" w:cs="Times New Roman"/>
        </w:rPr>
        <w:t>. [online] GOV.UK. Available at: https://www.gov.uk/government/publications/munro-review-of-child-protection-final-report-a-child-centred-system.</w:t>
      </w:r>
    </w:p>
    <w:p w14:paraId="730BB0FF">
      <w:pPr>
        <w:ind w:left="720" w:hanging="720"/>
        <w:rPr>
          <w:rFonts w:ascii="Times New Roman" w:hAnsi="Times New Roman" w:cs="Times New Roman"/>
        </w:rPr>
      </w:pPr>
      <w:r>
        <w:rPr>
          <w:rFonts w:ascii="Times New Roman" w:hAnsi="Times New Roman" w:cs="Times New Roman"/>
        </w:rPr>
        <w:t xml:space="preserve">Sapiets, S.J., Hastings, R.P., Stanford, C. and Totsika, V. (2022). Families’ Access to Early Intervention and Supports for Children With Developmental Disabilities. </w:t>
      </w:r>
      <w:r>
        <w:rPr>
          <w:rFonts w:ascii="Times New Roman" w:hAnsi="Times New Roman" w:cs="Times New Roman"/>
          <w:i/>
          <w:iCs/>
        </w:rPr>
        <w:t>Journal of Early Intervention</w:t>
      </w:r>
      <w:r>
        <w:rPr>
          <w:rFonts w:ascii="Times New Roman" w:hAnsi="Times New Roman" w:cs="Times New Roman"/>
        </w:rPr>
        <w:t>, 45(2), p.105381512210839. doi:https://doi.org/10.1177/10538151221083984.</w:t>
      </w:r>
    </w:p>
    <w:p w14:paraId="48F91714">
      <w:pPr>
        <w:ind w:left="720" w:hanging="720"/>
        <w:rPr>
          <w:rFonts w:ascii="Times New Roman" w:hAnsi="Times New Roman" w:cs="Times New Roman"/>
        </w:rPr>
      </w:pPr>
      <w:r>
        <w:rPr>
          <w:rFonts w:ascii="Times New Roman" w:hAnsi="Times New Roman" w:cs="Times New Roman"/>
        </w:rPr>
        <w:t xml:space="preserve">Leeds City Council (2024). </w:t>
      </w:r>
      <w:r>
        <w:rPr>
          <w:rFonts w:ascii="Times New Roman" w:hAnsi="Times New Roman" w:cs="Times New Roman"/>
          <w:i/>
          <w:iCs/>
        </w:rPr>
        <w:t>Early Help for Family Support</w:t>
      </w:r>
      <w:r>
        <w:rPr>
          <w:rFonts w:ascii="Times New Roman" w:hAnsi="Times New Roman" w:cs="Times New Roman"/>
        </w:rPr>
        <w:t>. [online] Leeds.gov.uk. Available at: https://www.leeds.gov.uk/..</w:t>
      </w:r>
    </w:p>
    <w:p w14:paraId="4A6D9518">
      <w:pPr>
        <w:ind w:left="720" w:hanging="720"/>
        <w:rPr>
          <w:rFonts w:ascii="Times New Roman" w:hAnsi="Times New Roman" w:cs="Times New Roman"/>
        </w:rPr>
      </w:pPr>
      <w:r>
        <w:rPr>
          <w:rFonts w:ascii="Times New Roman" w:hAnsi="Times New Roman" w:cs="Times New Roman"/>
        </w:rPr>
        <w:t xml:space="preserve">Norfolk County Council (2024). </w:t>
      </w:r>
      <w:r>
        <w:rPr>
          <w:rFonts w:ascii="Times New Roman" w:hAnsi="Times New Roman" w:cs="Times New Roman"/>
          <w:i/>
          <w:iCs/>
        </w:rPr>
        <w:t>Early Help - Norfolk County Council</w:t>
      </w:r>
      <w:r>
        <w:rPr>
          <w:rFonts w:ascii="Times New Roman" w:hAnsi="Times New Roman" w:cs="Times New Roman"/>
        </w:rPr>
        <w:t>. [online] www.norfolk.gov.uk. Available at: https://www.norfolk.gov.uk/.</w:t>
      </w:r>
    </w:p>
    <w:p w14:paraId="08E42ACC">
      <w:pPr>
        <w:ind w:left="720" w:hanging="720"/>
        <w:rPr>
          <w:rFonts w:ascii="Times New Roman" w:hAnsi="Times New Roman" w:cs="Times New Roman"/>
        </w:rPr>
      </w:pPr>
      <w:r>
        <w:rPr>
          <w:rFonts w:ascii="Times New Roman" w:hAnsi="Times New Roman" w:cs="Times New Roman"/>
        </w:rPr>
        <w:t xml:space="preserve">Nottinghamshire County Council (2024). </w:t>
      </w:r>
      <w:r>
        <w:rPr>
          <w:rFonts w:ascii="Times New Roman" w:hAnsi="Times New Roman" w:cs="Times New Roman"/>
          <w:i/>
          <w:iCs/>
        </w:rPr>
        <w:t>Early Help Services</w:t>
      </w:r>
      <w:r>
        <w:rPr>
          <w:rFonts w:ascii="Times New Roman" w:hAnsi="Times New Roman" w:cs="Times New Roman"/>
        </w:rPr>
        <w:t>. [online] Nottinghamshire County Council. Available at: https://www.nottinghamshire.gov.uk/.</w:t>
      </w: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5137333"/>
      <w:docPartObj>
        <w:docPartGallery w:val="AutoText"/>
      </w:docPartObj>
    </w:sdtPr>
    <w:sdtContent>
      <w:p w14:paraId="3BB969E5">
        <w:pPr>
          <w:pStyle w:val="14"/>
          <w:jc w:val="right"/>
        </w:pPr>
        <w:r>
          <w:fldChar w:fldCharType="begin"/>
        </w:r>
        <w:r>
          <w:instrText xml:space="preserve"> PAGE   \* MERGEFORMAT </w:instrText>
        </w:r>
        <w:r>
          <w:fldChar w:fldCharType="separate"/>
        </w:r>
        <w:r>
          <w:t>2</w:t>
        </w:r>
        <w:r>
          <w:fldChar w:fldCharType="end"/>
        </w:r>
      </w:p>
    </w:sdtContent>
  </w:sdt>
  <w:p w14:paraId="3CBE9CFE">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9606B0"/>
    <w:multiLevelType w:val="multilevel"/>
    <w:tmpl w:val="139606B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201C7E79"/>
    <w:multiLevelType w:val="multilevel"/>
    <w:tmpl w:val="201C7E7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8804CE8"/>
    <w:multiLevelType w:val="multilevel"/>
    <w:tmpl w:val="38804CE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4DA9102C"/>
    <w:multiLevelType w:val="multilevel"/>
    <w:tmpl w:val="4DA9102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5CAC70B4"/>
    <w:multiLevelType w:val="multilevel"/>
    <w:tmpl w:val="5CAC70B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63BE39DE"/>
    <w:multiLevelType w:val="multilevel"/>
    <w:tmpl w:val="63BE39D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491"/>
    <w:rsid w:val="00025D4E"/>
    <w:rsid w:val="00054903"/>
    <w:rsid w:val="0019579F"/>
    <w:rsid w:val="002479E7"/>
    <w:rsid w:val="00252FC5"/>
    <w:rsid w:val="00303858"/>
    <w:rsid w:val="0032431D"/>
    <w:rsid w:val="003550E3"/>
    <w:rsid w:val="003F3C41"/>
    <w:rsid w:val="00461A2E"/>
    <w:rsid w:val="00473EBF"/>
    <w:rsid w:val="004C41B0"/>
    <w:rsid w:val="0059375B"/>
    <w:rsid w:val="005A7852"/>
    <w:rsid w:val="00612491"/>
    <w:rsid w:val="00640505"/>
    <w:rsid w:val="00705615"/>
    <w:rsid w:val="00763EB2"/>
    <w:rsid w:val="007A53B5"/>
    <w:rsid w:val="007B05B1"/>
    <w:rsid w:val="008E0774"/>
    <w:rsid w:val="0094569B"/>
    <w:rsid w:val="009D203A"/>
    <w:rsid w:val="00AC75FB"/>
    <w:rsid w:val="00C31C77"/>
    <w:rsid w:val="00D015FF"/>
    <w:rsid w:val="00F0206E"/>
    <w:rsid w:val="00F16A9B"/>
    <w:rsid w:val="00F22AC3"/>
    <w:rsid w:val="00F60AE4"/>
    <w:rsid w:val="4AC27FB8"/>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zh-CN" w:eastAsia="en-US" w:bidi="ar-SA"/>
      <w14:ligatures w14:val="standardContextual"/>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2"/>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0"/>
    <w:unhideWhenUsed/>
    <w:uiPriority w:val="99"/>
    <w:pPr>
      <w:tabs>
        <w:tab w:val="center" w:pos="4513"/>
        <w:tab w:val="right" w:pos="9026"/>
      </w:tabs>
      <w:spacing w:after="0" w:line="240" w:lineRule="auto"/>
    </w:pPr>
  </w:style>
  <w:style w:type="paragraph" w:styleId="14">
    <w:name w:val="header"/>
    <w:basedOn w:val="1"/>
    <w:link w:val="39"/>
    <w:unhideWhenUsed/>
    <w:uiPriority w:val="99"/>
    <w:pPr>
      <w:tabs>
        <w:tab w:val="center" w:pos="4513"/>
        <w:tab w:val="right" w:pos="9026"/>
      </w:tabs>
      <w:spacing w:after="0" w:line="240" w:lineRule="auto"/>
    </w:pPr>
  </w:style>
  <w:style w:type="character" w:styleId="15">
    <w:name w:val="Hyperlink"/>
    <w:basedOn w:val="11"/>
    <w:unhideWhenUsed/>
    <w:qFormat/>
    <w:uiPriority w:val="99"/>
    <w:rPr>
      <w:color w:val="0563C1" w:themeColor="hyperlink"/>
      <w:u w:val="single"/>
      <w14:textFill>
        <w14:solidFill>
          <w14:schemeClr w14:val="hlink"/>
        </w14:solidFill>
      </w14:textFill>
    </w:rPr>
  </w:style>
  <w:style w:type="paragraph" w:styleId="16">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7">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9">
    <w:name w:val="toc 1"/>
    <w:basedOn w:val="1"/>
    <w:next w:val="1"/>
    <w:autoRedefine/>
    <w:unhideWhenUsed/>
    <w:qFormat/>
    <w:uiPriority w:val="39"/>
    <w:pPr>
      <w:spacing w:after="100"/>
    </w:pPr>
  </w:style>
  <w:style w:type="paragraph" w:styleId="20">
    <w:name w:val="toc 2"/>
    <w:basedOn w:val="1"/>
    <w:next w:val="1"/>
    <w:autoRedefine/>
    <w:unhideWhenUsed/>
    <w:uiPriority w:val="39"/>
    <w:pPr>
      <w:spacing w:after="100"/>
      <w:ind w:left="240"/>
    </w:pPr>
  </w:style>
  <w:style w:type="character" w:customStyle="1" w:styleId="21">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2">
    <w:name w:val="Heading 2 Char"/>
    <w:basedOn w:val="11"/>
    <w:link w:val="3"/>
    <w:qFormat/>
    <w:uiPriority w:val="9"/>
    <w:rPr>
      <w:rFonts w:asciiTheme="majorHAnsi" w:hAnsiTheme="majorHAnsi" w:eastAsiaTheme="majorEastAsia" w:cstheme="majorBidi"/>
      <w:color w:val="2F5597" w:themeColor="accent1" w:themeShade="BF"/>
      <w:sz w:val="32"/>
      <w:szCs w:val="32"/>
    </w:rPr>
  </w:style>
  <w:style w:type="character" w:customStyle="1" w:styleId="23">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4">
    <w:name w:val="Heading 4 Char"/>
    <w:basedOn w:val="11"/>
    <w:link w:val="5"/>
    <w:semiHidden/>
    <w:qFormat/>
    <w:uiPriority w:val="9"/>
    <w:rPr>
      <w:rFonts w:eastAsiaTheme="majorEastAsia" w:cstheme="majorBidi"/>
      <w:i/>
      <w:iCs/>
      <w:color w:val="2F5597" w:themeColor="accent1" w:themeShade="BF"/>
    </w:rPr>
  </w:style>
  <w:style w:type="character" w:customStyle="1" w:styleId="25">
    <w:name w:val="Heading 5 Char"/>
    <w:basedOn w:val="11"/>
    <w:link w:val="6"/>
    <w:semiHidden/>
    <w:qFormat/>
    <w:uiPriority w:val="9"/>
    <w:rPr>
      <w:rFonts w:eastAsiaTheme="majorEastAsia" w:cstheme="majorBidi"/>
      <w:color w:val="2F5597" w:themeColor="accent1" w:themeShade="BF"/>
    </w:rPr>
  </w:style>
  <w:style w:type="character" w:customStyle="1" w:styleId="26">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18"/>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2F5597" w:themeColor="accent1" w:themeShade="BF"/>
    </w:rPr>
  </w:style>
  <w:style w:type="paragraph"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1"/>
    <w:link w:val="36"/>
    <w:qFormat/>
    <w:uiPriority w:val="30"/>
    <w:rPr>
      <w:i/>
      <w:iCs/>
      <w:color w:val="2F5597" w:themeColor="accent1" w:themeShade="BF"/>
    </w:rPr>
  </w:style>
  <w:style w:type="character" w:customStyle="1" w:styleId="38">
    <w:name w:val="Intense Reference"/>
    <w:basedOn w:val="11"/>
    <w:qFormat/>
    <w:uiPriority w:val="32"/>
    <w:rPr>
      <w:b/>
      <w:bCs/>
      <w:smallCaps/>
      <w:color w:val="2F5597" w:themeColor="accent1" w:themeShade="BF"/>
      <w:spacing w:val="5"/>
    </w:rPr>
  </w:style>
  <w:style w:type="character" w:customStyle="1" w:styleId="39">
    <w:name w:val="Header Char"/>
    <w:basedOn w:val="11"/>
    <w:link w:val="14"/>
    <w:qFormat/>
    <w:uiPriority w:val="99"/>
  </w:style>
  <w:style w:type="character" w:customStyle="1" w:styleId="40">
    <w:name w:val="Footer Char"/>
    <w:basedOn w:val="11"/>
    <w:link w:val="13"/>
    <w:uiPriority w:val="99"/>
  </w:style>
  <w:style w:type="character" w:customStyle="1" w:styleId="41">
    <w:name w:val="Unresolved Mention"/>
    <w:basedOn w:val="11"/>
    <w:semiHidden/>
    <w:unhideWhenUsed/>
    <w:uiPriority w:val="99"/>
    <w:rPr>
      <w:color w:val="605E5C"/>
      <w:shd w:val="clear" w:color="auto" w:fill="E1DFDD"/>
    </w:rPr>
  </w:style>
  <w:style w:type="paragraph" w:customStyle="1" w:styleId="42">
    <w:name w:val="TOC Heading"/>
    <w:basedOn w:val="2"/>
    <w:next w:val="1"/>
    <w:unhideWhenUsed/>
    <w:qFormat/>
    <w:uiPriority w:val="39"/>
    <w:pPr>
      <w:spacing w:before="240" w:after="0" w:line="259" w:lineRule="auto"/>
      <w:outlineLvl w:val="9"/>
    </w:pPr>
    <w:rPr>
      <w:kern w:val="0"/>
      <w:sz w:val="32"/>
      <w:szCs w:val="32"/>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numbering" Target="numbering.xml"/><Relationship Id="rId15" Type="http://schemas.microsoft.com/office/2007/relationships/diagramDrawing" Target="diagrams/drawing1.xml"/><Relationship Id="rId14" Type="http://schemas.openxmlformats.org/officeDocument/2006/relationships/diagramColors" Target="diagrams/colors1.xml"/><Relationship Id="rId13" Type="http://schemas.openxmlformats.org/officeDocument/2006/relationships/diagramQuickStyle" Target="diagrams/quickStyle1.xml"/><Relationship Id="rId12" Type="http://schemas.openxmlformats.org/officeDocument/2006/relationships/diagramLayout" Target="diagrams/layout1.xml"/><Relationship Id="rId11" Type="http://schemas.openxmlformats.org/officeDocument/2006/relationships/diagramData" Target="diagrams/data1.xml"/><Relationship Id="rId10" Type="http://schemas.openxmlformats.org/officeDocument/2006/relationships/image" Target="media/image4.png"/><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9D72533E-8F12-4E1A-B059-940A490C47CA}" type="doc">
      <dgm:prSet loTypeId="urn:microsoft.com/office/officeart/2005/8/layout/cycle2" loCatId="cycle" qsTypeId="urn:microsoft.com/office/officeart/2005/8/quickstyle/simple1" qsCatId="simple" csTypeId="urn:microsoft.com/office/officeart/2005/8/colors/accent0_1" csCatId="mainScheme" phldr="1"/>
      <dgm:spPr/>
      <dgm:t>
        <a:bodyPr/>
        <a:p>
          <a:endParaRPr lang="en-US"/>
        </a:p>
      </dgm:t>
    </dgm:pt>
    <dgm:pt modelId="{08F369A5-8BEC-45D8-8818-88F75B173AAA}">
      <dgm:prSet phldrT="[Text]"/>
      <dgm:spPr/>
      <dgm:t>
        <a:bodyPr/>
        <a:p>
          <a:r>
            <a:rPr lang="en-US">
              <a:latin typeface="Times New Roman" panose="02020603050405020304" charset="0"/>
              <a:cs typeface="Times New Roman" panose="02020603050405020304" charset="0"/>
            </a:rPr>
            <a:t>Family Identifies Need</a:t>
          </a:r>
          <a:endParaRPr lang="en-US">
            <a:latin typeface="Times New Roman" panose="02020603050405020304" charset="0"/>
            <a:cs typeface="Times New Roman" panose="02020603050405020304" charset="0"/>
          </a:endParaRPr>
        </a:p>
      </dgm:t>
    </dgm:pt>
    <dgm:pt modelId="{58CF2620-2E2A-467A-A0AB-E68128EE8EE7}" cxnId="{70C3B1E3-EA67-46DA-8AD1-281C56FA7113}" type="parTrans">
      <dgm:prSet/>
      <dgm:spPr/>
      <dgm:t>
        <a:bodyPr/>
        <a:p>
          <a:endParaRPr lang="en-US"/>
        </a:p>
      </dgm:t>
    </dgm:pt>
    <dgm:pt modelId="{AC4C1581-3F63-44BF-8DC4-2CD32FF57405}" cxnId="{70C3B1E3-EA67-46DA-8AD1-281C56FA7113}" type="sibTrans">
      <dgm:prSet/>
      <dgm:spPr/>
      <dgm:t>
        <a:bodyPr/>
        <a:p>
          <a:endParaRPr lang="en-US"/>
        </a:p>
      </dgm:t>
    </dgm:pt>
    <dgm:pt modelId="{B6F41158-40A4-4D2E-93B2-4D4A083F1ABB}">
      <dgm:prSet phldrT="[Text]"/>
      <dgm:spPr/>
      <dgm:t>
        <a:bodyPr/>
        <a:p>
          <a:r>
            <a:rPr lang="en-US">
              <a:latin typeface="Times New Roman" panose="02020603050405020304" charset="0"/>
              <a:cs typeface="Times New Roman" panose="02020603050405020304" charset="0"/>
            </a:rPr>
            <a:t>Early Help Assessment</a:t>
          </a:r>
          <a:endParaRPr lang="en-US">
            <a:latin typeface="Times New Roman" panose="02020603050405020304" charset="0"/>
            <a:cs typeface="Times New Roman" panose="02020603050405020304" charset="0"/>
          </a:endParaRPr>
        </a:p>
      </dgm:t>
    </dgm:pt>
    <dgm:pt modelId="{0175FB1A-A660-46C1-918B-F21CAE743F1E}" cxnId="{3ACD8EF2-58AB-4CD7-A441-D4376241A513}" type="parTrans">
      <dgm:prSet/>
      <dgm:spPr/>
      <dgm:t>
        <a:bodyPr/>
        <a:p>
          <a:endParaRPr lang="en-US"/>
        </a:p>
      </dgm:t>
    </dgm:pt>
    <dgm:pt modelId="{2A227931-F327-45ED-9B72-E6DDD44937B7}" cxnId="{3ACD8EF2-58AB-4CD7-A441-D4376241A513}" type="sibTrans">
      <dgm:prSet/>
      <dgm:spPr/>
      <dgm:t>
        <a:bodyPr/>
        <a:p>
          <a:endParaRPr lang="en-US"/>
        </a:p>
      </dgm:t>
    </dgm:pt>
    <dgm:pt modelId="{2222950C-4936-4162-B734-BA7C8EBB2742}">
      <dgm:prSet phldrT="[Text]"/>
      <dgm:spPr/>
      <dgm:t>
        <a:bodyPr/>
        <a:p>
          <a:r>
            <a:rPr lang="en-US">
              <a:latin typeface="Times New Roman" panose="02020603050405020304" charset="0"/>
              <a:cs typeface="Times New Roman" panose="02020603050405020304" charset="0"/>
            </a:rPr>
            <a:t>Early Help Plan</a:t>
          </a:r>
          <a:endParaRPr lang="en-US">
            <a:latin typeface="Times New Roman" panose="02020603050405020304" charset="0"/>
            <a:cs typeface="Times New Roman" panose="02020603050405020304" charset="0"/>
          </a:endParaRPr>
        </a:p>
      </dgm:t>
    </dgm:pt>
    <dgm:pt modelId="{A63A4040-CE0C-4FEE-8BE2-2ED6D4FC5DD2}" cxnId="{82FA2E67-6F95-4FA7-BF67-470D2383AB15}" type="parTrans">
      <dgm:prSet/>
      <dgm:spPr/>
      <dgm:t>
        <a:bodyPr/>
        <a:p>
          <a:endParaRPr lang="en-US"/>
        </a:p>
      </dgm:t>
    </dgm:pt>
    <dgm:pt modelId="{B8D5842A-55F8-4A97-8F2B-0A804AB5F4D8}" cxnId="{82FA2E67-6F95-4FA7-BF67-470D2383AB15}" type="sibTrans">
      <dgm:prSet/>
      <dgm:spPr/>
      <dgm:t>
        <a:bodyPr/>
        <a:p>
          <a:endParaRPr lang="en-US"/>
        </a:p>
      </dgm:t>
    </dgm:pt>
    <dgm:pt modelId="{82C9ECB8-921F-49B4-93D5-12899222B9CE}">
      <dgm:prSet phldrT="[Text]"/>
      <dgm:spPr/>
      <dgm:t>
        <a:bodyPr/>
        <a:p>
          <a:r>
            <a:rPr lang="en-US">
              <a:latin typeface="Times New Roman" panose="02020603050405020304" charset="0"/>
              <a:cs typeface="Times New Roman" panose="02020603050405020304" charset="0"/>
            </a:rPr>
            <a:t>Support in Place</a:t>
          </a:r>
          <a:endParaRPr lang="en-US">
            <a:latin typeface="Times New Roman" panose="02020603050405020304" charset="0"/>
            <a:cs typeface="Times New Roman" panose="02020603050405020304" charset="0"/>
          </a:endParaRPr>
        </a:p>
      </dgm:t>
    </dgm:pt>
    <dgm:pt modelId="{5C68236D-2F2D-4EBE-ADF5-42565925AEB6}" cxnId="{531300C7-6C0C-43D8-B1B6-1E4B1678CF42}" type="parTrans">
      <dgm:prSet/>
      <dgm:spPr/>
      <dgm:t>
        <a:bodyPr/>
        <a:p>
          <a:endParaRPr lang="en-US"/>
        </a:p>
      </dgm:t>
    </dgm:pt>
    <dgm:pt modelId="{C63C3F39-837F-4AB8-BC57-2CCD66D9AE0C}" cxnId="{531300C7-6C0C-43D8-B1B6-1E4B1678CF42}" type="sibTrans">
      <dgm:prSet/>
      <dgm:spPr/>
      <dgm:t>
        <a:bodyPr/>
        <a:p>
          <a:endParaRPr lang="en-US"/>
        </a:p>
      </dgm:t>
    </dgm:pt>
    <dgm:pt modelId="{CD4C14D3-35C9-40A8-8C45-434EB1EE581F}">
      <dgm:prSet phldrT="[Text]"/>
      <dgm:spPr/>
      <dgm:t>
        <a:bodyPr/>
        <a:p>
          <a:r>
            <a:rPr lang="en-US">
              <a:latin typeface="Times New Roman" panose="02020603050405020304" charset="0"/>
              <a:cs typeface="Times New Roman" panose="02020603050405020304" charset="0"/>
            </a:rPr>
            <a:t>Review of Progress</a:t>
          </a:r>
          <a:endParaRPr lang="en-US">
            <a:latin typeface="Times New Roman" panose="02020603050405020304" charset="0"/>
            <a:cs typeface="Times New Roman" panose="02020603050405020304" charset="0"/>
          </a:endParaRPr>
        </a:p>
      </dgm:t>
    </dgm:pt>
    <dgm:pt modelId="{6A5DD603-999B-4C6C-A02E-3DB2D0186050}" cxnId="{BAB8C893-DA4F-4A3A-82F0-B718A7AC805F}" type="parTrans">
      <dgm:prSet/>
      <dgm:spPr/>
      <dgm:t>
        <a:bodyPr/>
        <a:p>
          <a:endParaRPr lang="en-US"/>
        </a:p>
      </dgm:t>
    </dgm:pt>
    <dgm:pt modelId="{2B00A466-F936-4273-BF79-4970A2A7CC55}" cxnId="{BAB8C893-DA4F-4A3A-82F0-B718A7AC805F}" type="sibTrans">
      <dgm:prSet/>
      <dgm:spPr/>
      <dgm:t>
        <a:bodyPr/>
        <a:p>
          <a:endParaRPr lang="en-US"/>
        </a:p>
      </dgm:t>
    </dgm:pt>
    <dgm:pt modelId="{650FDFD3-572B-43E2-82AD-18A6F2CBC88F}" type="pres">
      <dgm:prSet presAssocID="{9D72533E-8F12-4E1A-B059-940A490C47CA}" presName="cycle" presStyleCnt="0">
        <dgm:presLayoutVars>
          <dgm:dir/>
          <dgm:resizeHandles val="exact"/>
        </dgm:presLayoutVars>
      </dgm:prSet>
      <dgm:spPr/>
    </dgm:pt>
    <dgm:pt modelId="{702EC0F2-69FA-480D-A32A-81CE76664C77}" type="pres">
      <dgm:prSet presAssocID="{08F369A5-8BEC-45D8-8818-88F75B173AAA}" presName="node" presStyleLbl="node1" presStyleIdx="0" presStyleCnt="5">
        <dgm:presLayoutVars>
          <dgm:bulletEnabled val="1"/>
        </dgm:presLayoutVars>
      </dgm:prSet>
      <dgm:spPr/>
    </dgm:pt>
    <dgm:pt modelId="{AB1A91EA-5BDB-442F-83AC-9FFFB728698D}" type="pres">
      <dgm:prSet presAssocID="{AC4C1581-3F63-44BF-8DC4-2CD32FF57405}" presName="sibTrans" presStyleLbl="sibTrans2D1" presStyleIdx="0" presStyleCnt="5"/>
      <dgm:spPr/>
    </dgm:pt>
    <dgm:pt modelId="{E72FDDCD-EB07-4A85-9BFE-384B8C683AE4}" type="pres">
      <dgm:prSet presAssocID="{AC4C1581-3F63-44BF-8DC4-2CD32FF57405}" presName="connectorText" presStyleLbl="sibTrans2D1" presStyleIdx="0" presStyleCnt="5"/>
      <dgm:spPr/>
    </dgm:pt>
    <dgm:pt modelId="{7940120B-C95C-4F8E-919B-50CF0BE18F68}" type="pres">
      <dgm:prSet presAssocID="{B6F41158-40A4-4D2E-93B2-4D4A083F1ABB}" presName="node" presStyleLbl="node1" presStyleIdx="1" presStyleCnt="5">
        <dgm:presLayoutVars>
          <dgm:bulletEnabled val="1"/>
        </dgm:presLayoutVars>
      </dgm:prSet>
      <dgm:spPr/>
    </dgm:pt>
    <dgm:pt modelId="{65839812-076B-4014-8B50-89C9ED9B43DE}" type="pres">
      <dgm:prSet presAssocID="{2A227931-F327-45ED-9B72-E6DDD44937B7}" presName="sibTrans" presStyleLbl="sibTrans2D1" presStyleIdx="1" presStyleCnt="5"/>
      <dgm:spPr/>
    </dgm:pt>
    <dgm:pt modelId="{3D294405-5925-4A5D-8759-1BA3DC9F3806}" type="pres">
      <dgm:prSet presAssocID="{2A227931-F327-45ED-9B72-E6DDD44937B7}" presName="connectorText" presStyleLbl="sibTrans2D1" presStyleIdx="1" presStyleCnt="5"/>
      <dgm:spPr/>
    </dgm:pt>
    <dgm:pt modelId="{049A9E70-6666-48CD-A992-E9EB4732B704}" type="pres">
      <dgm:prSet presAssocID="{2222950C-4936-4162-B734-BA7C8EBB2742}" presName="node" presStyleLbl="node1" presStyleIdx="2" presStyleCnt="5">
        <dgm:presLayoutVars>
          <dgm:bulletEnabled val="1"/>
        </dgm:presLayoutVars>
      </dgm:prSet>
      <dgm:spPr/>
    </dgm:pt>
    <dgm:pt modelId="{1389FE85-BCC7-4C2F-8C46-6EBFB29FDA54}" type="pres">
      <dgm:prSet presAssocID="{B8D5842A-55F8-4A97-8F2B-0A804AB5F4D8}" presName="sibTrans" presStyleLbl="sibTrans2D1" presStyleIdx="2" presStyleCnt="5"/>
      <dgm:spPr/>
    </dgm:pt>
    <dgm:pt modelId="{C050F2B3-02F5-4492-BF94-47FAD7513A88}" type="pres">
      <dgm:prSet presAssocID="{B8D5842A-55F8-4A97-8F2B-0A804AB5F4D8}" presName="connectorText" presStyleLbl="sibTrans2D1" presStyleIdx="2" presStyleCnt="5"/>
      <dgm:spPr/>
    </dgm:pt>
    <dgm:pt modelId="{B97D2A03-CA62-4A35-8CF1-63FA2C73EF37}" type="pres">
      <dgm:prSet presAssocID="{82C9ECB8-921F-49B4-93D5-12899222B9CE}" presName="node" presStyleLbl="node1" presStyleIdx="3" presStyleCnt="5">
        <dgm:presLayoutVars>
          <dgm:bulletEnabled val="1"/>
        </dgm:presLayoutVars>
      </dgm:prSet>
      <dgm:spPr/>
    </dgm:pt>
    <dgm:pt modelId="{6919DE87-D1AB-4C28-9153-08E1091442C1}" type="pres">
      <dgm:prSet presAssocID="{C63C3F39-837F-4AB8-BC57-2CCD66D9AE0C}" presName="sibTrans" presStyleLbl="sibTrans2D1" presStyleIdx="3" presStyleCnt="5"/>
      <dgm:spPr/>
    </dgm:pt>
    <dgm:pt modelId="{6B063776-242F-4584-AC83-F15F43E6A130}" type="pres">
      <dgm:prSet presAssocID="{C63C3F39-837F-4AB8-BC57-2CCD66D9AE0C}" presName="connectorText" presStyleLbl="sibTrans2D1" presStyleIdx="3" presStyleCnt="5"/>
      <dgm:spPr/>
    </dgm:pt>
    <dgm:pt modelId="{CCFF1CFC-FA21-49EB-A6C5-49C0FAB11A10}" type="pres">
      <dgm:prSet presAssocID="{CD4C14D3-35C9-40A8-8C45-434EB1EE581F}" presName="node" presStyleLbl="node1" presStyleIdx="4" presStyleCnt="5">
        <dgm:presLayoutVars>
          <dgm:bulletEnabled val="1"/>
        </dgm:presLayoutVars>
      </dgm:prSet>
      <dgm:spPr/>
    </dgm:pt>
    <dgm:pt modelId="{84B6CA16-D2B2-4F68-9748-26567DD6BE51}" type="pres">
      <dgm:prSet presAssocID="{2B00A466-F936-4273-BF79-4970A2A7CC55}" presName="sibTrans" presStyleLbl="sibTrans2D1" presStyleIdx="4" presStyleCnt="5"/>
      <dgm:spPr/>
    </dgm:pt>
    <dgm:pt modelId="{5F3C6F7C-D15B-47C5-B513-7256DF44C39B}" type="pres">
      <dgm:prSet presAssocID="{2B00A466-F936-4273-BF79-4970A2A7CC55}" presName="connectorText" presStyleLbl="sibTrans2D1" presStyleIdx="4" presStyleCnt="5"/>
      <dgm:spPr/>
    </dgm:pt>
  </dgm:ptLst>
  <dgm:cxnLst>
    <dgm:cxn modelId="{6FFF590E-CF55-4CC4-BCC3-C62646F196FB}" type="presOf" srcId="{2B00A466-F936-4273-BF79-4970A2A7CC55}" destId="{84B6CA16-D2B2-4F68-9748-26567DD6BE51}" srcOrd="0" destOrd="0" presId="urn:microsoft.com/office/officeart/2005/8/layout/cycle2"/>
    <dgm:cxn modelId="{CD732717-AE84-42A1-8B08-A8C9D8660B97}" type="presOf" srcId="{AC4C1581-3F63-44BF-8DC4-2CD32FF57405}" destId="{E72FDDCD-EB07-4A85-9BFE-384B8C683AE4}" srcOrd="1" destOrd="0" presId="urn:microsoft.com/office/officeart/2005/8/layout/cycle2"/>
    <dgm:cxn modelId="{BED9711C-45D1-44C0-AD7E-7F1D91F78C27}" type="presOf" srcId="{9D72533E-8F12-4E1A-B059-940A490C47CA}" destId="{650FDFD3-572B-43E2-82AD-18A6F2CBC88F}" srcOrd="0" destOrd="0" presId="urn:microsoft.com/office/officeart/2005/8/layout/cycle2"/>
    <dgm:cxn modelId="{82A8EA2A-2951-4CA1-8375-19D847D9467B}" type="presOf" srcId="{CD4C14D3-35C9-40A8-8C45-434EB1EE581F}" destId="{CCFF1CFC-FA21-49EB-A6C5-49C0FAB11A10}" srcOrd="0" destOrd="0" presId="urn:microsoft.com/office/officeart/2005/8/layout/cycle2"/>
    <dgm:cxn modelId="{2F17F65D-4120-4752-AE05-392F9665EB0D}" type="presOf" srcId="{B6F41158-40A4-4D2E-93B2-4D4A083F1ABB}" destId="{7940120B-C95C-4F8E-919B-50CF0BE18F68}" srcOrd="0" destOrd="0" presId="urn:microsoft.com/office/officeart/2005/8/layout/cycle2"/>
    <dgm:cxn modelId="{0D9A2860-58D5-4D73-A5C9-04AE9E78AF56}" type="presOf" srcId="{2B00A466-F936-4273-BF79-4970A2A7CC55}" destId="{5F3C6F7C-D15B-47C5-B513-7256DF44C39B}" srcOrd="1" destOrd="0" presId="urn:microsoft.com/office/officeart/2005/8/layout/cycle2"/>
    <dgm:cxn modelId="{BFEC4B43-E3BF-427A-9E93-0FB39076A230}" type="presOf" srcId="{82C9ECB8-921F-49B4-93D5-12899222B9CE}" destId="{B97D2A03-CA62-4A35-8CF1-63FA2C73EF37}" srcOrd="0" destOrd="0" presId="urn:microsoft.com/office/officeart/2005/8/layout/cycle2"/>
    <dgm:cxn modelId="{92525665-A637-465E-B2E9-D4A7DE27D4FD}" type="presOf" srcId="{AC4C1581-3F63-44BF-8DC4-2CD32FF57405}" destId="{AB1A91EA-5BDB-442F-83AC-9FFFB728698D}" srcOrd="0" destOrd="0" presId="urn:microsoft.com/office/officeart/2005/8/layout/cycle2"/>
    <dgm:cxn modelId="{82FA2E67-6F95-4FA7-BF67-470D2383AB15}" srcId="{9D72533E-8F12-4E1A-B059-940A490C47CA}" destId="{2222950C-4936-4162-B734-BA7C8EBB2742}" srcOrd="2" destOrd="0" parTransId="{A63A4040-CE0C-4FEE-8BE2-2ED6D4FC5DD2}" sibTransId="{B8D5842A-55F8-4A97-8F2B-0A804AB5F4D8}"/>
    <dgm:cxn modelId="{4DEA5D55-42D3-4110-A303-43563CC3B700}" type="presOf" srcId="{C63C3F39-837F-4AB8-BC57-2CCD66D9AE0C}" destId="{6919DE87-D1AB-4C28-9153-08E1091442C1}" srcOrd="0" destOrd="0" presId="urn:microsoft.com/office/officeart/2005/8/layout/cycle2"/>
    <dgm:cxn modelId="{8D1B4A58-6D5D-49C5-92EB-9C4E677FDF02}" type="presOf" srcId="{2A227931-F327-45ED-9B72-E6DDD44937B7}" destId="{3D294405-5925-4A5D-8759-1BA3DC9F3806}" srcOrd="1" destOrd="0" presId="urn:microsoft.com/office/officeart/2005/8/layout/cycle2"/>
    <dgm:cxn modelId="{FA56EA88-2F23-4645-882D-E3F55162C832}" type="presOf" srcId="{08F369A5-8BEC-45D8-8818-88F75B173AAA}" destId="{702EC0F2-69FA-480D-A32A-81CE76664C77}" srcOrd="0" destOrd="0" presId="urn:microsoft.com/office/officeart/2005/8/layout/cycle2"/>
    <dgm:cxn modelId="{BAB8C893-DA4F-4A3A-82F0-B718A7AC805F}" srcId="{9D72533E-8F12-4E1A-B059-940A490C47CA}" destId="{CD4C14D3-35C9-40A8-8C45-434EB1EE581F}" srcOrd="4" destOrd="0" parTransId="{6A5DD603-999B-4C6C-A02E-3DB2D0186050}" sibTransId="{2B00A466-F936-4273-BF79-4970A2A7CC55}"/>
    <dgm:cxn modelId="{C8D161A3-6451-40F9-89BB-979F39B4525B}" type="presOf" srcId="{B8D5842A-55F8-4A97-8F2B-0A804AB5F4D8}" destId="{C050F2B3-02F5-4492-BF94-47FAD7513A88}" srcOrd="1" destOrd="0" presId="urn:microsoft.com/office/officeart/2005/8/layout/cycle2"/>
    <dgm:cxn modelId="{07C5B3A8-36AA-4E84-890A-88B41B041A9E}" type="presOf" srcId="{2A227931-F327-45ED-9B72-E6DDD44937B7}" destId="{65839812-076B-4014-8B50-89C9ED9B43DE}" srcOrd="0" destOrd="0" presId="urn:microsoft.com/office/officeart/2005/8/layout/cycle2"/>
    <dgm:cxn modelId="{4867CAAB-4C3F-44C2-8824-D6AE4834A68B}" type="presOf" srcId="{C63C3F39-837F-4AB8-BC57-2CCD66D9AE0C}" destId="{6B063776-242F-4584-AC83-F15F43E6A130}" srcOrd="1" destOrd="0" presId="urn:microsoft.com/office/officeart/2005/8/layout/cycle2"/>
    <dgm:cxn modelId="{609120B5-FF16-4FA1-BD1E-675140423977}" type="presOf" srcId="{2222950C-4936-4162-B734-BA7C8EBB2742}" destId="{049A9E70-6666-48CD-A992-E9EB4732B704}" srcOrd="0" destOrd="0" presId="urn:microsoft.com/office/officeart/2005/8/layout/cycle2"/>
    <dgm:cxn modelId="{4534E2C2-8D51-4350-BFD7-1060E821842B}" type="presOf" srcId="{B8D5842A-55F8-4A97-8F2B-0A804AB5F4D8}" destId="{1389FE85-BCC7-4C2F-8C46-6EBFB29FDA54}" srcOrd="0" destOrd="0" presId="urn:microsoft.com/office/officeart/2005/8/layout/cycle2"/>
    <dgm:cxn modelId="{531300C7-6C0C-43D8-B1B6-1E4B1678CF42}" srcId="{9D72533E-8F12-4E1A-B059-940A490C47CA}" destId="{82C9ECB8-921F-49B4-93D5-12899222B9CE}" srcOrd="3" destOrd="0" parTransId="{5C68236D-2F2D-4EBE-ADF5-42565925AEB6}" sibTransId="{C63C3F39-837F-4AB8-BC57-2CCD66D9AE0C}"/>
    <dgm:cxn modelId="{70C3B1E3-EA67-46DA-8AD1-281C56FA7113}" srcId="{9D72533E-8F12-4E1A-B059-940A490C47CA}" destId="{08F369A5-8BEC-45D8-8818-88F75B173AAA}" srcOrd="0" destOrd="0" parTransId="{58CF2620-2E2A-467A-A0AB-E68128EE8EE7}" sibTransId="{AC4C1581-3F63-44BF-8DC4-2CD32FF57405}"/>
    <dgm:cxn modelId="{3ACD8EF2-58AB-4CD7-A441-D4376241A513}" srcId="{9D72533E-8F12-4E1A-B059-940A490C47CA}" destId="{B6F41158-40A4-4D2E-93B2-4D4A083F1ABB}" srcOrd="1" destOrd="0" parTransId="{0175FB1A-A660-46C1-918B-F21CAE743F1E}" sibTransId="{2A227931-F327-45ED-9B72-E6DDD44937B7}"/>
    <dgm:cxn modelId="{121A1F61-254F-4B34-8F36-1F0030A96B87}" type="presParOf" srcId="{650FDFD3-572B-43E2-82AD-18A6F2CBC88F}" destId="{702EC0F2-69FA-480D-A32A-81CE76664C77}" srcOrd="0" destOrd="0" presId="urn:microsoft.com/office/officeart/2005/8/layout/cycle2"/>
    <dgm:cxn modelId="{5455F384-335A-4EAE-ACDF-46F1D3F906EF}" type="presParOf" srcId="{650FDFD3-572B-43E2-82AD-18A6F2CBC88F}" destId="{AB1A91EA-5BDB-442F-83AC-9FFFB728698D}" srcOrd="1" destOrd="0" presId="urn:microsoft.com/office/officeart/2005/8/layout/cycle2"/>
    <dgm:cxn modelId="{B48DA277-AFC6-4849-B35B-94EDD099A026}" type="presParOf" srcId="{AB1A91EA-5BDB-442F-83AC-9FFFB728698D}" destId="{E72FDDCD-EB07-4A85-9BFE-384B8C683AE4}" srcOrd="0" destOrd="0" presId="urn:microsoft.com/office/officeart/2005/8/layout/cycle2"/>
    <dgm:cxn modelId="{45F47558-1089-4A96-A8B7-A1F575181EA3}" type="presParOf" srcId="{650FDFD3-572B-43E2-82AD-18A6F2CBC88F}" destId="{7940120B-C95C-4F8E-919B-50CF0BE18F68}" srcOrd="2" destOrd="0" presId="urn:microsoft.com/office/officeart/2005/8/layout/cycle2"/>
    <dgm:cxn modelId="{201E4A40-7EA8-48CA-AE17-99C1238B2446}" type="presParOf" srcId="{650FDFD3-572B-43E2-82AD-18A6F2CBC88F}" destId="{65839812-076B-4014-8B50-89C9ED9B43DE}" srcOrd="3" destOrd="0" presId="urn:microsoft.com/office/officeart/2005/8/layout/cycle2"/>
    <dgm:cxn modelId="{353277D0-511D-46AD-B698-F8A4C1BCB836}" type="presParOf" srcId="{65839812-076B-4014-8B50-89C9ED9B43DE}" destId="{3D294405-5925-4A5D-8759-1BA3DC9F3806}" srcOrd="0" destOrd="0" presId="urn:microsoft.com/office/officeart/2005/8/layout/cycle2"/>
    <dgm:cxn modelId="{6D457F3A-FA87-4745-908D-7811287E3393}" type="presParOf" srcId="{650FDFD3-572B-43E2-82AD-18A6F2CBC88F}" destId="{049A9E70-6666-48CD-A992-E9EB4732B704}" srcOrd="4" destOrd="0" presId="urn:microsoft.com/office/officeart/2005/8/layout/cycle2"/>
    <dgm:cxn modelId="{DC9D2B9F-38E7-49A1-AA05-F19627B881BB}" type="presParOf" srcId="{650FDFD3-572B-43E2-82AD-18A6F2CBC88F}" destId="{1389FE85-BCC7-4C2F-8C46-6EBFB29FDA54}" srcOrd="5" destOrd="0" presId="urn:microsoft.com/office/officeart/2005/8/layout/cycle2"/>
    <dgm:cxn modelId="{46FF6A68-88E1-456E-8DAB-FF66338CB904}" type="presParOf" srcId="{1389FE85-BCC7-4C2F-8C46-6EBFB29FDA54}" destId="{C050F2B3-02F5-4492-BF94-47FAD7513A88}" srcOrd="0" destOrd="0" presId="urn:microsoft.com/office/officeart/2005/8/layout/cycle2"/>
    <dgm:cxn modelId="{949E3833-B42C-4D01-8241-F37942282D78}" type="presParOf" srcId="{650FDFD3-572B-43E2-82AD-18A6F2CBC88F}" destId="{B97D2A03-CA62-4A35-8CF1-63FA2C73EF37}" srcOrd="6" destOrd="0" presId="urn:microsoft.com/office/officeart/2005/8/layout/cycle2"/>
    <dgm:cxn modelId="{03443C64-B082-42A5-AB50-86D5F5D4135F}" type="presParOf" srcId="{650FDFD3-572B-43E2-82AD-18A6F2CBC88F}" destId="{6919DE87-D1AB-4C28-9153-08E1091442C1}" srcOrd="7" destOrd="0" presId="urn:microsoft.com/office/officeart/2005/8/layout/cycle2"/>
    <dgm:cxn modelId="{C8FCDF9A-4A1D-47FE-81CC-83672BAACCED}" type="presParOf" srcId="{6919DE87-D1AB-4C28-9153-08E1091442C1}" destId="{6B063776-242F-4584-AC83-F15F43E6A130}" srcOrd="0" destOrd="0" presId="urn:microsoft.com/office/officeart/2005/8/layout/cycle2"/>
    <dgm:cxn modelId="{0709B294-7FCB-4F6C-8258-14F5B441D72B}" type="presParOf" srcId="{650FDFD3-572B-43E2-82AD-18A6F2CBC88F}" destId="{CCFF1CFC-FA21-49EB-A6C5-49C0FAB11A10}" srcOrd="8" destOrd="0" presId="urn:microsoft.com/office/officeart/2005/8/layout/cycle2"/>
    <dgm:cxn modelId="{D446EAF7-646C-49A4-A597-F324BC9FE5C0}" type="presParOf" srcId="{650FDFD3-572B-43E2-82AD-18A6F2CBC88F}" destId="{84B6CA16-D2B2-4F68-9748-26567DD6BE51}" srcOrd="9" destOrd="0" presId="urn:microsoft.com/office/officeart/2005/8/layout/cycle2"/>
    <dgm:cxn modelId="{E80113F5-436A-4FED-8F97-F12C2AD2304F}" type="presParOf" srcId="{84B6CA16-D2B2-4F68-9748-26567DD6BE51}" destId="{5F3C6F7C-D15B-47C5-B513-7256DF44C39B}" srcOrd="0" destOrd="0" presId="urn:microsoft.com/office/officeart/2005/8/layout/cycle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2EC0F2-69FA-480D-A32A-81CE76664C77}">
      <dsp:nvSpPr>
        <dsp:cNvPr id="0" name=""/>
        <dsp:cNvSpPr/>
      </dsp:nvSpPr>
      <dsp:spPr>
        <a:xfrm>
          <a:off x="2108563" y="419"/>
          <a:ext cx="680336" cy="68033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Family Identifies Need</a:t>
          </a:r>
          <a:endParaRPr lang="en-KE" sz="700" kern="1200">
            <a:latin typeface="Times New Roman" panose="02020603050405020304" pitchFamily="18" charset="0"/>
            <a:cs typeface="Times New Roman" panose="02020603050405020304" pitchFamily="18" charset="0"/>
          </a:endParaRPr>
        </a:p>
      </dsp:txBody>
      <dsp:txXfrm>
        <a:off x="2208196" y="100052"/>
        <a:ext cx="481070" cy="481070"/>
      </dsp:txXfrm>
    </dsp:sp>
    <dsp:sp modelId="{AB1A91EA-5BDB-442F-83AC-9FFFB728698D}">
      <dsp:nvSpPr>
        <dsp:cNvPr id="0" name=""/>
        <dsp:cNvSpPr/>
      </dsp:nvSpPr>
      <dsp:spPr>
        <a:xfrm rot="2160000">
          <a:off x="2767381" y="522967"/>
          <a:ext cx="180785" cy="2296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KE" sz="600" kern="1200"/>
        </a:p>
      </dsp:txBody>
      <dsp:txXfrm>
        <a:off x="2772560" y="552951"/>
        <a:ext cx="126550" cy="137767"/>
      </dsp:txXfrm>
    </dsp:sp>
    <dsp:sp modelId="{7940120B-C95C-4F8E-919B-50CF0BE18F68}">
      <dsp:nvSpPr>
        <dsp:cNvPr id="0" name=""/>
        <dsp:cNvSpPr/>
      </dsp:nvSpPr>
      <dsp:spPr>
        <a:xfrm>
          <a:off x="2934927" y="600807"/>
          <a:ext cx="680336" cy="68033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Early Help Assessment</a:t>
          </a:r>
          <a:endParaRPr lang="en-KE" sz="700" kern="1200">
            <a:latin typeface="Times New Roman" panose="02020603050405020304" pitchFamily="18" charset="0"/>
            <a:cs typeface="Times New Roman" panose="02020603050405020304" pitchFamily="18" charset="0"/>
          </a:endParaRPr>
        </a:p>
      </dsp:txBody>
      <dsp:txXfrm>
        <a:off x="3034560" y="700440"/>
        <a:ext cx="481070" cy="481070"/>
      </dsp:txXfrm>
    </dsp:sp>
    <dsp:sp modelId="{65839812-076B-4014-8B50-89C9ED9B43DE}">
      <dsp:nvSpPr>
        <dsp:cNvPr id="0" name=""/>
        <dsp:cNvSpPr/>
      </dsp:nvSpPr>
      <dsp:spPr>
        <a:xfrm rot="6480000">
          <a:off x="3028462" y="1307027"/>
          <a:ext cx="180785" cy="2296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KE" sz="600" kern="1200"/>
        </a:p>
      </dsp:txBody>
      <dsp:txXfrm rot="10800000">
        <a:off x="3063959" y="1327160"/>
        <a:ext cx="126550" cy="137767"/>
      </dsp:txXfrm>
    </dsp:sp>
    <dsp:sp modelId="{049A9E70-6666-48CD-A992-E9EB4732B704}">
      <dsp:nvSpPr>
        <dsp:cNvPr id="0" name=""/>
        <dsp:cNvSpPr/>
      </dsp:nvSpPr>
      <dsp:spPr>
        <a:xfrm>
          <a:off x="2619284" y="1572256"/>
          <a:ext cx="680336" cy="68033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Early Help Plan</a:t>
          </a:r>
          <a:endParaRPr lang="en-KE" sz="700" kern="1200">
            <a:latin typeface="Times New Roman" panose="02020603050405020304" pitchFamily="18" charset="0"/>
            <a:cs typeface="Times New Roman" panose="02020603050405020304" pitchFamily="18" charset="0"/>
          </a:endParaRPr>
        </a:p>
      </dsp:txBody>
      <dsp:txXfrm>
        <a:off x="2718917" y="1671889"/>
        <a:ext cx="481070" cy="481070"/>
      </dsp:txXfrm>
    </dsp:sp>
    <dsp:sp modelId="{1389FE85-BCC7-4C2F-8C46-6EBFB29FDA54}">
      <dsp:nvSpPr>
        <dsp:cNvPr id="0" name=""/>
        <dsp:cNvSpPr/>
      </dsp:nvSpPr>
      <dsp:spPr>
        <a:xfrm rot="10800000">
          <a:off x="2363455" y="1797617"/>
          <a:ext cx="180785" cy="2296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KE" sz="600" kern="1200"/>
        </a:p>
      </dsp:txBody>
      <dsp:txXfrm rot="10800000">
        <a:off x="2417690" y="1843540"/>
        <a:ext cx="126550" cy="137767"/>
      </dsp:txXfrm>
    </dsp:sp>
    <dsp:sp modelId="{B97D2A03-CA62-4A35-8CF1-63FA2C73EF37}">
      <dsp:nvSpPr>
        <dsp:cNvPr id="0" name=""/>
        <dsp:cNvSpPr/>
      </dsp:nvSpPr>
      <dsp:spPr>
        <a:xfrm>
          <a:off x="1597843" y="1572256"/>
          <a:ext cx="680336" cy="68033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Support in Place</a:t>
          </a:r>
          <a:endParaRPr lang="en-KE" sz="700" kern="1200">
            <a:latin typeface="Times New Roman" panose="02020603050405020304" pitchFamily="18" charset="0"/>
            <a:cs typeface="Times New Roman" panose="02020603050405020304" pitchFamily="18" charset="0"/>
          </a:endParaRPr>
        </a:p>
      </dsp:txBody>
      <dsp:txXfrm>
        <a:off x="1697476" y="1671889"/>
        <a:ext cx="481070" cy="481070"/>
      </dsp:txXfrm>
    </dsp:sp>
    <dsp:sp modelId="{6919DE87-D1AB-4C28-9153-08E1091442C1}">
      <dsp:nvSpPr>
        <dsp:cNvPr id="0" name=""/>
        <dsp:cNvSpPr/>
      </dsp:nvSpPr>
      <dsp:spPr>
        <a:xfrm rot="15120000">
          <a:off x="1691377" y="1316759"/>
          <a:ext cx="180785" cy="2296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KE" sz="600" kern="1200"/>
        </a:p>
      </dsp:txBody>
      <dsp:txXfrm rot="10800000">
        <a:off x="1726874" y="1388472"/>
        <a:ext cx="126550" cy="137767"/>
      </dsp:txXfrm>
    </dsp:sp>
    <dsp:sp modelId="{CCFF1CFC-FA21-49EB-A6C5-49C0FAB11A10}">
      <dsp:nvSpPr>
        <dsp:cNvPr id="0" name=""/>
        <dsp:cNvSpPr/>
      </dsp:nvSpPr>
      <dsp:spPr>
        <a:xfrm>
          <a:off x="1282200" y="600807"/>
          <a:ext cx="680336" cy="680336"/>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US" sz="700" kern="1200">
              <a:latin typeface="Times New Roman" panose="02020603050405020304" pitchFamily="18" charset="0"/>
              <a:cs typeface="Times New Roman" panose="02020603050405020304" pitchFamily="18" charset="0"/>
            </a:rPr>
            <a:t>Review of Progress</a:t>
          </a:r>
          <a:endParaRPr lang="en-KE" sz="700" kern="1200">
            <a:latin typeface="Times New Roman" panose="02020603050405020304" pitchFamily="18" charset="0"/>
            <a:cs typeface="Times New Roman" panose="02020603050405020304" pitchFamily="18" charset="0"/>
          </a:endParaRPr>
        </a:p>
      </dsp:txBody>
      <dsp:txXfrm>
        <a:off x="1381833" y="700440"/>
        <a:ext cx="481070" cy="481070"/>
      </dsp:txXfrm>
    </dsp:sp>
    <dsp:sp modelId="{84B6CA16-D2B2-4F68-9748-26567DD6BE51}">
      <dsp:nvSpPr>
        <dsp:cNvPr id="0" name=""/>
        <dsp:cNvSpPr/>
      </dsp:nvSpPr>
      <dsp:spPr>
        <a:xfrm rot="19440000">
          <a:off x="1941017" y="528982"/>
          <a:ext cx="180785" cy="229613"/>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KE" sz="600" kern="1200"/>
        </a:p>
      </dsp:txBody>
      <dsp:txXfrm>
        <a:off x="1946196" y="590844"/>
        <a:ext cx="126550" cy="13776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2A2AF-585D-4B99-9A6F-C6371FE203B6}">
  <ds:schemaRefs/>
</ds:datastoreItem>
</file>

<file path=docProps/app.xml><?xml version="1.0" encoding="utf-8"?>
<Properties xmlns="http://schemas.openxmlformats.org/officeDocument/2006/extended-properties" xmlns:vt="http://schemas.openxmlformats.org/officeDocument/2006/docPropsVTypes">
  <Template>Normal</Template>
  <Pages>13</Pages>
  <Words>2553</Words>
  <Characters>14558</Characters>
  <Lines>121</Lines>
  <Paragraphs>34</Paragraphs>
  <TotalTime>284</TotalTime>
  <ScaleCrop>false</ScaleCrop>
  <LinksUpToDate>false</LinksUpToDate>
  <CharactersWithSpaces>17077</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2025-12-10T12:17:00Z</dcterms:created>
  <dc:creator>innocent isiaho</dc:creator>
  <cp:lastModifiedBy>pavlin enchev</cp:lastModifiedBy>
  <dcterms:modified xsi:type="dcterms:W3CDTF">2025-12-12T10:43:16Z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0bec6d3c-f094-4610-817a-f7b6bb61e177</vt:lpwstr>
  </property>
  <property fmtid="{D5CDD505-2E9C-101B-9397-08002B2CF9AE}" pid="3" name="KSOProductBuildVer">
    <vt:lpwstr>1033-12.2.0.23155</vt:lpwstr>
  </property>
  <property fmtid="{D5CDD505-2E9C-101B-9397-08002B2CF9AE}" pid="4" name="ICV">
    <vt:lpwstr>D9C5D32B698E4866BB977BA6617F7E46_12</vt:lpwstr>
  </property>
</Properties>
</file>