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22C77" w14:textId="36480CF6" w:rsidR="00B94B6E" w:rsidRDefault="003D072F" w:rsidP="00AC4D4D">
      <w:pPr>
        <w:spacing w:line="360" w:lineRule="auto"/>
        <w:rPr>
          <w:rFonts w:ascii="Arial" w:hAnsi="Arial" w:cs="Arial"/>
          <w:sz w:val="24"/>
          <w:szCs w:val="24"/>
        </w:rPr>
      </w:pPr>
      <w:r w:rsidRPr="003D072F">
        <w:rPr>
          <w:rFonts w:ascii="Arial" w:hAnsi="Arial" w:cs="Arial"/>
          <w:sz w:val="24"/>
          <w:szCs w:val="24"/>
        </w:rPr>
        <w:t>The right to education, and its role in fostering the development of the human personality while strengthening respect for human rights and fundamental freedoms, was first articulated in the Universal Declaration of Human Rights (United Nations, 1948). Despite significant global progress in literacy rates (UNESCO, 2025), access to education remains deeply unequal. An estimated 739 million adults worldwide are unable to read and write, two-thirds of whom are women. Furthermore, approximately 250 million children are currently out of school</w:t>
      </w:r>
      <w:r w:rsidR="00F717E3">
        <w:rPr>
          <w:rFonts w:ascii="Arial" w:hAnsi="Arial" w:cs="Arial"/>
          <w:sz w:val="24"/>
          <w:szCs w:val="24"/>
        </w:rPr>
        <w:t>,</w:t>
      </w:r>
      <w:r w:rsidRPr="003D072F">
        <w:rPr>
          <w:rFonts w:ascii="Arial" w:hAnsi="Arial" w:cs="Arial"/>
          <w:sz w:val="24"/>
          <w:szCs w:val="24"/>
        </w:rPr>
        <w:t xml:space="preserve"> an increase of six million since 2001 (Global Education Monitoring Report Team, 2025) indicating that earlier gains in reducing educational exclusion have stalled. </w:t>
      </w:r>
    </w:p>
    <w:p w14:paraId="3BAD2901" w14:textId="40DF9F7C" w:rsidR="002A728D" w:rsidRDefault="003D072F" w:rsidP="00AC4D4D">
      <w:pPr>
        <w:spacing w:line="360" w:lineRule="auto"/>
        <w:rPr>
          <w:rFonts w:ascii="Arial" w:hAnsi="Arial" w:cs="Arial"/>
          <w:sz w:val="24"/>
          <w:szCs w:val="24"/>
        </w:rPr>
      </w:pPr>
      <w:r w:rsidRPr="003D072F">
        <w:rPr>
          <w:rFonts w:ascii="Arial" w:hAnsi="Arial" w:cs="Arial"/>
          <w:sz w:val="24"/>
          <w:szCs w:val="24"/>
        </w:rPr>
        <w:t>These disparities are particularly pronounced in West and Central Africa, where primary school attendance rates remain among the lowest globally. Of the 98 million out</w:t>
      </w:r>
      <w:r w:rsidR="00725592">
        <w:rPr>
          <w:rFonts w:ascii="Arial" w:hAnsi="Arial" w:cs="Arial"/>
          <w:sz w:val="24"/>
          <w:szCs w:val="24"/>
        </w:rPr>
        <w:t xml:space="preserve"> </w:t>
      </w:r>
      <w:r w:rsidRPr="003D072F">
        <w:rPr>
          <w:rFonts w:ascii="Arial" w:hAnsi="Arial" w:cs="Arial"/>
          <w:sz w:val="24"/>
          <w:szCs w:val="24"/>
        </w:rPr>
        <w:t>of</w:t>
      </w:r>
      <w:r w:rsidR="00725592">
        <w:rPr>
          <w:rFonts w:ascii="Arial" w:hAnsi="Arial" w:cs="Arial"/>
          <w:sz w:val="24"/>
          <w:szCs w:val="24"/>
        </w:rPr>
        <w:t xml:space="preserve"> </w:t>
      </w:r>
      <w:r w:rsidRPr="003D072F">
        <w:rPr>
          <w:rFonts w:ascii="Arial" w:hAnsi="Arial" w:cs="Arial"/>
          <w:sz w:val="24"/>
          <w:szCs w:val="24"/>
        </w:rPr>
        <w:t>school children in Sub-Saharan Africa, 20 million reside in Nigeria</w:t>
      </w:r>
      <w:r w:rsidR="00EC2680">
        <w:rPr>
          <w:rFonts w:ascii="Arial" w:hAnsi="Arial" w:cs="Arial"/>
          <w:sz w:val="24"/>
          <w:szCs w:val="24"/>
        </w:rPr>
        <w:t>.</w:t>
      </w:r>
      <w:r w:rsidRPr="003D072F">
        <w:rPr>
          <w:rFonts w:ascii="Arial" w:hAnsi="Arial" w:cs="Arial"/>
          <w:sz w:val="24"/>
          <w:szCs w:val="24"/>
        </w:rPr>
        <w:t xml:space="preserve"> In light of these persistent inequalities</w:t>
      </w:r>
      <w:r w:rsidR="00700329">
        <w:rPr>
          <w:rFonts w:ascii="Arial" w:hAnsi="Arial" w:cs="Arial"/>
          <w:sz w:val="24"/>
          <w:szCs w:val="24"/>
        </w:rPr>
        <w:t>, t</w:t>
      </w:r>
      <w:r w:rsidRPr="003D072F">
        <w:rPr>
          <w:rFonts w:ascii="Arial" w:hAnsi="Arial" w:cs="Arial"/>
          <w:sz w:val="24"/>
          <w:szCs w:val="24"/>
        </w:rPr>
        <w:t>his essay critically examines the barriers to accessing high</w:t>
      </w:r>
      <w:r w:rsidR="004E5A1F">
        <w:rPr>
          <w:rFonts w:ascii="Arial" w:hAnsi="Arial" w:cs="Arial"/>
          <w:sz w:val="24"/>
          <w:szCs w:val="24"/>
        </w:rPr>
        <w:t xml:space="preserve"> </w:t>
      </w:r>
      <w:r w:rsidRPr="003D072F">
        <w:rPr>
          <w:rFonts w:ascii="Arial" w:hAnsi="Arial" w:cs="Arial"/>
          <w:sz w:val="24"/>
          <w:szCs w:val="24"/>
        </w:rPr>
        <w:t xml:space="preserve">quality, consistent education for children and young people in Nigeria, analysing national, regional, and international policy frameworks </w:t>
      </w:r>
      <w:r w:rsidR="003732EC">
        <w:rPr>
          <w:rFonts w:ascii="Arial" w:hAnsi="Arial" w:cs="Arial"/>
          <w:sz w:val="24"/>
          <w:szCs w:val="24"/>
        </w:rPr>
        <w:t xml:space="preserve">including the United Nations Convention </w:t>
      </w:r>
      <w:r w:rsidR="0091695D">
        <w:rPr>
          <w:rFonts w:ascii="Arial" w:hAnsi="Arial" w:cs="Arial"/>
          <w:sz w:val="24"/>
          <w:szCs w:val="24"/>
        </w:rPr>
        <w:t>on the Rights of th</w:t>
      </w:r>
      <w:r w:rsidR="001245D9">
        <w:rPr>
          <w:rFonts w:ascii="Arial" w:hAnsi="Arial" w:cs="Arial"/>
          <w:sz w:val="24"/>
          <w:szCs w:val="24"/>
        </w:rPr>
        <w:t>e</w:t>
      </w:r>
      <w:r w:rsidR="0091695D">
        <w:rPr>
          <w:rFonts w:ascii="Arial" w:hAnsi="Arial" w:cs="Arial"/>
          <w:sz w:val="24"/>
          <w:szCs w:val="24"/>
        </w:rPr>
        <w:t xml:space="preserve"> Child</w:t>
      </w:r>
      <w:r w:rsidR="001245D9">
        <w:rPr>
          <w:rFonts w:ascii="Arial" w:hAnsi="Arial" w:cs="Arial"/>
          <w:sz w:val="24"/>
          <w:szCs w:val="24"/>
        </w:rPr>
        <w:t xml:space="preserve"> </w:t>
      </w:r>
      <w:r w:rsidR="001245D9" w:rsidRPr="001245D9">
        <w:rPr>
          <w:rFonts w:ascii="Arial" w:hAnsi="Arial" w:cs="Arial"/>
          <w:sz w:val="24"/>
          <w:szCs w:val="24"/>
        </w:rPr>
        <w:t>(United Nations, 1989)</w:t>
      </w:r>
      <w:r w:rsidR="00885A0A">
        <w:rPr>
          <w:rFonts w:ascii="Arial" w:hAnsi="Arial" w:cs="Arial"/>
          <w:sz w:val="24"/>
          <w:szCs w:val="24"/>
        </w:rPr>
        <w:t xml:space="preserve">, the African Charter on the Rights and Welfare </w:t>
      </w:r>
      <w:r w:rsidR="00031EC2">
        <w:rPr>
          <w:rFonts w:ascii="Arial" w:hAnsi="Arial" w:cs="Arial"/>
          <w:sz w:val="24"/>
          <w:szCs w:val="24"/>
        </w:rPr>
        <w:t>of the Child</w:t>
      </w:r>
      <w:r w:rsidR="00D71FE9">
        <w:rPr>
          <w:rFonts w:ascii="Arial" w:hAnsi="Arial" w:cs="Arial"/>
          <w:sz w:val="24"/>
          <w:szCs w:val="24"/>
        </w:rPr>
        <w:t xml:space="preserve"> </w:t>
      </w:r>
      <w:r w:rsidR="000A3FE6" w:rsidRPr="000A3FE6">
        <w:rPr>
          <w:rFonts w:ascii="Arial" w:hAnsi="Arial" w:cs="Arial"/>
          <w:sz w:val="24"/>
          <w:szCs w:val="24"/>
        </w:rPr>
        <w:t>(African Union, 1990)</w:t>
      </w:r>
      <w:r w:rsidR="00031EC2">
        <w:rPr>
          <w:rFonts w:ascii="Arial" w:hAnsi="Arial" w:cs="Arial"/>
          <w:sz w:val="24"/>
          <w:szCs w:val="24"/>
        </w:rPr>
        <w:t xml:space="preserve"> and </w:t>
      </w:r>
      <w:r w:rsidR="00062566">
        <w:rPr>
          <w:rFonts w:ascii="Arial" w:hAnsi="Arial" w:cs="Arial"/>
          <w:sz w:val="24"/>
          <w:szCs w:val="24"/>
        </w:rPr>
        <w:t>the Sustainable Development Goals</w:t>
      </w:r>
      <w:r w:rsidR="00BE525F">
        <w:rPr>
          <w:rFonts w:ascii="Arial" w:hAnsi="Arial" w:cs="Arial"/>
          <w:sz w:val="24"/>
          <w:szCs w:val="24"/>
        </w:rPr>
        <w:t xml:space="preserve"> </w:t>
      </w:r>
      <w:r w:rsidR="00E92E7D" w:rsidRPr="00E92E7D">
        <w:rPr>
          <w:rFonts w:ascii="Arial" w:hAnsi="Arial" w:cs="Arial"/>
          <w:sz w:val="24"/>
          <w:szCs w:val="24"/>
        </w:rPr>
        <w:t>(United Nations, 2015)</w:t>
      </w:r>
      <w:r w:rsidR="00BF0D81">
        <w:rPr>
          <w:rFonts w:ascii="Arial" w:hAnsi="Arial" w:cs="Arial"/>
          <w:sz w:val="24"/>
          <w:szCs w:val="24"/>
        </w:rPr>
        <w:t>,</w:t>
      </w:r>
      <w:r w:rsidRPr="003D072F">
        <w:rPr>
          <w:rFonts w:ascii="Arial" w:hAnsi="Arial" w:cs="Arial"/>
          <w:sz w:val="24"/>
          <w:szCs w:val="24"/>
        </w:rPr>
        <w:t xml:space="preserve"> </w:t>
      </w:r>
      <w:r w:rsidR="002A728D" w:rsidRPr="002A728D">
        <w:rPr>
          <w:rFonts w:ascii="Arial" w:hAnsi="Arial" w:cs="Arial"/>
          <w:sz w:val="24"/>
          <w:szCs w:val="24"/>
        </w:rPr>
        <w:t>interrogating whether these instruments function as transformative mechanisms for change or operate largely as symbolic commitments. In doing so, the essay questions the extent to which rights-based approaches meaningfully confront the structural inequalities that underpin educational exclusion.</w:t>
      </w:r>
    </w:p>
    <w:p w14:paraId="7E1DA007" w14:textId="5532F1EC" w:rsidR="00B23193" w:rsidRPr="00B23193" w:rsidRDefault="00B23193" w:rsidP="00AC4D4D">
      <w:pPr>
        <w:spacing w:line="360" w:lineRule="auto"/>
        <w:rPr>
          <w:rFonts w:ascii="Arial" w:hAnsi="Arial" w:cs="Arial"/>
          <w:sz w:val="24"/>
          <w:szCs w:val="24"/>
        </w:rPr>
      </w:pPr>
      <w:r w:rsidRPr="00B23193">
        <w:rPr>
          <w:rFonts w:ascii="Arial" w:hAnsi="Arial" w:cs="Arial"/>
          <w:sz w:val="24"/>
          <w:szCs w:val="24"/>
        </w:rPr>
        <w:t>Since gaining independence from the United Kingdom in 1960, Nigeria has remained one of the most populous countries in the Majority World</w:t>
      </w:r>
      <w:r w:rsidR="00BD4495">
        <w:rPr>
          <w:rFonts w:ascii="Arial" w:hAnsi="Arial" w:cs="Arial"/>
          <w:sz w:val="24"/>
          <w:szCs w:val="24"/>
        </w:rPr>
        <w:t xml:space="preserve">, </w:t>
      </w:r>
      <w:r w:rsidRPr="00B23193">
        <w:rPr>
          <w:rFonts w:ascii="Arial" w:hAnsi="Arial" w:cs="Arial"/>
          <w:sz w:val="24"/>
          <w:szCs w:val="24"/>
        </w:rPr>
        <w:t xml:space="preserve">a term used to describe nations historically positioned at the margins of global economic and political power structures (Khan et al., 2022). </w:t>
      </w:r>
      <w:r w:rsidR="009E0E5A">
        <w:rPr>
          <w:rFonts w:ascii="Arial" w:hAnsi="Arial" w:cs="Arial"/>
          <w:sz w:val="24"/>
          <w:szCs w:val="24"/>
        </w:rPr>
        <w:t xml:space="preserve">A country with a </w:t>
      </w:r>
      <w:r w:rsidR="001942AC" w:rsidRPr="001942AC">
        <w:rPr>
          <w:rFonts w:ascii="Arial" w:hAnsi="Arial" w:cs="Arial"/>
          <w:sz w:val="24"/>
          <w:szCs w:val="24"/>
        </w:rPr>
        <w:t>population marked by ethnic, religious, and cultural diversity</w:t>
      </w:r>
      <w:r w:rsidR="00554890">
        <w:rPr>
          <w:rFonts w:ascii="Arial" w:hAnsi="Arial" w:cs="Arial"/>
          <w:sz w:val="24"/>
          <w:szCs w:val="24"/>
        </w:rPr>
        <w:t>, c</w:t>
      </w:r>
      <w:r w:rsidRPr="00B23193">
        <w:rPr>
          <w:rFonts w:ascii="Arial" w:hAnsi="Arial" w:cs="Arial"/>
          <w:sz w:val="24"/>
          <w:szCs w:val="24"/>
        </w:rPr>
        <w:t>ontemporary educational inequalities cannot be understood solely through a</w:t>
      </w:r>
      <w:r w:rsidR="00BD4495">
        <w:rPr>
          <w:rFonts w:ascii="Arial" w:hAnsi="Arial" w:cs="Arial"/>
          <w:sz w:val="24"/>
          <w:szCs w:val="24"/>
        </w:rPr>
        <w:t xml:space="preserve"> </w:t>
      </w:r>
      <w:r w:rsidRPr="00B23193">
        <w:rPr>
          <w:rFonts w:ascii="Arial" w:hAnsi="Arial" w:cs="Arial"/>
          <w:sz w:val="24"/>
          <w:szCs w:val="24"/>
        </w:rPr>
        <w:t>post</w:t>
      </w:r>
      <w:r w:rsidR="00BD4495">
        <w:rPr>
          <w:rFonts w:ascii="Arial" w:hAnsi="Arial" w:cs="Arial"/>
          <w:sz w:val="24"/>
          <w:szCs w:val="24"/>
        </w:rPr>
        <w:t>-</w:t>
      </w:r>
      <w:r w:rsidR="00BD4495" w:rsidRPr="00B23193">
        <w:rPr>
          <w:rFonts w:ascii="Arial" w:hAnsi="Arial" w:cs="Arial"/>
          <w:sz w:val="24"/>
          <w:szCs w:val="24"/>
        </w:rPr>
        <w:t>independ</w:t>
      </w:r>
      <w:r w:rsidR="00BD4495">
        <w:rPr>
          <w:rFonts w:ascii="Arial" w:hAnsi="Arial" w:cs="Arial"/>
          <w:sz w:val="24"/>
          <w:szCs w:val="24"/>
        </w:rPr>
        <w:t>e</w:t>
      </w:r>
      <w:r w:rsidR="00BD4495" w:rsidRPr="00B23193">
        <w:rPr>
          <w:rFonts w:ascii="Arial" w:hAnsi="Arial" w:cs="Arial"/>
          <w:sz w:val="24"/>
          <w:szCs w:val="24"/>
        </w:rPr>
        <w:t>nce</w:t>
      </w:r>
      <w:r w:rsidRPr="00B23193">
        <w:rPr>
          <w:rFonts w:ascii="Arial" w:hAnsi="Arial" w:cs="Arial"/>
          <w:sz w:val="24"/>
          <w:szCs w:val="24"/>
        </w:rPr>
        <w:t xml:space="preserve"> lens. While numerous political, economic, and social challenges have constrained Nigeria’s capacity to deliver high</w:t>
      </w:r>
      <w:r w:rsidR="00EF5959">
        <w:rPr>
          <w:rFonts w:ascii="Arial" w:hAnsi="Arial" w:cs="Arial"/>
          <w:sz w:val="24"/>
          <w:szCs w:val="24"/>
        </w:rPr>
        <w:t xml:space="preserve"> </w:t>
      </w:r>
      <w:r w:rsidRPr="00B23193">
        <w:rPr>
          <w:rFonts w:ascii="Arial" w:hAnsi="Arial" w:cs="Arial"/>
          <w:sz w:val="24"/>
          <w:szCs w:val="24"/>
        </w:rPr>
        <w:t>quality, inclusive, and equitable education aligned with Sustainable Development Goal</w:t>
      </w:r>
      <w:r w:rsidR="00A4166F">
        <w:rPr>
          <w:rFonts w:ascii="Arial" w:hAnsi="Arial" w:cs="Arial"/>
          <w:sz w:val="24"/>
          <w:szCs w:val="24"/>
        </w:rPr>
        <w:t>s</w:t>
      </w:r>
      <w:r w:rsidR="00A4166F" w:rsidRPr="00A4166F">
        <w:t xml:space="preserve"> </w:t>
      </w:r>
      <w:r w:rsidR="00A4166F" w:rsidRPr="00A4166F">
        <w:rPr>
          <w:rFonts w:ascii="Arial" w:hAnsi="Arial" w:cs="Arial"/>
          <w:sz w:val="24"/>
          <w:szCs w:val="24"/>
        </w:rPr>
        <w:t>(United Nations, 2015)</w:t>
      </w:r>
      <w:r w:rsidRPr="00B23193">
        <w:rPr>
          <w:rFonts w:ascii="Arial" w:hAnsi="Arial" w:cs="Arial"/>
          <w:sz w:val="24"/>
          <w:szCs w:val="24"/>
        </w:rPr>
        <w:t>, the roots of educational disparity are firmly embedded in the colonial period.</w:t>
      </w:r>
    </w:p>
    <w:p w14:paraId="25BEF86B" w14:textId="77777777" w:rsidR="00F43C9C" w:rsidRDefault="00B23193" w:rsidP="00AC4D4D">
      <w:pPr>
        <w:spacing w:line="360" w:lineRule="auto"/>
        <w:rPr>
          <w:rFonts w:ascii="Arial" w:hAnsi="Arial" w:cs="Arial"/>
          <w:sz w:val="24"/>
          <w:szCs w:val="24"/>
        </w:rPr>
      </w:pPr>
      <w:r w:rsidRPr="00B23193">
        <w:rPr>
          <w:rFonts w:ascii="Arial" w:hAnsi="Arial" w:cs="Arial"/>
          <w:sz w:val="24"/>
          <w:szCs w:val="24"/>
        </w:rPr>
        <w:t>Under British rule, missionary education was concentrated largely in Southern Nigeria, reflecting colonial administrative and economic priorities rather than a commitment to universal provision. Dissatisfied with the missionaries’ limited capacity to produce a skilled workforce to support colonial governance and commerce, the colonial state introduced a more formalised Western</w:t>
      </w:r>
      <w:r w:rsidR="006376CF">
        <w:rPr>
          <w:rFonts w:ascii="Arial" w:hAnsi="Arial" w:cs="Arial"/>
          <w:sz w:val="24"/>
          <w:szCs w:val="24"/>
        </w:rPr>
        <w:t xml:space="preserve"> </w:t>
      </w:r>
      <w:r w:rsidRPr="00B23193">
        <w:rPr>
          <w:rFonts w:ascii="Arial" w:hAnsi="Arial" w:cs="Arial"/>
          <w:sz w:val="24"/>
          <w:szCs w:val="24"/>
        </w:rPr>
        <w:t>style education policy designed to meet its economic needs</w:t>
      </w:r>
      <w:r w:rsidR="006376CF">
        <w:rPr>
          <w:rFonts w:ascii="Arial" w:hAnsi="Arial" w:cs="Arial"/>
          <w:sz w:val="24"/>
          <w:szCs w:val="24"/>
        </w:rPr>
        <w:t xml:space="preserve">. </w:t>
      </w:r>
      <w:r w:rsidRPr="00B23193">
        <w:rPr>
          <w:rFonts w:ascii="Arial" w:hAnsi="Arial" w:cs="Arial"/>
          <w:sz w:val="24"/>
          <w:szCs w:val="24"/>
        </w:rPr>
        <w:t xml:space="preserve">In contrast, Northern Nigeria largely </w:t>
      </w:r>
      <w:r w:rsidRPr="00B23193">
        <w:rPr>
          <w:rFonts w:ascii="Arial" w:hAnsi="Arial" w:cs="Arial"/>
          <w:sz w:val="24"/>
          <w:szCs w:val="24"/>
        </w:rPr>
        <w:lastRenderedPageBreak/>
        <w:t>retained Qur’anic schooling systems, which were grounded in moral instruction, community responsibility, and practical competence. This traditional form of education was experiential and holistic, emphasising intellectual development, cultural knowledge, and survival skills transmitted through oral traditions, environmental engagement, and observation of elders</w:t>
      </w:r>
      <w:r w:rsidR="006376CF">
        <w:rPr>
          <w:rFonts w:ascii="Arial" w:hAnsi="Arial" w:cs="Arial"/>
          <w:sz w:val="24"/>
          <w:szCs w:val="24"/>
        </w:rPr>
        <w:t xml:space="preserve"> </w:t>
      </w:r>
      <w:r w:rsidR="006376CF" w:rsidRPr="006376CF">
        <w:rPr>
          <w:rFonts w:ascii="Arial" w:hAnsi="Arial" w:cs="Arial"/>
          <w:sz w:val="24"/>
          <w:szCs w:val="24"/>
        </w:rPr>
        <w:t>(Sulaiman, 2012).</w:t>
      </w:r>
      <w:r w:rsidR="00EF7EFE">
        <w:rPr>
          <w:rFonts w:ascii="Arial" w:hAnsi="Arial" w:cs="Arial"/>
          <w:sz w:val="24"/>
          <w:szCs w:val="24"/>
        </w:rPr>
        <w:t xml:space="preserve"> </w:t>
      </w:r>
      <w:r w:rsidR="006A32B9">
        <w:rPr>
          <w:rFonts w:ascii="Arial" w:hAnsi="Arial" w:cs="Arial"/>
          <w:sz w:val="24"/>
          <w:szCs w:val="24"/>
        </w:rPr>
        <w:t>C</w:t>
      </w:r>
      <w:r w:rsidR="00E10629">
        <w:rPr>
          <w:rFonts w:ascii="Arial" w:hAnsi="Arial" w:cs="Arial"/>
          <w:sz w:val="24"/>
          <w:szCs w:val="24"/>
        </w:rPr>
        <w:t xml:space="preserve">olonial education </w:t>
      </w:r>
      <w:r w:rsidR="00CC6923">
        <w:rPr>
          <w:rFonts w:ascii="Arial" w:hAnsi="Arial" w:cs="Arial"/>
          <w:sz w:val="24"/>
          <w:szCs w:val="24"/>
        </w:rPr>
        <w:t>prioritised European history, language</w:t>
      </w:r>
      <w:r w:rsidR="003D2BF8">
        <w:rPr>
          <w:rFonts w:ascii="Arial" w:hAnsi="Arial" w:cs="Arial"/>
          <w:sz w:val="24"/>
          <w:szCs w:val="24"/>
        </w:rPr>
        <w:t xml:space="preserve"> and literature</w:t>
      </w:r>
      <w:r w:rsidR="003A4D06">
        <w:rPr>
          <w:rFonts w:ascii="Arial" w:hAnsi="Arial" w:cs="Arial"/>
          <w:sz w:val="24"/>
          <w:szCs w:val="24"/>
        </w:rPr>
        <w:t xml:space="preserve">. </w:t>
      </w:r>
      <w:r w:rsidR="00B366A3">
        <w:rPr>
          <w:rFonts w:ascii="Arial" w:hAnsi="Arial" w:cs="Arial"/>
          <w:sz w:val="24"/>
          <w:szCs w:val="24"/>
        </w:rPr>
        <w:t>M</w:t>
      </w:r>
      <w:r w:rsidR="003A4D06">
        <w:rPr>
          <w:rFonts w:ascii="Arial" w:hAnsi="Arial" w:cs="Arial"/>
          <w:sz w:val="24"/>
          <w:szCs w:val="24"/>
        </w:rPr>
        <w:t>arginalising</w:t>
      </w:r>
      <w:r w:rsidR="00B366A3">
        <w:rPr>
          <w:rFonts w:ascii="Arial" w:hAnsi="Arial" w:cs="Arial"/>
          <w:sz w:val="24"/>
          <w:szCs w:val="24"/>
        </w:rPr>
        <w:t xml:space="preserve"> local languages, cultures and </w:t>
      </w:r>
      <w:r w:rsidR="00863C80">
        <w:rPr>
          <w:rFonts w:ascii="Arial" w:hAnsi="Arial" w:cs="Arial"/>
          <w:sz w:val="24"/>
          <w:szCs w:val="24"/>
        </w:rPr>
        <w:t>epistemologies</w:t>
      </w:r>
      <w:r w:rsidR="00BB547C">
        <w:rPr>
          <w:rFonts w:ascii="Arial" w:hAnsi="Arial" w:cs="Arial"/>
          <w:sz w:val="24"/>
          <w:szCs w:val="24"/>
        </w:rPr>
        <w:t xml:space="preserve">, </w:t>
      </w:r>
      <w:r w:rsidR="00864455">
        <w:rPr>
          <w:rFonts w:ascii="Arial" w:hAnsi="Arial" w:cs="Arial"/>
          <w:sz w:val="24"/>
          <w:szCs w:val="24"/>
        </w:rPr>
        <w:t xml:space="preserve">creating </w:t>
      </w:r>
      <w:r w:rsidR="00BB547C">
        <w:rPr>
          <w:rFonts w:ascii="Arial" w:hAnsi="Arial" w:cs="Arial"/>
          <w:sz w:val="24"/>
          <w:szCs w:val="24"/>
        </w:rPr>
        <w:t xml:space="preserve">epistemic violence with dominant powers silencing local knowledge systems </w:t>
      </w:r>
      <w:r w:rsidR="00864455" w:rsidRPr="00864455">
        <w:rPr>
          <w:rFonts w:ascii="Arial" w:hAnsi="Arial" w:cs="Arial"/>
          <w:sz w:val="24"/>
          <w:szCs w:val="24"/>
        </w:rPr>
        <w:t>(Spivak, 1988)</w:t>
      </w:r>
      <w:r w:rsidR="00864455">
        <w:rPr>
          <w:rFonts w:ascii="Arial" w:hAnsi="Arial" w:cs="Arial"/>
          <w:sz w:val="24"/>
          <w:szCs w:val="24"/>
        </w:rPr>
        <w:t>.</w:t>
      </w:r>
      <w:r w:rsidR="008B2367">
        <w:rPr>
          <w:rFonts w:ascii="Arial" w:hAnsi="Arial" w:cs="Arial"/>
          <w:sz w:val="24"/>
          <w:szCs w:val="24"/>
        </w:rPr>
        <w:t xml:space="preserve"> </w:t>
      </w:r>
    </w:p>
    <w:p w14:paraId="7051B985" w14:textId="464DC744" w:rsidR="006A3B4D" w:rsidRPr="006A3B4D" w:rsidRDefault="005317CD" w:rsidP="00AC4D4D">
      <w:pPr>
        <w:spacing w:line="360" w:lineRule="auto"/>
        <w:rPr>
          <w:rFonts w:ascii="Arial" w:hAnsi="Arial" w:cs="Arial"/>
          <w:sz w:val="24"/>
          <w:szCs w:val="24"/>
        </w:rPr>
      </w:pPr>
      <w:r>
        <w:rPr>
          <w:rFonts w:ascii="Arial" w:hAnsi="Arial" w:cs="Arial"/>
          <w:sz w:val="24"/>
          <w:szCs w:val="24"/>
        </w:rPr>
        <w:t xml:space="preserve">Since </w:t>
      </w:r>
      <w:r w:rsidR="006A3B4D" w:rsidRPr="006A3B4D">
        <w:rPr>
          <w:rFonts w:ascii="Arial" w:hAnsi="Arial" w:cs="Arial"/>
          <w:sz w:val="24"/>
          <w:szCs w:val="24"/>
        </w:rPr>
        <w:t>Nigeria’s independence</w:t>
      </w:r>
      <w:r w:rsidR="00CF1550">
        <w:rPr>
          <w:rFonts w:ascii="Arial" w:hAnsi="Arial" w:cs="Arial"/>
          <w:sz w:val="24"/>
          <w:szCs w:val="24"/>
        </w:rPr>
        <w:t>,</w:t>
      </w:r>
      <w:r w:rsidR="006A3B4D" w:rsidRPr="006A3B4D">
        <w:rPr>
          <w:rFonts w:ascii="Arial" w:hAnsi="Arial" w:cs="Arial"/>
          <w:sz w:val="24"/>
          <w:szCs w:val="24"/>
        </w:rPr>
        <w:t xml:space="preserve"> civil war, prolonged military </w:t>
      </w:r>
      <w:r w:rsidR="00417A9C">
        <w:rPr>
          <w:rFonts w:ascii="Arial" w:hAnsi="Arial" w:cs="Arial"/>
          <w:sz w:val="24"/>
          <w:szCs w:val="24"/>
        </w:rPr>
        <w:t>rule</w:t>
      </w:r>
      <w:r w:rsidR="006A3B4D" w:rsidRPr="006A3B4D">
        <w:rPr>
          <w:rFonts w:ascii="Arial" w:hAnsi="Arial" w:cs="Arial"/>
          <w:sz w:val="24"/>
          <w:szCs w:val="24"/>
        </w:rPr>
        <w:t xml:space="preserve">, and eventual democratic transition profoundly shaped the structure and inequalities of its education system. The Nigerian Civil War (1967–1970) devastated educational infrastructure, particularly in the Eastern Region, displacing students and teachers and </w:t>
      </w:r>
      <w:r w:rsidR="001A3493">
        <w:rPr>
          <w:rFonts w:ascii="Arial" w:hAnsi="Arial" w:cs="Arial"/>
          <w:sz w:val="24"/>
          <w:szCs w:val="24"/>
        </w:rPr>
        <w:t xml:space="preserve">closing </w:t>
      </w:r>
      <w:r w:rsidR="00A43F0D">
        <w:rPr>
          <w:rFonts w:ascii="Arial" w:hAnsi="Arial" w:cs="Arial"/>
          <w:sz w:val="24"/>
          <w:szCs w:val="24"/>
        </w:rPr>
        <w:t>educational facilities</w:t>
      </w:r>
      <w:r w:rsidR="006A3B4D" w:rsidRPr="006A3B4D">
        <w:rPr>
          <w:rFonts w:ascii="Arial" w:hAnsi="Arial" w:cs="Arial"/>
          <w:sz w:val="24"/>
          <w:szCs w:val="24"/>
        </w:rPr>
        <w:t xml:space="preserve"> </w:t>
      </w:r>
      <w:r w:rsidR="009C22C6" w:rsidRPr="009C22C6">
        <w:rPr>
          <w:rFonts w:ascii="Arial" w:hAnsi="Arial" w:cs="Arial"/>
          <w:sz w:val="24"/>
          <w:szCs w:val="24"/>
        </w:rPr>
        <w:t>(Fafunwa, 2018)</w:t>
      </w:r>
      <w:r w:rsidR="009C22C6">
        <w:rPr>
          <w:rFonts w:ascii="Arial" w:hAnsi="Arial" w:cs="Arial"/>
          <w:sz w:val="24"/>
          <w:szCs w:val="24"/>
        </w:rPr>
        <w:t xml:space="preserve"> </w:t>
      </w:r>
      <w:r w:rsidR="008A010A">
        <w:rPr>
          <w:rFonts w:ascii="Arial" w:hAnsi="Arial" w:cs="Arial"/>
          <w:sz w:val="24"/>
          <w:szCs w:val="24"/>
        </w:rPr>
        <w:t>F</w:t>
      </w:r>
      <w:r w:rsidR="006A3B4D" w:rsidRPr="006A3B4D">
        <w:rPr>
          <w:rFonts w:ascii="Arial" w:hAnsi="Arial" w:cs="Arial"/>
          <w:sz w:val="24"/>
          <w:szCs w:val="24"/>
        </w:rPr>
        <w:t xml:space="preserve">ederal government </w:t>
      </w:r>
      <w:r w:rsidR="0098504A">
        <w:rPr>
          <w:rFonts w:ascii="Arial" w:hAnsi="Arial" w:cs="Arial"/>
          <w:sz w:val="24"/>
          <w:szCs w:val="24"/>
        </w:rPr>
        <w:t>went on to use</w:t>
      </w:r>
      <w:r w:rsidR="006A3B4D" w:rsidRPr="006A3B4D">
        <w:rPr>
          <w:rFonts w:ascii="Arial" w:hAnsi="Arial" w:cs="Arial"/>
          <w:sz w:val="24"/>
          <w:szCs w:val="24"/>
        </w:rPr>
        <w:t xml:space="preserve"> education as a me</w:t>
      </w:r>
      <w:r w:rsidR="0098504A">
        <w:rPr>
          <w:rFonts w:ascii="Arial" w:hAnsi="Arial" w:cs="Arial"/>
          <w:sz w:val="24"/>
          <w:szCs w:val="24"/>
        </w:rPr>
        <w:t>thod</w:t>
      </w:r>
      <w:r w:rsidR="006A3B4D" w:rsidRPr="006A3B4D">
        <w:rPr>
          <w:rFonts w:ascii="Arial" w:hAnsi="Arial" w:cs="Arial"/>
          <w:sz w:val="24"/>
          <w:szCs w:val="24"/>
        </w:rPr>
        <w:t xml:space="preserve"> of nation</w:t>
      </w:r>
      <w:r w:rsidR="0098504A">
        <w:rPr>
          <w:rFonts w:ascii="Arial" w:hAnsi="Arial" w:cs="Arial"/>
          <w:sz w:val="24"/>
          <w:szCs w:val="24"/>
        </w:rPr>
        <w:t xml:space="preserve"> </w:t>
      </w:r>
      <w:r w:rsidR="006A3B4D" w:rsidRPr="006A3B4D">
        <w:rPr>
          <w:rFonts w:ascii="Arial" w:hAnsi="Arial" w:cs="Arial"/>
          <w:sz w:val="24"/>
          <w:szCs w:val="24"/>
        </w:rPr>
        <w:t>building through unity schools and centralised admissions policies,</w:t>
      </w:r>
      <w:r w:rsidR="00625636">
        <w:rPr>
          <w:rFonts w:ascii="Arial" w:hAnsi="Arial" w:cs="Arial"/>
          <w:sz w:val="24"/>
          <w:szCs w:val="24"/>
        </w:rPr>
        <w:t xml:space="preserve"> attempting to rebuild trust between different groups and regions</w:t>
      </w:r>
      <w:r w:rsidR="00381A42">
        <w:rPr>
          <w:rFonts w:ascii="Arial" w:hAnsi="Arial" w:cs="Arial"/>
          <w:sz w:val="24"/>
          <w:szCs w:val="24"/>
        </w:rPr>
        <w:t xml:space="preserve"> and promote a shared Nigerian identity.</w:t>
      </w:r>
      <w:r w:rsidR="00625636">
        <w:rPr>
          <w:rFonts w:ascii="Arial" w:hAnsi="Arial" w:cs="Arial"/>
          <w:sz w:val="24"/>
          <w:szCs w:val="24"/>
        </w:rPr>
        <w:t xml:space="preserve"> </w:t>
      </w:r>
      <w:r w:rsidR="001125A0">
        <w:rPr>
          <w:rFonts w:ascii="Arial" w:hAnsi="Arial" w:cs="Arial"/>
          <w:sz w:val="24"/>
          <w:szCs w:val="24"/>
        </w:rPr>
        <w:t>However</w:t>
      </w:r>
      <w:r w:rsidR="002E77B8">
        <w:rPr>
          <w:rFonts w:ascii="Arial" w:hAnsi="Arial" w:cs="Arial"/>
          <w:sz w:val="24"/>
          <w:szCs w:val="24"/>
        </w:rPr>
        <w:t>,</w:t>
      </w:r>
      <w:r w:rsidR="001125A0">
        <w:rPr>
          <w:rFonts w:ascii="Arial" w:hAnsi="Arial" w:cs="Arial"/>
          <w:sz w:val="24"/>
          <w:szCs w:val="24"/>
        </w:rPr>
        <w:t xml:space="preserve"> these attempts simply reinforced federal control</w:t>
      </w:r>
      <w:r w:rsidR="001F4C0A">
        <w:rPr>
          <w:rFonts w:ascii="Arial" w:hAnsi="Arial" w:cs="Arial"/>
          <w:sz w:val="24"/>
          <w:szCs w:val="24"/>
        </w:rPr>
        <w:t xml:space="preserve">, supporting theories of Governmentality where </w:t>
      </w:r>
      <w:r w:rsidR="007432CE">
        <w:rPr>
          <w:rFonts w:ascii="Arial" w:hAnsi="Arial" w:cs="Arial"/>
          <w:sz w:val="24"/>
          <w:szCs w:val="24"/>
        </w:rPr>
        <w:t xml:space="preserve">education is used as a technology of governance to </w:t>
      </w:r>
      <w:r w:rsidR="003A6E60">
        <w:rPr>
          <w:rFonts w:ascii="Arial" w:hAnsi="Arial" w:cs="Arial"/>
          <w:sz w:val="24"/>
          <w:szCs w:val="24"/>
        </w:rPr>
        <w:t xml:space="preserve">produce a compliant population </w:t>
      </w:r>
      <w:r w:rsidR="003A61E3">
        <w:rPr>
          <w:rFonts w:ascii="Arial" w:hAnsi="Arial" w:cs="Arial"/>
          <w:sz w:val="24"/>
          <w:szCs w:val="24"/>
        </w:rPr>
        <w:t>and reshaping national identit</w:t>
      </w:r>
      <w:r w:rsidR="00AD6660">
        <w:rPr>
          <w:rFonts w:ascii="Arial" w:hAnsi="Arial" w:cs="Arial"/>
          <w:sz w:val="24"/>
          <w:szCs w:val="24"/>
        </w:rPr>
        <w:t xml:space="preserve">y </w:t>
      </w:r>
      <w:r w:rsidR="00AD6660" w:rsidRPr="00AD6660">
        <w:rPr>
          <w:rFonts w:ascii="Arial" w:hAnsi="Arial" w:cs="Arial"/>
          <w:sz w:val="24"/>
          <w:szCs w:val="24"/>
        </w:rPr>
        <w:t>(Foucour, 2007)</w:t>
      </w:r>
      <w:r w:rsidR="00AD6660">
        <w:rPr>
          <w:rFonts w:ascii="Arial" w:hAnsi="Arial" w:cs="Arial"/>
          <w:sz w:val="24"/>
          <w:szCs w:val="24"/>
        </w:rPr>
        <w:t>.</w:t>
      </w:r>
    </w:p>
    <w:p w14:paraId="729D6F81" w14:textId="54A593B3" w:rsidR="00A40C7E" w:rsidRDefault="00302F18" w:rsidP="00AC4D4D">
      <w:pPr>
        <w:spacing w:line="360" w:lineRule="auto"/>
        <w:rPr>
          <w:rFonts w:ascii="Arial" w:hAnsi="Arial" w:cs="Arial"/>
          <w:sz w:val="24"/>
          <w:szCs w:val="24"/>
        </w:rPr>
      </w:pPr>
      <w:r w:rsidRPr="00302F18">
        <w:rPr>
          <w:rFonts w:ascii="Arial" w:hAnsi="Arial" w:cs="Arial"/>
          <w:sz w:val="24"/>
          <w:szCs w:val="24"/>
        </w:rPr>
        <w:t>The subsequent era of military rule (1966–1999) brought transformation to Nigeria’s education system. The oil boom of the 1970s facilitated rapid expansion of tertiary institutions; however, this growth was not matched by adequate investment, leading to overcrowding, infrastructural strain, and declining academic standards (Nigerian Institute of Social and Economic Research, 2026). These challenges were further exacerbated by the introduction of the Structural Adjustment Programme (SAP) in 1986 under General Babangida. Guided by the International Monetary Fund (IMF) and World Bank, SAP sought to stabilise the economy through austerity and liberalisation, but its implementation sharply reduced state funding for education</w:t>
      </w:r>
      <w:r w:rsidR="00E70E3C">
        <w:rPr>
          <w:rFonts w:ascii="Arial" w:hAnsi="Arial" w:cs="Arial"/>
          <w:sz w:val="24"/>
          <w:szCs w:val="24"/>
        </w:rPr>
        <w:t xml:space="preserve"> </w:t>
      </w:r>
      <w:r w:rsidRPr="00302F18">
        <w:rPr>
          <w:rFonts w:ascii="Arial" w:hAnsi="Arial" w:cs="Arial"/>
          <w:sz w:val="24"/>
          <w:szCs w:val="24"/>
        </w:rPr>
        <w:t>increasing reliance on private provision</w:t>
      </w:r>
      <w:r w:rsidR="00326730">
        <w:rPr>
          <w:rFonts w:ascii="Arial" w:hAnsi="Arial" w:cs="Arial"/>
          <w:sz w:val="24"/>
          <w:szCs w:val="24"/>
        </w:rPr>
        <w:t xml:space="preserve"> </w:t>
      </w:r>
      <w:r w:rsidR="00B1715E" w:rsidRPr="00B1715E">
        <w:rPr>
          <w:rFonts w:ascii="Arial" w:hAnsi="Arial" w:cs="Arial"/>
          <w:sz w:val="24"/>
          <w:szCs w:val="24"/>
        </w:rPr>
        <w:t>(Iruonagbe and Egharevba, 2015)</w:t>
      </w:r>
      <w:r w:rsidR="00B1715E">
        <w:rPr>
          <w:rFonts w:ascii="Arial" w:hAnsi="Arial" w:cs="Arial"/>
          <w:sz w:val="24"/>
          <w:szCs w:val="24"/>
        </w:rPr>
        <w:t>.</w:t>
      </w:r>
    </w:p>
    <w:p w14:paraId="663E963B" w14:textId="03C0720F" w:rsidR="006A3B4D" w:rsidRPr="006A3B4D" w:rsidRDefault="002152DC" w:rsidP="00AC4D4D">
      <w:pPr>
        <w:spacing w:line="360" w:lineRule="auto"/>
        <w:rPr>
          <w:rFonts w:ascii="Arial" w:hAnsi="Arial" w:cs="Arial"/>
          <w:sz w:val="24"/>
          <w:szCs w:val="24"/>
        </w:rPr>
      </w:pPr>
      <w:r w:rsidRPr="002152DC">
        <w:rPr>
          <w:rFonts w:ascii="Arial" w:hAnsi="Arial" w:cs="Arial"/>
          <w:sz w:val="24"/>
          <w:szCs w:val="24"/>
        </w:rPr>
        <w:t>From a Bourdieusian perspective, these policies reinforced inequalities in access to education by privileging students with greater economic and cultural capital, allowing them to navigate fee</w:t>
      </w:r>
      <w:r w:rsidR="00544677">
        <w:rPr>
          <w:rFonts w:ascii="Arial" w:hAnsi="Arial" w:cs="Arial"/>
          <w:sz w:val="24"/>
          <w:szCs w:val="24"/>
        </w:rPr>
        <w:t>-</w:t>
      </w:r>
      <w:r w:rsidRPr="002152DC">
        <w:rPr>
          <w:rFonts w:ascii="Arial" w:hAnsi="Arial" w:cs="Arial"/>
          <w:sz w:val="24"/>
          <w:szCs w:val="24"/>
        </w:rPr>
        <w:t>based systems and maintain academic advantage, while marginalising those from less privileged backgrounds</w:t>
      </w:r>
      <w:r>
        <w:rPr>
          <w:rFonts w:ascii="Arial" w:hAnsi="Arial" w:cs="Arial"/>
          <w:sz w:val="24"/>
          <w:szCs w:val="24"/>
        </w:rPr>
        <w:t xml:space="preserve"> </w:t>
      </w:r>
      <w:r w:rsidR="0026081F" w:rsidRPr="0026081F">
        <w:rPr>
          <w:rFonts w:ascii="Arial" w:hAnsi="Arial" w:cs="Arial"/>
          <w:sz w:val="24"/>
          <w:szCs w:val="24"/>
        </w:rPr>
        <w:t>(Bourdieu, 1984)</w:t>
      </w:r>
    </w:p>
    <w:p w14:paraId="16646B48" w14:textId="5A9351FF" w:rsidR="007536ED" w:rsidRPr="00AC4D4D" w:rsidRDefault="006A3B4D" w:rsidP="00AC4D4D">
      <w:pPr>
        <w:spacing w:line="360" w:lineRule="auto"/>
        <w:rPr>
          <w:rFonts w:ascii="Arial" w:hAnsi="Arial" w:cs="Arial"/>
          <w:sz w:val="24"/>
          <w:szCs w:val="24"/>
        </w:rPr>
      </w:pPr>
      <w:r w:rsidRPr="006A3B4D">
        <w:rPr>
          <w:rFonts w:ascii="Arial" w:hAnsi="Arial" w:cs="Arial"/>
          <w:sz w:val="24"/>
          <w:szCs w:val="24"/>
        </w:rPr>
        <w:t xml:space="preserve">The democratic transition in 1999 introduced renewed commitments to </w:t>
      </w:r>
      <w:r w:rsidR="00C0034B">
        <w:rPr>
          <w:rFonts w:ascii="Arial" w:hAnsi="Arial" w:cs="Arial"/>
          <w:sz w:val="24"/>
          <w:szCs w:val="24"/>
        </w:rPr>
        <w:t xml:space="preserve">education with the introduction of </w:t>
      </w:r>
      <w:r w:rsidR="00912D3F">
        <w:rPr>
          <w:rFonts w:ascii="Arial" w:hAnsi="Arial" w:cs="Arial"/>
          <w:sz w:val="24"/>
          <w:szCs w:val="24"/>
        </w:rPr>
        <w:t xml:space="preserve">Universal Basic Education </w:t>
      </w:r>
      <w:r w:rsidR="00A25CD1">
        <w:rPr>
          <w:rFonts w:ascii="Arial" w:hAnsi="Arial" w:cs="Arial"/>
          <w:sz w:val="24"/>
          <w:szCs w:val="24"/>
        </w:rPr>
        <w:t>p</w:t>
      </w:r>
      <w:r w:rsidR="00A25CD1" w:rsidRPr="00A25CD1">
        <w:rPr>
          <w:rFonts w:ascii="Arial" w:hAnsi="Arial" w:cs="Arial"/>
          <w:sz w:val="24"/>
          <w:szCs w:val="24"/>
        </w:rPr>
        <w:t>rovi</w:t>
      </w:r>
      <w:r w:rsidR="00A25CD1">
        <w:rPr>
          <w:rFonts w:ascii="Arial" w:hAnsi="Arial" w:cs="Arial"/>
          <w:sz w:val="24"/>
          <w:szCs w:val="24"/>
        </w:rPr>
        <w:t>ding</w:t>
      </w:r>
      <w:r w:rsidR="00A25CD1" w:rsidRPr="00A25CD1">
        <w:rPr>
          <w:rFonts w:ascii="Arial" w:hAnsi="Arial" w:cs="Arial"/>
          <w:sz w:val="24"/>
          <w:szCs w:val="24"/>
        </w:rPr>
        <w:t xml:space="preserve"> free and mandatory basic education for every Nigerian child between the ages of 6 and 15</w:t>
      </w:r>
      <w:r w:rsidR="00864912">
        <w:rPr>
          <w:rFonts w:ascii="Arial" w:hAnsi="Arial" w:cs="Arial"/>
          <w:sz w:val="24"/>
          <w:szCs w:val="24"/>
        </w:rPr>
        <w:t xml:space="preserve"> </w:t>
      </w:r>
      <w:r w:rsidR="00864912" w:rsidRPr="00864912">
        <w:rPr>
          <w:rFonts w:ascii="Arial" w:hAnsi="Arial" w:cs="Arial"/>
          <w:sz w:val="24"/>
          <w:szCs w:val="24"/>
        </w:rPr>
        <w:t>(Centre for Public Impact, 2024)</w:t>
      </w:r>
      <w:r w:rsidR="005974D5">
        <w:rPr>
          <w:rFonts w:ascii="Arial" w:hAnsi="Arial" w:cs="Arial"/>
          <w:sz w:val="24"/>
          <w:szCs w:val="24"/>
        </w:rPr>
        <w:t>.</w:t>
      </w:r>
      <w:r w:rsidR="004358FE">
        <w:rPr>
          <w:rFonts w:ascii="Arial" w:hAnsi="Arial" w:cs="Arial"/>
          <w:sz w:val="24"/>
          <w:szCs w:val="24"/>
        </w:rPr>
        <w:t xml:space="preserve"> However, </w:t>
      </w:r>
      <w:r w:rsidR="007E70ED">
        <w:rPr>
          <w:rFonts w:ascii="Arial" w:hAnsi="Arial" w:cs="Arial"/>
          <w:sz w:val="24"/>
          <w:szCs w:val="24"/>
        </w:rPr>
        <w:t xml:space="preserve">multiple contemporary barriers </w:t>
      </w:r>
      <w:r w:rsidR="005974D5">
        <w:rPr>
          <w:rFonts w:ascii="Arial" w:hAnsi="Arial" w:cs="Arial"/>
          <w:sz w:val="24"/>
          <w:szCs w:val="24"/>
        </w:rPr>
        <w:t xml:space="preserve">to quality and consistent education demonstrate that </w:t>
      </w:r>
      <w:r w:rsidR="00EB0E99" w:rsidRPr="00EB0E99">
        <w:rPr>
          <w:rFonts w:ascii="Arial" w:hAnsi="Arial" w:cs="Arial"/>
          <w:sz w:val="24"/>
          <w:szCs w:val="24"/>
        </w:rPr>
        <w:t>its education system remains shaped by historical and structural factors</w:t>
      </w:r>
      <w:r w:rsidR="00804F06">
        <w:rPr>
          <w:rFonts w:ascii="Arial" w:hAnsi="Arial" w:cs="Arial"/>
          <w:sz w:val="24"/>
          <w:szCs w:val="24"/>
        </w:rPr>
        <w:t xml:space="preserve">. </w:t>
      </w:r>
      <w:r w:rsidR="002A431C">
        <w:rPr>
          <w:rFonts w:ascii="Arial" w:hAnsi="Arial" w:cs="Arial"/>
          <w:sz w:val="24"/>
          <w:szCs w:val="24"/>
        </w:rPr>
        <w:t>According to</w:t>
      </w:r>
      <w:r w:rsidR="002A431C" w:rsidRPr="002A431C">
        <w:t xml:space="preserve"> </w:t>
      </w:r>
      <w:r w:rsidR="002A431C" w:rsidRPr="002A431C">
        <w:rPr>
          <w:rFonts w:ascii="Arial" w:hAnsi="Arial" w:cs="Arial"/>
          <w:sz w:val="24"/>
          <w:szCs w:val="24"/>
        </w:rPr>
        <w:t>Usman, Madaki and Omeneke (2025)</w:t>
      </w:r>
      <w:r w:rsidR="002A431C">
        <w:rPr>
          <w:rFonts w:ascii="Arial" w:hAnsi="Arial" w:cs="Arial"/>
          <w:sz w:val="24"/>
          <w:szCs w:val="24"/>
        </w:rPr>
        <w:t xml:space="preserve"> f</w:t>
      </w:r>
      <w:r w:rsidR="00881046">
        <w:rPr>
          <w:rFonts w:ascii="Arial" w:hAnsi="Arial" w:cs="Arial"/>
          <w:sz w:val="24"/>
          <w:szCs w:val="24"/>
        </w:rPr>
        <w:t xml:space="preserve">inancial and systematic </w:t>
      </w:r>
      <w:r w:rsidR="00CF2B16">
        <w:rPr>
          <w:rFonts w:ascii="Arial" w:hAnsi="Arial" w:cs="Arial"/>
          <w:sz w:val="24"/>
          <w:szCs w:val="24"/>
        </w:rPr>
        <w:t xml:space="preserve">barriers </w:t>
      </w:r>
      <w:r w:rsidR="00B43FC5">
        <w:rPr>
          <w:rFonts w:ascii="Arial" w:hAnsi="Arial" w:cs="Arial"/>
          <w:sz w:val="24"/>
          <w:szCs w:val="24"/>
        </w:rPr>
        <w:t>are preventing education</w:t>
      </w:r>
      <w:r w:rsidR="001C0805">
        <w:rPr>
          <w:rFonts w:ascii="Arial" w:hAnsi="Arial" w:cs="Arial"/>
          <w:sz w:val="24"/>
          <w:szCs w:val="24"/>
        </w:rPr>
        <w:t xml:space="preserve"> from</w:t>
      </w:r>
      <w:r w:rsidR="00B43FC5">
        <w:rPr>
          <w:rFonts w:ascii="Arial" w:hAnsi="Arial" w:cs="Arial"/>
          <w:sz w:val="24"/>
          <w:szCs w:val="24"/>
        </w:rPr>
        <w:t xml:space="preserve"> </w:t>
      </w:r>
      <w:r w:rsidR="00976ED1">
        <w:rPr>
          <w:rFonts w:ascii="Arial" w:hAnsi="Arial" w:cs="Arial"/>
          <w:sz w:val="24"/>
          <w:szCs w:val="24"/>
        </w:rPr>
        <w:t>being a</w:t>
      </w:r>
      <w:r w:rsidR="00B43FC5">
        <w:rPr>
          <w:rFonts w:ascii="Arial" w:hAnsi="Arial" w:cs="Arial"/>
          <w:sz w:val="24"/>
          <w:szCs w:val="24"/>
        </w:rPr>
        <w:t xml:space="preserve"> </w:t>
      </w:r>
      <w:r w:rsidR="00976ED1" w:rsidRPr="00976ED1">
        <w:rPr>
          <w:rFonts w:ascii="Arial" w:hAnsi="Arial" w:cs="Arial"/>
          <w:sz w:val="24"/>
          <w:szCs w:val="24"/>
        </w:rPr>
        <w:t>fundamental basis for sustainable and transformative national development</w:t>
      </w:r>
      <w:r w:rsidR="00976ED1">
        <w:rPr>
          <w:rFonts w:ascii="Arial" w:hAnsi="Arial" w:cs="Arial"/>
          <w:sz w:val="24"/>
          <w:szCs w:val="24"/>
        </w:rPr>
        <w:t xml:space="preserve"> due to </w:t>
      </w:r>
      <w:r w:rsidR="009C2481">
        <w:rPr>
          <w:rFonts w:ascii="Arial" w:hAnsi="Arial" w:cs="Arial"/>
          <w:sz w:val="24"/>
          <w:szCs w:val="24"/>
        </w:rPr>
        <w:t>“</w:t>
      </w:r>
      <w:r w:rsidR="009C2481" w:rsidRPr="009C2481">
        <w:rPr>
          <w:rFonts w:ascii="Arial" w:hAnsi="Arial" w:cs="Arial"/>
          <w:sz w:val="24"/>
          <w:szCs w:val="24"/>
        </w:rPr>
        <w:t xml:space="preserve">chronic underfunding, poor </w:t>
      </w:r>
      <w:r w:rsidR="009C2481" w:rsidRPr="007064B1">
        <w:rPr>
          <w:rFonts w:ascii="Arial" w:hAnsi="Arial" w:cs="Arial"/>
          <w:sz w:val="24"/>
          <w:szCs w:val="24"/>
        </w:rPr>
        <w:t>governance, decaying infrastructure, a critical shortage of</w:t>
      </w:r>
      <w:r w:rsidR="00535174" w:rsidRPr="007064B1">
        <w:rPr>
          <w:rFonts w:ascii="Arial" w:hAnsi="Arial" w:cs="Arial"/>
          <w:sz w:val="24"/>
          <w:szCs w:val="24"/>
        </w:rPr>
        <w:t xml:space="preserve"> </w:t>
      </w:r>
      <w:r w:rsidR="009C2481" w:rsidRPr="007064B1">
        <w:rPr>
          <w:rFonts w:ascii="Arial" w:hAnsi="Arial" w:cs="Arial"/>
          <w:sz w:val="24"/>
          <w:szCs w:val="24"/>
        </w:rPr>
        <w:t>qualified teachers, institutional corruption, and worsening insecurity</w:t>
      </w:r>
      <w:r w:rsidR="009C2481" w:rsidRPr="007064B1">
        <w:rPr>
          <w:rFonts w:ascii="Arial" w:hAnsi="Arial" w:cs="Arial"/>
          <w:sz w:val="24"/>
          <w:szCs w:val="24"/>
        </w:rPr>
        <w:t>”.</w:t>
      </w:r>
      <w:r w:rsidR="006D6DF4" w:rsidRPr="007064B1">
        <w:rPr>
          <w:rFonts w:ascii="Arial" w:hAnsi="Arial" w:cs="Arial"/>
          <w:sz w:val="24"/>
          <w:szCs w:val="24"/>
        </w:rPr>
        <w:t xml:space="preserve"> </w:t>
      </w:r>
      <w:r w:rsidR="007064B1" w:rsidRPr="007064B1">
        <w:rPr>
          <w:rFonts w:ascii="Arial" w:hAnsi="Arial" w:cs="Arial"/>
          <w:sz w:val="24"/>
          <w:szCs w:val="24"/>
        </w:rPr>
        <w:t xml:space="preserve">Statistics presented by the </w:t>
      </w:r>
      <w:r w:rsidR="007064B1" w:rsidRPr="007064B1">
        <w:rPr>
          <w:rFonts w:ascii="Arial" w:eastAsia="Times New Roman" w:hAnsi="Arial" w:cs="Arial"/>
          <w:kern w:val="0"/>
          <w:sz w:val="24"/>
          <w:szCs w:val="24"/>
          <w:lang w:eastAsia="en-GB"/>
          <w14:ligatures w14:val="none"/>
        </w:rPr>
        <w:t xml:space="preserve">Universal Basic Education </w:t>
      </w:r>
      <w:r w:rsidR="007064B1" w:rsidRPr="007064B1">
        <w:rPr>
          <w:rFonts w:ascii="Arial" w:eastAsia="Times New Roman" w:hAnsi="Arial" w:cs="Arial"/>
          <w:kern w:val="0"/>
          <w:sz w:val="24"/>
          <w:szCs w:val="24"/>
          <w:lang w:eastAsia="en-GB"/>
          <w14:ligatures w14:val="none"/>
        </w:rPr>
        <w:t>Commission (</w:t>
      </w:r>
      <w:r w:rsidR="007064B1" w:rsidRPr="007064B1">
        <w:rPr>
          <w:rFonts w:ascii="Arial" w:eastAsia="Times New Roman" w:hAnsi="Arial" w:cs="Arial"/>
          <w:kern w:val="0"/>
          <w:sz w:val="24"/>
          <w:szCs w:val="24"/>
          <w:lang w:eastAsia="en-GB"/>
          <w14:ligatures w14:val="none"/>
        </w:rPr>
        <w:t>2023)</w:t>
      </w:r>
      <w:r w:rsidR="007064B1" w:rsidRPr="007064B1">
        <w:rPr>
          <w:rFonts w:ascii="Arial" w:eastAsia="Times New Roman" w:hAnsi="Arial" w:cs="Arial"/>
          <w:kern w:val="0"/>
          <w:sz w:val="24"/>
          <w:szCs w:val="24"/>
          <w:lang w:eastAsia="en-GB"/>
          <w14:ligatures w14:val="none"/>
        </w:rPr>
        <w:t xml:space="preserve"> found a </w:t>
      </w:r>
      <w:r w:rsidR="007064B1" w:rsidRPr="007064B1">
        <w:rPr>
          <w:rFonts w:ascii="Arial" w:hAnsi="Arial" w:cs="Arial"/>
          <w:sz w:val="24"/>
          <w:szCs w:val="24"/>
        </w:rPr>
        <w:t>current</w:t>
      </w:r>
      <w:r w:rsidR="009505CA" w:rsidRPr="007064B1">
        <w:rPr>
          <w:rFonts w:ascii="Arial" w:hAnsi="Arial" w:cs="Arial"/>
          <w:sz w:val="24"/>
          <w:szCs w:val="24"/>
        </w:rPr>
        <w:t xml:space="preserve"> shortfall of </w:t>
      </w:r>
      <w:r w:rsidR="009505CA" w:rsidRPr="007064B1">
        <w:rPr>
          <w:rFonts w:ascii="Arial" w:hAnsi="Arial" w:cs="Arial"/>
          <w:sz w:val="24"/>
          <w:szCs w:val="24"/>
        </w:rPr>
        <w:t>194,876</w:t>
      </w:r>
      <w:r w:rsidR="0028108D">
        <w:rPr>
          <w:rFonts w:ascii="Arial" w:hAnsi="Arial" w:cs="Arial"/>
          <w:sz w:val="24"/>
          <w:szCs w:val="24"/>
        </w:rPr>
        <w:t xml:space="preserve"> teachers</w:t>
      </w:r>
      <w:r w:rsidR="007064B1">
        <w:rPr>
          <w:rFonts w:ascii="Arial" w:hAnsi="Arial" w:cs="Arial"/>
          <w:sz w:val="24"/>
          <w:szCs w:val="24"/>
        </w:rPr>
        <w:t xml:space="preserve">. With </w:t>
      </w:r>
      <w:r w:rsidR="00490552">
        <w:rPr>
          <w:rFonts w:ascii="Arial" w:hAnsi="Arial" w:cs="Arial"/>
          <w:sz w:val="24"/>
          <w:szCs w:val="24"/>
        </w:rPr>
        <w:t xml:space="preserve">the Nigeria Union for Teachers quoting </w:t>
      </w:r>
      <w:r w:rsidR="00301015" w:rsidRPr="007064B1">
        <w:rPr>
          <w:rFonts w:ascii="Arial" w:hAnsi="Arial" w:cs="Arial"/>
          <w:sz w:val="24"/>
          <w:szCs w:val="24"/>
        </w:rPr>
        <w:t>poor welfare conditions, and inadequate funding</w:t>
      </w:r>
      <w:r w:rsidR="00490552">
        <w:rPr>
          <w:rFonts w:ascii="Arial" w:hAnsi="Arial" w:cs="Arial"/>
          <w:sz w:val="24"/>
          <w:szCs w:val="24"/>
        </w:rPr>
        <w:t xml:space="preserve"> as the cause for the deficit</w:t>
      </w:r>
      <w:r w:rsidR="003865B8">
        <w:rPr>
          <w:rFonts w:ascii="Arial" w:hAnsi="Arial" w:cs="Arial"/>
          <w:sz w:val="24"/>
          <w:szCs w:val="24"/>
        </w:rPr>
        <w:t xml:space="preserve"> </w:t>
      </w:r>
      <w:r w:rsidR="003865B8" w:rsidRPr="003865B8">
        <w:rPr>
          <w:rFonts w:ascii="Arial" w:hAnsi="Arial" w:cs="Arial"/>
          <w:sz w:val="24"/>
          <w:szCs w:val="24"/>
        </w:rPr>
        <w:t>(Leadership, 2025)</w:t>
      </w:r>
      <w:r w:rsidR="003865B8">
        <w:rPr>
          <w:rFonts w:ascii="Arial" w:hAnsi="Arial" w:cs="Arial"/>
          <w:sz w:val="24"/>
          <w:szCs w:val="24"/>
        </w:rPr>
        <w:t>.</w:t>
      </w:r>
    </w:p>
    <w:p w14:paraId="5890A047" w14:textId="0CC417A0" w:rsidR="00AC4D4D" w:rsidRDefault="00AC4D4D" w:rsidP="00AC4D4D">
      <w:pPr>
        <w:spacing w:line="360" w:lineRule="auto"/>
        <w:rPr>
          <w:rFonts w:ascii="Arial" w:hAnsi="Arial" w:cs="Arial"/>
          <w:color w:val="353535"/>
          <w:sz w:val="24"/>
          <w:szCs w:val="24"/>
          <w:shd w:val="clear" w:color="auto" w:fill="FFFFFF"/>
        </w:rPr>
      </w:pPr>
      <w:r w:rsidRPr="00AC4D4D">
        <w:rPr>
          <w:rFonts w:ascii="Arial" w:hAnsi="Arial" w:cs="Arial"/>
          <w:color w:val="353535"/>
          <w:sz w:val="24"/>
          <w:szCs w:val="24"/>
          <w:shd w:val="clear" w:color="auto" w:fill="FFFFFF"/>
        </w:rPr>
        <w:t xml:space="preserve">In Nigeria’s 2025 </w:t>
      </w:r>
      <w:r>
        <w:rPr>
          <w:rFonts w:ascii="Arial" w:hAnsi="Arial" w:cs="Arial"/>
          <w:color w:val="353535"/>
          <w:sz w:val="24"/>
          <w:szCs w:val="24"/>
          <w:shd w:val="clear" w:color="auto" w:fill="FFFFFF"/>
        </w:rPr>
        <w:t>government</w:t>
      </w:r>
      <w:r w:rsidRPr="00AC4D4D">
        <w:rPr>
          <w:rFonts w:ascii="Arial" w:hAnsi="Arial" w:cs="Arial"/>
          <w:color w:val="353535"/>
          <w:sz w:val="24"/>
          <w:szCs w:val="24"/>
          <w:shd w:val="clear" w:color="auto" w:fill="FFFFFF"/>
        </w:rPr>
        <w:t xml:space="preserve"> budget, education was allocated </w:t>
      </w:r>
      <w:r>
        <w:rPr>
          <w:rFonts w:ascii="Arial" w:hAnsi="Arial" w:cs="Arial"/>
          <w:color w:val="353535"/>
          <w:sz w:val="24"/>
          <w:szCs w:val="24"/>
          <w:shd w:val="clear" w:color="auto" w:fill="FFFFFF"/>
        </w:rPr>
        <w:t>a mere</w:t>
      </w:r>
      <w:r w:rsidR="00C05404">
        <w:rPr>
          <w:rFonts w:ascii="Arial" w:hAnsi="Arial" w:cs="Arial"/>
          <w:color w:val="353535"/>
          <w:sz w:val="24"/>
          <w:szCs w:val="24"/>
          <w:shd w:val="clear" w:color="auto" w:fill="FFFFFF"/>
        </w:rPr>
        <w:t xml:space="preserve"> </w:t>
      </w:r>
      <w:r w:rsidRPr="00AC4D4D">
        <w:rPr>
          <w:rFonts w:ascii="Arial" w:hAnsi="Arial" w:cs="Arial"/>
          <w:color w:val="353535"/>
          <w:sz w:val="24"/>
          <w:szCs w:val="24"/>
          <w:shd w:val="clear" w:color="auto" w:fill="FFFFFF"/>
        </w:rPr>
        <w:t xml:space="preserve">7% of total expenditure, reflecting sustained underinvestment in human capital development. Falling well below UNESCO’s recommended 15–20% benchmark and behind several </w:t>
      </w:r>
      <w:r w:rsidR="00BC149C">
        <w:rPr>
          <w:rFonts w:ascii="Arial" w:hAnsi="Arial" w:cs="Arial"/>
          <w:color w:val="353535"/>
          <w:sz w:val="24"/>
          <w:szCs w:val="24"/>
          <w:shd w:val="clear" w:color="auto" w:fill="FFFFFF"/>
        </w:rPr>
        <w:t>sub</w:t>
      </w:r>
      <w:r w:rsidR="006D4372">
        <w:rPr>
          <w:rFonts w:ascii="Arial" w:hAnsi="Arial" w:cs="Arial"/>
          <w:color w:val="353535"/>
          <w:sz w:val="24"/>
          <w:szCs w:val="24"/>
          <w:shd w:val="clear" w:color="auto" w:fill="FFFFFF"/>
        </w:rPr>
        <w:t>-</w:t>
      </w:r>
      <w:r w:rsidR="00BC149C">
        <w:rPr>
          <w:rFonts w:ascii="Arial" w:hAnsi="Arial" w:cs="Arial"/>
          <w:color w:val="353535"/>
          <w:sz w:val="24"/>
          <w:szCs w:val="24"/>
          <w:shd w:val="clear" w:color="auto" w:fill="FFFFFF"/>
        </w:rPr>
        <w:t xml:space="preserve">Saharan </w:t>
      </w:r>
      <w:r w:rsidRPr="00AC4D4D">
        <w:rPr>
          <w:rFonts w:ascii="Arial" w:hAnsi="Arial" w:cs="Arial"/>
          <w:color w:val="353535"/>
          <w:sz w:val="24"/>
          <w:szCs w:val="24"/>
          <w:shd w:val="clear" w:color="auto" w:fill="FFFFFF"/>
        </w:rPr>
        <w:t>counterparts</w:t>
      </w:r>
      <w:r w:rsidR="00BC149C">
        <w:rPr>
          <w:rFonts w:ascii="Arial" w:hAnsi="Arial" w:cs="Arial"/>
          <w:color w:val="353535"/>
          <w:sz w:val="24"/>
          <w:szCs w:val="24"/>
          <w:shd w:val="clear" w:color="auto" w:fill="FFFFFF"/>
        </w:rPr>
        <w:t xml:space="preserve"> such as Kenya and Ghana</w:t>
      </w:r>
      <w:r w:rsidR="00C0497F">
        <w:rPr>
          <w:rFonts w:ascii="Arial" w:hAnsi="Arial" w:cs="Arial"/>
          <w:color w:val="353535"/>
          <w:sz w:val="24"/>
          <w:szCs w:val="24"/>
          <w:shd w:val="clear" w:color="auto" w:fill="FFFFFF"/>
        </w:rPr>
        <w:t xml:space="preserve"> who allocated 20</w:t>
      </w:r>
      <w:r w:rsidR="003F7BDD">
        <w:rPr>
          <w:rFonts w:ascii="Arial" w:hAnsi="Arial" w:cs="Arial"/>
          <w:color w:val="353535"/>
          <w:sz w:val="24"/>
          <w:szCs w:val="24"/>
          <w:shd w:val="clear" w:color="auto" w:fill="FFFFFF"/>
        </w:rPr>
        <w:t>% and 13% respectively. T</w:t>
      </w:r>
      <w:r w:rsidRPr="00AC4D4D">
        <w:rPr>
          <w:rFonts w:ascii="Arial" w:hAnsi="Arial" w:cs="Arial"/>
          <w:color w:val="353535"/>
          <w:sz w:val="24"/>
          <w:szCs w:val="24"/>
          <w:shd w:val="clear" w:color="auto" w:fill="FFFFFF"/>
        </w:rPr>
        <w:t xml:space="preserve">his allocation </w:t>
      </w:r>
      <w:r w:rsidR="00DD0EF1">
        <w:rPr>
          <w:rFonts w:ascii="Arial" w:hAnsi="Arial" w:cs="Arial"/>
          <w:color w:val="353535"/>
          <w:sz w:val="24"/>
          <w:szCs w:val="24"/>
          <w:shd w:val="clear" w:color="auto" w:fill="FFFFFF"/>
        </w:rPr>
        <w:t xml:space="preserve">demonstrates </w:t>
      </w:r>
      <w:r w:rsidRPr="00AC4D4D">
        <w:rPr>
          <w:rFonts w:ascii="Arial" w:hAnsi="Arial" w:cs="Arial"/>
          <w:color w:val="353535"/>
          <w:sz w:val="24"/>
          <w:szCs w:val="24"/>
          <w:shd w:val="clear" w:color="auto" w:fill="FFFFFF"/>
        </w:rPr>
        <w:t>state priorities</w:t>
      </w:r>
      <w:r w:rsidR="00063AB0">
        <w:rPr>
          <w:rFonts w:ascii="Arial" w:hAnsi="Arial" w:cs="Arial"/>
          <w:color w:val="353535"/>
          <w:sz w:val="24"/>
          <w:szCs w:val="24"/>
          <w:shd w:val="clear" w:color="auto" w:fill="FFFFFF"/>
        </w:rPr>
        <w:t>.</w:t>
      </w:r>
      <w:r w:rsidRPr="00AC4D4D">
        <w:rPr>
          <w:rFonts w:ascii="Arial" w:hAnsi="Arial" w:cs="Arial"/>
          <w:color w:val="353535"/>
          <w:sz w:val="24"/>
          <w:szCs w:val="24"/>
          <w:shd w:val="clear" w:color="auto" w:fill="FFFFFF"/>
        </w:rPr>
        <w:t xml:space="preserve"> </w:t>
      </w:r>
      <w:r w:rsidR="00E33321">
        <w:rPr>
          <w:rFonts w:ascii="Arial" w:hAnsi="Arial" w:cs="Arial"/>
          <w:color w:val="353535"/>
          <w:sz w:val="24"/>
          <w:szCs w:val="24"/>
          <w:shd w:val="clear" w:color="auto" w:fill="FFFFFF"/>
        </w:rPr>
        <w:t>T</w:t>
      </w:r>
      <w:r w:rsidRPr="00AC4D4D">
        <w:rPr>
          <w:rFonts w:ascii="Arial" w:hAnsi="Arial" w:cs="Arial"/>
          <w:color w:val="353535"/>
          <w:sz w:val="24"/>
          <w:szCs w:val="24"/>
          <w:shd w:val="clear" w:color="auto" w:fill="FFFFFF"/>
        </w:rPr>
        <w:t>he limited share devoted to education suggests that long-term social investment remains subordinated to short-term political and economic considerations</w:t>
      </w:r>
      <w:r w:rsidR="006A2AB6" w:rsidRPr="006A2AB6">
        <w:t xml:space="preserve"> </w:t>
      </w:r>
      <w:r w:rsidR="006A2AB6" w:rsidRPr="006A2AB6">
        <w:rPr>
          <w:rFonts w:ascii="Arial" w:hAnsi="Arial" w:cs="Arial"/>
          <w:color w:val="353535"/>
          <w:sz w:val="24"/>
          <w:szCs w:val="24"/>
          <w:shd w:val="clear" w:color="auto" w:fill="FFFFFF"/>
        </w:rPr>
        <w:t>(Business Day, 2025)</w:t>
      </w:r>
      <w:r w:rsidR="006A2AB6">
        <w:rPr>
          <w:rFonts w:ascii="Arial" w:hAnsi="Arial" w:cs="Arial"/>
          <w:color w:val="353535"/>
          <w:sz w:val="24"/>
          <w:szCs w:val="24"/>
          <w:shd w:val="clear" w:color="auto" w:fill="FFFFFF"/>
        </w:rPr>
        <w:t>.</w:t>
      </w:r>
    </w:p>
    <w:p w14:paraId="3F61A892" w14:textId="502B2304" w:rsidR="00AC4D4D" w:rsidRPr="00AC4D4D" w:rsidRDefault="00A45514" w:rsidP="00AC4D4D">
      <w:pPr>
        <w:spacing w:line="360" w:lineRule="auto"/>
        <w:rPr>
          <w:rFonts w:ascii="Arial" w:hAnsi="Arial" w:cs="Arial"/>
          <w:color w:val="353535"/>
          <w:sz w:val="24"/>
          <w:szCs w:val="24"/>
          <w:shd w:val="clear" w:color="auto" w:fill="FFFFFF"/>
        </w:rPr>
      </w:pPr>
      <w:r w:rsidRPr="00A45514">
        <w:rPr>
          <w:rFonts w:ascii="Arial" w:hAnsi="Arial" w:cs="Arial"/>
          <w:color w:val="353535"/>
          <w:sz w:val="24"/>
          <w:szCs w:val="24"/>
          <w:shd w:val="clear" w:color="auto" w:fill="FFFFFF"/>
        </w:rPr>
        <w:t xml:space="preserve">These figures may offer insight into shifting economic hierarchies within Sub-Saharan Africa. </w:t>
      </w:r>
      <w:r w:rsidR="00790409">
        <w:rPr>
          <w:rFonts w:ascii="Arial" w:hAnsi="Arial" w:cs="Arial"/>
          <w:color w:val="353535"/>
          <w:sz w:val="24"/>
          <w:szCs w:val="24"/>
          <w:shd w:val="clear" w:color="auto" w:fill="FFFFFF"/>
        </w:rPr>
        <w:t>Nigeria’s</w:t>
      </w:r>
      <w:r w:rsidRPr="00A45514">
        <w:rPr>
          <w:rFonts w:ascii="Arial" w:hAnsi="Arial" w:cs="Arial"/>
          <w:color w:val="353535"/>
          <w:sz w:val="24"/>
          <w:szCs w:val="24"/>
          <w:shd w:val="clear" w:color="auto" w:fill="FFFFFF"/>
        </w:rPr>
        <w:t xml:space="preserve"> displacement in regional economic rankings, overtaken by South Africa after </w:t>
      </w:r>
      <w:r w:rsidR="00C25538">
        <w:rPr>
          <w:rFonts w:ascii="Arial" w:hAnsi="Arial" w:cs="Arial"/>
          <w:color w:val="353535"/>
          <w:sz w:val="24"/>
          <w:szCs w:val="24"/>
          <w:shd w:val="clear" w:color="auto" w:fill="FFFFFF"/>
        </w:rPr>
        <w:t xml:space="preserve">spending </w:t>
      </w:r>
      <w:r w:rsidRPr="00A45514">
        <w:rPr>
          <w:rFonts w:ascii="Arial" w:hAnsi="Arial" w:cs="Arial"/>
          <w:color w:val="353535"/>
          <w:sz w:val="24"/>
          <w:szCs w:val="24"/>
          <w:shd w:val="clear" w:color="auto" w:fill="FFFFFF"/>
        </w:rPr>
        <w:t>mo</w:t>
      </w:r>
      <w:r w:rsidR="00C25538">
        <w:rPr>
          <w:rFonts w:ascii="Arial" w:hAnsi="Arial" w:cs="Arial"/>
          <w:color w:val="353535"/>
          <w:sz w:val="24"/>
          <w:szCs w:val="24"/>
          <w:shd w:val="clear" w:color="auto" w:fill="FFFFFF"/>
        </w:rPr>
        <w:t xml:space="preserve">st of </w:t>
      </w:r>
      <w:r w:rsidRPr="00A45514">
        <w:rPr>
          <w:rFonts w:ascii="Arial" w:hAnsi="Arial" w:cs="Arial"/>
          <w:color w:val="353535"/>
          <w:sz w:val="24"/>
          <w:szCs w:val="24"/>
          <w:shd w:val="clear" w:color="auto" w:fill="FFFFFF"/>
        </w:rPr>
        <w:t>a decade in a leading position, raises questions about the relationship between human capital investment and macroeconomic performance. South Africa’s sustained prioritisation of education</w:t>
      </w:r>
      <w:r w:rsidR="00EC13FE">
        <w:rPr>
          <w:rFonts w:ascii="Arial" w:hAnsi="Arial" w:cs="Arial"/>
          <w:color w:val="353535"/>
          <w:sz w:val="24"/>
          <w:szCs w:val="24"/>
          <w:shd w:val="clear" w:color="auto" w:fill="FFFFFF"/>
        </w:rPr>
        <w:t xml:space="preserve"> </w:t>
      </w:r>
      <w:r w:rsidR="00775BBD">
        <w:rPr>
          <w:rFonts w:ascii="Arial" w:hAnsi="Arial" w:cs="Arial"/>
          <w:color w:val="353535"/>
          <w:sz w:val="24"/>
          <w:szCs w:val="24"/>
          <w:shd w:val="clear" w:color="auto" w:fill="FFFFFF"/>
        </w:rPr>
        <w:t>making it</w:t>
      </w:r>
      <w:r w:rsidR="00EC13FE">
        <w:rPr>
          <w:rFonts w:ascii="Arial" w:hAnsi="Arial" w:cs="Arial"/>
          <w:color w:val="353535"/>
          <w:sz w:val="24"/>
          <w:szCs w:val="24"/>
          <w:shd w:val="clear" w:color="auto" w:fill="FFFFFF"/>
        </w:rPr>
        <w:t xml:space="preserve"> the highest funded priority</w:t>
      </w:r>
      <w:r w:rsidRPr="00A45514">
        <w:rPr>
          <w:rFonts w:ascii="Arial" w:hAnsi="Arial" w:cs="Arial"/>
          <w:color w:val="353535"/>
          <w:sz w:val="24"/>
          <w:szCs w:val="24"/>
          <w:shd w:val="clear" w:color="auto" w:fill="FFFFFF"/>
        </w:rPr>
        <w:t xml:space="preserve"> within its national budget</w:t>
      </w:r>
      <w:r w:rsidR="00E41499">
        <w:rPr>
          <w:rFonts w:ascii="Arial" w:hAnsi="Arial" w:cs="Arial"/>
          <w:color w:val="353535"/>
          <w:sz w:val="24"/>
          <w:szCs w:val="24"/>
          <w:shd w:val="clear" w:color="auto" w:fill="FFFFFF"/>
        </w:rPr>
        <w:t xml:space="preserve"> </w:t>
      </w:r>
      <w:r w:rsidR="00E41499" w:rsidRPr="00E41499">
        <w:rPr>
          <w:rFonts w:ascii="Arial" w:hAnsi="Arial" w:cs="Arial"/>
          <w:color w:val="353535"/>
          <w:sz w:val="24"/>
          <w:szCs w:val="24"/>
          <w:shd w:val="clear" w:color="auto" w:fill="FFFFFF"/>
        </w:rPr>
        <w:t>(Quidah, 2025)</w:t>
      </w:r>
      <w:r w:rsidR="00775BBD">
        <w:rPr>
          <w:rFonts w:ascii="Arial" w:hAnsi="Arial" w:cs="Arial"/>
          <w:color w:val="353535"/>
          <w:sz w:val="24"/>
          <w:szCs w:val="24"/>
          <w:shd w:val="clear" w:color="auto" w:fill="FFFFFF"/>
        </w:rPr>
        <w:t>,</w:t>
      </w:r>
      <w:r w:rsidRPr="00A45514">
        <w:rPr>
          <w:rFonts w:ascii="Arial" w:hAnsi="Arial" w:cs="Arial"/>
          <w:color w:val="353535"/>
          <w:sz w:val="24"/>
          <w:szCs w:val="24"/>
          <w:shd w:val="clear" w:color="auto" w:fill="FFFFFF"/>
        </w:rPr>
        <w:t xml:space="preserve"> suggests a recognition of schooling as a strategic driver of productivity, skills development, and long</w:t>
      </w:r>
      <w:r w:rsidR="009414C3">
        <w:rPr>
          <w:rFonts w:ascii="Arial" w:hAnsi="Arial" w:cs="Arial"/>
          <w:color w:val="353535"/>
          <w:sz w:val="24"/>
          <w:szCs w:val="24"/>
          <w:shd w:val="clear" w:color="auto" w:fill="FFFFFF"/>
        </w:rPr>
        <w:t>-</w:t>
      </w:r>
      <w:r w:rsidRPr="00A45514">
        <w:rPr>
          <w:rFonts w:ascii="Arial" w:hAnsi="Arial" w:cs="Arial"/>
          <w:color w:val="353535"/>
          <w:sz w:val="24"/>
          <w:szCs w:val="24"/>
          <w:shd w:val="clear" w:color="auto" w:fill="FFFFFF"/>
        </w:rPr>
        <w:t>term economic resilience. While economic growth is shaped by multiple structural factors, comparative budgetary commitments indicate that consistent investment in education may strengthen not only educational outcomes but broader economic competitiveness</w:t>
      </w:r>
      <w:r w:rsidR="00D54DF0">
        <w:rPr>
          <w:rFonts w:ascii="Arial" w:hAnsi="Arial" w:cs="Arial"/>
          <w:color w:val="353535"/>
          <w:sz w:val="24"/>
          <w:szCs w:val="24"/>
          <w:shd w:val="clear" w:color="auto" w:fill="FFFFFF"/>
        </w:rPr>
        <w:t xml:space="preserve"> </w:t>
      </w:r>
    </w:p>
    <w:p w14:paraId="5BE183B7" w14:textId="5F727846" w:rsidR="007E4A1F" w:rsidRDefault="00AC4D4D" w:rsidP="00AC4D4D">
      <w:pPr>
        <w:spacing w:line="360" w:lineRule="auto"/>
        <w:rPr>
          <w:rFonts w:ascii="Arial" w:hAnsi="Arial" w:cs="Arial"/>
          <w:color w:val="353535"/>
          <w:sz w:val="24"/>
          <w:szCs w:val="24"/>
          <w:shd w:val="clear" w:color="auto" w:fill="FFFFFF"/>
        </w:rPr>
      </w:pPr>
      <w:r w:rsidRPr="00AC4D4D">
        <w:rPr>
          <w:rFonts w:ascii="Arial" w:hAnsi="Arial" w:cs="Arial"/>
          <w:color w:val="353535"/>
          <w:sz w:val="24"/>
          <w:szCs w:val="24"/>
          <w:shd w:val="clear" w:color="auto" w:fill="FFFFFF"/>
        </w:rPr>
        <w:t xml:space="preserve">Such underfunding has implications beyond infrastructure and staffing. Drawing </w:t>
      </w:r>
      <w:r w:rsidR="00F907E9">
        <w:rPr>
          <w:rFonts w:ascii="Arial" w:hAnsi="Arial" w:cs="Arial"/>
          <w:color w:val="353535"/>
          <w:sz w:val="24"/>
          <w:szCs w:val="24"/>
          <w:shd w:val="clear" w:color="auto" w:fill="FFFFFF"/>
        </w:rPr>
        <w:t xml:space="preserve">again </w:t>
      </w:r>
      <w:r w:rsidRPr="00AC4D4D">
        <w:rPr>
          <w:rFonts w:ascii="Arial" w:hAnsi="Arial" w:cs="Arial"/>
          <w:color w:val="353535"/>
          <w:sz w:val="24"/>
          <w:szCs w:val="24"/>
          <w:shd w:val="clear" w:color="auto" w:fill="FFFFFF"/>
        </w:rPr>
        <w:t xml:space="preserve">on Bourdieu’s </w:t>
      </w:r>
      <w:r w:rsidR="00F907E9">
        <w:rPr>
          <w:rFonts w:ascii="Arial" w:hAnsi="Arial" w:cs="Arial"/>
          <w:color w:val="353535"/>
          <w:sz w:val="24"/>
          <w:szCs w:val="24"/>
          <w:shd w:val="clear" w:color="auto" w:fill="FFFFFF"/>
        </w:rPr>
        <w:t xml:space="preserve">(1986) </w:t>
      </w:r>
      <w:r w:rsidRPr="00AC4D4D">
        <w:rPr>
          <w:rFonts w:ascii="Arial" w:hAnsi="Arial" w:cs="Arial"/>
          <w:color w:val="353535"/>
          <w:sz w:val="24"/>
          <w:szCs w:val="24"/>
          <w:shd w:val="clear" w:color="auto" w:fill="FFFFFF"/>
        </w:rPr>
        <w:t>concept of cultural capital</w:t>
      </w:r>
      <w:r w:rsidR="00F907E9">
        <w:rPr>
          <w:rFonts w:ascii="Arial" w:hAnsi="Arial" w:cs="Arial"/>
          <w:color w:val="353535"/>
          <w:sz w:val="24"/>
          <w:szCs w:val="24"/>
          <w:shd w:val="clear" w:color="auto" w:fill="FFFFFF"/>
        </w:rPr>
        <w:t xml:space="preserve">, </w:t>
      </w:r>
      <w:r w:rsidRPr="00AC4D4D">
        <w:rPr>
          <w:rFonts w:ascii="Arial" w:hAnsi="Arial" w:cs="Arial"/>
          <w:color w:val="353535"/>
          <w:sz w:val="24"/>
          <w:szCs w:val="24"/>
          <w:shd w:val="clear" w:color="auto" w:fill="FFFFFF"/>
        </w:rPr>
        <w:t xml:space="preserve">reduced public investment shifts the burden of educational success onto families, privileging those with greater economic resources, social, and academic competencies. In this context, education ceases to function as a mechanism of social mobility and instead </w:t>
      </w:r>
      <w:r w:rsidR="00B1000C">
        <w:rPr>
          <w:rFonts w:ascii="Arial" w:hAnsi="Arial" w:cs="Arial"/>
          <w:color w:val="353535"/>
          <w:sz w:val="24"/>
          <w:szCs w:val="24"/>
          <w:shd w:val="clear" w:color="auto" w:fill="FFFFFF"/>
        </w:rPr>
        <w:t>deepens</w:t>
      </w:r>
      <w:r w:rsidRPr="00AC4D4D">
        <w:rPr>
          <w:rFonts w:ascii="Arial" w:hAnsi="Arial" w:cs="Arial"/>
          <w:color w:val="353535"/>
          <w:sz w:val="24"/>
          <w:szCs w:val="24"/>
          <w:shd w:val="clear" w:color="auto" w:fill="FFFFFF"/>
        </w:rPr>
        <w:t xml:space="preserve"> existing class and regional inequalities.</w:t>
      </w:r>
    </w:p>
    <w:p w14:paraId="569CAE25" w14:textId="4B91A362" w:rsidR="007E4A1F" w:rsidRDefault="007E4A1F" w:rsidP="00AC4D4D">
      <w:pPr>
        <w:spacing w:line="360" w:lineRule="auto"/>
        <w:rPr>
          <w:rFonts w:ascii="Arial" w:hAnsi="Arial" w:cs="Arial"/>
          <w:sz w:val="24"/>
          <w:szCs w:val="24"/>
        </w:rPr>
      </w:pPr>
      <w:r w:rsidRPr="007E4A1F">
        <w:rPr>
          <w:rFonts w:ascii="Arial" w:hAnsi="Arial" w:cs="Arial"/>
          <w:sz w:val="24"/>
          <w:szCs w:val="24"/>
        </w:rPr>
        <w:t xml:space="preserve">State capacity theory </w:t>
      </w:r>
      <w:r w:rsidR="00692E76">
        <w:rPr>
          <w:rFonts w:ascii="Arial" w:hAnsi="Arial" w:cs="Arial"/>
          <w:sz w:val="24"/>
          <w:szCs w:val="24"/>
        </w:rPr>
        <w:t xml:space="preserve">also </w:t>
      </w:r>
      <w:r w:rsidRPr="007E4A1F">
        <w:rPr>
          <w:rFonts w:ascii="Arial" w:hAnsi="Arial" w:cs="Arial"/>
          <w:sz w:val="24"/>
          <w:szCs w:val="24"/>
        </w:rPr>
        <w:t>helps explain the financial and structural barriers affecting education in Nigeria</w:t>
      </w:r>
      <w:r w:rsidR="00D34F03">
        <w:rPr>
          <w:rFonts w:ascii="Arial" w:hAnsi="Arial" w:cs="Arial"/>
          <w:sz w:val="24"/>
          <w:szCs w:val="24"/>
        </w:rPr>
        <w:t>, with its l</w:t>
      </w:r>
      <w:r w:rsidRPr="007E4A1F">
        <w:rPr>
          <w:rFonts w:ascii="Arial" w:hAnsi="Arial" w:cs="Arial"/>
          <w:sz w:val="24"/>
          <w:szCs w:val="24"/>
        </w:rPr>
        <w:t>imited fiscal capacity restrict</w:t>
      </w:r>
      <w:r w:rsidR="00611A04">
        <w:rPr>
          <w:rFonts w:ascii="Arial" w:hAnsi="Arial" w:cs="Arial"/>
          <w:sz w:val="24"/>
          <w:szCs w:val="24"/>
        </w:rPr>
        <w:t>ing</w:t>
      </w:r>
      <w:r w:rsidRPr="007E4A1F">
        <w:rPr>
          <w:rFonts w:ascii="Arial" w:hAnsi="Arial" w:cs="Arial"/>
          <w:sz w:val="24"/>
          <w:szCs w:val="24"/>
        </w:rPr>
        <w:t xml:space="preserve"> the ability to allocate sufficient and sustained funding to the education sector</w:t>
      </w:r>
      <w:r w:rsidR="00D34F03">
        <w:rPr>
          <w:rFonts w:ascii="Arial" w:hAnsi="Arial" w:cs="Arial"/>
          <w:sz w:val="24"/>
          <w:szCs w:val="24"/>
        </w:rPr>
        <w:t xml:space="preserve">. </w:t>
      </w:r>
      <w:r w:rsidRPr="007E4A1F">
        <w:rPr>
          <w:rFonts w:ascii="Arial" w:hAnsi="Arial" w:cs="Arial"/>
          <w:sz w:val="24"/>
          <w:szCs w:val="24"/>
        </w:rPr>
        <w:t xml:space="preserve"> At the same time, systemic weaknesses including poor financial management, corruption, and weak administrative coordination reduce the effectiveness of available resources. From this perspective, persistent educational inequality reflects not only lack of funding, but also institutional limitations in managing and distributing resources e</w:t>
      </w:r>
      <w:r w:rsidR="00FD649D">
        <w:rPr>
          <w:rFonts w:ascii="Arial" w:hAnsi="Arial" w:cs="Arial"/>
          <w:sz w:val="24"/>
          <w:szCs w:val="24"/>
        </w:rPr>
        <w:t>ffectively</w:t>
      </w:r>
      <w:r w:rsidR="00096372">
        <w:rPr>
          <w:rFonts w:ascii="Arial" w:hAnsi="Arial" w:cs="Arial"/>
          <w:sz w:val="24"/>
          <w:szCs w:val="24"/>
        </w:rPr>
        <w:t xml:space="preserve"> </w:t>
      </w:r>
      <w:r w:rsidR="00096372" w:rsidRPr="00096372">
        <w:rPr>
          <w:rFonts w:ascii="Arial" w:hAnsi="Arial" w:cs="Arial"/>
          <w:sz w:val="24"/>
          <w:szCs w:val="24"/>
        </w:rPr>
        <w:t>(Onyeoziri, 2005)</w:t>
      </w:r>
      <w:r w:rsidR="00096372">
        <w:rPr>
          <w:rFonts w:ascii="Arial" w:hAnsi="Arial" w:cs="Arial"/>
          <w:sz w:val="24"/>
          <w:szCs w:val="24"/>
        </w:rPr>
        <w:t>.</w:t>
      </w:r>
    </w:p>
    <w:p w14:paraId="477572C4" w14:textId="4FFE4DFF" w:rsidR="00124B58" w:rsidRDefault="00FD277F" w:rsidP="00AC4D4D">
      <w:pPr>
        <w:spacing w:line="360" w:lineRule="auto"/>
        <w:rPr>
          <w:rFonts w:ascii="Arial" w:hAnsi="Arial" w:cs="Arial"/>
          <w:sz w:val="24"/>
          <w:szCs w:val="24"/>
        </w:rPr>
      </w:pPr>
      <w:r w:rsidRPr="00FD277F">
        <w:rPr>
          <w:rFonts w:ascii="Arial" w:hAnsi="Arial" w:cs="Arial"/>
          <w:sz w:val="24"/>
          <w:szCs w:val="24"/>
        </w:rPr>
        <w:t>Despite the formal provision of free primary education in Nigeria, access remains deeply uneven. An estimated 61% of children are not attending school nationally, with attendance rates falling further in the North to just 53% (UNICEF, 2020). These patterns must be understood within the broader context of multidimensional poverty</w:t>
      </w:r>
      <w:r>
        <w:rPr>
          <w:rFonts w:ascii="Arial" w:hAnsi="Arial" w:cs="Arial"/>
          <w:sz w:val="24"/>
          <w:szCs w:val="24"/>
        </w:rPr>
        <w:t>. A</w:t>
      </w:r>
      <w:r w:rsidRPr="00FD277F">
        <w:rPr>
          <w:rFonts w:ascii="Arial" w:hAnsi="Arial" w:cs="Arial"/>
          <w:sz w:val="24"/>
          <w:szCs w:val="24"/>
        </w:rPr>
        <w:t>pproximately tw</w:t>
      </w:r>
      <w:r w:rsidR="00B5338C">
        <w:rPr>
          <w:rFonts w:ascii="Arial" w:hAnsi="Arial" w:cs="Arial"/>
          <w:sz w:val="24"/>
          <w:szCs w:val="24"/>
        </w:rPr>
        <w:t xml:space="preserve">o </w:t>
      </w:r>
      <w:r w:rsidRPr="00FD277F">
        <w:rPr>
          <w:rFonts w:ascii="Arial" w:hAnsi="Arial" w:cs="Arial"/>
          <w:sz w:val="24"/>
          <w:szCs w:val="24"/>
        </w:rPr>
        <w:t>thirds of Nigerian children experience overlapping deprivations in healthcare, education, nutrition, and access to clean water (UNICEF, 2019). Although tuition may be officially free, indirect and hidden costs including uniforms, textbooks, equipment, security levies, and examination fees</w:t>
      </w:r>
      <w:r w:rsidR="00C51A99">
        <w:rPr>
          <w:rFonts w:ascii="Arial" w:hAnsi="Arial" w:cs="Arial"/>
          <w:sz w:val="24"/>
          <w:szCs w:val="24"/>
        </w:rPr>
        <w:t>,</w:t>
      </w:r>
      <w:r w:rsidRPr="00FD277F">
        <w:rPr>
          <w:rFonts w:ascii="Arial" w:hAnsi="Arial" w:cs="Arial"/>
          <w:sz w:val="24"/>
          <w:szCs w:val="24"/>
        </w:rPr>
        <w:t xml:space="preserve"> create significant financial barriers for low</w:t>
      </w:r>
      <w:r w:rsidR="00496331">
        <w:rPr>
          <w:rFonts w:ascii="Arial" w:hAnsi="Arial" w:cs="Arial"/>
          <w:sz w:val="24"/>
          <w:szCs w:val="24"/>
        </w:rPr>
        <w:t>-i</w:t>
      </w:r>
      <w:r w:rsidRPr="00FD277F">
        <w:rPr>
          <w:rFonts w:ascii="Arial" w:hAnsi="Arial" w:cs="Arial"/>
          <w:sz w:val="24"/>
          <w:szCs w:val="24"/>
        </w:rPr>
        <w:t>ncome households. Furthermore, funds collected locally through Parent</w:t>
      </w:r>
      <w:r w:rsidR="00C51A99">
        <w:rPr>
          <w:rFonts w:ascii="Arial" w:hAnsi="Arial" w:cs="Arial"/>
          <w:sz w:val="24"/>
          <w:szCs w:val="24"/>
        </w:rPr>
        <w:t xml:space="preserve"> </w:t>
      </w:r>
      <w:r w:rsidRPr="00FD277F">
        <w:rPr>
          <w:rFonts w:ascii="Arial" w:hAnsi="Arial" w:cs="Arial"/>
          <w:sz w:val="24"/>
          <w:szCs w:val="24"/>
        </w:rPr>
        <w:t>Teacher Associations to compensate for inadequate state funding are frequently undermined by mismanagement and corruption, limiting their effectiveness</w:t>
      </w:r>
      <w:r w:rsidR="00C51A99">
        <w:rPr>
          <w:rFonts w:ascii="Arial" w:hAnsi="Arial" w:cs="Arial"/>
          <w:sz w:val="24"/>
          <w:szCs w:val="24"/>
        </w:rPr>
        <w:t>.</w:t>
      </w:r>
      <w:r w:rsidRPr="00FD277F">
        <w:rPr>
          <w:rFonts w:ascii="Arial" w:hAnsi="Arial" w:cs="Arial"/>
          <w:sz w:val="24"/>
          <w:szCs w:val="24"/>
        </w:rPr>
        <w:t xml:space="preserve"> (African Youth Hub, 2021).</w:t>
      </w:r>
      <w:r w:rsidR="00C51A99">
        <w:rPr>
          <w:rFonts w:ascii="Arial" w:hAnsi="Arial" w:cs="Arial"/>
          <w:sz w:val="24"/>
          <w:szCs w:val="24"/>
        </w:rPr>
        <w:t xml:space="preserve"> </w:t>
      </w:r>
    </w:p>
    <w:p w14:paraId="72577EDA" w14:textId="1B867025" w:rsidR="00FF7296" w:rsidRDefault="000C13FE" w:rsidP="000C13FE">
      <w:pPr>
        <w:spacing w:line="360" w:lineRule="auto"/>
        <w:rPr>
          <w:rFonts w:ascii="Arial" w:hAnsi="Arial" w:cs="Arial"/>
          <w:sz w:val="24"/>
          <w:szCs w:val="24"/>
        </w:rPr>
      </w:pPr>
      <w:r w:rsidRPr="000C13FE">
        <w:rPr>
          <w:rFonts w:ascii="Arial" w:hAnsi="Arial" w:cs="Arial"/>
          <w:sz w:val="24"/>
          <w:szCs w:val="24"/>
        </w:rPr>
        <w:t>Widespread poverty remains a significant driver of child economic participation in Nigeria. According to the International Labour Organisation (2024), more than half of children are engaged in employment, with 39% classified as being in child labour and 22.9% involved in hazardous activities, including mining and sexual exploitation. Notably, one in four working children do not attend school at all, illustrating the direct trade</w:t>
      </w:r>
      <w:r w:rsidR="00AD26DE">
        <w:rPr>
          <w:rFonts w:ascii="Arial" w:hAnsi="Arial" w:cs="Arial"/>
          <w:sz w:val="24"/>
          <w:szCs w:val="24"/>
        </w:rPr>
        <w:t>-</w:t>
      </w:r>
      <w:r w:rsidRPr="000C13FE">
        <w:rPr>
          <w:rFonts w:ascii="Arial" w:hAnsi="Arial" w:cs="Arial"/>
          <w:sz w:val="24"/>
          <w:szCs w:val="24"/>
        </w:rPr>
        <w:t>off between economic survival and educational participation. The report further identifies a strong negative correlation between children’s school attendance and the educational attainment of their parents, indicating the intergenerational transmission of disadvantage</w:t>
      </w:r>
      <w:r w:rsidR="00AD26DE">
        <w:rPr>
          <w:rFonts w:ascii="Arial" w:hAnsi="Arial" w:cs="Arial"/>
          <w:sz w:val="24"/>
          <w:szCs w:val="24"/>
        </w:rPr>
        <w:t xml:space="preserve">, another </w:t>
      </w:r>
      <w:r w:rsidR="009D4F35">
        <w:rPr>
          <w:rFonts w:ascii="Arial" w:hAnsi="Arial" w:cs="Arial"/>
          <w:sz w:val="24"/>
          <w:szCs w:val="24"/>
        </w:rPr>
        <w:t xml:space="preserve">example of </w:t>
      </w:r>
      <w:r w:rsidR="00C5539D" w:rsidRPr="00C5539D">
        <w:rPr>
          <w:rFonts w:ascii="Arial" w:hAnsi="Arial" w:cs="Arial"/>
          <w:sz w:val="24"/>
          <w:szCs w:val="24"/>
        </w:rPr>
        <w:t>Bourdieu’s concept of cultural capital, where advantage is reproduced across generations</w:t>
      </w:r>
      <w:r w:rsidR="00FF7296">
        <w:rPr>
          <w:rFonts w:ascii="Arial" w:hAnsi="Arial" w:cs="Arial"/>
          <w:sz w:val="24"/>
          <w:szCs w:val="24"/>
        </w:rPr>
        <w:t>.</w:t>
      </w:r>
      <w:r w:rsidR="0052438F">
        <w:rPr>
          <w:rFonts w:ascii="Arial" w:hAnsi="Arial" w:cs="Arial"/>
          <w:sz w:val="24"/>
          <w:szCs w:val="24"/>
        </w:rPr>
        <w:t xml:space="preserve"> </w:t>
      </w:r>
      <w:r w:rsidR="000174A5" w:rsidRPr="000174A5">
        <w:rPr>
          <w:rFonts w:ascii="Arial" w:hAnsi="Arial" w:cs="Arial"/>
          <w:sz w:val="24"/>
          <w:szCs w:val="24"/>
        </w:rPr>
        <w:t>This reality is brought into sharp focus through the story of</w:t>
      </w:r>
      <w:r w:rsidR="000174A5">
        <w:rPr>
          <w:rFonts w:ascii="Arial" w:hAnsi="Arial" w:cs="Arial"/>
          <w:sz w:val="24"/>
          <w:szCs w:val="24"/>
        </w:rPr>
        <w:t xml:space="preserve"> t</w:t>
      </w:r>
      <w:r w:rsidR="00981EAB" w:rsidRPr="00981EAB">
        <w:rPr>
          <w:rFonts w:ascii="Arial" w:hAnsi="Arial" w:cs="Arial"/>
          <w:sz w:val="24"/>
          <w:szCs w:val="24"/>
        </w:rPr>
        <w:t>en</w:t>
      </w:r>
      <w:r w:rsidR="00781311">
        <w:rPr>
          <w:rFonts w:ascii="Arial" w:hAnsi="Arial" w:cs="Arial"/>
          <w:sz w:val="24"/>
          <w:szCs w:val="24"/>
        </w:rPr>
        <w:t>-</w:t>
      </w:r>
      <w:r w:rsidR="00981EAB" w:rsidRPr="00981EAB">
        <w:rPr>
          <w:rFonts w:ascii="Arial" w:hAnsi="Arial" w:cs="Arial"/>
          <w:sz w:val="24"/>
          <w:szCs w:val="24"/>
        </w:rPr>
        <w:t>year</w:t>
      </w:r>
      <w:r w:rsidR="000174A5">
        <w:rPr>
          <w:rFonts w:ascii="Arial" w:hAnsi="Arial" w:cs="Arial"/>
          <w:sz w:val="24"/>
          <w:szCs w:val="24"/>
        </w:rPr>
        <w:t xml:space="preserve"> </w:t>
      </w:r>
      <w:r w:rsidR="00981EAB" w:rsidRPr="00981EAB">
        <w:rPr>
          <w:rFonts w:ascii="Arial" w:hAnsi="Arial" w:cs="Arial"/>
          <w:sz w:val="24"/>
          <w:szCs w:val="24"/>
        </w:rPr>
        <w:t xml:space="preserve">old Joshua from Lagos </w:t>
      </w:r>
      <w:r w:rsidR="00981EAB">
        <w:rPr>
          <w:rFonts w:ascii="Arial" w:hAnsi="Arial" w:cs="Arial"/>
          <w:sz w:val="24"/>
          <w:szCs w:val="24"/>
        </w:rPr>
        <w:t xml:space="preserve">who </w:t>
      </w:r>
      <w:r w:rsidR="00781311">
        <w:rPr>
          <w:rFonts w:ascii="Arial" w:hAnsi="Arial" w:cs="Arial"/>
          <w:sz w:val="24"/>
          <w:szCs w:val="24"/>
        </w:rPr>
        <w:t>left</w:t>
      </w:r>
      <w:r w:rsidR="00981EAB" w:rsidRPr="00981EAB">
        <w:rPr>
          <w:rFonts w:ascii="Arial" w:hAnsi="Arial" w:cs="Arial"/>
          <w:sz w:val="24"/>
          <w:szCs w:val="24"/>
        </w:rPr>
        <w:t xml:space="preserve"> school when his family could no longer afford fees, books, and uniforms. He now works as a weekend house help and street hawker, far from the opportunities he once hoped for</w:t>
      </w:r>
      <w:r w:rsidR="00981EAB">
        <w:rPr>
          <w:rFonts w:ascii="Arial" w:hAnsi="Arial" w:cs="Arial"/>
          <w:sz w:val="24"/>
          <w:szCs w:val="24"/>
        </w:rPr>
        <w:t xml:space="preserve"> </w:t>
      </w:r>
      <w:r w:rsidR="008451FB" w:rsidRPr="008451FB">
        <w:rPr>
          <w:rFonts w:ascii="Arial" w:hAnsi="Arial" w:cs="Arial"/>
          <w:sz w:val="24"/>
          <w:szCs w:val="24"/>
        </w:rPr>
        <w:t>(Emaojo, 2024)</w:t>
      </w:r>
      <w:r w:rsidR="008451FB">
        <w:rPr>
          <w:rFonts w:ascii="Arial" w:hAnsi="Arial" w:cs="Arial"/>
          <w:sz w:val="24"/>
          <w:szCs w:val="24"/>
        </w:rPr>
        <w:t>.</w:t>
      </w:r>
    </w:p>
    <w:p w14:paraId="28476099" w14:textId="71CD4A6C" w:rsidR="00E12C29" w:rsidRDefault="004B4AE6" w:rsidP="000C13FE">
      <w:pPr>
        <w:spacing w:line="360" w:lineRule="auto"/>
        <w:rPr>
          <w:rFonts w:ascii="Arial" w:hAnsi="Arial" w:cs="Arial"/>
          <w:sz w:val="24"/>
          <w:szCs w:val="24"/>
        </w:rPr>
      </w:pPr>
      <w:r w:rsidRPr="004B4AE6">
        <w:rPr>
          <w:rFonts w:ascii="Arial" w:hAnsi="Arial" w:cs="Arial"/>
          <w:sz w:val="24"/>
          <w:szCs w:val="24"/>
        </w:rPr>
        <w:t>Educational inequality in Nigeria is also reflected in pronounced regional disparities, with over 60% of out</w:t>
      </w:r>
      <w:r>
        <w:rPr>
          <w:rFonts w:ascii="Arial" w:hAnsi="Arial" w:cs="Arial"/>
          <w:sz w:val="24"/>
          <w:szCs w:val="24"/>
        </w:rPr>
        <w:t xml:space="preserve"> </w:t>
      </w:r>
      <w:r w:rsidRPr="004B4AE6">
        <w:rPr>
          <w:rFonts w:ascii="Arial" w:hAnsi="Arial" w:cs="Arial"/>
          <w:sz w:val="24"/>
          <w:szCs w:val="24"/>
        </w:rPr>
        <w:t>of</w:t>
      </w:r>
      <w:r>
        <w:rPr>
          <w:rFonts w:ascii="Arial" w:hAnsi="Arial" w:cs="Arial"/>
          <w:sz w:val="24"/>
          <w:szCs w:val="24"/>
        </w:rPr>
        <w:t xml:space="preserve"> </w:t>
      </w:r>
      <w:r w:rsidRPr="004B4AE6">
        <w:rPr>
          <w:rFonts w:ascii="Arial" w:hAnsi="Arial" w:cs="Arial"/>
          <w:sz w:val="24"/>
          <w:szCs w:val="24"/>
        </w:rPr>
        <w:t>school children residing in the northern regions. While this imbalance can be traced in part to colonial policies that concentrated Western</w:t>
      </w:r>
      <w:r>
        <w:rPr>
          <w:rFonts w:ascii="Arial" w:hAnsi="Arial" w:cs="Arial"/>
          <w:sz w:val="24"/>
          <w:szCs w:val="24"/>
        </w:rPr>
        <w:t xml:space="preserve"> </w:t>
      </w:r>
      <w:r w:rsidRPr="004B4AE6">
        <w:rPr>
          <w:rFonts w:ascii="Arial" w:hAnsi="Arial" w:cs="Arial"/>
          <w:sz w:val="24"/>
          <w:szCs w:val="24"/>
        </w:rPr>
        <w:t xml:space="preserve">style education within economically strategic southern areas, </w:t>
      </w:r>
      <w:r w:rsidR="00697379" w:rsidRPr="004B4AE6">
        <w:rPr>
          <w:rFonts w:ascii="Arial" w:hAnsi="Arial" w:cs="Arial"/>
          <w:sz w:val="24"/>
          <w:szCs w:val="24"/>
        </w:rPr>
        <w:t>socio</w:t>
      </w:r>
      <w:r w:rsidR="00697379">
        <w:rPr>
          <w:rFonts w:ascii="Arial" w:hAnsi="Arial" w:cs="Arial"/>
          <w:sz w:val="24"/>
          <w:szCs w:val="24"/>
        </w:rPr>
        <w:t>-cultural</w:t>
      </w:r>
      <w:r w:rsidRPr="004B4AE6">
        <w:rPr>
          <w:rFonts w:ascii="Arial" w:hAnsi="Arial" w:cs="Arial"/>
          <w:sz w:val="24"/>
          <w:szCs w:val="24"/>
        </w:rPr>
        <w:t xml:space="preserve"> factors have also shaped </w:t>
      </w:r>
      <w:r>
        <w:rPr>
          <w:rFonts w:ascii="Arial" w:hAnsi="Arial" w:cs="Arial"/>
          <w:sz w:val="24"/>
          <w:szCs w:val="24"/>
        </w:rPr>
        <w:t>access to education</w:t>
      </w:r>
      <w:r w:rsidRPr="004B4AE6">
        <w:rPr>
          <w:rFonts w:ascii="Arial" w:hAnsi="Arial" w:cs="Arial"/>
          <w:sz w:val="24"/>
          <w:szCs w:val="24"/>
        </w:rPr>
        <w:t>. In parts of the North, Western education</w:t>
      </w:r>
      <w:r>
        <w:rPr>
          <w:rFonts w:ascii="Arial" w:hAnsi="Arial" w:cs="Arial"/>
          <w:sz w:val="24"/>
          <w:szCs w:val="24"/>
        </w:rPr>
        <w:t xml:space="preserve"> </w:t>
      </w:r>
      <w:r w:rsidRPr="004B4AE6">
        <w:rPr>
          <w:rFonts w:ascii="Arial" w:hAnsi="Arial" w:cs="Arial"/>
          <w:sz w:val="24"/>
          <w:szCs w:val="24"/>
        </w:rPr>
        <w:t>closely associated with Christian missionary activity</w:t>
      </w:r>
      <w:r>
        <w:rPr>
          <w:rFonts w:ascii="Arial" w:hAnsi="Arial" w:cs="Arial"/>
          <w:sz w:val="24"/>
          <w:szCs w:val="24"/>
        </w:rPr>
        <w:t xml:space="preserve">, </w:t>
      </w:r>
      <w:r w:rsidRPr="004B4AE6">
        <w:rPr>
          <w:rFonts w:ascii="Arial" w:hAnsi="Arial" w:cs="Arial"/>
          <w:sz w:val="24"/>
          <w:szCs w:val="24"/>
        </w:rPr>
        <w:t>was perceived as a threat to Islamic identity and religious traditions. Locally referred to as “boko”</w:t>
      </w:r>
      <w:r w:rsidR="00D4646F">
        <w:rPr>
          <w:rFonts w:ascii="Arial" w:hAnsi="Arial" w:cs="Arial"/>
          <w:sz w:val="24"/>
          <w:szCs w:val="24"/>
        </w:rPr>
        <w:t xml:space="preserve"> meaning Western education</w:t>
      </w:r>
      <w:r w:rsidRPr="004B4AE6">
        <w:rPr>
          <w:rFonts w:ascii="Arial" w:hAnsi="Arial" w:cs="Arial"/>
          <w:sz w:val="24"/>
          <w:szCs w:val="24"/>
        </w:rPr>
        <w:t>, it was at times resisted by communities who feared cultural and religious erosion. Historical accounts indicate that some parents temporarily withdrew their children from villages to avoid compulsory enrolment initiatives.</w:t>
      </w:r>
      <w:r w:rsidR="00CA40F5">
        <w:rPr>
          <w:rFonts w:ascii="Arial" w:hAnsi="Arial" w:cs="Arial"/>
          <w:sz w:val="24"/>
          <w:szCs w:val="24"/>
        </w:rPr>
        <w:t xml:space="preserve"> </w:t>
      </w:r>
      <w:r w:rsidR="005558F2">
        <w:rPr>
          <w:rFonts w:ascii="Arial" w:hAnsi="Arial" w:cs="Arial"/>
          <w:sz w:val="24"/>
          <w:szCs w:val="24"/>
        </w:rPr>
        <w:t xml:space="preserve">Many families choose to educate their children through </w:t>
      </w:r>
      <w:r w:rsidR="00170BEF">
        <w:rPr>
          <w:rFonts w:ascii="Arial" w:hAnsi="Arial" w:cs="Arial"/>
          <w:sz w:val="24"/>
          <w:szCs w:val="24"/>
        </w:rPr>
        <w:t>Quranic</w:t>
      </w:r>
      <w:r w:rsidR="00B8676A">
        <w:rPr>
          <w:rFonts w:ascii="Arial" w:hAnsi="Arial" w:cs="Arial"/>
          <w:sz w:val="24"/>
          <w:szCs w:val="24"/>
        </w:rPr>
        <w:t xml:space="preserve"> </w:t>
      </w:r>
      <w:r w:rsidR="00170BEF">
        <w:rPr>
          <w:rFonts w:ascii="Arial" w:hAnsi="Arial" w:cs="Arial"/>
          <w:sz w:val="24"/>
          <w:szCs w:val="24"/>
        </w:rPr>
        <w:t>schools but with concerns o</w:t>
      </w:r>
      <w:r w:rsidR="00527996">
        <w:rPr>
          <w:rFonts w:ascii="Arial" w:hAnsi="Arial" w:cs="Arial"/>
          <w:sz w:val="24"/>
          <w:szCs w:val="24"/>
        </w:rPr>
        <w:t>ver</w:t>
      </w:r>
      <w:r w:rsidR="00170BEF">
        <w:rPr>
          <w:rFonts w:ascii="Arial" w:hAnsi="Arial" w:cs="Arial"/>
          <w:sz w:val="24"/>
          <w:szCs w:val="24"/>
        </w:rPr>
        <w:t xml:space="preserve"> child exploitation and </w:t>
      </w:r>
      <w:r w:rsidR="00527996">
        <w:rPr>
          <w:rFonts w:ascii="Arial" w:hAnsi="Arial" w:cs="Arial"/>
          <w:sz w:val="24"/>
          <w:szCs w:val="24"/>
        </w:rPr>
        <w:t xml:space="preserve">abuse and no </w:t>
      </w:r>
      <w:r w:rsidR="00FC77FD">
        <w:rPr>
          <w:rFonts w:ascii="Arial" w:hAnsi="Arial" w:cs="Arial"/>
          <w:sz w:val="24"/>
          <w:szCs w:val="24"/>
        </w:rPr>
        <w:t xml:space="preserve">formal literacy or numeracy </w:t>
      </w:r>
      <w:r w:rsidR="00D772AC">
        <w:rPr>
          <w:rFonts w:ascii="Arial" w:hAnsi="Arial" w:cs="Arial"/>
          <w:sz w:val="24"/>
          <w:szCs w:val="24"/>
        </w:rPr>
        <w:t>teaching,</w:t>
      </w:r>
      <w:r w:rsidR="00FC77FD">
        <w:rPr>
          <w:rFonts w:ascii="Arial" w:hAnsi="Arial" w:cs="Arial"/>
          <w:sz w:val="24"/>
          <w:szCs w:val="24"/>
        </w:rPr>
        <w:t xml:space="preserve"> the system has faced criticism</w:t>
      </w:r>
      <w:r w:rsidR="00DE3F6E" w:rsidRPr="00DE3F6E">
        <w:t xml:space="preserve"> </w:t>
      </w:r>
      <w:r w:rsidR="00DE3F6E" w:rsidRPr="00DE3F6E">
        <w:rPr>
          <w:rFonts w:ascii="Arial" w:hAnsi="Arial" w:cs="Arial"/>
          <w:sz w:val="24"/>
          <w:szCs w:val="24"/>
        </w:rPr>
        <w:t>(Umar and Maaji, 2025)</w:t>
      </w:r>
      <w:r w:rsidR="00DE3F6E">
        <w:rPr>
          <w:rFonts w:ascii="Arial" w:hAnsi="Arial" w:cs="Arial"/>
          <w:sz w:val="24"/>
          <w:szCs w:val="24"/>
        </w:rPr>
        <w:t>,</w:t>
      </w:r>
      <w:r w:rsidR="00FC77FD">
        <w:rPr>
          <w:rFonts w:ascii="Arial" w:hAnsi="Arial" w:cs="Arial"/>
          <w:sz w:val="24"/>
          <w:szCs w:val="24"/>
        </w:rPr>
        <w:t xml:space="preserve"> and</w:t>
      </w:r>
      <w:r w:rsidR="00CC2ED1">
        <w:rPr>
          <w:rFonts w:ascii="Arial" w:hAnsi="Arial" w:cs="Arial"/>
          <w:sz w:val="24"/>
          <w:szCs w:val="24"/>
        </w:rPr>
        <w:t xml:space="preserve"> therefore</w:t>
      </w:r>
      <w:r w:rsidR="00197FF3">
        <w:rPr>
          <w:rFonts w:ascii="Arial" w:hAnsi="Arial" w:cs="Arial"/>
          <w:sz w:val="24"/>
          <w:szCs w:val="24"/>
        </w:rPr>
        <w:t xml:space="preserve"> attendance </w:t>
      </w:r>
      <w:r w:rsidR="00AA29F7">
        <w:rPr>
          <w:rFonts w:ascii="Arial" w:hAnsi="Arial" w:cs="Arial"/>
          <w:sz w:val="24"/>
          <w:szCs w:val="24"/>
        </w:rPr>
        <w:t>is excluded from education data</w:t>
      </w:r>
      <w:r w:rsidR="00C43C90" w:rsidRPr="00C43C90">
        <w:t xml:space="preserve"> </w:t>
      </w:r>
      <w:r w:rsidR="00C43C90" w:rsidRPr="00C43C90">
        <w:rPr>
          <w:rFonts w:ascii="Arial" w:hAnsi="Arial" w:cs="Arial"/>
          <w:sz w:val="24"/>
          <w:szCs w:val="24"/>
        </w:rPr>
        <w:t>(UNICEF, 2020)</w:t>
      </w:r>
      <w:r w:rsidR="00AA29F7">
        <w:rPr>
          <w:rFonts w:ascii="Arial" w:hAnsi="Arial" w:cs="Arial"/>
          <w:sz w:val="24"/>
          <w:szCs w:val="24"/>
        </w:rPr>
        <w:t>.</w:t>
      </w:r>
      <w:r w:rsidR="00197FF3">
        <w:rPr>
          <w:rFonts w:ascii="Arial" w:hAnsi="Arial" w:cs="Arial"/>
          <w:sz w:val="24"/>
          <w:szCs w:val="24"/>
        </w:rPr>
        <w:t xml:space="preserve"> </w:t>
      </w:r>
      <w:r w:rsidR="00B30F83" w:rsidRPr="00B30F83">
        <w:rPr>
          <w:rFonts w:ascii="Arial" w:hAnsi="Arial" w:cs="Arial"/>
          <w:sz w:val="24"/>
          <w:szCs w:val="24"/>
        </w:rPr>
        <w:t xml:space="preserve">Viewed through a postcolonial lens, these regional disparities reflect the enduring legacy of colonial educational policies that privileged Western knowledge systems while marginalising Islamic and indigenous traditions. Resistance to “boko” education in the North </w:t>
      </w:r>
      <w:r w:rsidR="00B30F83">
        <w:rPr>
          <w:rFonts w:ascii="Arial" w:hAnsi="Arial" w:cs="Arial"/>
          <w:sz w:val="24"/>
          <w:szCs w:val="24"/>
        </w:rPr>
        <w:t xml:space="preserve">is not necessarily a resistance to education in itself but to </w:t>
      </w:r>
      <w:r w:rsidR="00B5647A">
        <w:rPr>
          <w:rFonts w:ascii="Arial" w:hAnsi="Arial" w:cs="Arial"/>
          <w:sz w:val="24"/>
          <w:szCs w:val="24"/>
        </w:rPr>
        <w:t>cultural imperialism</w:t>
      </w:r>
      <w:r w:rsidR="00D0013C">
        <w:rPr>
          <w:rFonts w:ascii="Arial" w:hAnsi="Arial" w:cs="Arial"/>
          <w:sz w:val="24"/>
          <w:szCs w:val="24"/>
        </w:rPr>
        <w:t xml:space="preserve">. </w:t>
      </w:r>
    </w:p>
    <w:p w14:paraId="26644480" w14:textId="6489FAD3" w:rsidR="00AE7091" w:rsidRDefault="00D31C65" w:rsidP="000C13FE">
      <w:pPr>
        <w:spacing w:line="360" w:lineRule="auto"/>
        <w:rPr>
          <w:rFonts w:ascii="Arial" w:hAnsi="Arial" w:cs="Arial"/>
          <w:sz w:val="24"/>
          <w:szCs w:val="24"/>
        </w:rPr>
      </w:pPr>
      <w:r w:rsidRPr="00D31C65">
        <w:rPr>
          <w:rFonts w:ascii="Arial" w:hAnsi="Arial" w:cs="Arial"/>
          <w:sz w:val="24"/>
          <w:szCs w:val="24"/>
        </w:rPr>
        <w:t>The extremist activities of Boko Haram, a violent Islamist group whose name is often translated as “Western education is a sin,” have had a devastating impact on education in northern Nigeria since their formation in 2002. The group has specifically targeted schools, students, and teachers, severely disrupting educational infrastructure. Nearly 15 million people have been affected by violent radicalisation, with over 20,000 lives lost and more than two million individuals displaced (Bertoni et al., 2019). In response to repeated mass abductions of children and staff, thousands of schools have been forced to close, leaving many children unable to continue their education and pushing them into low</w:t>
      </w:r>
      <w:r w:rsidR="005E09A1">
        <w:rPr>
          <w:rFonts w:ascii="Arial" w:hAnsi="Arial" w:cs="Arial"/>
          <w:sz w:val="24"/>
          <w:szCs w:val="24"/>
        </w:rPr>
        <w:t xml:space="preserve"> </w:t>
      </w:r>
      <w:r w:rsidRPr="00D31C65">
        <w:rPr>
          <w:rFonts w:ascii="Arial" w:hAnsi="Arial" w:cs="Arial"/>
          <w:sz w:val="24"/>
          <w:szCs w:val="24"/>
        </w:rPr>
        <w:t>paid labour to support their families. In one week alone, over 20,000 schools across seven regions were closed following a security incident earlier this year. Amnesty International (2025) has criticised the Nigerian government for failing to investigate these attacks and hold perpetrators accountable, describing the lack of action as “an assault on childhood and an utter failure to guarantee the safety and security of school children and teachers”</w:t>
      </w:r>
      <w:r w:rsidR="00327FB8">
        <w:rPr>
          <w:rFonts w:ascii="Arial" w:hAnsi="Arial" w:cs="Arial"/>
          <w:sz w:val="24"/>
          <w:szCs w:val="24"/>
        </w:rPr>
        <w:t>.</w:t>
      </w:r>
      <w:r w:rsidRPr="00D31C65">
        <w:rPr>
          <w:rFonts w:ascii="Arial" w:hAnsi="Arial" w:cs="Arial"/>
          <w:sz w:val="24"/>
          <w:szCs w:val="24"/>
        </w:rPr>
        <w:t xml:space="preserve"> From a state capacity perspective, these events </w:t>
      </w:r>
      <w:r w:rsidR="003D2454">
        <w:rPr>
          <w:rFonts w:ascii="Arial" w:hAnsi="Arial" w:cs="Arial"/>
          <w:sz w:val="24"/>
          <w:szCs w:val="24"/>
        </w:rPr>
        <w:t xml:space="preserve">further </w:t>
      </w:r>
      <w:r w:rsidRPr="00D31C65">
        <w:rPr>
          <w:rFonts w:ascii="Arial" w:hAnsi="Arial" w:cs="Arial"/>
          <w:sz w:val="24"/>
          <w:szCs w:val="24"/>
        </w:rPr>
        <w:t>highlight systemic weaknesses in the government’s ability to ensure safe and equitable access to education, representing a direct contravention of the 2014 Nigerian Safe Schools Initiative, which pledged to protect children’s right to learn (Global Business Coalition for Education, 2014).</w:t>
      </w:r>
    </w:p>
    <w:p w14:paraId="33CC9832" w14:textId="73AEE339" w:rsidR="008E7C9F" w:rsidRDefault="003278F5" w:rsidP="000C13FE">
      <w:pPr>
        <w:spacing w:line="360" w:lineRule="auto"/>
        <w:rPr>
          <w:rFonts w:ascii="Arial" w:hAnsi="Arial" w:cs="Arial"/>
          <w:sz w:val="24"/>
          <w:szCs w:val="24"/>
        </w:rPr>
      </w:pPr>
      <w:r w:rsidRPr="003278F5">
        <w:rPr>
          <w:rFonts w:ascii="Arial" w:hAnsi="Arial" w:cs="Arial"/>
          <w:sz w:val="24"/>
          <w:szCs w:val="24"/>
        </w:rPr>
        <w:t>Boko Haram’s targeted abduction of girls represents an extreme manifestation of broader gender inequalities that restrict girls’ access to education in Nigeria. Girls account for approximately 60% of out</w:t>
      </w:r>
      <w:r w:rsidR="00400529">
        <w:rPr>
          <w:rFonts w:ascii="Arial" w:hAnsi="Arial" w:cs="Arial"/>
          <w:sz w:val="24"/>
          <w:szCs w:val="24"/>
        </w:rPr>
        <w:t xml:space="preserve"> </w:t>
      </w:r>
      <w:r w:rsidRPr="003278F5">
        <w:rPr>
          <w:rFonts w:ascii="Arial" w:hAnsi="Arial" w:cs="Arial"/>
          <w:sz w:val="24"/>
          <w:szCs w:val="24"/>
        </w:rPr>
        <w:t>of</w:t>
      </w:r>
      <w:r w:rsidR="00400529">
        <w:rPr>
          <w:rFonts w:ascii="Arial" w:hAnsi="Arial" w:cs="Arial"/>
          <w:sz w:val="24"/>
          <w:szCs w:val="24"/>
        </w:rPr>
        <w:t xml:space="preserve"> </w:t>
      </w:r>
      <w:r w:rsidRPr="003278F5">
        <w:rPr>
          <w:rFonts w:ascii="Arial" w:hAnsi="Arial" w:cs="Arial"/>
          <w:sz w:val="24"/>
          <w:szCs w:val="24"/>
        </w:rPr>
        <w:t xml:space="preserve">school children, a disparity closely linked to practices such as child marriage, with 64% of girls reportedly married before the age of </w:t>
      </w:r>
      <w:r w:rsidR="00252744">
        <w:rPr>
          <w:rFonts w:ascii="Arial" w:hAnsi="Arial" w:cs="Arial"/>
          <w:sz w:val="24"/>
          <w:szCs w:val="24"/>
        </w:rPr>
        <w:t>eighteen</w:t>
      </w:r>
      <w:r w:rsidRPr="003278F5">
        <w:rPr>
          <w:rFonts w:ascii="Arial" w:hAnsi="Arial" w:cs="Arial"/>
          <w:sz w:val="24"/>
          <w:szCs w:val="24"/>
        </w:rPr>
        <w:t>. Although the Child’s Rights Act (Government of Nigeria, 2003) sought to prohibit</w:t>
      </w:r>
      <w:r w:rsidR="00400529">
        <w:rPr>
          <w:rFonts w:ascii="Arial" w:hAnsi="Arial" w:cs="Arial"/>
          <w:sz w:val="24"/>
          <w:szCs w:val="24"/>
        </w:rPr>
        <w:t xml:space="preserve"> these marriages</w:t>
      </w:r>
      <w:r w:rsidRPr="003278F5">
        <w:rPr>
          <w:rFonts w:ascii="Arial" w:hAnsi="Arial" w:cs="Arial"/>
          <w:sz w:val="24"/>
          <w:szCs w:val="24"/>
        </w:rPr>
        <w:t xml:space="preserve">, its failure to be adopted by </w:t>
      </w:r>
      <w:r w:rsidR="00433F7B">
        <w:rPr>
          <w:rFonts w:ascii="Arial" w:hAnsi="Arial" w:cs="Arial"/>
          <w:sz w:val="24"/>
          <w:szCs w:val="24"/>
        </w:rPr>
        <w:t>twelve</w:t>
      </w:r>
      <w:r w:rsidRPr="003278F5">
        <w:rPr>
          <w:rFonts w:ascii="Arial" w:hAnsi="Arial" w:cs="Arial"/>
          <w:sz w:val="24"/>
          <w:szCs w:val="24"/>
        </w:rPr>
        <w:t xml:space="preserve"> northern states has significantly limited its effectiveness, contributing only </w:t>
      </w:r>
      <w:r w:rsidR="0053164D">
        <w:rPr>
          <w:rFonts w:ascii="Arial" w:hAnsi="Arial" w:cs="Arial"/>
          <w:sz w:val="24"/>
          <w:szCs w:val="24"/>
        </w:rPr>
        <w:t xml:space="preserve">a </w:t>
      </w:r>
      <w:r w:rsidRPr="003278F5">
        <w:rPr>
          <w:rFonts w:ascii="Arial" w:hAnsi="Arial" w:cs="Arial"/>
          <w:sz w:val="24"/>
          <w:szCs w:val="24"/>
        </w:rPr>
        <w:t>marginal reductions in child marriage over recent decades.</w:t>
      </w:r>
      <w:r w:rsidR="009E6D7F">
        <w:rPr>
          <w:rFonts w:ascii="Arial" w:hAnsi="Arial" w:cs="Arial"/>
          <w:sz w:val="24"/>
          <w:szCs w:val="24"/>
        </w:rPr>
        <w:t xml:space="preserve"> </w:t>
      </w:r>
      <w:r w:rsidR="0053164D">
        <w:rPr>
          <w:rFonts w:ascii="Arial" w:hAnsi="Arial" w:cs="Arial"/>
          <w:sz w:val="24"/>
          <w:szCs w:val="24"/>
        </w:rPr>
        <w:t>This is h</w:t>
      </w:r>
      <w:r w:rsidR="00DD7B1D">
        <w:rPr>
          <w:rFonts w:ascii="Arial" w:hAnsi="Arial" w:cs="Arial"/>
          <w:sz w:val="24"/>
          <w:szCs w:val="24"/>
        </w:rPr>
        <w:t xml:space="preserve">ighlighted by the story of </w:t>
      </w:r>
      <w:r w:rsidR="00E2696C">
        <w:rPr>
          <w:rFonts w:ascii="Arial" w:hAnsi="Arial" w:cs="Arial"/>
          <w:sz w:val="24"/>
          <w:szCs w:val="24"/>
        </w:rPr>
        <w:t xml:space="preserve">Nafissa </w:t>
      </w:r>
      <w:r w:rsidR="00DD7B1D">
        <w:rPr>
          <w:rFonts w:ascii="Arial" w:hAnsi="Arial" w:cs="Arial"/>
          <w:sz w:val="24"/>
          <w:szCs w:val="24"/>
        </w:rPr>
        <w:t>who</w:t>
      </w:r>
      <w:r w:rsidR="009E6D7F" w:rsidRPr="009E6D7F">
        <w:rPr>
          <w:rFonts w:ascii="Arial" w:hAnsi="Arial" w:cs="Arial"/>
          <w:sz w:val="24"/>
          <w:szCs w:val="24"/>
        </w:rPr>
        <w:t xml:space="preserve"> </w:t>
      </w:r>
      <w:r w:rsidR="0053164D">
        <w:rPr>
          <w:rFonts w:ascii="Arial" w:hAnsi="Arial" w:cs="Arial"/>
          <w:sz w:val="24"/>
          <w:szCs w:val="24"/>
        </w:rPr>
        <w:t>left</w:t>
      </w:r>
      <w:r w:rsidR="009E6D7F" w:rsidRPr="009E6D7F">
        <w:rPr>
          <w:rFonts w:ascii="Arial" w:hAnsi="Arial" w:cs="Arial"/>
          <w:sz w:val="24"/>
          <w:szCs w:val="24"/>
        </w:rPr>
        <w:t xml:space="preserve"> school to get married, citing societal mindsets and prejudices as the cause. She was married during a school break and became pregnant before she could return</w:t>
      </w:r>
      <w:r w:rsidR="00E2696C">
        <w:rPr>
          <w:rFonts w:ascii="Arial" w:hAnsi="Arial" w:cs="Arial"/>
          <w:sz w:val="24"/>
          <w:szCs w:val="24"/>
        </w:rPr>
        <w:t xml:space="preserve"> </w:t>
      </w:r>
      <w:r w:rsidR="00DD7B1D" w:rsidRPr="00DD7B1D">
        <w:rPr>
          <w:rFonts w:ascii="Arial" w:hAnsi="Arial" w:cs="Arial"/>
          <w:sz w:val="24"/>
          <w:szCs w:val="24"/>
        </w:rPr>
        <w:t>(The World Bank, 2017)</w:t>
      </w:r>
      <w:r w:rsidR="009E6D7F" w:rsidRPr="009E6D7F">
        <w:rPr>
          <w:rFonts w:ascii="Arial" w:hAnsi="Arial" w:cs="Arial"/>
          <w:sz w:val="24"/>
          <w:szCs w:val="24"/>
        </w:rPr>
        <w:t>.</w:t>
      </w:r>
      <w:r w:rsidRPr="003278F5">
        <w:rPr>
          <w:rFonts w:ascii="Arial" w:hAnsi="Arial" w:cs="Arial"/>
          <w:sz w:val="24"/>
          <w:szCs w:val="24"/>
        </w:rPr>
        <w:t xml:space="preserve"> The coexistence of statutory and customary marriage laws further weakens enforcement mechanisms and leaves many girls unprotected. In some communities, marriage occurs as early as seven years of age, and if current trends persist, the number of child brides is projected to double by 2050. Driven by economic, cultural, and religious factors, child marriage perpetuates cycles of poverty and exposes girls to physical and psychological harm, reinforcing gendered barriers to educational participation (Nawrozzada, 2022).</w:t>
      </w:r>
      <w:r>
        <w:rPr>
          <w:rFonts w:ascii="Arial" w:hAnsi="Arial" w:cs="Arial"/>
          <w:sz w:val="24"/>
          <w:szCs w:val="24"/>
        </w:rPr>
        <w:t xml:space="preserve"> </w:t>
      </w:r>
    </w:p>
    <w:p w14:paraId="701F3CB7" w14:textId="6A3E8473" w:rsidR="00DA32F3" w:rsidRPr="00DA32F3" w:rsidRDefault="00DA32F3" w:rsidP="00DA32F3">
      <w:pPr>
        <w:spacing w:line="360" w:lineRule="auto"/>
        <w:rPr>
          <w:rFonts w:ascii="Arial" w:hAnsi="Arial" w:cs="Arial"/>
          <w:sz w:val="24"/>
          <w:szCs w:val="24"/>
        </w:rPr>
      </w:pPr>
      <w:r w:rsidRPr="00DA32F3">
        <w:rPr>
          <w:rFonts w:ascii="Arial" w:hAnsi="Arial" w:cs="Arial"/>
          <w:sz w:val="24"/>
          <w:szCs w:val="24"/>
        </w:rPr>
        <w:t>In many rural areas of Nigeria, patriarchal norms shape educational access by prioritising boys’ schooling over that of girls. Men are positioned as authority figures and future economic providers, while women are confined to domestic roles</w:t>
      </w:r>
      <w:r w:rsidR="001C10FD">
        <w:rPr>
          <w:rFonts w:ascii="Arial" w:hAnsi="Arial" w:cs="Arial"/>
          <w:sz w:val="24"/>
          <w:szCs w:val="24"/>
        </w:rPr>
        <w:t>. C</w:t>
      </w:r>
      <w:r w:rsidRPr="00DA32F3">
        <w:rPr>
          <w:rFonts w:ascii="Arial" w:hAnsi="Arial" w:cs="Arial"/>
          <w:sz w:val="24"/>
          <w:szCs w:val="24"/>
        </w:rPr>
        <w:t xml:space="preserve">onsequently, limited household resources are often invested in sons, who are expected to sustain the family line. Girls, by contrast, are </w:t>
      </w:r>
      <w:r w:rsidR="00C47646">
        <w:rPr>
          <w:rFonts w:ascii="Arial" w:hAnsi="Arial" w:cs="Arial"/>
          <w:sz w:val="24"/>
          <w:szCs w:val="24"/>
        </w:rPr>
        <w:t>socialised</w:t>
      </w:r>
      <w:r w:rsidRPr="00DA32F3">
        <w:rPr>
          <w:rFonts w:ascii="Arial" w:hAnsi="Arial" w:cs="Arial"/>
          <w:sz w:val="24"/>
          <w:szCs w:val="24"/>
        </w:rPr>
        <w:t xml:space="preserve"> into roles that restrict aspirations for academic achievement. This dynamic reflects Walby’s (1990) theory of patriarchy, in which social institutions reproduce gendered power hierarchies. As Makama (2013) observes, women in Nigeria are frequently treated as second</w:t>
      </w:r>
      <w:r>
        <w:rPr>
          <w:rFonts w:ascii="Arial" w:hAnsi="Arial" w:cs="Arial"/>
          <w:sz w:val="24"/>
          <w:szCs w:val="24"/>
        </w:rPr>
        <w:t xml:space="preserve"> c</w:t>
      </w:r>
      <w:r w:rsidRPr="00DA32F3">
        <w:rPr>
          <w:rFonts w:ascii="Arial" w:hAnsi="Arial" w:cs="Arial"/>
          <w:sz w:val="24"/>
          <w:szCs w:val="24"/>
        </w:rPr>
        <w:t>lass citizens and are often excluded from formal education.</w:t>
      </w:r>
    </w:p>
    <w:p w14:paraId="11F9BD4B" w14:textId="50FB76C0" w:rsidR="00C708A3" w:rsidRDefault="00DA32F3" w:rsidP="00226FD4">
      <w:pPr>
        <w:spacing w:line="360" w:lineRule="auto"/>
        <w:rPr>
          <w:rFonts w:ascii="Arial" w:hAnsi="Arial" w:cs="Arial"/>
          <w:sz w:val="24"/>
          <w:szCs w:val="24"/>
        </w:rPr>
      </w:pPr>
      <w:r w:rsidRPr="00DA32F3">
        <w:rPr>
          <w:rFonts w:ascii="Arial" w:hAnsi="Arial" w:cs="Arial"/>
          <w:sz w:val="24"/>
          <w:szCs w:val="24"/>
        </w:rPr>
        <w:t>At the same time, framing Nigerian girls solely as victims in need of rescue risks reproducing the “saving girls” discourse critiqued by Mohanty (1988). Such narratives can oversimplify complex social realities, portraying girls in the Majority World as passive and powerless while privileging Western-led intervention. This perspective obscures deeper structural factors</w:t>
      </w:r>
      <w:r>
        <w:rPr>
          <w:rFonts w:ascii="Arial" w:hAnsi="Arial" w:cs="Arial"/>
          <w:sz w:val="24"/>
          <w:szCs w:val="24"/>
        </w:rPr>
        <w:t xml:space="preserve"> </w:t>
      </w:r>
      <w:r w:rsidRPr="00DA32F3">
        <w:rPr>
          <w:rFonts w:ascii="Arial" w:hAnsi="Arial" w:cs="Arial"/>
          <w:sz w:val="24"/>
          <w:szCs w:val="24"/>
        </w:rPr>
        <w:t xml:space="preserve">that shape educational exclusion. A more critically informed approach acknowledges both the persistence of gendered inequality and the complex socio-economic and cultural </w:t>
      </w:r>
      <w:r w:rsidR="005D7A10" w:rsidRPr="005D7A10">
        <w:rPr>
          <w:rFonts w:ascii="Arial" w:hAnsi="Arial" w:cs="Arial"/>
          <w:sz w:val="24"/>
          <w:szCs w:val="24"/>
        </w:rPr>
        <w:t>environments that shape girls’ ability to make choices</w:t>
      </w:r>
      <w:r w:rsidR="005D7A10">
        <w:rPr>
          <w:rFonts w:ascii="Arial" w:hAnsi="Arial" w:cs="Arial"/>
          <w:sz w:val="24"/>
          <w:szCs w:val="24"/>
        </w:rPr>
        <w:t>.</w:t>
      </w:r>
    </w:p>
    <w:p w14:paraId="67030D11" w14:textId="74D5E208" w:rsidR="00AC0EFE" w:rsidRDefault="00D03DBA" w:rsidP="000C13FE">
      <w:pPr>
        <w:spacing w:line="360" w:lineRule="auto"/>
        <w:rPr>
          <w:rFonts w:ascii="Arial" w:hAnsi="Arial" w:cs="Arial"/>
          <w:sz w:val="24"/>
          <w:szCs w:val="24"/>
        </w:rPr>
      </w:pPr>
      <w:r>
        <w:rPr>
          <w:rFonts w:ascii="Arial" w:hAnsi="Arial" w:cs="Arial"/>
          <w:sz w:val="24"/>
          <w:szCs w:val="24"/>
        </w:rPr>
        <w:t xml:space="preserve">For those who are able to access education the expansion </w:t>
      </w:r>
      <w:r w:rsidR="00AC0EFE">
        <w:rPr>
          <w:rFonts w:ascii="Arial" w:hAnsi="Arial" w:cs="Arial"/>
          <w:sz w:val="24"/>
          <w:szCs w:val="24"/>
        </w:rPr>
        <w:t xml:space="preserve">of </w:t>
      </w:r>
      <w:r>
        <w:rPr>
          <w:rFonts w:ascii="Arial" w:hAnsi="Arial" w:cs="Arial"/>
          <w:sz w:val="24"/>
          <w:szCs w:val="24"/>
        </w:rPr>
        <w:t>Universal Basic Education</w:t>
      </w:r>
      <w:r w:rsidR="002437AB">
        <w:rPr>
          <w:rFonts w:ascii="Arial" w:hAnsi="Arial" w:cs="Arial"/>
          <w:sz w:val="24"/>
          <w:szCs w:val="24"/>
        </w:rPr>
        <w:t xml:space="preserve"> (2023)</w:t>
      </w:r>
      <w:r w:rsidR="00AC0EFE">
        <w:rPr>
          <w:rFonts w:ascii="Arial" w:hAnsi="Arial" w:cs="Arial"/>
          <w:sz w:val="24"/>
          <w:szCs w:val="24"/>
        </w:rPr>
        <w:t xml:space="preserve"> has led to a quality crisis, although figures show a rise in enrolments</w:t>
      </w:r>
      <w:r w:rsidR="00570D00">
        <w:rPr>
          <w:rFonts w:ascii="Arial" w:hAnsi="Arial" w:cs="Arial"/>
          <w:sz w:val="24"/>
          <w:szCs w:val="24"/>
        </w:rPr>
        <w:t>, quality of learning is still poor</w:t>
      </w:r>
      <w:r w:rsidR="0013312F">
        <w:rPr>
          <w:rFonts w:ascii="Arial" w:hAnsi="Arial" w:cs="Arial"/>
          <w:sz w:val="24"/>
          <w:szCs w:val="24"/>
        </w:rPr>
        <w:t xml:space="preserve"> ranking </w:t>
      </w:r>
      <w:r w:rsidR="0013312F" w:rsidRPr="0013312F">
        <w:rPr>
          <w:rFonts w:ascii="Arial" w:hAnsi="Arial" w:cs="Arial"/>
          <w:sz w:val="24"/>
          <w:szCs w:val="24"/>
        </w:rPr>
        <w:t>103 out of 118 countries in UNESCO’s Education for All (EFA) Development Index</w:t>
      </w:r>
      <w:r w:rsidR="006367B3">
        <w:rPr>
          <w:rFonts w:ascii="Arial" w:hAnsi="Arial" w:cs="Arial"/>
          <w:sz w:val="24"/>
          <w:szCs w:val="24"/>
        </w:rPr>
        <w:t xml:space="preserve"> </w:t>
      </w:r>
      <w:r w:rsidR="006367B3" w:rsidRPr="006367B3">
        <w:rPr>
          <w:rFonts w:ascii="Arial" w:hAnsi="Arial" w:cs="Arial"/>
          <w:sz w:val="24"/>
          <w:szCs w:val="24"/>
        </w:rPr>
        <w:t>(UNESCO, 2022)</w:t>
      </w:r>
      <w:r w:rsidR="00A11FFF">
        <w:rPr>
          <w:rFonts w:ascii="Arial" w:hAnsi="Arial" w:cs="Arial"/>
          <w:sz w:val="24"/>
          <w:szCs w:val="24"/>
        </w:rPr>
        <w:t>.</w:t>
      </w:r>
      <w:r w:rsidR="0002334F">
        <w:rPr>
          <w:rFonts w:ascii="Arial" w:hAnsi="Arial" w:cs="Arial"/>
          <w:sz w:val="24"/>
          <w:szCs w:val="24"/>
        </w:rPr>
        <w:t xml:space="preserve"> </w:t>
      </w:r>
      <w:r w:rsidR="0002334F" w:rsidRPr="0002334F">
        <w:rPr>
          <w:rFonts w:ascii="Arial" w:hAnsi="Arial" w:cs="Arial"/>
          <w:sz w:val="24"/>
          <w:szCs w:val="24"/>
        </w:rPr>
        <w:t>Freire’s (1970) concept of problem</w:t>
      </w:r>
      <w:r w:rsidR="0002334F" w:rsidRPr="0002334F">
        <w:rPr>
          <w:rFonts w:ascii="Cambria Math" w:hAnsi="Cambria Math" w:cs="Cambria Math"/>
          <w:sz w:val="24"/>
          <w:szCs w:val="24"/>
        </w:rPr>
        <w:t>‑</w:t>
      </w:r>
      <w:r w:rsidR="0002334F" w:rsidRPr="0002334F">
        <w:rPr>
          <w:rFonts w:ascii="Arial" w:hAnsi="Arial" w:cs="Arial"/>
          <w:sz w:val="24"/>
          <w:szCs w:val="24"/>
        </w:rPr>
        <w:t xml:space="preserve">posing education provides a useful </w:t>
      </w:r>
      <w:r w:rsidR="00D14BE0">
        <w:rPr>
          <w:rFonts w:ascii="Arial" w:hAnsi="Arial" w:cs="Arial"/>
          <w:sz w:val="24"/>
          <w:szCs w:val="24"/>
        </w:rPr>
        <w:t>model</w:t>
      </w:r>
      <w:r w:rsidR="0002334F" w:rsidRPr="0002334F">
        <w:rPr>
          <w:rFonts w:ascii="Arial" w:hAnsi="Arial" w:cs="Arial"/>
          <w:sz w:val="24"/>
          <w:szCs w:val="24"/>
        </w:rPr>
        <w:t xml:space="preserve"> for understanding the limitations of the Nigerian education system. </w:t>
      </w:r>
      <w:r w:rsidR="005730C7">
        <w:rPr>
          <w:rFonts w:ascii="Arial" w:hAnsi="Arial" w:cs="Arial"/>
          <w:sz w:val="24"/>
          <w:szCs w:val="24"/>
        </w:rPr>
        <w:t>relying</w:t>
      </w:r>
      <w:r w:rsidR="0002334F" w:rsidRPr="0002334F">
        <w:rPr>
          <w:rFonts w:ascii="Arial" w:hAnsi="Arial" w:cs="Arial"/>
          <w:sz w:val="24"/>
          <w:szCs w:val="24"/>
        </w:rPr>
        <w:t xml:space="preserve"> on a “banking” model, in which teachers deposit knowledge into students, reinforcing </w:t>
      </w:r>
      <w:r w:rsidR="001A6E0E">
        <w:rPr>
          <w:rFonts w:ascii="Arial" w:hAnsi="Arial" w:cs="Arial"/>
          <w:sz w:val="24"/>
          <w:szCs w:val="24"/>
        </w:rPr>
        <w:t xml:space="preserve">historical </w:t>
      </w:r>
      <w:r w:rsidR="0002334F" w:rsidRPr="0002334F">
        <w:rPr>
          <w:rFonts w:ascii="Arial" w:hAnsi="Arial" w:cs="Arial"/>
          <w:sz w:val="24"/>
          <w:szCs w:val="24"/>
        </w:rPr>
        <w:t>and exclusionary structures</w:t>
      </w:r>
      <w:r w:rsidR="00AC3C51">
        <w:rPr>
          <w:rFonts w:ascii="Arial" w:hAnsi="Arial" w:cs="Arial"/>
          <w:sz w:val="24"/>
          <w:szCs w:val="24"/>
        </w:rPr>
        <w:t xml:space="preserve"> and </w:t>
      </w:r>
      <w:r w:rsidR="0002334F" w:rsidRPr="0002334F">
        <w:rPr>
          <w:rFonts w:ascii="Arial" w:hAnsi="Arial" w:cs="Arial"/>
          <w:sz w:val="24"/>
          <w:szCs w:val="24"/>
        </w:rPr>
        <w:t xml:space="preserve">existing inequalities, rather than fostering critical thinking. </w:t>
      </w:r>
      <w:r w:rsidR="00E00761">
        <w:rPr>
          <w:rFonts w:ascii="Arial" w:hAnsi="Arial" w:cs="Arial"/>
          <w:sz w:val="24"/>
          <w:szCs w:val="24"/>
        </w:rPr>
        <w:t>Using</w:t>
      </w:r>
      <w:r w:rsidR="0002334F" w:rsidRPr="0002334F">
        <w:rPr>
          <w:rFonts w:ascii="Arial" w:hAnsi="Arial" w:cs="Arial"/>
          <w:sz w:val="24"/>
          <w:szCs w:val="24"/>
        </w:rPr>
        <w:t xml:space="preserve"> a problem</w:t>
      </w:r>
      <w:r w:rsidR="0002334F" w:rsidRPr="0002334F">
        <w:rPr>
          <w:rFonts w:ascii="Cambria Math" w:hAnsi="Cambria Math" w:cs="Cambria Math"/>
          <w:sz w:val="24"/>
          <w:szCs w:val="24"/>
        </w:rPr>
        <w:t>‑</w:t>
      </w:r>
      <w:r w:rsidR="0002334F" w:rsidRPr="0002334F">
        <w:rPr>
          <w:rFonts w:ascii="Arial" w:hAnsi="Arial" w:cs="Arial"/>
          <w:sz w:val="24"/>
          <w:szCs w:val="24"/>
        </w:rPr>
        <w:t>posing model, characterised by dialogue, reflection, and co</w:t>
      </w:r>
      <w:r w:rsidR="0002334F" w:rsidRPr="0002334F">
        <w:rPr>
          <w:rFonts w:ascii="Cambria Math" w:hAnsi="Cambria Math" w:cs="Cambria Math"/>
          <w:sz w:val="24"/>
          <w:szCs w:val="24"/>
        </w:rPr>
        <w:t>‑</w:t>
      </w:r>
      <w:r w:rsidR="0002334F" w:rsidRPr="0002334F">
        <w:rPr>
          <w:rFonts w:ascii="Arial" w:hAnsi="Arial" w:cs="Arial"/>
          <w:sz w:val="24"/>
          <w:szCs w:val="24"/>
        </w:rPr>
        <w:t>creation of knowledge, could empower students to critically engage with their social realities, challenge oppressive norms, and actively participate in shaping their communities. In the Nigerian context, such a shift could help address the structural and cultural factors that restrict access to education and limit its transformative potential.</w:t>
      </w:r>
      <w:r w:rsidR="002878B1">
        <w:rPr>
          <w:rFonts w:ascii="Arial" w:hAnsi="Arial" w:cs="Arial"/>
          <w:sz w:val="24"/>
          <w:szCs w:val="24"/>
        </w:rPr>
        <w:t xml:space="preserve"> </w:t>
      </w:r>
    </w:p>
    <w:p w14:paraId="327F6F65" w14:textId="04FEE7D2" w:rsidR="00127C84" w:rsidRDefault="00D76D4D" w:rsidP="000C13FE">
      <w:pPr>
        <w:spacing w:line="360" w:lineRule="auto"/>
        <w:rPr>
          <w:rFonts w:ascii="Arial" w:hAnsi="Arial" w:cs="Arial"/>
          <w:color w:val="000000"/>
          <w:sz w:val="24"/>
          <w:szCs w:val="24"/>
          <w:shd w:val="clear" w:color="auto" w:fill="FFFFFF"/>
        </w:rPr>
      </w:pPr>
      <w:r>
        <w:rPr>
          <w:rFonts w:ascii="Arial" w:hAnsi="Arial" w:cs="Arial"/>
          <w:sz w:val="24"/>
          <w:szCs w:val="24"/>
        </w:rPr>
        <w:t xml:space="preserve">There are multiple international </w:t>
      </w:r>
      <w:r w:rsidR="00CD207B">
        <w:rPr>
          <w:rFonts w:ascii="Arial" w:hAnsi="Arial" w:cs="Arial"/>
          <w:sz w:val="24"/>
          <w:szCs w:val="24"/>
        </w:rPr>
        <w:t>instruments guiding educational rights across the globe</w:t>
      </w:r>
      <w:r w:rsidR="00630548">
        <w:rPr>
          <w:rFonts w:ascii="Arial" w:hAnsi="Arial" w:cs="Arial"/>
          <w:sz w:val="24"/>
          <w:szCs w:val="24"/>
        </w:rPr>
        <w:t xml:space="preserve">. </w:t>
      </w:r>
      <w:r w:rsidR="00CD207B">
        <w:rPr>
          <w:rFonts w:ascii="Arial" w:hAnsi="Arial" w:cs="Arial"/>
          <w:sz w:val="24"/>
          <w:szCs w:val="24"/>
        </w:rPr>
        <w:t>The United Nations Convention on the Rights of the Child</w:t>
      </w:r>
      <w:r w:rsidR="004C6A2A">
        <w:rPr>
          <w:rFonts w:ascii="Arial" w:hAnsi="Arial" w:cs="Arial"/>
          <w:sz w:val="24"/>
          <w:szCs w:val="24"/>
        </w:rPr>
        <w:t xml:space="preserve"> </w:t>
      </w:r>
      <w:r w:rsidR="004C6A2A" w:rsidRPr="004C6A2A">
        <w:rPr>
          <w:rFonts w:ascii="Arial" w:hAnsi="Arial" w:cs="Arial"/>
          <w:sz w:val="24"/>
          <w:szCs w:val="24"/>
        </w:rPr>
        <w:t>(United Nations, 1989)</w:t>
      </w:r>
      <w:r w:rsidR="004C6A2A">
        <w:rPr>
          <w:rFonts w:ascii="Arial" w:hAnsi="Arial" w:cs="Arial"/>
          <w:sz w:val="24"/>
          <w:szCs w:val="24"/>
        </w:rPr>
        <w:t xml:space="preserve"> provides a global </w:t>
      </w:r>
      <w:r w:rsidR="00630548">
        <w:rPr>
          <w:rFonts w:ascii="Arial" w:hAnsi="Arial" w:cs="Arial"/>
          <w:sz w:val="24"/>
          <w:szCs w:val="24"/>
        </w:rPr>
        <w:t xml:space="preserve">legally binding </w:t>
      </w:r>
      <w:r w:rsidR="004C6A2A">
        <w:rPr>
          <w:rFonts w:ascii="Arial" w:hAnsi="Arial" w:cs="Arial"/>
          <w:sz w:val="24"/>
          <w:szCs w:val="24"/>
        </w:rPr>
        <w:t xml:space="preserve">framework </w:t>
      </w:r>
      <w:r w:rsidR="00630548">
        <w:rPr>
          <w:rFonts w:ascii="Arial" w:hAnsi="Arial" w:cs="Arial"/>
          <w:sz w:val="24"/>
          <w:szCs w:val="24"/>
        </w:rPr>
        <w:t>setting</w:t>
      </w:r>
      <w:r w:rsidR="00630548" w:rsidRPr="00630548">
        <w:rPr>
          <w:rFonts w:ascii="Arial" w:hAnsi="Arial" w:cs="Arial"/>
          <w:sz w:val="24"/>
          <w:szCs w:val="24"/>
        </w:rPr>
        <w:t xml:space="preserve"> out the civil, political, economic, social, and cultural rights of all </w:t>
      </w:r>
      <w:r w:rsidR="00630548" w:rsidRPr="006A517A">
        <w:rPr>
          <w:rFonts w:ascii="Arial" w:hAnsi="Arial" w:cs="Arial"/>
          <w:sz w:val="24"/>
          <w:szCs w:val="24"/>
        </w:rPr>
        <w:t>children</w:t>
      </w:r>
      <w:r w:rsidR="00630548" w:rsidRPr="006A517A">
        <w:rPr>
          <w:rFonts w:ascii="Arial" w:hAnsi="Arial" w:cs="Arial"/>
          <w:sz w:val="24"/>
          <w:szCs w:val="24"/>
        </w:rPr>
        <w:t>. Its purpose is to protect children’s rights and promote their development in conditions of dignity, equality, and security</w:t>
      </w:r>
      <w:r w:rsidR="005D402E" w:rsidRPr="006A517A">
        <w:rPr>
          <w:rFonts w:ascii="Arial" w:hAnsi="Arial" w:cs="Arial"/>
          <w:sz w:val="24"/>
          <w:szCs w:val="24"/>
        </w:rPr>
        <w:t xml:space="preserve">. </w:t>
      </w:r>
      <w:r w:rsidR="005C48CF" w:rsidRPr="005C48CF">
        <w:rPr>
          <w:rFonts w:ascii="Arial" w:hAnsi="Arial" w:cs="Arial"/>
          <w:sz w:val="24"/>
          <w:szCs w:val="24"/>
        </w:rPr>
        <w:t>Articles 28 and 29 guarantee both access to and quality of education</w:t>
      </w:r>
      <w:r w:rsidR="00F9091F" w:rsidRPr="006A517A">
        <w:rPr>
          <w:rFonts w:ascii="Arial" w:hAnsi="Arial" w:cs="Arial"/>
          <w:sz w:val="24"/>
          <w:szCs w:val="24"/>
        </w:rPr>
        <w:t xml:space="preserve">. </w:t>
      </w:r>
      <w:r w:rsidR="00E468D5" w:rsidRPr="006A517A">
        <w:rPr>
          <w:rFonts w:ascii="Arial" w:hAnsi="Arial" w:cs="Arial"/>
          <w:sz w:val="24"/>
          <w:szCs w:val="24"/>
        </w:rPr>
        <w:t>Th</w:t>
      </w:r>
      <w:r w:rsidR="00235FA1" w:rsidRPr="006A517A">
        <w:rPr>
          <w:rFonts w:ascii="Arial" w:hAnsi="Arial" w:cs="Arial"/>
          <w:sz w:val="24"/>
          <w:szCs w:val="24"/>
        </w:rPr>
        <w:t>is shift away from a welfare</w:t>
      </w:r>
      <w:r w:rsidR="006A517A">
        <w:rPr>
          <w:rFonts w:ascii="Arial" w:hAnsi="Arial" w:cs="Arial"/>
          <w:sz w:val="24"/>
          <w:szCs w:val="24"/>
        </w:rPr>
        <w:t>-</w:t>
      </w:r>
      <w:r w:rsidR="00235FA1" w:rsidRPr="006A517A">
        <w:rPr>
          <w:rFonts w:ascii="Arial" w:hAnsi="Arial" w:cs="Arial"/>
          <w:sz w:val="24"/>
          <w:szCs w:val="24"/>
        </w:rPr>
        <w:t xml:space="preserve">based approach to </w:t>
      </w:r>
      <w:r w:rsidR="008C6564">
        <w:rPr>
          <w:rFonts w:ascii="Arial" w:hAnsi="Arial" w:cs="Arial"/>
          <w:sz w:val="24"/>
          <w:szCs w:val="24"/>
        </w:rPr>
        <w:t xml:space="preserve">one </w:t>
      </w:r>
      <w:r w:rsidR="00235FA1" w:rsidRPr="006A517A">
        <w:rPr>
          <w:rFonts w:ascii="Arial" w:hAnsi="Arial" w:cs="Arial"/>
          <w:sz w:val="24"/>
          <w:szCs w:val="24"/>
        </w:rPr>
        <w:t xml:space="preserve">based on </w:t>
      </w:r>
      <w:r w:rsidR="00B029A3" w:rsidRPr="006A517A">
        <w:rPr>
          <w:rFonts w:ascii="Arial" w:hAnsi="Arial" w:cs="Arial"/>
          <w:sz w:val="24"/>
          <w:szCs w:val="24"/>
        </w:rPr>
        <w:t>children’s rights</w:t>
      </w:r>
      <w:r w:rsidR="00B029A3" w:rsidRPr="006A517A">
        <w:rPr>
          <w:rFonts w:ascii="Arial" w:hAnsi="Arial" w:cs="Arial"/>
          <w:color w:val="000000"/>
          <w:sz w:val="24"/>
          <w:szCs w:val="24"/>
          <w:shd w:val="clear" w:color="auto" w:fill="FFFFFF"/>
        </w:rPr>
        <w:t> </w:t>
      </w:r>
      <w:r w:rsidR="006A517A" w:rsidRPr="006A517A">
        <w:rPr>
          <w:rFonts w:ascii="Arial" w:hAnsi="Arial" w:cs="Arial"/>
          <w:color w:val="000000"/>
          <w:sz w:val="24"/>
          <w:szCs w:val="24"/>
          <w:shd w:val="clear" w:color="auto" w:fill="FFFFFF"/>
        </w:rPr>
        <w:t xml:space="preserve">enforces a child’s </w:t>
      </w:r>
      <w:r w:rsidR="00B029A3" w:rsidRPr="006A517A">
        <w:rPr>
          <w:rFonts w:ascii="Arial" w:hAnsi="Arial" w:cs="Arial"/>
          <w:color w:val="000000"/>
          <w:sz w:val="24"/>
          <w:szCs w:val="24"/>
          <w:shd w:val="clear" w:color="auto" w:fill="FFFFFF"/>
        </w:rPr>
        <w:t>entitle</w:t>
      </w:r>
      <w:r w:rsidR="006A517A" w:rsidRPr="006A517A">
        <w:rPr>
          <w:rFonts w:ascii="Arial" w:hAnsi="Arial" w:cs="Arial"/>
          <w:color w:val="000000"/>
          <w:sz w:val="24"/>
          <w:szCs w:val="24"/>
          <w:shd w:val="clear" w:color="auto" w:fill="FFFFFF"/>
        </w:rPr>
        <w:t>ment</w:t>
      </w:r>
      <w:r w:rsidR="00B029A3" w:rsidRPr="006A517A">
        <w:rPr>
          <w:rFonts w:ascii="Arial" w:hAnsi="Arial" w:cs="Arial"/>
          <w:color w:val="000000"/>
          <w:sz w:val="24"/>
          <w:szCs w:val="24"/>
          <w:shd w:val="clear" w:color="auto" w:fill="FFFFFF"/>
        </w:rPr>
        <w:t xml:space="preserve"> to dignity and respect, rather than </w:t>
      </w:r>
      <w:r w:rsidR="0040724B">
        <w:rPr>
          <w:rFonts w:ascii="Arial" w:hAnsi="Arial" w:cs="Arial"/>
          <w:color w:val="000000"/>
          <w:sz w:val="24"/>
          <w:szCs w:val="24"/>
          <w:shd w:val="clear" w:color="auto" w:fill="FFFFFF"/>
        </w:rPr>
        <w:t xml:space="preserve">identifying them </w:t>
      </w:r>
      <w:r w:rsidR="00B029A3" w:rsidRPr="006A517A">
        <w:rPr>
          <w:rFonts w:ascii="Arial" w:hAnsi="Arial" w:cs="Arial"/>
          <w:color w:val="000000"/>
          <w:sz w:val="24"/>
          <w:szCs w:val="24"/>
          <w:shd w:val="clear" w:color="auto" w:fill="FFFFFF"/>
        </w:rPr>
        <w:t>as victims of harm. A welfare-based approach carries greater risks that a child’s interests will be interpreted to suit the convenience of their parents or society</w:t>
      </w:r>
      <w:r w:rsidR="00941D4B">
        <w:rPr>
          <w:rFonts w:ascii="Arial" w:hAnsi="Arial" w:cs="Arial"/>
          <w:color w:val="000000"/>
          <w:sz w:val="24"/>
          <w:szCs w:val="24"/>
          <w:shd w:val="clear" w:color="auto" w:fill="FFFFFF"/>
        </w:rPr>
        <w:t xml:space="preserve">. </w:t>
      </w:r>
      <w:r w:rsidR="00EB7102">
        <w:rPr>
          <w:rFonts w:ascii="Arial" w:hAnsi="Arial" w:cs="Arial"/>
          <w:color w:val="000000"/>
          <w:sz w:val="24"/>
          <w:szCs w:val="24"/>
          <w:shd w:val="clear" w:color="auto" w:fill="FFFFFF"/>
        </w:rPr>
        <w:t>However, the UNCRC has faced criticism over its</w:t>
      </w:r>
      <w:r w:rsidR="009E6ED7" w:rsidRPr="009E6ED7">
        <w:rPr>
          <w:rFonts w:ascii="Arial" w:hAnsi="Arial" w:cs="Arial"/>
          <w:color w:val="000000"/>
          <w:sz w:val="24"/>
          <w:szCs w:val="24"/>
          <w:shd w:val="clear" w:color="auto" w:fill="FFFFFF"/>
        </w:rPr>
        <w:t xml:space="preserve"> Western liberal </w:t>
      </w:r>
      <w:r w:rsidR="009E6ED7">
        <w:rPr>
          <w:rFonts w:ascii="Arial" w:hAnsi="Arial" w:cs="Arial"/>
          <w:color w:val="000000"/>
          <w:sz w:val="24"/>
          <w:szCs w:val="24"/>
          <w:shd w:val="clear" w:color="auto" w:fill="FFFFFF"/>
        </w:rPr>
        <w:t>roots</w:t>
      </w:r>
      <w:r w:rsidR="009E6ED7" w:rsidRPr="009E6ED7">
        <w:rPr>
          <w:rFonts w:ascii="Arial" w:hAnsi="Arial" w:cs="Arial"/>
          <w:color w:val="000000"/>
          <w:sz w:val="24"/>
          <w:szCs w:val="24"/>
          <w:shd w:val="clear" w:color="auto" w:fill="FFFFFF"/>
        </w:rPr>
        <w:t>, it emphasises individual autonomy and rights</w:t>
      </w:r>
      <w:r w:rsidR="00C2534B">
        <w:rPr>
          <w:rFonts w:ascii="Arial" w:hAnsi="Arial" w:cs="Arial"/>
          <w:color w:val="000000"/>
          <w:sz w:val="24"/>
          <w:szCs w:val="24"/>
          <w:shd w:val="clear" w:color="auto" w:fill="FFFFFF"/>
        </w:rPr>
        <w:t xml:space="preserve"> </w:t>
      </w:r>
      <w:r w:rsidR="009E6ED7" w:rsidRPr="009E6ED7">
        <w:rPr>
          <w:rFonts w:ascii="Arial" w:hAnsi="Arial" w:cs="Arial"/>
          <w:color w:val="000000"/>
          <w:sz w:val="24"/>
          <w:szCs w:val="24"/>
          <w:shd w:val="clear" w:color="auto" w:fill="FFFFFF"/>
        </w:rPr>
        <w:t>based understandings of childhood that may not correspond with the</w:t>
      </w:r>
      <w:r w:rsidR="00897E1F">
        <w:rPr>
          <w:rFonts w:ascii="Arial" w:hAnsi="Arial" w:cs="Arial"/>
          <w:color w:val="000000"/>
          <w:sz w:val="24"/>
          <w:szCs w:val="24"/>
          <w:shd w:val="clear" w:color="auto" w:fill="FFFFFF"/>
        </w:rPr>
        <w:t xml:space="preserve"> </w:t>
      </w:r>
      <w:r w:rsidR="009E6ED7" w:rsidRPr="009E6ED7">
        <w:rPr>
          <w:rFonts w:ascii="Arial" w:hAnsi="Arial" w:cs="Arial"/>
          <w:color w:val="000000"/>
          <w:sz w:val="24"/>
          <w:szCs w:val="24"/>
          <w:shd w:val="clear" w:color="auto" w:fill="FFFFFF"/>
        </w:rPr>
        <w:t>perspectives prevalent in many African societies</w:t>
      </w:r>
      <w:r w:rsidR="00897E1F">
        <w:rPr>
          <w:rFonts w:ascii="Arial" w:hAnsi="Arial" w:cs="Arial"/>
          <w:color w:val="000000"/>
          <w:sz w:val="24"/>
          <w:szCs w:val="24"/>
          <w:shd w:val="clear" w:color="auto" w:fill="FFFFFF"/>
        </w:rPr>
        <w:t xml:space="preserve"> </w:t>
      </w:r>
      <w:r w:rsidR="00897E1F" w:rsidRPr="00747FC6">
        <w:rPr>
          <w:rFonts w:ascii="Arial" w:hAnsi="Arial" w:cs="Arial"/>
          <w:color w:val="000000"/>
          <w:sz w:val="24"/>
          <w:szCs w:val="24"/>
          <w:shd w:val="clear" w:color="auto" w:fill="FFFFFF"/>
        </w:rPr>
        <w:t>(Driscoll, 2022)</w:t>
      </w:r>
      <w:r w:rsidR="00897E1F">
        <w:rPr>
          <w:rFonts w:ascii="Arial" w:hAnsi="Arial" w:cs="Arial"/>
          <w:color w:val="000000"/>
          <w:sz w:val="24"/>
          <w:szCs w:val="24"/>
          <w:shd w:val="clear" w:color="auto" w:fill="FFFFFF"/>
        </w:rPr>
        <w:t>.</w:t>
      </w:r>
      <w:r w:rsidR="00897E1F">
        <w:rPr>
          <w:rFonts w:ascii="Arial" w:hAnsi="Arial" w:cs="Arial"/>
          <w:color w:val="000000"/>
          <w:sz w:val="24"/>
          <w:szCs w:val="24"/>
          <w:shd w:val="clear" w:color="auto" w:fill="FFFFFF"/>
        </w:rPr>
        <w:t xml:space="preserve"> </w:t>
      </w:r>
      <w:r w:rsidR="0078449E">
        <w:rPr>
          <w:rFonts w:ascii="Arial" w:hAnsi="Arial" w:cs="Arial"/>
          <w:color w:val="000000"/>
          <w:sz w:val="24"/>
          <w:szCs w:val="24"/>
          <w:shd w:val="clear" w:color="auto" w:fill="FFFFFF"/>
        </w:rPr>
        <w:t xml:space="preserve">This can be demonstrated by the UNCRC’s focus on child autonomy </w:t>
      </w:r>
      <w:r w:rsidR="004B2E97">
        <w:rPr>
          <w:rFonts w:ascii="Arial" w:hAnsi="Arial" w:cs="Arial"/>
          <w:color w:val="000000"/>
          <w:sz w:val="24"/>
          <w:szCs w:val="24"/>
          <w:shd w:val="clear" w:color="auto" w:fill="FFFFFF"/>
        </w:rPr>
        <w:t xml:space="preserve">being in direct </w:t>
      </w:r>
      <w:r w:rsidR="000B7D10">
        <w:rPr>
          <w:rFonts w:ascii="Arial" w:hAnsi="Arial" w:cs="Arial"/>
          <w:color w:val="000000"/>
          <w:sz w:val="24"/>
          <w:szCs w:val="24"/>
          <w:shd w:val="clear" w:color="auto" w:fill="FFFFFF"/>
        </w:rPr>
        <w:t xml:space="preserve">contrast to Nigeria’s ideas </w:t>
      </w:r>
      <w:r w:rsidR="00941D4B">
        <w:rPr>
          <w:rFonts w:ascii="Arial" w:hAnsi="Arial" w:cs="Arial"/>
          <w:color w:val="000000"/>
          <w:sz w:val="24"/>
          <w:szCs w:val="24"/>
          <w:shd w:val="clear" w:color="auto" w:fill="FFFFFF"/>
        </w:rPr>
        <w:t xml:space="preserve">of children </w:t>
      </w:r>
      <w:r w:rsidR="00EE1A22" w:rsidRPr="00EE1A22">
        <w:rPr>
          <w:rFonts w:ascii="Arial" w:hAnsi="Arial" w:cs="Arial"/>
          <w:color w:val="000000"/>
          <w:sz w:val="24"/>
          <w:szCs w:val="24"/>
          <w:shd w:val="clear" w:color="auto" w:fill="FFFFFF"/>
        </w:rPr>
        <w:t>situated within an interconnected social structure where family, community, and collective responsibilities are central to their identity and development</w:t>
      </w:r>
      <w:r w:rsidR="001A0C64">
        <w:rPr>
          <w:rFonts w:ascii="Arial" w:hAnsi="Arial" w:cs="Arial"/>
          <w:color w:val="000000"/>
          <w:sz w:val="24"/>
          <w:szCs w:val="24"/>
          <w:shd w:val="clear" w:color="auto" w:fill="FFFFFF"/>
        </w:rPr>
        <w:t xml:space="preserve"> </w:t>
      </w:r>
      <w:r w:rsidR="001A0C64" w:rsidRPr="001A0C64">
        <w:rPr>
          <w:rFonts w:ascii="Arial" w:hAnsi="Arial" w:cs="Arial"/>
          <w:color w:val="000000"/>
          <w:sz w:val="24"/>
          <w:szCs w:val="24"/>
          <w:shd w:val="clear" w:color="auto" w:fill="FFFFFF"/>
        </w:rPr>
        <w:t>(Tendai Charity Nhenga-Chakarisa, 2024)</w:t>
      </w:r>
      <w:r w:rsidR="00EE1A22" w:rsidRPr="00EE1A22">
        <w:rPr>
          <w:rFonts w:ascii="Arial" w:hAnsi="Arial" w:cs="Arial"/>
          <w:color w:val="000000"/>
          <w:sz w:val="24"/>
          <w:szCs w:val="24"/>
          <w:shd w:val="clear" w:color="auto" w:fill="FFFFFF"/>
        </w:rPr>
        <w:t>.</w:t>
      </w:r>
      <w:r w:rsidR="00941D4B">
        <w:rPr>
          <w:rFonts w:ascii="Arial" w:hAnsi="Arial" w:cs="Arial"/>
          <w:color w:val="000000"/>
          <w:sz w:val="24"/>
          <w:szCs w:val="24"/>
          <w:shd w:val="clear" w:color="auto" w:fill="FFFFFF"/>
        </w:rPr>
        <w:t xml:space="preserve"> </w:t>
      </w:r>
    </w:p>
    <w:p w14:paraId="7D72A505" w14:textId="314C5E26" w:rsidR="00AE2C9C" w:rsidRDefault="00AE2C9C" w:rsidP="00AE2C9C">
      <w:pPr>
        <w:pStyle w:val="NormalWeb"/>
        <w:spacing w:line="360" w:lineRule="auto"/>
        <w:rPr>
          <w:rFonts w:ascii="Arial" w:hAnsi="Arial" w:cs="Arial"/>
          <w:color w:val="000000"/>
          <w:shd w:val="clear" w:color="auto" w:fill="FFFFFF"/>
        </w:rPr>
      </w:pPr>
      <w:r w:rsidRPr="00AE2C9C">
        <w:rPr>
          <w:rFonts w:ascii="Arial" w:hAnsi="Arial" w:cs="Arial"/>
          <w:color w:val="000000"/>
          <w:shd w:val="clear" w:color="auto" w:fill="FFFFFF"/>
        </w:rPr>
        <w:t>In response to the Western</w:t>
      </w:r>
      <w:r w:rsidR="000F7BBE">
        <w:rPr>
          <w:rFonts w:ascii="Arial" w:hAnsi="Arial" w:cs="Arial"/>
          <w:color w:val="000000"/>
          <w:shd w:val="clear" w:color="auto" w:fill="FFFFFF"/>
        </w:rPr>
        <w:t xml:space="preserve"> </w:t>
      </w:r>
      <w:r w:rsidRPr="00AE2C9C">
        <w:rPr>
          <w:rFonts w:ascii="Arial" w:hAnsi="Arial" w:cs="Arial"/>
          <w:color w:val="000000"/>
          <w:shd w:val="clear" w:color="auto" w:fill="FFFFFF"/>
        </w:rPr>
        <w:t xml:space="preserve">orientation of the UNCRC and the limited African representation in its development, the African Union </w:t>
      </w:r>
      <w:r w:rsidR="004E440B">
        <w:rPr>
          <w:rFonts w:ascii="Arial" w:hAnsi="Arial" w:cs="Arial"/>
          <w:color w:val="000000"/>
          <w:shd w:val="clear" w:color="auto" w:fill="FFFFFF"/>
        </w:rPr>
        <w:t>(</w:t>
      </w:r>
      <w:r w:rsidR="004E440B" w:rsidRPr="004E440B">
        <w:rPr>
          <w:rFonts w:ascii="Arial" w:hAnsi="Arial" w:cs="Arial"/>
          <w:color w:val="000000"/>
          <w:shd w:val="clear" w:color="auto" w:fill="FFFFFF"/>
        </w:rPr>
        <w:t>1990)</w:t>
      </w:r>
      <w:r w:rsidR="004E440B">
        <w:rPr>
          <w:rFonts w:ascii="Arial" w:hAnsi="Arial" w:cs="Arial"/>
          <w:color w:val="000000"/>
          <w:shd w:val="clear" w:color="auto" w:fill="FFFFFF"/>
        </w:rPr>
        <w:t xml:space="preserve"> </w:t>
      </w:r>
      <w:r w:rsidRPr="00AE2C9C">
        <w:rPr>
          <w:rFonts w:ascii="Arial" w:hAnsi="Arial" w:cs="Arial"/>
          <w:color w:val="000000"/>
          <w:shd w:val="clear" w:color="auto" w:fill="FFFFFF"/>
        </w:rPr>
        <w:t>introduced the African Charter on the Rights and Welfare of the Child (ACRWC). This continent</w:t>
      </w:r>
      <w:r w:rsidR="00F87A70">
        <w:rPr>
          <w:rFonts w:ascii="Arial" w:hAnsi="Arial" w:cs="Arial"/>
          <w:color w:val="000000"/>
          <w:shd w:val="clear" w:color="auto" w:fill="FFFFFF"/>
        </w:rPr>
        <w:t xml:space="preserve"> </w:t>
      </w:r>
      <w:r w:rsidRPr="00AE2C9C">
        <w:rPr>
          <w:rFonts w:ascii="Arial" w:hAnsi="Arial" w:cs="Arial"/>
          <w:color w:val="000000"/>
          <w:shd w:val="clear" w:color="auto" w:fill="FFFFFF"/>
        </w:rPr>
        <w:t>specific framework is grounded in African historical, cultural, and social contexts, balancing children’s rights with their responsibilities, and explicitly addressing issues such as child exploitation and child marriage (Adu-Gyamfi &amp; Keating, 2013). Nigeria ratified the ACRWC in 2001 and subsequently enacted the Child’s Rights Act (Government of Nigeria, 2003) to domesticate the key provisions of both the UNCRC and the ACRWC. However, the Act has so far been adopted by only 24 of Nigeria’s 36 states, limiting its nationwide impact.</w:t>
      </w:r>
    </w:p>
    <w:p w14:paraId="756069D0" w14:textId="6A38444D" w:rsidR="00146843" w:rsidRDefault="00D25B2E" w:rsidP="00AE2C9C">
      <w:pPr>
        <w:pStyle w:val="NormalWeb"/>
        <w:spacing w:line="360" w:lineRule="auto"/>
        <w:rPr>
          <w:rFonts w:ascii="Arial" w:hAnsi="Arial" w:cs="Arial"/>
          <w:color w:val="000000"/>
          <w:shd w:val="clear" w:color="auto" w:fill="FFFFFF"/>
        </w:rPr>
      </w:pPr>
      <w:r>
        <w:rPr>
          <w:rFonts w:ascii="Arial" w:hAnsi="Arial" w:cs="Arial"/>
          <w:color w:val="000000"/>
          <w:shd w:val="clear" w:color="auto" w:fill="FFFFFF"/>
        </w:rPr>
        <w:t xml:space="preserve">This </w:t>
      </w:r>
      <w:r w:rsidR="00215B20">
        <w:rPr>
          <w:rFonts w:ascii="Arial" w:hAnsi="Arial" w:cs="Arial"/>
          <w:color w:val="000000"/>
          <w:shd w:val="clear" w:color="auto" w:fill="FFFFFF"/>
        </w:rPr>
        <w:t xml:space="preserve">has severely impacted on Nigeria’s ability to reach </w:t>
      </w:r>
      <w:r w:rsidR="009C46CB">
        <w:rPr>
          <w:rFonts w:ascii="Arial" w:hAnsi="Arial" w:cs="Arial"/>
          <w:color w:val="000000"/>
          <w:shd w:val="clear" w:color="auto" w:fill="FFFFFF"/>
        </w:rPr>
        <w:t xml:space="preserve">The United Nations (2022) </w:t>
      </w:r>
      <w:r w:rsidR="00215B20">
        <w:rPr>
          <w:rFonts w:ascii="Arial" w:hAnsi="Arial" w:cs="Arial"/>
          <w:color w:val="000000"/>
          <w:shd w:val="clear" w:color="auto" w:fill="FFFFFF"/>
        </w:rPr>
        <w:t>Sustainable Development Goal</w:t>
      </w:r>
      <w:r w:rsidR="009C46CB">
        <w:rPr>
          <w:rFonts w:ascii="Arial" w:hAnsi="Arial" w:cs="Arial"/>
          <w:color w:val="000000"/>
          <w:shd w:val="clear" w:color="auto" w:fill="FFFFFF"/>
        </w:rPr>
        <w:t xml:space="preserve"> (SDG)</w:t>
      </w:r>
      <w:r w:rsidR="005D7F1C" w:rsidRPr="005D7F1C">
        <w:t xml:space="preserve"> </w:t>
      </w:r>
      <w:r w:rsidR="009C46CB" w:rsidRPr="00F227B2">
        <w:rPr>
          <w:rFonts w:ascii="Arial" w:hAnsi="Arial" w:cs="Arial"/>
        </w:rPr>
        <w:t>4</w:t>
      </w:r>
      <w:r w:rsidR="005D7F1C">
        <w:rPr>
          <w:rFonts w:ascii="Arial" w:hAnsi="Arial" w:cs="Arial"/>
          <w:color w:val="000000"/>
          <w:shd w:val="clear" w:color="auto" w:fill="FFFFFF"/>
        </w:rPr>
        <w:t xml:space="preserve"> </w:t>
      </w:r>
      <w:r w:rsidR="00B80101">
        <w:rPr>
          <w:rFonts w:ascii="Arial" w:hAnsi="Arial" w:cs="Arial"/>
          <w:color w:val="000000"/>
          <w:shd w:val="clear" w:color="auto" w:fill="FFFFFF"/>
        </w:rPr>
        <w:t>“</w:t>
      </w:r>
      <w:r w:rsidR="00B80101" w:rsidRPr="00B80101">
        <w:rPr>
          <w:rFonts w:ascii="Arial" w:hAnsi="Arial" w:cs="Arial"/>
          <w:color w:val="000000"/>
          <w:shd w:val="clear" w:color="auto" w:fill="FFFFFF"/>
        </w:rPr>
        <w:t>Ensure inclusive and equitable quality education and promote lifelong learning opportunities for all</w:t>
      </w:r>
      <w:r w:rsidR="00B80101">
        <w:rPr>
          <w:rFonts w:ascii="Arial" w:hAnsi="Arial" w:cs="Arial"/>
          <w:color w:val="000000"/>
          <w:shd w:val="clear" w:color="auto" w:fill="FFFFFF"/>
        </w:rPr>
        <w:t xml:space="preserve">” </w:t>
      </w:r>
      <w:r w:rsidR="00BE70EC" w:rsidRPr="00BE70EC">
        <w:rPr>
          <w:rFonts w:ascii="Arial" w:hAnsi="Arial" w:cs="Arial"/>
          <w:color w:val="000000"/>
          <w:shd w:val="clear" w:color="auto" w:fill="FFFFFF"/>
        </w:rPr>
        <w:t>ActionAid (2020)</w:t>
      </w:r>
      <w:r w:rsidR="00BE70EC">
        <w:rPr>
          <w:rFonts w:ascii="Arial" w:hAnsi="Arial" w:cs="Arial"/>
          <w:color w:val="000000"/>
          <w:shd w:val="clear" w:color="auto" w:fill="FFFFFF"/>
        </w:rPr>
        <w:t xml:space="preserve"> found that in order for Nigeria to meet SDG 4 by 2030 it must increase its spending on education to 20</w:t>
      </w:r>
      <w:r w:rsidR="009C46CB">
        <w:rPr>
          <w:rFonts w:ascii="Arial" w:hAnsi="Arial" w:cs="Arial"/>
          <w:color w:val="000000"/>
          <w:shd w:val="clear" w:color="auto" w:fill="FFFFFF"/>
        </w:rPr>
        <w:t>% of the national budget</w:t>
      </w:r>
      <w:r w:rsidR="00383E65">
        <w:rPr>
          <w:rFonts w:ascii="Arial" w:hAnsi="Arial" w:cs="Arial"/>
          <w:color w:val="000000"/>
          <w:shd w:val="clear" w:color="auto" w:fill="FFFFFF"/>
        </w:rPr>
        <w:t>, with an emphasis o</w:t>
      </w:r>
      <w:r w:rsidR="00F87A70">
        <w:rPr>
          <w:rFonts w:ascii="Arial" w:hAnsi="Arial" w:cs="Arial"/>
          <w:color w:val="000000"/>
          <w:shd w:val="clear" w:color="auto" w:fill="FFFFFF"/>
        </w:rPr>
        <w:t>n</w:t>
      </w:r>
      <w:r w:rsidR="00383E65">
        <w:rPr>
          <w:rFonts w:ascii="Arial" w:hAnsi="Arial" w:cs="Arial"/>
          <w:color w:val="000000"/>
          <w:shd w:val="clear" w:color="auto" w:fill="FFFFFF"/>
        </w:rPr>
        <w:t xml:space="preserve"> increasing that budget by </w:t>
      </w:r>
      <w:r w:rsidR="00FB0478">
        <w:rPr>
          <w:rFonts w:ascii="Arial" w:hAnsi="Arial" w:cs="Arial"/>
          <w:color w:val="000000"/>
          <w:shd w:val="clear" w:color="auto" w:fill="FFFFFF"/>
        </w:rPr>
        <w:t>improving domestic revenue.</w:t>
      </w:r>
      <w:r w:rsidR="00EC08F5">
        <w:rPr>
          <w:rFonts w:ascii="Arial" w:hAnsi="Arial" w:cs="Arial"/>
          <w:color w:val="000000"/>
          <w:shd w:val="clear" w:color="auto" w:fill="FFFFFF"/>
        </w:rPr>
        <w:t xml:space="preserve"> </w:t>
      </w:r>
      <w:r w:rsidR="004E6B3E">
        <w:rPr>
          <w:rFonts w:ascii="Arial" w:hAnsi="Arial" w:cs="Arial"/>
          <w:color w:val="000000"/>
          <w:shd w:val="clear" w:color="auto" w:fill="FFFFFF"/>
        </w:rPr>
        <w:t xml:space="preserve">Further emphasising that </w:t>
      </w:r>
      <w:r w:rsidR="005F4AFC">
        <w:rPr>
          <w:rFonts w:ascii="Arial" w:hAnsi="Arial" w:cs="Arial"/>
          <w:color w:val="000000"/>
          <w:shd w:val="clear" w:color="auto" w:fill="FFFFFF"/>
        </w:rPr>
        <w:t xml:space="preserve">improvements cannot be made purely through </w:t>
      </w:r>
      <w:r w:rsidR="00943115">
        <w:rPr>
          <w:rFonts w:ascii="Arial" w:hAnsi="Arial" w:cs="Arial"/>
          <w:color w:val="000000"/>
          <w:shd w:val="clear" w:color="auto" w:fill="FFFFFF"/>
        </w:rPr>
        <w:t xml:space="preserve">policy </w:t>
      </w:r>
      <w:r w:rsidR="00AE35CB">
        <w:rPr>
          <w:rFonts w:ascii="Arial" w:hAnsi="Arial" w:cs="Arial"/>
          <w:color w:val="000000"/>
          <w:shd w:val="clear" w:color="auto" w:fill="FFFFFF"/>
        </w:rPr>
        <w:t xml:space="preserve">frameworks </w:t>
      </w:r>
      <w:r w:rsidR="00E86570">
        <w:rPr>
          <w:rFonts w:ascii="Arial" w:hAnsi="Arial" w:cs="Arial"/>
          <w:color w:val="000000"/>
          <w:shd w:val="clear" w:color="auto" w:fill="FFFFFF"/>
        </w:rPr>
        <w:t xml:space="preserve">but must stem from </w:t>
      </w:r>
      <w:r w:rsidR="0076130B" w:rsidRPr="0076130B">
        <w:rPr>
          <w:rFonts w:ascii="Arial" w:hAnsi="Arial" w:cs="Arial"/>
          <w:color w:val="000000"/>
          <w:shd w:val="clear" w:color="auto" w:fill="FFFFFF"/>
        </w:rPr>
        <w:t>effective governance, and the mobilisation of domestic resources</w:t>
      </w:r>
      <w:r w:rsidR="00A954E7">
        <w:rPr>
          <w:rFonts w:ascii="Arial" w:hAnsi="Arial" w:cs="Arial"/>
          <w:color w:val="000000"/>
          <w:shd w:val="clear" w:color="auto" w:fill="FFFFFF"/>
        </w:rPr>
        <w:t>.</w:t>
      </w:r>
      <w:r w:rsidR="0076130B" w:rsidRPr="0076130B">
        <w:rPr>
          <w:rFonts w:ascii="Arial" w:hAnsi="Arial" w:cs="Arial"/>
          <w:color w:val="000000"/>
          <w:shd w:val="clear" w:color="auto" w:fill="FFFFFF"/>
        </w:rPr>
        <w:t xml:space="preserve"> </w:t>
      </w:r>
    </w:p>
    <w:p w14:paraId="501EF9EB" w14:textId="77777777" w:rsidR="00B51E1C" w:rsidRDefault="00496844" w:rsidP="00E97787">
      <w:pPr>
        <w:pStyle w:val="NormalWeb"/>
        <w:spacing w:line="360" w:lineRule="auto"/>
        <w:rPr>
          <w:rFonts w:ascii="Arial" w:hAnsi="Arial" w:cs="Arial"/>
          <w:color w:val="000000"/>
          <w:shd w:val="clear" w:color="auto" w:fill="FFFFFF"/>
        </w:rPr>
      </w:pPr>
      <w:r w:rsidRPr="00496844">
        <w:rPr>
          <w:rFonts w:ascii="Arial" w:hAnsi="Arial" w:cs="Arial"/>
          <w:color w:val="000000"/>
          <w:shd w:val="clear" w:color="auto" w:fill="FFFFFF"/>
        </w:rPr>
        <w:t>A review by the Federal Ministry of Education (2025) assessed Nigeria’s progress in meeting the six goals of the Education for All (UNESCO, 2020) framework, noting “strides and milestones” in implementing the required reforms. However, UNESCO (2022) reported that Nigeria has made limited progress toward almost every EFA target, highlighting the persistent gap between international commitments</w:t>
      </w:r>
      <w:r w:rsidR="00A954E7">
        <w:rPr>
          <w:rFonts w:ascii="Arial" w:hAnsi="Arial" w:cs="Arial"/>
          <w:color w:val="000000"/>
          <w:shd w:val="clear" w:color="auto" w:fill="FFFFFF"/>
        </w:rPr>
        <w:t xml:space="preserve"> </w:t>
      </w:r>
      <w:r w:rsidRPr="00496844">
        <w:rPr>
          <w:rFonts w:ascii="Arial" w:hAnsi="Arial" w:cs="Arial"/>
          <w:color w:val="000000"/>
          <w:shd w:val="clear" w:color="auto" w:fill="FFFFFF"/>
        </w:rPr>
        <w:t>spanning the UNCRC, ACRWC, and SDG 4</w:t>
      </w:r>
      <w:r w:rsidR="00B51E1C">
        <w:rPr>
          <w:rFonts w:ascii="Arial" w:hAnsi="Arial" w:cs="Arial"/>
          <w:color w:val="000000"/>
          <w:shd w:val="clear" w:color="auto" w:fill="FFFFFF"/>
        </w:rPr>
        <w:t xml:space="preserve">, </w:t>
      </w:r>
      <w:r w:rsidRPr="00496844">
        <w:rPr>
          <w:rFonts w:ascii="Arial" w:hAnsi="Arial" w:cs="Arial"/>
          <w:color w:val="000000"/>
          <w:shd w:val="clear" w:color="auto" w:fill="FFFFFF"/>
        </w:rPr>
        <w:t xml:space="preserve">and the realities of equitable, quality education </w:t>
      </w:r>
      <w:r w:rsidR="00B51E1C">
        <w:rPr>
          <w:rFonts w:ascii="Arial" w:hAnsi="Arial" w:cs="Arial"/>
          <w:color w:val="000000"/>
          <w:shd w:val="clear" w:color="auto" w:fill="FFFFFF"/>
        </w:rPr>
        <w:t>for children</w:t>
      </w:r>
      <w:r w:rsidRPr="00496844">
        <w:rPr>
          <w:rFonts w:ascii="Arial" w:hAnsi="Arial" w:cs="Arial"/>
          <w:color w:val="000000"/>
          <w:shd w:val="clear" w:color="auto" w:fill="FFFFFF"/>
        </w:rPr>
        <w:t xml:space="preserve">. This demonstrates that, despite a comprehensive network of global and regional </w:t>
      </w:r>
      <w:r w:rsidR="00B51E1C">
        <w:rPr>
          <w:rFonts w:ascii="Arial" w:hAnsi="Arial" w:cs="Arial"/>
          <w:color w:val="000000"/>
          <w:shd w:val="clear" w:color="auto" w:fill="FFFFFF"/>
        </w:rPr>
        <w:t>policies</w:t>
      </w:r>
      <w:r w:rsidRPr="00496844">
        <w:rPr>
          <w:rFonts w:ascii="Arial" w:hAnsi="Arial" w:cs="Arial"/>
          <w:color w:val="000000"/>
          <w:shd w:val="clear" w:color="auto" w:fill="FFFFFF"/>
        </w:rPr>
        <w:t xml:space="preserve"> advocating for children’s educational rights, translating these frameworks into practical, nationwide improvements remains a significant challenge.</w:t>
      </w:r>
    </w:p>
    <w:p w14:paraId="0D95C91C" w14:textId="66A7D839" w:rsidR="00587002" w:rsidRDefault="006154ED" w:rsidP="00E97787">
      <w:pPr>
        <w:pStyle w:val="NormalWeb"/>
        <w:spacing w:line="360" w:lineRule="auto"/>
        <w:rPr>
          <w:rFonts w:ascii="Arial" w:hAnsi="Arial" w:cs="Arial"/>
          <w:color w:val="000000"/>
          <w:shd w:val="clear" w:color="auto" w:fill="FFFFFF"/>
        </w:rPr>
      </w:pPr>
      <w:r w:rsidRPr="006154ED">
        <w:rPr>
          <w:rFonts w:ascii="Arial" w:hAnsi="Arial" w:cs="Arial"/>
          <w:color w:val="000000"/>
          <w:shd w:val="clear" w:color="auto" w:fill="FFFFFF"/>
        </w:rPr>
        <w:t>It is crucial that educational transformation in Nigeria is driven by domestic reforms rather than reliance on foreign aid, which is often lost to corruption and can undermine the incentive to develop local resources, infrastructure, and industries. As Edet, Ebong, and Nwachi (2024) argue, while foreign aid has provided support to certain sectors, Nigeria must prioritise the mobilisation and strengthening of its own internal resources. External aid should serve only as a supplementary measure, not a substitute for sustainable, homegrown development initiatives.</w:t>
      </w:r>
    </w:p>
    <w:p w14:paraId="7CA25761" w14:textId="23585508" w:rsidR="003C206F" w:rsidRPr="003C206F" w:rsidRDefault="003C206F" w:rsidP="003C206F">
      <w:pPr>
        <w:pStyle w:val="NormalWeb"/>
        <w:spacing w:line="360" w:lineRule="auto"/>
        <w:rPr>
          <w:rFonts w:ascii="Arial" w:hAnsi="Arial" w:cs="Arial"/>
          <w:color w:val="000000"/>
          <w:shd w:val="clear" w:color="auto" w:fill="FFFFFF"/>
        </w:rPr>
      </w:pPr>
      <w:r w:rsidRPr="003C206F">
        <w:rPr>
          <w:rFonts w:ascii="Arial" w:hAnsi="Arial" w:cs="Arial"/>
          <w:color w:val="000000"/>
          <w:shd w:val="clear" w:color="auto" w:fill="FFFFFF"/>
        </w:rPr>
        <w:t xml:space="preserve">In conclusion, international policy frameworks such as the UNCRC, the ACRWC, SDG 4 and the EFA </w:t>
      </w:r>
      <w:r w:rsidR="007070B5">
        <w:rPr>
          <w:rFonts w:ascii="Arial" w:hAnsi="Arial" w:cs="Arial"/>
          <w:color w:val="000000"/>
          <w:shd w:val="clear" w:color="auto" w:fill="FFFFFF"/>
        </w:rPr>
        <w:t>demonstrate</w:t>
      </w:r>
      <w:r w:rsidRPr="003C206F">
        <w:rPr>
          <w:rFonts w:ascii="Arial" w:hAnsi="Arial" w:cs="Arial"/>
          <w:color w:val="000000"/>
          <w:shd w:val="clear" w:color="auto" w:fill="FFFFFF"/>
        </w:rPr>
        <w:t xml:space="preserve"> clear and ambitious commitments to transforming access to education. Collectively, they reposition education as a prote</w:t>
      </w:r>
      <w:r w:rsidR="00254498">
        <w:rPr>
          <w:rFonts w:ascii="Arial" w:hAnsi="Arial" w:cs="Arial"/>
          <w:color w:val="000000"/>
          <w:shd w:val="clear" w:color="auto" w:fill="FFFFFF"/>
        </w:rPr>
        <w:t xml:space="preserve">cted </w:t>
      </w:r>
      <w:r w:rsidRPr="003C206F">
        <w:rPr>
          <w:rFonts w:ascii="Arial" w:hAnsi="Arial" w:cs="Arial"/>
          <w:color w:val="000000"/>
          <w:shd w:val="clear" w:color="auto" w:fill="FFFFFF"/>
        </w:rPr>
        <w:t>right and emphasise not only access, but also quality, equity and gender equality. In principle, these instruments provide a strong ethical and legal foundation capable of reshaping national education systems and holding governments accountable to global standards.</w:t>
      </w:r>
    </w:p>
    <w:p w14:paraId="2593BDED" w14:textId="1CF60D61" w:rsidR="003C206F" w:rsidRPr="003C206F" w:rsidRDefault="003C206F" w:rsidP="003C206F">
      <w:pPr>
        <w:pStyle w:val="NormalWeb"/>
        <w:spacing w:line="360" w:lineRule="auto"/>
        <w:rPr>
          <w:rFonts w:ascii="Arial" w:hAnsi="Arial" w:cs="Arial"/>
          <w:color w:val="000000"/>
          <w:shd w:val="clear" w:color="auto" w:fill="FFFFFF"/>
        </w:rPr>
      </w:pPr>
      <w:r w:rsidRPr="003C206F">
        <w:rPr>
          <w:rFonts w:ascii="Arial" w:hAnsi="Arial" w:cs="Arial"/>
          <w:color w:val="000000"/>
          <w:shd w:val="clear" w:color="auto" w:fill="FFFFFF"/>
        </w:rPr>
        <w:t xml:space="preserve">However, the Nigerian context reveals a persistent gap between commitment and delivery. underfunding, pronounced regional disparities, gender inequality, child labour and weak state capacity continue to undermine implementation. Despite ratifying key treaties and aligning with international targets, education spending remains below recommended benchmarks, teacher shortages </w:t>
      </w:r>
      <w:r w:rsidR="005A0EC7">
        <w:rPr>
          <w:rFonts w:ascii="Arial" w:hAnsi="Arial" w:cs="Arial"/>
          <w:color w:val="000000"/>
          <w:shd w:val="clear" w:color="auto" w:fill="FFFFFF"/>
        </w:rPr>
        <w:t>persist</w:t>
      </w:r>
      <w:r w:rsidRPr="003C206F">
        <w:rPr>
          <w:rFonts w:ascii="Arial" w:hAnsi="Arial" w:cs="Arial"/>
          <w:color w:val="000000"/>
          <w:shd w:val="clear" w:color="auto" w:fill="FFFFFF"/>
        </w:rPr>
        <w:t>, and millions of children</w:t>
      </w:r>
      <w:r w:rsidR="005A0EC7">
        <w:rPr>
          <w:rFonts w:ascii="Arial" w:hAnsi="Arial" w:cs="Arial"/>
          <w:color w:val="000000"/>
          <w:shd w:val="clear" w:color="auto" w:fill="FFFFFF"/>
        </w:rPr>
        <w:t xml:space="preserve"> </w:t>
      </w:r>
      <w:r w:rsidRPr="003C206F">
        <w:rPr>
          <w:rFonts w:ascii="Arial" w:hAnsi="Arial" w:cs="Arial"/>
          <w:color w:val="000000"/>
          <w:shd w:val="clear" w:color="auto" w:fill="FFFFFF"/>
        </w:rPr>
        <w:t>remain out of school. The incomplete adoption of the Child’s Rights Act across all states further illustrates that legal domestication alone does not ensure uniform protection or access. Structural barriers rooted in poverty, patriarchal norms, colonial legacies and economic austerity continue to shape patterns of exclusion.</w:t>
      </w:r>
    </w:p>
    <w:p w14:paraId="2B2937F0" w14:textId="3C41E317" w:rsidR="00B51E1C" w:rsidRPr="00587002" w:rsidRDefault="003C206F" w:rsidP="003C206F">
      <w:pPr>
        <w:pStyle w:val="NormalWeb"/>
        <w:spacing w:line="360" w:lineRule="auto"/>
        <w:rPr>
          <w:rFonts w:ascii="Arial" w:hAnsi="Arial" w:cs="Arial"/>
        </w:rPr>
      </w:pPr>
      <w:r w:rsidRPr="003C206F">
        <w:rPr>
          <w:rFonts w:ascii="Arial" w:hAnsi="Arial" w:cs="Arial"/>
          <w:color w:val="000000"/>
          <w:shd w:val="clear" w:color="auto" w:fill="FFFFFF"/>
        </w:rPr>
        <w:t>Therefore, while these instruments possess transformative potential, in practice they operate largely as symbolic commitments when not supported by sustained domestic investment, effective governance and meaningful structural reform. Genuine transformation depends not merely on the articulation of rights, but on the political will and institutional capacity to realise them in practice.</w:t>
      </w:r>
    </w:p>
    <w:p w14:paraId="2BDBD63C" w14:textId="77777777" w:rsidR="00587002" w:rsidRPr="00587002" w:rsidRDefault="00587002" w:rsidP="00587002">
      <w:pPr>
        <w:pStyle w:val="NormalWeb"/>
        <w:ind w:left="360"/>
        <w:rPr>
          <w:rFonts w:ascii="Arial" w:hAnsi="Arial" w:cs="Arial"/>
        </w:rPr>
      </w:pPr>
    </w:p>
    <w:p w14:paraId="10EF69CA" w14:textId="015237F3" w:rsidR="00AC0EFE" w:rsidRDefault="00AC0EFE" w:rsidP="000C13FE">
      <w:pPr>
        <w:spacing w:line="360" w:lineRule="auto"/>
        <w:rPr>
          <w:rFonts w:ascii="Arial" w:hAnsi="Arial" w:cs="Arial"/>
          <w:sz w:val="24"/>
          <w:szCs w:val="24"/>
        </w:rPr>
      </w:pPr>
    </w:p>
    <w:sectPr w:rsidR="00AC0EFE" w:rsidSect="006C6F4E">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5E3F5" w14:textId="77777777" w:rsidR="0045027E" w:rsidRDefault="0045027E">
      <w:pPr>
        <w:spacing w:after="0" w:line="240" w:lineRule="auto"/>
      </w:pPr>
      <w:r>
        <w:separator/>
      </w:r>
    </w:p>
  </w:endnote>
  <w:endnote w:type="continuationSeparator" w:id="0">
    <w:p w14:paraId="292962EB" w14:textId="77777777" w:rsidR="0045027E" w:rsidRDefault="00450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558604"/>
      <w:docPartObj>
        <w:docPartGallery w:val="Page Numbers (Bottom of Page)"/>
        <w:docPartUnique/>
      </w:docPartObj>
    </w:sdtPr>
    <w:sdtEndPr>
      <w:rPr>
        <w:noProof/>
      </w:rPr>
    </w:sdtEndPr>
    <w:sdtContent>
      <w:p w14:paraId="482BC4F6" w14:textId="77777777" w:rsidR="004D3409" w:rsidRDefault="00417D2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522FEAD5" w14:textId="77777777" w:rsidR="004D3409" w:rsidRDefault="004502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61F5F" w14:textId="77777777" w:rsidR="0045027E" w:rsidRDefault="0045027E">
      <w:pPr>
        <w:spacing w:after="0" w:line="240" w:lineRule="auto"/>
      </w:pPr>
      <w:r>
        <w:separator/>
      </w:r>
    </w:p>
  </w:footnote>
  <w:footnote w:type="continuationSeparator" w:id="0">
    <w:p w14:paraId="48CE7C2E" w14:textId="77777777" w:rsidR="0045027E" w:rsidRDefault="00450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3F084" w14:textId="18BBE90E" w:rsidR="004D3409" w:rsidRDefault="00417D25" w:rsidP="009F6975">
    <w:pPr>
      <w:pStyle w:val="Heading1"/>
      <w:shd w:val="clear" w:color="auto" w:fill="FFFFFF"/>
      <w:spacing w:before="0" w:beforeAutospacing="0"/>
    </w:pPr>
    <w:r w:rsidRPr="00CB01D1">
      <w:rPr>
        <w:b w:val="0"/>
        <w:sz w:val="20"/>
        <w:szCs w:val="20"/>
      </w:rPr>
      <w:t xml:space="preserve">Amy Delaney </w:t>
    </w:r>
    <w:r w:rsidR="00AB5A06" w:rsidRPr="00AB5A06">
      <w:rPr>
        <w:b w:val="0"/>
        <w:sz w:val="20"/>
        <w:szCs w:val="20"/>
      </w:rPr>
      <w:t>Global perspectives in education (ECIE6004)</w:t>
    </w:r>
  </w:p>
  <w:p w14:paraId="097EADAE" w14:textId="77777777" w:rsidR="004D3409" w:rsidRDefault="004502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650E3"/>
    <w:multiLevelType w:val="hybridMultilevel"/>
    <w:tmpl w:val="DAFA32E8"/>
    <w:lvl w:ilvl="0" w:tplc="68EEC820">
      <w:start w:val="1"/>
      <w:numFmt w:val="bullet"/>
      <w:lvlText w:val=""/>
      <w:lvlJc w:val="left"/>
      <w:pPr>
        <w:ind w:left="720" w:hanging="360"/>
      </w:pPr>
      <w:rPr>
        <w:rFonts w:ascii="Wingdings" w:hAnsi="Wingdings" w:hint="default"/>
        <w:color w:val="70AD47" w:themeColor="accent6"/>
        <w:sz w:val="32"/>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68EEC820">
      <w:start w:val="1"/>
      <w:numFmt w:val="bullet"/>
      <w:lvlText w:val=""/>
      <w:lvlJc w:val="left"/>
      <w:pPr>
        <w:ind w:left="4320" w:hanging="360"/>
      </w:pPr>
      <w:rPr>
        <w:rFonts w:ascii="Wingdings" w:hAnsi="Wingdings" w:hint="default"/>
        <w:color w:val="70AD47" w:themeColor="accent6"/>
        <w:sz w:val="32"/>
        <w:szCs w:val="32"/>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EA494D"/>
    <w:multiLevelType w:val="hybridMultilevel"/>
    <w:tmpl w:val="AA6203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D32C95"/>
    <w:multiLevelType w:val="multilevel"/>
    <w:tmpl w:val="F580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9C0D15"/>
    <w:multiLevelType w:val="hybridMultilevel"/>
    <w:tmpl w:val="4ABEA858"/>
    <w:lvl w:ilvl="0" w:tplc="68EEC820">
      <w:start w:val="1"/>
      <w:numFmt w:val="bullet"/>
      <w:lvlText w:val=""/>
      <w:lvlJc w:val="left"/>
      <w:pPr>
        <w:ind w:left="720" w:hanging="360"/>
      </w:pPr>
      <w:rPr>
        <w:rFonts w:ascii="Wingdings" w:hAnsi="Wingdings" w:hint="default"/>
        <w:color w:val="70AD47" w:themeColor="accent6"/>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050540"/>
    <w:multiLevelType w:val="hybridMultilevel"/>
    <w:tmpl w:val="533480EA"/>
    <w:lvl w:ilvl="0" w:tplc="68EEC820">
      <w:start w:val="1"/>
      <w:numFmt w:val="bullet"/>
      <w:lvlText w:val=""/>
      <w:lvlJc w:val="left"/>
      <w:pPr>
        <w:ind w:left="360" w:hanging="360"/>
      </w:pPr>
      <w:rPr>
        <w:rFonts w:ascii="Wingdings" w:hAnsi="Wingdings" w:hint="default"/>
        <w:color w:val="70AD47" w:themeColor="accent6"/>
        <w:sz w:val="32"/>
        <w:szCs w:val="3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68EEC820">
      <w:start w:val="1"/>
      <w:numFmt w:val="bullet"/>
      <w:lvlText w:val=""/>
      <w:lvlJc w:val="left"/>
      <w:pPr>
        <w:ind w:left="3960" w:hanging="360"/>
      </w:pPr>
      <w:rPr>
        <w:rFonts w:ascii="Wingdings" w:hAnsi="Wingdings" w:hint="default"/>
        <w:color w:val="70AD47" w:themeColor="accent6"/>
        <w:sz w:val="32"/>
        <w:szCs w:val="32"/>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FBE539E"/>
    <w:multiLevelType w:val="multilevel"/>
    <w:tmpl w:val="33F0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8F2"/>
    <w:rsid w:val="000035CD"/>
    <w:rsid w:val="000174A5"/>
    <w:rsid w:val="0002334F"/>
    <w:rsid w:val="00031595"/>
    <w:rsid w:val="00031EC2"/>
    <w:rsid w:val="0003488E"/>
    <w:rsid w:val="000605E4"/>
    <w:rsid w:val="00062566"/>
    <w:rsid w:val="00063AB0"/>
    <w:rsid w:val="00071208"/>
    <w:rsid w:val="00082A1E"/>
    <w:rsid w:val="00085215"/>
    <w:rsid w:val="0008590E"/>
    <w:rsid w:val="000863EF"/>
    <w:rsid w:val="0009042B"/>
    <w:rsid w:val="000911BF"/>
    <w:rsid w:val="000958FC"/>
    <w:rsid w:val="00096372"/>
    <w:rsid w:val="000A3FE6"/>
    <w:rsid w:val="000B334C"/>
    <w:rsid w:val="000B7D10"/>
    <w:rsid w:val="000C13FE"/>
    <w:rsid w:val="000C2003"/>
    <w:rsid w:val="000C76DF"/>
    <w:rsid w:val="000D0DC2"/>
    <w:rsid w:val="000E0788"/>
    <w:rsid w:val="000E1208"/>
    <w:rsid w:val="000E421E"/>
    <w:rsid w:val="000E66C6"/>
    <w:rsid w:val="000E6E44"/>
    <w:rsid w:val="000F7BBE"/>
    <w:rsid w:val="00102C6D"/>
    <w:rsid w:val="001125A0"/>
    <w:rsid w:val="001162A3"/>
    <w:rsid w:val="001168AB"/>
    <w:rsid w:val="00123561"/>
    <w:rsid w:val="001245D9"/>
    <w:rsid w:val="00124B58"/>
    <w:rsid w:val="00127C84"/>
    <w:rsid w:val="0013190A"/>
    <w:rsid w:val="0013312F"/>
    <w:rsid w:val="001348D8"/>
    <w:rsid w:val="00143CC9"/>
    <w:rsid w:val="00146843"/>
    <w:rsid w:val="0015623E"/>
    <w:rsid w:val="00156649"/>
    <w:rsid w:val="00156EAB"/>
    <w:rsid w:val="001570C0"/>
    <w:rsid w:val="0016308F"/>
    <w:rsid w:val="00163A44"/>
    <w:rsid w:val="00166A99"/>
    <w:rsid w:val="00170BEF"/>
    <w:rsid w:val="00173AF1"/>
    <w:rsid w:val="001768B9"/>
    <w:rsid w:val="00180B85"/>
    <w:rsid w:val="00182428"/>
    <w:rsid w:val="001942AC"/>
    <w:rsid w:val="00196CBB"/>
    <w:rsid w:val="00197FF3"/>
    <w:rsid w:val="001A00B0"/>
    <w:rsid w:val="001A0C64"/>
    <w:rsid w:val="001A3493"/>
    <w:rsid w:val="001A6E0E"/>
    <w:rsid w:val="001B1702"/>
    <w:rsid w:val="001B4582"/>
    <w:rsid w:val="001C0805"/>
    <w:rsid w:val="001C10FD"/>
    <w:rsid w:val="001C432E"/>
    <w:rsid w:val="001C4F50"/>
    <w:rsid w:val="001E2C76"/>
    <w:rsid w:val="001E7DD9"/>
    <w:rsid w:val="001F1023"/>
    <w:rsid w:val="001F4C0A"/>
    <w:rsid w:val="00205F7B"/>
    <w:rsid w:val="002152DC"/>
    <w:rsid w:val="00215B20"/>
    <w:rsid w:val="002245E2"/>
    <w:rsid w:val="00226FD4"/>
    <w:rsid w:val="00235FA1"/>
    <w:rsid w:val="00242FB9"/>
    <w:rsid w:val="00243219"/>
    <w:rsid w:val="002437AB"/>
    <w:rsid w:val="00252744"/>
    <w:rsid w:val="00254498"/>
    <w:rsid w:val="0026081F"/>
    <w:rsid w:val="00267DEC"/>
    <w:rsid w:val="00270CE4"/>
    <w:rsid w:val="00274C61"/>
    <w:rsid w:val="002803D6"/>
    <w:rsid w:val="00281087"/>
    <w:rsid w:val="0028108D"/>
    <w:rsid w:val="0028175F"/>
    <w:rsid w:val="00282BAD"/>
    <w:rsid w:val="002878B1"/>
    <w:rsid w:val="0029445F"/>
    <w:rsid w:val="002A2725"/>
    <w:rsid w:val="002A431C"/>
    <w:rsid w:val="002A728D"/>
    <w:rsid w:val="002B2A79"/>
    <w:rsid w:val="002B3B77"/>
    <w:rsid w:val="002C3115"/>
    <w:rsid w:val="002C55FF"/>
    <w:rsid w:val="002D24FC"/>
    <w:rsid w:val="002D55D8"/>
    <w:rsid w:val="002D7795"/>
    <w:rsid w:val="002E77B8"/>
    <w:rsid w:val="002F0BB1"/>
    <w:rsid w:val="00301015"/>
    <w:rsid w:val="00302F18"/>
    <w:rsid w:val="00317D8F"/>
    <w:rsid w:val="00320130"/>
    <w:rsid w:val="00326730"/>
    <w:rsid w:val="003278F5"/>
    <w:rsid w:val="00327FB8"/>
    <w:rsid w:val="00331587"/>
    <w:rsid w:val="00331ADE"/>
    <w:rsid w:val="00334DC0"/>
    <w:rsid w:val="003425F9"/>
    <w:rsid w:val="00343C5E"/>
    <w:rsid w:val="0034477B"/>
    <w:rsid w:val="00353E54"/>
    <w:rsid w:val="00370666"/>
    <w:rsid w:val="00372CCC"/>
    <w:rsid w:val="003732EC"/>
    <w:rsid w:val="00381A42"/>
    <w:rsid w:val="00383D03"/>
    <w:rsid w:val="00383E65"/>
    <w:rsid w:val="003860F5"/>
    <w:rsid w:val="003865B8"/>
    <w:rsid w:val="003A152D"/>
    <w:rsid w:val="003A2187"/>
    <w:rsid w:val="003A4D06"/>
    <w:rsid w:val="003A61E3"/>
    <w:rsid w:val="003A6E60"/>
    <w:rsid w:val="003A7504"/>
    <w:rsid w:val="003A79B6"/>
    <w:rsid w:val="003B568E"/>
    <w:rsid w:val="003C0862"/>
    <w:rsid w:val="003C1D8D"/>
    <w:rsid w:val="003C206F"/>
    <w:rsid w:val="003C3F5C"/>
    <w:rsid w:val="003D072F"/>
    <w:rsid w:val="003D2454"/>
    <w:rsid w:val="003D2BF8"/>
    <w:rsid w:val="003D346B"/>
    <w:rsid w:val="003D4DBE"/>
    <w:rsid w:val="003E3FD6"/>
    <w:rsid w:val="003E5893"/>
    <w:rsid w:val="003E7B2B"/>
    <w:rsid w:val="003E7C5F"/>
    <w:rsid w:val="003F6310"/>
    <w:rsid w:val="003F7BDD"/>
    <w:rsid w:val="00400529"/>
    <w:rsid w:val="00405A48"/>
    <w:rsid w:val="0040724B"/>
    <w:rsid w:val="00410F29"/>
    <w:rsid w:val="00412071"/>
    <w:rsid w:val="0041208E"/>
    <w:rsid w:val="00416D11"/>
    <w:rsid w:val="00417A9C"/>
    <w:rsid w:val="00417D25"/>
    <w:rsid w:val="0043045B"/>
    <w:rsid w:val="00433F7B"/>
    <w:rsid w:val="004358FE"/>
    <w:rsid w:val="00441B55"/>
    <w:rsid w:val="0044627C"/>
    <w:rsid w:val="0045027E"/>
    <w:rsid w:val="0045465F"/>
    <w:rsid w:val="00475642"/>
    <w:rsid w:val="0047584E"/>
    <w:rsid w:val="00484F47"/>
    <w:rsid w:val="00486E2E"/>
    <w:rsid w:val="00490552"/>
    <w:rsid w:val="00496331"/>
    <w:rsid w:val="00496844"/>
    <w:rsid w:val="004A1FF1"/>
    <w:rsid w:val="004A5C77"/>
    <w:rsid w:val="004B2E97"/>
    <w:rsid w:val="004B4AE6"/>
    <w:rsid w:val="004B6FEE"/>
    <w:rsid w:val="004C04F6"/>
    <w:rsid w:val="004C50DE"/>
    <w:rsid w:val="004C6A2A"/>
    <w:rsid w:val="004D27F8"/>
    <w:rsid w:val="004E1A5B"/>
    <w:rsid w:val="004E440B"/>
    <w:rsid w:val="004E5371"/>
    <w:rsid w:val="004E5A1F"/>
    <w:rsid w:val="004E6B3E"/>
    <w:rsid w:val="004F0686"/>
    <w:rsid w:val="004F2126"/>
    <w:rsid w:val="00501564"/>
    <w:rsid w:val="005116E4"/>
    <w:rsid w:val="005134D0"/>
    <w:rsid w:val="0052438F"/>
    <w:rsid w:val="00527996"/>
    <w:rsid w:val="00531258"/>
    <w:rsid w:val="0053164D"/>
    <w:rsid w:val="005317CD"/>
    <w:rsid w:val="00531FCD"/>
    <w:rsid w:val="00535174"/>
    <w:rsid w:val="00535AA7"/>
    <w:rsid w:val="005369D3"/>
    <w:rsid w:val="00544677"/>
    <w:rsid w:val="00550444"/>
    <w:rsid w:val="00554890"/>
    <w:rsid w:val="00555565"/>
    <w:rsid w:val="005558F2"/>
    <w:rsid w:val="00555945"/>
    <w:rsid w:val="005571E1"/>
    <w:rsid w:val="00561023"/>
    <w:rsid w:val="005628CE"/>
    <w:rsid w:val="0056320C"/>
    <w:rsid w:val="005639DC"/>
    <w:rsid w:val="00570D00"/>
    <w:rsid w:val="005724E6"/>
    <w:rsid w:val="005730C7"/>
    <w:rsid w:val="00573F56"/>
    <w:rsid w:val="00577A51"/>
    <w:rsid w:val="00583657"/>
    <w:rsid w:val="00583A4B"/>
    <w:rsid w:val="00583D72"/>
    <w:rsid w:val="00585AAD"/>
    <w:rsid w:val="00586310"/>
    <w:rsid w:val="00586DE8"/>
    <w:rsid w:val="00587002"/>
    <w:rsid w:val="00587829"/>
    <w:rsid w:val="00592266"/>
    <w:rsid w:val="005974D5"/>
    <w:rsid w:val="005A0EC7"/>
    <w:rsid w:val="005B0B4E"/>
    <w:rsid w:val="005C0EEB"/>
    <w:rsid w:val="005C48CF"/>
    <w:rsid w:val="005D402E"/>
    <w:rsid w:val="005D4DD0"/>
    <w:rsid w:val="005D7A10"/>
    <w:rsid w:val="005D7F1C"/>
    <w:rsid w:val="005E09A1"/>
    <w:rsid w:val="005E2E5A"/>
    <w:rsid w:val="005F4AFC"/>
    <w:rsid w:val="00600113"/>
    <w:rsid w:val="00605B68"/>
    <w:rsid w:val="0061007F"/>
    <w:rsid w:val="00611A04"/>
    <w:rsid w:val="006154ED"/>
    <w:rsid w:val="00622FFE"/>
    <w:rsid w:val="00623A1E"/>
    <w:rsid w:val="00625636"/>
    <w:rsid w:val="00627FE2"/>
    <w:rsid w:val="00630548"/>
    <w:rsid w:val="006367B3"/>
    <w:rsid w:val="006376CF"/>
    <w:rsid w:val="00644DA4"/>
    <w:rsid w:val="00646085"/>
    <w:rsid w:val="006522D9"/>
    <w:rsid w:val="00656551"/>
    <w:rsid w:val="00656C06"/>
    <w:rsid w:val="0065734E"/>
    <w:rsid w:val="0065762D"/>
    <w:rsid w:val="00657741"/>
    <w:rsid w:val="00661604"/>
    <w:rsid w:val="00663DDB"/>
    <w:rsid w:val="006642EF"/>
    <w:rsid w:val="00673084"/>
    <w:rsid w:val="00681CEC"/>
    <w:rsid w:val="0068315A"/>
    <w:rsid w:val="00683A7C"/>
    <w:rsid w:val="00685A03"/>
    <w:rsid w:val="006914E1"/>
    <w:rsid w:val="00692C23"/>
    <w:rsid w:val="00692E76"/>
    <w:rsid w:val="00696DDD"/>
    <w:rsid w:val="00697379"/>
    <w:rsid w:val="006A0738"/>
    <w:rsid w:val="006A2AB6"/>
    <w:rsid w:val="006A32B9"/>
    <w:rsid w:val="006A353D"/>
    <w:rsid w:val="006A3B4D"/>
    <w:rsid w:val="006A517A"/>
    <w:rsid w:val="006B0A23"/>
    <w:rsid w:val="006B1AF9"/>
    <w:rsid w:val="006B5157"/>
    <w:rsid w:val="006B736B"/>
    <w:rsid w:val="006D4372"/>
    <w:rsid w:val="006D54B6"/>
    <w:rsid w:val="006D63D1"/>
    <w:rsid w:val="006D6DF4"/>
    <w:rsid w:val="006D7D82"/>
    <w:rsid w:val="006E0A8E"/>
    <w:rsid w:val="006E39A5"/>
    <w:rsid w:val="006E703D"/>
    <w:rsid w:val="006F4D9A"/>
    <w:rsid w:val="006F6FC1"/>
    <w:rsid w:val="00700329"/>
    <w:rsid w:val="00701395"/>
    <w:rsid w:val="00703B3B"/>
    <w:rsid w:val="007064B1"/>
    <w:rsid w:val="007070B5"/>
    <w:rsid w:val="00724C66"/>
    <w:rsid w:val="00725592"/>
    <w:rsid w:val="00736389"/>
    <w:rsid w:val="0074218A"/>
    <w:rsid w:val="00743079"/>
    <w:rsid w:val="007432CE"/>
    <w:rsid w:val="007442CD"/>
    <w:rsid w:val="00747FC6"/>
    <w:rsid w:val="007536ED"/>
    <w:rsid w:val="00756DB9"/>
    <w:rsid w:val="00757AB8"/>
    <w:rsid w:val="0076130B"/>
    <w:rsid w:val="00762CEA"/>
    <w:rsid w:val="00763741"/>
    <w:rsid w:val="007672ED"/>
    <w:rsid w:val="00775BBD"/>
    <w:rsid w:val="0077702E"/>
    <w:rsid w:val="00781311"/>
    <w:rsid w:val="00783239"/>
    <w:rsid w:val="007833C4"/>
    <w:rsid w:val="0078449E"/>
    <w:rsid w:val="00790409"/>
    <w:rsid w:val="007C3B8E"/>
    <w:rsid w:val="007C523B"/>
    <w:rsid w:val="007C556B"/>
    <w:rsid w:val="007E4A1F"/>
    <w:rsid w:val="007E70ED"/>
    <w:rsid w:val="007F75B4"/>
    <w:rsid w:val="007F783C"/>
    <w:rsid w:val="007F7BCB"/>
    <w:rsid w:val="00801118"/>
    <w:rsid w:val="00804F06"/>
    <w:rsid w:val="00815975"/>
    <w:rsid w:val="00840FB6"/>
    <w:rsid w:val="008451FB"/>
    <w:rsid w:val="008544F4"/>
    <w:rsid w:val="00863C80"/>
    <w:rsid w:val="00864455"/>
    <w:rsid w:val="00864912"/>
    <w:rsid w:val="008654D2"/>
    <w:rsid w:val="0087049A"/>
    <w:rsid w:val="00876EEA"/>
    <w:rsid w:val="0087776B"/>
    <w:rsid w:val="00881046"/>
    <w:rsid w:val="00885A0A"/>
    <w:rsid w:val="00897E1F"/>
    <w:rsid w:val="008A010A"/>
    <w:rsid w:val="008A1F96"/>
    <w:rsid w:val="008B2367"/>
    <w:rsid w:val="008B6E0B"/>
    <w:rsid w:val="008C061C"/>
    <w:rsid w:val="008C5DF8"/>
    <w:rsid w:val="008C6564"/>
    <w:rsid w:val="008C6BFB"/>
    <w:rsid w:val="008E13EC"/>
    <w:rsid w:val="008E6636"/>
    <w:rsid w:val="008E7C9F"/>
    <w:rsid w:val="008F27E8"/>
    <w:rsid w:val="008F45D1"/>
    <w:rsid w:val="00902F62"/>
    <w:rsid w:val="00912D3F"/>
    <w:rsid w:val="0091695D"/>
    <w:rsid w:val="00921E31"/>
    <w:rsid w:val="00921FB1"/>
    <w:rsid w:val="00922973"/>
    <w:rsid w:val="00923D94"/>
    <w:rsid w:val="00927752"/>
    <w:rsid w:val="00932409"/>
    <w:rsid w:val="009414C3"/>
    <w:rsid w:val="00941D4B"/>
    <w:rsid w:val="00943115"/>
    <w:rsid w:val="009505CA"/>
    <w:rsid w:val="00952679"/>
    <w:rsid w:val="00954184"/>
    <w:rsid w:val="00954A73"/>
    <w:rsid w:val="0097616D"/>
    <w:rsid w:val="00976ED1"/>
    <w:rsid w:val="00981066"/>
    <w:rsid w:val="00981EAB"/>
    <w:rsid w:val="00982B49"/>
    <w:rsid w:val="009846DC"/>
    <w:rsid w:val="0098504A"/>
    <w:rsid w:val="00986A4D"/>
    <w:rsid w:val="00991D98"/>
    <w:rsid w:val="00997076"/>
    <w:rsid w:val="009A16B2"/>
    <w:rsid w:val="009A5368"/>
    <w:rsid w:val="009C15B1"/>
    <w:rsid w:val="009C22C6"/>
    <w:rsid w:val="009C2481"/>
    <w:rsid w:val="009C3445"/>
    <w:rsid w:val="009C46CB"/>
    <w:rsid w:val="009C4968"/>
    <w:rsid w:val="009C72A6"/>
    <w:rsid w:val="009D2622"/>
    <w:rsid w:val="009D4F35"/>
    <w:rsid w:val="009D64CE"/>
    <w:rsid w:val="009E0E5A"/>
    <w:rsid w:val="009E4F99"/>
    <w:rsid w:val="009E6B76"/>
    <w:rsid w:val="009E6D7F"/>
    <w:rsid w:val="009E6ED7"/>
    <w:rsid w:val="009F172F"/>
    <w:rsid w:val="009F49CC"/>
    <w:rsid w:val="009F6975"/>
    <w:rsid w:val="00A03161"/>
    <w:rsid w:val="00A03982"/>
    <w:rsid w:val="00A04360"/>
    <w:rsid w:val="00A11FFF"/>
    <w:rsid w:val="00A25CD1"/>
    <w:rsid w:val="00A32A89"/>
    <w:rsid w:val="00A35574"/>
    <w:rsid w:val="00A36B15"/>
    <w:rsid w:val="00A37C86"/>
    <w:rsid w:val="00A40C7E"/>
    <w:rsid w:val="00A4166F"/>
    <w:rsid w:val="00A43F0D"/>
    <w:rsid w:val="00A45514"/>
    <w:rsid w:val="00A76DCE"/>
    <w:rsid w:val="00A832CF"/>
    <w:rsid w:val="00A906F7"/>
    <w:rsid w:val="00A91E97"/>
    <w:rsid w:val="00A92698"/>
    <w:rsid w:val="00A94041"/>
    <w:rsid w:val="00A954E7"/>
    <w:rsid w:val="00AA0954"/>
    <w:rsid w:val="00AA29F7"/>
    <w:rsid w:val="00AB5A06"/>
    <w:rsid w:val="00AB5DE8"/>
    <w:rsid w:val="00AC0534"/>
    <w:rsid w:val="00AC0EFE"/>
    <w:rsid w:val="00AC3C51"/>
    <w:rsid w:val="00AC4D4D"/>
    <w:rsid w:val="00AC5474"/>
    <w:rsid w:val="00AD26DE"/>
    <w:rsid w:val="00AD3F35"/>
    <w:rsid w:val="00AD5C10"/>
    <w:rsid w:val="00AD6124"/>
    <w:rsid w:val="00AD6660"/>
    <w:rsid w:val="00AE09E3"/>
    <w:rsid w:val="00AE2C9C"/>
    <w:rsid w:val="00AE33CC"/>
    <w:rsid w:val="00AE35CB"/>
    <w:rsid w:val="00AE37EF"/>
    <w:rsid w:val="00AE7091"/>
    <w:rsid w:val="00AF4B59"/>
    <w:rsid w:val="00B029A3"/>
    <w:rsid w:val="00B036FD"/>
    <w:rsid w:val="00B1000C"/>
    <w:rsid w:val="00B10C0A"/>
    <w:rsid w:val="00B1715E"/>
    <w:rsid w:val="00B23193"/>
    <w:rsid w:val="00B23450"/>
    <w:rsid w:val="00B30F83"/>
    <w:rsid w:val="00B366A3"/>
    <w:rsid w:val="00B43FC5"/>
    <w:rsid w:val="00B453E0"/>
    <w:rsid w:val="00B47CEB"/>
    <w:rsid w:val="00B51E1C"/>
    <w:rsid w:val="00B5338C"/>
    <w:rsid w:val="00B54D8A"/>
    <w:rsid w:val="00B5647A"/>
    <w:rsid w:val="00B628F2"/>
    <w:rsid w:val="00B65C2B"/>
    <w:rsid w:val="00B760BC"/>
    <w:rsid w:val="00B80101"/>
    <w:rsid w:val="00B82321"/>
    <w:rsid w:val="00B85BA5"/>
    <w:rsid w:val="00B8676A"/>
    <w:rsid w:val="00B87CC0"/>
    <w:rsid w:val="00B9145A"/>
    <w:rsid w:val="00B94059"/>
    <w:rsid w:val="00B94B6E"/>
    <w:rsid w:val="00B97E10"/>
    <w:rsid w:val="00BA604C"/>
    <w:rsid w:val="00BA7039"/>
    <w:rsid w:val="00BB4FEF"/>
    <w:rsid w:val="00BB547C"/>
    <w:rsid w:val="00BC037C"/>
    <w:rsid w:val="00BC1270"/>
    <w:rsid w:val="00BC149C"/>
    <w:rsid w:val="00BC37F9"/>
    <w:rsid w:val="00BC715B"/>
    <w:rsid w:val="00BC75CA"/>
    <w:rsid w:val="00BC76F3"/>
    <w:rsid w:val="00BD4495"/>
    <w:rsid w:val="00BE525F"/>
    <w:rsid w:val="00BE5780"/>
    <w:rsid w:val="00BE70EC"/>
    <w:rsid w:val="00BF0D81"/>
    <w:rsid w:val="00C0034B"/>
    <w:rsid w:val="00C0497F"/>
    <w:rsid w:val="00C05404"/>
    <w:rsid w:val="00C06957"/>
    <w:rsid w:val="00C23DB4"/>
    <w:rsid w:val="00C2534B"/>
    <w:rsid w:val="00C25538"/>
    <w:rsid w:val="00C27208"/>
    <w:rsid w:val="00C2795F"/>
    <w:rsid w:val="00C27B75"/>
    <w:rsid w:val="00C3211E"/>
    <w:rsid w:val="00C33B25"/>
    <w:rsid w:val="00C37CFD"/>
    <w:rsid w:val="00C41A93"/>
    <w:rsid w:val="00C427BB"/>
    <w:rsid w:val="00C43C90"/>
    <w:rsid w:val="00C4440B"/>
    <w:rsid w:val="00C47646"/>
    <w:rsid w:val="00C50A91"/>
    <w:rsid w:val="00C514E4"/>
    <w:rsid w:val="00C51A99"/>
    <w:rsid w:val="00C5539D"/>
    <w:rsid w:val="00C6211F"/>
    <w:rsid w:val="00C6471B"/>
    <w:rsid w:val="00C66118"/>
    <w:rsid w:val="00C708A3"/>
    <w:rsid w:val="00C779E5"/>
    <w:rsid w:val="00C81F74"/>
    <w:rsid w:val="00C920BF"/>
    <w:rsid w:val="00C97C13"/>
    <w:rsid w:val="00CA40F5"/>
    <w:rsid w:val="00CA742E"/>
    <w:rsid w:val="00CC2512"/>
    <w:rsid w:val="00CC2ED1"/>
    <w:rsid w:val="00CC6923"/>
    <w:rsid w:val="00CC6945"/>
    <w:rsid w:val="00CD09B4"/>
    <w:rsid w:val="00CD207B"/>
    <w:rsid w:val="00CF1550"/>
    <w:rsid w:val="00CF2B16"/>
    <w:rsid w:val="00CF56BF"/>
    <w:rsid w:val="00CF6CA1"/>
    <w:rsid w:val="00D0013C"/>
    <w:rsid w:val="00D00F12"/>
    <w:rsid w:val="00D0138B"/>
    <w:rsid w:val="00D03DBA"/>
    <w:rsid w:val="00D12B4E"/>
    <w:rsid w:val="00D14BE0"/>
    <w:rsid w:val="00D163F2"/>
    <w:rsid w:val="00D17931"/>
    <w:rsid w:val="00D24DDF"/>
    <w:rsid w:val="00D25B2E"/>
    <w:rsid w:val="00D31C65"/>
    <w:rsid w:val="00D33C89"/>
    <w:rsid w:val="00D34F03"/>
    <w:rsid w:val="00D378EF"/>
    <w:rsid w:val="00D42B43"/>
    <w:rsid w:val="00D44FAD"/>
    <w:rsid w:val="00D4624F"/>
    <w:rsid w:val="00D4646F"/>
    <w:rsid w:val="00D47808"/>
    <w:rsid w:val="00D47FF9"/>
    <w:rsid w:val="00D509FA"/>
    <w:rsid w:val="00D54DF0"/>
    <w:rsid w:val="00D55212"/>
    <w:rsid w:val="00D6155C"/>
    <w:rsid w:val="00D6461C"/>
    <w:rsid w:val="00D71FE9"/>
    <w:rsid w:val="00D73EB3"/>
    <w:rsid w:val="00D76D4D"/>
    <w:rsid w:val="00D772AC"/>
    <w:rsid w:val="00D83F5F"/>
    <w:rsid w:val="00D92543"/>
    <w:rsid w:val="00D92857"/>
    <w:rsid w:val="00DA32F3"/>
    <w:rsid w:val="00DC3D06"/>
    <w:rsid w:val="00DD0EF1"/>
    <w:rsid w:val="00DD2281"/>
    <w:rsid w:val="00DD7B1D"/>
    <w:rsid w:val="00DE3F6E"/>
    <w:rsid w:val="00DF077C"/>
    <w:rsid w:val="00DF12BA"/>
    <w:rsid w:val="00E00761"/>
    <w:rsid w:val="00E073C4"/>
    <w:rsid w:val="00E10629"/>
    <w:rsid w:val="00E12C29"/>
    <w:rsid w:val="00E13962"/>
    <w:rsid w:val="00E17050"/>
    <w:rsid w:val="00E2696C"/>
    <w:rsid w:val="00E26F49"/>
    <w:rsid w:val="00E32E48"/>
    <w:rsid w:val="00E33321"/>
    <w:rsid w:val="00E41426"/>
    <w:rsid w:val="00E41499"/>
    <w:rsid w:val="00E463F6"/>
    <w:rsid w:val="00E468D5"/>
    <w:rsid w:val="00E47AD4"/>
    <w:rsid w:val="00E47D4F"/>
    <w:rsid w:val="00E533EB"/>
    <w:rsid w:val="00E5454A"/>
    <w:rsid w:val="00E6126A"/>
    <w:rsid w:val="00E70E3C"/>
    <w:rsid w:val="00E74734"/>
    <w:rsid w:val="00E81045"/>
    <w:rsid w:val="00E86570"/>
    <w:rsid w:val="00E90657"/>
    <w:rsid w:val="00E92E7D"/>
    <w:rsid w:val="00E93DA6"/>
    <w:rsid w:val="00E94022"/>
    <w:rsid w:val="00E9532F"/>
    <w:rsid w:val="00E97787"/>
    <w:rsid w:val="00EA0752"/>
    <w:rsid w:val="00EA110E"/>
    <w:rsid w:val="00EA2F45"/>
    <w:rsid w:val="00EA54E6"/>
    <w:rsid w:val="00EA7123"/>
    <w:rsid w:val="00EB0E99"/>
    <w:rsid w:val="00EB1AE0"/>
    <w:rsid w:val="00EB3D4F"/>
    <w:rsid w:val="00EB7102"/>
    <w:rsid w:val="00EC08F5"/>
    <w:rsid w:val="00EC13FE"/>
    <w:rsid w:val="00EC2680"/>
    <w:rsid w:val="00EC3CFD"/>
    <w:rsid w:val="00ED565C"/>
    <w:rsid w:val="00ED6981"/>
    <w:rsid w:val="00ED787E"/>
    <w:rsid w:val="00EE1241"/>
    <w:rsid w:val="00EE1A22"/>
    <w:rsid w:val="00EE2905"/>
    <w:rsid w:val="00EE6464"/>
    <w:rsid w:val="00EF5959"/>
    <w:rsid w:val="00EF7EFE"/>
    <w:rsid w:val="00F0582A"/>
    <w:rsid w:val="00F074E2"/>
    <w:rsid w:val="00F07617"/>
    <w:rsid w:val="00F14A13"/>
    <w:rsid w:val="00F227B2"/>
    <w:rsid w:val="00F414B1"/>
    <w:rsid w:val="00F41EF3"/>
    <w:rsid w:val="00F43C9C"/>
    <w:rsid w:val="00F51C02"/>
    <w:rsid w:val="00F646D6"/>
    <w:rsid w:val="00F717E3"/>
    <w:rsid w:val="00F71888"/>
    <w:rsid w:val="00F817F9"/>
    <w:rsid w:val="00F86416"/>
    <w:rsid w:val="00F87A70"/>
    <w:rsid w:val="00F907E9"/>
    <w:rsid w:val="00F9091F"/>
    <w:rsid w:val="00FA330C"/>
    <w:rsid w:val="00FA37BB"/>
    <w:rsid w:val="00FA6C26"/>
    <w:rsid w:val="00FB0478"/>
    <w:rsid w:val="00FB0917"/>
    <w:rsid w:val="00FC03A5"/>
    <w:rsid w:val="00FC5F35"/>
    <w:rsid w:val="00FC75EF"/>
    <w:rsid w:val="00FC77FD"/>
    <w:rsid w:val="00FD04BD"/>
    <w:rsid w:val="00FD277F"/>
    <w:rsid w:val="00FD32E2"/>
    <w:rsid w:val="00FD649D"/>
    <w:rsid w:val="00FE0BA0"/>
    <w:rsid w:val="00FE4E53"/>
    <w:rsid w:val="00FF4049"/>
    <w:rsid w:val="00FF5D2E"/>
    <w:rsid w:val="00FF6656"/>
    <w:rsid w:val="00FF7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B9DEA"/>
  <w15:chartTrackingRefBased/>
  <w15:docId w15:val="{2AC66299-B7BF-47B6-80E8-2B508138A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D25"/>
    <w:rPr>
      <w:rFonts w:eastAsiaTheme="minorEastAsia"/>
      <w:kern w:val="2"/>
      <w:lang w:eastAsia="zh-CN"/>
      <w14:ligatures w14:val="standardContextual"/>
    </w:rPr>
  </w:style>
  <w:style w:type="paragraph" w:styleId="Heading1">
    <w:name w:val="heading 1"/>
    <w:basedOn w:val="Normal"/>
    <w:link w:val="Heading1Char"/>
    <w:uiPriority w:val="9"/>
    <w:qFormat/>
    <w:rsid w:val="00417D2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semiHidden/>
    <w:unhideWhenUsed/>
    <w:qFormat/>
    <w:rsid w:val="00EF7E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D25"/>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417D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D25"/>
    <w:rPr>
      <w:rFonts w:eastAsiaTheme="minorEastAsia"/>
      <w:kern w:val="2"/>
      <w:lang w:eastAsia="zh-CN"/>
      <w14:ligatures w14:val="standardContextual"/>
    </w:rPr>
  </w:style>
  <w:style w:type="paragraph" w:styleId="Footer">
    <w:name w:val="footer"/>
    <w:basedOn w:val="Normal"/>
    <w:link w:val="FooterChar"/>
    <w:uiPriority w:val="99"/>
    <w:unhideWhenUsed/>
    <w:rsid w:val="00417D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D25"/>
    <w:rPr>
      <w:rFonts w:eastAsiaTheme="minorEastAsia"/>
      <w:kern w:val="2"/>
      <w:lang w:eastAsia="zh-CN"/>
      <w14:ligatures w14:val="standardContextual"/>
    </w:rPr>
  </w:style>
  <w:style w:type="character" w:styleId="Hyperlink">
    <w:name w:val="Hyperlink"/>
    <w:basedOn w:val="DefaultParagraphFont"/>
    <w:uiPriority w:val="99"/>
    <w:unhideWhenUsed/>
    <w:rsid w:val="00417D25"/>
    <w:rPr>
      <w:color w:val="0000FF"/>
      <w:u w:val="single"/>
    </w:rPr>
  </w:style>
  <w:style w:type="paragraph" w:styleId="ListParagraph">
    <w:name w:val="List Paragraph"/>
    <w:basedOn w:val="Normal"/>
    <w:uiPriority w:val="34"/>
    <w:qFormat/>
    <w:rsid w:val="00417D25"/>
    <w:pPr>
      <w:ind w:left="720"/>
      <w:contextualSpacing/>
    </w:pPr>
    <w:rPr>
      <w:rFonts w:eastAsiaTheme="minorHAnsi"/>
      <w:kern w:val="0"/>
      <w:lang w:eastAsia="en-US"/>
      <w14:ligatures w14:val="none"/>
    </w:rPr>
  </w:style>
  <w:style w:type="character" w:styleId="Strong">
    <w:name w:val="Strong"/>
    <w:basedOn w:val="DefaultParagraphFont"/>
    <w:uiPriority w:val="22"/>
    <w:qFormat/>
    <w:rsid w:val="00E90657"/>
    <w:rPr>
      <w:b/>
      <w:bCs/>
    </w:rPr>
  </w:style>
  <w:style w:type="character" w:customStyle="1" w:styleId="Heading3Char">
    <w:name w:val="Heading 3 Char"/>
    <w:basedOn w:val="DefaultParagraphFont"/>
    <w:link w:val="Heading3"/>
    <w:uiPriority w:val="9"/>
    <w:semiHidden/>
    <w:rsid w:val="00EF7EFE"/>
    <w:rPr>
      <w:rFonts w:asciiTheme="majorHAnsi" w:eastAsiaTheme="majorEastAsia" w:hAnsiTheme="majorHAnsi" w:cstheme="majorBidi"/>
      <w:color w:val="1F3763" w:themeColor="accent1" w:themeShade="7F"/>
      <w:kern w:val="2"/>
      <w:sz w:val="24"/>
      <w:szCs w:val="24"/>
      <w:lang w:eastAsia="zh-CN"/>
      <w14:ligatures w14:val="standardContextual"/>
    </w:rPr>
  </w:style>
  <w:style w:type="paragraph" w:styleId="NormalWeb">
    <w:name w:val="Normal (Web)"/>
    <w:basedOn w:val="Normal"/>
    <w:uiPriority w:val="99"/>
    <w:semiHidden/>
    <w:unhideWhenUsed/>
    <w:rsid w:val="00EF7EF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414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57865">
      <w:bodyDiv w:val="1"/>
      <w:marLeft w:val="0"/>
      <w:marRight w:val="0"/>
      <w:marTop w:val="0"/>
      <w:marBottom w:val="0"/>
      <w:divBdr>
        <w:top w:val="none" w:sz="0" w:space="0" w:color="auto"/>
        <w:left w:val="none" w:sz="0" w:space="0" w:color="auto"/>
        <w:bottom w:val="none" w:sz="0" w:space="0" w:color="auto"/>
        <w:right w:val="none" w:sz="0" w:space="0" w:color="auto"/>
      </w:divBdr>
    </w:div>
    <w:div w:id="208491969">
      <w:bodyDiv w:val="1"/>
      <w:marLeft w:val="0"/>
      <w:marRight w:val="0"/>
      <w:marTop w:val="0"/>
      <w:marBottom w:val="0"/>
      <w:divBdr>
        <w:top w:val="none" w:sz="0" w:space="0" w:color="auto"/>
        <w:left w:val="none" w:sz="0" w:space="0" w:color="auto"/>
        <w:bottom w:val="none" w:sz="0" w:space="0" w:color="auto"/>
        <w:right w:val="none" w:sz="0" w:space="0" w:color="auto"/>
      </w:divBdr>
    </w:div>
    <w:div w:id="349452984">
      <w:bodyDiv w:val="1"/>
      <w:marLeft w:val="0"/>
      <w:marRight w:val="0"/>
      <w:marTop w:val="0"/>
      <w:marBottom w:val="0"/>
      <w:divBdr>
        <w:top w:val="none" w:sz="0" w:space="0" w:color="auto"/>
        <w:left w:val="none" w:sz="0" w:space="0" w:color="auto"/>
        <w:bottom w:val="none" w:sz="0" w:space="0" w:color="auto"/>
        <w:right w:val="none" w:sz="0" w:space="0" w:color="auto"/>
      </w:divBdr>
    </w:div>
    <w:div w:id="622688211">
      <w:bodyDiv w:val="1"/>
      <w:marLeft w:val="0"/>
      <w:marRight w:val="0"/>
      <w:marTop w:val="0"/>
      <w:marBottom w:val="0"/>
      <w:divBdr>
        <w:top w:val="none" w:sz="0" w:space="0" w:color="auto"/>
        <w:left w:val="none" w:sz="0" w:space="0" w:color="auto"/>
        <w:bottom w:val="none" w:sz="0" w:space="0" w:color="auto"/>
        <w:right w:val="none" w:sz="0" w:space="0" w:color="auto"/>
      </w:divBdr>
    </w:div>
    <w:div w:id="790436889">
      <w:bodyDiv w:val="1"/>
      <w:marLeft w:val="0"/>
      <w:marRight w:val="0"/>
      <w:marTop w:val="0"/>
      <w:marBottom w:val="0"/>
      <w:divBdr>
        <w:top w:val="none" w:sz="0" w:space="0" w:color="auto"/>
        <w:left w:val="none" w:sz="0" w:space="0" w:color="auto"/>
        <w:bottom w:val="none" w:sz="0" w:space="0" w:color="auto"/>
        <w:right w:val="none" w:sz="0" w:space="0" w:color="auto"/>
      </w:divBdr>
    </w:div>
    <w:div w:id="934748984">
      <w:bodyDiv w:val="1"/>
      <w:marLeft w:val="0"/>
      <w:marRight w:val="0"/>
      <w:marTop w:val="0"/>
      <w:marBottom w:val="0"/>
      <w:divBdr>
        <w:top w:val="none" w:sz="0" w:space="0" w:color="auto"/>
        <w:left w:val="none" w:sz="0" w:space="0" w:color="auto"/>
        <w:bottom w:val="none" w:sz="0" w:space="0" w:color="auto"/>
        <w:right w:val="none" w:sz="0" w:space="0" w:color="auto"/>
      </w:divBdr>
    </w:div>
    <w:div w:id="1179537573">
      <w:bodyDiv w:val="1"/>
      <w:marLeft w:val="0"/>
      <w:marRight w:val="0"/>
      <w:marTop w:val="0"/>
      <w:marBottom w:val="0"/>
      <w:divBdr>
        <w:top w:val="none" w:sz="0" w:space="0" w:color="auto"/>
        <w:left w:val="none" w:sz="0" w:space="0" w:color="auto"/>
        <w:bottom w:val="none" w:sz="0" w:space="0" w:color="auto"/>
        <w:right w:val="none" w:sz="0" w:space="0" w:color="auto"/>
      </w:divBdr>
    </w:div>
    <w:div w:id="1313752270">
      <w:bodyDiv w:val="1"/>
      <w:marLeft w:val="0"/>
      <w:marRight w:val="0"/>
      <w:marTop w:val="0"/>
      <w:marBottom w:val="0"/>
      <w:divBdr>
        <w:top w:val="none" w:sz="0" w:space="0" w:color="auto"/>
        <w:left w:val="none" w:sz="0" w:space="0" w:color="auto"/>
        <w:bottom w:val="none" w:sz="0" w:space="0" w:color="auto"/>
        <w:right w:val="none" w:sz="0" w:space="0" w:color="auto"/>
      </w:divBdr>
    </w:div>
    <w:div w:id="1482697696">
      <w:bodyDiv w:val="1"/>
      <w:marLeft w:val="0"/>
      <w:marRight w:val="0"/>
      <w:marTop w:val="0"/>
      <w:marBottom w:val="0"/>
      <w:divBdr>
        <w:top w:val="none" w:sz="0" w:space="0" w:color="auto"/>
        <w:left w:val="none" w:sz="0" w:space="0" w:color="auto"/>
        <w:bottom w:val="none" w:sz="0" w:space="0" w:color="auto"/>
        <w:right w:val="none" w:sz="0" w:space="0" w:color="auto"/>
      </w:divBdr>
    </w:div>
    <w:div w:id="1543713456">
      <w:bodyDiv w:val="1"/>
      <w:marLeft w:val="0"/>
      <w:marRight w:val="0"/>
      <w:marTop w:val="0"/>
      <w:marBottom w:val="0"/>
      <w:divBdr>
        <w:top w:val="none" w:sz="0" w:space="0" w:color="auto"/>
        <w:left w:val="none" w:sz="0" w:space="0" w:color="auto"/>
        <w:bottom w:val="none" w:sz="0" w:space="0" w:color="auto"/>
        <w:right w:val="none" w:sz="0" w:space="0" w:color="auto"/>
      </w:divBdr>
    </w:div>
    <w:div w:id="1589342978">
      <w:bodyDiv w:val="1"/>
      <w:marLeft w:val="0"/>
      <w:marRight w:val="0"/>
      <w:marTop w:val="0"/>
      <w:marBottom w:val="0"/>
      <w:divBdr>
        <w:top w:val="none" w:sz="0" w:space="0" w:color="auto"/>
        <w:left w:val="none" w:sz="0" w:space="0" w:color="auto"/>
        <w:bottom w:val="none" w:sz="0" w:space="0" w:color="auto"/>
        <w:right w:val="none" w:sz="0" w:space="0" w:color="auto"/>
      </w:divBdr>
    </w:div>
    <w:div w:id="1629822008">
      <w:bodyDiv w:val="1"/>
      <w:marLeft w:val="0"/>
      <w:marRight w:val="0"/>
      <w:marTop w:val="0"/>
      <w:marBottom w:val="0"/>
      <w:divBdr>
        <w:top w:val="none" w:sz="0" w:space="0" w:color="auto"/>
        <w:left w:val="none" w:sz="0" w:space="0" w:color="auto"/>
        <w:bottom w:val="none" w:sz="0" w:space="0" w:color="auto"/>
        <w:right w:val="none" w:sz="0" w:space="0" w:color="auto"/>
      </w:divBdr>
    </w:div>
    <w:div w:id="1915622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6003</TotalTime>
  <Pages>9</Pages>
  <Words>3509</Words>
  <Characters>20005</Characters>
  <Application>Microsoft Office Word</Application>
  <DocSecurity>0</DocSecurity>
  <Lines>166</Lines>
  <Paragraphs>46</Paragraphs>
  <ScaleCrop>false</ScaleCrop>
  <Company/>
  <LinksUpToDate>false</LinksUpToDate>
  <CharactersWithSpaces>23468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Delaney (2217692)</dc:creator>
  <cp:keywords/>
  <dc:description/>
  <cp:lastModifiedBy>Amy Delaney (2217692)</cp:lastModifiedBy>
  <cp:revision>675</cp:revision>
  <dcterms:created xsi:type="dcterms:W3CDTF">2026-01-03T01:30:00Z</dcterms:created>
  <dcterms:modified xsi:type="dcterms:W3CDTF">2026-02-18T22:27:00Z</dcterms:modified>
</cp:coreProperties>
</file>