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54e4f6b38143b8"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4426257"/>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51973e44fd84c03" cstate="print">
                      <a:extLst>
                        <a:ext uri="{28A0092B-C50C-407E-A947-70E740481C1C}"/>
                      </a:extLst>
                    </a:blip>
                    <a:stretch>
                      <a:fillRect/>
                    </a:stretch>
                  </pic:blipFill>
                  <pic:spPr>
                    <a:xfrm>
                      <a:off x="0" y="0"/>
                      <a:ext cx="5731510" cy="4426257"/>
                    </a:xfrm>
                    <a:prstGeom prst="rect">
                      <a:avLst/>
                    </a:prstGeom>
                  </pic:spPr>
                </pic:pic>
              </a:graphicData>
            </a:graphic>
          </wp:inline>
        </w:drawing>
      </w:r>
    </w:p>
    <w:p>
      <w:pPr>
        <w:pStyle w:val="Title"/>
      </w:pPr>
      <w:r>
        <w:t xml:space="preserve">The First 1000 Days</w:t>
      </w:r>
    </w:p>
    <w:p>
      <w:pPr>
        <w:pStyle w:val="Normal"/>
      </w:pPr>
    </w:p>
    <w:p>
      <w:pPr>
        <w:pStyle w:val="Normal"/>
      </w:pPr>
      <w:r>
        <w:t xml:space="preserve">The first 1000 days of a child's life are a crucial period for both the baby and their parents. This period is also known as the fourth trimester, as it is the time when the baby is still adjusting to the world outside the womb. During this time, babies develop at an incredible pace, and parents must adapt to their new role as caregivers</w:t>
      </w:r>
    </w:p>
    <w:p>
      <w:pPr>
        <w:pStyle w:val="Normal"/>
      </w:pPr>
      <w:r>
        <w:t xml:space="preserve">The first 1000 days according to First 5 California (2022) is explained to be a critical time for a child’s brain development. During the first 1000 days, children develop a need of rich and stimulating environment to support their cognitive and social-emotional development. Positive interactions with caregivers, including talking, singing, and playing, can help to build strong neural connections in the brain and promote healthy emotional and social development.</w:t>
      </w:r>
    </w:p>
    <w:p>
      <w:pPr>
        <w:jc w:val="center"/>
      </w:pPr>
      <w:r>
        <w:drawing>
          <wp:inline xmlns:wp14="http://schemas.microsoft.com/office/word/2010/wordprocessingDrawing" xmlns:wp="http://schemas.openxmlformats.org/drawingml/2006/wordprocessingDrawing" distT="0" distB="0" distL="0" distR="0" wp14:editId="50D07946">
            <wp:extent cx="2865755" cy="1910503"/>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851e51e7afa448d" cstate="print">
                      <a:extLst>
                        <a:ext uri="{28A0092B-C50C-407E-A947-70E740481C1C}"/>
                      </a:extLst>
                    </a:blip>
                    <a:stretch>
                      <a:fillRect/>
                    </a:stretch>
                  </pic:blipFill>
                  <pic:spPr>
                    <a:xfrm>
                      <a:off x="0" y="0"/>
                      <a:ext cx="2865755" cy="1910503"/>
                    </a:xfrm>
                    <a:prstGeom prst="rect">
                      <a:avLst/>
                    </a:prstGeom>
                  </pic:spPr>
                </pic:pic>
              </a:graphicData>
            </a:graphic>
          </wp:inline>
        </w:drawing>
      </w:r>
    </w:p>
    <w:p>
      <w:pPr>
        <w:pStyle w:val="Normal"/>
      </w:pPr>
    </w:p>
    <w:p>
      <w:pPr>
        <w:pStyle w:val="Normal"/>
      </w:pPr>
      <w:r>
        <w:t xml:space="preserve">Children also according to The department of health and aged care (2022)  children need a safe and secure environment to grow and develop during the first 1000 days. This includes ensuring that their living environment is free from hazards and providing adequate supervision to prevent accidents and injuries.</w:t>
      </w:r>
    </w:p>
    <w:p>
      <w:pPr>
        <w:pStyle w:val="Normal"/>
      </w:pPr>
      <w:r>
        <w:t xml:space="preserve">Also, Building strong relationships with caregivers and other adults is critical for children's emotional and social development during the first 1000 days. Positive relationships can help to promote attachment, trust, and a sense of security, which are essential for healthy social and emotional development.</w:t>
      </w:r>
    </w:p>
    <w:p>
      <w:pPr>
        <w:pStyle w:val="Heading1"/>
      </w:pPr>
      <w:r>
        <w:rPr>
          <w:rStyle w:val="Strong"/>
        </w:rPr>
        <w:t xml:space="preserve">Activity ideas</w:t>
      </w:r>
    </w:p>
    <w:p>
      <w:pPr>
        <w:jc w:val="center"/>
      </w:pPr>
      <w:r>
        <w:drawing>
          <wp:inline xmlns:wp14="http://schemas.microsoft.com/office/word/2010/wordprocessingDrawing" xmlns:wp="http://schemas.openxmlformats.org/drawingml/2006/wordprocessingDrawing" distT="0" distB="0" distL="0" distR="0" wp14:editId="50D07946">
            <wp:extent cx="5731510" cy="3827375"/>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a2eedfaeff34dc0" cstate="print">
                      <a:extLst>
                        <a:ext uri="{28A0092B-C50C-407E-A947-70E740481C1C}"/>
                      </a:extLst>
                    </a:blip>
                    <a:stretch>
                      <a:fillRect/>
                    </a:stretch>
                  </pic:blipFill>
                  <pic:spPr>
                    <a:xfrm>
                      <a:off x="0" y="0"/>
                      <a:ext cx="5731510" cy="3827375"/>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2c920b0c0c149b4" cstate="print">
                      <a:extLst>
                        <a:ext uri="{28A0092B-C50C-407E-A947-70E740481C1C}"/>
                      </a:extLst>
                    </a:blip>
                    <a:stretch>
                      <a:fillRect/>
                    </a:stretch>
                  </pic:blipFill>
                  <pic:spPr>
                    <a:xfrm>
                      <a:off x="0" y="0"/>
                      <a:ext cx="2865755" cy="1611987"/>
                    </a:xfrm>
                    <a:prstGeom prst="rect">
                      <a:avLst/>
                    </a:prstGeom>
                  </pic:spPr>
                </pic:pic>
              </a:graphicData>
            </a:graphic>
          </wp:inline>
        </w:drawing>
      </w:r>
    </w:p>
    <w:p>
      <w:pPr>
        <w:pStyle w:val="Caption"/>
      </w:pPr>
      <w:fldSimple w:instr=" SEQ Figure \*ARABIC ">
        <w:r>
          <w:t xml:space="preserve">1</w:t>
        </w:r>
      </w:fldSimple>
      <w:r>
        <w:t xml:space="preserve"> - </w:t>
      </w:r>
      <w:r>
        <w:t xml:space="preserve">Play is a large focus in a child’s life as they are beginning developing. Play is important as “play improves the cognitive, physical, social, and emotional well-being of children and young people” (nidirect 2022) </w:t>
      </w:r>
    </w:p>
    <w:p>
      <w:pPr>
        <w:pStyle w:val="Caption"/>
      </w:pPr>
      <w:r>
        <w:t xml:space="preserve">Through play, children learn about the world and themselves and many theorists such as Jean Piaget theory of cognitive development. McLeod (2022) explores Piaget theory as it offers insights into how children's thinking and learning develop during the first 1000 days of their life. According to Piaget, children actively construct their understanding of the world through their experiences and interactions with their environment.  For example, Piaget proposed that children develop mental structures called schemas, which are frameworks for understanding the world. As children encounter new experiences, they modify their existing schemas or create new ones to better fit their understanding of the world.</w:t>
      </w:r>
    </w:p>
    <w:p>
      <w:pPr>
        <w:pStyle w:val="Caption"/>
      </w:pPr>
      <w:r>
        <w:t xml:space="preserve">Cherry(2017) states that Piaget’s theory suggests that Learning for infant at the first 1000 days can be meaningful as infants this sense of wanting to explore, observe and learn about the world around them. For example, One of the key milestones during the sensorimotor stage is the development of object permanence, which is the understanding that objects continue to exist even when they are no longer visible. This typically develops around 8-9 months of age, and marks an important shift in children's understanding of the world.</w:t>
      </w:r>
    </w:p>
    <w:p>
      <w:pPr>
        <w:pStyle w:val="Caption"/>
      </w:pPr>
    </w:p>
    <w:p>
      <w:pPr>
        <w:pStyle w:val="Caption"/>
      </w:pPr>
      <w:r>
        <w:t xml:space="preserve">Another theories, Mildred Parten according to Albrecht (2016) Mildred Parten's theory on social play and its role in child development can also provide insights into the first 1000 days of a child's life. Parten identified different stages of social play, which can help us understand how children's social skills and relationships develop during this critical period.</w:t>
      </w:r>
    </w:p>
    <w:p>
      <w:pPr>
        <w:pStyle w:val="Caption"/>
      </w:pPr>
      <w:r>
        <w:t xml:space="preserve">McCabe (2022) explores stages lays out the foundation for the stage 5 stages which are Unoccupied, Solitary, Parallel, Associative and Cooperative play. </w:t>
      </w:r>
    </w:p>
    <w:p>
      <w:pPr>
        <w:pStyle w:val="Caption"/>
      </w:pPr>
      <w:r>
        <w:t xml:space="preserve">Much like Piaget theory both allow children to live in the present and to take everything in by observing and building memories.</w:t>
      </w:r>
    </w:p>
    <w:p>
      <w:pPr>
        <w:pStyle w:val="Normal"/>
      </w:pPr>
      <w:r>
        <w:t xml:space="preserve">“</w:t>
      </w:r>
      <w:r>
        <w:rPr>
          <w:rStyle w:val="Strong"/>
        </w:rPr>
        <w:t xml:space="preserve">88% of teachers say that children are happier after playing outdoor”</w:t>
      </w:r>
      <w:r>
        <w:rPr>
          <w:rStyle w:val="Emphasis"/>
        </w:rPr>
        <w:t xml:space="preserve"> (The evidence for outdoor learning and play - muddy hands</w:t>
      </w:r>
      <w:r>
        <w:t xml:space="preserve"> ,2019) </w:t>
      </w:r>
    </w:p>
    <w:p>
      <w:pPr>
        <w:pStyle w:val="Normal"/>
      </w:pPr>
      <w:r>
        <w:t xml:space="preserve">This high statistic suggests that the trained professions who study the theorists on play can truly see the positives on play being implemented in a child.</w:t>
      </w:r>
    </w:p>
    <w:p>
      <w:pPr>
        <w:pStyle w:val="Normal"/>
      </w:pPr>
      <w:r>
        <w:t xml:space="preserve">One of the most well-known and influential theories indicated by Ray (2001) is the ecological systems theory developed by Urie Bronfenbrenner. According to this theory, a child's development is shaped by a complex and dynamic system of influences that include family, community, and culture. Ray(2001)  argues that Bronfenbrenner children's development theory is influenced by childrens interactions with the environment, and that outdoor play provides a unique opportunity for children to engage with and learn from their surroundings. He believed that outdoor play can facilitate a child's cognitive, physical, and social development, as well as their emotional well-being.</w:t>
      </w:r>
    </w:p>
    <w:p>
      <w:pPr>
        <w:pStyle w:val="Normal"/>
      </w:pPr>
    </w:p>
    <w:p>
      <w:pPr>
        <w:pStyle w:val="Normal"/>
      </w:pPr>
      <w:r>
        <w:t xml:space="preserve">Moreover Mcleod, (2023) further explore Bronfenbrenner theory as he argued that social interactions with peers, siblings, and adults during outdoor play can provide children with valuable opportunities to learn social skills, develop emotional regulation, and build relationships. For example, children may learn cooperation and communication skills while building a fort together or learn to manage conflicts and negotiate rules during a game of tag.</w:t>
      </w:r>
    </w:p>
    <w:p>
      <w:pPr>
        <w:pStyle w:val="Normal"/>
      </w:pPr>
    </w:p>
    <w:p>
      <w:pPr>
        <w:pStyle w:val="Normal"/>
      </w:pPr>
      <w:r>
        <w:t xml:space="preserve">Another theorist who emphasizes the importance of outdoor play in child development is Friedrich Froebel, the founder of the Kindergarten movement. According to Tovey (2017)Froebel believed that children are naturally curious and active learners who thrive in an environment that encourages exploration, creativity, and self-expression.</w:t>
      </w:r>
    </w:p>
    <w:p>
      <w:pPr>
        <w:pStyle w:val="Normal"/>
      </w:pPr>
      <w:r>
        <w:t xml:space="preserve">Froebel saw outdoor play as a way for children to connect with the natural world and engage in hands-on learning experiences. </w:t>
      </w:r>
    </w:p>
    <w:p>
      <w:pPr>
        <w:pStyle w:val="Normal"/>
      </w:pPr>
    </w:p>
    <w:p>
      <w:pPr>
        <w:pStyle w:val="Normal"/>
      </w:pPr>
      <w:r>
        <w:t xml:space="preserve">In his approach to education, Froebel developed a series of "gifts" and "occupations" that were designed to promote children's physical, social, emotional, and intellectual development. These gifts and occupations included materials like blocks, balls, and sticks, as well as activities like gardening, weaving, and drawing.</w:t>
      </w:r>
    </w:p>
    <w:p>
      <w:pPr>
        <w:pStyle w:val="Normal"/>
      </w:pPr>
      <w:r>
        <w:t xml:space="preserve">Froebel saw these materials and activities as a way to facilitate children's natural desire to learn and to promote their physical, cognitive, and social development. He believed that outdoor play was particularly important for children's physical development, as it provides opportunities for gross motor activities like running, jumping, and climbing, as well as fine motor activities like digging, planting, and drawing.</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5" descr="Register for LEAD Conference at http://www.gesellinstitute.org/events/&#13;&#10;&#13;&#10;Play is being banished from kindergarten classrooms across the U.S. Learn how this is impacting the nation's youth. Narrated by Marcy Guddemi, Executive Director of the Gesell Institute">
              <a:hlinkClick xmlns:r="http://schemas.openxmlformats.org/officeDocument/2006/relationships" xmlns:a="http://schemas.openxmlformats.org/drawingml/2006/main" r:id="Rf27859bb7ad240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369a3225f3842b1" cstate="print">
                      <a:extLst>
                        <a:ext uri="{28A0092B-C50C-407E-A947-70E740481C1C}"/>
                        <a:ext uri="{C809E66F-F1BF-436E-b5F7-EEA9579F0CBA}">
                          <wp15:webVideoPr xmlns:wp15="http://schemas.microsoft.com/office/word/2012/wordprocessingDrawing" embeddedHtml="&lt;iframe type='text/html' width='1280' height='720' src='https://www.youtube.com/embed/_jK-jC2__Fw?autoplay=1&amp;rel=0' frameborder='0'&gt;&lt;/iframe&gt;" h="720" w="1280"/>
                        </a:ext>
                      </a:extLst>
                    </a:blip>
                    <a:stretch>
                      <a:fillRect/>
                    </a:stretch>
                  </pic:blipFill>
                  <pic:spPr>
                    <a:xfrm>
                      <a:off x="0" y="0"/>
                      <a:ext cx="2865755" cy="1611987"/>
                    </a:xfrm>
                    <a:prstGeom prst="rect">
                      <a:avLst/>
                    </a:prstGeom>
                  </pic:spPr>
                </pic:pic>
              </a:graphicData>
            </a:graphic>
          </wp:inline>
        </w:drawing>
      </w:r>
    </w:p>
    <w:p>
      <w:pPr>
        <w:pStyle w:val="Caption"/>
      </w:pPr>
      <w:fldSimple w:instr=" SEQ Figure \*ARABIC ">
        <w:r>
          <w:t xml:space="preserve">2</w:t>
        </w:r>
      </w:fldSimple>
      <w:r>
        <w:t xml:space="preserve"> - </w:t>
      </w:r>
      <w:r>
        <w:rPr>
          <w:rStyle w:val="EmphasizeItalicize"/>
        </w:rPr>
        <w:t xml:space="preserve">This is a demonstation of children playing in doors and outdoors in different ways.</w:t>
      </w:r>
    </w:p>
    <w:p>
      <w:pPr>
        <w:pStyle w:val="Heading1"/>
      </w:pPr>
      <w:r>
        <w:rPr>
          <w:rStyle w:val="Strong"/>
        </w:rPr>
        <w:t xml:space="preserve">Environment </w:t>
      </w:r>
    </w:p>
    <w:p>
      <w:pPr>
        <w:jc w:val="center"/>
      </w:pPr>
      <w:r>
        <w:drawing>
          <wp:inline xmlns:wp14="http://schemas.microsoft.com/office/word/2010/wordprocessingDrawing" xmlns:wp="http://schemas.openxmlformats.org/drawingml/2006/wordprocessingDrawing" distT="0" distB="0" distL="0" distR="0" wp14:editId="50D07946">
            <wp:extent cx="5731510" cy="5321935"/>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3cc6927af3b40a8" cstate="print">
                      <a:extLst>
                        <a:ext uri="{28A0092B-C50C-407E-A947-70E740481C1C}"/>
                      </a:extLst>
                    </a:blip>
                    <a:stretch>
                      <a:fillRect/>
                    </a:stretch>
                  </pic:blipFill>
                  <pic:spPr>
                    <a:xfrm>
                      <a:off x="0" y="0"/>
                      <a:ext cx="5731510" cy="5321935"/>
                    </a:xfrm>
                    <a:prstGeom prst="rect">
                      <a:avLst/>
                    </a:prstGeom>
                  </pic:spPr>
                </pic:pic>
              </a:graphicData>
            </a:graphic>
          </wp:inline>
        </w:drawing>
      </w:r>
    </w:p>
    <w:p>
      <w:pPr>
        <w:pStyle w:val="Normal"/>
      </w:pPr>
      <w:r>
        <w:t xml:space="preserve">A infant’s home environment suggest by Ucl (2022) does directly effect a child directly with their ability to maintain and pit their emotions, attention, thoughts and actions. Also, the environment in which they grow up plays a crucial role in shaping their experiences and outcomes.</w:t>
      </w:r>
    </w:p>
    <w:p>
      <w:pPr>
        <w:pStyle w:val="Normal"/>
      </w:pPr>
    </w:p>
    <w:p>
      <w:pPr>
        <w:pStyle w:val="Normal"/>
      </w:pPr>
      <w:r>
        <w:t xml:space="preserve">Rehab (2022) implies a child’s upbringing at has a large impact on their welfare. A safe environment is key for children to want to learn, grow and explore. The home environment in which the child grows up can influence their physical, cognitive, and social development. Factors such as cleanliness, safety, and access to stimulating toys and activities can impact the child's well-being.Having a home which is divided, or problematic can ultimately affect a child’s intellectual, social, and emotional development. </w:t>
      </w:r>
    </w:p>
    <w:p>
      <w:pPr>
        <w:pStyle w:val="Normal"/>
      </w:pPr>
    </w:p>
    <w:p>
      <w:pPr>
        <w:pStyle w:val="Normal"/>
      </w:pPr>
      <w:r>
        <w:t xml:space="preserve">Also Rehab (2022) believes children require predictability to be nurtured in a stable environment to develop emotionally. Routine is important for children so they know what to expect and can trust they can count on. However, many children have experienced an unstable environment at home this can be due to a lot of reasons. </w:t>
      </w:r>
    </w:p>
    <w:p>
      <w:pPr>
        <w:pStyle w:val="Normal"/>
      </w:pPr>
    </w:p>
    <w:p>
      <w:pPr>
        <w:pStyle w:val="Normal"/>
      </w:pPr>
      <w:r>
        <w:t xml:space="preserve">Financial troubles are a large part in families struggling to provide a structured environment for children. Similar to Rehab (2022) states annually “14,000 babies are born in Shelby County and more than half are born into families with incomes below the poverty line” (Serenity Malibu,2018).  Poverty can affect a child’s life in many ways one such as the neighborhood environment in which the child grows up can impact their access to resources, including healthy food, safe places to play, and quality education. Environmental factors such as pollution and crime can also affect the child's health and well-being.</w:t>
      </w:r>
    </w:p>
    <w:p>
      <w:pPr>
        <w:jc w:val="center"/>
      </w:pPr>
      <w:r>
        <w:drawing>
          <wp:inline xmlns:wp14="http://schemas.microsoft.com/office/word/2010/wordprocessingDrawing" xmlns:wp="http://schemas.openxmlformats.org/drawingml/2006/wordprocessingDrawing" distT="0" distB="0" distL="0" distR="0" wp14:editId="50D07946">
            <wp:extent cx="2865755" cy="1909033"/>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7900163b54640a6" cstate="print">
                      <a:extLst>
                        <a:ext uri="{28A0092B-C50C-407E-A947-70E740481C1C}"/>
                      </a:extLst>
                    </a:blip>
                    <a:stretch>
                      <a:fillRect/>
                    </a:stretch>
                  </pic:blipFill>
                  <pic:spPr>
                    <a:xfrm>
                      <a:off x="0" y="0"/>
                      <a:ext cx="2865755" cy="1909033"/>
                    </a:xfrm>
                    <a:prstGeom prst="rect">
                      <a:avLst/>
                    </a:prstGeom>
                  </pic:spPr>
                </pic:pic>
              </a:graphicData>
            </a:graphic>
          </wp:inline>
        </w:drawing>
      </w:r>
    </w:p>
    <w:p>
      <w:pPr>
        <w:pStyle w:val="Normal"/>
      </w:pPr>
      <w:r>
        <w:t xml:space="preserve">Teaching environment </w:t>
      </w:r>
    </w:p>
    <w:p>
      <w:pPr>
        <w:pStyle w:val="Normal"/>
      </w:pPr>
      <w:r>
        <w:t xml:space="preserve">Techers having a positive environment with children can make students feel safe in sharing their thoughts and trust they can take risks. Children need to feel comfortable in confronting challenges in their learning.  According to Indeed Editorial Team (2021) educators should create types of environments that are appropriate at their stage of learning. Making so children feel they are valued and making so they are the main active participants in the learning progress. For example, teachers can build positive relationships with children by getting to know them individually, showing empathy, and offering encouragement and support. </w:t>
      </w:r>
    </w:p>
    <w:p>
      <w:pPr>
        <w:pStyle w:val="Normal"/>
      </w:pPr>
      <w:r>
        <w:t xml:space="preserve">Similarly, Langston(2016) shares that teachers can foster a love of learning by creating engaging and stimulating activities that spark children's curiosity and creativity. As well as, Teachers can encourage social-emotional development by providing opportunities for children to practice social skills, such as cooperation and empathy, and by offering support and guidance when children experience difficult emotions.</w:t>
      </w:r>
    </w:p>
    <w:p>
      <w:pPr>
        <w:jc w:val="center"/>
      </w:pPr>
      <w:r>
        <w:drawing>
          <wp:inline xmlns:wp14="http://schemas.microsoft.com/office/word/2010/wordprocessingDrawing" xmlns:wp="http://schemas.openxmlformats.org/drawingml/2006/wordprocessingDrawing" distT="0" distB="0" distL="0" distR="0" wp14:editId="50D07946">
            <wp:extent cx="2865755" cy="1910503"/>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89c42f745ed4197" cstate="print">
                      <a:extLst>
                        <a:ext uri="{28A0092B-C50C-407E-A947-70E740481C1C}"/>
                      </a:extLst>
                    </a:blip>
                    <a:stretch>
                      <a:fillRect/>
                    </a:stretch>
                  </pic:blipFill>
                  <pic:spPr>
                    <a:xfrm>
                      <a:off x="0" y="0"/>
                      <a:ext cx="2865755" cy="1910503"/>
                    </a:xfrm>
                    <a:prstGeom prst="rect">
                      <a:avLst/>
                    </a:prstGeom>
                  </pic:spPr>
                </pic:pic>
              </a:graphicData>
            </a:graphic>
          </wp:inline>
        </w:drawing>
      </w:r>
    </w:p>
    <w:p>
      <w:pPr>
        <w:pStyle w:val="Normal"/>
      </w:pPr>
      <w:r>
        <w:t xml:space="preserve">Two theorist, Freud, and Erikson both well known to theories in development. Cherry (2022) highlights that Erikson was influenced but Freud’s ideas however, Erikson’s theory have different points which are important. Friedrich Froebel an important theorist for personal practise in a child life as he opened his own nursery to help children explore play.</w:t>
      </w:r>
    </w:p>
    <w:p>
      <w:pPr>
        <w:pStyle w:val="Normal"/>
      </w:pPr>
      <w:r>
        <w:t xml:space="preserve">Cherry(2022)  suggests Frobel believed that the right to play is enshrined in the UN Convention on the Rights of the Child and the importance of ensuring children have opportunities and spaces to play, where they feel safe and can enjoy themselves without adult direction, is now widely accepted. </w:t>
      </w:r>
    </w:p>
    <w:p>
      <w:pPr>
        <w:pStyle w:val="Normal"/>
      </w:pPr>
      <w:r>
        <w:t xml:space="preserve">Both Freud and Erikson are important theories however they both separate in theory as Freud focuses on psychosexual stages, Erikson focuses on the effect of social experience in a person entire life. </w:t>
      </w:r>
    </w:p>
    <w:p>
      <w:pPr>
        <w:pStyle w:val="Heading1"/>
      </w:pPr>
      <w:r>
        <w:rPr>
          <w:rStyle w:val="Strong"/>
        </w:rPr>
        <w:t xml:space="preserve">Being Inclusive </w:t>
      </w:r>
    </w:p>
    <w:p>
      <w:pPr>
        <w:jc w:val="center"/>
      </w:pPr>
      <w:r>
        <w:drawing>
          <wp:inline xmlns:wp14="http://schemas.microsoft.com/office/word/2010/wordprocessingDrawing" xmlns:wp="http://schemas.openxmlformats.org/drawingml/2006/wordprocessingDrawing" distT="0" distB="0" distL="0" distR="0" wp14:editId="50D07946">
            <wp:extent cx="5731510" cy="3822872"/>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e6b3f56ec4f480a" cstate="print">
                      <a:extLst>
                        <a:ext uri="{28A0092B-C50C-407E-A947-70E740481C1C}"/>
                      </a:extLst>
                    </a:blip>
                    <a:stretch>
                      <a:fillRect/>
                    </a:stretch>
                  </pic:blipFill>
                  <pic:spPr>
                    <a:xfrm>
                      <a:off x="0" y="0"/>
                      <a:ext cx="5731510" cy="3822872"/>
                    </a:xfrm>
                    <a:prstGeom prst="rect">
                      <a:avLst/>
                    </a:prstGeom>
                  </pic:spPr>
                </pic:pic>
              </a:graphicData>
            </a:graphic>
          </wp:inline>
        </w:drawing>
      </w:r>
    </w:p>
    <w:p>
      <w:pPr>
        <w:pStyle w:val="Normal"/>
      </w:pPr>
      <w:r>
        <w:t xml:space="preserve">Children being inclusive with play</w:t>
      </w:r>
    </w:p>
    <w:p>
      <w:pPr>
        <w:pStyle w:val="Normal"/>
      </w:pPr>
      <w:r>
        <w:t xml:space="preserve">Children are encouraged to be inclusive in terms of play as Sensory trust( 2023) believe it to help grow physical, creative and social skills.Its important to encourage them to adapt to each surrounding from a very young age. It allows children to grow healthy friendships and bonds with a vastly diverse group such as children with mental health, physical impairment, and some with learning difficulties. </w:t>
      </w:r>
    </w:p>
    <w:p>
      <w:pPr>
        <w:pStyle w:val="Normal"/>
      </w:pPr>
      <w:r>
        <w:t xml:space="preserve">According to Ludvigsen elt (2005) inclusive play is important as it creates an environment whereby diversity is nurtured and respected. Also, equality is seen as the overall goal not just inclusive as without equally some may feel disadvantaged as there are plays some children can’t partake in. </w:t>
      </w:r>
    </w:p>
    <w:p>
      <w:pPr>
        <w:pStyle w:val="Normal"/>
      </w:pPr>
      <w:r>
        <w:t xml:space="preserve">It’s important that teachers have the right credentials to work in their mainstream setting as professionals as these professionals would be working with venerable children who have many needs to be met. Play being a large one at the first 100 days of the child’s life as they begin nursery life. According to Sense (2023) staff should be trained of medical needs, communications with children even though they may not speak yet they should be able to outline patterns of behaviour. Personal care and health a safe are key when working with children of all age groups. Staff should be well trained and confident enough to be left in safeguarding a child’s life. </w:t>
      </w:r>
    </w:p>
    <w:p>
      <w:pPr>
        <w:pStyle w:val="Normal"/>
      </w:pPr>
      <w:r>
        <w:t xml:space="preserve">Teachers being inclusive with parents accordin to Glasenberg, (2021) believe it’s important that teachers become change agents when working with parents to help change the mindsets of children. The first 100 days is important for teachers to instil confidence and build a partnership with parents. This allows parents to effectively communicate with the school as parents need to be able to share crucial information about their child.</w:t>
      </w:r>
    </w:p>
    <w:p>
      <w:pPr>
        <w:jc w:val="center"/>
      </w:pPr>
      <w:r>
        <w:drawing>
          <wp:inline xmlns:wp14="http://schemas.microsoft.com/office/word/2010/wordprocessingDrawing" xmlns:wp="http://schemas.openxmlformats.org/drawingml/2006/wordprocessingDrawing" distT="0" distB="0" distL="0" distR="0" wp14:editId="50D07946">
            <wp:extent cx="2865755" cy="1398877"/>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b91d1464bdd4630" cstate="print">
                      <a:extLst>
                        <a:ext uri="{28A0092B-C50C-407E-A947-70E740481C1C}"/>
                      </a:extLst>
                    </a:blip>
                    <a:stretch>
                      <a:fillRect/>
                    </a:stretch>
                  </pic:blipFill>
                  <pic:spPr>
                    <a:xfrm>
                      <a:off x="0" y="0"/>
                      <a:ext cx="2865755" cy="1398877"/>
                    </a:xfrm>
                    <a:prstGeom prst="rect">
                      <a:avLst/>
                    </a:prstGeom>
                  </pic:spPr>
                </pic:pic>
              </a:graphicData>
            </a:graphic>
          </wp:inline>
        </w:drawing>
      </w:r>
    </w:p>
    <w:p>
      <w:pPr>
        <w:pStyle w:val="Normal"/>
      </w:pPr>
      <w:r>
        <w:t xml:space="preserve">Teachers</w:t>
      </w:r>
    </w:p>
    <w:p>
      <w:pPr>
        <w:pStyle w:val="Normal"/>
      </w:pPr>
      <w:r>
        <w:t xml:space="preserve">It’s important that teachers have the right credentials to work in their mainstream setting as professionals. As they are working with venerable children who have many needs to be met. Play being a large one at the first 100 days of the child’s life as they begin nursery life. According to Sense (2023) staff should be trained of medical needs, communications with children even though they may not speak yet they should be able to outline patterns of behaviour. Personal care and health a safe are key when working with children of all age groups. Staff should be well trained and confident enough to be left in safeguarding a child’s life. </w:t>
      </w:r>
    </w:p>
    <w:p>
      <w:pPr>
        <w:jc w:val="center"/>
      </w:pPr>
      <w:r>
        <w:drawing>
          <wp:inline xmlns:wp14="http://schemas.microsoft.com/office/word/2010/wordprocessingDrawing" xmlns:wp="http://schemas.openxmlformats.org/drawingml/2006/wordprocessingDrawing" distT="0" distB="0" distL="0" distR="0" wp14:editId="50D07946">
            <wp:extent cx="2865755" cy="1611987"/>
            <wp:effectExtent l="0" t="0" r="0" b="0"/>
            <wp:docPr id="1" name="Picture11" descr="Ally Harris from Glasgow Life was at Gavinburn Nursery teaching them basic skills to use in daily life, activities and sports. In this short video it's all about balancing. &#10;&#10;The kids had great fun. &#10;&#10;More at http://www.oldkilpatrick.com/gavinburn-nursery-glasgow-life">
              <a:hlinkClick xmlns:r="http://schemas.openxmlformats.org/officeDocument/2006/relationships" xmlns:a="http://schemas.openxmlformats.org/drawingml/2006/main" r:id="Ra9cc35216bb1489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7a89164a286437d" cstate="print">
                      <a:extLst>
                        <a:ext uri="{28A0092B-C50C-407E-A947-70E740481C1C}"/>
                        <a:ext uri="{C809E66F-F1BF-436E-b5F7-EEA9579F0CBA}">
                          <wp15:webVideoPr xmlns:wp15="http://schemas.microsoft.com/office/word/2012/wordprocessingDrawing" embeddedHtml="&lt;iframe type='text/html' width='1280' height='720' src='https://www.youtube.com/embed/7WCFb22jnRk?autoplay=1&amp;rel=0' frameborder='0'&gt;&lt;/iframe&gt;" h="720" w="1280"/>
                        </a:ext>
                      </a:extLst>
                    </a:blip>
                    <a:stretch>
                      <a:fillRect/>
                    </a:stretch>
                  </pic:blipFill>
                  <pic:spPr>
                    <a:xfrm>
                      <a:off x="0" y="0"/>
                      <a:ext cx="2865755" cy="1611987"/>
                    </a:xfrm>
                    <a:prstGeom prst="rect">
                      <a:avLst/>
                    </a:prstGeom>
                  </pic:spPr>
                </pic:pic>
              </a:graphicData>
            </a:graphic>
          </wp:inline>
        </w:drawing>
      </w:r>
    </w:p>
    <w:p>
      <w:pPr>
        <w:pStyle w:val="Caption"/>
      </w:pPr>
      <w:fldSimple w:instr=" SEQ Figure \*ARABIC ">
        <w:r>
          <w:t xml:space="preserve">3</w:t>
        </w:r>
      </w:fldSimple>
      <w:r>
        <w:t xml:space="preserve"> - </w:t>
      </w:r>
      <w:r>
        <w:t xml:space="preserve">Displays teachers directing children to play freely. </w:t>
      </w:r>
    </w:p>
    <w:p>
      <w:pPr>
        <w:pStyle w:val="Heading1"/>
      </w:pPr>
      <w:r>
        <w:t xml:space="preserve">Professional Practice</w:t>
      </w:r>
    </w:p>
    <w:p>
      <w:pPr>
        <w:jc w:val="center"/>
      </w:pPr>
      <w:r>
        <w:drawing>
          <wp:inline xmlns:wp14="http://schemas.microsoft.com/office/word/2010/wordprocessingDrawing" xmlns:wp="http://schemas.openxmlformats.org/drawingml/2006/wordprocessingDrawing" distT="0" distB="0" distL="0" distR="0" wp14:editId="50D07946">
            <wp:extent cx="5731510" cy="3385971"/>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ea7c5dd31524fd4" cstate="print">
                      <a:extLst>
                        <a:ext uri="{28A0092B-C50C-407E-A947-70E740481C1C}"/>
                      </a:extLst>
                    </a:blip>
                    <a:stretch>
                      <a:fillRect/>
                    </a:stretch>
                  </pic:blipFill>
                  <pic:spPr>
                    <a:xfrm>
                      <a:off x="0" y="0"/>
                      <a:ext cx="5731510" cy="3385971"/>
                    </a:xfrm>
                    <a:prstGeom prst="rect">
                      <a:avLst/>
                    </a:prstGeom>
                  </pic:spPr>
                </pic:pic>
              </a:graphicData>
            </a:graphic>
          </wp:inline>
        </w:drawing>
      </w:r>
    </w:p>
    <w:p>
      <w:pPr>
        <w:pStyle w:val="Normal"/>
      </w:pPr>
      <w:r>
        <w:t xml:space="preserve">Professional Practice according to </w:t>
      </w:r>
      <w:r>
        <w:rPr>
          <w:rStyle w:val="Emphasis"/>
        </w:rPr>
        <w:t xml:space="preserve">National Design Academy </w:t>
      </w:r>
      <w:r>
        <w:t xml:space="preserve">(2022) is described activities that can help someone to apply their knowledge in an industry or workplace. For example, hospitality their professional practise would be making sure tables are set up with menus, have the right cutlery and food is given without delay. Professional Practice is a good way in building confidences as it allows great opportunity to gain skills that can aid you in being successful in your career.</w:t>
      </w:r>
    </w:p>
    <w:p>
      <w:pPr>
        <w:pStyle w:val="Normal"/>
      </w:pPr>
      <w:r>
        <w:t xml:space="preserve">Professional practise in an early year setting Kelly(2015) suggests that it’s important that all children’s needs are met for their personal development goals and to achieve the greatest form of learning. Another role is the key person role. Kelly (2015) emphasis that they should make conscience effort with both child and parents as well as being responsible that each child has been assessed and planned for individually as well as in a group. They are there to help a child settling in from their first day being away from their parent in a new setting. </w:t>
      </w:r>
    </w:p>
    <w:p>
      <w:pPr>
        <w:pStyle w:val="Heading1"/>
      </w:pPr>
      <w:r>
        <w:rPr>
          <w:rStyle w:val="Strong"/>
        </w:rPr>
        <w:t xml:space="preserve">International approach </w:t>
      </w:r>
    </w:p>
    <w:p>
      <w:pPr>
        <w:jc w:val="center"/>
      </w:pPr>
      <w:r>
        <w:drawing>
          <wp:inline xmlns:wp14="http://schemas.microsoft.com/office/word/2010/wordprocessingDrawing" xmlns:wp="http://schemas.openxmlformats.org/drawingml/2006/wordprocessingDrawing" distT="0" distB="0" distL="0" distR="0" wp14:editId="50D07946">
            <wp:extent cx="5731510" cy="3822872"/>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ec8ee6aca3d4051" cstate="print">
                      <a:extLst>
                        <a:ext uri="{28A0092B-C50C-407E-A947-70E740481C1C}"/>
                      </a:extLst>
                    </a:blip>
                    <a:stretch>
                      <a:fillRect/>
                    </a:stretch>
                  </pic:blipFill>
                  <pic:spPr>
                    <a:xfrm>
                      <a:off x="0" y="0"/>
                      <a:ext cx="5731510" cy="3822872"/>
                    </a:xfrm>
                    <a:prstGeom prst="rect">
                      <a:avLst/>
                    </a:prstGeom>
                  </pic:spPr>
                </pic:pic>
              </a:graphicData>
            </a:graphic>
          </wp:inline>
        </w:drawing>
      </w:r>
    </w:p>
    <w:p>
      <w:pPr>
        <w:pStyle w:val="Normal"/>
      </w:pPr>
      <w:r>
        <w:t xml:space="preserve">This article by Marshall-Seslar (2022) explores the American education system and suggest both Piaget’s and Pate’s stages of play can be used for an infant’s development. Also Marshall-seslar(2022)  believes there isn’t enough cultural diversity displayed in the study. Marshall-seslar(2022) emphases the fact a Piaget us a white male and Parten is white female who both created their theory in an unfair manner. As Piaget observed his own child and Parten did one-minute observations on children playing.</w:t>
      </w:r>
    </w:p>
    <w:p>
      <w:pPr>
        <w:pStyle w:val="Normal"/>
      </w:pPr>
      <w:r>
        <w:t xml:space="preserve">How children can gain an international approach with children in terms of learning as Catts (2023) explores the international Early Years Curriculum. This curriculum has eighty learning principles which all emphasis that children need to learn and develop.</w:t>
      </w:r>
    </w:p>
    <w:p>
      <w:pPr>
        <w:pStyle w:val="Normal"/>
      </w:pPr>
      <w:r>
        <w:t xml:space="preserve">The IEYC process is a bundle of holistic and collaborative approaches to learning making sure children are capturing engaging in activities. Also using each element to link it into the learning principles to unsure the IEYC beliefs are being practised. </w:t>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14" descr="Learn how the CLASS measure organizes effective interactions and why these interactions matter for children's learning and development.&#10;&#10;Teachstone.com">
              <a:hlinkClick xmlns:r="http://schemas.openxmlformats.org/officeDocument/2006/relationships" xmlns:a="http://schemas.openxmlformats.org/drawingml/2006/main" r:id="Rd588025c625c410c"/>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8c48b190ae14860" cstate="print">
                      <a:extLst>
                        <a:ext uri="{28A0092B-C50C-407E-A947-70E740481C1C}"/>
                        <a:ext uri="{C809E66F-F1BF-436E-b5F7-EEA9579F0CBA}">
                          <wp15:webVideoPr xmlns:wp15="http://schemas.microsoft.com/office/word/2012/wordprocessingDrawing" embeddedHtml="&lt;iframe type='text/html' width='640' height='480' src='https://www.youtube.com/embed/2Hw0DbxOmJQ?autoplay=1&amp;rel=0' frameborder='0'&gt;&lt;/iframe&gt;" h="480" w="640"/>
                        </a:ext>
                      </a:extLst>
                    </a:blip>
                    <a:stretch>
                      <a:fillRect/>
                    </a:stretch>
                  </pic:blipFill>
                  <pic:spPr>
                    <a:xfrm>
                      <a:off x="0" y="0"/>
                      <a:ext cx="2865755" cy="2149316"/>
                    </a:xfrm>
                    <a:prstGeom prst="rect">
                      <a:avLst/>
                    </a:prstGeom>
                  </pic:spPr>
                </pic:pic>
              </a:graphicData>
            </a:graphic>
          </wp:inline>
        </w:drawing>
      </w:r>
    </w:p>
    <w:p>
      <w:pPr>
        <w:pStyle w:val="Heading1"/>
      </w:pPr>
    </w:p>
    <w:p>
      <w:pPr>
        <w:jc w:val="center"/>
      </w:pPr>
      <w:r>
        <w:drawing>
          <wp:inline xmlns:wp14="http://schemas.microsoft.com/office/word/2010/wordprocessingDrawing" xmlns:wp="http://schemas.openxmlformats.org/drawingml/2006/wordprocessingDrawing" distT="0" distB="0" distL="0" distR="0" wp14:editId="50D07946">
            <wp:extent cx="5731510" cy="3816230"/>
            <wp:effectExtent l="0" t="0" r="0" b="0"/>
            <wp:docPr id="1" name="Pictur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105519a72984363" cstate="print">
                      <a:extLst>
                        <a:ext uri="{28A0092B-C50C-407E-A947-70E740481C1C}"/>
                      </a:extLst>
                    </a:blip>
                    <a:stretch>
                      <a:fillRect/>
                    </a:stretch>
                  </pic:blipFill>
                  <pic:spPr>
                    <a:xfrm>
                      <a:off x="0" y="0"/>
                      <a:ext cx="5731510" cy="3816230"/>
                    </a:xfrm>
                    <a:prstGeom prst="rect">
                      <a:avLst/>
                    </a:prstGeom>
                  </pic:spPr>
                </pic:pic>
              </a:graphicData>
            </a:graphic>
          </wp:inline>
        </w:drawing>
      </w:r>
    </w:p>
    <w:p>
      <w:pPr>
        <w:pStyle w:val="Normal"/>
      </w:pPr>
    </w:p>
    <w:p>
      <w:pPr>
        <w:pStyle w:val="Normal"/>
      </w:pPr>
      <w:r>
        <w:rPr>
          <w:rStyle w:val="Strong"/>
        </w:rPr>
        <w:t xml:space="preserve">References list </w:t>
      </w:r>
    </w:p>
    <w:p>
      <w:pPr>
        <w:pStyle w:val="Normal"/>
      </w:pPr>
      <w:r>
        <w:t xml:space="preserve"> </w:t>
      </w:r>
    </w:p>
    <w:p>
      <w:pPr>
        <w:pStyle w:val="Normal"/>
      </w:pPr>
      <w:r>
        <w:t xml:space="preserve">First 5 California (2022) </w:t>
      </w:r>
      <w:r>
        <w:rPr>
          <w:rStyle w:val="Emphasis"/>
        </w:rPr>
        <w:t xml:space="preserve">California's parenting website</w:t>
      </w:r>
      <w:r>
        <w:t xml:space="preserve">, </w:t>
      </w:r>
      <w:r>
        <w:rPr>
          <w:rStyle w:val="Emphasis"/>
        </w:rPr>
        <w:t xml:space="preserve">Baby's First 100 Days | First 5 California</w:t>
      </w:r>
      <w:r>
        <w:t xml:space="preserve">. Available at: https://www.first5california.com/en-us/articles/babys-first-100-days/ (Accessed: January 10, 2023). </w:t>
      </w:r>
    </w:p>
    <w:p>
      <w:pPr>
        <w:pStyle w:val="Normal"/>
      </w:pPr>
      <w:r>
        <w:t xml:space="preserve">The department of health and aged care (2022) </w:t>
      </w:r>
      <w:r>
        <w:rPr>
          <w:rStyle w:val="Emphasis"/>
        </w:rPr>
        <w:t xml:space="preserve">The first 1,000 Days</w:t>
      </w:r>
      <w:r>
        <w:t xml:space="preserve">, </w:t>
      </w:r>
      <w:r>
        <w:rPr>
          <w:rStyle w:val="Emphasis"/>
        </w:rPr>
        <w:t xml:space="preserve">Pregnancy, Birth and Baby</w:t>
      </w:r>
      <w:r>
        <w:t xml:space="preserve">. Available at: https://www.pregnancybirthbaby.org.au/the-first-1000-days (Accessed: April 1, 2023).</w:t>
      </w:r>
    </w:p>
    <w:p>
      <w:pPr>
        <w:pStyle w:val="Normal"/>
      </w:pPr>
      <w:r>
        <w:rPr>
          <w:rStyle w:val="Emphasis"/>
        </w:rPr>
        <w:t xml:space="preserve">The evidence for outdoor learning and play - muddy hands</w:t>
      </w:r>
      <w:r>
        <w:t xml:space="preserve"> (2019) </w:t>
      </w:r>
      <w:r>
        <w:rPr>
          <w:rStyle w:val="Emphasis"/>
        </w:rPr>
        <w:t xml:space="preserve">Outdoor Classroom Day</w:t>
      </w:r>
      <w:r>
        <w:t xml:space="preserve">. Available at: https://outdoorclassroomday.com/resource/muddy-hands-report/ (Accessed: January 17, 2023). </w:t>
      </w:r>
    </w:p>
    <w:p>
      <w:pPr>
        <w:pStyle w:val="Normal"/>
      </w:pPr>
      <w:r>
        <w:t xml:space="preserve">Jo Swim, T. (2020) R E SP E CT I N G I N F an T S &amp;amp; to D D L E RS: S T rat e g I E ... - ECCDC. Available at: https://eccdc.org/wp-content/uploads/2020/12/Respecting_Inf_Tod_Oct21-2020.pdf (Accessed: January 12, 2023).</w:t>
      </w:r>
    </w:p>
    <w:p>
      <w:pPr>
        <w:pStyle w:val="Normal"/>
      </w:pPr>
      <w:r>
        <w:t xml:space="preserve">CDC (2021) </w:t>
      </w:r>
      <w:r>
        <w:rPr>
          <w:rStyle w:val="Emphasis"/>
        </w:rPr>
        <w:t xml:space="preserve">Infants (0-1 years)</w:t>
      </w:r>
      <w:r>
        <w:t xml:space="preserve">, </w:t>
      </w:r>
      <w:r>
        <w:rPr>
          <w:rStyle w:val="Emphasis"/>
        </w:rPr>
        <w:t xml:space="preserve">Centers for Disease Control and Prevention</w:t>
      </w:r>
      <w:r>
        <w:t xml:space="preserve">. Centers for Disease Control and Prevention. Available at: https://www.cdc.gov/ncbddd/childdevelopment/positiveparenting/infants.html (Accessed: January 12, 2023). </w:t>
      </w:r>
    </w:p>
    <w:p>
      <w:pPr>
        <w:pStyle w:val="Normal"/>
      </w:pPr>
      <w:r>
        <w:t xml:space="preserve">Parten, M. B. (1932). Social participation among pre-school children. </w:t>
      </w:r>
      <w:r>
        <w:rPr>
          <w:rStyle w:val="Emphasis"/>
        </w:rPr>
        <w:t xml:space="preserve">The Journal of Abnormal and Social Psychology, 27</w:t>
      </w:r>
      <w:r>
        <w:t xml:space="preserve">(3), 243–269. </w:t>
      </w:r>
      <w:hyperlink xmlns:r="http://schemas.openxmlformats.org/officeDocument/2006/relationships" r:id="R848c6204f6894085">
        <w:r>
          <w:rPr>
            <w:rStyle w:val="SwayHyperlink"/>
          </w:rPr>
          <w:t xml:space="preserve">https://doi.org/10.1037/h0074524</w:t>
        </w:r>
      </w:hyperlink>
    </w:p>
    <w:p>
      <w:pPr>
        <w:pStyle w:val="Normal"/>
      </w:pPr>
      <w:r>
        <w:t xml:space="preserve">nidirect (2022) </w:t>
      </w:r>
      <w:r>
        <w:rPr>
          <w:rStyle w:val="Emphasis"/>
        </w:rPr>
        <w:t xml:space="preserve">How play helps Children's development</w:t>
      </w:r>
      <w:r>
        <w:t xml:space="preserve">, </w:t>
      </w:r>
      <w:r>
        <w:rPr>
          <w:rStyle w:val="Emphasis"/>
        </w:rPr>
        <w:t xml:space="preserve">nidirect</w:t>
      </w:r>
      <w:r>
        <w:t xml:space="preserve">. Available at: https://www.nidirect.gov.uk/articles/how-play-helps-childrens-development (Accessed: January 17, 2023). </w:t>
      </w:r>
    </w:p>
    <w:p>
      <w:pPr>
        <w:pStyle w:val="Normal"/>
      </w:pPr>
      <w:r>
        <w:t xml:space="preserve">Mcleod, S. (2020) </w:t>
      </w:r>
      <w:r>
        <w:rPr>
          <w:rStyle w:val="Emphasis"/>
        </w:rPr>
        <w:t xml:space="preserve">Jean Piaget's theory and stages of cognitive development</w:t>
      </w:r>
      <w:r>
        <w:t xml:space="preserve">, </w:t>
      </w:r>
      <w:r>
        <w:rPr>
          <w:rStyle w:val="Emphasis"/>
        </w:rPr>
        <w:t xml:space="preserve">Jean Piaget's Theory and Stages of Cognitive Development - Simply Psychology</w:t>
      </w:r>
      <w:r>
        <w:t xml:space="preserve">. Available at: https://www.simplypsychology.org/piaget.html (Accessed: January 17, 2023). </w:t>
      </w:r>
    </w:p>
    <w:p>
      <w:pPr>
        <w:pStyle w:val="Normal"/>
      </w:pPr>
      <w:r>
        <w:t xml:space="preserve">Albrecht, K. (2016) </w:t>
      </w:r>
      <w:r>
        <w:rPr>
          <w:rStyle w:val="Emphasis"/>
        </w:rPr>
        <w:t xml:space="preserve">What's play got to do with it?</w:t>
      </w:r>
      <w:r>
        <w:t xml:space="preserve"> Available at: https://www.communityplaythings.co.uk/learning-library/articles/whats-play-got-to-do-with-it (Accessed: January 18, 2023). </w:t>
      </w:r>
    </w:p>
    <w:p>
      <w:pPr>
        <w:pStyle w:val="Normal"/>
      </w:pPr>
      <w:r>
        <w:t xml:space="preserve">McCabe, C. (2022) </w:t>
      </w:r>
      <w:r>
        <w:rPr>
          <w:rStyle w:val="Emphasis"/>
        </w:rPr>
        <w:t xml:space="preserve">Parten's 6 stages of play</w:t>
      </w:r>
      <w:r>
        <w:t xml:space="preserve">, </w:t>
      </w:r>
      <w:r>
        <w:rPr>
          <w:rStyle w:val="Emphasis"/>
        </w:rPr>
        <w:t xml:space="preserve">ParentPal</w:t>
      </w:r>
      <w:r>
        <w:t xml:space="preserve">. Available at: https://getparentpal.com/confident-parenting/partens-6-different-stages-of-play/ (Accessed: January 18, 2023). </w:t>
      </w:r>
    </w:p>
    <w:p>
      <w:pPr>
        <w:pStyle w:val="Normal"/>
      </w:pPr>
      <w:r>
        <w:t xml:space="preserve">Roberts, Z. (2020) </w:t>
      </w:r>
      <w:r>
        <w:rPr>
          <w:rStyle w:val="Emphasis"/>
        </w:rPr>
        <w:t xml:space="preserve">How our respectful care approach benefits your child</w:t>
      </w:r>
      <w:r>
        <w:t xml:space="preserve">, </w:t>
      </w:r>
      <w:r>
        <w:rPr>
          <w:rStyle w:val="Emphasis"/>
        </w:rPr>
        <w:t xml:space="preserve">Tops Day Nurseries</w:t>
      </w:r>
      <w:r>
        <w:t xml:space="preserve">. Available at: https://www.topsdaynurseries.co.uk/how-our-respectful-care-approach-benefits-your-child/ (Accessed: January 11, 2023). </w:t>
      </w:r>
    </w:p>
    <w:p>
      <w:pPr>
        <w:pStyle w:val="Normal"/>
      </w:pPr>
      <w:r>
        <w:t xml:space="preserve">Glasenberg, E. (2021) </w:t>
      </w:r>
      <w:r>
        <w:rPr>
          <w:rStyle w:val="Emphasis"/>
        </w:rPr>
        <w:t xml:space="preserve">How parent-teacher communication holds the key to inclusion</w:t>
      </w:r>
      <w:r>
        <w:t xml:space="preserve">, </w:t>
      </w:r>
      <w:r>
        <w:rPr>
          <w:rStyle w:val="Emphasis"/>
        </w:rPr>
        <w:t xml:space="preserve">School Management Plus: School &amp; education news worldwide</w:t>
      </w:r>
      <w:r>
        <w:t xml:space="preserve">. Available at: https://www.schoolmanagementplus.com/inclusion/how-parent-teacher-communication-holds-the-key-to-inclusion/ (Accessed: February 12, 2023). </w:t>
      </w:r>
    </w:p>
    <w:p>
      <w:pPr>
        <w:pStyle w:val="Normal"/>
      </w:pPr>
      <w:r>
        <w:t xml:space="preserve">Wagener, C. (2020) Respectful infant care - office of Child Care and Family Resources. Available at: https://occfr.wisc.edu/wp-content/uploads/2017/02/RespectfulInfantCare_2014.pdf (Accessed: January 12, 2023).</w:t>
      </w:r>
    </w:p>
    <w:p>
      <w:pPr>
        <w:pStyle w:val="Normal"/>
      </w:pPr>
      <w:r>
        <w:t xml:space="preserve">sense (2023) </w:t>
      </w:r>
      <w:r>
        <w:rPr>
          <w:rStyle w:val="Emphasis"/>
        </w:rPr>
        <w:t xml:space="preserve">Toolkit: Making play inclusive</w:t>
      </w:r>
      <w:r>
        <w:t xml:space="preserve">, </w:t>
      </w:r>
      <w:r>
        <w:rPr>
          <w:rStyle w:val="Emphasis"/>
        </w:rPr>
        <w:t xml:space="preserve">Sense</w:t>
      </w:r>
      <w:r>
        <w:t xml:space="preserve">. Available at: https://www.sense.org.uk/information-and-advice/for-professionals/resources-for-education-and-early-years-professionals/making-play-inclusive/ (Accessed: January 12, 2023). </w:t>
      </w:r>
    </w:p>
    <w:p>
      <w:pPr>
        <w:pStyle w:val="Normal"/>
      </w:pPr>
      <w:r>
        <w:t xml:space="preserve">Tovey, H. (2017) </w:t>
      </w:r>
      <w:r>
        <w:rPr>
          <w:rStyle w:val="Emphasis"/>
        </w:rPr>
        <w:t xml:space="preserve">Froebel principles and practice today</w:t>
      </w:r>
      <w:r>
        <w:t xml:space="preserve">. Available at: https://www.froebel.org.uk/uploads/documents/FT-Froebels-principles-and-practice-today.pdf (Accessed: April 1, 2023).</w:t>
      </w:r>
    </w:p>
    <w:p>
      <w:pPr>
        <w:pStyle w:val="Normal"/>
      </w:pPr>
      <w:r>
        <w:t xml:space="preserve">sensory trust (2023) Guide to inclusive play - sensory trust, Guide to inclusive play - Sensory Trust. Available at: https://www.sensorytrust.org.uk/resources/guidance/inclusive-play (Accessed: February 12, 2023).</w:t>
      </w:r>
    </w:p>
    <w:p>
      <w:pPr>
        <w:pStyle w:val="Normal"/>
      </w:pPr>
      <w:r>
        <w:t xml:space="preserve">ludvigen, A., creegan, C. and Mills, H. (2005) </w:t>
      </w:r>
      <w:r>
        <w:rPr>
          <w:rStyle w:val="Emphasis"/>
        </w:rPr>
        <w:t xml:space="preserve">Evaluation of better play around three</w:t>
      </w:r>
      <w:r>
        <w:t xml:space="preserve">. Available at: https://www.inclusivechoice.com/Lets%20play%20together%20-%20play%20and%20inclusion.pdf (Accessed: January 12, 2023). </w:t>
      </w:r>
    </w:p>
    <w:p>
      <w:pPr>
        <w:pStyle w:val="Normal"/>
      </w:pPr>
      <w:r>
        <w:t xml:space="preserve">Langston, A. (2016) </w:t>
      </w:r>
      <w:r>
        <w:rPr>
          <w:rStyle w:val="Emphasis"/>
        </w:rPr>
        <w:t xml:space="preserve">Enabling environments</w:t>
      </w:r>
      <w:r>
        <w:t xml:space="preserve">, </w:t>
      </w:r>
      <w:r>
        <w:rPr>
          <w:rStyle w:val="Emphasis"/>
        </w:rPr>
        <w:t xml:space="preserve">Early Years Matters</w:t>
      </w:r>
      <w:r>
        <w:t xml:space="preserve">. Available at: https://www.earlyyearsmatters.co.uk/our-services/school-and-nursery-improvement-partner/enabling-environments/ (Accessed: April 1, 2023).</w:t>
      </w:r>
    </w:p>
    <w:p>
      <w:pPr>
        <w:pStyle w:val="Normal"/>
      </w:pPr>
      <w:r>
        <w:t xml:space="preserve">Mcleod, S. (2023) </w:t>
      </w:r>
      <w:r>
        <w:rPr>
          <w:rStyle w:val="Emphasis"/>
        </w:rPr>
        <w:t xml:space="preserve">Bronfenbrenner's ecological systems theory</w:t>
      </w:r>
      <w:r>
        <w:t xml:space="preserve">, </w:t>
      </w:r>
      <w:r>
        <w:rPr>
          <w:rStyle w:val="Emphasis"/>
        </w:rPr>
        <w:t xml:space="preserve">Simply Psychology</w:t>
      </w:r>
      <w:r>
        <w:t xml:space="preserve">. Available at: https://www.simplypsychology.org/bronfenbrenner.html (Accessed: April 1, 2023).</w:t>
      </w:r>
    </w:p>
    <w:p>
      <w:pPr>
        <w:pStyle w:val="Normal"/>
      </w:pPr>
      <w:r>
        <w:t xml:space="preserve">Ray, J. (2001) </w:t>
      </w:r>
      <w:r>
        <w:rPr>
          <w:rStyle w:val="Emphasis"/>
        </w:rPr>
        <w:t xml:space="preserve">National Dropout Prevention Center</w:t>
      </w:r>
      <w:r>
        <w:t xml:space="preserve">. Available at: https://www.dropoutprevention.org/wp-content/uploads/2015/07/paquetteryanwebquest_20091110.pdf (Accessed: April 1, 2023).</w:t>
      </w:r>
    </w:p>
    <w:p>
      <w:pPr>
        <w:pStyle w:val="Normal"/>
      </w:pPr>
      <w:r>
        <w:t xml:space="preserve">Cherry, K. (2022) </w:t>
      </w:r>
      <w:r>
        <w:rPr>
          <w:rStyle w:val="Emphasis"/>
        </w:rPr>
        <w:t xml:space="preserve">How do Erikson's and Freud's theories compare?</w:t>
      </w:r>
      <w:r>
        <w:t xml:space="preserve">, </w:t>
      </w:r>
      <w:r>
        <w:rPr>
          <w:rStyle w:val="Emphasis"/>
        </w:rPr>
        <w:t xml:space="preserve">Verywell Mind</w:t>
      </w:r>
      <w:r>
        <w:t xml:space="preserve">. Verywell Mind. Available at: https://www.verywellmind.com/freud-and-erikson-compared-2795959 (Accessed: January 12, 2023). </w:t>
      </w:r>
    </w:p>
    <w:p>
      <w:pPr>
        <w:pStyle w:val="Normal"/>
      </w:pPr>
      <w:r>
        <w:t xml:space="preserve">Cherry(2017) What is Piaget's theory of cognitive development?, Verywell Mind. Verywell Mind. Available at: https://www.verywellmind.com/piagets-stages-of-cognitive-development-2795457 (Accessed: January 12, 2023).</w:t>
      </w:r>
    </w:p>
    <w:p>
      <w:pPr>
        <w:pStyle w:val="Normal"/>
      </w:pPr>
      <w:r>
        <w:t xml:space="preserve">Rehab, S.M. (2022) </w:t>
      </w:r>
      <w:r>
        <w:rPr>
          <w:rStyle w:val="Emphasis"/>
        </w:rPr>
        <w:t xml:space="preserve">The effects of growing up in an unstable environment</w:t>
      </w:r>
      <w:r>
        <w:t xml:space="preserve">, </w:t>
      </w:r>
      <w:r>
        <w:rPr>
          <w:rStyle w:val="Emphasis"/>
        </w:rPr>
        <w:t xml:space="preserve">Serenity Malibu</w:t>
      </w:r>
      <w:r>
        <w:t xml:space="preserve">. Available at: https://www.serenitymaliburehab.com/effects-growing-unstable-environment/ (Accessed: January 12, 2023). </w:t>
      </w:r>
    </w:p>
    <w:p>
      <w:pPr>
        <w:pStyle w:val="Normal"/>
      </w:pPr>
      <w:r>
        <w:t xml:space="preserve">Serenity Malibu (2018) </w:t>
      </w:r>
      <w:r>
        <w:rPr>
          <w:rStyle w:val="Emphasis"/>
        </w:rPr>
        <w:t xml:space="preserve">Family &amp; Home</w:t>
      </w:r>
      <w:r>
        <w:t xml:space="preserve">, </w:t>
      </w:r>
      <w:r>
        <w:rPr>
          <w:rStyle w:val="Emphasis"/>
        </w:rPr>
        <w:t xml:space="preserve">Urban Child Institute</w:t>
      </w:r>
      <w:r>
        <w:t xml:space="preserve">. Available at: http://www.urbanchildinstitute.org/resources/publications/data-book-2013/family-home (Accessed: January 12, 2023). </w:t>
      </w:r>
    </w:p>
    <w:p>
      <w:pPr>
        <w:pStyle w:val="Normal"/>
      </w:pPr>
      <w:r>
        <w:t xml:space="preserve">Ucl (2022) </w:t>
      </w:r>
      <w:r>
        <w:rPr>
          <w:rStyle w:val="Emphasis"/>
        </w:rPr>
        <w:t xml:space="preserve">Research shows a link between the home environment and children's development of self-regulation</w:t>
      </w:r>
      <w:r>
        <w:t xml:space="preserve">, </w:t>
      </w:r>
      <w:r>
        <w:rPr>
          <w:rStyle w:val="Emphasis"/>
        </w:rPr>
        <w:t xml:space="preserve">IOE - Faculty of Education and Society</w:t>
      </w:r>
      <w:r>
        <w:t xml:space="preserve">. Available at: https://www.ucl.ac.uk/ioe/news/2020/dec/research-shows-link-between-home-environment-and-childrens-development-self-regulation (Accessed: January 12, 2023). </w:t>
      </w:r>
    </w:p>
    <w:p>
      <w:pPr>
        <w:pStyle w:val="Normal"/>
      </w:pPr>
      <w:r>
        <w:t xml:space="preserve">Cherry, K. (2022) </w:t>
      </w:r>
      <w:r>
        <w:rPr>
          <w:rStyle w:val="Emphasis"/>
        </w:rPr>
        <w:t xml:space="preserve">How do Erikson's and Freud's theories compare?</w:t>
      </w:r>
      <w:r>
        <w:t xml:space="preserve">, </w:t>
      </w:r>
      <w:r>
        <w:rPr>
          <w:rStyle w:val="Emphasis"/>
        </w:rPr>
        <w:t xml:space="preserve">Verywell Mind</w:t>
      </w:r>
      <w:r>
        <w:t xml:space="preserve">. Verywell Mind. Available at: https://www.verywellmind.com/freud-and-erikson-compared-2795959 (Accessed: January 12, 2023). </w:t>
      </w:r>
    </w:p>
    <w:p>
      <w:pPr>
        <w:pStyle w:val="Normal"/>
      </w:pPr>
      <w:r>
        <w:rPr>
          <w:rStyle w:val="Emphasis"/>
        </w:rPr>
        <w:t xml:space="preserve">National Design Academy </w:t>
      </w:r>
      <w:r>
        <w:t xml:space="preserve">(2022) </w:t>
      </w:r>
      <w:r>
        <w:rPr>
          <w:rStyle w:val="Emphasis"/>
        </w:rPr>
        <w:t xml:space="preserve">,What is professional practice?</w:t>
      </w:r>
      <w:r>
        <w:t xml:space="preserve"> . Available at: https://www.nda.ac.uk/blog/what-is-professional-practice/ (Accessed: January 12, 2023). </w:t>
      </w:r>
    </w:p>
    <w:p>
      <w:pPr>
        <w:pStyle w:val="Normal"/>
      </w:pPr>
      <w:r>
        <w:t xml:space="preserve">Marshall-Seslar, A. (2022) </w:t>
      </w:r>
      <w:r>
        <w:rPr>
          <w:rStyle w:val="Emphasis"/>
        </w:rPr>
        <w:t xml:space="preserve">Stages of play: The play theories of parten and piaget</w:t>
      </w:r>
      <w:r>
        <w:t xml:space="preserve">, </w:t>
      </w:r>
      <w:r>
        <w:rPr>
          <w:rStyle w:val="Emphasis"/>
        </w:rPr>
        <w:t xml:space="preserve">Well Beings with Alysia</w:t>
      </w:r>
      <w:r>
        <w:t xml:space="preserve">. Available at: https://wellbeingswithalysia.com/stages-of-play/ (Accessed: January 12, </w:t>
      </w:r>
    </w:p>
    <w:p>
      <w:pPr>
        <w:pStyle w:val="Normal"/>
      </w:pPr>
      <w:r>
        <w:t xml:space="preserve">Catts john (2023) </w:t>
      </w:r>
      <w:r>
        <w:rPr>
          <w:rStyle w:val="Emphasis"/>
        </w:rPr>
        <w:t xml:space="preserve">Internationalschoolsearch.com</w:t>
      </w:r>
      <w:r>
        <w:t xml:space="preserve">, </w:t>
      </w:r>
      <w:r>
        <w:rPr>
          <w:rStyle w:val="Emphasis"/>
        </w:rPr>
        <w:t xml:space="preserve">The International Early Years Curriculum – John Catt's School Search</w:t>
      </w:r>
      <w:r>
        <w:t xml:space="preserve">. Available at: https://www.internationalschoolsearch.com/the-international-early-years-curriculum (Accessed: January 12, 2023). </w:t>
      </w:r>
    </w:p>
    <w:p>
      <w:pPr>
        <w:pStyle w:val="Normal"/>
      </w:pPr>
      <w:r>
        <w:t xml:space="preserve">sense (2022) </w:t>
      </w:r>
      <w:r>
        <w:rPr>
          <w:rStyle w:val="Emphasis"/>
        </w:rPr>
        <w:t xml:space="preserve">Resources for Education and early years professionals</w:t>
      </w:r>
      <w:r>
        <w:t xml:space="preserve">, </w:t>
      </w:r>
      <w:r>
        <w:rPr>
          <w:rStyle w:val="Emphasis"/>
        </w:rPr>
        <w:t xml:space="preserve">Sense</w:t>
      </w:r>
      <w:r>
        <w:t xml:space="preserve">. Available at: https://www.sense.org.uk/information-and-advice/for-professionals/resources-for-education-and-early-years-professionals/ (Accessed: January 12, 2023). </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ae7a74538f2b42dc" /><Relationship Type="http://schemas.openxmlformats.org/officeDocument/2006/relationships/image" Target="/media/image.jpg" Id="Rc51973e44fd84c03" /><Relationship Type="http://schemas.openxmlformats.org/officeDocument/2006/relationships/image" Target="/media/image2.jpg" Id="Rc851e51e7afa448d" /><Relationship Type="http://schemas.openxmlformats.org/officeDocument/2006/relationships/image" Target="/media/image3.jpg" Id="R7a2eedfaeff34dc0" /><Relationship Type="http://schemas.openxmlformats.org/officeDocument/2006/relationships/image" Target="/media/image4.jpg" Id="R02c920b0c0c149b4" /><Relationship Type="http://schemas.openxmlformats.org/officeDocument/2006/relationships/image" Target="/media/image5.jpg" Id="R1369a3225f3842b1" /><Relationship Type="http://schemas.openxmlformats.org/officeDocument/2006/relationships/hyperlink" Target="https://youtu.be/_jK-jC2__Fw" TargetMode="External" Id="Rf27859bb7ad24016" /><Relationship Type="http://schemas.openxmlformats.org/officeDocument/2006/relationships/settings" Target="/word/settings.xml" Id="Rb1b56cfa85df4c6e" /><Relationship Type="http://schemas.openxmlformats.org/officeDocument/2006/relationships/image" Target="/media/image6.jpg" Id="R83cc6927af3b40a8" /><Relationship Type="http://schemas.openxmlformats.org/officeDocument/2006/relationships/image" Target="/media/image7.jpg" Id="R37900163b54640a6" /><Relationship Type="http://schemas.openxmlformats.org/officeDocument/2006/relationships/image" Target="/media/image8.jpg" Id="R789c42f745ed4197" /><Relationship Type="http://schemas.openxmlformats.org/officeDocument/2006/relationships/image" Target="/media/image9.jpg" Id="Rfe6b3f56ec4f480a" /><Relationship Type="http://schemas.openxmlformats.org/officeDocument/2006/relationships/image" Target="/media/imagea.jpg" Id="R3b91d1464bdd4630" /><Relationship Type="http://schemas.openxmlformats.org/officeDocument/2006/relationships/image" Target="/media/imageb.jpg" Id="Rb7a89164a286437d" /><Relationship Type="http://schemas.openxmlformats.org/officeDocument/2006/relationships/hyperlink" Target="https://youtu.be/7WCFb22jnRk" TargetMode="External" Id="Ra9cc35216bb1489d" /><Relationship Type="http://schemas.openxmlformats.org/officeDocument/2006/relationships/image" Target="/media/imagec.jpg" Id="R1ea7c5dd31524fd4" /><Relationship Type="http://schemas.openxmlformats.org/officeDocument/2006/relationships/image" Target="/media/imaged.jpg" Id="Raec8ee6aca3d4051" /><Relationship Type="http://schemas.openxmlformats.org/officeDocument/2006/relationships/image" Target="/media/imagee.jpg" Id="Re8c48b190ae14860" /><Relationship Type="http://schemas.openxmlformats.org/officeDocument/2006/relationships/hyperlink" Target="https://youtu.be/2Hw0DbxOmJQ" TargetMode="External" Id="Rd588025c625c410c" /><Relationship Type="http://schemas.openxmlformats.org/officeDocument/2006/relationships/image" Target="/media/imagef.jpg" Id="Rb105519a72984363" /><Relationship Type="http://schemas.openxmlformats.org/officeDocument/2006/relationships/hyperlink" Target="https://psycnet.apa.org/doi/10.1037/h0074524" TargetMode="External" Id="R848c6204f6894085" /></Relationships>
</file>