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98383B" w14:textId="1D0FDD5A" w:rsidR="0059010C" w:rsidRPr="0059010C" w:rsidRDefault="0059010C">
      <w:pPr>
        <w:rPr>
          <w:rFonts w:ascii="Arial" w:hAnsi="Arial" w:cs="Arial"/>
          <w:b/>
          <w:bCs/>
          <w:sz w:val="28"/>
          <w:szCs w:val="28"/>
        </w:rPr>
      </w:pPr>
      <w:r w:rsidRPr="0059010C">
        <w:rPr>
          <w:rFonts w:ascii="Arial" w:hAnsi="Arial" w:cs="Arial"/>
          <w:b/>
          <w:bCs/>
          <w:sz w:val="28"/>
          <w:szCs w:val="28"/>
        </w:rPr>
        <w:t>References</w:t>
      </w:r>
    </w:p>
    <w:p w14:paraId="16F04AAF" w14:textId="30F6264D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British Association of Social Workers (2021)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The BASW code of ethics for social work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Birmingham: British Association of Social Workers. Available at: </w:t>
      </w:r>
      <w:hyperlink r:id="rId4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https://basw.co.uk/policy-practice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/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standards/code-ethics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0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1B6DEA67" w14:textId="56C63F6D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British Association of Social Workers (n.d.)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Professional Capabilities Framework (PCF)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Birmingham: British Association of Social Workers. Available at: </w:t>
      </w:r>
      <w:hyperlink r:id="rId5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https://basw.co.uk/training-cpd/professional-capab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i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lities-framework-pcf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0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62C62830" w14:textId="4AB94EE4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(2026a)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Information sharing to safeguard children and young people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Department for Education. Available at: </w:t>
      </w:r>
      <w:hyperlink r:id="rId6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https://www.gov.uk/government/publications/inform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a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tion-sharing-to-safeguard-children-and-young-people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6700B12C" w14:textId="22CD1973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(2026b)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Working together to safeguard children 2026: statutory guidance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Department for Education. Available at: </w:t>
      </w:r>
      <w:hyperlink r:id="rId7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https://www.gov.uk/government/pu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b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lications/working-together-to-safeguard-children--2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0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2099C8DE" w14:textId="352D0835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Felitti, V.J.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et al.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(1998) ‘Relationship of childhood abuse and household dysfunction to many of the leading causes of death in adults: The Adverse Childhood Experiences (ACE) Study’,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American Journal of Preventive Medicine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14(4), pp. 245–258. Available at: </w:t>
      </w:r>
      <w:hyperlink r:id="rId8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s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://doi.org/10.1016/S0749-3797(98)00017-8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46BBA4FF" w14:textId="7B9F63F2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Firmin, C. (2017)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Contextual safeguarding: an overview of the operational, strategic and conceptual framework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Luton: University of Bedfordshire. Available at: </w:t>
      </w:r>
      <w:hyperlink r:id="rId9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https://pure.beds.ac.uk/ws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/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files/19031175/Contextual-Safeguarding-Briefing.pdf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0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27B594E4" w14:textId="6E1D82C8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Great Britain (1989)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Children Act 1989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c. 41. London: The Stationery Office. Available at: </w:t>
      </w:r>
      <w:hyperlink r:id="rId10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.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legislation.gov.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u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k/ukpga/1989/41/contents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9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7C1DC8E3" w14:textId="63CAA24E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Great Britain (2004)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Children Act 2004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c. 31. London: The Stationery Office. Available at: </w:t>
      </w:r>
      <w:hyperlink r:id="rId11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https://www.legislation.gov.uk/ukpga/2004/31/contents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9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6ED1693F" w14:textId="77777777" w:rsid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DB0B968" w14:textId="189D8A5A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Munro, E. (2011)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The Munro review of child protection: final report – a child-centred system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The Stationery Office. Available at: </w:t>
      </w:r>
      <w:hyperlink r:id="rId12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https://www.gov.uk/government/publications/munro-review-of-child-protection-final-report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-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a-child-centred-system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0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1FC597E2" w14:textId="48148B02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Nicolas, J. (2023)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 Safeguarding Practice Review into the Death of Adult A (BSCP 2020/21-02)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Birmingham: Birmingham Safeguarding Children Partnership. Available at: </w:t>
      </w:r>
      <w:hyperlink r:id="rId13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https://www.joannanicolas.co.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u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k/wp-content/uploads/2023/10/child-safeguarding-practice-review-Oct-23-Adult-A-BSCP-2020-21-02-Child-A-CSPR.pdf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9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7A608F6A" w14:textId="0D60E20D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Social Work England (2019)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Professional standards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Sheffield: Social Work England. Available at: </w:t>
      </w:r>
      <w:hyperlink r:id="rId14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https://www.socialworkengland.org.uk/stand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a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rds/professional-standards/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9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656ADF4D" w14:textId="4235735B" w:rsid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Social Work England (2020)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Professional standards guidance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Sheffield: Social Work England. Available at: </w:t>
      </w:r>
      <w:hyperlink r:id="rId15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https://www.socialworkengla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n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d.org.uk/standards/professional-standards-guidance/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083A88D9" w14:textId="3941DD95" w:rsidR="00307A81" w:rsidRPr="00307A81" w:rsidRDefault="00307A81" w:rsidP="00307A81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307A81">
        <w:rPr>
          <w:rFonts w:ascii="Arial" w:hAnsi="Arial" w:cs="Arial"/>
          <w:sz w:val="22"/>
          <w:szCs w:val="22"/>
        </w:rPr>
        <w:t xml:space="preserve">Substance Abuse and Mental Health Services Administration (2014) </w:t>
      </w:r>
      <w:r w:rsidRPr="00307A81">
        <w:rPr>
          <w:rStyle w:val="Emphasis"/>
          <w:rFonts w:ascii="Arial" w:hAnsi="Arial" w:cs="Arial"/>
          <w:sz w:val="22"/>
          <w:szCs w:val="22"/>
        </w:rPr>
        <w:t>SAMHSA's concept of trauma and guidance for a trauma-informed approach</w:t>
      </w:r>
      <w:r w:rsidRPr="00307A81">
        <w:rPr>
          <w:rFonts w:ascii="Arial" w:hAnsi="Arial" w:cs="Arial"/>
          <w:sz w:val="22"/>
          <w:szCs w:val="22"/>
        </w:rPr>
        <w:t xml:space="preserve">. HHS Publication No. (SMA) 14-4884. Rockville, MD: Substance Abuse and Mental Health Services Administration. Available at: </w:t>
      </w:r>
      <w:hyperlink r:id="rId16" w:history="1">
        <w:r w:rsidRPr="00307A81">
          <w:rPr>
            <w:rStyle w:val="Hyperlink"/>
            <w:rFonts w:ascii="Arial" w:hAnsi="Arial" w:cs="Arial"/>
            <w:sz w:val="22"/>
            <w:szCs w:val="22"/>
          </w:rPr>
          <w:t>https://cblcc.acf.hhs.gov/wp-content/uploads/SAMHSAC</w:t>
        </w:r>
        <w:r w:rsidRPr="00307A81">
          <w:rPr>
            <w:rStyle w:val="Hyperlink"/>
            <w:rFonts w:ascii="Arial" w:hAnsi="Arial" w:cs="Arial"/>
            <w:sz w:val="22"/>
            <w:szCs w:val="22"/>
          </w:rPr>
          <w:t>o</w:t>
        </w:r>
        <w:r w:rsidRPr="00307A81">
          <w:rPr>
            <w:rStyle w:val="Hyperlink"/>
            <w:rFonts w:ascii="Arial" w:hAnsi="Arial" w:cs="Arial"/>
            <w:sz w:val="22"/>
            <w:szCs w:val="22"/>
          </w:rPr>
          <w:t>ncept</w:t>
        </w:r>
        <w:r w:rsidRPr="00307A81">
          <w:rPr>
            <w:rStyle w:val="Hyperlink"/>
            <w:rFonts w:ascii="Arial" w:hAnsi="Arial" w:cs="Arial"/>
            <w:sz w:val="22"/>
            <w:szCs w:val="22"/>
          </w:rPr>
          <w:t>o</w:t>
        </w:r>
        <w:r w:rsidRPr="00307A81">
          <w:rPr>
            <w:rStyle w:val="Hyperlink"/>
            <w:rFonts w:ascii="Arial" w:hAnsi="Arial" w:cs="Arial"/>
            <w:sz w:val="22"/>
            <w:szCs w:val="22"/>
          </w:rPr>
          <w:t>fTra</w:t>
        </w:r>
        <w:r w:rsidRPr="00307A81">
          <w:rPr>
            <w:rStyle w:val="Hyperlink"/>
            <w:rFonts w:ascii="Arial" w:hAnsi="Arial" w:cs="Arial"/>
            <w:sz w:val="22"/>
            <w:szCs w:val="22"/>
          </w:rPr>
          <w:t>u</w:t>
        </w:r>
        <w:r w:rsidRPr="00307A81">
          <w:rPr>
            <w:rStyle w:val="Hyperlink"/>
            <w:rFonts w:ascii="Arial" w:hAnsi="Arial" w:cs="Arial"/>
            <w:sz w:val="22"/>
            <w:szCs w:val="22"/>
          </w:rPr>
          <w:t>ma.pdf</w:t>
        </w:r>
      </w:hyperlink>
      <w:r w:rsidRPr="00307A81">
        <w:rPr>
          <w:rFonts w:ascii="Arial" w:hAnsi="Arial" w:cs="Arial"/>
          <w:sz w:val="22"/>
          <w:szCs w:val="22"/>
        </w:rPr>
        <w:t xml:space="preserve"> (Accessed: 1</w:t>
      </w:r>
      <w:r>
        <w:rPr>
          <w:rFonts w:ascii="Arial" w:hAnsi="Arial" w:cs="Arial"/>
          <w:sz w:val="22"/>
          <w:szCs w:val="22"/>
        </w:rPr>
        <w:t xml:space="preserve">0 </w:t>
      </w:r>
      <w:r w:rsidRPr="00307A81">
        <w:rPr>
          <w:rFonts w:ascii="Arial" w:hAnsi="Arial" w:cs="Arial"/>
          <w:sz w:val="22"/>
          <w:szCs w:val="22"/>
        </w:rPr>
        <w:t>October 2026).</w:t>
      </w:r>
    </w:p>
    <w:p w14:paraId="7A7F88A5" w14:textId="748B0809" w:rsidR="0059010C" w:rsidRPr="0059010C" w:rsidRDefault="0059010C" w:rsidP="0059010C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The Child Safeguarding Practice Review Panel (2022) </w:t>
      </w:r>
      <w:r w:rsidRPr="0059010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 Safeguarding Practice Review Panel: annual report 2021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Department for Education. Available at: </w:t>
      </w:r>
      <w:hyperlink r:id="rId17" w:history="1"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https://www.gov.uk/government/publications/child-safeguarding-practice-review-panel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-</w:t>
        </w:r>
        <w:r w:rsidRPr="0059010C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annual-report-2021</w:t>
        </w:r>
      </w:hyperlink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0</w:t>
      </w:r>
      <w:r w:rsidRPr="005901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October 2026).</w:t>
      </w:r>
    </w:p>
    <w:p w14:paraId="40B645C5" w14:textId="77777777" w:rsidR="0059010C" w:rsidRPr="0059010C" w:rsidRDefault="0059010C" w:rsidP="0059010C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59010C" w:rsidRPr="005901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010C"/>
    <w:rsid w:val="00307A81"/>
    <w:rsid w:val="0059010C"/>
    <w:rsid w:val="00B969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0BD38"/>
  <w15:chartTrackingRefBased/>
  <w15:docId w15:val="{7E0FCF26-CA88-4B42-AB89-D3596D337B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01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01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01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01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01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01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01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01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01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01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01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01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01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01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01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01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01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01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01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01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01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01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01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01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01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01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01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01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010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9010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59010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59010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9010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S0749-3797(98)00017-8" TargetMode="External"/><Relationship Id="rId13" Type="http://schemas.openxmlformats.org/officeDocument/2006/relationships/hyperlink" Target="https://www.joannanicolas.co.uk/wp-content/uploads/2023/10/child-safeguarding-practice-review-Oct-23-Adult-A-BSCP-2020-21-02-Child-A-CSPR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working-together-to-safeguard-children--2" TargetMode="External"/><Relationship Id="rId12" Type="http://schemas.openxmlformats.org/officeDocument/2006/relationships/hyperlink" Target="https://www.gov.uk/government/publications/munro-review-of-child-protection-final-report-a-child-centred-system" TargetMode="External"/><Relationship Id="rId17" Type="http://schemas.openxmlformats.org/officeDocument/2006/relationships/hyperlink" Target="https://www.gov.uk/government/publications/child-safeguarding-practice-review-panel-annual-report-202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blcc.acf.hhs.gov/wp-content/uploads/SAMHSAConceptofTrauma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information-sharing-to-safeguard-children-and-young-people" TargetMode="External"/><Relationship Id="rId11" Type="http://schemas.openxmlformats.org/officeDocument/2006/relationships/hyperlink" Target="https://www.legislation.gov.uk/ukpga/2004/31/contents" TargetMode="External"/><Relationship Id="rId5" Type="http://schemas.openxmlformats.org/officeDocument/2006/relationships/hyperlink" Target="https://basw.co.uk/training-cpd/professional-capabilities-framework-pcf" TargetMode="External"/><Relationship Id="rId15" Type="http://schemas.openxmlformats.org/officeDocument/2006/relationships/hyperlink" Target="https://www.socialworkengland.org.uk/standards/professional-standards-guidance/" TargetMode="External"/><Relationship Id="rId10" Type="http://schemas.openxmlformats.org/officeDocument/2006/relationships/hyperlink" Target="https://www.legislation.gov.uk/ukpga/1989/41/contents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basw.co.uk/policy-practice/standards/code-ethics" TargetMode="External"/><Relationship Id="rId9" Type="http://schemas.openxmlformats.org/officeDocument/2006/relationships/hyperlink" Target="https://pure.beds.ac.uk/ws/files/19031175/Contextual-Safeguarding-Briefing.pdf" TargetMode="External"/><Relationship Id="rId14" Type="http://schemas.openxmlformats.org/officeDocument/2006/relationships/hyperlink" Target="https://www.socialworkengland.org.uk/standards/professional-standard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747</Words>
  <Characters>4264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asfia akhtar</dc:creator>
  <cp:keywords/>
  <dc:description/>
  <cp:lastModifiedBy>asfia akhtar</cp:lastModifiedBy>
  <cp:revision>1</cp:revision>
  <dcterms:created xsi:type="dcterms:W3CDTF">2026-10-17T14:58:00Z</dcterms:created>
  <dcterms:modified xsi:type="dcterms:W3CDTF">2026-10-17T15:14:00Z</dcterms:modified>
</cp:coreProperties>
</file>