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017A02AA"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735EAD">
        <w:rPr>
          <w:rFonts w:ascii="Arial" w:hAnsi="Arial" w:cs="Arial"/>
          <w:sz w:val="28"/>
          <w:szCs w:val="28"/>
        </w:rPr>
        <w:t xml:space="preserve">Brenda da Silva Rodrigues Marciano </w:t>
      </w:r>
    </w:p>
    <w:p w14:paraId="27005EB9" w14:textId="2D85BFA4"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735EAD">
        <w:rPr>
          <w:rFonts w:ascii="Arial" w:hAnsi="Arial" w:cs="Arial"/>
          <w:sz w:val="28"/>
          <w:szCs w:val="28"/>
          <w:lang w:val="nl-NL"/>
        </w:rPr>
        <w:t>2509</w:t>
      </w:r>
      <w:r w:rsidR="00854F34">
        <w:rPr>
          <w:rFonts w:ascii="Arial" w:hAnsi="Arial" w:cs="Arial"/>
          <w:sz w:val="28"/>
          <w:szCs w:val="28"/>
          <w:lang w:val="nl-NL"/>
        </w:rPr>
        <w:t>114</w:t>
      </w:r>
    </w:p>
    <w:p w14:paraId="543E95E7" w14:textId="7E9A44D9"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854F34">
        <w:rPr>
          <w:rFonts w:ascii="Arial" w:hAnsi="Arial" w:cs="Arial"/>
          <w:sz w:val="28"/>
          <w:szCs w:val="28"/>
          <w:lang w:val="nl-NL"/>
        </w:rPr>
        <w:t>Introduction</w:t>
      </w:r>
      <w:r w:rsidR="00706E25">
        <w:rPr>
          <w:rFonts w:ascii="Arial" w:hAnsi="Arial" w:cs="Arial"/>
          <w:sz w:val="28"/>
          <w:szCs w:val="28"/>
          <w:lang w:val="nl-NL"/>
        </w:rPr>
        <w:t xml:space="preserve"> t</w:t>
      </w:r>
      <w:r w:rsidR="00BE6FB0">
        <w:rPr>
          <w:rFonts w:ascii="Arial" w:hAnsi="Arial" w:cs="Arial"/>
          <w:sz w:val="28"/>
          <w:szCs w:val="28"/>
          <w:lang w:val="nl-NL"/>
        </w:rPr>
        <w:t>o</w:t>
      </w:r>
      <w:r w:rsidR="00854F34">
        <w:rPr>
          <w:rFonts w:ascii="Arial" w:hAnsi="Arial" w:cs="Arial"/>
          <w:sz w:val="28"/>
          <w:szCs w:val="28"/>
          <w:lang w:val="nl-NL"/>
        </w:rPr>
        <w:t xml:space="preserve"> </w:t>
      </w:r>
      <w:proofErr w:type="spellStart"/>
      <w:r w:rsidR="00854F34">
        <w:rPr>
          <w:rFonts w:ascii="Arial" w:hAnsi="Arial" w:cs="Arial"/>
          <w:sz w:val="28"/>
          <w:szCs w:val="28"/>
          <w:lang w:val="nl-NL"/>
        </w:rPr>
        <w:t>health</w:t>
      </w:r>
      <w:proofErr w:type="spellEnd"/>
      <w:r w:rsidR="00854F34">
        <w:rPr>
          <w:rFonts w:ascii="Arial" w:hAnsi="Arial" w:cs="Arial"/>
          <w:sz w:val="28"/>
          <w:szCs w:val="28"/>
          <w:lang w:val="nl-NL"/>
        </w:rPr>
        <w:t xml:space="preserve"> and social care </w:t>
      </w:r>
    </w:p>
    <w:p w14:paraId="0009AFB0" w14:textId="3F2FBC72"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FA229F">
        <w:rPr>
          <w:rFonts w:ascii="Arial" w:hAnsi="Arial" w:cs="Arial"/>
          <w:sz w:val="28"/>
          <w:szCs w:val="28"/>
        </w:rPr>
        <w:t>LCHS4003</w:t>
      </w:r>
    </w:p>
    <w:p w14:paraId="410C101D" w14:textId="0F2E61E8" w:rsidR="00925D5E" w:rsidRDefault="00833470">
      <w:pPr>
        <w:sectPr w:rsidR="00925D5E">
          <w:headerReference w:type="default" r:id="rId10"/>
          <w:pgSz w:w="11906" w:h="16838"/>
          <w:pgMar w:top="1440" w:right="1440" w:bottom="1440" w:left="1440" w:header="708" w:footer="708" w:gutter="0"/>
          <w:cols w:space="708"/>
          <w:docGrid w:linePitch="360"/>
        </w:sectPr>
      </w:pPr>
      <w:r w:rsidRPr="0020413D">
        <w:rPr>
          <w:rFonts w:ascii="Arial" w:hAnsi="Arial" w:cs="Arial"/>
          <w:b/>
          <w:bCs/>
          <w:sz w:val="28"/>
          <w:szCs w:val="28"/>
        </w:rPr>
        <w:t>Lecturer name</w:t>
      </w:r>
      <w:r w:rsidRPr="0020413D">
        <w:t xml:space="preserve"> </w:t>
      </w:r>
      <w:bookmarkEnd w:id="0"/>
      <w:r w:rsidR="00B05C35">
        <w:t>:</w:t>
      </w:r>
      <w:proofErr w:type="spellStart"/>
      <w:r w:rsidR="00B05C35" w:rsidRPr="000F66BD">
        <w:rPr>
          <w:sz w:val="28"/>
          <w:szCs w:val="28"/>
        </w:rPr>
        <w:t>Eleni</w:t>
      </w:r>
      <w:proofErr w:type="spellEnd"/>
      <w:r w:rsidR="00B05C35" w:rsidRPr="000F66BD">
        <w:rPr>
          <w:sz w:val="28"/>
          <w:szCs w:val="28"/>
        </w:rPr>
        <w:t xml:space="preserve"> </w:t>
      </w:r>
      <w:proofErr w:type="spellStart"/>
      <w:r w:rsidR="00B05C35" w:rsidRPr="000F66BD">
        <w:rPr>
          <w:sz w:val="28"/>
          <w:szCs w:val="28"/>
        </w:rPr>
        <w:t>Koutsogeorgou</w:t>
      </w:r>
      <w:r w:rsidR="000F66BD" w:rsidRPr="000F66BD">
        <w:rPr>
          <w:sz w:val="28"/>
          <w:szCs w:val="28"/>
        </w:rPr>
        <w:t>-Andreou</w:t>
      </w:r>
      <w:proofErr w:type="spellEnd"/>
    </w:p>
    <w:p w14:paraId="3BF185BD" w14:textId="23B21ABF"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4D8DBF30" w:rsidR="00833470" w:rsidRPr="004D35FC" w:rsidRDefault="00833470" w:rsidP="00833470">
      <w:pPr>
        <w:rPr>
          <w:rFonts w:ascii="Arial" w:hAnsi="Arial" w:cs="Arial"/>
          <w:b/>
          <w:bCs/>
          <w:sz w:val="28"/>
          <w:szCs w:val="28"/>
        </w:rPr>
      </w:pPr>
    </w:p>
    <w:p w14:paraId="2F2D77A8" w14:textId="50923314" w:rsidR="00833470" w:rsidRDefault="00E74C6E" w:rsidP="00833470">
      <w:pPr>
        <w:sectPr w:rsidR="00833470" w:rsidSect="00925D5E">
          <w:pgSz w:w="11906" w:h="16838"/>
          <w:pgMar w:top="1440" w:right="1440" w:bottom="1440" w:left="1440" w:header="708" w:footer="708" w:gutter="0"/>
          <w:cols w:space="708"/>
          <w:docGrid w:linePitch="360"/>
        </w:sectPr>
      </w:pPr>
      <w:r>
        <w:rPr>
          <w:noProof/>
        </w:rPr>
        <mc:AlternateContent>
          <mc:Choice Requires="wps">
            <w:drawing>
              <wp:anchor distT="0" distB="0" distL="114300" distR="114300" simplePos="0" relativeHeight="251659264" behindDoc="1" locked="0" layoutInCell="1" allowOverlap="1" wp14:anchorId="777A8668" wp14:editId="7449DC85">
                <wp:simplePos x="0" y="0"/>
                <wp:positionH relativeFrom="page">
                  <wp:posOffset>-1544320</wp:posOffset>
                </wp:positionH>
                <wp:positionV relativeFrom="paragraph">
                  <wp:posOffset>8103870</wp:posOffset>
                </wp:positionV>
                <wp:extent cx="10675620" cy="8241030"/>
                <wp:effectExtent l="12700" t="12700" r="17780" b="13970"/>
                <wp:wrapNone/>
                <wp:docPr id="1" name="Rectangle 1"/>
                <wp:cNvGraphicFramePr/>
                <a:graphic xmlns:a="http://schemas.openxmlformats.org/drawingml/2006/main">
                  <a:graphicData uri="http://schemas.microsoft.com/office/word/2010/wordprocessingShape">
                    <wps:wsp>
                      <wps:cNvSpPr/>
                      <wps:spPr>
                        <a:xfrm>
                          <a:off x="0" y="0"/>
                          <a:ext cx="10675620" cy="824103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CE140CE" w14:textId="77777777" w:rsidR="000B7645" w:rsidRDefault="000B7645" w:rsidP="000B764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7A8668" id="Rectangle 1" o:spid="_x0000_s1026" style="position:absolute;margin-left:-121.6pt;margin-top:638.1pt;width:840.6pt;height:648.9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" fillcolor="gray [1629]" strokecolor="#92d050" strokeweight="1.5pt">
                <v:fill opacity="30069f"/>
                <v:textbox>
                  <w:txbxContent>
                    <w:p w14:paraId="0CE140CE" w14:textId="77777777" w:rsidR="000B7645" w:rsidRDefault="000B7645" w:rsidP="000B7645">
                      <w:pPr>
                        <w:jc w:val="center"/>
                      </w:pPr>
                    </w:p>
                  </w:txbxContent>
                </v:textbox>
                <w10:wrap anchorx="page"/>
              </v:rect>
            </w:pict>
          </mc:Fallback>
        </mc:AlternateContent>
      </w:r>
      <w:r w:rsidR="00833470">
        <w:rPr>
          <w:rFonts w:ascii="Arial" w:hAnsi="Arial" w:cs="Arial"/>
          <w:b/>
          <w:bCs/>
          <w:sz w:val="28"/>
          <w:szCs w:val="28"/>
        </w:rPr>
        <w:t>Element 1 …………………………………………………………….. page</w:t>
      </w:r>
    </w:p>
    <w:p w14:paraId="5AFFC33B" w14:textId="63AD1C9F" w:rsidR="003A000F" w:rsidRDefault="005C5761">
      <w:pPr>
        <w:sectPr w:rsidR="003A000F" w:rsidSect="003A000F">
          <w:pgSz w:w="16838" w:h="11906" w:orient="landscape"/>
          <w:pgMar w:top="1440" w:right="1440" w:bottom="1440" w:left="1440" w:header="708" w:footer="708" w:gutter="0"/>
          <w:cols w:space="708"/>
          <w:docGrid w:linePitch="360"/>
        </w:sectPr>
      </w:pPr>
      <w:r w:rsidRPr="00B72702">
        <w:rPr>
          <w:noProof/>
          <w:sz w:val="10"/>
          <w:szCs w:val="10"/>
        </w:rPr>
        <w:lastRenderedPageBreak/>
        <mc:AlternateContent>
          <mc:Choice Requires="wps">
            <w:drawing>
              <wp:anchor distT="45720" distB="45720" distL="114300" distR="114300" simplePos="0" relativeHeight="251665408" behindDoc="0" locked="0" layoutInCell="1" allowOverlap="1" wp14:anchorId="21A64788" wp14:editId="76EE43DD">
                <wp:simplePos x="0" y="0"/>
                <wp:positionH relativeFrom="margin">
                  <wp:posOffset>1188085</wp:posOffset>
                </wp:positionH>
                <wp:positionV relativeFrom="paragraph">
                  <wp:posOffset>965835</wp:posOffset>
                </wp:positionV>
                <wp:extent cx="2547620" cy="4554855"/>
                <wp:effectExtent l="25400" t="25400" r="30480" b="2984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47620" cy="4554855"/>
                        </a:xfrm>
                        <a:prstGeom prst="rect">
                          <a:avLst/>
                        </a:prstGeom>
                        <a:solidFill>
                          <a:srgbClr val="FFFFFF"/>
                        </a:solidFill>
                        <a:ln w="44450">
                          <a:solidFill>
                            <a:srgbClr val="000000"/>
                          </a:solidFill>
                          <a:miter lim="800000"/>
                          <a:headEnd/>
                          <a:tailEnd/>
                        </a:ln>
                        <a:effectLst>
                          <a:softEdge rad="25400"/>
                        </a:effectLst>
                      </wps:spPr>
                      <wps:txbx>
                        <w:txbxContent>
                          <w:p w14:paraId="54B2DC8D" w14:textId="54F9CAA2" w:rsidR="003C1CFE" w:rsidRPr="000B0849" w:rsidRDefault="00500DFF">
                            <w:pPr>
                              <w:rPr>
                                <w:rFonts w:ascii="-webkit-standard" w:eastAsia="Times New Roman" w:hAnsi="-webkit-standard"/>
                                <w:color w:val="000000"/>
                                <w:sz w:val="12"/>
                                <w:szCs w:val="12"/>
                              </w:rPr>
                            </w:pPr>
                            <w:r w:rsidRPr="003355F7">
                              <w:rPr>
                                <w:b/>
                                <w:bCs/>
                                <w:color w:val="275317" w:themeColor="accent6" w:themeShade="80"/>
                                <w:sz w:val="12"/>
                                <w:szCs w:val="12"/>
                              </w:rPr>
                              <w:t xml:space="preserve">A brief History of the Services </w:t>
                            </w:r>
                          </w:p>
                          <w:p w14:paraId="464FF350" w14:textId="77777777" w:rsidR="00F57D72" w:rsidRPr="006845CA" w:rsidRDefault="00F57D72" w:rsidP="00AE4F64">
                            <w:pPr>
                              <w:pStyle w:val="NormalWeb"/>
                              <w:rPr>
                                <w:color w:val="000000"/>
                                <w:sz w:val="10"/>
                                <w:szCs w:val="10"/>
                              </w:rPr>
                            </w:pPr>
                            <w:r w:rsidRPr="006845CA">
                              <w:rPr>
                                <w:color w:val="000000"/>
                                <w:sz w:val="10"/>
                                <w:szCs w:val="10"/>
                              </w:rPr>
                              <w:t>The historical trajectory of care in the United Kingdom has undergone a profound transformation, moving from the restrictive practices of the "Asylum Era" to the modern emphasis on community integration. Prior to the 1960s, the prevailing model was defined by the segregation of individuals with mental health conditions or disabilities within large, overcrowded Victorian institutions. This custodial approach focused primarily on social containment rather than rehabilitation, often leading to a phenomenon known as institutionalisation. As identified in early sociological critiques, this environment frequently resulted in the systematic erosion of an individual’s identity, dignity, and autonomy, as service users were forced to conform to rigid, depersonalised clinical routines.</w:t>
                            </w:r>
                          </w:p>
                          <w:p w14:paraId="04362DB7" w14:textId="77777777" w:rsidR="00F57D72" w:rsidRPr="006845CA" w:rsidRDefault="00F57D72" w:rsidP="00AE4F64">
                            <w:pPr>
                              <w:pStyle w:val="NormalWeb"/>
                              <w:rPr>
                                <w:color w:val="000000"/>
                                <w:sz w:val="10"/>
                                <w:szCs w:val="10"/>
                              </w:rPr>
                            </w:pPr>
                            <w:r w:rsidRPr="006845CA">
                              <w:rPr>
                                <w:color w:val="000000"/>
                                <w:sz w:val="10"/>
                                <w:szCs w:val="10"/>
                              </w:rPr>
                              <w:t>A significant shift in policy began in 1961, precipitated by Health Minister Enoch Powell’s landmark "Water Tower" speech, which advocated for the closure of isolated asylums in favour of local hospital and community-based support. This deinstitutionalisation movement was further supported by advancements in pharmacology, which provided new means for symptom management outside of a traditional ward setting. The legislative turning point occurred with the NHS and Community Care Act 1990, which formally transferred the responsibility for organising care to local authorities. This act introduced the concept of care management, ensuring that assistance was coordinated through personalised care packages and dedicated social work oversight, aimed at maintaining individuals within their own domestic environments.</w:t>
                            </w:r>
                          </w:p>
                          <w:p w14:paraId="2D847D4E" w14:textId="77777777" w:rsidR="00F57D72" w:rsidRPr="006845CA" w:rsidRDefault="00F57D72" w:rsidP="00AE4F64">
                            <w:pPr>
                              <w:pStyle w:val="NormalWeb"/>
                              <w:rPr>
                                <w:color w:val="000000"/>
                                <w:sz w:val="10"/>
                                <w:szCs w:val="10"/>
                              </w:rPr>
                            </w:pPr>
                            <w:r w:rsidRPr="006845CA">
                              <w:rPr>
                                <w:color w:val="000000"/>
                                <w:sz w:val="10"/>
                                <w:szCs w:val="10"/>
                              </w:rPr>
                              <w:t>In the contemporary landscape, the focus has shifted toward integrated and personalised care, a strategy reinforced by the Care Act 2014 and the NHS Long Term Plan 2019. Modern provision rejects the narrow medical model in favour of a strengths-based approach, which prioritises the individual’s existing social networks and personal capabilities. This is achieved through a diverse range of community services, including domiciliary care frameworks that provide both clinical and practical support, and crisis resolution teams that offer intensive short-term interventions to prevent hospital admission. Furthermore, social prescribing has emerged as a key holistic tool, connecting service users with community resources to mitigate isolation and enhance socio-emotional well-being.</w:t>
                            </w:r>
                          </w:p>
                          <w:p w14:paraId="4EC7D92D" w14:textId="77777777" w:rsidR="00F57D72" w:rsidRPr="006845CA" w:rsidRDefault="00F57D72" w:rsidP="00AE4F64">
                            <w:pPr>
                              <w:pStyle w:val="NormalWeb"/>
                              <w:rPr>
                                <w:color w:val="000000"/>
                                <w:sz w:val="10"/>
                                <w:szCs w:val="10"/>
                              </w:rPr>
                            </w:pPr>
                            <w:r w:rsidRPr="006845CA">
                              <w:rPr>
                                <w:color w:val="000000"/>
                                <w:sz w:val="10"/>
                                <w:szCs w:val="10"/>
                              </w:rPr>
                              <w:t>Ultimately, the prioritisation of domiciliary care within the current system ensures that vulnerable populations can live safely and independently as active citizens. By delivering tailored support within the home, the sector upholds the fundamental rights of the individual while adhering to the rigorous safety and quality standards mandated by the Care Quality Commission. This modern framework not only ensures more efficient health management but also fosters an environment where the empowerment and dignity of the service user are central to the delivery of care.</w:t>
                            </w:r>
                          </w:p>
                          <w:p w14:paraId="63E363E5" w14:textId="77777777" w:rsidR="00F57D72" w:rsidRPr="001C0D45" w:rsidRDefault="00F57D72" w:rsidP="00AE4F64">
                            <w:pPr>
                              <w:rPr>
                                <w:b/>
                                <w:bCs/>
                                <w:color w:val="275317" w:themeColor="accent6" w:themeShade="80"/>
                                <w:sz w:val="12"/>
                                <w:szCs w:val="12"/>
                              </w:rPr>
                            </w:pPr>
                          </w:p>
                          <w:p w14:paraId="6B9B90E3" w14:textId="73FBD613" w:rsidR="009D7535" w:rsidRPr="006969C5" w:rsidRDefault="009D7535" w:rsidP="00F57D72">
                            <w:pPr>
                              <w:rPr>
                                <w:color w:val="000000"/>
                                <w:sz w:val="12"/>
                                <w:szCs w:val="12"/>
                              </w:rPr>
                            </w:pPr>
                          </w:p>
                          <w:p w14:paraId="2A6CE679" w14:textId="0DABCD6A" w:rsidR="00BE6BE0" w:rsidRPr="00AB753E" w:rsidRDefault="00BE6BE0" w:rsidP="00BE6BE0">
                            <w:pPr>
                              <w:rPr>
                                <w:rFonts w:ascii="-webkit-standard" w:eastAsia="Times New Roman" w:hAnsi="-webkit-standard"/>
                                <w:color w:val="000000"/>
                                <w:sz w:val="12"/>
                                <w:szCs w:val="12"/>
                              </w:rPr>
                            </w:pPr>
                          </w:p>
                          <w:p w14:paraId="5D13B89A" w14:textId="77777777" w:rsidR="00930B90" w:rsidRDefault="00930B90" w:rsidP="00BE6BE0">
                            <w:pPr>
                              <w:rPr>
                                <w:rFonts w:ascii="-webkit-standard" w:eastAsia="Times New Roman" w:hAnsi="-webkit-standard"/>
                                <w:color w:val="000000"/>
                                <w:sz w:val="12"/>
                                <w:szCs w:val="12"/>
                              </w:rPr>
                            </w:pPr>
                          </w:p>
                          <w:p w14:paraId="37ED3F5D" w14:textId="56BF204C" w:rsidR="00930B90" w:rsidRDefault="00930B90" w:rsidP="00BE6BE0">
                            <w:pPr>
                              <w:rPr>
                                <w:rFonts w:ascii="-webkit-standard" w:eastAsia="Times New Roman" w:hAnsi="-webkit-standard"/>
                                <w:color w:val="000000"/>
                                <w:sz w:val="12"/>
                                <w:szCs w:val="12"/>
                              </w:rPr>
                            </w:pPr>
                          </w:p>
                          <w:p w14:paraId="7FCFC42C" w14:textId="37A64C1B" w:rsidR="00930B90" w:rsidRPr="00930B90" w:rsidRDefault="00930B90" w:rsidP="00BE6BE0">
                            <w:pPr>
                              <w:rPr>
                                <w:b/>
                                <w:bCs/>
                                <w:color w:val="275317" w:themeColor="accent6" w:themeShade="80"/>
                                <w:sz w:val="12"/>
                                <w:szCs w:val="1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1A64788" id="_x0000_t202" coordsize="21600,21600" o:spt="202" path="m,l,21600r21600,l21600,xe">
                <v:stroke joinstyle="miter"/>
                <v:path gradientshapeok="t" o:connecttype="rect"/>
              </v:shapetype>
              <v:shape id="Text Box 5" o:spid="_x0000_s1027" type="#_x0000_t202" style="position:absolute;margin-left:93.55pt;margin-top:76.05pt;width:200.6pt;height:358.6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" strokeweight="3.5pt">
                <v:textbox>
                  <w:txbxContent>
                    <w:p w14:paraId="54B2DC8D" w14:textId="54F9CAA2" w:rsidR="003C1CFE" w:rsidRPr="000B0849" w:rsidRDefault="00500DFF">
                      <w:pPr>
                        <w:rPr>
                          <w:rFonts w:ascii="-webkit-standard" w:eastAsia="Times New Roman" w:hAnsi="-webkit-standard"/>
                          <w:color w:val="000000"/>
                          <w:sz w:val="12"/>
                          <w:szCs w:val="12"/>
                        </w:rPr>
                      </w:pPr>
                      <w:r w:rsidRPr="003355F7">
                        <w:rPr>
                          <w:b/>
                          <w:bCs/>
                          <w:color w:val="275317" w:themeColor="accent6" w:themeShade="80"/>
                          <w:sz w:val="12"/>
                          <w:szCs w:val="12"/>
                        </w:rPr>
                        <w:t xml:space="preserve">A brief History of the Services </w:t>
                      </w:r>
                    </w:p>
                    <w:p w14:paraId="464FF350" w14:textId="77777777" w:rsidR="00F57D72" w:rsidRPr="006845CA" w:rsidRDefault="00F57D72" w:rsidP="00AE4F64">
                      <w:pPr>
                        <w:pStyle w:val="NormalWeb"/>
                        <w:rPr>
                          <w:color w:val="000000"/>
                          <w:sz w:val="10"/>
                          <w:szCs w:val="10"/>
                        </w:rPr>
                      </w:pPr>
                      <w:r w:rsidRPr="006845CA">
                        <w:rPr>
                          <w:color w:val="000000"/>
                          <w:sz w:val="10"/>
                          <w:szCs w:val="10"/>
                        </w:rPr>
                        <w:t>The historical trajectory of care in the United Kingdom has undergone a profound transformation, moving from the restrictive practices of the "Asylum Era" to the modern emphasis on community integration. Prior to the 1960s, the prevailing model was defined by the segregation of individuals with mental health conditions or disabilities within large, overcrowded Victorian institutions. This custodial approach focused primarily on social containment rather than rehabilitation, often leading to a phenomenon known as institutionalisation. As identified in early sociological critiques, this environment frequently resulted in the systematic erosion of an individual’s identity, dignity, and autonomy, as service users were forced to conform to rigid, depersonalised clinical routines.</w:t>
                      </w:r>
                    </w:p>
                    <w:p w14:paraId="04362DB7" w14:textId="77777777" w:rsidR="00F57D72" w:rsidRPr="006845CA" w:rsidRDefault="00F57D72" w:rsidP="00AE4F64">
                      <w:pPr>
                        <w:pStyle w:val="NormalWeb"/>
                        <w:rPr>
                          <w:color w:val="000000"/>
                          <w:sz w:val="10"/>
                          <w:szCs w:val="10"/>
                        </w:rPr>
                      </w:pPr>
                      <w:r w:rsidRPr="006845CA">
                        <w:rPr>
                          <w:color w:val="000000"/>
                          <w:sz w:val="10"/>
                          <w:szCs w:val="10"/>
                        </w:rPr>
                        <w:t>A significant shift in policy began in 1961, precipitated by Health Minister Enoch Powell’s landmark "Water Tower" speech, which advocated for the closure of isolated asylums in favour of local hospital and community-based support. This deinstitutionalisation movement was further supported by advancements in pharmacology, which provided new means for symptom management outside of a traditional ward setting. The legislative turning point occurred with the NHS and Community Care Act 1990, which formally transferred the responsibility for organising care to local authorities. This act introduced the concept of care management, ensuring that assistance was coordinated through personalised care packages and dedicated social work oversight, aimed at maintaining individuals within their own domestic environments.</w:t>
                      </w:r>
                    </w:p>
                    <w:p w14:paraId="2D847D4E" w14:textId="77777777" w:rsidR="00F57D72" w:rsidRPr="006845CA" w:rsidRDefault="00F57D72" w:rsidP="00AE4F64">
                      <w:pPr>
                        <w:pStyle w:val="NormalWeb"/>
                        <w:rPr>
                          <w:color w:val="000000"/>
                          <w:sz w:val="10"/>
                          <w:szCs w:val="10"/>
                        </w:rPr>
                      </w:pPr>
                      <w:r w:rsidRPr="006845CA">
                        <w:rPr>
                          <w:color w:val="000000"/>
                          <w:sz w:val="10"/>
                          <w:szCs w:val="10"/>
                        </w:rPr>
                        <w:t>In the contemporary landscape, the focus has shifted toward integrated and personalised care, a strategy reinforced by the Care Act 2014 and the NHS Long Term Plan 2019. Modern provision rejects the narrow medical model in favour of a strengths-based approach, which prioritises the individual’s existing social networks and personal capabilities. This is achieved through a diverse range of community services, including domiciliary care frameworks that provide both clinical and practical support, and crisis resolution teams that offer intensive short-term interventions to prevent hospital admission. Furthermore, social prescribing has emerged as a key holistic tool, connecting service users with community resources to mitigate isolation and enhance socio-emotional well-being.</w:t>
                      </w:r>
                    </w:p>
                    <w:p w14:paraId="4EC7D92D" w14:textId="77777777" w:rsidR="00F57D72" w:rsidRPr="006845CA" w:rsidRDefault="00F57D72" w:rsidP="00AE4F64">
                      <w:pPr>
                        <w:pStyle w:val="NormalWeb"/>
                        <w:rPr>
                          <w:color w:val="000000"/>
                          <w:sz w:val="10"/>
                          <w:szCs w:val="10"/>
                        </w:rPr>
                      </w:pPr>
                      <w:r w:rsidRPr="006845CA">
                        <w:rPr>
                          <w:color w:val="000000"/>
                          <w:sz w:val="10"/>
                          <w:szCs w:val="10"/>
                        </w:rPr>
                        <w:t>Ultimately, the prioritisation of domiciliary care within the current system ensures that vulnerable populations can live safely and independently as active citizens. By delivering tailored support within the home, the sector upholds the fundamental rights of the individual while adhering to the rigorous safety and quality standards mandated by the Care Quality Commission. This modern framework not only ensures more efficient health management but also fosters an environment where the empowerment and dignity of the service user are central to the delivery of care.</w:t>
                      </w:r>
                    </w:p>
                    <w:p w14:paraId="63E363E5" w14:textId="77777777" w:rsidR="00F57D72" w:rsidRPr="001C0D45" w:rsidRDefault="00F57D72" w:rsidP="00AE4F64">
                      <w:pPr>
                        <w:rPr>
                          <w:b/>
                          <w:bCs/>
                          <w:color w:val="275317" w:themeColor="accent6" w:themeShade="80"/>
                          <w:sz w:val="12"/>
                          <w:szCs w:val="12"/>
                        </w:rPr>
                      </w:pPr>
                    </w:p>
                    <w:p w14:paraId="6B9B90E3" w14:textId="73FBD613" w:rsidR="009D7535" w:rsidRPr="006969C5" w:rsidRDefault="009D7535" w:rsidP="00F57D72">
                      <w:pPr>
                        <w:rPr>
                          <w:color w:val="000000"/>
                          <w:sz w:val="12"/>
                          <w:szCs w:val="12"/>
                        </w:rPr>
                      </w:pPr>
                    </w:p>
                    <w:p w14:paraId="2A6CE679" w14:textId="0DABCD6A" w:rsidR="00BE6BE0" w:rsidRPr="00AB753E" w:rsidRDefault="00BE6BE0" w:rsidP="00BE6BE0">
                      <w:pPr>
                        <w:rPr>
                          <w:rFonts w:ascii="-webkit-standard" w:eastAsia="Times New Roman" w:hAnsi="-webkit-standard"/>
                          <w:color w:val="000000"/>
                          <w:sz w:val="12"/>
                          <w:szCs w:val="12"/>
                        </w:rPr>
                      </w:pPr>
                    </w:p>
                    <w:p w14:paraId="5D13B89A" w14:textId="77777777" w:rsidR="00930B90" w:rsidRDefault="00930B90" w:rsidP="00BE6BE0">
                      <w:pPr>
                        <w:rPr>
                          <w:rFonts w:ascii="-webkit-standard" w:eastAsia="Times New Roman" w:hAnsi="-webkit-standard"/>
                          <w:color w:val="000000"/>
                          <w:sz w:val="12"/>
                          <w:szCs w:val="12"/>
                        </w:rPr>
                      </w:pPr>
                    </w:p>
                    <w:p w14:paraId="37ED3F5D" w14:textId="56BF204C" w:rsidR="00930B90" w:rsidRDefault="00930B90" w:rsidP="00BE6BE0">
                      <w:pPr>
                        <w:rPr>
                          <w:rFonts w:ascii="-webkit-standard" w:eastAsia="Times New Roman" w:hAnsi="-webkit-standard"/>
                          <w:color w:val="000000"/>
                          <w:sz w:val="12"/>
                          <w:szCs w:val="12"/>
                        </w:rPr>
                      </w:pPr>
                    </w:p>
                    <w:p w14:paraId="7FCFC42C" w14:textId="37A64C1B" w:rsidR="00930B90" w:rsidRPr="00930B90" w:rsidRDefault="00930B90" w:rsidP="00BE6BE0">
                      <w:pPr>
                        <w:rPr>
                          <w:b/>
                          <w:bCs/>
                          <w:color w:val="275317" w:themeColor="accent6" w:themeShade="80"/>
                          <w:sz w:val="12"/>
                          <w:szCs w:val="12"/>
                        </w:rPr>
                      </w:pPr>
                    </w:p>
                  </w:txbxContent>
                </v:textbox>
                <w10:wrap type="square" anchorx="margin"/>
              </v:shape>
            </w:pict>
          </mc:Fallback>
        </mc:AlternateContent>
      </w:r>
      <w:r w:rsidR="004239EA">
        <w:rPr>
          <w:noProof/>
          <w:sz w:val="10"/>
          <w:szCs w:val="10"/>
        </w:rPr>
        <w:drawing>
          <wp:anchor distT="0" distB="0" distL="114300" distR="114300" simplePos="0" relativeHeight="251681792" behindDoc="0" locked="0" layoutInCell="1" allowOverlap="1" wp14:anchorId="30807BCD" wp14:editId="2B743130">
            <wp:simplePos x="0" y="0"/>
            <wp:positionH relativeFrom="column">
              <wp:posOffset>506667</wp:posOffset>
            </wp:positionH>
            <wp:positionV relativeFrom="paragraph">
              <wp:posOffset>1021263</wp:posOffset>
            </wp:positionV>
            <wp:extent cx="676910" cy="1005840"/>
            <wp:effectExtent l="0" t="0" r="0" b="0"/>
            <wp:wrapTopAndBottom/>
            <wp:docPr id="5681777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177766" name="Picture 56817776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76910" cy="1005840"/>
                    </a:xfrm>
                    <a:prstGeom prst="rect">
                      <a:avLst/>
                    </a:prstGeom>
                  </pic:spPr>
                </pic:pic>
              </a:graphicData>
            </a:graphic>
            <wp14:sizeRelH relativeFrom="margin">
              <wp14:pctWidth>0</wp14:pctWidth>
            </wp14:sizeRelH>
            <wp14:sizeRelV relativeFrom="margin">
              <wp14:pctHeight>0</wp14:pctHeight>
            </wp14:sizeRelV>
          </wp:anchor>
        </w:drawing>
      </w:r>
      <w:r w:rsidR="004239EA" w:rsidRPr="001C08BA">
        <w:rPr>
          <w:noProof/>
          <w:kern w:val="2"/>
          <w:sz w:val="24"/>
          <w:szCs w:val="24"/>
          <w:lang w:eastAsia="en-GB"/>
          <w14:ligatures w14:val="standardContextual"/>
        </w:rPr>
        <mc:AlternateContent>
          <mc:Choice Requires="wps">
            <w:drawing>
              <wp:anchor distT="45720" distB="45720" distL="114300" distR="114300" simplePos="0" relativeHeight="251679744" behindDoc="0" locked="0" layoutInCell="1" allowOverlap="1" wp14:anchorId="1F464738" wp14:editId="032FE5E5">
                <wp:simplePos x="0" y="0"/>
                <wp:positionH relativeFrom="page">
                  <wp:posOffset>109220</wp:posOffset>
                </wp:positionH>
                <wp:positionV relativeFrom="paragraph">
                  <wp:posOffset>975789</wp:posOffset>
                </wp:positionV>
                <wp:extent cx="1989455" cy="4546600"/>
                <wp:effectExtent l="25400" t="25400" r="29845" b="2540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89455" cy="4546600"/>
                        </a:xfrm>
                        <a:prstGeom prst="rect">
                          <a:avLst/>
                        </a:prstGeom>
                        <a:solidFill>
                          <a:srgbClr val="FFFFFF"/>
                        </a:solidFill>
                        <a:ln w="47625">
                          <a:solidFill>
                            <a:schemeClr val="accent2"/>
                          </a:solidFill>
                          <a:miter lim="800000"/>
                          <a:headEnd/>
                          <a:tailEnd/>
                        </a:ln>
                        <a:effectLst>
                          <a:softEdge rad="25400"/>
                        </a:effectLst>
                      </wps:spPr>
                      <wps:txbx>
                        <w:txbxContent>
                          <w:p w14:paraId="4B44F547" w14:textId="77777777" w:rsidR="007D2D52" w:rsidRDefault="001C08BA">
                            <w:pPr>
                              <w:pStyle w:val="NormalWeb"/>
                              <w:rPr>
                                <w:b/>
                                <w:bCs/>
                                <w:color w:val="275317" w:themeColor="accent6" w:themeShade="80"/>
                                <w:sz w:val="14"/>
                                <w:szCs w:val="14"/>
                              </w:rPr>
                            </w:pPr>
                            <w:r w:rsidRPr="00AB2F39">
                              <w:rPr>
                                <w:b/>
                                <w:bCs/>
                                <w:color w:val="275317" w:themeColor="accent6" w:themeShade="80"/>
                                <w:sz w:val="14"/>
                                <w:szCs w:val="14"/>
                              </w:rPr>
                              <w:t>Explanation</w:t>
                            </w:r>
                          </w:p>
                          <w:p w14:paraId="3CF036A3" w14:textId="77777777" w:rsidR="007D2D52" w:rsidRDefault="007D2D52">
                            <w:pPr>
                              <w:pStyle w:val="NormalWeb"/>
                              <w:rPr>
                                <w:b/>
                                <w:bCs/>
                                <w:color w:val="275317" w:themeColor="accent6" w:themeShade="80"/>
                                <w:sz w:val="14"/>
                                <w:szCs w:val="14"/>
                              </w:rPr>
                            </w:pPr>
                          </w:p>
                          <w:p w14:paraId="0EAC579C" w14:textId="666CCF66" w:rsidR="00AB2715" w:rsidRDefault="00EB617E">
                            <w:pPr>
                              <w:pStyle w:val="NormalWeb"/>
                              <w:rPr>
                                <w:b/>
                                <w:bCs/>
                                <w:color w:val="275317" w:themeColor="accent6" w:themeShade="80"/>
                                <w:sz w:val="14"/>
                                <w:szCs w:val="14"/>
                              </w:rPr>
                            </w:pPr>
                            <w:r>
                              <w:rPr>
                                <w:b/>
                                <w:bCs/>
                                <w:color w:val="275317" w:themeColor="accent6" w:themeShade="80"/>
                                <w:sz w:val="14"/>
                                <w:szCs w:val="14"/>
                              </w:rPr>
                              <w:t xml:space="preserve">                  </w:t>
                            </w:r>
                          </w:p>
                          <w:p w14:paraId="28BEAC7C" w14:textId="2E8BDFC4" w:rsidR="00EB617E" w:rsidRPr="007D2D52" w:rsidRDefault="007D2D52">
                            <w:pPr>
                              <w:pStyle w:val="NormalWeb"/>
                              <w:rPr>
                                <w:b/>
                                <w:bCs/>
                                <w:color w:val="000000" w:themeColor="text1"/>
                                <w:sz w:val="8"/>
                                <w:szCs w:val="8"/>
                              </w:rPr>
                            </w:pPr>
                            <w:r>
                              <w:rPr>
                                <w:b/>
                                <w:bCs/>
                                <w:color w:val="000000" w:themeColor="text1"/>
                                <w:sz w:val="8"/>
                                <w:szCs w:val="8"/>
                              </w:rPr>
                              <w:t xml:space="preserve">                                                </w:t>
                            </w:r>
                            <w:r w:rsidR="00091F68">
                              <w:rPr>
                                <w:b/>
                                <w:bCs/>
                                <w:color w:val="000000" w:themeColor="text1"/>
                                <w:sz w:val="8"/>
                                <w:szCs w:val="8"/>
                              </w:rPr>
                              <w:t xml:space="preserve">         </w:t>
                            </w:r>
                            <w:r>
                              <w:rPr>
                                <w:b/>
                                <w:bCs/>
                                <w:color w:val="000000" w:themeColor="text1"/>
                                <w:sz w:val="8"/>
                                <w:szCs w:val="8"/>
                              </w:rPr>
                              <w:t xml:space="preserve"> </w:t>
                            </w:r>
                            <w:r w:rsidR="00EB617E" w:rsidRPr="006217CB">
                              <w:rPr>
                                <w:b/>
                                <w:bCs/>
                                <w:color w:val="000000" w:themeColor="text1"/>
                                <w:sz w:val="8"/>
                                <w:szCs w:val="8"/>
                              </w:rPr>
                              <w:t>Image from Google</w:t>
                            </w:r>
                            <w:r w:rsidRPr="007D2D52">
                              <w:rPr>
                                <w:b/>
                                <w:bCs/>
                                <w:color w:val="000000" w:themeColor="text1"/>
                                <w:sz w:val="8"/>
                                <w:szCs w:val="8"/>
                              </w:rPr>
                              <w:t>:</w:t>
                            </w:r>
                          </w:p>
                          <w:p w14:paraId="4DF90180" w14:textId="2BE9D0E5" w:rsidR="006B6936" w:rsidRPr="00E424ED" w:rsidRDefault="006B6936">
                            <w:pPr>
                              <w:pStyle w:val="NormalWeb"/>
                              <w:rPr>
                                <w:color w:val="000000"/>
                                <w:sz w:val="10"/>
                                <w:szCs w:val="10"/>
                              </w:rPr>
                            </w:pPr>
                            <w:r w:rsidRPr="00E424ED">
                              <w:rPr>
                                <w:color w:val="000000"/>
                                <w:sz w:val="10"/>
                                <w:szCs w:val="10"/>
                              </w:rPr>
                              <w:t>Domiciliary care, hereafter referred to as home-based provision, constitutes a professional intervention designed to deliver essential assistance to service users within their private residences. This model facilitates the maintenance of individuals in a familiar environment, offering a viable alternative to institutionalisation in hospitals or residential care facilities. According to the</w:t>
                            </w:r>
                            <w:r w:rsidRPr="00E424ED">
                              <w:rPr>
                                <w:rStyle w:val="apple-converted-space"/>
                                <w:color w:val="000000"/>
                                <w:sz w:val="10"/>
                                <w:szCs w:val="10"/>
                              </w:rPr>
                              <w:t> </w:t>
                            </w:r>
                            <w:r w:rsidRPr="00E424ED">
                              <w:rPr>
                                <w:color w:val="000000"/>
                                <w:sz w:val="10"/>
                                <w:szCs w:val="10"/>
                              </w:rPr>
                              <w:t>Social Care Institute for Excellence (2020), such provision is fundamental in promoting autonomy and upholding the inherent dignity of the individual.</w:t>
                            </w:r>
                          </w:p>
                          <w:p w14:paraId="64BB5CCC" w14:textId="77777777" w:rsidR="006B6936" w:rsidRPr="00E424ED" w:rsidRDefault="006B6936">
                            <w:pPr>
                              <w:pStyle w:val="NormalWeb"/>
                              <w:rPr>
                                <w:color w:val="000000"/>
                                <w:sz w:val="10"/>
                                <w:szCs w:val="10"/>
                              </w:rPr>
                            </w:pPr>
                            <w:r w:rsidRPr="00E424ED">
                              <w:rPr>
                                <w:color w:val="000000"/>
                                <w:sz w:val="10"/>
                                <w:szCs w:val="10"/>
                              </w:rPr>
                              <w:t>The scope of this service is multifaceted and comprises several core domains.</w:t>
                            </w:r>
                            <w:r w:rsidRPr="00E424ED">
                              <w:rPr>
                                <w:rStyle w:val="apple-converted-space"/>
                                <w:color w:val="000000"/>
                                <w:sz w:val="10"/>
                                <w:szCs w:val="10"/>
                              </w:rPr>
                              <w:t> </w:t>
                            </w:r>
                            <w:r w:rsidRPr="00E424ED">
                              <w:rPr>
                                <w:color w:val="000000"/>
                                <w:sz w:val="10"/>
                                <w:szCs w:val="10"/>
                              </w:rPr>
                              <w:t>Personal Care</w:t>
                            </w:r>
                            <w:r w:rsidRPr="00E424ED">
                              <w:rPr>
                                <w:rStyle w:val="apple-converted-space"/>
                                <w:color w:val="000000"/>
                                <w:sz w:val="10"/>
                                <w:szCs w:val="10"/>
                              </w:rPr>
                              <w:t> </w:t>
                            </w:r>
                            <w:r w:rsidRPr="00E424ED">
                              <w:rPr>
                                <w:color w:val="000000"/>
                                <w:sz w:val="10"/>
                                <w:szCs w:val="10"/>
                              </w:rPr>
                              <w:t>entails assistance with activities of daily living (ADLs), including hygiene and dressing.</w:t>
                            </w:r>
                            <w:r w:rsidRPr="00E424ED">
                              <w:rPr>
                                <w:rStyle w:val="apple-converted-space"/>
                                <w:color w:val="000000"/>
                                <w:sz w:val="10"/>
                                <w:szCs w:val="10"/>
                              </w:rPr>
                              <w:t> </w:t>
                            </w:r>
                            <w:r w:rsidRPr="00E424ED">
                              <w:rPr>
                                <w:color w:val="000000"/>
                                <w:sz w:val="10"/>
                                <w:szCs w:val="10"/>
                              </w:rPr>
                              <w:t>Clinical Management</w:t>
                            </w:r>
                            <w:r w:rsidRPr="00E424ED">
                              <w:rPr>
                                <w:rStyle w:val="apple-converted-space"/>
                                <w:color w:val="000000"/>
                                <w:sz w:val="10"/>
                                <w:szCs w:val="10"/>
                              </w:rPr>
                              <w:t> </w:t>
                            </w:r>
                            <w:r w:rsidRPr="00E424ED">
                              <w:rPr>
                                <w:color w:val="000000"/>
                                <w:sz w:val="10"/>
                                <w:szCs w:val="10"/>
                              </w:rPr>
                              <w:t>focuses on pharmacological adherence and the monitoring of chronic pathologies, such as diabetes, in accordance with the evidence-based protocols established by the</w:t>
                            </w:r>
                            <w:r w:rsidRPr="00E424ED">
                              <w:rPr>
                                <w:rStyle w:val="apple-converted-space"/>
                                <w:color w:val="000000"/>
                                <w:sz w:val="10"/>
                                <w:szCs w:val="10"/>
                              </w:rPr>
                              <w:t> </w:t>
                            </w:r>
                            <w:r w:rsidRPr="00E424ED">
                              <w:rPr>
                                <w:color w:val="000000"/>
                                <w:sz w:val="10"/>
                                <w:szCs w:val="10"/>
                              </w:rPr>
                              <w:t>National Institute for Health and Care Excellence (2018). Beyond clinical requirements,</w:t>
                            </w:r>
                            <w:r w:rsidRPr="00E424ED">
                              <w:rPr>
                                <w:rStyle w:val="apple-converted-space"/>
                                <w:color w:val="000000"/>
                                <w:sz w:val="10"/>
                                <w:szCs w:val="10"/>
                              </w:rPr>
                              <w:t> </w:t>
                            </w:r>
                            <w:r w:rsidRPr="00E424ED">
                              <w:rPr>
                                <w:color w:val="000000"/>
                                <w:sz w:val="10"/>
                                <w:szCs w:val="10"/>
                              </w:rPr>
                              <w:t>Practical Support</w:t>
                            </w:r>
                            <w:r w:rsidRPr="00E424ED">
                              <w:rPr>
                                <w:rStyle w:val="apple-converted-space"/>
                                <w:color w:val="000000"/>
                                <w:sz w:val="10"/>
                                <w:szCs w:val="10"/>
                              </w:rPr>
                              <w:t> </w:t>
                            </w:r>
                            <w:r w:rsidRPr="00E424ED">
                              <w:rPr>
                                <w:color w:val="000000"/>
                                <w:sz w:val="10"/>
                                <w:szCs w:val="10"/>
                              </w:rPr>
                              <w:t>involves instrumental activities of daily living (IADLs), such as nutritional preparation and domestic maintenance.</w:t>
                            </w:r>
                          </w:p>
                          <w:p w14:paraId="02E3DB06" w14:textId="77777777" w:rsidR="006B6936" w:rsidRPr="00E424ED" w:rsidRDefault="006B6936">
                            <w:pPr>
                              <w:pStyle w:val="NormalWeb"/>
                              <w:rPr>
                                <w:color w:val="000000"/>
                                <w:sz w:val="10"/>
                                <w:szCs w:val="10"/>
                              </w:rPr>
                            </w:pPr>
                            <w:r w:rsidRPr="00E424ED">
                              <w:rPr>
                                <w:color w:val="000000"/>
                                <w:sz w:val="10"/>
                                <w:szCs w:val="10"/>
                              </w:rPr>
                              <w:t>Furthermore, the provision of</w:t>
                            </w:r>
                            <w:r w:rsidRPr="00E424ED">
                              <w:rPr>
                                <w:rStyle w:val="apple-converted-space"/>
                                <w:color w:val="000000"/>
                                <w:sz w:val="10"/>
                                <w:szCs w:val="10"/>
                              </w:rPr>
                              <w:t> </w:t>
                            </w:r>
                            <w:r w:rsidRPr="00E424ED">
                              <w:rPr>
                                <w:color w:val="000000"/>
                                <w:sz w:val="10"/>
                                <w:szCs w:val="10"/>
                              </w:rPr>
                              <w:t>Companionship</w:t>
                            </w:r>
                            <w:r w:rsidRPr="00E424ED">
                              <w:rPr>
                                <w:rStyle w:val="apple-converted-space"/>
                                <w:color w:val="000000"/>
                                <w:sz w:val="10"/>
                                <w:szCs w:val="10"/>
                              </w:rPr>
                              <w:t> </w:t>
                            </w:r>
                            <w:r w:rsidRPr="00E424ED">
                              <w:rPr>
                                <w:color w:val="000000"/>
                                <w:sz w:val="10"/>
                                <w:szCs w:val="10"/>
                              </w:rPr>
                              <w:t>serves as a critical psychosocial intervention, mitigating the risks of social isolation and enhancing the mental well-being of vulnerable populations (Age UK, 2023). By adopting a</w:t>
                            </w:r>
                            <w:r w:rsidRPr="00E424ED">
                              <w:rPr>
                                <w:rStyle w:val="apple-converted-space"/>
                                <w:color w:val="000000"/>
                                <w:sz w:val="10"/>
                                <w:szCs w:val="10"/>
                              </w:rPr>
                              <w:t> </w:t>
                            </w:r>
                            <w:r w:rsidRPr="00E424ED">
                              <w:rPr>
                                <w:color w:val="000000"/>
                                <w:sz w:val="10"/>
                                <w:szCs w:val="10"/>
                              </w:rPr>
                              <w:t>person-centred methodology, domiciliary care ensures that interventions are bespoke and aligned with the specific preferences and requirements of the service user (Department of Health and Social Care, 2021). This approach ensures that the individual remains the primary agent in their care journey.</w:t>
                            </w:r>
                          </w:p>
                          <w:p w14:paraId="7A5631A5" w14:textId="77777777" w:rsidR="006B6936" w:rsidRPr="00E424ED" w:rsidRDefault="006B6936">
                            <w:pPr>
                              <w:pStyle w:val="NormalWeb"/>
                              <w:rPr>
                                <w:color w:val="000000"/>
                                <w:sz w:val="10"/>
                                <w:szCs w:val="10"/>
                              </w:rPr>
                            </w:pPr>
                            <w:r w:rsidRPr="00E424ED">
                              <w:rPr>
                                <w:color w:val="000000"/>
                                <w:sz w:val="10"/>
                                <w:szCs w:val="10"/>
                              </w:rPr>
                              <w:t>In conclusion, this model of community-based support acts as a preventive measure against avoidable secondary care admissions, thereby sustaining a high quality of life. The sector operates under a rigorous regulatory framework governed by the</w:t>
                            </w:r>
                            <w:r w:rsidRPr="00E424ED">
                              <w:rPr>
                                <w:rStyle w:val="apple-converted-space"/>
                                <w:color w:val="000000"/>
                                <w:sz w:val="10"/>
                                <w:szCs w:val="10"/>
                              </w:rPr>
                              <w:t> </w:t>
                            </w:r>
                            <w:r w:rsidRPr="00E424ED">
                              <w:rPr>
                                <w:color w:val="000000"/>
                                <w:sz w:val="10"/>
                                <w:szCs w:val="10"/>
                              </w:rPr>
                              <w:t>Care Quality Commission (CQC, 2023), which mandates strict compliance with safety and efficacy standards to safeguard service users within the domestic sphere.</w:t>
                            </w:r>
                          </w:p>
                          <w:p w14:paraId="731576DD" w14:textId="57BB772F" w:rsidR="003343B7" w:rsidRPr="00E424ED" w:rsidRDefault="003343B7" w:rsidP="006B6936">
                            <w:pPr>
                              <w:pStyle w:val="NormalWeb"/>
                              <w:rPr>
                                <w:color w:val="000000"/>
                                <w:sz w:val="14"/>
                                <w:szCs w:val="14"/>
                              </w:rPr>
                            </w:pPr>
                          </w:p>
                          <w:p w14:paraId="75890CEB" w14:textId="197E03AF" w:rsidR="001C08BA" w:rsidRPr="003343B7" w:rsidRDefault="001C08BA" w:rsidP="003343B7">
                            <w:pPr>
                              <w:pStyle w:val="NormalWeb"/>
                              <w:rPr>
                                <w:b/>
                                <w:bCs/>
                                <w:color w:val="275317" w:themeColor="accent6" w:themeShade="80"/>
                                <w:sz w:val="12"/>
                                <w:szCs w:val="12"/>
                              </w:rPr>
                            </w:pPr>
                          </w:p>
                          <w:p w14:paraId="25C199CB" w14:textId="77777777" w:rsidR="001C08BA" w:rsidRPr="00E10AD3" w:rsidRDefault="001C08BA">
                            <w:pPr>
                              <w:rPr>
                                <w:sz w:val="14"/>
                                <w:szCs w:val="1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464738" id="Text Box 4" o:spid="_x0000_s1028" type="#_x0000_t202" style="position:absolute;margin-left:8.6pt;margin-top:76.85pt;width:156.65pt;height:358pt;z-index:25167974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" strokecolor="#e97132 [3205]" strokeweight="3.75pt">
                <v:textbox>
                  <w:txbxContent>
                    <w:p w14:paraId="4B44F547" w14:textId="77777777" w:rsidR="007D2D52" w:rsidRDefault="001C08BA">
                      <w:pPr>
                        <w:pStyle w:val="NormalWeb"/>
                        <w:rPr>
                          <w:b/>
                          <w:bCs/>
                          <w:color w:val="275317" w:themeColor="accent6" w:themeShade="80"/>
                          <w:sz w:val="14"/>
                          <w:szCs w:val="14"/>
                        </w:rPr>
                      </w:pPr>
                      <w:r w:rsidRPr="00AB2F39">
                        <w:rPr>
                          <w:b/>
                          <w:bCs/>
                          <w:color w:val="275317" w:themeColor="accent6" w:themeShade="80"/>
                          <w:sz w:val="14"/>
                          <w:szCs w:val="14"/>
                        </w:rPr>
                        <w:t>Explanation</w:t>
                      </w:r>
                    </w:p>
                    <w:p w14:paraId="3CF036A3" w14:textId="77777777" w:rsidR="007D2D52" w:rsidRDefault="007D2D52">
                      <w:pPr>
                        <w:pStyle w:val="NormalWeb"/>
                        <w:rPr>
                          <w:b/>
                          <w:bCs/>
                          <w:color w:val="275317" w:themeColor="accent6" w:themeShade="80"/>
                          <w:sz w:val="14"/>
                          <w:szCs w:val="14"/>
                        </w:rPr>
                      </w:pPr>
                    </w:p>
                    <w:p w14:paraId="0EAC579C" w14:textId="666CCF66" w:rsidR="00AB2715" w:rsidRDefault="00EB617E">
                      <w:pPr>
                        <w:pStyle w:val="NormalWeb"/>
                        <w:rPr>
                          <w:b/>
                          <w:bCs/>
                          <w:color w:val="275317" w:themeColor="accent6" w:themeShade="80"/>
                          <w:sz w:val="14"/>
                          <w:szCs w:val="14"/>
                        </w:rPr>
                      </w:pPr>
                      <w:r>
                        <w:rPr>
                          <w:b/>
                          <w:bCs/>
                          <w:color w:val="275317" w:themeColor="accent6" w:themeShade="80"/>
                          <w:sz w:val="14"/>
                          <w:szCs w:val="14"/>
                        </w:rPr>
                        <w:t xml:space="preserve">                  </w:t>
                      </w:r>
                    </w:p>
                    <w:p w14:paraId="28BEAC7C" w14:textId="2E8BDFC4" w:rsidR="00EB617E" w:rsidRPr="007D2D52" w:rsidRDefault="007D2D52">
                      <w:pPr>
                        <w:pStyle w:val="NormalWeb"/>
                        <w:rPr>
                          <w:b/>
                          <w:bCs/>
                          <w:color w:val="000000" w:themeColor="text1"/>
                          <w:sz w:val="8"/>
                          <w:szCs w:val="8"/>
                        </w:rPr>
                      </w:pPr>
                      <w:r>
                        <w:rPr>
                          <w:b/>
                          <w:bCs/>
                          <w:color w:val="000000" w:themeColor="text1"/>
                          <w:sz w:val="8"/>
                          <w:szCs w:val="8"/>
                        </w:rPr>
                        <w:t xml:space="preserve">                                                </w:t>
                      </w:r>
                      <w:r w:rsidR="00091F68">
                        <w:rPr>
                          <w:b/>
                          <w:bCs/>
                          <w:color w:val="000000" w:themeColor="text1"/>
                          <w:sz w:val="8"/>
                          <w:szCs w:val="8"/>
                        </w:rPr>
                        <w:t xml:space="preserve">         </w:t>
                      </w:r>
                      <w:r>
                        <w:rPr>
                          <w:b/>
                          <w:bCs/>
                          <w:color w:val="000000" w:themeColor="text1"/>
                          <w:sz w:val="8"/>
                          <w:szCs w:val="8"/>
                        </w:rPr>
                        <w:t xml:space="preserve"> </w:t>
                      </w:r>
                      <w:r w:rsidR="00EB617E" w:rsidRPr="006217CB">
                        <w:rPr>
                          <w:b/>
                          <w:bCs/>
                          <w:color w:val="000000" w:themeColor="text1"/>
                          <w:sz w:val="8"/>
                          <w:szCs w:val="8"/>
                        </w:rPr>
                        <w:t>Image from Google</w:t>
                      </w:r>
                      <w:r w:rsidRPr="007D2D52">
                        <w:rPr>
                          <w:b/>
                          <w:bCs/>
                          <w:color w:val="000000" w:themeColor="text1"/>
                          <w:sz w:val="8"/>
                          <w:szCs w:val="8"/>
                        </w:rPr>
                        <w:t>:</w:t>
                      </w:r>
                    </w:p>
                    <w:p w14:paraId="4DF90180" w14:textId="2BE9D0E5" w:rsidR="006B6936" w:rsidRPr="00E424ED" w:rsidRDefault="006B6936">
                      <w:pPr>
                        <w:pStyle w:val="NormalWeb"/>
                        <w:rPr>
                          <w:color w:val="000000"/>
                          <w:sz w:val="10"/>
                          <w:szCs w:val="10"/>
                        </w:rPr>
                      </w:pPr>
                      <w:r w:rsidRPr="00E424ED">
                        <w:rPr>
                          <w:color w:val="000000"/>
                          <w:sz w:val="10"/>
                          <w:szCs w:val="10"/>
                        </w:rPr>
                        <w:t>Domiciliary care, hereafter referred to as home-based provision, constitutes a professional intervention designed to deliver essential assistance to service users within their private residences. This model facilitates the maintenance of individuals in a familiar environment, offering a viable alternative to institutionalisation in hospitals or residential care facilities. According to the</w:t>
                      </w:r>
                      <w:r w:rsidRPr="00E424ED">
                        <w:rPr>
                          <w:rStyle w:val="apple-converted-space"/>
                          <w:color w:val="000000"/>
                          <w:sz w:val="10"/>
                          <w:szCs w:val="10"/>
                        </w:rPr>
                        <w:t> </w:t>
                      </w:r>
                      <w:r w:rsidRPr="00E424ED">
                        <w:rPr>
                          <w:color w:val="000000"/>
                          <w:sz w:val="10"/>
                          <w:szCs w:val="10"/>
                        </w:rPr>
                        <w:t>Social Care Institute for Excellence (2020), such provision is fundamental in promoting autonomy and upholding the inherent dignity of the individual.</w:t>
                      </w:r>
                    </w:p>
                    <w:p w14:paraId="64BB5CCC" w14:textId="77777777" w:rsidR="006B6936" w:rsidRPr="00E424ED" w:rsidRDefault="006B6936">
                      <w:pPr>
                        <w:pStyle w:val="NormalWeb"/>
                        <w:rPr>
                          <w:color w:val="000000"/>
                          <w:sz w:val="10"/>
                          <w:szCs w:val="10"/>
                        </w:rPr>
                      </w:pPr>
                      <w:r w:rsidRPr="00E424ED">
                        <w:rPr>
                          <w:color w:val="000000"/>
                          <w:sz w:val="10"/>
                          <w:szCs w:val="10"/>
                        </w:rPr>
                        <w:t>The scope of this service is multifaceted and comprises several core domains.</w:t>
                      </w:r>
                      <w:r w:rsidRPr="00E424ED">
                        <w:rPr>
                          <w:rStyle w:val="apple-converted-space"/>
                          <w:color w:val="000000"/>
                          <w:sz w:val="10"/>
                          <w:szCs w:val="10"/>
                        </w:rPr>
                        <w:t> </w:t>
                      </w:r>
                      <w:r w:rsidRPr="00E424ED">
                        <w:rPr>
                          <w:color w:val="000000"/>
                          <w:sz w:val="10"/>
                          <w:szCs w:val="10"/>
                        </w:rPr>
                        <w:t>Personal Care</w:t>
                      </w:r>
                      <w:r w:rsidRPr="00E424ED">
                        <w:rPr>
                          <w:rStyle w:val="apple-converted-space"/>
                          <w:color w:val="000000"/>
                          <w:sz w:val="10"/>
                          <w:szCs w:val="10"/>
                        </w:rPr>
                        <w:t> </w:t>
                      </w:r>
                      <w:r w:rsidRPr="00E424ED">
                        <w:rPr>
                          <w:color w:val="000000"/>
                          <w:sz w:val="10"/>
                          <w:szCs w:val="10"/>
                        </w:rPr>
                        <w:t>entails assistance with activities of daily living (ADLs), including hygiene and dressing.</w:t>
                      </w:r>
                      <w:r w:rsidRPr="00E424ED">
                        <w:rPr>
                          <w:rStyle w:val="apple-converted-space"/>
                          <w:color w:val="000000"/>
                          <w:sz w:val="10"/>
                          <w:szCs w:val="10"/>
                        </w:rPr>
                        <w:t> </w:t>
                      </w:r>
                      <w:r w:rsidRPr="00E424ED">
                        <w:rPr>
                          <w:color w:val="000000"/>
                          <w:sz w:val="10"/>
                          <w:szCs w:val="10"/>
                        </w:rPr>
                        <w:t>Clinical Management</w:t>
                      </w:r>
                      <w:r w:rsidRPr="00E424ED">
                        <w:rPr>
                          <w:rStyle w:val="apple-converted-space"/>
                          <w:color w:val="000000"/>
                          <w:sz w:val="10"/>
                          <w:szCs w:val="10"/>
                        </w:rPr>
                        <w:t> </w:t>
                      </w:r>
                      <w:r w:rsidRPr="00E424ED">
                        <w:rPr>
                          <w:color w:val="000000"/>
                          <w:sz w:val="10"/>
                          <w:szCs w:val="10"/>
                        </w:rPr>
                        <w:t>focuses on pharmacological adherence and the monitoring of chronic pathologies, such as diabetes, in accordance with the evidence-based protocols established by the</w:t>
                      </w:r>
                      <w:r w:rsidRPr="00E424ED">
                        <w:rPr>
                          <w:rStyle w:val="apple-converted-space"/>
                          <w:color w:val="000000"/>
                          <w:sz w:val="10"/>
                          <w:szCs w:val="10"/>
                        </w:rPr>
                        <w:t> </w:t>
                      </w:r>
                      <w:r w:rsidRPr="00E424ED">
                        <w:rPr>
                          <w:color w:val="000000"/>
                          <w:sz w:val="10"/>
                          <w:szCs w:val="10"/>
                        </w:rPr>
                        <w:t>National Institute for Health and Care Excellence (2018). Beyond clinical requirements,</w:t>
                      </w:r>
                      <w:r w:rsidRPr="00E424ED">
                        <w:rPr>
                          <w:rStyle w:val="apple-converted-space"/>
                          <w:color w:val="000000"/>
                          <w:sz w:val="10"/>
                          <w:szCs w:val="10"/>
                        </w:rPr>
                        <w:t> </w:t>
                      </w:r>
                      <w:r w:rsidRPr="00E424ED">
                        <w:rPr>
                          <w:color w:val="000000"/>
                          <w:sz w:val="10"/>
                          <w:szCs w:val="10"/>
                        </w:rPr>
                        <w:t>Practical Support</w:t>
                      </w:r>
                      <w:r w:rsidRPr="00E424ED">
                        <w:rPr>
                          <w:rStyle w:val="apple-converted-space"/>
                          <w:color w:val="000000"/>
                          <w:sz w:val="10"/>
                          <w:szCs w:val="10"/>
                        </w:rPr>
                        <w:t> </w:t>
                      </w:r>
                      <w:r w:rsidRPr="00E424ED">
                        <w:rPr>
                          <w:color w:val="000000"/>
                          <w:sz w:val="10"/>
                          <w:szCs w:val="10"/>
                        </w:rPr>
                        <w:t>involves instrumental activities of daily living (IADLs), such as nutritional preparation and domestic maintenance.</w:t>
                      </w:r>
                    </w:p>
                    <w:p w14:paraId="02E3DB06" w14:textId="77777777" w:rsidR="006B6936" w:rsidRPr="00E424ED" w:rsidRDefault="006B6936">
                      <w:pPr>
                        <w:pStyle w:val="NormalWeb"/>
                        <w:rPr>
                          <w:color w:val="000000"/>
                          <w:sz w:val="10"/>
                          <w:szCs w:val="10"/>
                        </w:rPr>
                      </w:pPr>
                      <w:r w:rsidRPr="00E424ED">
                        <w:rPr>
                          <w:color w:val="000000"/>
                          <w:sz w:val="10"/>
                          <w:szCs w:val="10"/>
                        </w:rPr>
                        <w:t>Furthermore, the provision of</w:t>
                      </w:r>
                      <w:r w:rsidRPr="00E424ED">
                        <w:rPr>
                          <w:rStyle w:val="apple-converted-space"/>
                          <w:color w:val="000000"/>
                          <w:sz w:val="10"/>
                          <w:szCs w:val="10"/>
                        </w:rPr>
                        <w:t> </w:t>
                      </w:r>
                      <w:r w:rsidRPr="00E424ED">
                        <w:rPr>
                          <w:color w:val="000000"/>
                          <w:sz w:val="10"/>
                          <w:szCs w:val="10"/>
                        </w:rPr>
                        <w:t>Companionship</w:t>
                      </w:r>
                      <w:r w:rsidRPr="00E424ED">
                        <w:rPr>
                          <w:rStyle w:val="apple-converted-space"/>
                          <w:color w:val="000000"/>
                          <w:sz w:val="10"/>
                          <w:szCs w:val="10"/>
                        </w:rPr>
                        <w:t> </w:t>
                      </w:r>
                      <w:r w:rsidRPr="00E424ED">
                        <w:rPr>
                          <w:color w:val="000000"/>
                          <w:sz w:val="10"/>
                          <w:szCs w:val="10"/>
                        </w:rPr>
                        <w:t>serves as a critical psychosocial intervention, mitigating the risks of social isolation and enhancing the mental well-being of vulnerable populations (Age UK, 2023). By adopting a</w:t>
                      </w:r>
                      <w:r w:rsidRPr="00E424ED">
                        <w:rPr>
                          <w:rStyle w:val="apple-converted-space"/>
                          <w:color w:val="000000"/>
                          <w:sz w:val="10"/>
                          <w:szCs w:val="10"/>
                        </w:rPr>
                        <w:t> </w:t>
                      </w:r>
                      <w:r w:rsidRPr="00E424ED">
                        <w:rPr>
                          <w:color w:val="000000"/>
                          <w:sz w:val="10"/>
                          <w:szCs w:val="10"/>
                        </w:rPr>
                        <w:t>person-centred methodology, domiciliary care ensures that interventions are bespoke and aligned with the specific preferences and requirements of the service user (Department of Health and Social Care, 2021). This approach ensures that the individual remains the primary agent in their care journey.</w:t>
                      </w:r>
                    </w:p>
                    <w:p w14:paraId="7A5631A5" w14:textId="77777777" w:rsidR="006B6936" w:rsidRPr="00E424ED" w:rsidRDefault="006B6936">
                      <w:pPr>
                        <w:pStyle w:val="NormalWeb"/>
                        <w:rPr>
                          <w:color w:val="000000"/>
                          <w:sz w:val="10"/>
                          <w:szCs w:val="10"/>
                        </w:rPr>
                      </w:pPr>
                      <w:r w:rsidRPr="00E424ED">
                        <w:rPr>
                          <w:color w:val="000000"/>
                          <w:sz w:val="10"/>
                          <w:szCs w:val="10"/>
                        </w:rPr>
                        <w:t>In conclusion, this model of community-based support acts as a preventive measure against avoidable secondary care admissions, thereby sustaining a high quality of life. The sector operates under a rigorous regulatory framework governed by the</w:t>
                      </w:r>
                      <w:r w:rsidRPr="00E424ED">
                        <w:rPr>
                          <w:rStyle w:val="apple-converted-space"/>
                          <w:color w:val="000000"/>
                          <w:sz w:val="10"/>
                          <w:szCs w:val="10"/>
                        </w:rPr>
                        <w:t> </w:t>
                      </w:r>
                      <w:r w:rsidRPr="00E424ED">
                        <w:rPr>
                          <w:color w:val="000000"/>
                          <w:sz w:val="10"/>
                          <w:szCs w:val="10"/>
                        </w:rPr>
                        <w:t>Care Quality Commission (CQC, 2023), which mandates strict compliance with safety and efficacy standards to safeguard service users within the domestic sphere.</w:t>
                      </w:r>
                    </w:p>
                    <w:p w14:paraId="731576DD" w14:textId="57BB772F" w:rsidR="003343B7" w:rsidRPr="00E424ED" w:rsidRDefault="003343B7" w:rsidP="006B6936">
                      <w:pPr>
                        <w:pStyle w:val="NormalWeb"/>
                        <w:rPr>
                          <w:color w:val="000000"/>
                          <w:sz w:val="14"/>
                          <w:szCs w:val="14"/>
                        </w:rPr>
                      </w:pPr>
                    </w:p>
                    <w:p w14:paraId="75890CEB" w14:textId="197E03AF" w:rsidR="001C08BA" w:rsidRPr="003343B7" w:rsidRDefault="001C08BA" w:rsidP="003343B7">
                      <w:pPr>
                        <w:pStyle w:val="NormalWeb"/>
                        <w:rPr>
                          <w:b/>
                          <w:bCs/>
                          <w:color w:val="275317" w:themeColor="accent6" w:themeShade="80"/>
                          <w:sz w:val="12"/>
                          <w:szCs w:val="12"/>
                        </w:rPr>
                      </w:pPr>
                    </w:p>
                    <w:p w14:paraId="25C199CB" w14:textId="77777777" w:rsidR="001C08BA" w:rsidRPr="00E10AD3" w:rsidRDefault="001C08BA">
                      <w:pPr>
                        <w:rPr>
                          <w:sz w:val="14"/>
                          <w:szCs w:val="14"/>
                        </w:rPr>
                      </w:pPr>
                    </w:p>
                  </w:txbxContent>
                </v:textbox>
                <w10:wrap type="square" anchorx="page"/>
              </v:shape>
            </w:pict>
          </mc:Fallback>
        </mc:AlternateContent>
      </w:r>
      <w:r w:rsidR="004239EA" w:rsidRPr="00B72702">
        <w:rPr>
          <w:noProof/>
          <w:sz w:val="10"/>
          <w:szCs w:val="10"/>
        </w:rPr>
        <mc:AlternateContent>
          <mc:Choice Requires="wps">
            <w:drawing>
              <wp:anchor distT="45720" distB="45720" distL="114300" distR="114300" simplePos="0" relativeHeight="251671552" behindDoc="0" locked="0" layoutInCell="1" allowOverlap="1" wp14:anchorId="5D749413" wp14:editId="539958F4">
                <wp:simplePos x="0" y="0"/>
                <wp:positionH relativeFrom="page">
                  <wp:posOffset>6966341</wp:posOffset>
                </wp:positionH>
                <wp:positionV relativeFrom="paragraph">
                  <wp:posOffset>3510866</wp:posOffset>
                </wp:positionV>
                <wp:extent cx="2912745" cy="1312545"/>
                <wp:effectExtent l="25400" t="25400" r="20955" b="20955"/>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12745" cy="1312545"/>
                        </a:xfrm>
                        <a:prstGeom prst="rect">
                          <a:avLst/>
                        </a:prstGeom>
                        <a:solidFill>
                          <a:srgbClr val="FFFFFF"/>
                        </a:solidFill>
                        <a:ln w="47625">
                          <a:solidFill>
                            <a:srgbClr val="000000"/>
                          </a:solidFill>
                          <a:miter lim="800000"/>
                          <a:headEnd/>
                          <a:tailEnd/>
                        </a:ln>
                        <a:effectLst>
                          <a:softEdge rad="25400"/>
                        </a:effectLst>
                      </wps:spPr>
                      <wps:txbx>
                        <w:txbxContent>
                          <w:p w14:paraId="60C94B58" w14:textId="6D6EF9FE" w:rsidR="00561DFE" w:rsidRPr="00561DFE" w:rsidRDefault="002A360A" w:rsidP="00561DFE">
                            <w:pPr>
                              <w:rPr>
                                <w:rFonts w:ascii="-webkit-standard" w:eastAsia="Times New Roman" w:hAnsi="-webkit-standard"/>
                                <w:color w:val="000000"/>
                                <w:sz w:val="12"/>
                                <w:szCs w:val="12"/>
                              </w:rPr>
                            </w:pPr>
                            <w:r w:rsidRPr="00A12B09">
                              <w:rPr>
                                <w:b/>
                                <w:bCs/>
                                <w:color w:val="275317" w:themeColor="accent6" w:themeShade="80"/>
                                <w:sz w:val="12"/>
                                <w:szCs w:val="12"/>
                              </w:rPr>
                              <w:t>References:</w:t>
                            </w:r>
                            <w:r w:rsidR="00A12B09" w:rsidRPr="00A12B09">
                              <w:rPr>
                                <w:rFonts w:eastAsia="Times New Roman"/>
                                <w:b/>
                                <w:bCs/>
                                <w:color w:val="000000"/>
                                <w:sz w:val="12"/>
                                <w:szCs w:val="12"/>
                              </w:rPr>
                              <w:t xml:space="preserve"> </w:t>
                            </w:r>
                            <w:r w:rsidR="00561DFE" w:rsidRPr="00561DFE">
                              <w:rPr>
                                <w:color w:val="000000"/>
                                <w:sz w:val="10"/>
                                <w:szCs w:val="10"/>
                              </w:rPr>
                              <w:t>Care Quality Commission (2021).</w:t>
                            </w:r>
                            <w:r w:rsidR="00561DFE" w:rsidRPr="00561DFE">
                              <w:rPr>
                                <w:rStyle w:val="apple-converted-space"/>
                                <w:color w:val="000000"/>
                                <w:sz w:val="10"/>
                                <w:szCs w:val="10"/>
                              </w:rPr>
                              <w:t> </w:t>
                            </w:r>
                            <w:r w:rsidR="00561DFE" w:rsidRPr="00561DFE">
                              <w:rPr>
                                <w:b/>
                                <w:bCs/>
                                <w:color w:val="000000"/>
                                <w:sz w:val="10"/>
                                <w:szCs w:val="10"/>
                              </w:rPr>
                              <w:t>The state of health care and adult social care in England</w:t>
                            </w:r>
                            <w:r w:rsidR="00561DFE" w:rsidRPr="00561DFE">
                              <w:rPr>
                                <w:color w:val="000000"/>
                                <w:sz w:val="10"/>
                                <w:szCs w:val="10"/>
                              </w:rPr>
                              <w:t>. London: CQC.</w:t>
                            </w:r>
                          </w:p>
                          <w:p w14:paraId="255C5386" w14:textId="77777777" w:rsidR="00561DFE" w:rsidRPr="00561DFE" w:rsidRDefault="00561DFE">
                            <w:pPr>
                              <w:pStyle w:val="NormalWeb"/>
                              <w:rPr>
                                <w:color w:val="000000"/>
                                <w:sz w:val="10"/>
                                <w:szCs w:val="10"/>
                              </w:rPr>
                            </w:pPr>
                            <w:r w:rsidRPr="00561DFE">
                              <w:rPr>
                                <w:color w:val="000000"/>
                                <w:sz w:val="10"/>
                                <w:szCs w:val="10"/>
                              </w:rPr>
                              <w:t>NHS (2019).</w:t>
                            </w:r>
                            <w:r w:rsidRPr="00561DFE">
                              <w:rPr>
                                <w:rStyle w:val="apple-converted-space"/>
                                <w:color w:val="000000"/>
                                <w:sz w:val="10"/>
                                <w:szCs w:val="10"/>
                              </w:rPr>
                              <w:t> </w:t>
                            </w:r>
                            <w:r w:rsidRPr="00561DFE">
                              <w:rPr>
                                <w:b/>
                                <w:bCs/>
                                <w:color w:val="000000"/>
                                <w:sz w:val="10"/>
                                <w:szCs w:val="10"/>
                              </w:rPr>
                              <w:t>The NHS Long Term Plan</w:t>
                            </w:r>
                            <w:r w:rsidRPr="00561DFE">
                              <w:rPr>
                                <w:color w:val="000000"/>
                                <w:sz w:val="10"/>
                                <w:szCs w:val="10"/>
                              </w:rPr>
                              <w:t>. London: NHS England. Available at: www.longtermplan.nhs.uk (Accessed: 2 March 2026).</w:t>
                            </w:r>
                          </w:p>
                          <w:p w14:paraId="61FD0C60" w14:textId="77777777" w:rsidR="00561DFE" w:rsidRPr="00561DFE" w:rsidRDefault="00561DFE">
                            <w:pPr>
                              <w:pStyle w:val="NormalWeb"/>
                              <w:rPr>
                                <w:color w:val="000000"/>
                                <w:sz w:val="10"/>
                                <w:szCs w:val="10"/>
                              </w:rPr>
                            </w:pPr>
                            <w:r w:rsidRPr="00561DFE">
                              <w:rPr>
                                <w:color w:val="000000"/>
                                <w:sz w:val="10"/>
                                <w:szCs w:val="10"/>
                              </w:rPr>
                              <w:t>Powell, E. (1961).</w:t>
                            </w:r>
                            <w:r w:rsidRPr="00561DFE">
                              <w:rPr>
                                <w:rStyle w:val="apple-converted-space"/>
                                <w:color w:val="000000"/>
                                <w:sz w:val="10"/>
                                <w:szCs w:val="10"/>
                              </w:rPr>
                              <w:t> </w:t>
                            </w:r>
                            <w:r w:rsidRPr="00561DFE">
                              <w:rPr>
                                <w:b/>
                                <w:bCs/>
                                <w:color w:val="000000"/>
                                <w:sz w:val="10"/>
                                <w:szCs w:val="10"/>
                              </w:rPr>
                              <w:t>Address to the National Association for Mental Health Annual Conference (The Water Tower Speech)</w:t>
                            </w:r>
                            <w:r w:rsidRPr="00561DFE">
                              <w:rPr>
                                <w:color w:val="000000"/>
                                <w:sz w:val="10"/>
                                <w:szCs w:val="10"/>
                              </w:rPr>
                              <w:t>. London: Ministry of Health.</w:t>
                            </w:r>
                          </w:p>
                          <w:p w14:paraId="43D0B0C4" w14:textId="77777777" w:rsidR="00561DFE" w:rsidRPr="00561DFE" w:rsidRDefault="00561DFE">
                            <w:pPr>
                              <w:pStyle w:val="NormalWeb"/>
                              <w:rPr>
                                <w:color w:val="000000"/>
                                <w:sz w:val="10"/>
                                <w:szCs w:val="10"/>
                              </w:rPr>
                            </w:pPr>
                            <w:r w:rsidRPr="00561DFE">
                              <w:rPr>
                                <w:color w:val="000000"/>
                                <w:sz w:val="10"/>
                                <w:szCs w:val="10"/>
                              </w:rPr>
                              <w:t>The Health Foundation (2023).</w:t>
                            </w:r>
                            <w:r w:rsidRPr="00561DFE">
                              <w:rPr>
                                <w:rStyle w:val="apple-converted-space"/>
                                <w:color w:val="000000"/>
                                <w:sz w:val="10"/>
                                <w:szCs w:val="10"/>
                              </w:rPr>
                              <w:t> </w:t>
                            </w:r>
                            <w:r w:rsidRPr="00561DFE">
                              <w:rPr>
                                <w:b/>
                                <w:bCs/>
                                <w:color w:val="000000"/>
                                <w:sz w:val="10"/>
                                <w:szCs w:val="10"/>
                              </w:rPr>
                              <w:t>Social care funding and workforce: priorities for the next government</w:t>
                            </w:r>
                            <w:r w:rsidRPr="00561DFE">
                              <w:rPr>
                                <w:color w:val="000000"/>
                                <w:sz w:val="10"/>
                                <w:szCs w:val="10"/>
                              </w:rPr>
                              <w:t>. London: Health Foundation.</w:t>
                            </w:r>
                          </w:p>
                          <w:p w14:paraId="7B69BC2F" w14:textId="77777777" w:rsidR="00BE6BE0" w:rsidRPr="00561DFE" w:rsidRDefault="00BE6BE0" w:rsidP="00BE6BE0">
                            <w:pPr>
                              <w:rPr>
                                <w:sz w:val="2"/>
                                <w:szCs w:val="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29" type="#_x0000_t202" style="position:absolute;margin-left:548.55pt;margin-top:276.45pt;width:229.35pt;height:103.35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" strokeweight="3.75pt">
                <v:textbox>
                  <w:txbxContent>
                    <w:p w14:paraId="60C94B58" w14:textId="6D6EF9FE" w:rsidR="00561DFE" w:rsidRPr="00561DFE" w:rsidRDefault="002A360A" w:rsidP="00561DFE">
                      <w:pPr>
                        <w:rPr>
                          <w:rFonts w:ascii="-webkit-standard" w:eastAsia="Times New Roman" w:hAnsi="-webkit-standard"/>
                          <w:color w:val="000000"/>
                          <w:sz w:val="12"/>
                          <w:szCs w:val="12"/>
                        </w:rPr>
                      </w:pPr>
                      <w:r w:rsidRPr="00A12B09">
                        <w:rPr>
                          <w:b/>
                          <w:bCs/>
                          <w:color w:val="275317" w:themeColor="accent6" w:themeShade="80"/>
                          <w:sz w:val="12"/>
                          <w:szCs w:val="12"/>
                        </w:rPr>
                        <w:t>References:</w:t>
                      </w:r>
                      <w:r w:rsidR="00A12B09" w:rsidRPr="00A12B09">
                        <w:rPr>
                          <w:rFonts w:eastAsia="Times New Roman"/>
                          <w:b/>
                          <w:bCs/>
                          <w:color w:val="000000"/>
                          <w:sz w:val="12"/>
                          <w:szCs w:val="12"/>
                        </w:rPr>
                        <w:t xml:space="preserve"> </w:t>
                      </w:r>
                      <w:r w:rsidR="00561DFE" w:rsidRPr="00561DFE">
                        <w:rPr>
                          <w:color w:val="000000"/>
                          <w:sz w:val="10"/>
                          <w:szCs w:val="10"/>
                        </w:rPr>
                        <w:t>Care Quality Commission (2021).</w:t>
                      </w:r>
                      <w:r w:rsidR="00561DFE" w:rsidRPr="00561DFE">
                        <w:rPr>
                          <w:rStyle w:val="apple-converted-space"/>
                          <w:color w:val="000000"/>
                          <w:sz w:val="10"/>
                          <w:szCs w:val="10"/>
                        </w:rPr>
                        <w:t> </w:t>
                      </w:r>
                      <w:r w:rsidR="00561DFE" w:rsidRPr="00561DFE">
                        <w:rPr>
                          <w:b/>
                          <w:bCs/>
                          <w:color w:val="000000"/>
                          <w:sz w:val="10"/>
                          <w:szCs w:val="10"/>
                        </w:rPr>
                        <w:t>The state of health care and adult social care in England</w:t>
                      </w:r>
                      <w:r w:rsidR="00561DFE" w:rsidRPr="00561DFE">
                        <w:rPr>
                          <w:color w:val="000000"/>
                          <w:sz w:val="10"/>
                          <w:szCs w:val="10"/>
                        </w:rPr>
                        <w:t>. London: CQC.</w:t>
                      </w:r>
                    </w:p>
                    <w:p w14:paraId="255C5386" w14:textId="77777777" w:rsidR="00561DFE" w:rsidRPr="00561DFE" w:rsidRDefault="00561DFE">
                      <w:pPr>
                        <w:pStyle w:val="NormalWeb"/>
                        <w:rPr>
                          <w:color w:val="000000"/>
                          <w:sz w:val="10"/>
                          <w:szCs w:val="10"/>
                        </w:rPr>
                      </w:pPr>
                      <w:r w:rsidRPr="00561DFE">
                        <w:rPr>
                          <w:color w:val="000000"/>
                          <w:sz w:val="10"/>
                          <w:szCs w:val="10"/>
                        </w:rPr>
                        <w:t>NHS (2019).</w:t>
                      </w:r>
                      <w:r w:rsidRPr="00561DFE">
                        <w:rPr>
                          <w:rStyle w:val="apple-converted-space"/>
                          <w:color w:val="000000"/>
                          <w:sz w:val="10"/>
                          <w:szCs w:val="10"/>
                        </w:rPr>
                        <w:t> </w:t>
                      </w:r>
                      <w:r w:rsidRPr="00561DFE">
                        <w:rPr>
                          <w:b/>
                          <w:bCs/>
                          <w:color w:val="000000"/>
                          <w:sz w:val="10"/>
                          <w:szCs w:val="10"/>
                        </w:rPr>
                        <w:t>The NHS Long Term Plan</w:t>
                      </w:r>
                      <w:r w:rsidRPr="00561DFE">
                        <w:rPr>
                          <w:color w:val="000000"/>
                          <w:sz w:val="10"/>
                          <w:szCs w:val="10"/>
                        </w:rPr>
                        <w:t>. London: NHS England. Available at: www.longtermplan.nhs.uk (Accessed: 2 March 2026).</w:t>
                      </w:r>
                    </w:p>
                    <w:p w14:paraId="61FD0C60" w14:textId="77777777" w:rsidR="00561DFE" w:rsidRPr="00561DFE" w:rsidRDefault="00561DFE">
                      <w:pPr>
                        <w:pStyle w:val="NormalWeb"/>
                        <w:rPr>
                          <w:color w:val="000000"/>
                          <w:sz w:val="10"/>
                          <w:szCs w:val="10"/>
                        </w:rPr>
                      </w:pPr>
                      <w:r w:rsidRPr="00561DFE">
                        <w:rPr>
                          <w:color w:val="000000"/>
                          <w:sz w:val="10"/>
                          <w:szCs w:val="10"/>
                        </w:rPr>
                        <w:t>Powell, E. (1961).</w:t>
                      </w:r>
                      <w:r w:rsidRPr="00561DFE">
                        <w:rPr>
                          <w:rStyle w:val="apple-converted-space"/>
                          <w:color w:val="000000"/>
                          <w:sz w:val="10"/>
                          <w:szCs w:val="10"/>
                        </w:rPr>
                        <w:t> </w:t>
                      </w:r>
                      <w:r w:rsidRPr="00561DFE">
                        <w:rPr>
                          <w:b/>
                          <w:bCs/>
                          <w:color w:val="000000"/>
                          <w:sz w:val="10"/>
                          <w:szCs w:val="10"/>
                        </w:rPr>
                        <w:t>Address to the National Association for Mental Health Annual Conference (The Water Tower Speech)</w:t>
                      </w:r>
                      <w:r w:rsidRPr="00561DFE">
                        <w:rPr>
                          <w:color w:val="000000"/>
                          <w:sz w:val="10"/>
                          <w:szCs w:val="10"/>
                        </w:rPr>
                        <w:t>. London: Ministry of Health.</w:t>
                      </w:r>
                    </w:p>
                    <w:p w14:paraId="43D0B0C4" w14:textId="77777777" w:rsidR="00561DFE" w:rsidRPr="00561DFE" w:rsidRDefault="00561DFE">
                      <w:pPr>
                        <w:pStyle w:val="NormalWeb"/>
                        <w:rPr>
                          <w:color w:val="000000"/>
                          <w:sz w:val="10"/>
                          <w:szCs w:val="10"/>
                        </w:rPr>
                      </w:pPr>
                      <w:r w:rsidRPr="00561DFE">
                        <w:rPr>
                          <w:color w:val="000000"/>
                          <w:sz w:val="10"/>
                          <w:szCs w:val="10"/>
                        </w:rPr>
                        <w:t>The Health Foundation (2023).</w:t>
                      </w:r>
                      <w:r w:rsidRPr="00561DFE">
                        <w:rPr>
                          <w:rStyle w:val="apple-converted-space"/>
                          <w:color w:val="000000"/>
                          <w:sz w:val="10"/>
                          <w:szCs w:val="10"/>
                        </w:rPr>
                        <w:t> </w:t>
                      </w:r>
                      <w:r w:rsidRPr="00561DFE">
                        <w:rPr>
                          <w:b/>
                          <w:bCs/>
                          <w:color w:val="000000"/>
                          <w:sz w:val="10"/>
                          <w:szCs w:val="10"/>
                        </w:rPr>
                        <w:t>Social care funding and workforce: priorities for the next government</w:t>
                      </w:r>
                      <w:r w:rsidRPr="00561DFE">
                        <w:rPr>
                          <w:color w:val="000000"/>
                          <w:sz w:val="10"/>
                          <w:szCs w:val="10"/>
                        </w:rPr>
                        <w:t>. London: Health Foundation.</w:t>
                      </w:r>
                    </w:p>
                    <w:p w14:paraId="7B69BC2F" w14:textId="77777777" w:rsidR="00BE6BE0" w:rsidRPr="00561DFE" w:rsidRDefault="00BE6BE0" w:rsidP="00BE6BE0">
                      <w:pPr>
                        <w:rPr>
                          <w:sz w:val="2"/>
                          <w:szCs w:val="2"/>
                        </w:rPr>
                      </w:pPr>
                    </w:p>
                  </w:txbxContent>
                </v:textbox>
                <w10:wrap type="square" anchorx="page"/>
              </v:shape>
            </w:pict>
          </mc:Fallback>
        </mc:AlternateContent>
      </w:r>
      <w:r w:rsidR="003E1FF0" w:rsidRPr="00B72702">
        <w:rPr>
          <w:noProof/>
          <w:sz w:val="10"/>
          <w:szCs w:val="10"/>
        </w:rPr>
        <mc:AlternateContent>
          <mc:Choice Requires="wps">
            <w:drawing>
              <wp:anchor distT="45720" distB="45720" distL="114300" distR="114300" simplePos="0" relativeHeight="251667456" behindDoc="0" locked="0" layoutInCell="1" allowOverlap="1" wp14:anchorId="2F5030E1" wp14:editId="5C99EC3C">
                <wp:simplePos x="0" y="0"/>
                <wp:positionH relativeFrom="margin">
                  <wp:posOffset>6052967</wp:posOffset>
                </wp:positionH>
                <wp:positionV relativeFrom="paragraph">
                  <wp:posOffset>963832</wp:posOffset>
                </wp:positionV>
                <wp:extent cx="2966720" cy="2551430"/>
                <wp:effectExtent l="25400" t="25400" r="30480" b="2667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66720" cy="2551430"/>
                        </a:xfrm>
                        <a:prstGeom prst="rect">
                          <a:avLst/>
                        </a:prstGeom>
                        <a:solidFill>
                          <a:srgbClr val="FFFFFF"/>
                        </a:solidFill>
                        <a:ln w="44450">
                          <a:solidFill>
                            <a:srgbClr val="000000"/>
                          </a:solidFill>
                          <a:miter lim="800000"/>
                          <a:headEnd/>
                          <a:tailEnd/>
                        </a:ln>
                        <a:effectLst>
                          <a:softEdge rad="25400"/>
                        </a:effectLst>
                      </wps:spPr>
                      <wps:txbx>
                        <w:txbxContent>
                          <w:p w14:paraId="2D899F0B" w14:textId="1C6A8AE2" w:rsidR="00FF2E07" w:rsidRPr="00336358" w:rsidRDefault="008F3391" w:rsidP="008515EA">
                            <w:pPr>
                              <w:rPr>
                                <w:color w:val="000000"/>
                                <w:sz w:val="12"/>
                                <w:szCs w:val="12"/>
                              </w:rPr>
                            </w:pPr>
                            <w:r w:rsidRPr="00336358">
                              <w:rPr>
                                <w:b/>
                                <w:bCs/>
                                <w:color w:val="275317" w:themeColor="accent6" w:themeShade="80"/>
                                <w:sz w:val="12"/>
                                <w:szCs w:val="12"/>
                              </w:rPr>
                              <w:t>Challenges faced by service</w:t>
                            </w:r>
                            <w:r w:rsidR="00460E92" w:rsidRPr="00336358">
                              <w:rPr>
                                <w:b/>
                                <w:bCs/>
                                <w:color w:val="275317" w:themeColor="accent6" w:themeShade="80"/>
                                <w:sz w:val="12"/>
                                <w:szCs w:val="12"/>
                              </w:rPr>
                              <w:t>.</w:t>
                            </w:r>
                            <w:r w:rsidR="00FF2E07" w:rsidRPr="00336358">
                              <w:rPr>
                                <w:b/>
                                <w:bCs/>
                                <w:color w:val="000000"/>
                                <w:sz w:val="12"/>
                                <w:szCs w:val="12"/>
                              </w:rPr>
                              <w:t xml:space="preserve"> </w:t>
                            </w:r>
                          </w:p>
                          <w:p w14:paraId="0DAF6458" w14:textId="104CE15C" w:rsidR="00987A9C" w:rsidRPr="00456C99" w:rsidRDefault="00987A9C" w:rsidP="00AB4BD6">
                            <w:pPr>
                              <w:pStyle w:val="Heading3"/>
                              <w:rPr>
                                <w:rFonts w:eastAsia="Times New Roman"/>
                                <w:color w:val="000000"/>
                                <w:sz w:val="12"/>
                                <w:szCs w:val="12"/>
                              </w:rPr>
                            </w:pPr>
                            <w:r w:rsidRPr="00456C99">
                              <w:rPr>
                                <w:rFonts w:eastAsia="Times New Roman"/>
                                <w:color w:val="000000"/>
                                <w:sz w:val="12"/>
                                <w:szCs w:val="12"/>
                              </w:rPr>
                              <w:t>1. Staffing and Recruitment Challeng</w:t>
                            </w:r>
                            <w:r w:rsidR="00AB4BD6" w:rsidRPr="00456C99">
                              <w:rPr>
                                <w:rFonts w:eastAsia="Times New Roman"/>
                                <w:color w:val="000000"/>
                                <w:sz w:val="12"/>
                                <w:szCs w:val="12"/>
                              </w:rPr>
                              <w:t>es</w:t>
                            </w:r>
                          </w:p>
                          <w:p w14:paraId="1CA941A3" w14:textId="77777777" w:rsidR="00987A9C" w:rsidRPr="00F64548" w:rsidRDefault="00987A9C">
                            <w:pPr>
                              <w:rPr>
                                <w:rFonts w:eastAsia="Times New Roman"/>
                                <w:sz w:val="12"/>
                                <w:szCs w:val="12"/>
                              </w:rPr>
                            </w:pPr>
                            <w:r w:rsidRPr="00F64548">
                              <w:rPr>
                                <w:rFonts w:eastAsia="Times New Roman"/>
                                <w:color w:val="000000"/>
                                <w:sz w:val="12"/>
                                <w:szCs w:val="12"/>
                              </w:rPr>
                              <w:t xml:space="preserve">The domiciliary care sector currently faces a significant workforce crisis </w:t>
                            </w:r>
                            <w:proofErr w:type="spellStart"/>
                            <w:r w:rsidRPr="00F64548">
                              <w:rPr>
                                <w:rFonts w:eastAsia="Times New Roman"/>
                                <w:color w:val="000000"/>
                                <w:sz w:val="12"/>
                                <w:szCs w:val="12"/>
                              </w:rPr>
                              <w:t>characterized</w:t>
                            </w:r>
                            <w:proofErr w:type="spellEnd"/>
                            <w:r w:rsidRPr="00F64548">
                              <w:rPr>
                                <w:rFonts w:eastAsia="Times New Roman"/>
                                <w:color w:val="000000"/>
                                <w:sz w:val="12"/>
                                <w:szCs w:val="12"/>
                              </w:rPr>
                              <w:t xml:space="preserve"> by a chronic shortage of qualified care workers across the UK. Because the role is physically demanding and emotionally taxing, many professionals leave the sector for less stressful industries, leading to high staff turnover. For a</w:t>
                            </w:r>
                            <w:r w:rsidRPr="00F64548">
                              <w:rPr>
                                <w:rStyle w:val="apple-converted-space"/>
                                <w:rFonts w:eastAsia="Times New Roman"/>
                                <w:color w:val="000000"/>
                                <w:sz w:val="12"/>
                                <w:szCs w:val="12"/>
                              </w:rPr>
                              <w:t> </w:t>
                            </w:r>
                            <w:r w:rsidRPr="00F64548">
                              <w:rPr>
                                <w:rFonts w:eastAsia="Times New Roman"/>
                                <w:color w:val="000000"/>
                                <w:sz w:val="12"/>
                                <w:szCs w:val="12"/>
                              </w:rPr>
                              <w:t>Care Coordinator, this creates a constant struggle to maintain "continuity of care." When different carers visit a patient every day, it becomes difficult to build the necessary trust and rapport. This is particularly critical for vulnerable individuals living with dementia, who rely on familiar faces and consistent routines to feel safe.</w:t>
                            </w:r>
                          </w:p>
                          <w:p w14:paraId="2447D080" w14:textId="77777777" w:rsidR="00987A9C" w:rsidRPr="00AB4BD6" w:rsidRDefault="00987A9C">
                            <w:pPr>
                              <w:pStyle w:val="Heading3"/>
                              <w:rPr>
                                <w:rFonts w:eastAsia="Times New Roman"/>
                                <w:color w:val="000000"/>
                                <w:sz w:val="12"/>
                                <w:szCs w:val="12"/>
                              </w:rPr>
                            </w:pPr>
                            <w:r w:rsidRPr="00AB4BD6">
                              <w:rPr>
                                <w:rFonts w:eastAsia="Times New Roman"/>
                                <w:color w:val="000000"/>
                                <w:sz w:val="12"/>
                                <w:szCs w:val="12"/>
                              </w:rPr>
                              <w:t>2. Time and Funding Pressures</w:t>
                            </w:r>
                          </w:p>
                          <w:p w14:paraId="72168082" w14:textId="77777777" w:rsidR="00987A9C" w:rsidRPr="00AB4BD6" w:rsidRDefault="00987A9C">
                            <w:pPr>
                              <w:pStyle w:val="Footer"/>
                              <w:rPr>
                                <w:color w:val="000000"/>
                                <w:sz w:val="12"/>
                                <w:szCs w:val="12"/>
                              </w:rPr>
                            </w:pPr>
                            <w:r w:rsidRPr="00AB4BD6">
                              <w:rPr>
                                <w:color w:val="000000"/>
                                <w:sz w:val="12"/>
                                <w:szCs w:val="12"/>
                              </w:rPr>
                              <w:t>Most community care services are funded by local authorities operating under extremely tight budgetary constraints. This financial pressure often results in "task-based care," where visits are restricted to 15 or 30-minute slots. Consequently, carers are forced to rush through physical tasks like washing or medication administration, leaving no time for the essential "social" aspect of the role. This lack of meaningful interaction can lead to severe loneliness and social isolation for the patient. Furthermore, it places immense stress on the staff, who feel they cannot provide the holistic, high-quality support that every vulnerable person deserves.</w:t>
                            </w:r>
                          </w:p>
                          <w:p w14:paraId="69461F56" w14:textId="13A745C3" w:rsidR="00BE6BE0" w:rsidRPr="00D8088B" w:rsidRDefault="00BE6BE0" w:rsidP="00BE6BE0">
                            <w:pPr>
                              <w:rPr>
                                <w:b/>
                                <w:bCs/>
                                <w:color w:val="275317" w:themeColor="accent6" w:themeShade="80"/>
                                <w:sz w:val="2"/>
                                <w:szCs w:val="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Text Box 2" o:spid="_x0000_s1030" type="#_x0000_t202" style="position:absolute;margin-left:476.6pt;margin-top:75.9pt;width:233.6pt;height:200.9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" strokeweight="3.5pt">
                <v:textbox>
                  <w:txbxContent>
                    <w:p w14:paraId="2D899F0B" w14:textId="1C6A8AE2" w:rsidR="00FF2E07" w:rsidRPr="00336358" w:rsidRDefault="008F3391" w:rsidP="008515EA">
                      <w:pPr>
                        <w:rPr>
                          <w:color w:val="000000"/>
                          <w:sz w:val="12"/>
                          <w:szCs w:val="12"/>
                        </w:rPr>
                      </w:pPr>
                      <w:r w:rsidRPr="00336358">
                        <w:rPr>
                          <w:b/>
                          <w:bCs/>
                          <w:color w:val="275317" w:themeColor="accent6" w:themeShade="80"/>
                          <w:sz w:val="12"/>
                          <w:szCs w:val="12"/>
                        </w:rPr>
                        <w:t>Challenges faced by service</w:t>
                      </w:r>
                      <w:r w:rsidR="00460E92" w:rsidRPr="00336358">
                        <w:rPr>
                          <w:b/>
                          <w:bCs/>
                          <w:color w:val="275317" w:themeColor="accent6" w:themeShade="80"/>
                          <w:sz w:val="12"/>
                          <w:szCs w:val="12"/>
                        </w:rPr>
                        <w:t>.</w:t>
                      </w:r>
                      <w:r w:rsidR="00FF2E07" w:rsidRPr="00336358">
                        <w:rPr>
                          <w:b/>
                          <w:bCs/>
                          <w:color w:val="000000"/>
                          <w:sz w:val="12"/>
                          <w:szCs w:val="12"/>
                        </w:rPr>
                        <w:t xml:space="preserve"> </w:t>
                      </w:r>
                    </w:p>
                    <w:p w14:paraId="0DAF6458" w14:textId="104CE15C" w:rsidR="00987A9C" w:rsidRPr="00456C99" w:rsidRDefault="00987A9C" w:rsidP="00AB4BD6">
                      <w:pPr>
                        <w:pStyle w:val="Heading3"/>
                        <w:rPr>
                          <w:rFonts w:eastAsia="Times New Roman"/>
                          <w:color w:val="000000"/>
                          <w:sz w:val="12"/>
                          <w:szCs w:val="12"/>
                        </w:rPr>
                      </w:pPr>
                      <w:r w:rsidRPr="00456C99">
                        <w:rPr>
                          <w:rFonts w:eastAsia="Times New Roman"/>
                          <w:color w:val="000000"/>
                          <w:sz w:val="12"/>
                          <w:szCs w:val="12"/>
                        </w:rPr>
                        <w:t>1. Staffing and Recruitment Challeng</w:t>
                      </w:r>
                      <w:r w:rsidR="00AB4BD6" w:rsidRPr="00456C99">
                        <w:rPr>
                          <w:rFonts w:eastAsia="Times New Roman"/>
                          <w:color w:val="000000"/>
                          <w:sz w:val="12"/>
                          <w:szCs w:val="12"/>
                        </w:rPr>
                        <w:t>es</w:t>
                      </w:r>
                    </w:p>
                    <w:p w14:paraId="1CA941A3" w14:textId="77777777" w:rsidR="00987A9C" w:rsidRPr="00F64548" w:rsidRDefault="00987A9C">
                      <w:pPr>
                        <w:rPr>
                          <w:rFonts w:eastAsia="Times New Roman"/>
                          <w:sz w:val="12"/>
                          <w:szCs w:val="12"/>
                        </w:rPr>
                      </w:pPr>
                      <w:r w:rsidRPr="00F64548">
                        <w:rPr>
                          <w:rFonts w:eastAsia="Times New Roman"/>
                          <w:color w:val="000000"/>
                          <w:sz w:val="12"/>
                          <w:szCs w:val="12"/>
                        </w:rPr>
                        <w:t xml:space="preserve">The domiciliary care sector currently faces a significant workforce crisis </w:t>
                      </w:r>
                      <w:proofErr w:type="spellStart"/>
                      <w:r w:rsidRPr="00F64548">
                        <w:rPr>
                          <w:rFonts w:eastAsia="Times New Roman"/>
                          <w:color w:val="000000"/>
                          <w:sz w:val="12"/>
                          <w:szCs w:val="12"/>
                        </w:rPr>
                        <w:t>characterized</w:t>
                      </w:r>
                      <w:proofErr w:type="spellEnd"/>
                      <w:r w:rsidRPr="00F64548">
                        <w:rPr>
                          <w:rFonts w:eastAsia="Times New Roman"/>
                          <w:color w:val="000000"/>
                          <w:sz w:val="12"/>
                          <w:szCs w:val="12"/>
                        </w:rPr>
                        <w:t xml:space="preserve"> by a chronic shortage of qualified care workers across the UK. Because the role is physically demanding and emotionally taxing, many professionals leave the sector for less stressful industries, leading to high staff turnover. For a</w:t>
                      </w:r>
                      <w:r w:rsidRPr="00F64548">
                        <w:rPr>
                          <w:rStyle w:val="apple-converted-space"/>
                          <w:rFonts w:eastAsia="Times New Roman"/>
                          <w:color w:val="000000"/>
                          <w:sz w:val="12"/>
                          <w:szCs w:val="12"/>
                        </w:rPr>
                        <w:t> </w:t>
                      </w:r>
                      <w:r w:rsidRPr="00F64548">
                        <w:rPr>
                          <w:rFonts w:eastAsia="Times New Roman"/>
                          <w:color w:val="000000"/>
                          <w:sz w:val="12"/>
                          <w:szCs w:val="12"/>
                        </w:rPr>
                        <w:t>Care Coordinator, this creates a constant struggle to maintain "continuity of care." When different carers visit a patient every day, it becomes difficult to build the necessary trust and rapport. This is particularly critical for vulnerable individuals living with dementia, who rely on familiar faces and consistent routines to feel safe.</w:t>
                      </w:r>
                    </w:p>
                    <w:p w14:paraId="2447D080" w14:textId="77777777" w:rsidR="00987A9C" w:rsidRPr="00AB4BD6" w:rsidRDefault="00987A9C">
                      <w:pPr>
                        <w:pStyle w:val="Heading3"/>
                        <w:rPr>
                          <w:rFonts w:eastAsia="Times New Roman"/>
                          <w:color w:val="000000"/>
                          <w:sz w:val="12"/>
                          <w:szCs w:val="12"/>
                        </w:rPr>
                      </w:pPr>
                      <w:r w:rsidRPr="00AB4BD6">
                        <w:rPr>
                          <w:rFonts w:eastAsia="Times New Roman"/>
                          <w:color w:val="000000"/>
                          <w:sz w:val="12"/>
                          <w:szCs w:val="12"/>
                        </w:rPr>
                        <w:t>2. Time and Funding Pressures</w:t>
                      </w:r>
                    </w:p>
                    <w:p w14:paraId="72168082" w14:textId="77777777" w:rsidR="00987A9C" w:rsidRPr="00AB4BD6" w:rsidRDefault="00987A9C">
                      <w:pPr>
                        <w:pStyle w:val="Footer"/>
                        <w:rPr>
                          <w:color w:val="000000"/>
                          <w:sz w:val="12"/>
                          <w:szCs w:val="12"/>
                        </w:rPr>
                      </w:pPr>
                      <w:r w:rsidRPr="00AB4BD6">
                        <w:rPr>
                          <w:color w:val="000000"/>
                          <w:sz w:val="12"/>
                          <w:szCs w:val="12"/>
                        </w:rPr>
                        <w:t>Most community care services are funded by local authorities operating under extremely tight budgetary constraints. This financial pressure often results in "task-based care," where visits are restricted to 15 or 30-minute slots. Consequently, carers are forced to rush through physical tasks like washing or medication administration, leaving no time for the essential "social" aspect of the role. This lack of meaningful interaction can lead to severe loneliness and social isolation for the patient. Furthermore, it places immense stress on the staff, who feel they cannot provide the holistic, high-quality support that every vulnerable person deserves.</w:t>
                      </w:r>
                    </w:p>
                    <w:p w14:paraId="69461F56" w14:textId="13A745C3" w:rsidR="00BE6BE0" w:rsidRPr="00D8088B" w:rsidRDefault="00BE6BE0" w:rsidP="00BE6BE0">
                      <w:pPr>
                        <w:rPr>
                          <w:b/>
                          <w:bCs/>
                          <w:color w:val="275317" w:themeColor="accent6" w:themeShade="80"/>
                          <w:sz w:val="2"/>
                          <w:szCs w:val="2"/>
                        </w:rPr>
                      </w:pPr>
                    </w:p>
                  </w:txbxContent>
                </v:textbox>
                <w10:wrap type="square" anchorx="margin"/>
              </v:shape>
            </w:pict>
          </mc:Fallback>
        </mc:AlternateContent>
      </w:r>
      <w:r w:rsidR="00486D63">
        <w:rPr>
          <w:noProof/>
          <w:sz w:val="10"/>
          <w:szCs w:val="10"/>
        </w:rPr>
        <w:drawing>
          <wp:anchor distT="0" distB="0" distL="114300" distR="114300" simplePos="0" relativeHeight="251680768" behindDoc="0" locked="0" layoutInCell="1" allowOverlap="1" wp14:anchorId="418273CB" wp14:editId="77C8CFF6">
            <wp:simplePos x="0" y="0"/>
            <wp:positionH relativeFrom="column">
              <wp:posOffset>3823335</wp:posOffset>
            </wp:positionH>
            <wp:positionV relativeFrom="paragraph">
              <wp:posOffset>4483562</wp:posOffset>
            </wp:positionV>
            <wp:extent cx="1720215" cy="922020"/>
            <wp:effectExtent l="0" t="0" r="0" b="5080"/>
            <wp:wrapTopAndBottom/>
            <wp:docPr id="10808311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831133" name="Picture 108083113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720215" cy="922020"/>
                    </a:xfrm>
                    <a:prstGeom prst="rect">
                      <a:avLst/>
                    </a:prstGeom>
                  </pic:spPr>
                </pic:pic>
              </a:graphicData>
            </a:graphic>
            <wp14:sizeRelH relativeFrom="margin">
              <wp14:pctWidth>0</wp14:pctWidth>
            </wp14:sizeRelH>
            <wp14:sizeRelV relativeFrom="margin">
              <wp14:pctHeight>0</wp14:pctHeight>
            </wp14:sizeRelV>
          </wp:anchor>
        </w:drawing>
      </w:r>
      <w:r w:rsidR="00B46F34" w:rsidRPr="00B72702">
        <w:rPr>
          <w:noProof/>
          <w:sz w:val="10"/>
          <w:szCs w:val="10"/>
        </w:rPr>
        <mc:AlternateContent>
          <mc:Choice Requires="wps">
            <w:drawing>
              <wp:anchor distT="45720" distB="45720" distL="114300" distR="114300" simplePos="0" relativeHeight="251669504" behindDoc="0" locked="0" layoutInCell="1" allowOverlap="1" wp14:anchorId="298766ED" wp14:editId="08666648">
                <wp:simplePos x="0" y="0"/>
                <wp:positionH relativeFrom="column">
                  <wp:posOffset>3740150</wp:posOffset>
                </wp:positionH>
                <wp:positionV relativeFrom="paragraph">
                  <wp:posOffset>962660</wp:posOffset>
                </wp:positionV>
                <wp:extent cx="2317750" cy="4500880"/>
                <wp:effectExtent l="25400" t="25400" r="31750" b="2032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7750" cy="4500880"/>
                        </a:xfrm>
                        <a:prstGeom prst="rect">
                          <a:avLst/>
                        </a:prstGeom>
                        <a:solidFill>
                          <a:srgbClr val="FFFFFF"/>
                        </a:solidFill>
                        <a:ln w="44450">
                          <a:solidFill>
                            <a:srgbClr val="000000"/>
                          </a:solidFill>
                          <a:miter lim="800000"/>
                          <a:headEnd/>
                          <a:tailEnd/>
                        </a:ln>
                        <a:effectLst>
                          <a:softEdge rad="25400"/>
                        </a:effectLst>
                      </wps:spPr>
                      <wps:txbx>
                        <w:txbxContent>
                          <w:p w14:paraId="38191DBC" w14:textId="77777777" w:rsidR="00612C4B" w:rsidRDefault="004A4F3A">
                            <w:pPr>
                              <w:rPr>
                                <w:b/>
                                <w:bCs/>
                                <w:color w:val="275317" w:themeColor="accent6" w:themeShade="80"/>
                                <w:sz w:val="12"/>
                                <w:szCs w:val="12"/>
                              </w:rPr>
                            </w:pPr>
                            <w:r w:rsidRPr="001C0D45">
                              <w:rPr>
                                <w:b/>
                                <w:bCs/>
                                <w:color w:val="275317" w:themeColor="accent6" w:themeShade="80"/>
                                <w:sz w:val="12"/>
                                <w:szCs w:val="12"/>
                              </w:rPr>
                              <w:t>Current functioning of the services</w:t>
                            </w:r>
                          </w:p>
                          <w:p w14:paraId="6C236E9D" w14:textId="77777777" w:rsidR="00285B72" w:rsidRPr="00F64548" w:rsidRDefault="00285B72">
                            <w:pPr>
                              <w:pStyle w:val="NormalWeb"/>
                              <w:rPr>
                                <w:color w:val="000000"/>
                                <w:sz w:val="10"/>
                                <w:szCs w:val="10"/>
                              </w:rPr>
                            </w:pPr>
                            <w:r w:rsidRPr="00F64548">
                              <w:rPr>
                                <w:color w:val="000000"/>
                                <w:sz w:val="10"/>
                                <w:szCs w:val="10"/>
                              </w:rPr>
                              <w:t xml:space="preserve">In 2026, domiciliary care services in the UK operate under a "Home First" strategy, which </w:t>
                            </w:r>
                            <w:proofErr w:type="spellStart"/>
                            <w:r w:rsidRPr="00F64548">
                              <w:rPr>
                                <w:color w:val="000000"/>
                                <w:sz w:val="10"/>
                                <w:szCs w:val="10"/>
                              </w:rPr>
                              <w:t>prioritizes</w:t>
                            </w:r>
                            <w:proofErr w:type="spellEnd"/>
                            <w:r w:rsidRPr="00F64548">
                              <w:rPr>
                                <w:color w:val="000000"/>
                                <w:sz w:val="10"/>
                                <w:szCs w:val="10"/>
                              </w:rPr>
                              <w:t xml:space="preserve"> keeping individuals in their own communities rather than in long-term hospital stays or residential care. This functioning is managed through Integrated Care Systems (ICS), which bring together the NHS, local councils, and voluntary sectors to provide a seamless transition between medical treatment and home support. By coordinating these services at a local level, the system aims to reduce "bed blocking" in hospitals by ensuring that the necessary social care infrastructure is ready the moment a patient is medically fit for discharge.</w:t>
                            </w:r>
                          </w:p>
                          <w:p w14:paraId="2CA44D38" w14:textId="77777777" w:rsidR="00F64548" w:rsidRPr="00F64548" w:rsidRDefault="00285B72">
                            <w:pPr>
                              <w:pStyle w:val="NormalWeb"/>
                              <w:rPr>
                                <w:color w:val="000000"/>
                                <w:sz w:val="10"/>
                                <w:szCs w:val="10"/>
                              </w:rPr>
                            </w:pPr>
                            <w:r w:rsidRPr="00F64548">
                              <w:rPr>
                                <w:color w:val="000000"/>
                                <w:sz w:val="10"/>
                                <w:szCs w:val="10"/>
                              </w:rPr>
                              <w:t xml:space="preserve">The daily operation of home care has shifted toward a "Proactive and Predictive" model </w:t>
                            </w:r>
                            <w:proofErr w:type="spellStart"/>
                            <w:r w:rsidRPr="00F64548">
                              <w:rPr>
                                <w:color w:val="000000"/>
                                <w:sz w:val="10"/>
                                <w:szCs w:val="10"/>
                              </w:rPr>
                              <w:t>fueled</w:t>
                            </w:r>
                            <w:proofErr w:type="spellEnd"/>
                            <w:r w:rsidRPr="00F64548">
                              <w:rPr>
                                <w:color w:val="000000"/>
                                <w:sz w:val="10"/>
                                <w:szCs w:val="10"/>
                              </w:rPr>
                              <w:t xml:space="preserve"> by the widespread adoption of Digital Social Care Records. Most CQC-regulated providers now use real-time data platforms that allow carers to log health vitals and daily activities on mobile devices. These systems use AI to identify subtle changes in a client's routine, such as decreased fluid intake or changes in mobility, which triggers an automatic alert to a district nurse or GP. This connectivity ensures that minor health issues are addressed in the living room before they escalate into an emergency room visit.</w:t>
                            </w:r>
                          </w:p>
                          <w:p w14:paraId="03D9F104" w14:textId="2596FE3E" w:rsidR="00285B72" w:rsidRPr="00F64548" w:rsidRDefault="00285B72">
                            <w:pPr>
                              <w:pStyle w:val="NormalWeb"/>
                              <w:rPr>
                                <w:color w:val="000000"/>
                                <w:sz w:val="10"/>
                                <w:szCs w:val="10"/>
                              </w:rPr>
                            </w:pPr>
                            <w:r w:rsidRPr="00F64548">
                              <w:rPr>
                                <w:color w:val="000000"/>
                                <w:sz w:val="10"/>
                                <w:szCs w:val="10"/>
                              </w:rPr>
                              <w:t>A core component of the current service is "</w:t>
                            </w:r>
                            <w:proofErr w:type="spellStart"/>
                            <w:r w:rsidRPr="00F64548">
                              <w:rPr>
                                <w:color w:val="000000"/>
                                <w:sz w:val="10"/>
                                <w:szCs w:val="10"/>
                              </w:rPr>
                              <w:t>Reablement</w:t>
                            </w:r>
                            <w:proofErr w:type="spellEnd"/>
                            <w:r w:rsidRPr="00F64548">
                              <w:rPr>
                                <w:color w:val="000000"/>
                                <w:sz w:val="10"/>
                                <w:szCs w:val="10"/>
                              </w:rPr>
                              <w:t xml:space="preserve">," a high-intensity, short-term intervention typically lasting up to six weeks. Instead of performing every task for a client, </w:t>
                            </w:r>
                            <w:proofErr w:type="spellStart"/>
                            <w:r w:rsidRPr="00F64548">
                              <w:rPr>
                                <w:color w:val="000000"/>
                                <w:sz w:val="10"/>
                                <w:szCs w:val="10"/>
                              </w:rPr>
                              <w:t>specialized</w:t>
                            </w:r>
                            <w:proofErr w:type="spellEnd"/>
                            <w:r w:rsidRPr="00F64548">
                              <w:rPr>
                                <w:color w:val="000000"/>
                                <w:sz w:val="10"/>
                                <w:szCs w:val="10"/>
                              </w:rPr>
                              <w:t xml:space="preserve"> </w:t>
                            </w:r>
                            <w:proofErr w:type="spellStart"/>
                            <w:r w:rsidRPr="00F64548">
                              <w:rPr>
                                <w:color w:val="000000"/>
                                <w:sz w:val="10"/>
                                <w:szCs w:val="10"/>
                              </w:rPr>
                              <w:t>reablement</w:t>
                            </w:r>
                            <w:proofErr w:type="spellEnd"/>
                            <w:r w:rsidRPr="00F64548">
                              <w:rPr>
                                <w:color w:val="000000"/>
                                <w:sz w:val="10"/>
                                <w:szCs w:val="10"/>
                              </w:rPr>
                              <w:t xml:space="preserve"> teams work with individuals to help them regain the skills and confidence needed to live independently after an illness or fall. This approach is increasingly "Outcomes-Based," meaning that the success of the service is measured by the client’s ability to perform specific activities of daily living, such as dressing or cooking, rather than simply the number of hours a carer spends in the house.</w:t>
                            </w:r>
                          </w:p>
                          <w:p w14:paraId="5AFFE1F2" w14:textId="77777777" w:rsidR="00285B72" w:rsidRPr="00F64548" w:rsidRDefault="00285B72">
                            <w:pPr>
                              <w:pStyle w:val="NormalWeb"/>
                              <w:rPr>
                                <w:color w:val="000000"/>
                                <w:sz w:val="10"/>
                                <w:szCs w:val="10"/>
                              </w:rPr>
                            </w:pPr>
                            <w:r w:rsidRPr="00F64548">
                              <w:rPr>
                                <w:color w:val="000000"/>
                                <w:sz w:val="10"/>
                                <w:szCs w:val="10"/>
                              </w:rPr>
                              <w:t>Despite these technological and structural advancements, the UK domiciliary care sector faces significant workforce pressures due to a competitive labor market and high demand for complex care. To manage this, many regions have moved toward "</w:t>
                            </w:r>
                            <w:proofErr w:type="spellStart"/>
                            <w:r w:rsidRPr="00F64548">
                              <w:rPr>
                                <w:color w:val="000000"/>
                                <w:sz w:val="10"/>
                                <w:szCs w:val="10"/>
                              </w:rPr>
                              <w:t>Neighborhood</w:t>
                            </w:r>
                            <w:proofErr w:type="spellEnd"/>
                            <w:r w:rsidRPr="00F64548">
                              <w:rPr>
                                <w:color w:val="000000"/>
                                <w:sz w:val="10"/>
                                <w:szCs w:val="10"/>
                              </w:rPr>
                              <w:t xml:space="preserve"> Care Teams," where small, autonomous groups of carers manage a specific local patch. This hyper-local approach reduces travel time and ensures that clients see the same familiar faces, which is crucial for those living with dementia. Furthermore, the use of "Virtual Wards" has expanded, allowing clinicians to monitor acute patients at home while domiciliary carers provide the essential physical and social support required to keep the person safe and comfortable.</w:t>
                            </w:r>
                          </w:p>
                          <w:p w14:paraId="2283A17A" w14:textId="3ACD30B2" w:rsidR="000E4147" w:rsidRPr="00F64548" w:rsidRDefault="000E4147" w:rsidP="00BE6BE0">
                            <w:pPr>
                              <w:rPr>
                                <w:b/>
                                <w:bCs/>
                                <w:color w:val="275317" w:themeColor="accent6" w:themeShade="80"/>
                                <w:sz w:val="10"/>
                                <w:szCs w:val="10"/>
                              </w:rPr>
                            </w:pPr>
                          </w:p>
                          <w:p w14:paraId="4B6AB9B3" w14:textId="77777777" w:rsidR="00D43FEA" w:rsidRDefault="00D43FE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31" type="#_x0000_t202" style="position:absolute;margin-left:294.5pt;margin-top:75.8pt;width:182.5pt;height:354.4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" strokeweight="3.5pt">
                <v:textbox>
                  <w:txbxContent>
                    <w:p w14:paraId="38191DBC" w14:textId="77777777" w:rsidR="00612C4B" w:rsidRDefault="004A4F3A">
                      <w:pPr>
                        <w:rPr>
                          <w:b/>
                          <w:bCs/>
                          <w:color w:val="275317" w:themeColor="accent6" w:themeShade="80"/>
                          <w:sz w:val="12"/>
                          <w:szCs w:val="12"/>
                        </w:rPr>
                      </w:pPr>
                      <w:r w:rsidRPr="001C0D45">
                        <w:rPr>
                          <w:b/>
                          <w:bCs/>
                          <w:color w:val="275317" w:themeColor="accent6" w:themeShade="80"/>
                          <w:sz w:val="12"/>
                          <w:szCs w:val="12"/>
                        </w:rPr>
                        <w:t>Current functioning of the services</w:t>
                      </w:r>
                    </w:p>
                    <w:p w14:paraId="6C236E9D" w14:textId="77777777" w:rsidR="00285B72" w:rsidRPr="00F64548" w:rsidRDefault="00285B72">
                      <w:pPr>
                        <w:pStyle w:val="NormalWeb"/>
                        <w:rPr>
                          <w:color w:val="000000"/>
                          <w:sz w:val="10"/>
                          <w:szCs w:val="10"/>
                        </w:rPr>
                      </w:pPr>
                      <w:r w:rsidRPr="00F64548">
                        <w:rPr>
                          <w:color w:val="000000"/>
                          <w:sz w:val="10"/>
                          <w:szCs w:val="10"/>
                        </w:rPr>
                        <w:t xml:space="preserve">In 2026, domiciliary care services in the UK operate under a "Home First" strategy, which </w:t>
                      </w:r>
                      <w:proofErr w:type="spellStart"/>
                      <w:r w:rsidRPr="00F64548">
                        <w:rPr>
                          <w:color w:val="000000"/>
                          <w:sz w:val="10"/>
                          <w:szCs w:val="10"/>
                        </w:rPr>
                        <w:t>prioritizes</w:t>
                      </w:r>
                      <w:proofErr w:type="spellEnd"/>
                      <w:r w:rsidRPr="00F64548">
                        <w:rPr>
                          <w:color w:val="000000"/>
                          <w:sz w:val="10"/>
                          <w:szCs w:val="10"/>
                        </w:rPr>
                        <w:t xml:space="preserve"> keeping individuals in their own communities rather than in long-term hospital stays or residential care. This functioning is managed through Integrated Care Systems (ICS), which bring together the NHS, local councils, and voluntary sectors to provide a seamless transition between medical treatment and home support. By coordinating these services at a local level, the system aims to reduce "bed blocking" in hospitals by ensuring that the necessary social care infrastructure is ready the moment a patient is medically fit for discharge.</w:t>
                      </w:r>
                    </w:p>
                    <w:p w14:paraId="2CA44D38" w14:textId="77777777" w:rsidR="00F64548" w:rsidRPr="00F64548" w:rsidRDefault="00285B72">
                      <w:pPr>
                        <w:pStyle w:val="NormalWeb"/>
                        <w:rPr>
                          <w:color w:val="000000"/>
                          <w:sz w:val="10"/>
                          <w:szCs w:val="10"/>
                        </w:rPr>
                      </w:pPr>
                      <w:r w:rsidRPr="00F64548">
                        <w:rPr>
                          <w:color w:val="000000"/>
                          <w:sz w:val="10"/>
                          <w:szCs w:val="10"/>
                        </w:rPr>
                        <w:t xml:space="preserve">The daily operation of home care has shifted toward a "Proactive and Predictive" model </w:t>
                      </w:r>
                      <w:proofErr w:type="spellStart"/>
                      <w:r w:rsidRPr="00F64548">
                        <w:rPr>
                          <w:color w:val="000000"/>
                          <w:sz w:val="10"/>
                          <w:szCs w:val="10"/>
                        </w:rPr>
                        <w:t>fueled</w:t>
                      </w:r>
                      <w:proofErr w:type="spellEnd"/>
                      <w:r w:rsidRPr="00F64548">
                        <w:rPr>
                          <w:color w:val="000000"/>
                          <w:sz w:val="10"/>
                          <w:szCs w:val="10"/>
                        </w:rPr>
                        <w:t xml:space="preserve"> by the widespread adoption of Digital Social Care Records. Most CQC-regulated providers now use real-time data platforms that allow carers to log health vitals and daily activities on mobile devices. These systems use AI to identify subtle changes in a client's routine, such as decreased fluid intake or changes in mobility, which triggers an automatic alert to a district nurse or GP. This connectivity ensures that minor health issues are addressed in the living room before they escalate into an emergency room visit.</w:t>
                      </w:r>
                    </w:p>
                    <w:p w14:paraId="03D9F104" w14:textId="2596FE3E" w:rsidR="00285B72" w:rsidRPr="00F64548" w:rsidRDefault="00285B72">
                      <w:pPr>
                        <w:pStyle w:val="NormalWeb"/>
                        <w:rPr>
                          <w:color w:val="000000"/>
                          <w:sz w:val="10"/>
                          <w:szCs w:val="10"/>
                        </w:rPr>
                      </w:pPr>
                      <w:r w:rsidRPr="00F64548">
                        <w:rPr>
                          <w:color w:val="000000"/>
                          <w:sz w:val="10"/>
                          <w:szCs w:val="10"/>
                        </w:rPr>
                        <w:t>A core component of the current service is "</w:t>
                      </w:r>
                      <w:proofErr w:type="spellStart"/>
                      <w:r w:rsidRPr="00F64548">
                        <w:rPr>
                          <w:color w:val="000000"/>
                          <w:sz w:val="10"/>
                          <w:szCs w:val="10"/>
                        </w:rPr>
                        <w:t>Reablement</w:t>
                      </w:r>
                      <w:proofErr w:type="spellEnd"/>
                      <w:r w:rsidRPr="00F64548">
                        <w:rPr>
                          <w:color w:val="000000"/>
                          <w:sz w:val="10"/>
                          <w:szCs w:val="10"/>
                        </w:rPr>
                        <w:t xml:space="preserve">," a high-intensity, short-term intervention typically lasting up to six weeks. Instead of performing every task for a client, </w:t>
                      </w:r>
                      <w:proofErr w:type="spellStart"/>
                      <w:r w:rsidRPr="00F64548">
                        <w:rPr>
                          <w:color w:val="000000"/>
                          <w:sz w:val="10"/>
                          <w:szCs w:val="10"/>
                        </w:rPr>
                        <w:t>specialized</w:t>
                      </w:r>
                      <w:proofErr w:type="spellEnd"/>
                      <w:r w:rsidRPr="00F64548">
                        <w:rPr>
                          <w:color w:val="000000"/>
                          <w:sz w:val="10"/>
                          <w:szCs w:val="10"/>
                        </w:rPr>
                        <w:t xml:space="preserve"> </w:t>
                      </w:r>
                      <w:proofErr w:type="spellStart"/>
                      <w:r w:rsidRPr="00F64548">
                        <w:rPr>
                          <w:color w:val="000000"/>
                          <w:sz w:val="10"/>
                          <w:szCs w:val="10"/>
                        </w:rPr>
                        <w:t>reablement</w:t>
                      </w:r>
                      <w:proofErr w:type="spellEnd"/>
                      <w:r w:rsidRPr="00F64548">
                        <w:rPr>
                          <w:color w:val="000000"/>
                          <w:sz w:val="10"/>
                          <w:szCs w:val="10"/>
                        </w:rPr>
                        <w:t xml:space="preserve"> teams work with individuals to help them regain the skills and confidence needed to live independently after an illness or fall. This approach is increasingly "Outcomes-Based," meaning that the success of the service is measured by the client’s ability to perform specific activities of daily living, such as dressing or cooking, rather than simply the number of hours a carer spends in the house.</w:t>
                      </w:r>
                    </w:p>
                    <w:p w14:paraId="5AFFE1F2" w14:textId="77777777" w:rsidR="00285B72" w:rsidRPr="00F64548" w:rsidRDefault="00285B72">
                      <w:pPr>
                        <w:pStyle w:val="NormalWeb"/>
                        <w:rPr>
                          <w:color w:val="000000"/>
                          <w:sz w:val="10"/>
                          <w:szCs w:val="10"/>
                        </w:rPr>
                      </w:pPr>
                      <w:r w:rsidRPr="00F64548">
                        <w:rPr>
                          <w:color w:val="000000"/>
                          <w:sz w:val="10"/>
                          <w:szCs w:val="10"/>
                        </w:rPr>
                        <w:t>Despite these technological and structural advancements, the UK domiciliary care sector faces significant workforce pressures due to a competitive labor market and high demand for complex care. To manage this, many regions have moved toward "</w:t>
                      </w:r>
                      <w:proofErr w:type="spellStart"/>
                      <w:r w:rsidRPr="00F64548">
                        <w:rPr>
                          <w:color w:val="000000"/>
                          <w:sz w:val="10"/>
                          <w:szCs w:val="10"/>
                        </w:rPr>
                        <w:t>Neighborhood</w:t>
                      </w:r>
                      <w:proofErr w:type="spellEnd"/>
                      <w:r w:rsidRPr="00F64548">
                        <w:rPr>
                          <w:color w:val="000000"/>
                          <w:sz w:val="10"/>
                          <w:szCs w:val="10"/>
                        </w:rPr>
                        <w:t xml:space="preserve"> Care Teams," where small, autonomous groups of carers manage a specific local patch. This hyper-local approach reduces travel time and ensures that clients see the same familiar faces, which is crucial for those living with dementia. Furthermore, the use of "Virtual Wards" has expanded, allowing clinicians to monitor acute patients at home while domiciliary carers provide the essential physical and social support required to keep the person safe and comfortable.</w:t>
                      </w:r>
                    </w:p>
                    <w:p w14:paraId="2283A17A" w14:textId="3ACD30B2" w:rsidR="000E4147" w:rsidRPr="00F64548" w:rsidRDefault="000E4147" w:rsidP="00BE6BE0">
                      <w:pPr>
                        <w:rPr>
                          <w:b/>
                          <w:bCs/>
                          <w:color w:val="275317" w:themeColor="accent6" w:themeShade="80"/>
                          <w:sz w:val="10"/>
                          <w:szCs w:val="10"/>
                        </w:rPr>
                      </w:pPr>
                    </w:p>
                    <w:p w14:paraId="4B6AB9B3" w14:textId="77777777" w:rsidR="00D43FEA" w:rsidRDefault="00D43FEA"/>
                  </w:txbxContent>
                </v:textbox>
                <w10:wrap type="square"/>
              </v:shape>
            </w:pict>
          </mc:Fallback>
        </mc:AlternateContent>
      </w:r>
      <w:r w:rsidR="004F6E7A" w:rsidRPr="00B72702">
        <w:rPr>
          <w:noProof/>
          <w:sz w:val="10"/>
          <w:szCs w:val="10"/>
        </w:rPr>
        <mc:AlternateContent>
          <mc:Choice Requires="wps">
            <w:drawing>
              <wp:anchor distT="45720" distB="45720" distL="114300" distR="114300" simplePos="0" relativeHeight="251661312" behindDoc="0" locked="0" layoutInCell="1" allowOverlap="1" wp14:anchorId="3E780AA8" wp14:editId="11B0C574">
                <wp:simplePos x="0" y="0"/>
                <wp:positionH relativeFrom="margin">
                  <wp:posOffset>-914400</wp:posOffset>
                </wp:positionH>
                <wp:positionV relativeFrom="paragraph">
                  <wp:posOffset>0</wp:posOffset>
                </wp:positionV>
                <wp:extent cx="10145395" cy="955040"/>
                <wp:effectExtent l="0" t="0" r="14605" b="1016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45395" cy="955040"/>
                        </a:xfrm>
                        <a:prstGeom prst="rect">
                          <a:avLst/>
                        </a:prstGeom>
                        <a:solidFill>
                          <a:srgbClr val="FFFFFF"/>
                        </a:solidFill>
                        <a:ln w="9525">
                          <a:solidFill>
                            <a:srgbClr val="000000"/>
                          </a:solidFill>
                          <a:miter lim="800000"/>
                          <a:headEnd/>
                          <a:tailEnd/>
                        </a:ln>
                        <a:effectLst>
                          <a:softEdge rad="50800"/>
                        </a:effectLst>
                      </wps:spPr>
                      <wps:txbx>
                        <w:txbxContent>
                          <w:p w14:paraId="62114251" w14:textId="414F5590" w:rsidR="00BE6BE0" w:rsidRPr="00637B57" w:rsidRDefault="00AF1638" w:rsidP="00AF1638">
                            <w:pPr>
                              <w:shd w:val="clear" w:color="auto" w:fill="F1A983" w:themeFill="accent2" w:themeFillTint="99"/>
                              <w:rPr>
                                <w:b/>
                                <w:bCs/>
                                <w:i/>
                                <w:iCs/>
                                <w:color w:val="00B0F0"/>
                                <w:sz w:val="48"/>
                                <w:szCs w:val="48"/>
                              </w:rPr>
                            </w:pPr>
                            <w:r w:rsidRPr="00637B57">
                              <w:rPr>
                                <w:b/>
                                <w:bCs/>
                                <w:i/>
                                <w:iCs/>
                                <w:color w:val="00B0F0"/>
                                <w:sz w:val="48"/>
                                <w:szCs w:val="48"/>
                              </w:rPr>
                              <w:t>DOMICI</w:t>
                            </w:r>
                            <w:r w:rsidR="006E5980" w:rsidRPr="00637B57">
                              <w:rPr>
                                <w:b/>
                                <w:bCs/>
                                <w:i/>
                                <w:iCs/>
                                <w:color w:val="00B0F0"/>
                                <w:sz w:val="48"/>
                                <w:szCs w:val="48"/>
                              </w:rPr>
                              <w:t>LIARY CARE SERVICES WITHIN THE COMMUNITY</w:t>
                            </w:r>
                          </w:p>
                          <w:p w14:paraId="4B29F551" w14:textId="0573FB07" w:rsidR="00BE6BE0" w:rsidRPr="00EF21B5" w:rsidRDefault="00385547" w:rsidP="00BE6BE0">
                            <w:pPr>
                              <w:shd w:val="clear" w:color="auto" w:fill="F1A983" w:themeFill="accent2" w:themeFillTint="99"/>
                              <w:jc w:val="center"/>
                              <w:rPr>
                                <w:sz w:val="28"/>
                                <w:szCs w:val="28"/>
                              </w:rPr>
                            </w:pPr>
                            <w:r>
                              <w:rPr>
                                <w:sz w:val="28"/>
                                <w:szCs w:val="28"/>
                              </w:rPr>
                              <w:t>Name:Brenda da S R Marciano</w:t>
                            </w:r>
                            <w:r w:rsidR="00AD0CB2">
                              <w:rPr>
                                <w:sz w:val="28"/>
                                <w:szCs w:val="28"/>
                              </w:rPr>
                              <w:t xml:space="preserve"> </w:t>
                            </w:r>
                            <w:r w:rsidR="00BE6BE0" w:rsidRPr="00EF21B5">
                              <w:rPr>
                                <w:sz w:val="28"/>
                                <w:szCs w:val="28"/>
                              </w:rPr>
                              <w:t xml:space="preserve">, </w:t>
                            </w:r>
                            <w:r w:rsidR="00AD0CB2">
                              <w:rPr>
                                <w:sz w:val="28"/>
                                <w:szCs w:val="28"/>
                              </w:rPr>
                              <w:t>LCHS4003E</w:t>
                            </w:r>
                            <w:r w:rsidR="00BE6BE0" w:rsidRPr="00EF21B5">
                              <w:rPr>
                                <w:sz w:val="28"/>
                                <w:szCs w:val="28"/>
                              </w:rPr>
                              <w:t>, Email</w:t>
                            </w:r>
                            <w:r w:rsidR="00EB6DB8">
                              <w:rPr>
                                <w:sz w:val="28"/>
                                <w:szCs w:val="28"/>
                              </w:rPr>
                              <w:t>:</w:t>
                            </w:r>
                            <w:r w:rsidR="009E2CE2">
                              <w:rPr>
                                <w:sz w:val="28"/>
                                <w:szCs w:val="28"/>
                              </w:rPr>
                              <w:t>25</w:t>
                            </w:r>
                            <w:r w:rsidR="00242CF8">
                              <w:rPr>
                                <w:sz w:val="28"/>
                                <w:szCs w:val="28"/>
                              </w:rPr>
                              <w:t>09114@student.uwtsd.ac.uk</w:t>
                            </w:r>
                          </w:p>
                          <w:p w14:paraId="23B500BD" w14:textId="77777777" w:rsidR="00BE6BE0" w:rsidRPr="00EF21B5" w:rsidRDefault="00BE6BE0" w:rsidP="00BE6BE0">
                            <w:pPr>
                              <w:shd w:val="clear" w:color="auto" w:fill="F1A9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32" type="#_x0000_t202" style="position:absolute;margin-left:-1in;margin-top:0;width:798.85pt;height:75.2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">
                <v:textbox>
                  <w:txbxContent>
                    <w:p w14:paraId="62114251" w14:textId="414F5590" w:rsidR="00BE6BE0" w:rsidRPr="00637B57" w:rsidRDefault="00AF1638" w:rsidP="00AF1638">
                      <w:pPr>
                        <w:shd w:val="clear" w:color="auto" w:fill="F1A983" w:themeFill="accent2" w:themeFillTint="99"/>
                        <w:rPr>
                          <w:b/>
                          <w:bCs/>
                          <w:i/>
                          <w:iCs/>
                          <w:color w:val="00B0F0"/>
                          <w:sz w:val="48"/>
                          <w:szCs w:val="48"/>
                        </w:rPr>
                      </w:pPr>
                      <w:r w:rsidRPr="00637B57">
                        <w:rPr>
                          <w:b/>
                          <w:bCs/>
                          <w:i/>
                          <w:iCs/>
                          <w:color w:val="00B0F0"/>
                          <w:sz w:val="48"/>
                          <w:szCs w:val="48"/>
                        </w:rPr>
                        <w:t>DOMICI</w:t>
                      </w:r>
                      <w:r w:rsidR="006E5980" w:rsidRPr="00637B57">
                        <w:rPr>
                          <w:b/>
                          <w:bCs/>
                          <w:i/>
                          <w:iCs/>
                          <w:color w:val="00B0F0"/>
                          <w:sz w:val="48"/>
                          <w:szCs w:val="48"/>
                        </w:rPr>
                        <w:t>LIARY CARE SERVICES WITHIN THE COMMUNITY</w:t>
                      </w:r>
                    </w:p>
                    <w:p w14:paraId="4B29F551" w14:textId="0573FB07" w:rsidR="00BE6BE0" w:rsidRPr="00EF21B5" w:rsidRDefault="00385547" w:rsidP="00BE6BE0">
                      <w:pPr>
                        <w:shd w:val="clear" w:color="auto" w:fill="F1A983" w:themeFill="accent2" w:themeFillTint="99"/>
                        <w:jc w:val="center"/>
                        <w:rPr>
                          <w:sz w:val="28"/>
                          <w:szCs w:val="28"/>
                        </w:rPr>
                      </w:pPr>
                      <w:r>
                        <w:rPr>
                          <w:sz w:val="28"/>
                          <w:szCs w:val="28"/>
                        </w:rPr>
                        <w:t>Name:Brenda da S R Marciano</w:t>
                      </w:r>
                      <w:r w:rsidR="00AD0CB2">
                        <w:rPr>
                          <w:sz w:val="28"/>
                          <w:szCs w:val="28"/>
                        </w:rPr>
                        <w:t xml:space="preserve"> </w:t>
                      </w:r>
                      <w:r w:rsidR="00BE6BE0" w:rsidRPr="00EF21B5">
                        <w:rPr>
                          <w:sz w:val="28"/>
                          <w:szCs w:val="28"/>
                        </w:rPr>
                        <w:t xml:space="preserve">, </w:t>
                      </w:r>
                      <w:r w:rsidR="00AD0CB2">
                        <w:rPr>
                          <w:sz w:val="28"/>
                          <w:szCs w:val="28"/>
                        </w:rPr>
                        <w:t>LCHS4003E</w:t>
                      </w:r>
                      <w:r w:rsidR="00BE6BE0" w:rsidRPr="00EF21B5">
                        <w:rPr>
                          <w:sz w:val="28"/>
                          <w:szCs w:val="28"/>
                        </w:rPr>
                        <w:t>, Email</w:t>
                      </w:r>
                      <w:r w:rsidR="00EB6DB8">
                        <w:rPr>
                          <w:sz w:val="28"/>
                          <w:szCs w:val="28"/>
                        </w:rPr>
                        <w:t>:</w:t>
                      </w:r>
                      <w:r w:rsidR="009E2CE2">
                        <w:rPr>
                          <w:sz w:val="28"/>
                          <w:szCs w:val="28"/>
                        </w:rPr>
                        <w:t>25</w:t>
                      </w:r>
                      <w:r w:rsidR="00242CF8">
                        <w:rPr>
                          <w:sz w:val="28"/>
                          <w:szCs w:val="28"/>
                        </w:rPr>
                        <w:t>09114@student.uwtsd.ac.uk</w:t>
                      </w:r>
                    </w:p>
                    <w:p w14:paraId="23B500BD" w14:textId="77777777" w:rsidR="00BE6BE0" w:rsidRPr="00EF21B5" w:rsidRDefault="00BE6BE0" w:rsidP="00BE6BE0">
                      <w:pPr>
                        <w:shd w:val="clear" w:color="auto" w:fill="F1A983" w:themeFill="accent2" w:themeFillTint="99"/>
                        <w:rPr>
                          <w:color w:val="00B0F0"/>
                          <w:sz w:val="70"/>
                          <w:szCs w:val="70"/>
                        </w:rPr>
                      </w:pPr>
                    </w:p>
                  </w:txbxContent>
                </v:textbox>
                <w10:wrap type="square" anchorx="margin"/>
              </v:shape>
            </w:pict>
          </mc:Fallback>
        </mc:AlternateContent>
      </w:r>
    </w:p>
    <w:p w14:paraId="0B4553D1" w14:textId="5FF6BE50" w:rsidR="009B55F7" w:rsidRDefault="00833470">
      <w:pPr>
        <w:rPr>
          <w:rFonts w:ascii="Arial" w:hAnsi="Arial" w:cs="Arial"/>
          <w:b/>
          <w:bCs/>
          <w:sz w:val="28"/>
          <w:szCs w:val="28"/>
        </w:rPr>
      </w:pPr>
      <w:r w:rsidRPr="001F6802">
        <w:rPr>
          <w:rFonts w:ascii="Arial" w:hAnsi="Arial" w:cs="Arial"/>
          <w:b/>
          <w:bCs/>
          <w:sz w:val="28"/>
          <w:szCs w:val="28"/>
        </w:rPr>
        <w:lastRenderedPageBreak/>
        <w:t>Element 2</w:t>
      </w:r>
      <w:r w:rsidR="00AF4098">
        <w:rPr>
          <w:rFonts w:ascii="Arial" w:hAnsi="Arial" w:cs="Arial"/>
          <w:b/>
          <w:bCs/>
          <w:sz w:val="28"/>
          <w:szCs w:val="28"/>
        </w:rPr>
        <w:t xml:space="preserve"> </w:t>
      </w:r>
    </w:p>
    <w:p w14:paraId="1DF290F3" w14:textId="366D2FA2" w:rsidR="006365B7" w:rsidRDefault="00507898">
      <w:pPr>
        <w:rPr>
          <w:rFonts w:ascii="Arial" w:hAnsi="Arial" w:cs="Arial"/>
          <w:b/>
          <w:bCs/>
          <w:sz w:val="28"/>
          <w:szCs w:val="28"/>
        </w:rPr>
      </w:pPr>
      <w:r>
        <w:rPr>
          <w:rFonts w:ascii="Arial" w:hAnsi="Arial" w:cs="Arial"/>
          <w:b/>
          <w:bCs/>
          <w:sz w:val="28"/>
          <w:szCs w:val="28"/>
        </w:rPr>
        <w:t>Comm</w:t>
      </w:r>
      <w:r w:rsidR="0075057F">
        <w:rPr>
          <w:rFonts w:ascii="Arial" w:hAnsi="Arial" w:cs="Arial"/>
          <w:b/>
          <w:bCs/>
          <w:sz w:val="28"/>
          <w:szCs w:val="28"/>
        </w:rPr>
        <w:t xml:space="preserve">unity antenatal midwifery services </w:t>
      </w:r>
    </w:p>
    <w:p w14:paraId="64DDF6C2" w14:textId="79D40A77" w:rsidR="006365B7" w:rsidRPr="006365B7" w:rsidRDefault="006365B7" w:rsidP="006365B7">
      <w:pPr>
        <w:spacing w:before="100" w:beforeAutospacing="1" w:after="100" w:afterAutospacing="1" w:line="240" w:lineRule="auto"/>
        <w:rPr>
          <w:rFonts w:ascii="Arial" w:hAnsi="Arial" w:cs="Arial"/>
          <w:color w:val="000000"/>
          <w:lang w:eastAsia="en-GB"/>
        </w:rPr>
      </w:pPr>
      <w:r w:rsidRPr="006365B7">
        <w:rPr>
          <w:rFonts w:ascii="Arial" w:hAnsi="Arial" w:cs="Arial"/>
          <w:color w:val="000000"/>
          <w:lang w:eastAsia="en-GB"/>
        </w:rPr>
        <w:t xml:space="preserve">Community midwifery represents a </w:t>
      </w:r>
      <w:r w:rsidR="00C7463C" w:rsidRPr="006365B7">
        <w:rPr>
          <w:rFonts w:ascii="Arial" w:hAnsi="Arial" w:cs="Arial"/>
          <w:color w:val="000000"/>
          <w:lang w:eastAsia="en-GB"/>
        </w:rPr>
        <w:t>specialised</w:t>
      </w:r>
      <w:r w:rsidRPr="006365B7">
        <w:rPr>
          <w:rFonts w:ascii="Arial" w:hAnsi="Arial" w:cs="Arial"/>
          <w:color w:val="000000"/>
          <w:lang w:eastAsia="en-GB"/>
        </w:rPr>
        <w:t xml:space="preserve"> branch of primary healthcare that </w:t>
      </w:r>
      <w:r w:rsidR="001A4AE0">
        <w:rPr>
          <w:rFonts w:ascii="Arial" w:hAnsi="Arial" w:cs="Arial"/>
          <w:color w:val="000000"/>
          <w:lang w:eastAsia="en-GB"/>
        </w:rPr>
        <w:t xml:space="preserve">prioritises </w:t>
      </w:r>
      <w:r w:rsidRPr="006365B7">
        <w:rPr>
          <w:rFonts w:ascii="Arial" w:hAnsi="Arial" w:cs="Arial"/>
          <w:color w:val="000000"/>
          <w:lang w:eastAsia="en-GB"/>
        </w:rPr>
        <w:t xml:space="preserve">the woman within her own socio-geographical context. To critically evaluate its modern significance, it is essential to </w:t>
      </w:r>
      <w:r w:rsidR="00C7463C" w:rsidRPr="006365B7">
        <w:rPr>
          <w:rFonts w:ascii="Arial" w:hAnsi="Arial" w:cs="Arial"/>
          <w:color w:val="000000"/>
          <w:lang w:eastAsia="en-GB"/>
        </w:rPr>
        <w:t>analyse</w:t>
      </w:r>
      <w:r w:rsidRPr="006365B7">
        <w:rPr>
          <w:rFonts w:ascii="Arial" w:hAnsi="Arial" w:cs="Arial"/>
          <w:color w:val="000000"/>
          <w:lang w:eastAsia="en-GB"/>
        </w:rPr>
        <w:t xml:space="preserve"> its trajectory from 19th-century folk practices to the evidence</w:t>
      </w:r>
      <w:r w:rsidR="009F34A6">
        <w:rPr>
          <w:rFonts w:ascii="Arial" w:hAnsi="Arial" w:cs="Arial"/>
          <w:color w:val="000000"/>
          <w:lang w:eastAsia="en-GB"/>
        </w:rPr>
        <w:t xml:space="preserve"> </w:t>
      </w:r>
      <w:r w:rsidRPr="006365B7">
        <w:rPr>
          <w:rFonts w:ascii="Arial" w:hAnsi="Arial" w:cs="Arial"/>
          <w:color w:val="000000"/>
          <w:lang w:eastAsia="en-GB"/>
        </w:rPr>
        <w:t>based, regulated clinical model of the 21st century.</w:t>
      </w:r>
    </w:p>
    <w:p w14:paraId="51BDA35E" w14:textId="30206244" w:rsidR="006365B7" w:rsidRPr="006365B7" w:rsidRDefault="006365B7" w:rsidP="006365B7">
      <w:pPr>
        <w:spacing w:before="100" w:beforeAutospacing="1" w:after="100" w:afterAutospacing="1" w:line="240" w:lineRule="auto"/>
        <w:rPr>
          <w:rFonts w:ascii="Arial" w:hAnsi="Arial" w:cs="Arial"/>
          <w:color w:val="000000"/>
          <w:lang w:eastAsia="en-GB"/>
        </w:rPr>
      </w:pPr>
      <w:r w:rsidRPr="006365B7">
        <w:rPr>
          <w:rFonts w:ascii="Arial" w:hAnsi="Arial" w:cs="Arial"/>
          <w:color w:val="000000"/>
          <w:lang w:eastAsia="en-GB"/>
        </w:rPr>
        <w:t>The service's origins are rooted in the role of the "handywoman"</w:t>
      </w:r>
      <w:r w:rsidR="00C7698F">
        <w:rPr>
          <w:rFonts w:ascii="Arial" w:hAnsi="Arial" w:cs="Arial"/>
          <w:color w:val="000000"/>
          <w:lang w:eastAsia="en-GB"/>
        </w:rPr>
        <w:t xml:space="preserve"> </w:t>
      </w:r>
      <w:r w:rsidRPr="006365B7">
        <w:rPr>
          <w:rFonts w:ascii="Arial" w:hAnsi="Arial" w:cs="Arial"/>
          <w:color w:val="000000"/>
          <w:lang w:eastAsia="en-GB"/>
        </w:rPr>
        <w:t xml:space="preserve">untrained local women who provided labor support and postnatal care in Victorian Britain. While these figures offered essential communal support, high maternal mortality rates prompted a drive for </w:t>
      </w:r>
      <w:r w:rsidR="00C7463C" w:rsidRPr="006365B7">
        <w:rPr>
          <w:rFonts w:ascii="Arial" w:hAnsi="Arial" w:cs="Arial"/>
          <w:color w:val="000000"/>
          <w:lang w:eastAsia="en-GB"/>
        </w:rPr>
        <w:t>professionalisation</w:t>
      </w:r>
      <w:r w:rsidRPr="006365B7">
        <w:rPr>
          <w:rFonts w:ascii="Arial" w:hAnsi="Arial" w:cs="Arial"/>
          <w:color w:val="000000"/>
          <w:lang w:eastAsia="en-GB"/>
        </w:rPr>
        <w:t>. The Midwives Act 1902 served as the foundational legislative shift, establishing midwifery as a protected, certified profession (</w:t>
      </w:r>
      <w:proofErr w:type="spellStart"/>
      <w:r w:rsidRPr="006365B7">
        <w:rPr>
          <w:rFonts w:ascii="Arial" w:hAnsi="Arial" w:cs="Arial"/>
          <w:color w:val="000000"/>
          <w:lang w:eastAsia="en-GB"/>
        </w:rPr>
        <w:t>Donnison</w:t>
      </w:r>
      <w:proofErr w:type="spellEnd"/>
      <w:r w:rsidRPr="006365B7">
        <w:rPr>
          <w:rFonts w:ascii="Arial" w:hAnsi="Arial" w:cs="Arial"/>
          <w:color w:val="000000"/>
          <w:lang w:eastAsia="en-GB"/>
        </w:rPr>
        <w:t>, 1988).</w:t>
      </w:r>
    </w:p>
    <w:p w14:paraId="733127BC" w14:textId="77777777" w:rsidR="006365B7" w:rsidRPr="006365B7" w:rsidRDefault="006365B7" w:rsidP="006365B7">
      <w:pPr>
        <w:spacing w:before="100" w:beforeAutospacing="1" w:after="100" w:afterAutospacing="1" w:line="240" w:lineRule="auto"/>
        <w:rPr>
          <w:rFonts w:ascii="Arial" w:hAnsi="Arial" w:cs="Arial"/>
          <w:color w:val="000000"/>
          <w:lang w:eastAsia="en-GB"/>
        </w:rPr>
      </w:pPr>
      <w:r w:rsidRPr="006365B7">
        <w:rPr>
          <w:rFonts w:ascii="Arial" w:hAnsi="Arial" w:cs="Arial"/>
          <w:color w:val="000000"/>
          <w:lang w:eastAsia="en-GB"/>
        </w:rPr>
        <w:t>However, the mid-20th century introduced a paradox. As the medical model of childbirth gained dominance, reports such as </w:t>
      </w:r>
      <w:proofErr w:type="spellStart"/>
      <w:r w:rsidRPr="006365B7">
        <w:rPr>
          <w:rFonts w:ascii="Arial" w:hAnsi="Arial" w:cs="Arial"/>
          <w:color w:val="000000"/>
          <w:lang w:eastAsia="en-GB"/>
        </w:rPr>
        <w:t>Cranbrook</w:t>
      </w:r>
      <w:proofErr w:type="spellEnd"/>
      <w:r w:rsidRPr="006365B7">
        <w:rPr>
          <w:rFonts w:ascii="Arial" w:hAnsi="Arial" w:cs="Arial"/>
          <w:color w:val="000000"/>
          <w:lang w:eastAsia="en-GB"/>
        </w:rPr>
        <w:t xml:space="preserve"> (1959) and Short (1980) advocated for a transition from home to hospital-based births to ensure neonatal safety. This shift necessitated a redefinition of the community midwife. No longer just a birth attendant, the professional evolved into a "navigator" of the pregnancy journey, responsible for public health screening and bridging the gap between the domestic environment and the obstetric institution.</w:t>
      </w:r>
    </w:p>
    <w:p w14:paraId="143A3E0B" w14:textId="31E4E3FB" w:rsidR="00FF2809" w:rsidRPr="002277DA" w:rsidRDefault="006365B7" w:rsidP="00FF2809">
      <w:pPr>
        <w:spacing w:before="100" w:beforeAutospacing="1" w:after="100" w:afterAutospacing="1" w:line="240" w:lineRule="auto"/>
        <w:rPr>
          <w:rFonts w:ascii="Arial" w:hAnsi="Arial" w:cs="Arial"/>
          <w:color w:val="000000"/>
          <w:lang w:eastAsia="en-GB"/>
        </w:rPr>
      </w:pPr>
      <w:r w:rsidRPr="006365B7">
        <w:rPr>
          <w:rFonts w:ascii="Arial" w:hAnsi="Arial" w:cs="Arial"/>
          <w:color w:val="000000"/>
          <w:lang w:eastAsia="en-GB"/>
        </w:rPr>
        <w:t xml:space="preserve">In the contemporary healthcare landscape, community midwifery operates through </w:t>
      </w:r>
      <w:r w:rsidR="00C7463C" w:rsidRPr="006365B7">
        <w:rPr>
          <w:rFonts w:ascii="Arial" w:hAnsi="Arial" w:cs="Arial"/>
          <w:color w:val="000000"/>
          <w:lang w:eastAsia="en-GB"/>
        </w:rPr>
        <w:t>decentralised</w:t>
      </w:r>
      <w:r w:rsidRPr="006365B7">
        <w:rPr>
          <w:rFonts w:ascii="Arial" w:hAnsi="Arial" w:cs="Arial"/>
          <w:color w:val="000000"/>
          <w:lang w:eastAsia="en-GB"/>
        </w:rPr>
        <w:t xml:space="preserve"> hubs, such as GP surgeries and children’s </w:t>
      </w:r>
      <w:r w:rsidR="00AF13D2" w:rsidRPr="006365B7">
        <w:rPr>
          <w:rFonts w:ascii="Arial" w:hAnsi="Arial" w:cs="Arial"/>
          <w:color w:val="000000"/>
          <w:lang w:eastAsia="en-GB"/>
        </w:rPr>
        <w:t>centres</w:t>
      </w:r>
      <w:r w:rsidRPr="006365B7">
        <w:rPr>
          <w:rFonts w:ascii="Arial" w:hAnsi="Arial" w:cs="Arial"/>
          <w:color w:val="000000"/>
          <w:lang w:eastAsia="en-GB"/>
        </w:rPr>
        <w:t>.</w:t>
      </w:r>
    </w:p>
    <w:p w14:paraId="4A8D57F0" w14:textId="2649FA14" w:rsidR="006365B7" w:rsidRPr="006365B7" w:rsidRDefault="006365B7" w:rsidP="00FF2809">
      <w:pPr>
        <w:spacing w:before="100" w:beforeAutospacing="1" w:after="100" w:afterAutospacing="1" w:line="240" w:lineRule="auto"/>
        <w:rPr>
          <w:rFonts w:ascii="Arial" w:hAnsi="Arial" w:cs="Arial"/>
          <w:color w:val="000000"/>
          <w:lang w:eastAsia="en-GB"/>
        </w:rPr>
      </w:pPr>
      <w:r w:rsidRPr="006365B7">
        <w:rPr>
          <w:rFonts w:ascii="Arial" w:hAnsi="Arial" w:cs="Arial"/>
          <w:color w:val="000000"/>
          <w:lang w:eastAsia="en-GB"/>
        </w:rPr>
        <w:t xml:space="preserve">The Continuity of Carer Model: Current policy, notably the Better Births (2016) report, </w:t>
      </w:r>
      <w:r w:rsidR="00C7463C" w:rsidRPr="006365B7">
        <w:rPr>
          <w:rFonts w:ascii="Arial" w:hAnsi="Arial" w:cs="Arial"/>
          <w:color w:val="000000"/>
          <w:lang w:eastAsia="en-GB"/>
        </w:rPr>
        <w:t>emphasises</w:t>
      </w:r>
      <w:r w:rsidRPr="006365B7">
        <w:rPr>
          <w:rFonts w:ascii="Arial" w:hAnsi="Arial" w:cs="Arial"/>
          <w:color w:val="000000"/>
          <w:lang w:eastAsia="en-GB"/>
        </w:rPr>
        <w:t xml:space="preserve"> "Continuity of Carer." This model functions on the principle that a woman should be cared for by a small, consistent team. Research suggests this fosters a deep clinical relationship, allowing for the early detection of physiological and psychological deviations that might be missed in a fragmented hospital setting (</w:t>
      </w:r>
      <w:proofErr w:type="spellStart"/>
      <w:r w:rsidRPr="006365B7">
        <w:rPr>
          <w:rFonts w:ascii="Arial" w:hAnsi="Arial" w:cs="Arial"/>
          <w:color w:val="000000"/>
          <w:lang w:eastAsia="en-GB"/>
        </w:rPr>
        <w:t>Sandall</w:t>
      </w:r>
      <w:proofErr w:type="spellEnd"/>
      <w:r w:rsidRPr="006365B7">
        <w:rPr>
          <w:rFonts w:ascii="Arial" w:hAnsi="Arial" w:cs="Arial"/>
          <w:color w:val="000000"/>
          <w:lang w:eastAsia="en-GB"/>
        </w:rPr>
        <w:t xml:space="preserve"> et al., 2016).Systemic Fractures: Despite its theoretical strengths, the service faces significant operational challenges. A chronic shortage of midwives often results in community staff being "redeployed" to cover hospital labor wards. This </w:t>
      </w:r>
      <w:r w:rsidR="00651C7F" w:rsidRPr="006365B7">
        <w:rPr>
          <w:rFonts w:ascii="Arial" w:hAnsi="Arial" w:cs="Arial"/>
          <w:color w:val="000000"/>
          <w:lang w:eastAsia="en-GB"/>
        </w:rPr>
        <w:t>destabilises</w:t>
      </w:r>
      <w:r w:rsidRPr="006365B7">
        <w:rPr>
          <w:rFonts w:ascii="Arial" w:hAnsi="Arial" w:cs="Arial"/>
          <w:color w:val="000000"/>
          <w:lang w:eastAsia="en-GB"/>
        </w:rPr>
        <w:t xml:space="preserve"> community clinics and undermines the trust-based relationship essential to the model. Furthermore, there is a critical tension between the midwife’s role as an advocate for "normalcy" and the increasing </w:t>
      </w:r>
      <w:r w:rsidR="00651C7F" w:rsidRPr="006365B7">
        <w:rPr>
          <w:rFonts w:ascii="Arial" w:hAnsi="Arial" w:cs="Arial"/>
          <w:color w:val="000000"/>
          <w:lang w:eastAsia="en-GB"/>
        </w:rPr>
        <w:t>medicalisation</w:t>
      </w:r>
      <w:r w:rsidRPr="006365B7">
        <w:rPr>
          <w:rFonts w:ascii="Arial" w:hAnsi="Arial" w:cs="Arial"/>
          <w:color w:val="000000"/>
          <w:lang w:eastAsia="en-GB"/>
        </w:rPr>
        <w:t xml:space="preserve"> of pregnancy, which can reduce community consultations to a series of checklist-driven tasks rather than holistic care.</w:t>
      </w:r>
    </w:p>
    <w:p w14:paraId="078DE880" w14:textId="7BBF252F" w:rsidR="006365B7" w:rsidRPr="006365B7" w:rsidRDefault="006365B7" w:rsidP="006365B7">
      <w:pPr>
        <w:spacing w:before="100" w:beforeAutospacing="1" w:after="100" w:afterAutospacing="1" w:line="240" w:lineRule="auto"/>
        <w:rPr>
          <w:rFonts w:ascii="Arial" w:hAnsi="Arial" w:cs="Arial"/>
          <w:color w:val="000000"/>
          <w:lang w:eastAsia="en-GB"/>
        </w:rPr>
      </w:pPr>
      <w:r w:rsidRPr="006365B7">
        <w:rPr>
          <w:rFonts w:ascii="Arial" w:hAnsi="Arial" w:cs="Arial"/>
          <w:color w:val="000000"/>
          <w:lang w:eastAsia="en-GB"/>
        </w:rPr>
        <w:t>The impact of community midwifery extends beyond clinical safety</w:t>
      </w:r>
      <w:r w:rsidR="007B3DB6">
        <w:rPr>
          <w:rFonts w:ascii="Arial" w:hAnsi="Arial" w:cs="Arial"/>
          <w:color w:val="000000"/>
          <w:lang w:eastAsia="en-GB"/>
        </w:rPr>
        <w:t xml:space="preserve"> </w:t>
      </w:r>
      <w:r w:rsidRPr="006365B7">
        <w:rPr>
          <w:rFonts w:ascii="Arial" w:hAnsi="Arial" w:cs="Arial"/>
          <w:color w:val="000000"/>
          <w:lang w:eastAsia="en-GB"/>
        </w:rPr>
        <w:t xml:space="preserve"> it is a primary driver of health equity and psychological well-being.</w:t>
      </w:r>
    </w:p>
    <w:p w14:paraId="4D07E9AB" w14:textId="26620BED" w:rsidR="006365B7" w:rsidRPr="006365B7" w:rsidRDefault="006365B7" w:rsidP="006365B7">
      <w:pPr>
        <w:spacing w:before="100" w:beforeAutospacing="1" w:after="100" w:afterAutospacing="1" w:line="240" w:lineRule="auto"/>
        <w:rPr>
          <w:rFonts w:ascii="Arial" w:hAnsi="Arial" w:cs="Arial"/>
          <w:color w:val="000000"/>
          <w:lang w:eastAsia="en-GB"/>
        </w:rPr>
      </w:pPr>
      <w:r w:rsidRPr="006365B7">
        <w:rPr>
          <w:rFonts w:ascii="Arial" w:hAnsi="Arial" w:cs="Arial"/>
          <w:color w:val="000000"/>
          <w:lang w:eastAsia="en-GB"/>
        </w:rPr>
        <w:t>Psychological Safety and Empowerment</w:t>
      </w:r>
      <w:r w:rsidR="007B3DB6">
        <w:rPr>
          <w:rFonts w:ascii="Arial" w:hAnsi="Arial" w:cs="Arial"/>
          <w:color w:val="000000"/>
          <w:lang w:eastAsia="en-GB"/>
        </w:rPr>
        <w:t xml:space="preserve"> </w:t>
      </w:r>
      <w:r w:rsidRPr="006365B7">
        <w:rPr>
          <w:rFonts w:ascii="Arial" w:hAnsi="Arial" w:cs="Arial"/>
          <w:color w:val="000000"/>
          <w:lang w:eastAsia="en-GB"/>
        </w:rPr>
        <w:t> </w:t>
      </w:r>
      <w:r w:rsidR="007B3DB6">
        <w:rPr>
          <w:rFonts w:ascii="Arial" w:hAnsi="Arial" w:cs="Arial"/>
          <w:color w:val="000000"/>
          <w:lang w:eastAsia="en-GB"/>
        </w:rPr>
        <w:t>for</w:t>
      </w:r>
      <w:r w:rsidRPr="006365B7">
        <w:rPr>
          <w:rFonts w:ascii="Arial" w:hAnsi="Arial" w:cs="Arial"/>
          <w:color w:val="000000"/>
          <w:lang w:eastAsia="en-GB"/>
        </w:rPr>
        <w:t xml:space="preserve"> many service users, the hospital environment can be alienating or intimidating. Receiving care in a familiar </w:t>
      </w:r>
      <w:proofErr w:type="spellStart"/>
      <w:r w:rsidRPr="006365B7">
        <w:rPr>
          <w:rFonts w:ascii="Arial" w:hAnsi="Arial" w:cs="Arial"/>
          <w:color w:val="000000"/>
          <w:lang w:eastAsia="en-GB"/>
        </w:rPr>
        <w:t>neighborhood</w:t>
      </w:r>
      <w:proofErr w:type="spellEnd"/>
      <w:r w:rsidRPr="006365B7">
        <w:rPr>
          <w:rFonts w:ascii="Arial" w:hAnsi="Arial" w:cs="Arial"/>
          <w:color w:val="000000"/>
          <w:lang w:eastAsia="en-GB"/>
        </w:rPr>
        <w:t xml:space="preserve"> setting reduces anxiety and fosters a safe space for disclosure. By providing tailored education on birth rights and breastfeeding, community midwives empower women to regain agency over their bodies. This sense of control is a major factor in preventing obstetric trauma and facilitating a positive transition to parenthood.In summary, community midwifery has transitioned from an informal tradition to a sophisticated safety net. It balances the </w:t>
      </w:r>
      <w:r w:rsidR="00830873" w:rsidRPr="006365B7">
        <w:rPr>
          <w:rFonts w:ascii="Arial" w:hAnsi="Arial" w:cs="Arial"/>
          <w:color w:val="000000"/>
          <w:lang w:eastAsia="en-GB"/>
        </w:rPr>
        <w:t>rigours</w:t>
      </w:r>
      <w:r w:rsidRPr="006365B7">
        <w:rPr>
          <w:rFonts w:ascii="Arial" w:hAnsi="Arial" w:cs="Arial"/>
          <w:color w:val="000000"/>
          <w:lang w:eastAsia="en-GB"/>
        </w:rPr>
        <w:t xml:space="preserve"> of clinical surveillance with a commitment to </w:t>
      </w:r>
      <w:r w:rsidR="006D034D" w:rsidRPr="006365B7">
        <w:rPr>
          <w:rFonts w:ascii="Arial" w:hAnsi="Arial" w:cs="Arial"/>
          <w:color w:val="000000"/>
          <w:lang w:eastAsia="en-GB"/>
        </w:rPr>
        <w:t>individualised</w:t>
      </w:r>
      <w:r w:rsidRPr="006365B7">
        <w:rPr>
          <w:rFonts w:ascii="Arial" w:hAnsi="Arial" w:cs="Arial"/>
          <w:color w:val="000000"/>
          <w:lang w:eastAsia="en-GB"/>
        </w:rPr>
        <w:t xml:space="preserve">, </w:t>
      </w:r>
      <w:proofErr w:type="spellStart"/>
      <w:r w:rsidRPr="006365B7">
        <w:rPr>
          <w:rFonts w:ascii="Arial" w:hAnsi="Arial" w:cs="Arial"/>
          <w:color w:val="000000"/>
          <w:lang w:eastAsia="en-GB"/>
        </w:rPr>
        <w:t>person-centered</w:t>
      </w:r>
      <w:proofErr w:type="spellEnd"/>
      <w:r w:rsidRPr="006365B7">
        <w:rPr>
          <w:rFonts w:ascii="Arial" w:hAnsi="Arial" w:cs="Arial"/>
          <w:color w:val="000000"/>
          <w:lang w:eastAsia="en-GB"/>
        </w:rPr>
        <w:t xml:space="preserve"> care. While staffing and funding remain significant hurdles,</w:t>
      </w:r>
      <w:r w:rsidR="00E34F54">
        <w:rPr>
          <w:rFonts w:ascii="Arial" w:hAnsi="Arial" w:cs="Arial"/>
          <w:color w:val="000000"/>
          <w:lang w:eastAsia="en-GB"/>
        </w:rPr>
        <w:t xml:space="preserve"> </w:t>
      </w:r>
      <w:r w:rsidRPr="006365B7">
        <w:rPr>
          <w:rFonts w:ascii="Arial" w:hAnsi="Arial" w:cs="Arial"/>
          <w:color w:val="000000"/>
          <w:lang w:eastAsia="en-GB"/>
        </w:rPr>
        <w:t xml:space="preserve">the service remains indispensable for </w:t>
      </w:r>
      <w:r w:rsidR="00B44EBD" w:rsidRPr="006365B7">
        <w:rPr>
          <w:rFonts w:ascii="Arial" w:hAnsi="Arial" w:cs="Arial"/>
          <w:color w:val="000000"/>
          <w:lang w:eastAsia="en-GB"/>
        </w:rPr>
        <w:t>humanising</w:t>
      </w:r>
      <w:r w:rsidRPr="006365B7">
        <w:rPr>
          <w:rFonts w:ascii="Arial" w:hAnsi="Arial" w:cs="Arial"/>
          <w:color w:val="000000"/>
          <w:lang w:eastAsia="en-GB"/>
        </w:rPr>
        <w:t xml:space="preserve"> the maternity experience and ensuring that healthcare reaches the most vulnerable members of society.</w:t>
      </w:r>
    </w:p>
    <w:p w14:paraId="20F1A3B3" w14:textId="67D19BA3" w:rsidR="006365B7" w:rsidRPr="00A6165E" w:rsidRDefault="006365B7">
      <w:pPr>
        <w:rPr>
          <w:rFonts w:ascii="Arial" w:hAnsi="Arial" w:cs="Arial"/>
          <w:b/>
          <w:bCs/>
          <w:sz w:val="28"/>
          <w:szCs w:val="28"/>
        </w:rPr>
        <w:sectPr w:rsidR="006365B7" w:rsidRPr="00A6165E" w:rsidSect="003A000F">
          <w:pgSz w:w="11906" w:h="16838"/>
          <w:pgMar w:top="1440" w:right="1440" w:bottom="1440" w:left="1440" w:header="708" w:footer="708" w:gutter="0"/>
          <w:cols w:space="708"/>
          <w:docGrid w:linePitch="360"/>
        </w:sectPr>
      </w:pPr>
    </w:p>
    <w:p w14:paraId="23578436" w14:textId="77777777" w:rsidR="00833470" w:rsidRPr="009A6E05" w:rsidRDefault="00833470" w:rsidP="00833470">
      <w:pPr>
        <w:rPr>
          <w:rFonts w:ascii="Arial" w:hAnsi="Arial" w:cs="Arial"/>
          <w:b/>
          <w:bCs/>
          <w:sz w:val="28"/>
          <w:szCs w:val="28"/>
        </w:rPr>
      </w:pPr>
      <w:r w:rsidRPr="009A6E05">
        <w:rPr>
          <w:rFonts w:ascii="Arial" w:hAnsi="Arial" w:cs="Arial"/>
          <w:b/>
          <w:bCs/>
          <w:sz w:val="28"/>
          <w:szCs w:val="28"/>
        </w:rPr>
        <w:lastRenderedPageBreak/>
        <w:t>References</w:t>
      </w:r>
    </w:p>
    <w:p w14:paraId="6DB461D6" w14:textId="3514CBEC" w:rsidR="000E3D9C" w:rsidRPr="00D303B5" w:rsidRDefault="000E3D9C">
      <w:pPr>
        <w:pStyle w:val="NormalWeb"/>
        <w:rPr>
          <w:rFonts w:ascii="Arial" w:hAnsi="Arial" w:cs="Arial"/>
          <w:color w:val="000000"/>
          <w:sz w:val="22"/>
          <w:szCs w:val="22"/>
        </w:rPr>
      </w:pPr>
      <w:proofErr w:type="spellStart"/>
      <w:r w:rsidRPr="00D303B5">
        <w:rPr>
          <w:rFonts w:ascii="Arial" w:hAnsi="Arial" w:cs="Arial"/>
          <w:color w:val="000000"/>
          <w:sz w:val="22"/>
          <w:szCs w:val="22"/>
        </w:rPr>
        <w:t>D</w:t>
      </w:r>
      <w:r w:rsidR="007A34C3">
        <w:rPr>
          <w:rFonts w:ascii="Arial" w:hAnsi="Arial" w:cs="Arial"/>
          <w:color w:val="000000"/>
          <w:sz w:val="22"/>
          <w:szCs w:val="22"/>
        </w:rPr>
        <w:t>onnison</w:t>
      </w:r>
      <w:proofErr w:type="spellEnd"/>
      <w:r w:rsidR="007A34C3">
        <w:rPr>
          <w:rFonts w:ascii="Arial" w:hAnsi="Arial" w:cs="Arial"/>
          <w:color w:val="000000"/>
          <w:sz w:val="22"/>
          <w:szCs w:val="22"/>
        </w:rPr>
        <w:t xml:space="preserve"> </w:t>
      </w:r>
      <w:r w:rsidRPr="00D303B5">
        <w:rPr>
          <w:rFonts w:ascii="Arial" w:hAnsi="Arial" w:cs="Arial"/>
          <w:color w:val="000000"/>
          <w:sz w:val="22"/>
          <w:szCs w:val="22"/>
        </w:rPr>
        <w:t xml:space="preserve"> J. (1988)</w:t>
      </w:r>
      <w:r w:rsidRPr="00D303B5">
        <w:rPr>
          <w:rStyle w:val="apple-converted-space"/>
          <w:rFonts w:ascii="Arial" w:hAnsi="Arial" w:cs="Arial"/>
          <w:color w:val="000000"/>
          <w:sz w:val="22"/>
          <w:szCs w:val="22"/>
        </w:rPr>
        <w:t> </w:t>
      </w:r>
      <w:r w:rsidRPr="00D303B5">
        <w:rPr>
          <w:rFonts w:ascii="Arial" w:hAnsi="Arial" w:cs="Arial"/>
          <w:i/>
          <w:iCs/>
          <w:color w:val="000000"/>
          <w:sz w:val="22"/>
          <w:szCs w:val="22"/>
        </w:rPr>
        <w:t>Midwives and Medical Men: A History of the Struggle for the Control of Childbirth</w:t>
      </w:r>
      <w:r w:rsidRPr="00D303B5">
        <w:rPr>
          <w:rFonts w:ascii="Arial" w:hAnsi="Arial" w:cs="Arial"/>
          <w:color w:val="000000"/>
          <w:sz w:val="22"/>
          <w:szCs w:val="22"/>
        </w:rPr>
        <w:t xml:space="preserve">. 2nd </w:t>
      </w:r>
      <w:proofErr w:type="spellStart"/>
      <w:r w:rsidRPr="00D303B5">
        <w:rPr>
          <w:rFonts w:ascii="Arial" w:hAnsi="Arial" w:cs="Arial"/>
          <w:color w:val="000000"/>
          <w:sz w:val="22"/>
          <w:szCs w:val="22"/>
        </w:rPr>
        <w:t>edn</w:t>
      </w:r>
      <w:proofErr w:type="spellEnd"/>
      <w:r w:rsidRPr="00D303B5">
        <w:rPr>
          <w:rFonts w:ascii="Arial" w:hAnsi="Arial" w:cs="Arial"/>
          <w:color w:val="000000"/>
          <w:sz w:val="22"/>
          <w:szCs w:val="22"/>
        </w:rPr>
        <w:t>. London: Historical Publications.</w:t>
      </w:r>
    </w:p>
    <w:p w14:paraId="3C1A4B20" w14:textId="30450CB8" w:rsidR="000E3D9C" w:rsidRPr="00D303B5" w:rsidRDefault="000E3D9C">
      <w:pPr>
        <w:pStyle w:val="NormalWeb"/>
        <w:rPr>
          <w:rFonts w:ascii="Arial" w:hAnsi="Arial" w:cs="Arial"/>
          <w:color w:val="000000"/>
          <w:sz w:val="22"/>
          <w:szCs w:val="22"/>
        </w:rPr>
      </w:pPr>
      <w:r w:rsidRPr="00D303B5">
        <w:rPr>
          <w:rFonts w:ascii="Arial" w:hAnsi="Arial" w:cs="Arial"/>
          <w:color w:val="000000"/>
          <w:sz w:val="22"/>
          <w:szCs w:val="22"/>
        </w:rPr>
        <w:t>H</w:t>
      </w:r>
      <w:r w:rsidR="007A34C3">
        <w:rPr>
          <w:rFonts w:ascii="Arial" w:hAnsi="Arial" w:cs="Arial"/>
          <w:color w:val="000000"/>
          <w:sz w:val="22"/>
          <w:szCs w:val="22"/>
        </w:rPr>
        <w:t>unter</w:t>
      </w:r>
      <w:r w:rsidRPr="00D303B5">
        <w:rPr>
          <w:rFonts w:ascii="Arial" w:hAnsi="Arial" w:cs="Arial"/>
          <w:color w:val="000000"/>
          <w:sz w:val="22"/>
          <w:szCs w:val="22"/>
        </w:rPr>
        <w:t>, B. (2004)</w:t>
      </w:r>
      <w:r w:rsidRPr="00D303B5">
        <w:rPr>
          <w:rStyle w:val="apple-converted-space"/>
          <w:rFonts w:ascii="Arial" w:hAnsi="Arial" w:cs="Arial"/>
          <w:color w:val="000000"/>
          <w:sz w:val="22"/>
          <w:szCs w:val="22"/>
        </w:rPr>
        <w:t> </w:t>
      </w:r>
      <w:r w:rsidRPr="00D303B5">
        <w:rPr>
          <w:rFonts w:ascii="Arial" w:hAnsi="Arial" w:cs="Arial"/>
          <w:color w:val="000000"/>
          <w:sz w:val="22"/>
          <w:szCs w:val="22"/>
        </w:rPr>
        <w:t>'Conflicting ideologies as a source of psychological stress in professional work: the case of midwives',</w:t>
      </w:r>
      <w:r w:rsidRPr="00D303B5">
        <w:rPr>
          <w:rStyle w:val="apple-converted-space"/>
          <w:rFonts w:ascii="Arial" w:hAnsi="Arial" w:cs="Arial"/>
          <w:color w:val="000000"/>
          <w:sz w:val="22"/>
          <w:szCs w:val="22"/>
        </w:rPr>
        <w:t> </w:t>
      </w:r>
      <w:r w:rsidRPr="00D303B5">
        <w:rPr>
          <w:rFonts w:ascii="Arial" w:hAnsi="Arial" w:cs="Arial"/>
          <w:i/>
          <w:iCs/>
          <w:color w:val="000000"/>
          <w:sz w:val="22"/>
          <w:szCs w:val="22"/>
        </w:rPr>
        <w:t>Sociology of Health &amp; Illness</w:t>
      </w:r>
      <w:r w:rsidRPr="00D303B5">
        <w:rPr>
          <w:rFonts w:ascii="Arial" w:hAnsi="Arial" w:cs="Arial"/>
          <w:color w:val="000000"/>
          <w:sz w:val="22"/>
          <w:szCs w:val="22"/>
        </w:rPr>
        <w:t>, 26(3), pp. 273–291.</w:t>
      </w:r>
    </w:p>
    <w:p w14:paraId="57C0D22E" w14:textId="0192FAB3" w:rsidR="000E3D9C" w:rsidRPr="00D303B5" w:rsidRDefault="000E3D9C">
      <w:pPr>
        <w:pStyle w:val="NormalWeb"/>
        <w:rPr>
          <w:rFonts w:ascii="Arial" w:hAnsi="Arial" w:cs="Arial"/>
          <w:color w:val="000000"/>
          <w:sz w:val="22"/>
          <w:szCs w:val="22"/>
        </w:rPr>
      </w:pPr>
      <w:r w:rsidRPr="00D303B5">
        <w:rPr>
          <w:rFonts w:ascii="Arial" w:hAnsi="Arial" w:cs="Arial"/>
          <w:color w:val="000000"/>
          <w:sz w:val="22"/>
          <w:szCs w:val="22"/>
        </w:rPr>
        <w:t>N</w:t>
      </w:r>
      <w:r w:rsidR="007727DB">
        <w:rPr>
          <w:rFonts w:ascii="Arial" w:hAnsi="Arial" w:cs="Arial"/>
          <w:color w:val="000000"/>
          <w:sz w:val="22"/>
          <w:szCs w:val="22"/>
        </w:rPr>
        <w:t>HS England</w:t>
      </w:r>
      <w:r w:rsidRPr="00D303B5">
        <w:rPr>
          <w:rFonts w:ascii="Arial" w:hAnsi="Arial" w:cs="Arial"/>
          <w:color w:val="000000"/>
          <w:sz w:val="22"/>
          <w:szCs w:val="22"/>
        </w:rPr>
        <w:t xml:space="preserve"> (2016)</w:t>
      </w:r>
      <w:r w:rsidRPr="00D303B5">
        <w:rPr>
          <w:rStyle w:val="apple-converted-space"/>
          <w:rFonts w:ascii="Arial" w:hAnsi="Arial" w:cs="Arial"/>
          <w:color w:val="000000"/>
          <w:sz w:val="22"/>
          <w:szCs w:val="22"/>
        </w:rPr>
        <w:t> </w:t>
      </w:r>
      <w:r w:rsidRPr="00D303B5">
        <w:rPr>
          <w:rFonts w:ascii="Arial" w:hAnsi="Arial" w:cs="Arial"/>
          <w:i/>
          <w:iCs/>
          <w:color w:val="000000"/>
          <w:sz w:val="22"/>
          <w:szCs w:val="22"/>
        </w:rPr>
        <w:t>Better Births: Improving outcomes of maternity services in England – A Five Year Forward View for maternity care</w:t>
      </w:r>
      <w:r w:rsidRPr="00D303B5">
        <w:rPr>
          <w:rFonts w:ascii="Arial" w:hAnsi="Arial" w:cs="Arial"/>
          <w:color w:val="000000"/>
          <w:sz w:val="22"/>
          <w:szCs w:val="22"/>
        </w:rPr>
        <w:t>. London: National Health Service England.</w:t>
      </w:r>
    </w:p>
    <w:p w14:paraId="1B4C1A76" w14:textId="4C372E02" w:rsidR="000E3D9C" w:rsidRPr="00D303B5" w:rsidRDefault="000E3D9C">
      <w:pPr>
        <w:pStyle w:val="NormalWeb"/>
        <w:rPr>
          <w:rFonts w:ascii="Arial" w:hAnsi="Arial" w:cs="Arial"/>
          <w:color w:val="000000"/>
          <w:sz w:val="22"/>
          <w:szCs w:val="22"/>
        </w:rPr>
      </w:pPr>
      <w:r w:rsidRPr="00D303B5">
        <w:rPr>
          <w:rFonts w:ascii="Arial" w:hAnsi="Arial" w:cs="Arial"/>
          <w:color w:val="000000"/>
          <w:sz w:val="22"/>
          <w:szCs w:val="22"/>
        </w:rPr>
        <w:t>P</w:t>
      </w:r>
      <w:r w:rsidR="004524F0">
        <w:rPr>
          <w:rFonts w:ascii="Arial" w:hAnsi="Arial" w:cs="Arial"/>
          <w:color w:val="000000"/>
          <w:sz w:val="22"/>
          <w:szCs w:val="22"/>
        </w:rPr>
        <w:t>ager</w:t>
      </w:r>
      <w:r w:rsidRPr="00D303B5">
        <w:rPr>
          <w:rFonts w:ascii="Arial" w:hAnsi="Arial" w:cs="Arial"/>
          <w:color w:val="000000"/>
          <w:sz w:val="22"/>
          <w:szCs w:val="22"/>
        </w:rPr>
        <w:t>, S. (2003)</w:t>
      </w:r>
      <w:r w:rsidRPr="00D303B5">
        <w:rPr>
          <w:rStyle w:val="apple-converted-space"/>
          <w:rFonts w:ascii="Arial" w:hAnsi="Arial" w:cs="Arial"/>
          <w:color w:val="000000"/>
          <w:sz w:val="22"/>
          <w:szCs w:val="22"/>
        </w:rPr>
        <w:t> </w:t>
      </w:r>
      <w:r w:rsidRPr="00D303B5">
        <w:rPr>
          <w:rFonts w:ascii="Arial" w:hAnsi="Arial" w:cs="Arial"/>
          <w:color w:val="000000"/>
          <w:sz w:val="22"/>
          <w:szCs w:val="22"/>
        </w:rPr>
        <w:t>'The Short Report: 20 years on',</w:t>
      </w:r>
      <w:r w:rsidRPr="00D303B5">
        <w:rPr>
          <w:rStyle w:val="apple-converted-space"/>
          <w:rFonts w:ascii="Arial" w:hAnsi="Arial" w:cs="Arial"/>
          <w:color w:val="000000"/>
          <w:sz w:val="22"/>
          <w:szCs w:val="22"/>
        </w:rPr>
        <w:t> </w:t>
      </w:r>
      <w:r w:rsidRPr="00D303B5">
        <w:rPr>
          <w:rFonts w:ascii="Arial" w:hAnsi="Arial" w:cs="Arial"/>
          <w:i/>
          <w:iCs/>
          <w:color w:val="000000"/>
          <w:sz w:val="22"/>
          <w:szCs w:val="22"/>
        </w:rPr>
        <w:t>British Journal of Midwifery</w:t>
      </w:r>
      <w:r w:rsidRPr="00D303B5">
        <w:rPr>
          <w:rFonts w:ascii="Arial" w:hAnsi="Arial" w:cs="Arial"/>
          <w:color w:val="000000"/>
          <w:sz w:val="22"/>
          <w:szCs w:val="22"/>
        </w:rPr>
        <w:t>, 11(1), pp. 12–15.</w:t>
      </w:r>
    </w:p>
    <w:p w14:paraId="519FDBFC" w14:textId="14EB2CCB" w:rsidR="000E3D9C" w:rsidRPr="00D303B5" w:rsidRDefault="00174A47">
      <w:pPr>
        <w:pStyle w:val="NormalWeb"/>
        <w:rPr>
          <w:rFonts w:ascii="Arial" w:hAnsi="Arial" w:cs="Arial"/>
          <w:color w:val="000000"/>
          <w:sz w:val="22"/>
          <w:szCs w:val="22"/>
        </w:rPr>
      </w:pPr>
      <w:proofErr w:type="spellStart"/>
      <w:r>
        <w:rPr>
          <w:rFonts w:ascii="Arial" w:hAnsi="Arial" w:cs="Arial"/>
          <w:color w:val="000000"/>
          <w:sz w:val="22"/>
          <w:szCs w:val="22"/>
        </w:rPr>
        <w:t>Sandall</w:t>
      </w:r>
      <w:proofErr w:type="spellEnd"/>
      <w:r w:rsidR="000E3D9C" w:rsidRPr="00D303B5">
        <w:rPr>
          <w:rFonts w:ascii="Arial" w:hAnsi="Arial" w:cs="Arial"/>
          <w:color w:val="000000"/>
          <w:sz w:val="22"/>
          <w:szCs w:val="22"/>
        </w:rPr>
        <w:t xml:space="preserve">, J., </w:t>
      </w:r>
      <w:proofErr w:type="spellStart"/>
      <w:r>
        <w:rPr>
          <w:rFonts w:ascii="Arial" w:hAnsi="Arial" w:cs="Arial"/>
          <w:color w:val="000000"/>
          <w:sz w:val="22"/>
          <w:szCs w:val="22"/>
        </w:rPr>
        <w:t>Soltani</w:t>
      </w:r>
      <w:proofErr w:type="spellEnd"/>
      <w:r w:rsidR="000E3D9C" w:rsidRPr="00D303B5">
        <w:rPr>
          <w:rFonts w:ascii="Arial" w:hAnsi="Arial" w:cs="Arial"/>
          <w:color w:val="000000"/>
          <w:sz w:val="22"/>
          <w:szCs w:val="22"/>
        </w:rPr>
        <w:t>, H., G</w:t>
      </w:r>
      <w:r>
        <w:rPr>
          <w:rFonts w:ascii="Arial" w:hAnsi="Arial" w:cs="Arial"/>
          <w:color w:val="000000"/>
          <w:sz w:val="22"/>
          <w:szCs w:val="22"/>
        </w:rPr>
        <w:t>ates</w:t>
      </w:r>
      <w:r w:rsidR="000E3D9C" w:rsidRPr="00D303B5">
        <w:rPr>
          <w:rFonts w:ascii="Arial" w:hAnsi="Arial" w:cs="Arial"/>
          <w:color w:val="000000"/>
          <w:sz w:val="22"/>
          <w:szCs w:val="22"/>
        </w:rPr>
        <w:t xml:space="preserve">, S., </w:t>
      </w:r>
      <w:proofErr w:type="spellStart"/>
      <w:r w:rsidR="00C7698F">
        <w:rPr>
          <w:rFonts w:ascii="Arial" w:hAnsi="Arial" w:cs="Arial"/>
          <w:color w:val="000000"/>
          <w:sz w:val="22"/>
          <w:szCs w:val="22"/>
        </w:rPr>
        <w:t>Shennah</w:t>
      </w:r>
      <w:proofErr w:type="spellEnd"/>
      <w:r w:rsidR="000E3D9C" w:rsidRPr="00D303B5">
        <w:rPr>
          <w:rFonts w:ascii="Arial" w:hAnsi="Arial" w:cs="Arial"/>
          <w:color w:val="000000"/>
          <w:sz w:val="22"/>
          <w:szCs w:val="22"/>
        </w:rPr>
        <w:t xml:space="preserve">, A. and </w:t>
      </w:r>
      <w:proofErr w:type="spellStart"/>
      <w:r w:rsidR="000E3D9C" w:rsidRPr="00D303B5">
        <w:rPr>
          <w:rFonts w:ascii="Arial" w:hAnsi="Arial" w:cs="Arial"/>
          <w:color w:val="000000"/>
          <w:sz w:val="22"/>
          <w:szCs w:val="22"/>
        </w:rPr>
        <w:t>D</w:t>
      </w:r>
      <w:r w:rsidR="00C7698F">
        <w:rPr>
          <w:rFonts w:ascii="Arial" w:hAnsi="Arial" w:cs="Arial"/>
          <w:color w:val="000000"/>
          <w:sz w:val="22"/>
          <w:szCs w:val="22"/>
        </w:rPr>
        <w:t>evane</w:t>
      </w:r>
      <w:proofErr w:type="spellEnd"/>
      <w:r w:rsidR="000E3D9C" w:rsidRPr="00D303B5">
        <w:rPr>
          <w:rFonts w:ascii="Arial" w:hAnsi="Arial" w:cs="Arial"/>
          <w:color w:val="000000"/>
          <w:sz w:val="22"/>
          <w:szCs w:val="22"/>
        </w:rPr>
        <w:t>, D. (2016)</w:t>
      </w:r>
      <w:r w:rsidR="000E3D9C" w:rsidRPr="00D303B5">
        <w:rPr>
          <w:rStyle w:val="apple-converted-space"/>
          <w:rFonts w:ascii="Arial" w:hAnsi="Arial" w:cs="Arial"/>
          <w:color w:val="000000"/>
          <w:sz w:val="22"/>
          <w:szCs w:val="22"/>
        </w:rPr>
        <w:t> </w:t>
      </w:r>
      <w:r w:rsidR="000E3D9C" w:rsidRPr="00D303B5">
        <w:rPr>
          <w:rFonts w:ascii="Arial" w:hAnsi="Arial" w:cs="Arial"/>
          <w:color w:val="000000"/>
          <w:sz w:val="22"/>
          <w:szCs w:val="22"/>
        </w:rPr>
        <w:t>'Midwife-led continuity models versus other models of care for childbearing women',</w:t>
      </w:r>
      <w:r w:rsidR="000E3D9C" w:rsidRPr="00D303B5">
        <w:rPr>
          <w:rStyle w:val="apple-converted-space"/>
          <w:rFonts w:ascii="Arial" w:hAnsi="Arial" w:cs="Arial"/>
          <w:color w:val="000000"/>
          <w:sz w:val="22"/>
          <w:szCs w:val="22"/>
        </w:rPr>
        <w:t> </w:t>
      </w:r>
      <w:r w:rsidR="000E3D9C" w:rsidRPr="00D303B5">
        <w:rPr>
          <w:rFonts w:ascii="Arial" w:hAnsi="Arial" w:cs="Arial"/>
          <w:i/>
          <w:iCs/>
          <w:color w:val="000000"/>
          <w:sz w:val="22"/>
          <w:szCs w:val="22"/>
        </w:rPr>
        <w:t>Cochrane Database of Systematic Reviews</w:t>
      </w:r>
      <w:r w:rsidR="000E3D9C" w:rsidRPr="00D303B5">
        <w:rPr>
          <w:rFonts w:ascii="Arial" w:hAnsi="Arial" w:cs="Arial"/>
          <w:color w:val="000000"/>
          <w:sz w:val="22"/>
          <w:szCs w:val="22"/>
        </w:rPr>
        <w:t xml:space="preserve">, (4). </w:t>
      </w:r>
      <w:proofErr w:type="spellStart"/>
      <w:r w:rsidR="000E3D9C" w:rsidRPr="00D303B5">
        <w:rPr>
          <w:rFonts w:ascii="Arial" w:hAnsi="Arial" w:cs="Arial"/>
          <w:color w:val="000000"/>
          <w:sz w:val="22"/>
          <w:szCs w:val="22"/>
        </w:rPr>
        <w:t>doi</w:t>
      </w:r>
      <w:proofErr w:type="spellEnd"/>
      <w:r w:rsidR="000E3D9C" w:rsidRPr="00D303B5">
        <w:rPr>
          <w:rFonts w:ascii="Arial" w:hAnsi="Arial" w:cs="Arial"/>
          <w:color w:val="000000"/>
          <w:sz w:val="22"/>
          <w:szCs w:val="22"/>
        </w:rPr>
        <w:t>: 10.1002/14651858.CD004667.pub5.</w:t>
      </w:r>
    </w:p>
    <w:p w14:paraId="7CC73872" w14:textId="41011863" w:rsidR="000E3D9C" w:rsidRPr="00D303B5" w:rsidRDefault="000E3D9C">
      <w:pPr>
        <w:pStyle w:val="NormalWeb"/>
        <w:rPr>
          <w:rFonts w:ascii="Arial" w:hAnsi="Arial" w:cs="Arial"/>
          <w:color w:val="000000"/>
          <w:sz w:val="22"/>
          <w:szCs w:val="22"/>
        </w:rPr>
      </w:pPr>
      <w:r w:rsidRPr="00D303B5">
        <w:rPr>
          <w:rFonts w:ascii="Arial" w:hAnsi="Arial" w:cs="Arial"/>
          <w:color w:val="000000"/>
          <w:sz w:val="22"/>
          <w:szCs w:val="22"/>
        </w:rPr>
        <w:t>W</w:t>
      </w:r>
      <w:r w:rsidR="00C7698F">
        <w:rPr>
          <w:rFonts w:ascii="Arial" w:hAnsi="Arial" w:cs="Arial"/>
          <w:color w:val="000000"/>
          <w:sz w:val="22"/>
          <w:szCs w:val="22"/>
        </w:rPr>
        <w:t>alsh</w:t>
      </w:r>
      <w:r w:rsidRPr="00D303B5">
        <w:rPr>
          <w:rFonts w:ascii="Arial" w:hAnsi="Arial" w:cs="Arial"/>
          <w:color w:val="000000"/>
          <w:sz w:val="22"/>
          <w:szCs w:val="22"/>
        </w:rPr>
        <w:t>, D. (2006)</w:t>
      </w:r>
      <w:r w:rsidRPr="00D303B5">
        <w:rPr>
          <w:rStyle w:val="apple-converted-space"/>
          <w:rFonts w:ascii="Arial" w:hAnsi="Arial" w:cs="Arial"/>
          <w:color w:val="000000"/>
          <w:sz w:val="22"/>
          <w:szCs w:val="22"/>
        </w:rPr>
        <w:t> </w:t>
      </w:r>
      <w:r w:rsidRPr="00D303B5">
        <w:rPr>
          <w:rFonts w:ascii="Arial" w:hAnsi="Arial" w:cs="Arial"/>
          <w:color w:val="000000"/>
          <w:sz w:val="22"/>
          <w:szCs w:val="22"/>
        </w:rPr>
        <w:t>'Subverting the assembly-line: childbirth in a free-standing birth centre',</w:t>
      </w:r>
      <w:r w:rsidRPr="00D303B5">
        <w:rPr>
          <w:rStyle w:val="apple-converted-space"/>
          <w:rFonts w:ascii="Arial" w:hAnsi="Arial" w:cs="Arial"/>
          <w:color w:val="000000"/>
          <w:sz w:val="22"/>
          <w:szCs w:val="22"/>
        </w:rPr>
        <w:t> </w:t>
      </w:r>
      <w:r w:rsidRPr="00D303B5">
        <w:rPr>
          <w:rFonts w:ascii="Arial" w:hAnsi="Arial" w:cs="Arial"/>
          <w:i/>
          <w:iCs/>
          <w:color w:val="000000"/>
          <w:sz w:val="22"/>
          <w:szCs w:val="22"/>
        </w:rPr>
        <w:t>Social Science &amp; Medicine</w:t>
      </w:r>
      <w:r w:rsidRPr="00D303B5">
        <w:rPr>
          <w:rFonts w:ascii="Arial" w:hAnsi="Arial" w:cs="Arial"/>
          <w:color w:val="000000"/>
          <w:sz w:val="22"/>
          <w:szCs w:val="22"/>
        </w:rPr>
        <w:t>, 62(6), pp. 1330–1340.</w:t>
      </w:r>
    </w:p>
    <w:p w14:paraId="27EBF8A3" w14:textId="77777777" w:rsidR="00EF3E35" w:rsidRPr="00D303B5" w:rsidRDefault="00EF3E35"/>
    <w:p w14:paraId="150E9E72" w14:textId="77777777" w:rsidR="00EF3E35" w:rsidRDefault="00EF3E35"/>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27B962" w14:textId="77777777" w:rsidR="00241E96" w:rsidRDefault="00241E96" w:rsidP="00BE6BE0">
      <w:pPr>
        <w:spacing w:after="0" w:line="240" w:lineRule="auto"/>
      </w:pPr>
      <w:r>
        <w:separator/>
      </w:r>
    </w:p>
  </w:endnote>
  <w:endnote w:type="continuationSeparator" w:id="0">
    <w:p w14:paraId="0E8B9F30" w14:textId="77777777" w:rsidR="00241E96" w:rsidRDefault="00241E96"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webkit-standard">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C90EDE" w14:textId="77777777" w:rsidR="00241E96" w:rsidRDefault="00241E96" w:rsidP="00BE6BE0">
      <w:pPr>
        <w:spacing w:after="0" w:line="240" w:lineRule="auto"/>
      </w:pPr>
      <w:r>
        <w:separator/>
      </w:r>
    </w:p>
  </w:footnote>
  <w:footnote w:type="continuationSeparator" w:id="0">
    <w:p w14:paraId="4DD4901F" w14:textId="77777777" w:rsidR="00241E96" w:rsidRDefault="00241E96"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3F598DF4">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1225" cy="436245"/>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C5F9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F72EE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A872E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72434650">
    <w:abstractNumId w:val="2"/>
  </w:num>
  <w:num w:numId="2" w16cid:durableId="276301487">
    <w:abstractNumId w:val="0"/>
  </w:num>
  <w:num w:numId="3" w16cid:durableId="10719227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2"/>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37476"/>
    <w:rsid w:val="000464A0"/>
    <w:rsid w:val="00056EB1"/>
    <w:rsid w:val="0008740B"/>
    <w:rsid w:val="00091F68"/>
    <w:rsid w:val="000934BF"/>
    <w:rsid w:val="00094540"/>
    <w:rsid w:val="000B0849"/>
    <w:rsid w:val="000B7645"/>
    <w:rsid w:val="000E3739"/>
    <w:rsid w:val="000E3D9C"/>
    <w:rsid w:val="000E4147"/>
    <w:rsid w:val="000E5989"/>
    <w:rsid w:val="000F66BD"/>
    <w:rsid w:val="00102E2F"/>
    <w:rsid w:val="00136A2D"/>
    <w:rsid w:val="001414DA"/>
    <w:rsid w:val="00145C4F"/>
    <w:rsid w:val="00156031"/>
    <w:rsid w:val="00174A47"/>
    <w:rsid w:val="001A4AE0"/>
    <w:rsid w:val="001A563A"/>
    <w:rsid w:val="001B4AE2"/>
    <w:rsid w:val="001C039D"/>
    <w:rsid w:val="001C08BA"/>
    <w:rsid w:val="001C0D45"/>
    <w:rsid w:val="001C616C"/>
    <w:rsid w:val="001D6B97"/>
    <w:rsid w:val="001E10BC"/>
    <w:rsid w:val="001E77A5"/>
    <w:rsid w:val="001F0D3C"/>
    <w:rsid w:val="002053AD"/>
    <w:rsid w:val="002225CA"/>
    <w:rsid w:val="0022485A"/>
    <w:rsid w:val="002277DA"/>
    <w:rsid w:val="0023722D"/>
    <w:rsid w:val="00241E96"/>
    <w:rsid w:val="00242CF8"/>
    <w:rsid w:val="00265531"/>
    <w:rsid w:val="002767BF"/>
    <w:rsid w:val="00285B72"/>
    <w:rsid w:val="00286CE4"/>
    <w:rsid w:val="002A360A"/>
    <w:rsid w:val="002B6754"/>
    <w:rsid w:val="002C3A60"/>
    <w:rsid w:val="002E5447"/>
    <w:rsid w:val="00330E08"/>
    <w:rsid w:val="003343B7"/>
    <w:rsid w:val="00334709"/>
    <w:rsid w:val="003355F7"/>
    <w:rsid w:val="00336358"/>
    <w:rsid w:val="00337C87"/>
    <w:rsid w:val="00346CC4"/>
    <w:rsid w:val="00360D45"/>
    <w:rsid w:val="00372511"/>
    <w:rsid w:val="00373AB3"/>
    <w:rsid w:val="00385547"/>
    <w:rsid w:val="00392074"/>
    <w:rsid w:val="003A000F"/>
    <w:rsid w:val="003A3744"/>
    <w:rsid w:val="003A3E0B"/>
    <w:rsid w:val="003C10F9"/>
    <w:rsid w:val="003C1CFE"/>
    <w:rsid w:val="003E1FF0"/>
    <w:rsid w:val="00407CDD"/>
    <w:rsid w:val="004217D4"/>
    <w:rsid w:val="004229E8"/>
    <w:rsid w:val="004239EA"/>
    <w:rsid w:val="00441FFF"/>
    <w:rsid w:val="004524F0"/>
    <w:rsid w:val="00456C99"/>
    <w:rsid w:val="00460E92"/>
    <w:rsid w:val="00486D63"/>
    <w:rsid w:val="00496093"/>
    <w:rsid w:val="004A4F3A"/>
    <w:rsid w:val="004F6E7A"/>
    <w:rsid w:val="004F6FBF"/>
    <w:rsid w:val="0050033A"/>
    <w:rsid w:val="00500DFF"/>
    <w:rsid w:val="00507898"/>
    <w:rsid w:val="005264CC"/>
    <w:rsid w:val="005365A2"/>
    <w:rsid w:val="00541813"/>
    <w:rsid w:val="00561D15"/>
    <w:rsid w:val="00561DFE"/>
    <w:rsid w:val="005712CD"/>
    <w:rsid w:val="005C5243"/>
    <w:rsid w:val="005C5761"/>
    <w:rsid w:val="00612C4B"/>
    <w:rsid w:val="006217CB"/>
    <w:rsid w:val="006365B7"/>
    <w:rsid w:val="00637B57"/>
    <w:rsid w:val="00641AD7"/>
    <w:rsid w:val="00651C7F"/>
    <w:rsid w:val="00655290"/>
    <w:rsid w:val="00655EA2"/>
    <w:rsid w:val="00664224"/>
    <w:rsid w:val="006701CE"/>
    <w:rsid w:val="00673A6A"/>
    <w:rsid w:val="006845CA"/>
    <w:rsid w:val="006969C5"/>
    <w:rsid w:val="006A5353"/>
    <w:rsid w:val="006A6816"/>
    <w:rsid w:val="006B6936"/>
    <w:rsid w:val="006D034D"/>
    <w:rsid w:val="006D7602"/>
    <w:rsid w:val="006E5980"/>
    <w:rsid w:val="007034BB"/>
    <w:rsid w:val="00706E25"/>
    <w:rsid w:val="00735EAD"/>
    <w:rsid w:val="0075057F"/>
    <w:rsid w:val="00766CE3"/>
    <w:rsid w:val="007727DB"/>
    <w:rsid w:val="007733EB"/>
    <w:rsid w:val="00794492"/>
    <w:rsid w:val="007A34C3"/>
    <w:rsid w:val="007B3DB6"/>
    <w:rsid w:val="007C4821"/>
    <w:rsid w:val="007D0E85"/>
    <w:rsid w:val="007D2D52"/>
    <w:rsid w:val="007E10DD"/>
    <w:rsid w:val="00804A7F"/>
    <w:rsid w:val="0082008D"/>
    <w:rsid w:val="00830873"/>
    <w:rsid w:val="00833470"/>
    <w:rsid w:val="0084065A"/>
    <w:rsid w:val="008515EA"/>
    <w:rsid w:val="00854F34"/>
    <w:rsid w:val="00855DA6"/>
    <w:rsid w:val="008814F7"/>
    <w:rsid w:val="00897288"/>
    <w:rsid w:val="008C165F"/>
    <w:rsid w:val="008E7F0A"/>
    <w:rsid w:val="008F3391"/>
    <w:rsid w:val="0092102F"/>
    <w:rsid w:val="00925D5E"/>
    <w:rsid w:val="00930B90"/>
    <w:rsid w:val="009333AA"/>
    <w:rsid w:val="00933D2F"/>
    <w:rsid w:val="00947E28"/>
    <w:rsid w:val="009853B2"/>
    <w:rsid w:val="00987A9C"/>
    <w:rsid w:val="009A1245"/>
    <w:rsid w:val="009A45C1"/>
    <w:rsid w:val="009A5E94"/>
    <w:rsid w:val="009B55F7"/>
    <w:rsid w:val="009D7535"/>
    <w:rsid w:val="009E257B"/>
    <w:rsid w:val="009E2CE2"/>
    <w:rsid w:val="009E6D73"/>
    <w:rsid w:val="009F34A6"/>
    <w:rsid w:val="009F5561"/>
    <w:rsid w:val="009F7D7C"/>
    <w:rsid w:val="00A12B09"/>
    <w:rsid w:val="00A3281C"/>
    <w:rsid w:val="00A6165E"/>
    <w:rsid w:val="00A64581"/>
    <w:rsid w:val="00A67702"/>
    <w:rsid w:val="00A70FF0"/>
    <w:rsid w:val="00A8127D"/>
    <w:rsid w:val="00A82690"/>
    <w:rsid w:val="00A9685F"/>
    <w:rsid w:val="00AB2715"/>
    <w:rsid w:val="00AB2E7A"/>
    <w:rsid w:val="00AB2F39"/>
    <w:rsid w:val="00AB4BD6"/>
    <w:rsid w:val="00AB753E"/>
    <w:rsid w:val="00AD0CB2"/>
    <w:rsid w:val="00AE1A66"/>
    <w:rsid w:val="00AE1DE7"/>
    <w:rsid w:val="00AF13D2"/>
    <w:rsid w:val="00AF1638"/>
    <w:rsid w:val="00AF4098"/>
    <w:rsid w:val="00AF7E65"/>
    <w:rsid w:val="00B05C35"/>
    <w:rsid w:val="00B2116F"/>
    <w:rsid w:val="00B26CE0"/>
    <w:rsid w:val="00B37354"/>
    <w:rsid w:val="00B44EBD"/>
    <w:rsid w:val="00B46F34"/>
    <w:rsid w:val="00B62BEC"/>
    <w:rsid w:val="00B63B3D"/>
    <w:rsid w:val="00B642EF"/>
    <w:rsid w:val="00B663E2"/>
    <w:rsid w:val="00B67BCB"/>
    <w:rsid w:val="00B72702"/>
    <w:rsid w:val="00B80C63"/>
    <w:rsid w:val="00B9673F"/>
    <w:rsid w:val="00B967AF"/>
    <w:rsid w:val="00B972CF"/>
    <w:rsid w:val="00BB4C07"/>
    <w:rsid w:val="00BC0451"/>
    <w:rsid w:val="00BC6155"/>
    <w:rsid w:val="00BE6BE0"/>
    <w:rsid w:val="00BE6FB0"/>
    <w:rsid w:val="00C308DB"/>
    <w:rsid w:val="00C5232D"/>
    <w:rsid w:val="00C7463C"/>
    <w:rsid w:val="00C7698F"/>
    <w:rsid w:val="00C8037E"/>
    <w:rsid w:val="00C83A82"/>
    <w:rsid w:val="00CC735F"/>
    <w:rsid w:val="00CD5C4A"/>
    <w:rsid w:val="00CE77EA"/>
    <w:rsid w:val="00CF5F4A"/>
    <w:rsid w:val="00D03049"/>
    <w:rsid w:val="00D303B5"/>
    <w:rsid w:val="00D414B1"/>
    <w:rsid w:val="00D43FEA"/>
    <w:rsid w:val="00D67157"/>
    <w:rsid w:val="00D8088B"/>
    <w:rsid w:val="00D84724"/>
    <w:rsid w:val="00DF45C5"/>
    <w:rsid w:val="00DF7D8E"/>
    <w:rsid w:val="00E01837"/>
    <w:rsid w:val="00E07EB9"/>
    <w:rsid w:val="00E10AD3"/>
    <w:rsid w:val="00E34F54"/>
    <w:rsid w:val="00E424ED"/>
    <w:rsid w:val="00E43384"/>
    <w:rsid w:val="00E516EF"/>
    <w:rsid w:val="00E745CE"/>
    <w:rsid w:val="00E74C6E"/>
    <w:rsid w:val="00E84B53"/>
    <w:rsid w:val="00EB4809"/>
    <w:rsid w:val="00EB617E"/>
    <w:rsid w:val="00EB6DB8"/>
    <w:rsid w:val="00ED0D33"/>
    <w:rsid w:val="00ED258C"/>
    <w:rsid w:val="00EE71B4"/>
    <w:rsid w:val="00EF3E35"/>
    <w:rsid w:val="00EF7A70"/>
    <w:rsid w:val="00F10083"/>
    <w:rsid w:val="00F11186"/>
    <w:rsid w:val="00F11860"/>
    <w:rsid w:val="00F1637C"/>
    <w:rsid w:val="00F35B11"/>
    <w:rsid w:val="00F36D02"/>
    <w:rsid w:val="00F57D72"/>
    <w:rsid w:val="00F64548"/>
    <w:rsid w:val="00F64FBC"/>
    <w:rsid w:val="00FA229F"/>
    <w:rsid w:val="00FE3656"/>
    <w:rsid w:val="00FF17E1"/>
    <w:rsid w:val="00FF2809"/>
    <w:rsid w:val="00FF2E07"/>
    <w:rsid w:val="00FF73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6365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A45C1"/>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customStyle="1" w:styleId="Heading3Char">
    <w:name w:val="Heading 3 Char"/>
    <w:basedOn w:val="DefaultParagraphFont"/>
    <w:link w:val="Heading3"/>
    <w:uiPriority w:val="9"/>
    <w:semiHidden/>
    <w:rsid w:val="009A45C1"/>
    <w:rPr>
      <w:rFonts w:eastAsiaTheme="majorEastAsia" w:cstheme="majorBidi"/>
      <w:color w:val="0F4761" w:themeColor="accent1" w:themeShade="BF"/>
      <w:sz w:val="28"/>
      <w:szCs w:val="28"/>
    </w:rPr>
  </w:style>
  <w:style w:type="paragraph" w:styleId="NormalWeb">
    <w:name w:val="Normal (Web)"/>
    <w:basedOn w:val="Normal"/>
    <w:uiPriority w:val="99"/>
    <w:unhideWhenUsed/>
    <w:rsid w:val="009A45C1"/>
    <w:pPr>
      <w:spacing w:before="100" w:beforeAutospacing="1" w:after="100" w:afterAutospacing="1" w:line="240" w:lineRule="auto"/>
    </w:pPr>
    <w:rPr>
      <w:rFonts w:ascii="Times New Roman" w:hAnsi="Times New Roman" w:cs="Times New Roman"/>
      <w:sz w:val="24"/>
      <w:szCs w:val="24"/>
      <w:lang w:eastAsia="en-GB"/>
    </w:rPr>
  </w:style>
  <w:style w:type="character" w:customStyle="1" w:styleId="apple-converted-space">
    <w:name w:val="apple-converted-space"/>
    <w:basedOn w:val="DefaultParagraphFont"/>
    <w:rsid w:val="009A45C1"/>
  </w:style>
  <w:style w:type="character" w:customStyle="1" w:styleId="Heading2Char">
    <w:name w:val="Heading 2 Char"/>
    <w:basedOn w:val="DefaultParagraphFont"/>
    <w:link w:val="Heading2"/>
    <w:uiPriority w:val="9"/>
    <w:semiHidden/>
    <w:rsid w:val="006365B7"/>
    <w:rPr>
      <w:rFonts w:asciiTheme="majorHAnsi" w:eastAsiaTheme="majorEastAsia" w:hAnsiTheme="majorHAnsi" w:cstheme="majorBidi"/>
      <w:color w:val="0F476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525</TotalTime>
  <Pages>5</Pages>
  <Words>717</Words>
  <Characters>4090</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Brenda Da Silva Rodrigues Marciano (2509114)</cp:lastModifiedBy>
  <cp:revision>220</cp:revision>
  <dcterms:created xsi:type="dcterms:W3CDTF">2026-03-02T09:23:00Z</dcterms:created>
  <dcterms:modified xsi:type="dcterms:W3CDTF">2026-03-09T12:50:00Z</dcterms:modified>
</cp:coreProperties>
</file>