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CADD0E" w14:textId="329015B5" w:rsidR="00CC5696" w:rsidRDefault="00B93FE8">
      <w:pPr>
        <w:rPr>
          <w:b/>
          <w:bCs/>
          <w:sz w:val="40"/>
          <w:szCs w:val="40"/>
          <w:u w:val="single"/>
        </w:rPr>
      </w:pPr>
      <w:r w:rsidRPr="00B93FE8">
        <w:rPr>
          <w:b/>
          <w:bCs/>
          <w:sz w:val="40"/>
          <w:szCs w:val="40"/>
          <w:u w:val="single"/>
        </w:rPr>
        <w:t>Psychological theories supporting older adults (65+) with challenging behaviours in a dementia care home.</w:t>
      </w:r>
    </w:p>
    <w:p w14:paraId="2357F7E2" w14:textId="5E30B2B8" w:rsidR="00B93FE8" w:rsidRPr="002B2A21" w:rsidRDefault="00B93FE8">
      <w:pPr>
        <w:rPr>
          <w:sz w:val="28"/>
          <w:szCs w:val="28"/>
        </w:rPr>
      </w:pPr>
      <w:r w:rsidRPr="002B2A21">
        <w:rPr>
          <w:sz w:val="28"/>
          <w:szCs w:val="28"/>
        </w:rPr>
        <w:t xml:space="preserve">Adults aged 65 and over who live in dementia care homes frequently experience psychological and behavioural symptoms associated with cognitive decline. These behaviours commonly referred to as ‘challenging </w:t>
      </w:r>
      <w:proofErr w:type="gramStart"/>
      <w:r w:rsidRPr="002B2A21">
        <w:rPr>
          <w:sz w:val="28"/>
          <w:szCs w:val="28"/>
        </w:rPr>
        <w:t>behaviours’</w:t>
      </w:r>
      <w:proofErr w:type="gramEnd"/>
      <w:r w:rsidRPr="002B2A21">
        <w:rPr>
          <w:sz w:val="28"/>
          <w:szCs w:val="28"/>
        </w:rPr>
        <w:t xml:space="preserve"> can include agitation, aggression, shouting, wandering, resistance to care, repetitive questioning and emotional outbursts. Such behaviours do not occur in isolation, and they are typically expressions of unmet needs, confusion, emotional distress or environmental overstimulation. For health and social care professionals, understanding the psychological foundations of these behaviours is essential for delivering safe, compassionate and effective care.</w:t>
      </w:r>
    </w:p>
    <w:p w14:paraId="31B46485" w14:textId="35C9ADF7" w:rsidR="00B93FE8" w:rsidRPr="002B2A21" w:rsidRDefault="00B93FE8">
      <w:pPr>
        <w:rPr>
          <w:sz w:val="28"/>
          <w:szCs w:val="28"/>
        </w:rPr>
      </w:pPr>
      <w:r w:rsidRPr="002B2A21">
        <w:rPr>
          <w:sz w:val="28"/>
          <w:szCs w:val="28"/>
        </w:rPr>
        <w:t>Psychological theories provide important frameworks for interpretating the experience</w:t>
      </w:r>
      <w:r w:rsidR="005E4576" w:rsidRPr="002B2A21">
        <w:rPr>
          <w:sz w:val="28"/>
          <w:szCs w:val="28"/>
        </w:rPr>
        <w:t>s of older adults, especially those with dementia whose ability to communicate verbally may be limited. This report examines hoe Erikson’s psychological theory (stage 8: integrity vs despair) and Roger’s person-centred approach can support professionals working with older adults who display challenging behaviours in dementia care homes.</w:t>
      </w:r>
    </w:p>
    <w:p w14:paraId="0B54A19F" w14:textId="039DBEEC" w:rsidR="005E4576" w:rsidRPr="002B2A21" w:rsidRDefault="005E4576">
      <w:pPr>
        <w:rPr>
          <w:b/>
          <w:bCs/>
          <w:sz w:val="28"/>
          <w:szCs w:val="28"/>
          <w:u w:val="single"/>
        </w:rPr>
      </w:pPr>
      <w:r w:rsidRPr="002B2A21">
        <w:rPr>
          <w:b/>
          <w:bCs/>
          <w:sz w:val="28"/>
          <w:szCs w:val="28"/>
          <w:u w:val="single"/>
        </w:rPr>
        <w:t>Overview of two psychological theories</w:t>
      </w:r>
    </w:p>
    <w:p w14:paraId="2E98689D" w14:textId="7F5AF41B" w:rsidR="005E4576" w:rsidRPr="002B2A21" w:rsidRDefault="005E4576">
      <w:pPr>
        <w:rPr>
          <w:sz w:val="28"/>
          <w:szCs w:val="28"/>
        </w:rPr>
      </w:pPr>
      <w:r w:rsidRPr="002B2A21">
        <w:rPr>
          <w:sz w:val="28"/>
          <w:szCs w:val="28"/>
        </w:rPr>
        <w:t>Erikson’s psychological theory: integrity vs despair</w:t>
      </w:r>
    </w:p>
    <w:p w14:paraId="29A548A1" w14:textId="25094956" w:rsidR="005E4576" w:rsidRPr="002B2A21" w:rsidRDefault="005E4576">
      <w:pPr>
        <w:rPr>
          <w:sz w:val="28"/>
          <w:szCs w:val="28"/>
        </w:rPr>
      </w:pPr>
      <w:r w:rsidRPr="002B2A21">
        <w:rPr>
          <w:sz w:val="28"/>
          <w:szCs w:val="28"/>
        </w:rPr>
        <w:t>Erik Erikson’s lifespan theory proposes eight stages of physical development, with each stage characterised by a core conflict. For older adults, the central conflict is integrity vs despair, occurring typically at age 65 and beyond. In this stage, individuals engage in life review, reflecting on their achievements, regrets, identity and meaning. A sense of integrity emerges when individuals feel their life has been coherent and fulfilling, while despair arises when they perceive their life as incomplete, wasted or filled with unresolved conflicts.</w:t>
      </w:r>
    </w:p>
    <w:p w14:paraId="2987A9BF" w14:textId="0E2F8338" w:rsidR="005E4576" w:rsidRPr="002B2A21" w:rsidRDefault="005E4576">
      <w:pPr>
        <w:rPr>
          <w:sz w:val="28"/>
          <w:szCs w:val="28"/>
        </w:rPr>
      </w:pPr>
      <w:r w:rsidRPr="002B2A21">
        <w:rPr>
          <w:sz w:val="28"/>
          <w:szCs w:val="28"/>
        </w:rPr>
        <w:t xml:space="preserve">In dementia, the cognitive difficulties associated with memory loss, disorientation and impaired reasoning can disrupt this reflective process. </w:t>
      </w:r>
      <w:r w:rsidRPr="002B2A21">
        <w:rPr>
          <w:sz w:val="28"/>
          <w:szCs w:val="28"/>
        </w:rPr>
        <w:lastRenderedPageBreak/>
        <w:t>However, emotional and relational needs including the desire for dignity, security and meaningful connection remain intact. When older adults experience confusion, loss of autonomy, fragmented memories or threats to their identity they may shift toward despair. Challenging behaviours can therefore be understood partly as expressions of frustration</w:t>
      </w:r>
      <w:r w:rsidR="008B7DFD" w:rsidRPr="002B2A21">
        <w:rPr>
          <w:sz w:val="28"/>
          <w:szCs w:val="28"/>
        </w:rPr>
        <w:t>, fear or loss of self.</w:t>
      </w:r>
    </w:p>
    <w:p w14:paraId="0858738D" w14:textId="0DA227A8" w:rsidR="008B7DFD" w:rsidRPr="002B2A21" w:rsidRDefault="008B7DFD">
      <w:pPr>
        <w:rPr>
          <w:sz w:val="28"/>
          <w:szCs w:val="28"/>
        </w:rPr>
      </w:pPr>
      <w:r w:rsidRPr="002B2A21">
        <w:rPr>
          <w:sz w:val="28"/>
          <w:szCs w:val="28"/>
        </w:rPr>
        <w:t>Erikson’s theory emphasises the importance of supporting identity, meaning and emotional stability in older age, concepts highly relevant when caring for individuals with dementia who may struggle to maintain a coherent sense of self.</w:t>
      </w:r>
    </w:p>
    <w:p w14:paraId="07D82F89" w14:textId="3C18467A" w:rsidR="008B7DFD" w:rsidRPr="002B2A21" w:rsidRDefault="008B7DFD">
      <w:pPr>
        <w:rPr>
          <w:sz w:val="28"/>
          <w:szCs w:val="28"/>
        </w:rPr>
      </w:pPr>
      <w:r w:rsidRPr="002B2A21">
        <w:rPr>
          <w:sz w:val="28"/>
          <w:szCs w:val="28"/>
        </w:rPr>
        <w:t>The person-centred approach (Carl Rogers)</w:t>
      </w:r>
    </w:p>
    <w:p w14:paraId="6651276A" w14:textId="2F174F8F" w:rsidR="008B7DFD" w:rsidRPr="002B2A21" w:rsidRDefault="008B7DFD">
      <w:pPr>
        <w:rPr>
          <w:sz w:val="28"/>
          <w:szCs w:val="28"/>
        </w:rPr>
      </w:pPr>
      <w:r w:rsidRPr="002B2A21">
        <w:rPr>
          <w:sz w:val="28"/>
          <w:szCs w:val="28"/>
        </w:rPr>
        <w:t>Carl Roger’s person-centred approach argues that individuals thrive when they experience empathy, unconditional positive regard and genuineness from those around them. Rogers believed all people possess an innate drive toward growth and wellbeing, but that psychological distress arises when individuals feel misunderstood, undervalued or threatened.</w:t>
      </w:r>
    </w:p>
    <w:p w14:paraId="2D13A5B2" w14:textId="42917EDD" w:rsidR="008B7DFD" w:rsidRPr="002B2A21" w:rsidRDefault="008B7DFD">
      <w:pPr>
        <w:rPr>
          <w:sz w:val="28"/>
          <w:szCs w:val="28"/>
        </w:rPr>
      </w:pPr>
      <w:r w:rsidRPr="002B2A21">
        <w:rPr>
          <w:sz w:val="28"/>
          <w:szCs w:val="28"/>
        </w:rPr>
        <w:t>In dementia care, person-centred approaches underpin modern best practice. This includes recognising the person beyond illness, valuing their preferences, representing autonomy and viewing behaviour as a meaningful form of communication rather th</w:t>
      </w:r>
      <w:r w:rsidR="007D0A0E" w:rsidRPr="002B2A21">
        <w:rPr>
          <w:sz w:val="28"/>
          <w:szCs w:val="28"/>
        </w:rPr>
        <w:t xml:space="preserve">an simply a symptom. Tom Kitwood later applied Rogers’ principles to dementia, arguing that challenging behaviours often arise when a person’s ‘personhood’ is undermined through rushed care, lack of choice, overstimulation or dismissive communication. </w:t>
      </w:r>
      <w:r w:rsidRPr="002B2A21">
        <w:rPr>
          <w:sz w:val="28"/>
          <w:szCs w:val="28"/>
        </w:rPr>
        <w:t xml:space="preserve"> </w:t>
      </w:r>
    </w:p>
    <w:p w14:paraId="7D35AA89" w14:textId="3AFFDAF7" w:rsidR="007D0A0E" w:rsidRPr="002B2A21" w:rsidRDefault="007D0A0E">
      <w:pPr>
        <w:rPr>
          <w:sz w:val="28"/>
          <w:szCs w:val="28"/>
        </w:rPr>
      </w:pPr>
      <w:r w:rsidRPr="002B2A21">
        <w:rPr>
          <w:sz w:val="28"/>
          <w:szCs w:val="28"/>
        </w:rPr>
        <w:t xml:space="preserve">Roger’s theory therefore provides a framework for understanding challenging behaviours as responses to unmet emotional needs such as the need for reassurance, comfort, control or stability. </w:t>
      </w:r>
    </w:p>
    <w:p w14:paraId="09A81F41" w14:textId="282370F8" w:rsidR="00152342" w:rsidRPr="002B2A21" w:rsidRDefault="00152342" w:rsidP="00152342">
      <w:pPr>
        <w:rPr>
          <w:sz w:val="28"/>
          <w:szCs w:val="28"/>
        </w:rPr>
      </w:pPr>
      <w:r w:rsidRPr="002B2A21">
        <w:rPr>
          <w:sz w:val="28"/>
          <w:szCs w:val="28"/>
        </w:rPr>
        <w:t>Applying Erikson’s Theory to Challenging Behaviours</w:t>
      </w:r>
      <w:r w:rsidRPr="002B2A21">
        <w:rPr>
          <w:sz w:val="28"/>
          <w:szCs w:val="28"/>
        </w:rPr>
        <w:t xml:space="preserve">                                                                                                         </w:t>
      </w:r>
      <w:r w:rsidRPr="002B2A21">
        <w:rPr>
          <w:sz w:val="28"/>
          <w:szCs w:val="28"/>
        </w:rPr>
        <w:t>Erikson’s theory supports professionals in recognising that challenging behaviours may stem from emotional distress linked to identity, autonomy, or unfulfilled psychological needs. The transition into a care home, combined with cognitive decline, can exacerbate feelings associated with despair.</w:t>
      </w:r>
    </w:p>
    <w:p w14:paraId="1E33AD42" w14:textId="77777777" w:rsidR="00152342" w:rsidRPr="002B2A21" w:rsidRDefault="00152342" w:rsidP="00152342">
      <w:pPr>
        <w:rPr>
          <w:sz w:val="28"/>
          <w:szCs w:val="28"/>
        </w:rPr>
      </w:pPr>
      <w:r w:rsidRPr="002B2A21">
        <w:rPr>
          <w:sz w:val="28"/>
          <w:szCs w:val="28"/>
        </w:rPr>
        <w:t>Practical Applications of Erikson’s Theory:</w:t>
      </w:r>
    </w:p>
    <w:p w14:paraId="415B9206" w14:textId="77777777" w:rsidR="00152342" w:rsidRPr="002B2A21" w:rsidRDefault="00152342" w:rsidP="00152342">
      <w:pPr>
        <w:rPr>
          <w:sz w:val="28"/>
          <w:szCs w:val="28"/>
        </w:rPr>
      </w:pPr>
      <w:r w:rsidRPr="002B2A21">
        <w:rPr>
          <w:sz w:val="28"/>
          <w:szCs w:val="28"/>
        </w:rPr>
        <w:t xml:space="preserve">1. Life Story Work  </w:t>
      </w:r>
    </w:p>
    <w:p w14:paraId="70FDBBDB" w14:textId="77777777" w:rsidR="00152342" w:rsidRPr="002B2A21" w:rsidRDefault="00152342" w:rsidP="00152342">
      <w:pPr>
        <w:rPr>
          <w:sz w:val="28"/>
          <w:szCs w:val="28"/>
        </w:rPr>
      </w:pPr>
      <w:r w:rsidRPr="002B2A21">
        <w:rPr>
          <w:sz w:val="28"/>
          <w:szCs w:val="28"/>
        </w:rPr>
        <w:t>Using photos, memory books, music, and personal objects helps residents reconnect with their identity. For example, a resident who becomes aggressive during bathing may be calmed by discussing favourite memories, reducing their anxiety and sense of loss.</w:t>
      </w:r>
    </w:p>
    <w:p w14:paraId="53FCAE8A" w14:textId="77777777" w:rsidR="00152342" w:rsidRPr="002B2A21" w:rsidRDefault="00152342" w:rsidP="00152342">
      <w:pPr>
        <w:rPr>
          <w:sz w:val="28"/>
          <w:szCs w:val="28"/>
        </w:rPr>
      </w:pPr>
      <w:r w:rsidRPr="002B2A21">
        <w:rPr>
          <w:sz w:val="28"/>
          <w:szCs w:val="28"/>
        </w:rPr>
        <w:t xml:space="preserve">2. Reminiscence Therapy  </w:t>
      </w:r>
    </w:p>
    <w:p w14:paraId="1FC0BF3F" w14:textId="77777777" w:rsidR="00152342" w:rsidRPr="002B2A21" w:rsidRDefault="00152342" w:rsidP="00152342">
      <w:pPr>
        <w:rPr>
          <w:sz w:val="28"/>
          <w:szCs w:val="28"/>
        </w:rPr>
      </w:pPr>
      <w:r w:rsidRPr="002B2A21">
        <w:rPr>
          <w:sz w:val="28"/>
          <w:szCs w:val="28"/>
        </w:rPr>
        <w:t>Group or individual reminiscence activities allow residents to access long-term memories, which often remain intact despite dementia. This provides comfort, boosts self-esteem, and reduces frustration-driven behaviour.</w:t>
      </w:r>
    </w:p>
    <w:p w14:paraId="7CDE9284" w14:textId="77777777" w:rsidR="00152342" w:rsidRPr="002B2A21" w:rsidRDefault="00152342" w:rsidP="00152342">
      <w:pPr>
        <w:rPr>
          <w:sz w:val="28"/>
          <w:szCs w:val="28"/>
        </w:rPr>
      </w:pPr>
      <w:r w:rsidRPr="002B2A21">
        <w:rPr>
          <w:sz w:val="28"/>
          <w:szCs w:val="28"/>
        </w:rPr>
        <w:t xml:space="preserve">3. Supporting Autonomy  </w:t>
      </w:r>
    </w:p>
    <w:p w14:paraId="01A7CCEA" w14:textId="77777777" w:rsidR="00152342" w:rsidRPr="002B2A21" w:rsidRDefault="00152342" w:rsidP="00152342">
      <w:pPr>
        <w:rPr>
          <w:sz w:val="28"/>
          <w:szCs w:val="28"/>
        </w:rPr>
      </w:pPr>
      <w:r w:rsidRPr="002B2A21">
        <w:rPr>
          <w:sz w:val="28"/>
          <w:szCs w:val="28"/>
        </w:rPr>
        <w:t>Offering residents choices—such as selecting clothing or choosing meal options—helps counter feelings of helplessness and may reduce oppositional behaviours.</w:t>
      </w:r>
    </w:p>
    <w:p w14:paraId="755A01CD" w14:textId="77777777" w:rsidR="00152342" w:rsidRPr="002B2A21" w:rsidRDefault="00152342" w:rsidP="00152342">
      <w:pPr>
        <w:rPr>
          <w:sz w:val="28"/>
          <w:szCs w:val="28"/>
        </w:rPr>
      </w:pPr>
      <w:r w:rsidRPr="002B2A21">
        <w:rPr>
          <w:sz w:val="28"/>
          <w:szCs w:val="28"/>
        </w:rPr>
        <w:t xml:space="preserve">4. Meaningful Occupation  </w:t>
      </w:r>
    </w:p>
    <w:p w14:paraId="19041D95" w14:textId="77777777" w:rsidR="00152342" w:rsidRPr="002B2A21" w:rsidRDefault="00152342" w:rsidP="00152342">
      <w:pPr>
        <w:rPr>
          <w:sz w:val="28"/>
          <w:szCs w:val="28"/>
        </w:rPr>
      </w:pPr>
      <w:r w:rsidRPr="002B2A21">
        <w:rPr>
          <w:sz w:val="28"/>
          <w:szCs w:val="28"/>
        </w:rPr>
        <w:t>Providing involvement in simple daily tasks, like folding laundry or gardening, reinforces a sense of purpose and reduces restlessness or wandering.</w:t>
      </w:r>
    </w:p>
    <w:p w14:paraId="7D263DF9" w14:textId="77777777" w:rsidR="00152342" w:rsidRPr="002B2A21" w:rsidRDefault="00152342" w:rsidP="00152342">
      <w:pPr>
        <w:rPr>
          <w:sz w:val="28"/>
          <w:szCs w:val="28"/>
        </w:rPr>
      </w:pPr>
      <w:r w:rsidRPr="002B2A21">
        <w:rPr>
          <w:sz w:val="28"/>
          <w:szCs w:val="28"/>
        </w:rPr>
        <w:t xml:space="preserve">How This Reduces Challenging Behaviour:  </w:t>
      </w:r>
    </w:p>
    <w:p w14:paraId="3F247C35" w14:textId="77777777" w:rsidR="00152342" w:rsidRPr="002B2A21" w:rsidRDefault="00152342" w:rsidP="00152342">
      <w:pPr>
        <w:rPr>
          <w:sz w:val="28"/>
          <w:szCs w:val="28"/>
        </w:rPr>
      </w:pPr>
      <w:r w:rsidRPr="002B2A21">
        <w:rPr>
          <w:sz w:val="28"/>
          <w:szCs w:val="28"/>
        </w:rPr>
        <w:t>Supporting identity and meaning helps older adults feel secure and understood, diminishing behaviours rooted in fear, confusion, or emotional pain.</w:t>
      </w:r>
    </w:p>
    <w:p w14:paraId="0EBDC7B9" w14:textId="77777777" w:rsidR="00152342" w:rsidRPr="002B2A21" w:rsidRDefault="00152342" w:rsidP="00152342">
      <w:pPr>
        <w:rPr>
          <w:sz w:val="28"/>
          <w:szCs w:val="28"/>
        </w:rPr>
      </w:pPr>
      <w:r w:rsidRPr="002B2A21">
        <w:rPr>
          <w:sz w:val="28"/>
          <w:szCs w:val="28"/>
        </w:rPr>
        <w:t xml:space="preserve">Challenges in Applying Erikson’s Theory:  </w:t>
      </w:r>
    </w:p>
    <w:p w14:paraId="21A3B4B0" w14:textId="77777777" w:rsidR="00152342" w:rsidRPr="002B2A21" w:rsidRDefault="00152342" w:rsidP="00152342">
      <w:pPr>
        <w:rPr>
          <w:sz w:val="28"/>
          <w:szCs w:val="28"/>
        </w:rPr>
      </w:pPr>
      <w:r w:rsidRPr="002B2A21">
        <w:rPr>
          <w:sz w:val="28"/>
          <w:szCs w:val="28"/>
        </w:rPr>
        <w:t xml:space="preserve">- Memory loss may limit engagement in life review.  </w:t>
      </w:r>
    </w:p>
    <w:p w14:paraId="20578B6C" w14:textId="77777777" w:rsidR="00152342" w:rsidRPr="002B2A21" w:rsidRDefault="00152342" w:rsidP="00152342">
      <w:pPr>
        <w:rPr>
          <w:sz w:val="28"/>
          <w:szCs w:val="28"/>
        </w:rPr>
      </w:pPr>
      <w:r w:rsidRPr="002B2A21">
        <w:rPr>
          <w:sz w:val="28"/>
          <w:szCs w:val="28"/>
        </w:rPr>
        <w:t xml:space="preserve">- Traumatic or upsetting memories may be triggered unintentionally.  </w:t>
      </w:r>
    </w:p>
    <w:p w14:paraId="598C6CA6" w14:textId="77777777" w:rsidR="00152342" w:rsidRPr="002B2A21" w:rsidRDefault="00152342" w:rsidP="00152342">
      <w:pPr>
        <w:rPr>
          <w:sz w:val="28"/>
          <w:szCs w:val="28"/>
        </w:rPr>
      </w:pPr>
      <w:r w:rsidRPr="002B2A21">
        <w:rPr>
          <w:sz w:val="28"/>
          <w:szCs w:val="28"/>
        </w:rPr>
        <w:t xml:space="preserve">- Staff may lack time for meaningful interactions.  </w:t>
      </w:r>
    </w:p>
    <w:p w14:paraId="7B3101E7" w14:textId="77777777" w:rsidR="00152342" w:rsidRPr="002B2A21" w:rsidRDefault="00152342" w:rsidP="00152342">
      <w:pPr>
        <w:rPr>
          <w:sz w:val="28"/>
          <w:szCs w:val="28"/>
        </w:rPr>
      </w:pPr>
      <w:r w:rsidRPr="002B2A21">
        <w:rPr>
          <w:sz w:val="28"/>
          <w:szCs w:val="28"/>
        </w:rPr>
        <w:t>- Limited training in interpreting psychological distress.</w:t>
      </w:r>
    </w:p>
    <w:p w14:paraId="34C911D6" w14:textId="77777777" w:rsidR="00152342" w:rsidRPr="002B2A21" w:rsidRDefault="00152342" w:rsidP="00152342">
      <w:pPr>
        <w:rPr>
          <w:sz w:val="28"/>
          <w:szCs w:val="28"/>
        </w:rPr>
      </w:pPr>
      <w:r w:rsidRPr="002B2A21">
        <w:rPr>
          <w:sz w:val="28"/>
          <w:szCs w:val="28"/>
        </w:rPr>
        <w:t xml:space="preserve">Strategies to Overcome These Challenges:  </w:t>
      </w:r>
    </w:p>
    <w:p w14:paraId="20BE0208" w14:textId="77777777" w:rsidR="00152342" w:rsidRPr="002B2A21" w:rsidRDefault="00152342" w:rsidP="00152342">
      <w:pPr>
        <w:rPr>
          <w:sz w:val="28"/>
          <w:szCs w:val="28"/>
        </w:rPr>
      </w:pPr>
      <w:r w:rsidRPr="002B2A21">
        <w:rPr>
          <w:sz w:val="28"/>
          <w:szCs w:val="28"/>
        </w:rPr>
        <w:t xml:space="preserve">- Use short, frequent reminiscence interactions.  </w:t>
      </w:r>
    </w:p>
    <w:p w14:paraId="3460A4BB" w14:textId="77777777" w:rsidR="00152342" w:rsidRPr="002B2A21" w:rsidRDefault="00152342" w:rsidP="00152342">
      <w:pPr>
        <w:rPr>
          <w:sz w:val="28"/>
          <w:szCs w:val="28"/>
        </w:rPr>
      </w:pPr>
      <w:r w:rsidRPr="002B2A21">
        <w:rPr>
          <w:sz w:val="28"/>
          <w:szCs w:val="28"/>
        </w:rPr>
        <w:t xml:space="preserve">- Practice trauma-informed care by avoiding distressing topics.  </w:t>
      </w:r>
    </w:p>
    <w:p w14:paraId="7A9C59C5" w14:textId="77777777" w:rsidR="00152342" w:rsidRPr="002B2A21" w:rsidRDefault="00152342" w:rsidP="00152342">
      <w:pPr>
        <w:rPr>
          <w:sz w:val="28"/>
          <w:szCs w:val="28"/>
        </w:rPr>
      </w:pPr>
      <w:r w:rsidRPr="002B2A21">
        <w:rPr>
          <w:sz w:val="28"/>
          <w:szCs w:val="28"/>
        </w:rPr>
        <w:t xml:space="preserve">- Provide staff training in communication and emotional support.  </w:t>
      </w:r>
    </w:p>
    <w:p w14:paraId="5B2CD17A" w14:textId="77777777" w:rsidR="00152342" w:rsidRPr="002B2A21" w:rsidRDefault="00152342" w:rsidP="00152342">
      <w:pPr>
        <w:rPr>
          <w:sz w:val="28"/>
          <w:szCs w:val="28"/>
        </w:rPr>
      </w:pPr>
      <w:r w:rsidRPr="002B2A21">
        <w:rPr>
          <w:sz w:val="28"/>
          <w:szCs w:val="28"/>
        </w:rPr>
        <w:t>- Use memory boxes, labelled photographs, and personalised room décor to passively support identity.</w:t>
      </w:r>
    </w:p>
    <w:p w14:paraId="317257FB" w14:textId="6F39B06B" w:rsidR="00152342" w:rsidRPr="002B2A21" w:rsidRDefault="00152342" w:rsidP="00152342">
      <w:pPr>
        <w:rPr>
          <w:sz w:val="28"/>
          <w:szCs w:val="28"/>
        </w:rPr>
      </w:pPr>
      <w:r w:rsidRPr="002B2A21">
        <w:rPr>
          <w:sz w:val="28"/>
          <w:szCs w:val="28"/>
        </w:rPr>
        <w:t>3.2 Applying the Person-Centred Approach to Challenging Behaviours</w:t>
      </w:r>
    </w:p>
    <w:p w14:paraId="1C7C2AFB" w14:textId="77777777" w:rsidR="00152342" w:rsidRPr="002B2A21" w:rsidRDefault="00152342" w:rsidP="00152342">
      <w:pPr>
        <w:rPr>
          <w:sz w:val="28"/>
          <w:szCs w:val="28"/>
        </w:rPr>
      </w:pPr>
      <w:r w:rsidRPr="002B2A21">
        <w:rPr>
          <w:sz w:val="28"/>
          <w:szCs w:val="28"/>
        </w:rPr>
        <w:t>Person-centred care encourages staff to interpret challenging behaviour as communication rather than intentional misbehaviour. This perspective fosters empathy, patience, and curiosity—qualities that help de-escalate distress.</w:t>
      </w:r>
    </w:p>
    <w:p w14:paraId="53A6A53D" w14:textId="77777777" w:rsidR="00152342" w:rsidRPr="002B2A21" w:rsidRDefault="00152342" w:rsidP="00152342">
      <w:pPr>
        <w:rPr>
          <w:sz w:val="28"/>
          <w:szCs w:val="28"/>
        </w:rPr>
      </w:pPr>
      <w:r w:rsidRPr="002B2A21">
        <w:rPr>
          <w:sz w:val="28"/>
          <w:szCs w:val="28"/>
        </w:rPr>
        <w:t>Practical Applications of the Person-Centred Approach:</w:t>
      </w:r>
    </w:p>
    <w:p w14:paraId="0563F051" w14:textId="77777777" w:rsidR="00152342" w:rsidRPr="002B2A21" w:rsidRDefault="00152342" w:rsidP="00152342">
      <w:pPr>
        <w:rPr>
          <w:sz w:val="28"/>
          <w:szCs w:val="28"/>
        </w:rPr>
      </w:pPr>
      <w:r w:rsidRPr="002B2A21">
        <w:rPr>
          <w:sz w:val="28"/>
          <w:szCs w:val="28"/>
        </w:rPr>
        <w:t xml:space="preserve">1. Understanding Behaviour as Communication  </w:t>
      </w:r>
    </w:p>
    <w:p w14:paraId="6606F9B6" w14:textId="77777777" w:rsidR="00152342" w:rsidRPr="002B2A21" w:rsidRDefault="00152342" w:rsidP="00152342">
      <w:pPr>
        <w:rPr>
          <w:sz w:val="28"/>
          <w:szCs w:val="28"/>
        </w:rPr>
      </w:pPr>
      <w:r w:rsidRPr="002B2A21">
        <w:rPr>
          <w:sz w:val="28"/>
          <w:szCs w:val="28"/>
        </w:rPr>
        <w:t xml:space="preserve">Examples include:  </w:t>
      </w:r>
    </w:p>
    <w:p w14:paraId="34A6B45A" w14:textId="77777777" w:rsidR="00152342" w:rsidRPr="002B2A21" w:rsidRDefault="00152342" w:rsidP="00152342">
      <w:pPr>
        <w:rPr>
          <w:sz w:val="28"/>
          <w:szCs w:val="28"/>
        </w:rPr>
      </w:pPr>
      <w:r w:rsidRPr="002B2A21">
        <w:rPr>
          <w:sz w:val="28"/>
          <w:szCs w:val="28"/>
        </w:rPr>
        <w:t xml:space="preserve">- Shouting may indicate fear or sensory overload.  </w:t>
      </w:r>
    </w:p>
    <w:p w14:paraId="7A61B67C" w14:textId="77777777" w:rsidR="00152342" w:rsidRPr="002B2A21" w:rsidRDefault="00152342" w:rsidP="00152342">
      <w:pPr>
        <w:rPr>
          <w:sz w:val="28"/>
          <w:szCs w:val="28"/>
        </w:rPr>
      </w:pPr>
      <w:r w:rsidRPr="002B2A21">
        <w:rPr>
          <w:sz w:val="28"/>
          <w:szCs w:val="28"/>
        </w:rPr>
        <w:t xml:space="preserve">- Wandering may signal boredom or a need for movement.  </w:t>
      </w:r>
    </w:p>
    <w:p w14:paraId="11A2B26E" w14:textId="77777777" w:rsidR="00152342" w:rsidRPr="002B2A21" w:rsidRDefault="00152342" w:rsidP="00152342">
      <w:pPr>
        <w:rPr>
          <w:sz w:val="28"/>
          <w:szCs w:val="28"/>
        </w:rPr>
      </w:pPr>
      <w:r w:rsidRPr="002B2A21">
        <w:rPr>
          <w:sz w:val="28"/>
          <w:szCs w:val="28"/>
        </w:rPr>
        <w:t>- Aggression during personal care may reflect embarrassment or confusion.</w:t>
      </w:r>
    </w:p>
    <w:p w14:paraId="0CA2FD54" w14:textId="77777777" w:rsidR="00152342" w:rsidRPr="002B2A21" w:rsidRDefault="00152342" w:rsidP="00152342">
      <w:pPr>
        <w:rPr>
          <w:sz w:val="28"/>
          <w:szCs w:val="28"/>
        </w:rPr>
      </w:pPr>
      <w:r w:rsidRPr="002B2A21">
        <w:rPr>
          <w:sz w:val="28"/>
          <w:szCs w:val="28"/>
        </w:rPr>
        <w:t xml:space="preserve">2. Empathic Communication  </w:t>
      </w:r>
    </w:p>
    <w:p w14:paraId="63DD499E" w14:textId="77777777" w:rsidR="00152342" w:rsidRPr="002B2A21" w:rsidRDefault="00152342" w:rsidP="00152342">
      <w:pPr>
        <w:rPr>
          <w:sz w:val="28"/>
          <w:szCs w:val="28"/>
        </w:rPr>
      </w:pPr>
      <w:r w:rsidRPr="002B2A21">
        <w:rPr>
          <w:sz w:val="28"/>
          <w:szCs w:val="28"/>
        </w:rPr>
        <w:t xml:space="preserve">Using validation techniques, such as acknowledging feelings before offering reassurance, helps reduce anxiety and behavioural escalation. For instance:  </w:t>
      </w:r>
    </w:p>
    <w:p w14:paraId="3B5E24E4" w14:textId="77777777" w:rsidR="00152342" w:rsidRPr="002B2A21" w:rsidRDefault="00152342" w:rsidP="00152342">
      <w:pPr>
        <w:rPr>
          <w:sz w:val="28"/>
          <w:szCs w:val="28"/>
        </w:rPr>
      </w:pPr>
      <w:r w:rsidRPr="002B2A21">
        <w:rPr>
          <w:sz w:val="28"/>
          <w:szCs w:val="28"/>
        </w:rPr>
        <w:t xml:space="preserve">Instead of: “Stop shouting.”  </w:t>
      </w:r>
    </w:p>
    <w:p w14:paraId="6CB647CB" w14:textId="1BA7110B" w:rsidR="00152342" w:rsidRPr="002B2A21" w:rsidRDefault="00152342" w:rsidP="00152342">
      <w:pPr>
        <w:rPr>
          <w:sz w:val="28"/>
          <w:szCs w:val="28"/>
        </w:rPr>
      </w:pPr>
      <w:r w:rsidRPr="002B2A21">
        <w:rPr>
          <w:sz w:val="28"/>
          <w:szCs w:val="28"/>
        </w:rPr>
        <w:t>Say: “You sound upset—I’m here with you. How can I help?”</w:t>
      </w:r>
    </w:p>
    <w:p w14:paraId="27ED3381" w14:textId="77777777" w:rsidR="00152342" w:rsidRPr="002B2A21" w:rsidRDefault="00152342" w:rsidP="00152342">
      <w:pPr>
        <w:rPr>
          <w:sz w:val="28"/>
          <w:szCs w:val="28"/>
        </w:rPr>
      </w:pPr>
      <w:r w:rsidRPr="002B2A21">
        <w:rPr>
          <w:sz w:val="28"/>
          <w:szCs w:val="28"/>
        </w:rPr>
        <w:t xml:space="preserve">3. Personalised Care Plans  </w:t>
      </w:r>
    </w:p>
    <w:p w14:paraId="51DD9FF9" w14:textId="77777777" w:rsidR="00152342" w:rsidRPr="002B2A21" w:rsidRDefault="00152342" w:rsidP="00152342">
      <w:pPr>
        <w:rPr>
          <w:sz w:val="28"/>
          <w:szCs w:val="28"/>
        </w:rPr>
      </w:pPr>
      <w:r w:rsidRPr="002B2A21">
        <w:rPr>
          <w:sz w:val="28"/>
          <w:szCs w:val="28"/>
        </w:rPr>
        <w:t>Documenting preferences such as favourite routines, music, foods, or morning habits helps prevent distress caused by unfamiliar routines or changes.</w:t>
      </w:r>
    </w:p>
    <w:p w14:paraId="759626E8" w14:textId="77777777" w:rsidR="00152342" w:rsidRPr="002B2A21" w:rsidRDefault="00152342" w:rsidP="00152342">
      <w:pPr>
        <w:rPr>
          <w:sz w:val="28"/>
          <w:szCs w:val="28"/>
        </w:rPr>
      </w:pPr>
      <w:r w:rsidRPr="002B2A21">
        <w:rPr>
          <w:sz w:val="28"/>
          <w:szCs w:val="28"/>
        </w:rPr>
        <w:t xml:space="preserve">4. Environmental Adjustments  </w:t>
      </w:r>
    </w:p>
    <w:p w14:paraId="1C5F8D51" w14:textId="77777777" w:rsidR="00152342" w:rsidRPr="002B2A21" w:rsidRDefault="00152342" w:rsidP="00152342">
      <w:pPr>
        <w:rPr>
          <w:sz w:val="28"/>
          <w:szCs w:val="28"/>
        </w:rPr>
      </w:pPr>
      <w:r w:rsidRPr="002B2A21">
        <w:rPr>
          <w:sz w:val="28"/>
          <w:szCs w:val="28"/>
        </w:rPr>
        <w:t>Creating a calm environment with soft lighting and minimal noise reduces agitation. Personalised living spaces also enhance emotional security.</w:t>
      </w:r>
    </w:p>
    <w:p w14:paraId="29935185" w14:textId="77777777" w:rsidR="00152342" w:rsidRPr="002B2A21" w:rsidRDefault="00152342" w:rsidP="00152342">
      <w:pPr>
        <w:rPr>
          <w:sz w:val="28"/>
          <w:szCs w:val="28"/>
        </w:rPr>
      </w:pPr>
      <w:r w:rsidRPr="002B2A21">
        <w:rPr>
          <w:sz w:val="28"/>
          <w:szCs w:val="28"/>
        </w:rPr>
        <w:t xml:space="preserve">5. Consistent Staff Interaction  </w:t>
      </w:r>
    </w:p>
    <w:p w14:paraId="13AB2DD1" w14:textId="77777777" w:rsidR="00152342" w:rsidRPr="002B2A21" w:rsidRDefault="00152342" w:rsidP="00152342">
      <w:pPr>
        <w:rPr>
          <w:sz w:val="28"/>
          <w:szCs w:val="28"/>
        </w:rPr>
      </w:pPr>
      <w:r w:rsidRPr="002B2A21">
        <w:rPr>
          <w:sz w:val="28"/>
          <w:szCs w:val="28"/>
        </w:rPr>
        <w:t>Continuity of care allows staff to recognise early signs of distress and respond appropriately.</w:t>
      </w:r>
    </w:p>
    <w:p w14:paraId="676347FE" w14:textId="77777777" w:rsidR="00152342" w:rsidRPr="002B2A21" w:rsidRDefault="00152342" w:rsidP="00152342">
      <w:pPr>
        <w:rPr>
          <w:sz w:val="28"/>
          <w:szCs w:val="28"/>
        </w:rPr>
      </w:pPr>
      <w:r w:rsidRPr="002B2A21">
        <w:rPr>
          <w:sz w:val="28"/>
          <w:szCs w:val="28"/>
        </w:rPr>
        <w:t xml:space="preserve">Challenges in Applying the Person-Centred Approach:  </w:t>
      </w:r>
    </w:p>
    <w:p w14:paraId="66CDD182" w14:textId="77777777" w:rsidR="00152342" w:rsidRPr="002B2A21" w:rsidRDefault="00152342" w:rsidP="00152342">
      <w:pPr>
        <w:rPr>
          <w:sz w:val="28"/>
          <w:szCs w:val="28"/>
        </w:rPr>
      </w:pPr>
      <w:r w:rsidRPr="002B2A21">
        <w:rPr>
          <w:sz w:val="28"/>
          <w:szCs w:val="28"/>
        </w:rPr>
        <w:t xml:space="preserve">- Limited staffing can prevent meaningful engagement.  </w:t>
      </w:r>
    </w:p>
    <w:p w14:paraId="00EB5A32" w14:textId="77777777" w:rsidR="00152342" w:rsidRPr="002B2A21" w:rsidRDefault="00152342" w:rsidP="00152342">
      <w:pPr>
        <w:rPr>
          <w:sz w:val="28"/>
          <w:szCs w:val="28"/>
        </w:rPr>
      </w:pPr>
      <w:r w:rsidRPr="002B2A21">
        <w:rPr>
          <w:sz w:val="28"/>
          <w:szCs w:val="28"/>
        </w:rPr>
        <w:t xml:space="preserve">- High staff turnover disrupts continuity.  </w:t>
      </w:r>
    </w:p>
    <w:p w14:paraId="5FEFEE34" w14:textId="77777777" w:rsidR="00152342" w:rsidRPr="002B2A21" w:rsidRDefault="00152342" w:rsidP="00152342">
      <w:pPr>
        <w:rPr>
          <w:sz w:val="28"/>
          <w:szCs w:val="28"/>
        </w:rPr>
      </w:pPr>
      <w:r w:rsidRPr="002B2A21">
        <w:rPr>
          <w:sz w:val="28"/>
          <w:szCs w:val="28"/>
        </w:rPr>
        <w:t xml:space="preserve">- Organisational cultures may prioritise task completion over emotional support.  </w:t>
      </w:r>
    </w:p>
    <w:p w14:paraId="12922A05" w14:textId="77777777" w:rsidR="00152342" w:rsidRPr="002B2A21" w:rsidRDefault="00152342" w:rsidP="00152342">
      <w:pPr>
        <w:rPr>
          <w:sz w:val="28"/>
          <w:szCs w:val="28"/>
        </w:rPr>
      </w:pPr>
      <w:r w:rsidRPr="002B2A21">
        <w:rPr>
          <w:sz w:val="28"/>
          <w:szCs w:val="28"/>
        </w:rPr>
        <w:t>- Insufficient training may lead to misinterpretation of behaviours.</w:t>
      </w:r>
    </w:p>
    <w:p w14:paraId="0C62BAB1" w14:textId="77777777" w:rsidR="00152342" w:rsidRPr="002B2A21" w:rsidRDefault="00152342" w:rsidP="00152342">
      <w:pPr>
        <w:rPr>
          <w:sz w:val="28"/>
          <w:szCs w:val="28"/>
        </w:rPr>
      </w:pPr>
    </w:p>
    <w:p w14:paraId="42A0C69B" w14:textId="77777777" w:rsidR="00152342" w:rsidRPr="002B2A21" w:rsidRDefault="00152342" w:rsidP="00152342">
      <w:pPr>
        <w:rPr>
          <w:sz w:val="28"/>
          <w:szCs w:val="28"/>
        </w:rPr>
      </w:pPr>
      <w:r w:rsidRPr="002B2A21">
        <w:rPr>
          <w:sz w:val="28"/>
          <w:szCs w:val="28"/>
        </w:rPr>
        <w:t xml:space="preserve">Strategies to Overcome These Challenges:  </w:t>
      </w:r>
    </w:p>
    <w:p w14:paraId="2CF00BE4" w14:textId="77777777" w:rsidR="00152342" w:rsidRPr="002B2A21" w:rsidRDefault="00152342" w:rsidP="00152342">
      <w:pPr>
        <w:rPr>
          <w:sz w:val="28"/>
          <w:szCs w:val="28"/>
        </w:rPr>
      </w:pPr>
      <w:r w:rsidRPr="002B2A21">
        <w:rPr>
          <w:sz w:val="28"/>
          <w:szCs w:val="28"/>
        </w:rPr>
        <w:t xml:space="preserve">- Provide person-centred communication training.  </w:t>
      </w:r>
    </w:p>
    <w:p w14:paraId="1004ECAB" w14:textId="77777777" w:rsidR="00152342" w:rsidRPr="002B2A21" w:rsidRDefault="00152342" w:rsidP="00152342">
      <w:pPr>
        <w:rPr>
          <w:sz w:val="28"/>
          <w:szCs w:val="28"/>
        </w:rPr>
      </w:pPr>
      <w:r w:rsidRPr="002B2A21">
        <w:rPr>
          <w:sz w:val="28"/>
          <w:szCs w:val="28"/>
        </w:rPr>
        <w:t xml:space="preserve">- Use Dementia Care Mapping to monitor and improve care quality.  </w:t>
      </w:r>
    </w:p>
    <w:p w14:paraId="27F8107F" w14:textId="77777777" w:rsidR="00152342" w:rsidRPr="002B2A21" w:rsidRDefault="00152342" w:rsidP="00152342">
      <w:pPr>
        <w:rPr>
          <w:sz w:val="28"/>
          <w:szCs w:val="28"/>
        </w:rPr>
      </w:pPr>
      <w:r w:rsidRPr="002B2A21">
        <w:rPr>
          <w:sz w:val="28"/>
          <w:szCs w:val="28"/>
        </w:rPr>
        <w:t xml:space="preserve">- Support a culture of relationship-centred practice.  </w:t>
      </w:r>
    </w:p>
    <w:p w14:paraId="729DB0B3" w14:textId="77777777" w:rsidR="00152342" w:rsidRDefault="00152342" w:rsidP="00152342">
      <w:pPr>
        <w:rPr>
          <w:sz w:val="28"/>
          <w:szCs w:val="28"/>
        </w:rPr>
      </w:pPr>
      <w:r w:rsidRPr="002B2A21">
        <w:rPr>
          <w:sz w:val="28"/>
          <w:szCs w:val="28"/>
        </w:rPr>
        <w:t>- Encourage reflective practice and multidisciplinary collaboration.</w:t>
      </w:r>
    </w:p>
    <w:p w14:paraId="786B2E6F" w14:textId="77777777" w:rsidR="002B2A21" w:rsidRPr="002B2A21" w:rsidRDefault="002B2A21" w:rsidP="002B2A21">
      <w:pPr>
        <w:rPr>
          <w:sz w:val="28"/>
          <w:szCs w:val="28"/>
        </w:rPr>
      </w:pPr>
      <w:r w:rsidRPr="002B2A21">
        <w:rPr>
          <w:sz w:val="28"/>
          <w:szCs w:val="28"/>
        </w:rPr>
        <w:t>4. Discussion</w:t>
      </w:r>
    </w:p>
    <w:p w14:paraId="56C0EACF" w14:textId="77777777" w:rsidR="002B2A21" w:rsidRPr="002B2A21" w:rsidRDefault="002B2A21" w:rsidP="002B2A21">
      <w:pPr>
        <w:rPr>
          <w:sz w:val="28"/>
          <w:szCs w:val="28"/>
        </w:rPr>
      </w:pPr>
      <w:r w:rsidRPr="002B2A21">
        <w:rPr>
          <w:sz w:val="28"/>
          <w:szCs w:val="28"/>
        </w:rPr>
        <w:t>Together, Erikson’s theory and the Person-Centred Approach provide a strong framework for understanding and supporting residents who display challenging behaviours. Erikson highlights the emotional and developmental needs of older adults, while Rogers focuses on relational and environmental factors that influence wellbeing.</w:t>
      </w:r>
    </w:p>
    <w:p w14:paraId="21A4BC84" w14:textId="77777777" w:rsidR="002B2A21" w:rsidRPr="002B2A21" w:rsidRDefault="002B2A21" w:rsidP="002B2A21">
      <w:pPr>
        <w:rPr>
          <w:sz w:val="28"/>
          <w:szCs w:val="28"/>
        </w:rPr>
      </w:pPr>
      <w:r w:rsidRPr="002B2A21">
        <w:rPr>
          <w:sz w:val="28"/>
          <w:szCs w:val="28"/>
        </w:rPr>
        <w:t>Both theories emphasise that challenging behaviours are meaningful expressions of unmet needs. By viewing behaviour through a psychological lens, care professionals can deliver more compassionate, tailored support. Effective implementation requires organisational commitment, adequate staffing, training, and reflective practice.</w:t>
      </w:r>
    </w:p>
    <w:p w14:paraId="18F00EDD" w14:textId="77777777" w:rsidR="002B2A21" w:rsidRPr="002B2A21" w:rsidRDefault="002B2A21" w:rsidP="002B2A21">
      <w:pPr>
        <w:rPr>
          <w:sz w:val="28"/>
          <w:szCs w:val="28"/>
        </w:rPr>
      </w:pPr>
      <w:r w:rsidRPr="002B2A21">
        <w:rPr>
          <w:sz w:val="28"/>
          <w:szCs w:val="28"/>
        </w:rPr>
        <w:t>5. Conclusion</w:t>
      </w:r>
    </w:p>
    <w:p w14:paraId="0A52423F" w14:textId="77777777" w:rsidR="002B2A21" w:rsidRPr="002B2A21" w:rsidRDefault="002B2A21" w:rsidP="002B2A21">
      <w:pPr>
        <w:rPr>
          <w:sz w:val="28"/>
          <w:szCs w:val="28"/>
        </w:rPr>
      </w:pPr>
      <w:r w:rsidRPr="002B2A21">
        <w:rPr>
          <w:sz w:val="28"/>
          <w:szCs w:val="28"/>
        </w:rPr>
        <w:t>Psychological theories are essential for understanding and reducing challenging behaviours among older adults in dementia care homes. Erikson’s Integrity vs Despair stage helps staff recognise emotional needs linked to identity and life meaning, while Rogers’ Person-Centred Approach guides empathic, individualised responses to distress. When applied effectively, these theories promote emotional security, reduce behavioural distress, and enhance overall quality of life for residents. Person-centred, psychologically informed care is therefore fundamental to best practice in dementia services.</w:t>
      </w:r>
    </w:p>
    <w:p w14:paraId="10C41DB1" w14:textId="77777777" w:rsidR="002B2A21" w:rsidRPr="002B2A21" w:rsidRDefault="002B2A21" w:rsidP="002B2A21">
      <w:pPr>
        <w:rPr>
          <w:sz w:val="28"/>
          <w:szCs w:val="28"/>
        </w:rPr>
      </w:pPr>
    </w:p>
    <w:p w14:paraId="4EB3C89F" w14:textId="4A1AD6E3" w:rsidR="002B2A21" w:rsidRPr="002B2A21" w:rsidRDefault="002B2A21" w:rsidP="002B2A21">
      <w:pPr>
        <w:rPr>
          <w:sz w:val="28"/>
          <w:szCs w:val="28"/>
        </w:rPr>
      </w:pPr>
      <w:r w:rsidRPr="002B2A21">
        <w:rPr>
          <w:sz w:val="28"/>
          <w:szCs w:val="28"/>
        </w:rPr>
        <w:t>6. References</w:t>
      </w:r>
    </w:p>
    <w:p w14:paraId="26B2A998" w14:textId="77777777" w:rsidR="002B2A21" w:rsidRPr="002B2A21" w:rsidRDefault="002B2A21" w:rsidP="002B2A21">
      <w:pPr>
        <w:rPr>
          <w:sz w:val="28"/>
          <w:szCs w:val="28"/>
        </w:rPr>
      </w:pPr>
      <w:r w:rsidRPr="002B2A21">
        <w:rPr>
          <w:sz w:val="28"/>
          <w:szCs w:val="28"/>
        </w:rPr>
        <w:t xml:space="preserve">Brooker, D. (2007) Person-Centred Dementia Care: Making Services Better. Jessica Kingsley Publishers.  </w:t>
      </w:r>
    </w:p>
    <w:p w14:paraId="2F20F14E" w14:textId="77777777" w:rsidR="002B2A21" w:rsidRPr="002B2A21" w:rsidRDefault="002B2A21" w:rsidP="002B2A21">
      <w:pPr>
        <w:rPr>
          <w:sz w:val="28"/>
          <w:szCs w:val="28"/>
        </w:rPr>
      </w:pPr>
      <w:r w:rsidRPr="002B2A21">
        <w:rPr>
          <w:sz w:val="28"/>
          <w:szCs w:val="28"/>
        </w:rPr>
        <w:t xml:space="preserve">Erikson, E. H. (1997) The Life Cycle Completed. Norton.  </w:t>
      </w:r>
    </w:p>
    <w:p w14:paraId="1DD602F2" w14:textId="77777777" w:rsidR="002B2A21" w:rsidRPr="002B2A21" w:rsidRDefault="002B2A21" w:rsidP="002B2A21">
      <w:pPr>
        <w:rPr>
          <w:sz w:val="28"/>
          <w:szCs w:val="28"/>
        </w:rPr>
      </w:pPr>
      <w:proofErr w:type="spellStart"/>
      <w:r w:rsidRPr="002B2A21">
        <w:rPr>
          <w:sz w:val="28"/>
          <w:szCs w:val="28"/>
        </w:rPr>
        <w:t>Kitwood</w:t>
      </w:r>
      <w:proofErr w:type="spellEnd"/>
      <w:r w:rsidRPr="002B2A21">
        <w:rPr>
          <w:sz w:val="28"/>
          <w:szCs w:val="28"/>
        </w:rPr>
        <w:t xml:space="preserve">, T. (1997) Dementia Reconsidered: The Person Comes First. Open University Press.  </w:t>
      </w:r>
    </w:p>
    <w:p w14:paraId="363BCDF0" w14:textId="77777777" w:rsidR="002B2A21" w:rsidRPr="002B2A21" w:rsidRDefault="002B2A21" w:rsidP="002B2A21">
      <w:pPr>
        <w:rPr>
          <w:sz w:val="28"/>
          <w:szCs w:val="28"/>
        </w:rPr>
      </w:pPr>
      <w:r w:rsidRPr="002B2A21">
        <w:rPr>
          <w:sz w:val="28"/>
          <w:szCs w:val="28"/>
        </w:rPr>
        <w:t xml:space="preserve">Rogers, C. (2003) Client-Centred Therapy. Constable.  </w:t>
      </w:r>
    </w:p>
    <w:p w14:paraId="2F5849BA" w14:textId="77777777" w:rsidR="002B2A21" w:rsidRPr="002B2A21" w:rsidRDefault="002B2A21" w:rsidP="002B2A21">
      <w:pPr>
        <w:rPr>
          <w:sz w:val="28"/>
          <w:szCs w:val="28"/>
        </w:rPr>
      </w:pPr>
      <w:r w:rsidRPr="002B2A21">
        <w:rPr>
          <w:sz w:val="28"/>
          <w:szCs w:val="28"/>
        </w:rPr>
        <w:t xml:space="preserve">Sabat, S. R. (2001) The Experience of Alzheimer’s Disease: Life Through a Tangled Veil. Blackwell.  </w:t>
      </w:r>
    </w:p>
    <w:p w14:paraId="691140BB" w14:textId="77777777" w:rsidR="002B2A21" w:rsidRPr="002B2A21" w:rsidRDefault="002B2A21" w:rsidP="002B2A21">
      <w:pPr>
        <w:rPr>
          <w:sz w:val="28"/>
          <w:szCs w:val="28"/>
        </w:rPr>
      </w:pPr>
      <w:r w:rsidRPr="002B2A21">
        <w:rPr>
          <w:sz w:val="28"/>
          <w:szCs w:val="28"/>
        </w:rPr>
        <w:t>Woods, B. and Clare, L. (2015) Handbook of the Psychology of Ageing. Wiley.</w:t>
      </w:r>
    </w:p>
    <w:p w14:paraId="55ED2FCE" w14:textId="77777777" w:rsidR="002B2A21" w:rsidRDefault="002B2A21" w:rsidP="002B2A21"/>
    <w:p w14:paraId="5678EEBA" w14:textId="77777777" w:rsidR="002B2A21" w:rsidRPr="002B2A21" w:rsidRDefault="002B2A21" w:rsidP="00152342">
      <w:pPr>
        <w:rPr>
          <w:sz w:val="28"/>
          <w:szCs w:val="28"/>
        </w:rPr>
      </w:pPr>
    </w:p>
    <w:p w14:paraId="3EB60991" w14:textId="77777777" w:rsidR="005E4576" w:rsidRPr="008B7DFD" w:rsidRDefault="005E4576">
      <w:pPr>
        <w:rPr>
          <w:sz w:val="32"/>
          <w:szCs w:val="32"/>
        </w:rPr>
      </w:pPr>
    </w:p>
    <w:sectPr w:rsidR="005E4576" w:rsidRPr="008B7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FE8"/>
    <w:rsid w:val="00152342"/>
    <w:rsid w:val="002B2A21"/>
    <w:rsid w:val="003A544B"/>
    <w:rsid w:val="005E4576"/>
    <w:rsid w:val="007D0A0E"/>
    <w:rsid w:val="008B7DFD"/>
    <w:rsid w:val="00927592"/>
    <w:rsid w:val="00B93FE8"/>
    <w:rsid w:val="00CC5696"/>
    <w:rsid w:val="00DF3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FF53D"/>
  <w15:chartTrackingRefBased/>
  <w15:docId w15:val="{BB95ED68-9338-439B-A959-272C262C6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F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F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F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F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F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F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F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F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F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F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F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F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F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F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F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F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F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FE8"/>
    <w:rPr>
      <w:rFonts w:eastAsiaTheme="majorEastAsia" w:cstheme="majorBidi"/>
      <w:color w:val="272727" w:themeColor="text1" w:themeTint="D8"/>
    </w:rPr>
  </w:style>
  <w:style w:type="paragraph" w:styleId="Title">
    <w:name w:val="Title"/>
    <w:basedOn w:val="Normal"/>
    <w:next w:val="Normal"/>
    <w:link w:val="TitleChar"/>
    <w:uiPriority w:val="10"/>
    <w:qFormat/>
    <w:rsid w:val="00B93F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F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F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F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FE8"/>
    <w:pPr>
      <w:spacing w:before="160"/>
      <w:jc w:val="center"/>
    </w:pPr>
    <w:rPr>
      <w:i/>
      <w:iCs/>
      <w:color w:val="404040" w:themeColor="text1" w:themeTint="BF"/>
    </w:rPr>
  </w:style>
  <w:style w:type="character" w:customStyle="1" w:styleId="QuoteChar">
    <w:name w:val="Quote Char"/>
    <w:basedOn w:val="DefaultParagraphFont"/>
    <w:link w:val="Quote"/>
    <w:uiPriority w:val="29"/>
    <w:rsid w:val="00B93FE8"/>
    <w:rPr>
      <w:i/>
      <w:iCs/>
      <w:color w:val="404040" w:themeColor="text1" w:themeTint="BF"/>
    </w:rPr>
  </w:style>
  <w:style w:type="paragraph" w:styleId="ListParagraph">
    <w:name w:val="List Paragraph"/>
    <w:basedOn w:val="Normal"/>
    <w:uiPriority w:val="34"/>
    <w:qFormat/>
    <w:rsid w:val="00B93FE8"/>
    <w:pPr>
      <w:ind w:left="720"/>
      <w:contextualSpacing/>
    </w:pPr>
  </w:style>
  <w:style w:type="character" w:styleId="IntenseEmphasis">
    <w:name w:val="Intense Emphasis"/>
    <w:basedOn w:val="DefaultParagraphFont"/>
    <w:uiPriority w:val="21"/>
    <w:qFormat/>
    <w:rsid w:val="00B93FE8"/>
    <w:rPr>
      <w:i/>
      <w:iCs/>
      <w:color w:val="0F4761" w:themeColor="accent1" w:themeShade="BF"/>
    </w:rPr>
  </w:style>
  <w:style w:type="paragraph" w:styleId="IntenseQuote">
    <w:name w:val="Intense Quote"/>
    <w:basedOn w:val="Normal"/>
    <w:next w:val="Normal"/>
    <w:link w:val="IntenseQuoteChar"/>
    <w:uiPriority w:val="30"/>
    <w:qFormat/>
    <w:rsid w:val="00B93F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FE8"/>
    <w:rPr>
      <w:i/>
      <w:iCs/>
      <w:color w:val="0F4761" w:themeColor="accent1" w:themeShade="BF"/>
    </w:rPr>
  </w:style>
  <w:style w:type="character" w:styleId="IntenseReference">
    <w:name w:val="Intense Reference"/>
    <w:basedOn w:val="DefaultParagraphFont"/>
    <w:uiPriority w:val="32"/>
    <w:qFormat/>
    <w:rsid w:val="00B93FE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1431</Words>
  <Characters>8160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Ahmed (Student)</dc:creator>
  <cp:keywords/>
  <dc:description/>
  <cp:lastModifiedBy>Sara Ahmed (Student)</cp:lastModifiedBy>
  <cp:revision>1</cp:revision>
  <dcterms:created xsi:type="dcterms:W3CDTF">2025-11-23T19:59:00Z</dcterms:created>
  <dcterms:modified xsi:type="dcterms:W3CDTF">2025-11-23T20:57:00Z</dcterms:modified>
</cp:coreProperties>
</file>