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28284" w14:textId="77777777" w:rsidR="00BD6FED" w:rsidRPr="00233645" w:rsidRDefault="00BD6FED" w:rsidP="00BD6FED">
      <w:pPr>
        <w:rPr>
          <w:rFonts w:ascii="Times New Roman" w:hAnsi="Times New Roman" w:cs="Times New Roman"/>
        </w:rPr>
      </w:pPr>
      <w:r w:rsidRPr="00233645">
        <w:rPr>
          <w:rFonts w:ascii="Times New Roman" w:hAnsi="Times New Roman" w:cs="Times New Roman"/>
        </w:rPr>
        <w:t>4. Chapter four: Data Analysis</w:t>
      </w:r>
    </w:p>
    <w:p w14:paraId="31B5F6B1" w14:textId="77777777" w:rsidR="00BD6FED" w:rsidRPr="00233645" w:rsidRDefault="00BD6FED" w:rsidP="00BD6FED">
      <w:pPr>
        <w:rPr>
          <w:rFonts w:ascii="Times New Roman" w:hAnsi="Times New Roman" w:cs="Times New Roman"/>
        </w:rPr>
      </w:pPr>
    </w:p>
    <w:p w14:paraId="2CC5BDFE" w14:textId="77777777" w:rsidR="00BD6FED" w:rsidRPr="00233645" w:rsidRDefault="00BD6FED" w:rsidP="00BD6FED">
      <w:pPr>
        <w:rPr>
          <w:rFonts w:ascii="Times New Roman" w:hAnsi="Times New Roman" w:cs="Times New Roman"/>
        </w:rPr>
      </w:pPr>
      <w:r w:rsidRPr="00233645">
        <w:rPr>
          <w:rFonts w:ascii="Times New Roman" w:hAnsi="Times New Roman" w:cs="Times New Roman"/>
        </w:rPr>
        <w:t>4.1 Introduction</w:t>
      </w:r>
    </w:p>
    <w:p w14:paraId="39167D02" w14:textId="77777777" w:rsidR="00BD6FED" w:rsidRPr="00233645" w:rsidRDefault="00BD6FED" w:rsidP="00BD6FED">
      <w:pPr>
        <w:rPr>
          <w:rFonts w:ascii="Times New Roman" w:hAnsi="Times New Roman" w:cs="Times New Roman"/>
        </w:rPr>
      </w:pPr>
    </w:p>
    <w:p w14:paraId="2EC6975C" w14:textId="77777777" w:rsidR="00BD6FED" w:rsidRPr="00233645" w:rsidRDefault="00BD6FED" w:rsidP="00BD6FED">
      <w:pPr>
        <w:rPr>
          <w:rFonts w:ascii="Times New Roman" w:hAnsi="Times New Roman" w:cs="Times New Roman"/>
        </w:rPr>
      </w:pPr>
      <w:r w:rsidRPr="00233645">
        <w:rPr>
          <w:rFonts w:ascii="Times New Roman" w:hAnsi="Times New Roman" w:cs="Times New Roman"/>
        </w:rPr>
        <w:tab/>
        <w:t>The approaches and methodology of this research have been identified in the previous chapter. This chapter aims to achieve the third objective.</w:t>
      </w:r>
    </w:p>
    <w:p w14:paraId="13A971E7" w14:textId="77777777" w:rsidR="00BD6FED" w:rsidRPr="00233645" w:rsidRDefault="00BD6FED" w:rsidP="00BD6FED">
      <w:pPr>
        <w:rPr>
          <w:rFonts w:ascii="Times New Roman" w:hAnsi="Times New Roman" w:cs="Times New Roman"/>
        </w:rPr>
      </w:pPr>
    </w:p>
    <w:p w14:paraId="66835759" w14:textId="77777777" w:rsidR="00BD6FED" w:rsidRPr="00233645" w:rsidRDefault="00BD6FED" w:rsidP="00BD6FED">
      <w:pPr>
        <w:ind w:firstLine="420"/>
        <w:rPr>
          <w:rFonts w:ascii="Times New Roman" w:hAnsi="Times New Roman" w:cs="Times New Roman"/>
        </w:rPr>
      </w:pPr>
      <w:r w:rsidRPr="00233645">
        <w:rPr>
          <w:rFonts w:ascii="Times New Roman" w:hAnsi="Times New Roman" w:cs="Times New Roman"/>
        </w:rPr>
        <w:t>“To discuss the previous situation of China’s automobile Corporate Social Responsibility (CSR), identify and summarize the main problems of China’s automobile corporate social responsibility.”</w:t>
      </w:r>
    </w:p>
    <w:p w14:paraId="57BAE685" w14:textId="77777777" w:rsidR="00BD6FED" w:rsidRPr="00233645" w:rsidRDefault="00BD6FED" w:rsidP="00BD6FED">
      <w:pPr>
        <w:ind w:firstLine="420"/>
        <w:rPr>
          <w:rFonts w:ascii="Times New Roman" w:hAnsi="Times New Roman" w:cs="Times New Roman"/>
        </w:rPr>
      </w:pPr>
    </w:p>
    <w:p w14:paraId="382A5974" w14:textId="77777777" w:rsidR="00BD6FED" w:rsidRPr="00233645" w:rsidRDefault="00BD6FED" w:rsidP="00BD6FED">
      <w:pPr>
        <w:ind w:firstLine="420"/>
        <w:rPr>
          <w:rFonts w:ascii="Times New Roman" w:hAnsi="Times New Roman" w:cs="Times New Roman"/>
        </w:rPr>
      </w:pPr>
      <w:r w:rsidRPr="00233645">
        <w:rPr>
          <w:rFonts w:ascii="Times New Roman" w:hAnsi="Times New Roman" w:cs="Times New Roman"/>
        </w:rPr>
        <w:t xml:space="preserve">Firstly, this chapter will present the data collected, then the researcher will combine quantitative and qualitive method, by taking Shanghai Automobile company (SAIC) as an example to make a qualitative analysis of China’s automobile CSR and identify existing problems, in addition, the relevant quantitative indicators are also displayed through software wo compare and analyze the specific content of automobile industry’s CSR, so as to further enhance the accuracy and reliability of research data. </w:t>
      </w:r>
    </w:p>
    <w:p w14:paraId="4BB68883" w14:textId="77777777" w:rsidR="00BD6FED" w:rsidRPr="00233645" w:rsidRDefault="00BD6FED" w:rsidP="00BD6FED">
      <w:pPr>
        <w:ind w:firstLine="420"/>
        <w:rPr>
          <w:rFonts w:ascii="Times New Roman" w:hAnsi="Times New Roman" w:cs="Times New Roman"/>
        </w:rPr>
      </w:pPr>
    </w:p>
    <w:p w14:paraId="349FED78" w14:textId="77777777" w:rsidR="00BD6FED" w:rsidRPr="00233645" w:rsidRDefault="00BD6FED" w:rsidP="00BD6FED">
      <w:pPr>
        <w:rPr>
          <w:rFonts w:ascii="Times New Roman" w:hAnsi="Times New Roman" w:cs="Times New Roman"/>
        </w:rPr>
      </w:pPr>
    </w:p>
    <w:p w14:paraId="7665F34D" w14:textId="77777777" w:rsidR="00BD6FED" w:rsidRPr="00233645" w:rsidRDefault="00BD6FED" w:rsidP="00BD6FED">
      <w:pPr>
        <w:rPr>
          <w:rFonts w:ascii="Times New Roman" w:hAnsi="Times New Roman" w:cs="Times New Roman"/>
        </w:rPr>
      </w:pPr>
      <w:r w:rsidRPr="00233645">
        <w:rPr>
          <w:rFonts w:ascii="Times New Roman" w:hAnsi="Times New Roman" w:cs="Times New Roman"/>
        </w:rPr>
        <w:t xml:space="preserve">4.2 Data Analysis </w:t>
      </w:r>
    </w:p>
    <w:p w14:paraId="4033C197" w14:textId="77777777" w:rsidR="00BD6FED" w:rsidRPr="00233645" w:rsidRDefault="00BD6FED" w:rsidP="00BD6FED">
      <w:pPr>
        <w:rPr>
          <w:rFonts w:ascii="Times New Roman" w:hAnsi="Times New Roman" w:cs="Times New Roman"/>
        </w:rPr>
      </w:pPr>
    </w:p>
    <w:p w14:paraId="1C9697FF" w14:textId="77777777" w:rsidR="00BD6FED" w:rsidRPr="00233645" w:rsidRDefault="00BD6FED" w:rsidP="00BD6FED">
      <w:pPr>
        <w:rPr>
          <w:rFonts w:ascii="Times New Roman" w:hAnsi="Times New Roman" w:cs="Times New Roman"/>
        </w:rPr>
      </w:pPr>
      <w:r w:rsidRPr="00233645">
        <w:rPr>
          <w:rFonts w:ascii="Times New Roman" w:hAnsi="Times New Roman" w:cs="Times New Roman"/>
        </w:rPr>
        <w:tab/>
        <w:t>Data analysis includes the process of collecting, modelling and analyzing data to provide support decision information. (Morton el al., 2014) The data was analyzed using the Excel software. Descriptive statistics are provided by identification.</w:t>
      </w:r>
    </w:p>
    <w:p w14:paraId="5851D8D1" w14:textId="77777777" w:rsidR="00BD6FED" w:rsidRPr="00233645" w:rsidRDefault="00BD6FED" w:rsidP="00BD6FED">
      <w:pPr>
        <w:rPr>
          <w:rFonts w:ascii="Times New Roman" w:hAnsi="Times New Roman" w:cs="Times New Roman"/>
        </w:rPr>
      </w:pPr>
    </w:p>
    <w:p w14:paraId="56F7B931" w14:textId="77777777" w:rsidR="00BD6FED" w:rsidRPr="00887F60" w:rsidRDefault="00BD6FED" w:rsidP="00BD6FED">
      <w:pPr>
        <w:rPr>
          <w:rFonts w:ascii="Times New Roman" w:hAnsi="Times New Roman" w:cs="Times New Roman"/>
          <w:color w:val="4472C4" w:themeColor="accent1"/>
        </w:rPr>
      </w:pPr>
      <w:r w:rsidRPr="00887F60">
        <w:rPr>
          <w:rFonts w:ascii="Times New Roman" w:hAnsi="Times New Roman" w:cs="Times New Roman"/>
          <w:color w:val="4472C4" w:themeColor="accent1"/>
        </w:rPr>
        <w:t>4.2.1 CSR from the perspective of economic</w:t>
      </w:r>
    </w:p>
    <w:p w14:paraId="788882E2" w14:textId="77777777" w:rsidR="00BD6FED" w:rsidRPr="00233645" w:rsidRDefault="00BD6FED" w:rsidP="00BD6FED">
      <w:pPr>
        <w:rPr>
          <w:rFonts w:ascii="Times New Roman" w:hAnsi="Times New Roman" w:cs="Times New Roman"/>
        </w:rPr>
      </w:pPr>
    </w:p>
    <w:p w14:paraId="2812227F" w14:textId="77777777" w:rsidR="00BD6FED" w:rsidRPr="00786B82" w:rsidRDefault="00BD6FED" w:rsidP="00BD6FED">
      <w:pPr>
        <w:rPr>
          <w:rFonts w:ascii="Times New Roman" w:hAnsi="Times New Roman" w:cs="Times New Roman"/>
          <w:color w:val="FF0000"/>
        </w:rPr>
      </w:pPr>
      <w:r w:rsidRPr="00786B82">
        <w:rPr>
          <w:rFonts w:ascii="Times New Roman" w:hAnsi="Times New Roman" w:cs="Times New Roman"/>
          <w:color w:val="FF0000"/>
        </w:rPr>
        <w:tab/>
        <w:t>At first, Corporate economic responsibility usually includes overall performance, which can be divided into total assets, product sales, tax and industrial value. The data of SAIC in the corresponding part can reflect its overall performance of economic responsibility.</w:t>
      </w:r>
    </w:p>
    <w:p w14:paraId="5AC2287E" w14:textId="77777777" w:rsidR="00BD6FED" w:rsidRDefault="00BD6FED" w:rsidP="00BD6FED">
      <w:pPr>
        <w:rPr>
          <w:rFonts w:ascii="Times New Roman" w:hAnsi="Times New Roman" w:cs="Times New Roman"/>
        </w:rPr>
      </w:pPr>
      <w:r>
        <w:rPr>
          <w:rFonts w:ascii="Times New Roman" w:hAnsi="Times New Roman" w:cs="Times New Roman"/>
        </w:rPr>
        <w:t xml:space="preserve"> </w:t>
      </w:r>
    </w:p>
    <w:p w14:paraId="6598591D" w14:textId="77777777" w:rsidR="00BD6FED" w:rsidRDefault="00BD6FED" w:rsidP="00BD6FED">
      <w:pPr>
        <w:rPr>
          <w:rFonts w:ascii="Times New Roman" w:hAnsi="Times New Roman" w:cs="Times New Roman"/>
        </w:rPr>
      </w:pPr>
      <w:r>
        <w:rPr>
          <w:rFonts w:ascii="Times New Roman" w:hAnsi="Times New Roman" w:cs="Times New Roman"/>
        </w:rPr>
        <w:t>I</w:t>
      </w:r>
      <w:r w:rsidRPr="00233645">
        <w:rPr>
          <w:rFonts w:ascii="Times New Roman" w:hAnsi="Times New Roman" w:cs="Times New Roman"/>
        </w:rPr>
        <w:t xml:space="preserve">n recent years, China’s automobile market has been in a weak state due to the influence of the slowing down trend of economic growth and the restrictions of a series of economic policies, such as the restrictions on automobile travel and purchase. SAIC emphasizes the development of vehicle retail business as the core. According to ‘The Annual Social Responsibility of SAIC in 2019’, statistics show that in 2019, the sales volume of SAIC’s vehicle was 6.24 million, to compare with the same period in the last year, there is a decrease of 11.5%, the sales volume of passenger cars was 5.378 million, there is lower 12.7% than 2018, the sales volume of business car was 0.859 million, and there is also a decrease of 3.4%. </w:t>
      </w:r>
    </w:p>
    <w:p w14:paraId="209FAA98" w14:textId="77777777" w:rsidR="00BD6FED" w:rsidRDefault="00BD6FED" w:rsidP="00BD6FED">
      <w:pPr>
        <w:rPr>
          <w:rFonts w:ascii="Times New Roman" w:hAnsi="Times New Roman" w:cs="Times New Roman"/>
        </w:rPr>
      </w:pPr>
    </w:p>
    <w:p w14:paraId="286042C4" w14:textId="77777777" w:rsidR="00BD6FED" w:rsidRPr="0011629C" w:rsidRDefault="00BD6FED" w:rsidP="00BD6FED">
      <w:pPr>
        <w:rPr>
          <w:rFonts w:ascii="Times New Roman" w:hAnsi="Times New Roman" w:cs="Times New Roman"/>
        </w:rPr>
      </w:pPr>
      <w:r w:rsidRPr="0011629C">
        <w:rPr>
          <w:rFonts w:ascii="Times New Roman" w:hAnsi="Times New Roman" w:cs="Times New Roman"/>
        </w:rPr>
        <w:t xml:space="preserve">According to </w:t>
      </w:r>
      <w:r>
        <w:rPr>
          <w:rFonts w:ascii="Times New Roman" w:hAnsi="Times New Roman" w:cs="Times New Roman" w:hint="eastAsia"/>
        </w:rPr>
        <w:t>figure</w:t>
      </w:r>
      <w:r w:rsidRPr="0011629C">
        <w:rPr>
          <w:rFonts w:ascii="Times New Roman" w:hAnsi="Times New Roman" w:cs="Times New Roman"/>
        </w:rPr>
        <w:t xml:space="preserve"> 4.1, the growth of total sales is shown, which means that SAIC's economic responsibility in the pyramid model has been realized to a certain extent.</w:t>
      </w:r>
    </w:p>
    <w:p w14:paraId="0FEE1FDD" w14:textId="77777777" w:rsidR="00BD6FED" w:rsidRDefault="00BD6FED" w:rsidP="00BD6FED">
      <w:pPr>
        <w:rPr>
          <w:rFonts w:ascii="Times New Roman" w:hAnsi="Times New Roman" w:cs="Times New Roman"/>
        </w:rPr>
      </w:pPr>
      <w:r>
        <w:rPr>
          <w:rFonts w:ascii="Times New Roman" w:hAnsi="Times New Roman" w:cs="Times New Roman"/>
        </w:rPr>
        <w:t>I</w:t>
      </w:r>
      <w:r w:rsidRPr="00233645">
        <w:rPr>
          <w:rFonts w:ascii="Times New Roman" w:hAnsi="Times New Roman" w:cs="Times New Roman"/>
        </w:rPr>
        <w:t xml:space="preserve">n order to cope with the difficult situation, SAIC has actively taken the structural opportunities of new energy vehicle market and overseas market, relying on the transformation and reform plan of </w:t>
      </w:r>
      <w:r w:rsidRPr="00233645">
        <w:rPr>
          <w:rFonts w:ascii="Times New Roman" w:hAnsi="Times New Roman" w:cs="Times New Roman"/>
        </w:rPr>
        <w:lastRenderedPageBreak/>
        <w:t xml:space="preserve">electric vehicles, successfully realized the sales of 185000 new energy vehicles, with a year-on-year growth of 30.4%, and maintained a rapid growth trend. In addition, the total vehicle export and overseas market sales reached 350000, with a year-on-year growth of 26.5%. Under the background of worsening global trade situation and a general downward trend in the total vehicle export of China, SAIC's total vehicle export showed a counter trend growth, with export sales ranking the first among Chinese automobile enterprises. </w:t>
      </w:r>
    </w:p>
    <w:p w14:paraId="3D491FC7" w14:textId="77777777" w:rsidR="00BD6FED" w:rsidRPr="00233645" w:rsidRDefault="00BD6FED" w:rsidP="00BD6FED">
      <w:pPr>
        <w:rPr>
          <w:rFonts w:ascii="Times New Roman" w:hAnsi="Times New Roman" w:cs="Times New Roman"/>
        </w:rPr>
      </w:pPr>
    </w:p>
    <w:p w14:paraId="3954DB80" w14:textId="77777777" w:rsidR="00BD6FED" w:rsidRDefault="00BD6FED" w:rsidP="00BD6FED">
      <w:pPr>
        <w:jc w:val="left"/>
      </w:pPr>
      <w:r>
        <w:rPr>
          <w:rFonts w:hint="eastAsia"/>
        </w:rPr>
        <w:t>T</w:t>
      </w:r>
      <w:r>
        <w:t>he specific variation can be seen in the following figures.</w:t>
      </w:r>
    </w:p>
    <w:p w14:paraId="07759EE9" w14:textId="77777777" w:rsidR="00BD6FED" w:rsidRDefault="00BD6FED" w:rsidP="00BD6FED">
      <w:pPr>
        <w:jc w:val="left"/>
      </w:pPr>
    </w:p>
    <w:p w14:paraId="465E0937" w14:textId="77777777" w:rsidR="00BD6FED" w:rsidRDefault="00BD6FED" w:rsidP="00BD6FED">
      <w:pPr>
        <w:jc w:val="left"/>
      </w:pPr>
    </w:p>
    <w:p w14:paraId="20946224" w14:textId="77777777" w:rsidR="00BD6FED" w:rsidRDefault="00BD6FED" w:rsidP="00BD6FED">
      <w:pPr>
        <w:jc w:val="left"/>
      </w:pPr>
      <w:r>
        <w:rPr>
          <w:noProof/>
        </w:rPr>
        <w:drawing>
          <wp:inline distT="0" distB="0" distL="0" distR="0" wp14:anchorId="5E896B96" wp14:editId="58F13CEC">
            <wp:extent cx="5467350" cy="2867025"/>
            <wp:effectExtent l="0" t="0" r="0" b="9525"/>
            <wp:docPr id="1" name="图表 1">
              <a:extLst xmlns:a="http://schemas.openxmlformats.org/drawingml/2006/main">
                <a:ext uri="{FF2B5EF4-FFF2-40B4-BE49-F238E27FC236}">
                  <a16:creationId xmlns:a16="http://schemas.microsoft.com/office/drawing/2014/main" id="{1C178514-0862-49E4-9671-3183138281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785CCC7" w14:textId="77777777" w:rsidR="00BD6FED" w:rsidRPr="00CE5C98" w:rsidRDefault="00BD6FED" w:rsidP="00BD6FED">
      <w:pPr>
        <w:jc w:val="left"/>
      </w:pPr>
      <w:r>
        <w:rPr>
          <w:rFonts w:hint="eastAsia"/>
        </w:rPr>
        <w:t>F</w:t>
      </w:r>
      <w:r>
        <w:t>igure 4.1: Total Vehicle Sales Volume of SAIC</w:t>
      </w:r>
    </w:p>
    <w:p w14:paraId="630DD5FE" w14:textId="77777777" w:rsidR="00BD6FED" w:rsidRPr="003F0737" w:rsidRDefault="00BD6FED" w:rsidP="00BD6FED">
      <w:pPr>
        <w:jc w:val="left"/>
      </w:pPr>
    </w:p>
    <w:p w14:paraId="24D75A1A" w14:textId="77777777" w:rsidR="00BD6FED" w:rsidRDefault="00BD6FED" w:rsidP="00BD6FED">
      <w:pPr>
        <w:jc w:val="left"/>
      </w:pPr>
    </w:p>
    <w:p w14:paraId="74A84F57" w14:textId="77777777" w:rsidR="00BD6FED" w:rsidRDefault="00BD6FED" w:rsidP="00BD6FED">
      <w:pPr>
        <w:jc w:val="left"/>
      </w:pPr>
      <w:r>
        <w:rPr>
          <w:noProof/>
        </w:rPr>
        <w:drawing>
          <wp:inline distT="0" distB="0" distL="0" distR="0" wp14:anchorId="39BB04FF" wp14:editId="56BB8D9E">
            <wp:extent cx="5543550" cy="2743200"/>
            <wp:effectExtent l="0" t="0" r="0" b="0"/>
            <wp:docPr id="2" name="图表 2">
              <a:extLst xmlns:a="http://schemas.openxmlformats.org/drawingml/2006/main">
                <a:ext uri="{FF2B5EF4-FFF2-40B4-BE49-F238E27FC236}">
                  <a16:creationId xmlns:a16="http://schemas.microsoft.com/office/drawing/2014/main" id="{20C77723-EA2C-4890-A1C7-5167838BEB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7F8A9C6" w14:textId="77777777" w:rsidR="00BD6FED" w:rsidRDefault="00BD6FED" w:rsidP="00BD6FED">
      <w:pPr>
        <w:jc w:val="left"/>
      </w:pPr>
      <w:r>
        <w:rPr>
          <w:rFonts w:hint="eastAsia"/>
        </w:rPr>
        <w:t>F</w:t>
      </w:r>
      <w:r>
        <w:t xml:space="preserve">igure 4.2: Sales of Passenger vehicles   </w:t>
      </w:r>
    </w:p>
    <w:p w14:paraId="199603CC" w14:textId="77777777" w:rsidR="00BD6FED" w:rsidRDefault="00BD6FED" w:rsidP="00BD6FED">
      <w:pPr>
        <w:jc w:val="left"/>
      </w:pPr>
    </w:p>
    <w:p w14:paraId="2B1C6E1F" w14:textId="77777777" w:rsidR="00BD6FED" w:rsidRDefault="00BD6FED" w:rsidP="00BD6FED">
      <w:pPr>
        <w:jc w:val="left"/>
      </w:pPr>
      <w:r>
        <w:rPr>
          <w:rFonts w:hint="eastAsia"/>
        </w:rPr>
        <w:lastRenderedPageBreak/>
        <w:t>S</w:t>
      </w:r>
      <w:r>
        <w:t>econdly, a</w:t>
      </w:r>
      <w:r w:rsidRPr="00BD0A10">
        <w:t xml:space="preserve">ccording to the corporate social responsibility report of SAIC, SAIC has vigorously promoted technological innovation and reform. In terms of strengthening independent innovation, the annual sales volume of SAIC's own brand passenger cars has reached a milestone of 200000, </w:t>
      </w:r>
      <w:r>
        <w:t>there is</w:t>
      </w:r>
      <w:r w:rsidRPr="00BD0A10">
        <w:t xml:space="preserve"> a growth of 23.5%</w:t>
      </w:r>
      <w:r>
        <w:t xml:space="preserve"> compared with the sales of 2018</w:t>
      </w:r>
      <w:r w:rsidRPr="00BD0A10">
        <w:t>.</w:t>
      </w:r>
    </w:p>
    <w:p w14:paraId="7CB959E6" w14:textId="77777777" w:rsidR="00BD6FED" w:rsidRDefault="00BD6FED" w:rsidP="00BD6FED">
      <w:pPr>
        <w:jc w:val="left"/>
      </w:pPr>
    </w:p>
    <w:p w14:paraId="6DBAC70F" w14:textId="77777777" w:rsidR="00BD6FED" w:rsidRPr="00BD0A10" w:rsidRDefault="00BD6FED" w:rsidP="00BD6FED">
      <w:pPr>
        <w:jc w:val="left"/>
      </w:pPr>
      <w:r w:rsidRPr="0011629C">
        <w:t>SAIC has also made great breakthroughs in technological innovation, which has improved its production efficiency and created favorable conditions for profit</w:t>
      </w:r>
      <w:r>
        <w:t>.</w:t>
      </w:r>
    </w:p>
    <w:p w14:paraId="31738A0E" w14:textId="77777777" w:rsidR="00BD6FED" w:rsidRDefault="00BD6FED" w:rsidP="00BD6FED">
      <w:pPr>
        <w:jc w:val="left"/>
      </w:pPr>
      <w:r>
        <w:t>On December 6, 2019, SAIC was granted the license of Shanghai Artificial Intelligence innovation center. After more than half a year's strict selection, SAIC stands out from more than 1000 enterprises and becomes the only manufacturing enterprise among the seven enterprises recognized. In recent years, SAIC adheres to the cultivation of independent research institutes in the field of artificial intelligence</w:t>
      </w:r>
    </w:p>
    <w:p w14:paraId="3883FB73" w14:textId="77777777" w:rsidR="00BD6FED" w:rsidRDefault="00BD6FED" w:rsidP="00BD6FED">
      <w:pPr>
        <w:jc w:val="left"/>
      </w:pPr>
    </w:p>
    <w:p w14:paraId="3A5245BE" w14:textId="77777777" w:rsidR="00BD6FED" w:rsidRDefault="00BD6FED" w:rsidP="00BD6FED">
      <w:pPr>
        <w:jc w:val="left"/>
      </w:pPr>
      <w:r>
        <w:t>Develop the ability to realize the independent and controllable core technology, and enable the innovation and development of the new four modernizations. In June last year, SAIC's artificial intelligence laboratory was officially established, and its independently developed spruce system has been applied in the parts inbound logistics of SAIC's SAIC Volkswagen and SAIC Anji logistics, which has promoted labor productivity by more than 18 times. According to the plan, SAIC will rely on the innovation center of Artificial Intelligence Laboratory, make use of rich big data and artificial intelligence application scenarios of automobile industry, achieve industrial breakthroughs in intelligent driving, intelligent travel, intelligent manufacturing and intelligent logistics, and promote the deep integration of artificial intelligence technology and automobile industry.</w:t>
      </w:r>
    </w:p>
    <w:p w14:paraId="014A5122" w14:textId="77777777" w:rsidR="00BD6FED" w:rsidRDefault="00BD6FED" w:rsidP="00BD6FED">
      <w:pPr>
        <w:jc w:val="left"/>
      </w:pPr>
    </w:p>
    <w:p w14:paraId="1B17474B" w14:textId="77777777" w:rsidR="00BD6FED" w:rsidRDefault="00BD6FED" w:rsidP="00BD6FED">
      <w:pPr>
        <w:jc w:val="left"/>
      </w:pPr>
      <w:r>
        <w:rPr>
          <w:rFonts w:hint="eastAsia"/>
        </w:rPr>
        <w:t>T</w:t>
      </w:r>
      <w:r>
        <w:t xml:space="preserve">hirdly, </w:t>
      </w:r>
      <w:r w:rsidRPr="0011629C">
        <w:t>SAIC strictly manages the flow of capital to ensure the stability of its cash flow and capital operation, which is also an important part of its economic responsibility</w:t>
      </w:r>
      <w:r>
        <w:t>.</w:t>
      </w:r>
    </w:p>
    <w:p w14:paraId="6716B5BA" w14:textId="77777777" w:rsidR="00BD6FED" w:rsidRDefault="00BD6FED" w:rsidP="00BD6FED">
      <w:pPr>
        <w:jc w:val="left"/>
      </w:pPr>
      <w:r>
        <w:t>SAIC Group has strictly standardized the management and use of the raised funds, and timely disclosed the information. Since SAIC's public offering of a shares, it has made special account storage and use of the raised funds in strict accordance with the relevant legal system, and supervised jointly by the sponsor CITIC Securities and the account opening party SAIC finance company.</w:t>
      </w:r>
    </w:p>
    <w:p w14:paraId="6D468FB9" w14:textId="77777777" w:rsidR="00BD6FED" w:rsidRDefault="00BD6FED" w:rsidP="00BD6FED">
      <w:pPr>
        <w:jc w:val="left"/>
      </w:pPr>
      <w:r>
        <w:t>According to SAIC's social responsibility report in 2019, a</w:t>
      </w:r>
      <w:r w:rsidRPr="00F7442F">
        <w:t>s of December 31, 2019, SAIC has raised about RMB 15 billion for new energy vehicles, intelligent mass customization, Internet of vehicles and other auto financing projects.</w:t>
      </w:r>
      <w:r>
        <w:t xml:space="preserve"> </w:t>
      </w:r>
      <w:r w:rsidRPr="00F7442F">
        <w:t>The company has used a total of 7.97 billion yuan of raised funds. After verification by the sponsor, the company has made special account storage and special use of the raised funds, and there is no disguised change in the use of funds and damage to shareholders' rights and interests, and there is no illegal use of the raised funds.</w:t>
      </w:r>
    </w:p>
    <w:p w14:paraId="4704AAFC" w14:textId="77777777" w:rsidR="00BD6FED" w:rsidRDefault="00BD6FED" w:rsidP="00BD6FED">
      <w:pPr>
        <w:jc w:val="left"/>
      </w:pPr>
    </w:p>
    <w:p w14:paraId="19206C47" w14:textId="77777777" w:rsidR="00BD6FED" w:rsidRDefault="00BD6FED" w:rsidP="00BD6FED">
      <w:pPr>
        <w:jc w:val="left"/>
      </w:pPr>
      <w:r>
        <w:t>F</w:t>
      </w:r>
      <w:r>
        <w:rPr>
          <w:rFonts w:hint="eastAsia"/>
        </w:rPr>
        <w:t>in</w:t>
      </w:r>
      <w:r>
        <w:t>ally, a</w:t>
      </w:r>
      <w:r w:rsidRPr="00E91565">
        <w:t>s shown in Figure 4.3</w:t>
      </w:r>
      <w:r>
        <w:t xml:space="preserve"> and 4.4,</w:t>
      </w:r>
      <w:r w:rsidRPr="00E91565">
        <w:t xml:space="preserve"> the growth of SAIC's total assets</w:t>
      </w:r>
      <w:r>
        <w:t xml:space="preserve"> and net assets</w:t>
      </w:r>
      <w:r w:rsidRPr="00E91565">
        <w:t xml:space="preserve"> reflect its performance of economic responsibility in the pyramid model of corporate social responsibility,</w:t>
      </w:r>
      <w:r>
        <w:t xml:space="preserve"> the development of SAIC in 2018 was still in a good competitive position, making it still maintain an advantage in promoting China's economic development. From the specific data, its total assets reached 723.53 billion yuan in 2018, with an increase rate of </w:t>
      </w:r>
      <w:r>
        <w:lastRenderedPageBreak/>
        <w:t>about 8% compared with 782.77 billion in 2018, including its net assets of 225.34 billion yuan in 2017 and its total assets of 234.37 billion yuan in 2018, with an increase amount of 9.03 billion yuan. The above data can fully support the view that SAIC is in the process of rapid development, and its market share is increasing.</w:t>
      </w:r>
    </w:p>
    <w:p w14:paraId="0BE69465" w14:textId="77777777" w:rsidR="00BD6FED" w:rsidRDefault="00BD6FED" w:rsidP="00BD6FED">
      <w:pPr>
        <w:jc w:val="left"/>
      </w:pPr>
    </w:p>
    <w:p w14:paraId="27D7ADCD" w14:textId="77777777" w:rsidR="00BD6FED" w:rsidRDefault="00BD6FED" w:rsidP="00BD6FED">
      <w:pPr>
        <w:jc w:val="left"/>
      </w:pPr>
    </w:p>
    <w:p w14:paraId="1833536A" w14:textId="77777777" w:rsidR="00BD6FED" w:rsidRDefault="00BD6FED" w:rsidP="00BD6FED">
      <w:pPr>
        <w:jc w:val="left"/>
      </w:pPr>
      <w:r>
        <w:rPr>
          <w:noProof/>
        </w:rPr>
        <w:drawing>
          <wp:inline distT="0" distB="0" distL="0" distR="0" wp14:anchorId="7434BE36" wp14:editId="26721953">
            <wp:extent cx="4572000" cy="2743200"/>
            <wp:effectExtent l="0" t="0" r="0" b="0"/>
            <wp:docPr id="9" name="图表 9">
              <a:extLst xmlns:a="http://schemas.openxmlformats.org/drawingml/2006/main">
                <a:ext uri="{FF2B5EF4-FFF2-40B4-BE49-F238E27FC236}">
                  <a16:creationId xmlns:a16="http://schemas.microsoft.com/office/drawing/2014/main" id="{9DF2EC1C-6D31-4F6A-983A-F0E584DA87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413B6FE" w14:textId="77777777" w:rsidR="00BD6FED" w:rsidRDefault="00BD6FED" w:rsidP="00BD6FED">
      <w:pPr>
        <w:jc w:val="left"/>
      </w:pPr>
      <w:r>
        <w:rPr>
          <w:rFonts w:hint="eastAsia"/>
        </w:rPr>
        <w:t>F</w:t>
      </w:r>
      <w:r>
        <w:t>igure 4.3: Total asset</w:t>
      </w:r>
    </w:p>
    <w:p w14:paraId="035FEB92" w14:textId="77777777" w:rsidR="00BD6FED" w:rsidRDefault="00BD6FED" w:rsidP="00BD6FED">
      <w:pPr>
        <w:jc w:val="left"/>
      </w:pPr>
    </w:p>
    <w:p w14:paraId="11DCE37C" w14:textId="77777777" w:rsidR="00BD6FED" w:rsidRDefault="00BD6FED" w:rsidP="00BD6FED">
      <w:pPr>
        <w:jc w:val="left"/>
        <w:rPr>
          <w:noProof/>
        </w:rPr>
      </w:pPr>
      <w:r>
        <w:rPr>
          <w:noProof/>
        </w:rPr>
        <w:drawing>
          <wp:inline distT="0" distB="0" distL="0" distR="0" wp14:anchorId="02425ACD" wp14:editId="46A20F30">
            <wp:extent cx="4572000" cy="2743200"/>
            <wp:effectExtent l="0" t="0" r="0" b="0"/>
            <wp:docPr id="11" name="图表 11">
              <a:extLst xmlns:a="http://schemas.openxmlformats.org/drawingml/2006/main">
                <a:ext uri="{FF2B5EF4-FFF2-40B4-BE49-F238E27FC236}">
                  <a16:creationId xmlns:a16="http://schemas.microsoft.com/office/drawing/2014/main" id="{D6D0135C-A46B-44D7-865B-1E821BFC9D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noProof/>
        </w:rPr>
        <w:t xml:space="preserve"> </w:t>
      </w:r>
    </w:p>
    <w:p w14:paraId="620FBC4D" w14:textId="77777777" w:rsidR="00BD6FED" w:rsidRDefault="00BD6FED" w:rsidP="00BD6FED">
      <w:pPr>
        <w:jc w:val="left"/>
      </w:pPr>
      <w:r>
        <w:rPr>
          <w:rFonts w:hint="eastAsia"/>
        </w:rPr>
        <w:t>F</w:t>
      </w:r>
      <w:r>
        <w:t>igure 4.4: Net asset</w:t>
      </w:r>
    </w:p>
    <w:p w14:paraId="10B7AEEA" w14:textId="77777777" w:rsidR="00BD6FED" w:rsidRDefault="00BD6FED" w:rsidP="00BD6FED">
      <w:pPr>
        <w:jc w:val="left"/>
      </w:pPr>
    </w:p>
    <w:p w14:paraId="71BE11C9" w14:textId="77777777" w:rsidR="00BD6FED" w:rsidRDefault="00BD6FED" w:rsidP="00BD6FED">
      <w:pPr>
        <w:jc w:val="left"/>
      </w:pPr>
    </w:p>
    <w:p w14:paraId="23BD3080" w14:textId="77777777" w:rsidR="00BD6FED" w:rsidRDefault="00BD6FED" w:rsidP="00BD6FED">
      <w:pPr>
        <w:jc w:val="left"/>
      </w:pPr>
      <w:r w:rsidRPr="00E91565">
        <w:t>On the other hand, tax revenue is an important part of enterprises' economic responsibility. As shown in Figure 4.5, the tax amount of SAIC Group also shows an increasing trend, which proves that it is feasible to fulfill its economic responsibility the total tax paid by the superior group in 2017 was 99.789 billion yuan, which increased to 103.1 billion yuan in 2018</w:t>
      </w:r>
      <w:r>
        <w:rPr>
          <w:rFonts w:hint="eastAsia"/>
        </w:rPr>
        <w:t>.</w:t>
      </w:r>
      <w:r w:rsidRPr="00E91565">
        <w:t xml:space="preserve"> </w:t>
      </w:r>
      <w:r>
        <w:t>C</w:t>
      </w:r>
      <w:r w:rsidRPr="00E91565">
        <w:t xml:space="preserve">ompared with 2017, </w:t>
      </w:r>
      <w:r>
        <w:t xml:space="preserve">which </w:t>
      </w:r>
      <w:r w:rsidRPr="00E91565">
        <w:t xml:space="preserve">indicating that SAIC still creates higher fiscal revenue and </w:t>
      </w:r>
      <w:r w:rsidRPr="00E91565">
        <w:lastRenderedPageBreak/>
        <w:t xml:space="preserve">promotes social development. Its total industrial output value was 886.725 billion yuan in 2017, and increased by 21.208 billion yuan in 2018, indicating that SAIC </w:t>
      </w:r>
      <w:r>
        <w:t xml:space="preserve">shows </w:t>
      </w:r>
      <w:r w:rsidRPr="00E91565">
        <w:t>steady growth</w:t>
      </w:r>
      <w:r>
        <w:t xml:space="preserve"> </w:t>
      </w:r>
      <w:r w:rsidRPr="00E91565">
        <w:t>in a period, which has promoted the economic development of China's automobile industry.</w:t>
      </w:r>
    </w:p>
    <w:p w14:paraId="2BFA684E" w14:textId="77777777" w:rsidR="00BD6FED" w:rsidRDefault="00BD6FED" w:rsidP="00BD6FED">
      <w:pPr>
        <w:jc w:val="left"/>
      </w:pPr>
    </w:p>
    <w:p w14:paraId="40804EF4" w14:textId="77777777" w:rsidR="00BD6FED" w:rsidRDefault="00BD6FED" w:rsidP="00BD6FED">
      <w:pPr>
        <w:jc w:val="left"/>
      </w:pPr>
      <w:r>
        <w:rPr>
          <w:noProof/>
        </w:rPr>
        <w:drawing>
          <wp:inline distT="0" distB="0" distL="0" distR="0" wp14:anchorId="522D7E6E" wp14:editId="36581236">
            <wp:extent cx="4572000" cy="2743200"/>
            <wp:effectExtent l="0" t="0" r="0" b="0"/>
            <wp:docPr id="12" name="图表 12">
              <a:extLst xmlns:a="http://schemas.openxmlformats.org/drawingml/2006/main">
                <a:ext uri="{FF2B5EF4-FFF2-40B4-BE49-F238E27FC236}">
                  <a16:creationId xmlns:a16="http://schemas.microsoft.com/office/drawing/2014/main" id="{63EF8A70-5983-4298-A835-19ED680B8C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561BF95" w14:textId="77777777" w:rsidR="00BD6FED" w:rsidRDefault="00BD6FED" w:rsidP="00BD6FED">
      <w:pPr>
        <w:jc w:val="left"/>
      </w:pPr>
      <w:r>
        <w:rPr>
          <w:rFonts w:hint="eastAsia"/>
        </w:rPr>
        <w:t>F</w:t>
      </w:r>
      <w:r>
        <w:t>igure 4.5: Tax revenue</w:t>
      </w:r>
    </w:p>
    <w:p w14:paraId="61FF81E8" w14:textId="77777777" w:rsidR="00BD6FED" w:rsidRDefault="00BD6FED" w:rsidP="00BD6FED">
      <w:pPr>
        <w:jc w:val="left"/>
      </w:pPr>
    </w:p>
    <w:p w14:paraId="222785C3" w14:textId="77777777" w:rsidR="00BD6FED" w:rsidRDefault="00BD6FED" w:rsidP="00BD6FED">
      <w:pPr>
        <w:jc w:val="left"/>
      </w:pPr>
      <w:r>
        <w:rPr>
          <w:noProof/>
        </w:rPr>
        <w:drawing>
          <wp:inline distT="0" distB="0" distL="0" distR="0" wp14:anchorId="6BBF69B2" wp14:editId="2946C7D4">
            <wp:extent cx="4572000" cy="2743200"/>
            <wp:effectExtent l="0" t="0" r="0" b="0"/>
            <wp:docPr id="13" name="图表 13">
              <a:extLst xmlns:a="http://schemas.openxmlformats.org/drawingml/2006/main">
                <a:ext uri="{FF2B5EF4-FFF2-40B4-BE49-F238E27FC236}">
                  <a16:creationId xmlns:a16="http://schemas.microsoft.com/office/drawing/2014/main" id="{CCC95B30-1B68-49D7-BE2A-9D66D89650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435391" w14:textId="77777777" w:rsidR="00BD6FED" w:rsidRDefault="00BD6FED" w:rsidP="00BD6FED">
      <w:pPr>
        <w:jc w:val="left"/>
      </w:pPr>
      <w:r>
        <w:rPr>
          <w:rFonts w:hint="eastAsia"/>
        </w:rPr>
        <w:t>F</w:t>
      </w:r>
      <w:r>
        <w:t xml:space="preserve">igure 4.6: Total industrial value </w:t>
      </w:r>
    </w:p>
    <w:p w14:paraId="6EE9D7AF" w14:textId="77777777" w:rsidR="00BD6FED" w:rsidRPr="0076082B" w:rsidRDefault="00BD6FED" w:rsidP="00BD6FED">
      <w:pPr>
        <w:jc w:val="left"/>
      </w:pPr>
    </w:p>
    <w:p w14:paraId="1C045800" w14:textId="77777777" w:rsidR="00BD6FED" w:rsidRPr="00887F60" w:rsidRDefault="00BD6FED" w:rsidP="00BD6FED">
      <w:pPr>
        <w:rPr>
          <w:rFonts w:ascii="Times New Roman" w:hAnsi="Times New Roman" w:cs="Times New Roman"/>
          <w:color w:val="4472C4" w:themeColor="accent1"/>
        </w:rPr>
      </w:pPr>
      <w:r w:rsidRPr="00887F60">
        <w:rPr>
          <w:rFonts w:ascii="Times New Roman" w:hAnsi="Times New Roman" w:cs="Times New Roman"/>
          <w:color w:val="4472C4" w:themeColor="accent1"/>
        </w:rPr>
        <w:t>4.2.2 CSR from the perspective of environment</w:t>
      </w:r>
      <w:r w:rsidRPr="00887F60">
        <w:rPr>
          <w:rFonts w:ascii="Times New Roman" w:hAnsi="Times New Roman" w:cs="Times New Roman"/>
          <w:color w:val="4472C4" w:themeColor="accent1"/>
        </w:rPr>
        <w:br/>
      </w:r>
    </w:p>
    <w:p w14:paraId="6DB0C28D" w14:textId="77777777" w:rsidR="00BD6FED" w:rsidRDefault="00BD6FED" w:rsidP="00BD6FED">
      <w:proofErr w:type="gramStart"/>
      <w:r>
        <w:t>First of all</w:t>
      </w:r>
      <w:proofErr w:type="gramEnd"/>
      <w:r>
        <w:t>, SAIC not only actively responds to the call of government policies, vigorously develops new energy vehicle technology, aims at the trend of electric vehicle driving, and comprehensively implements the three technical routes of "pure electric, plug-in hybrid and fuel cell". On the other hand, in the process of manufacturing, we should keep up with the international advanced level and practice cleaner production. And committed to ecology</w:t>
      </w:r>
    </w:p>
    <w:p w14:paraId="31249129" w14:textId="77777777" w:rsidR="00BD6FED" w:rsidRDefault="00BD6FED" w:rsidP="00BD6FED">
      <w:r>
        <w:lastRenderedPageBreak/>
        <w:t xml:space="preserve">The overall quality of the environment has been improved. In terms of products, the company actively formulates corresponding product plans in accordance with the requirements of policies such as "measures for parallel management of average fuel consumption and new energy vehicle points of passenger car enterprises" and relevant standards and regulations, and integrates relevant regulations and policies into the company's overall strategy, </w:t>
      </w:r>
      <w:proofErr w:type="gramStart"/>
      <w:r>
        <w:t>so as to</w:t>
      </w:r>
      <w:proofErr w:type="gramEnd"/>
      <w:r>
        <w:t xml:space="preserve"> provide consumers with more energy-saving and environment-friendly products.</w:t>
      </w:r>
    </w:p>
    <w:p w14:paraId="62E1A823" w14:textId="77777777" w:rsidR="00BD6FED" w:rsidRDefault="00BD6FED" w:rsidP="00BD6FED"/>
    <w:p w14:paraId="05FC232E" w14:textId="77777777" w:rsidR="00BD6FED" w:rsidRDefault="00BD6FED" w:rsidP="00BD6FED">
      <w:r w:rsidRPr="00A15937">
        <w:t>In terms of optimizing the energy structure, SAIC increase</w:t>
      </w:r>
      <w:r>
        <w:rPr>
          <w:rFonts w:hint="eastAsia"/>
        </w:rPr>
        <w:t>d</w:t>
      </w:r>
      <w:r w:rsidRPr="00A15937">
        <w:t xml:space="preserve"> the proportion of clean energy natural gas plus electricity (including photovoltaic power generation) to 87% in 2019, the total carbon emission of industrial enterprises nationwide will decrease by 8.9% year on year, and the carbon intensity of single vehicle will decrease by 3% compared with the target, </w:t>
      </w:r>
      <w:proofErr w:type="gramStart"/>
      <w:r w:rsidRPr="00A15937">
        <w:t>so as to</w:t>
      </w:r>
      <w:proofErr w:type="gramEnd"/>
      <w:r w:rsidRPr="00A15937">
        <w:t xml:space="preserve"> practice the concept of energy conservation and improve economic benefits and environmental friendliness</w:t>
      </w:r>
      <w:r>
        <w:t xml:space="preserve">. </w:t>
      </w:r>
    </w:p>
    <w:p w14:paraId="34DE54BB" w14:textId="77777777" w:rsidR="00BD6FED" w:rsidRDefault="00BD6FED" w:rsidP="00BD6FED"/>
    <w:p w14:paraId="50656C8A" w14:textId="77777777" w:rsidR="00BD6FED" w:rsidRDefault="00BD6FED" w:rsidP="00BD6FED">
      <w:r>
        <w:rPr>
          <w:noProof/>
        </w:rPr>
        <w:drawing>
          <wp:inline distT="0" distB="0" distL="0" distR="0" wp14:anchorId="1B6CD4BA" wp14:editId="3929ACB3">
            <wp:extent cx="5361940" cy="3138311"/>
            <wp:effectExtent l="0" t="0" r="10160" b="5080"/>
            <wp:docPr id="4" name="图表 4">
              <a:extLst xmlns:a="http://schemas.openxmlformats.org/drawingml/2006/main">
                <a:ext uri="{FF2B5EF4-FFF2-40B4-BE49-F238E27FC236}">
                  <a16:creationId xmlns:a16="http://schemas.microsoft.com/office/drawing/2014/main" id="{5975BDAA-E3C3-49B4-A093-7A117F51C8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E01C578" w14:textId="77777777" w:rsidR="00BD6FED" w:rsidRDefault="00BD6FED" w:rsidP="00BD6FED">
      <w:r>
        <w:rPr>
          <w:rFonts w:hint="eastAsia"/>
        </w:rPr>
        <w:t>F</w:t>
      </w:r>
      <w:r>
        <w:t>igure 4.7: Total carbon emission in 2017-2019</w:t>
      </w:r>
    </w:p>
    <w:p w14:paraId="0501768C" w14:textId="77777777" w:rsidR="00BD6FED" w:rsidRDefault="00BD6FED" w:rsidP="00BD6FED"/>
    <w:p w14:paraId="242D8631" w14:textId="77777777" w:rsidR="00BD6FED" w:rsidRDefault="00BD6FED" w:rsidP="00BD6FED">
      <w:r w:rsidRPr="00312859">
        <w:t>As shown in Figure 4.</w:t>
      </w:r>
      <w:r>
        <w:t>7</w:t>
      </w:r>
      <w:r w:rsidRPr="00312859">
        <w:t xml:space="preserve">, SAIC's total carbon emissions across the country show a significant downward trend, from 6.16 million tons in 2017 to 5.24 million tons in 2019, with a total carbon emission decline rate of 8.9%. </w:t>
      </w:r>
      <w:proofErr w:type="gramStart"/>
      <w:r w:rsidRPr="00312859">
        <w:t>It can be seen that SAIC</w:t>
      </w:r>
      <w:proofErr w:type="gramEnd"/>
      <w:r w:rsidRPr="00312859">
        <w:t xml:space="preserve"> has made remarkable </w:t>
      </w:r>
      <w:r>
        <w:t xml:space="preserve">efforts </w:t>
      </w:r>
      <w:r w:rsidRPr="00312859">
        <w:t xml:space="preserve">in environmental protection </w:t>
      </w:r>
      <w:r>
        <w:t>by reducing carbon emission, that is to say it has fulfilled the environment responsibility of CSR.</w:t>
      </w:r>
    </w:p>
    <w:p w14:paraId="0181DB86" w14:textId="77777777" w:rsidR="00BD6FED" w:rsidRDefault="00BD6FED" w:rsidP="00BD6FED">
      <w:pPr>
        <w:jc w:val="left"/>
      </w:pPr>
    </w:p>
    <w:p w14:paraId="6DCF4F5C" w14:textId="77777777" w:rsidR="00BD6FED" w:rsidRPr="00887F60" w:rsidRDefault="00BD6FED" w:rsidP="00BD6FED">
      <w:pPr>
        <w:jc w:val="left"/>
        <w:rPr>
          <w:rFonts w:ascii="Times New Roman" w:hAnsi="Times New Roman" w:cs="Times New Roman"/>
          <w:color w:val="4472C4" w:themeColor="accent1"/>
        </w:rPr>
      </w:pPr>
      <w:r w:rsidRPr="00887F60">
        <w:rPr>
          <w:rFonts w:ascii="Times New Roman" w:hAnsi="Times New Roman" w:cs="Times New Roman"/>
          <w:color w:val="4472C4" w:themeColor="accent1"/>
        </w:rPr>
        <w:t>4.2.</w:t>
      </w:r>
      <w:r>
        <w:rPr>
          <w:rFonts w:ascii="Times New Roman" w:hAnsi="Times New Roman" w:cs="Times New Roman"/>
          <w:color w:val="4472C4" w:themeColor="accent1"/>
        </w:rPr>
        <w:t>3</w:t>
      </w:r>
      <w:r w:rsidRPr="00887F60">
        <w:rPr>
          <w:rFonts w:ascii="Times New Roman" w:hAnsi="Times New Roman" w:cs="Times New Roman"/>
          <w:color w:val="4472C4" w:themeColor="accent1"/>
        </w:rPr>
        <w:t xml:space="preserve"> CSR from the perspective of </w:t>
      </w:r>
      <w:r>
        <w:rPr>
          <w:rFonts w:ascii="Times New Roman" w:hAnsi="Times New Roman" w:cs="Times New Roman"/>
          <w:color w:val="4472C4" w:themeColor="accent1"/>
        </w:rPr>
        <w:t>law</w:t>
      </w:r>
    </w:p>
    <w:p w14:paraId="452478A7" w14:textId="77777777" w:rsidR="00BD6FED" w:rsidRDefault="00BD6FED" w:rsidP="00BD6FED">
      <w:pPr>
        <w:jc w:val="left"/>
        <w:rPr>
          <w:rFonts w:ascii="Times New Roman" w:hAnsi="Times New Roman" w:cs="Times New Roman"/>
        </w:rPr>
      </w:pPr>
    </w:p>
    <w:p w14:paraId="23358A31" w14:textId="77777777" w:rsidR="00BD6FED" w:rsidRDefault="00BD6FED" w:rsidP="00BD6FED">
      <w:pPr>
        <w:jc w:val="left"/>
        <w:rPr>
          <w:rFonts w:ascii="Times New Roman" w:hAnsi="Times New Roman" w:cs="Times New Roman"/>
        </w:rPr>
      </w:pPr>
      <w:r w:rsidRPr="00B3370A">
        <w:rPr>
          <w:rFonts w:ascii="Times New Roman" w:hAnsi="Times New Roman" w:cs="Times New Roman"/>
        </w:rPr>
        <w:t>As of December 31, 2019, the number of on-the-job employees of SAIC Group and its affiliated enterprises is 216 000, including 192 000 in China. The specific gender, age and education structure are shown in the figure below</w:t>
      </w:r>
      <w:r>
        <w:rPr>
          <w:rFonts w:ascii="Times New Roman" w:hAnsi="Times New Roman" w:cs="Times New Roman"/>
        </w:rPr>
        <w:t xml:space="preserve">. </w:t>
      </w:r>
    </w:p>
    <w:p w14:paraId="58034660" w14:textId="77777777" w:rsidR="00BD6FED" w:rsidRDefault="00BD6FED" w:rsidP="00BD6FED">
      <w:pPr>
        <w:jc w:val="left"/>
        <w:rPr>
          <w:rFonts w:ascii="Times New Roman" w:hAnsi="Times New Roman" w:cs="Times New Roman"/>
        </w:rPr>
      </w:pPr>
      <w:r>
        <w:rPr>
          <w:noProof/>
        </w:rPr>
        <w:lastRenderedPageBreak/>
        <w:drawing>
          <wp:inline distT="0" distB="0" distL="0" distR="0" wp14:anchorId="0ED333A9" wp14:editId="57718BB2">
            <wp:extent cx="5293995" cy="3206045"/>
            <wp:effectExtent l="0" t="0" r="1905" b="13970"/>
            <wp:docPr id="6" name="图表 6">
              <a:extLst xmlns:a="http://schemas.openxmlformats.org/drawingml/2006/main">
                <a:ext uri="{FF2B5EF4-FFF2-40B4-BE49-F238E27FC236}">
                  <a16:creationId xmlns:a16="http://schemas.microsoft.com/office/drawing/2014/main" id="{AE531B94-39E5-4DE1-9701-4F1A4CAA3C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0AFC325" w14:textId="77777777" w:rsidR="00BD6FED" w:rsidRDefault="00BD6FED" w:rsidP="00BD6FED">
      <w:pPr>
        <w:jc w:val="left"/>
      </w:pPr>
      <w:r>
        <w:rPr>
          <w:rFonts w:hint="eastAsia"/>
        </w:rPr>
        <w:t>F</w:t>
      </w:r>
      <w:r>
        <w:t>igure 4.9: Employee age structure</w:t>
      </w:r>
    </w:p>
    <w:p w14:paraId="41DE15FE" w14:textId="77777777" w:rsidR="00BD6FED" w:rsidRDefault="00BD6FED" w:rsidP="00BD6FED">
      <w:pPr>
        <w:jc w:val="left"/>
      </w:pPr>
    </w:p>
    <w:p w14:paraId="7FFE89E9" w14:textId="77777777" w:rsidR="00BD6FED" w:rsidRPr="00B3370A" w:rsidRDefault="00BD6FED" w:rsidP="00BD6FED">
      <w:pPr>
        <w:jc w:val="left"/>
        <w:rPr>
          <w:rFonts w:ascii="Times New Roman" w:hAnsi="Times New Roman" w:cs="Times New Roman"/>
        </w:rPr>
      </w:pPr>
      <w:r w:rsidRPr="000727B0">
        <w:rPr>
          <w:rFonts w:ascii="Times New Roman" w:hAnsi="Times New Roman" w:cs="Times New Roman"/>
        </w:rPr>
        <w:t>As of December 31, 2018, the number of on-the-job employees of SAIC Group and its affiliated enterprises is 218000, including 194000 domestic employees. The proportion of employees under the age of 30 has reached 53%, and more than 44% of employees have bachelor's degree or above. Their structure is relatively young and reasonable.</w:t>
      </w:r>
    </w:p>
    <w:p w14:paraId="62FDAB46" w14:textId="77777777" w:rsidR="00BD6FED" w:rsidRDefault="00BD6FED" w:rsidP="00BD6FED">
      <w:pPr>
        <w:jc w:val="left"/>
        <w:rPr>
          <w:rFonts w:ascii="Times New Roman" w:hAnsi="Times New Roman" w:cs="Times New Roman"/>
        </w:rPr>
      </w:pPr>
      <w:r>
        <w:rPr>
          <w:noProof/>
        </w:rPr>
        <w:drawing>
          <wp:inline distT="0" distB="0" distL="0" distR="0" wp14:anchorId="3A09196F" wp14:editId="0A219523">
            <wp:extent cx="5328285" cy="3556000"/>
            <wp:effectExtent l="0" t="0" r="5715" b="6350"/>
            <wp:docPr id="7" name="图表 7">
              <a:extLst xmlns:a="http://schemas.openxmlformats.org/drawingml/2006/main">
                <a:ext uri="{FF2B5EF4-FFF2-40B4-BE49-F238E27FC236}">
                  <a16:creationId xmlns:a16="http://schemas.microsoft.com/office/drawing/2014/main" id="{D76E4591-EE87-4AF1-B79F-514533008F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8A0918B" w14:textId="77777777" w:rsidR="00BD6FED" w:rsidRDefault="00BD6FED" w:rsidP="00BD6FED">
      <w:pPr>
        <w:jc w:val="left"/>
      </w:pPr>
      <w:r>
        <w:rPr>
          <w:rFonts w:hint="eastAsia"/>
        </w:rPr>
        <w:t>F</w:t>
      </w:r>
      <w:r>
        <w:t>igure 4.10: Employee education structure</w:t>
      </w:r>
    </w:p>
    <w:p w14:paraId="02FC57AB" w14:textId="77777777" w:rsidR="00BD6FED" w:rsidRDefault="00BD6FED" w:rsidP="00BD6FED">
      <w:pPr>
        <w:jc w:val="left"/>
      </w:pPr>
    </w:p>
    <w:p w14:paraId="25BBEA41" w14:textId="77777777" w:rsidR="00BD6FED" w:rsidRDefault="00BD6FED" w:rsidP="00BD6FED">
      <w:pPr>
        <w:jc w:val="left"/>
        <w:rPr>
          <w:rFonts w:ascii="Times New Roman" w:hAnsi="Times New Roman" w:cs="Times New Roman"/>
        </w:rPr>
      </w:pPr>
      <w:proofErr w:type="gramStart"/>
      <w:r w:rsidRPr="00BD1773">
        <w:rPr>
          <w:rFonts w:ascii="Times New Roman" w:hAnsi="Times New Roman" w:cs="Times New Roman"/>
        </w:rPr>
        <w:t>It can be seen that SAIC</w:t>
      </w:r>
      <w:proofErr w:type="gramEnd"/>
      <w:r w:rsidRPr="00BD1773">
        <w:rPr>
          <w:rFonts w:ascii="Times New Roman" w:hAnsi="Times New Roman" w:cs="Times New Roman"/>
        </w:rPr>
        <w:t xml:space="preserve"> Group and its affiliated enterprises have established a perfect recruitment </w:t>
      </w:r>
      <w:r w:rsidRPr="00BD1773">
        <w:rPr>
          <w:rFonts w:ascii="Times New Roman" w:hAnsi="Times New Roman" w:cs="Times New Roman"/>
        </w:rPr>
        <w:lastRenderedPageBreak/>
        <w:t>and employment mechanism, the recruitment procedures are open and transparent, the labor contract signing is standardized, and the labor contract signing rate reaches 100%. There is no use of underage workers, and there is no gender, ethnic, physiological discrimination in recruitment.</w:t>
      </w:r>
      <w:r>
        <w:rPr>
          <w:rFonts w:ascii="Times New Roman" w:hAnsi="Times New Roman" w:cs="Times New Roman"/>
        </w:rPr>
        <w:t xml:space="preserve"> </w:t>
      </w:r>
    </w:p>
    <w:p w14:paraId="35167CC2" w14:textId="77777777" w:rsidR="00BD6FED" w:rsidRDefault="00BD6FED" w:rsidP="00BD6FED">
      <w:pPr>
        <w:jc w:val="left"/>
        <w:rPr>
          <w:rFonts w:ascii="Times New Roman" w:hAnsi="Times New Roman" w:cs="Times New Roman"/>
        </w:rPr>
      </w:pPr>
      <w:r>
        <w:rPr>
          <w:rFonts w:ascii="Times New Roman" w:hAnsi="Times New Roman" w:cs="Times New Roman"/>
        </w:rPr>
        <w:t>By taking account of figure 4.9, 4.10, 4.11, t</w:t>
      </w:r>
      <w:r w:rsidRPr="00FB5DDF">
        <w:rPr>
          <w:rFonts w:ascii="Times New Roman" w:hAnsi="Times New Roman" w:cs="Times New Roman"/>
        </w:rPr>
        <w:t>he</w:t>
      </w:r>
      <w:r>
        <w:rPr>
          <w:rFonts w:ascii="Times New Roman" w:hAnsi="Times New Roman" w:cs="Times New Roman"/>
        </w:rPr>
        <w:t>se</w:t>
      </w:r>
      <w:r w:rsidRPr="00FB5DDF">
        <w:rPr>
          <w:rFonts w:ascii="Times New Roman" w:hAnsi="Times New Roman" w:cs="Times New Roman"/>
        </w:rPr>
        <w:t xml:space="preserve"> data shows that SAIC has a </w:t>
      </w:r>
      <w:r>
        <w:rPr>
          <w:rFonts w:ascii="Times New Roman" w:hAnsi="Times New Roman" w:cs="Times New Roman"/>
        </w:rPr>
        <w:t>complete</w:t>
      </w:r>
      <w:r w:rsidRPr="00FB5DDF">
        <w:rPr>
          <w:rFonts w:ascii="Times New Roman" w:hAnsi="Times New Roman" w:cs="Times New Roman"/>
        </w:rPr>
        <w:t xml:space="preserve"> recruitment system and standards in terms of employee recruitment. It strictly abides by the specific requirements and regulations of relevant labor laws in terms of employee age structure, gender and education background, </w:t>
      </w:r>
      <w:proofErr w:type="gramStart"/>
      <w:r w:rsidRPr="00FB5DDF">
        <w:rPr>
          <w:rFonts w:ascii="Times New Roman" w:hAnsi="Times New Roman" w:cs="Times New Roman"/>
        </w:rPr>
        <w:t>so as to</w:t>
      </w:r>
      <w:proofErr w:type="gramEnd"/>
      <w:r w:rsidRPr="00FB5DDF">
        <w:rPr>
          <w:rFonts w:ascii="Times New Roman" w:hAnsi="Times New Roman" w:cs="Times New Roman"/>
        </w:rPr>
        <w:t xml:space="preserve"> eliminate discrimination</w:t>
      </w:r>
      <w:r>
        <w:rPr>
          <w:rFonts w:ascii="Times New Roman" w:hAnsi="Times New Roman" w:cs="Times New Roman"/>
        </w:rPr>
        <w:t xml:space="preserve"> in employment</w:t>
      </w:r>
      <w:r w:rsidRPr="00FB5DDF">
        <w:rPr>
          <w:rFonts w:ascii="Times New Roman" w:hAnsi="Times New Roman" w:cs="Times New Roman"/>
        </w:rPr>
        <w:t>.</w:t>
      </w:r>
    </w:p>
    <w:p w14:paraId="3ABCF159" w14:textId="77777777" w:rsidR="00BD6FED" w:rsidRDefault="00BD6FED" w:rsidP="00BD6FED">
      <w:pPr>
        <w:jc w:val="left"/>
      </w:pPr>
      <w:r>
        <w:rPr>
          <w:noProof/>
        </w:rPr>
        <w:drawing>
          <wp:inline distT="0" distB="0" distL="0" distR="0" wp14:anchorId="45632313" wp14:editId="0745750F">
            <wp:extent cx="5248910" cy="2935111"/>
            <wp:effectExtent l="0" t="0" r="8890" b="17780"/>
            <wp:docPr id="8" name="图表 8">
              <a:extLst xmlns:a="http://schemas.openxmlformats.org/drawingml/2006/main">
                <a:ext uri="{FF2B5EF4-FFF2-40B4-BE49-F238E27FC236}">
                  <a16:creationId xmlns:a16="http://schemas.microsoft.com/office/drawing/2014/main" id="{2DFBC89D-9AA5-40DC-AD8C-3ADBCA2932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D83B91F" w14:textId="77777777" w:rsidR="00BD6FED" w:rsidRDefault="00BD6FED" w:rsidP="00BD6FED">
      <w:pPr>
        <w:jc w:val="left"/>
      </w:pPr>
      <w:r>
        <w:rPr>
          <w:rFonts w:hint="eastAsia"/>
        </w:rPr>
        <w:t>F</w:t>
      </w:r>
      <w:r>
        <w:t>igure 4.11: Employee gender structure</w:t>
      </w:r>
    </w:p>
    <w:p w14:paraId="4161D9A4" w14:textId="77777777" w:rsidR="00BD6FED" w:rsidRDefault="00BD6FED" w:rsidP="00BD6FED">
      <w:pPr>
        <w:jc w:val="left"/>
      </w:pPr>
    </w:p>
    <w:p w14:paraId="61E73A53" w14:textId="77777777" w:rsidR="00BD6FED" w:rsidRDefault="00BD6FED" w:rsidP="00BD6FED">
      <w:r w:rsidRPr="00585595">
        <w:t xml:space="preserve">Focusing on the vision, mission, values and the "new four modernizations" strategy, SAIC Group vigorously promoted the vocational education of SAIC employees, continuously increased the investment in employee education and training, and accelerated the promotion of ability building and employee quality improvement. The annual number of personnel participating in various types of training at all levels was about 1.033 million, </w:t>
      </w:r>
      <w:r>
        <w:t xml:space="preserve">there is </w:t>
      </w:r>
      <w:r w:rsidRPr="00585595">
        <w:t>an increase of 8% compared with 2017</w:t>
      </w:r>
      <w:r>
        <w:rPr>
          <w:rFonts w:hint="eastAsia"/>
        </w:rPr>
        <w:t>.</w:t>
      </w:r>
      <w:r>
        <w:t xml:space="preserve"> Which show</w:t>
      </w:r>
    </w:p>
    <w:p w14:paraId="7EB56282" w14:textId="77777777" w:rsidR="00BD6FED" w:rsidRDefault="00BD6FED" w:rsidP="00BD6FED">
      <w:pPr>
        <w:jc w:val="left"/>
      </w:pPr>
    </w:p>
    <w:p w14:paraId="0F9105B2" w14:textId="77777777" w:rsidR="00BD6FED" w:rsidRDefault="00BD6FED" w:rsidP="00BD6FED">
      <w:r w:rsidRPr="00CB6FFC">
        <w:t>According to the law of the people's Republic of China on work safety and other relevant laws and regulations, SAIC has continued to maintain a high level of investment in comprehensive guarantee of work safety, vigorously improved the intrinsic safety of equipment and facilities, improved the on-site working environment, and laid a solid foundation for the physical and mental health of employees, the safe production of enterprises and the fulfillment of social safety responsibilities. According to the social responsibility report of SAIC in 2018, all 206 production-oriented enterprises affiliated to SAIC Group have completed the work of safety standardization, including 6 newly established enterprises that have reached the standard, 43 enterprises that have been reevaluated and renewed certificates upon expiration, and 163 enterprises that have completed the self-assessment of safety standardization. The safety standardization evaluation was also successfully completed.</w:t>
      </w:r>
      <w:r>
        <w:t xml:space="preserve"> </w:t>
      </w:r>
    </w:p>
    <w:p w14:paraId="499449DE" w14:textId="77777777" w:rsidR="00BD6FED" w:rsidRDefault="00BD6FED" w:rsidP="00BD6FED">
      <w:r w:rsidRPr="00A44CF3">
        <w:t>The increase in employees' vocational training and development as well as investment in safety reflects SAIC's fulfillment of legal responsibilities</w:t>
      </w:r>
    </w:p>
    <w:p w14:paraId="58E29912" w14:textId="77777777" w:rsidR="00BD6FED" w:rsidRPr="000A6B5E" w:rsidRDefault="00BD6FED" w:rsidP="00BD6FED"/>
    <w:p w14:paraId="08173610" w14:textId="77777777" w:rsidR="00BD6FED" w:rsidRDefault="00BD6FED" w:rsidP="00BD6FED">
      <w:r>
        <w:rPr>
          <w:rFonts w:hint="eastAsia"/>
        </w:rPr>
        <w:t>O</w:t>
      </w:r>
      <w:r>
        <w:t xml:space="preserve">n the other hand, it is obvious that </w:t>
      </w:r>
      <w:r w:rsidRPr="00C73015">
        <w:t>SAIC's investment in production safety increased year</w:t>
      </w:r>
      <w:r>
        <w:t>ly</w:t>
      </w:r>
      <w:r w:rsidRPr="00C73015">
        <w:t>, reaching the highest value of 790 million yuan in 2018</w:t>
      </w:r>
      <w:r>
        <w:t>.</w:t>
      </w:r>
      <w:r w:rsidRPr="000A0E56">
        <w:t xml:space="preserve"> Previous studies have shown that although government has always been given priority to corporate social and environmental responsibility, it is more</w:t>
      </w:r>
      <w:r>
        <w:t xml:space="preserve"> c</w:t>
      </w:r>
      <w:r w:rsidRPr="000A0E56">
        <w:t>ommon for enterprises to take responsibility for the impact of social and environmental problems (Forsyth, 1997</w:t>
      </w:r>
      <w:r>
        <w:t xml:space="preserve">, </w:t>
      </w:r>
      <w:r w:rsidRPr="000A0E56">
        <w:t>Khan and Lockhart, 2019)</w:t>
      </w:r>
    </w:p>
    <w:p w14:paraId="7D81B436" w14:textId="77777777" w:rsidR="00BD6FED" w:rsidRDefault="00BD6FED" w:rsidP="00BD6FED"/>
    <w:p w14:paraId="73EB88DB" w14:textId="77777777" w:rsidR="00BD6FED" w:rsidRDefault="00BD6FED" w:rsidP="00BD6FED"/>
    <w:p w14:paraId="2DEE2289" w14:textId="77777777" w:rsidR="00BD6FED" w:rsidRPr="001929D4" w:rsidRDefault="00BD6FED" w:rsidP="00BD6FED">
      <w:pPr>
        <w:jc w:val="left"/>
      </w:pPr>
    </w:p>
    <w:p w14:paraId="23AFA7AE" w14:textId="77777777" w:rsidR="00BD6FED" w:rsidRDefault="00BD6FED" w:rsidP="00BD6FED">
      <w:pPr>
        <w:jc w:val="left"/>
      </w:pPr>
      <w:r>
        <w:rPr>
          <w:noProof/>
        </w:rPr>
        <w:drawing>
          <wp:inline distT="0" distB="0" distL="0" distR="0" wp14:anchorId="0EA87C2C" wp14:editId="70B04E8A">
            <wp:extent cx="5274310" cy="3204898"/>
            <wp:effectExtent l="0" t="0" r="2540" b="14605"/>
            <wp:docPr id="5" name="图表 5">
              <a:extLst xmlns:a="http://schemas.openxmlformats.org/drawingml/2006/main">
                <a:ext uri="{FF2B5EF4-FFF2-40B4-BE49-F238E27FC236}">
                  <a16:creationId xmlns:a16="http://schemas.microsoft.com/office/drawing/2014/main" id="{10886708-D3F8-42E5-940D-C55A40F30F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4C083BF" w14:textId="77777777" w:rsidR="00BD6FED" w:rsidRDefault="00BD6FED" w:rsidP="00BD6FED">
      <w:pPr>
        <w:jc w:val="left"/>
      </w:pPr>
      <w:r>
        <w:rPr>
          <w:rFonts w:hint="eastAsia"/>
        </w:rPr>
        <w:t>F</w:t>
      </w:r>
      <w:r>
        <w:t xml:space="preserve">igure 4.12: Safety investment in 2016-2018   </w:t>
      </w:r>
    </w:p>
    <w:p w14:paraId="088AFF72" w14:textId="77777777" w:rsidR="00BD6FED" w:rsidRDefault="00BD6FED" w:rsidP="00BD6FED">
      <w:pPr>
        <w:jc w:val="left"/>
      </w:pPr>
    </w:p>
    <w:p w14:paraId="57766FB6" w14:textId="77777777" w:rsidR="00BD6FED" w:rsidRPr="00ED6DDE" w:rsidRDefault="00BD6FED" w:rsidP="00BD6FED">
      <w:pPr>
        <w:jc w:val="left"/>
        <w:rPr>
          <w:color w:val="4472C4" w:themeColor="accent1"/>
        </w:rPr>
      </w:pPr>
      <w:r w:rsidRPr="00ED6DDE">
        <w:rPr>
          <w:rFonts w:ascii="Times New Roman" w:hAnsi="Times New Roman" w:cs="Times New Roman"/>
          <w:color w:val="4472C4" w:themeColor="accent1"/>
        </w:rPr>
        <w:t>4.2.4 CSR from the perspective of discretion</w:t>
      </w:r>
    </w:p>
    <w:p w14:paraId="75A874E7" w14:textId="77777777" w:rsidR="00BD6FED" w:rsidRDefault="00BD6FED" w:rsidP="00BD6FED">
      <w:pPr>
        <w:jc w:val="left"/>
      </w:pPr>
    </w:p>
    <w:p w14:paraId="5A99AF50" w14:textId="77777777" w:rsidR="00BD6FED" w:rsidRDefault="00BD6FED" w:rsidP="00BD6FED">
      <w:pPr>
        <w:jc w:val="left"/>
      </w:pPr>
      <w:r>
        <w:rPr>
          <w:rFonts w:hint="eastAsia"/>
        </w:rPr>
        <w:t>A</w:t>
      </w:r>
      <w:r>
        <w:t xml:space="preserve">t first, </w:t>
      </w:r>
      <w:r w:rsidRPr="00EC04FA">
        <w:t>SAIC devotes itself to public welfare and attaches importance to community</w:t>
      </w:r>
      <w:r>
        <w:t>.</w:t>
      </w:r>
      <w:r w:rsidRPr="00EC04FA">
        <w:t xml:space="preserve"> </w:t>
      </w:r>
      <w:r>
        <w:t>SAIC Group and its affiliated enterprises actively participate in all kinds of social public welfare undertakings, actively respond to the call of the government, and actively carry out poverty alleviation activities around industry and employment poverty alleviation, education poverty alleviation, etc. according to incomplete statistics, as of 2017, SAIC Group has donated more than 30 million yuan around poverty alleviation projects, and as of December 2018, the total value of money and goods donated by SAIC Group More than 41 million yuan, the details are shown as follows.</w:t>
      </w:r>
    </w:p>
    <w:p w14:paraId="54E77165" w14:textId="77777777" w:rsidR="00BD6FED" w:rsidRDefault="00BD6FED" w:rsidP="00BD6FED">
      <w:pPr>
        <w:jc w:val="left"/>
      </w:pPr>
    </w:p>
    <w:p w14:paraId="4DF607A8" w14:textId="77777777" w:rsidR="00BD6FED" w:rsidRDefault="00BD6FED" w:rsidP="00BD6FED">
      <w:pPr>
        <w:jc w:val="left"/>
      </w:pPr>
      <w:r>
        <w:rPr>
          <w:noProof/>
        </w:rPr>
        <w:lastRenderedPageBreak/>
        <w:drawing>
          <wp:inline distT="0" distB="0" distL="0" distR="0" wp14:anchorId="36C20AEE" wp14:editId="4D2A1D9C">
            <wp:extent cx="4867275" cy="2743200"/>
            <wp:effectExtent l="0" t="0" r="9525" b="0"/>
            <wp:docPr id="14" name="图表 14">
              <a:extLst xmlns:a="http://schemas.openxmlformats.org/drawingml/2006/main">
                <a:ext uri="{FF2B5EF4-FFF2-40B4-BE49-F238E27FC236}">
                  <a16:creationId xmlns:a16="http://schemas.microsoft.com/office/drawing/2014/main" id="{DF1A055E-3043-4371-B84F-075A2A47DA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2909B4F" w14:textId="77777777" w:rsidR="00BD6FED" w:rsidRDefault="00BD6FED" w:rsidP="00BD6FED">
      <w:pPr>
        <w:jc w:val="left"/>
      </w:pPr>
      <w:r>
        <w:rPr>
          <w:rFonts w:hint="eastAsia"/>
        </w:rPr>
        <w:t>F</w:t>
      </w:r>
      <w:r>
        <w:t>igure 4.13: Total donation in 2017-2018</w:t>
      </w:r>
    </w:p>
    <w:p w14:paraId="30A31964" w14:textId="77777777" w:rsidR="00BD6FED" w:rsidRDefault="00BD6FED" w:rsidP="00BD6FED">
      <w:pPr>
        <w:jc w:val="left"/>
      </w:pPr>
    </w:p>
    <w:p w14:paraId="7C11D62F" w14:textId="77777777" w:rsidR="00BD6FED" w:rsidRDefault="00BD6FED" w:rsidP="00BD6FED">
      <w:pPr>
        <w:jc w:val="left"/>
      </w:pPr>
      <w:r>
        <w:rPr>
          <w:noProof/>
        </w:rPr>
        <w:drawing>
          <wp:inline distT="0" distB="0" distL="0" distR="0" wp14:anchorId="63BEB8A5" wp14:editId="26BE7D04">
            <wp:extent cx="4838700" cy="3095625"/>
            <wp:effectExtent l="0" t="0" r="0" b="9525"/>
            <wp:docPr id="15" name="图表 15">
              <a:extLst xmlns:a="http://schemas.openxmlformats.org/drawingml/2006/main">
                <a:ext uri="{FF2B5EF4-FFF2-40B4-BE49-F238E27FC236}">
                  <a16:creationId xmlns:a16="http://schemas.microsoft.com/office/drawing/2014/main" id="{7DD76883-70F2-465C-91B0-FC280B2ACC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352C681" w14:textId="77777777" w:rsidR="00BD6FED" w:rsidRDefault="00BD6FED" w:rsidP="00BD6FED">
      <w:pPr>
        <w:jc w:val="left"/>
      </w:pPr>
      <w:r>
        <w:rPr>
          <w:rFonts w:hint="eastAsia"/>
        </w:rPr>
        <w:t>F</w:t>
      </w:r>
      <w:r>
        <w:t>igure 4.14: Targeted poverty alleviation project</w:t>
      </w:r>
    </w:p>
    <w:p w14:paraId="29961F67" w14:textId="77777777" w:rsidR="00BD6FED" w:rsidRDefault="00BD6FED" w:rsidP="00BD6FED">
      <w:r>
        <w:t xml:space="preserve">In terms of public welfare donations, SAIC Group, together with its affiliated enterprises, donated about 8.4 million yuan in cash, vehicles and other materials to a few of primary schools and homes. Secondly, SAIC's vehicle and parts bases have been developed and constructed in Henan and other regions in succession, stimulating local industrial development and personnel employment. According to statistics, as of the reporting period. </w:t>
      </w:r>
    </w:p>
    <w:p w14:paraId="7F3F7267" w14:textId="77777777" w:rsidR="00BD6FED" w:rsidRDefault="00BD6FED" w:rsidP="00BD6FED"/>
    <w:p w14:paraId="4014DE44" w14:textId="77777777" w:rsidR="00BD6FED" w:rsidRDefault="00BD6FED" w:rsidP="00BD6FED">
      <w:r>
        <w:t>Thirdly, SAIC has donated more than 3 million yuan of various training equipment and vehicle parts. In terms of health, SAIC donated 20 million yuan to the Red Cross Foundation of China in 2018.</w:t>
      </w:r>
      <w:r>
        <w:rPr>
          <w:rFonts w:hint="eastAsia"/>
        </w:rPr>
        <w:t xml:space="preserve"> </w:t>
      </w:r>
      <w:r>
        <w:t xml:space="preserve">In order to achieve precise funding support, by December 2017, SAIC had completed the signing plan of 16 projects, with a total donation of 1.4695 million yuan. In December 2018, SAIC added four assistance programs </w:t>
      </w:r>
      <w:proofErr w:type="gramStart"/>
      <w:r>
        <w:t>on the basis of</w:t>
      </w:r>
      <w:proofErr w:type="gramEnd"/>
      <w:r>
        <w:t xml:space="preserve"> the above projects, with an </w:t>
      </w:r>
      <w:r>
        <w:lastRenderedPageBreak/>
        <w:t>investment of 2.15 million yuan.</w:t>
      </w:r>
    </w:p>
    <w:p w14:paraId="7B9FB27D" w14:textId="77777777" w:rsidR="00BD6FED" w:rsidRDefault="00BD6FED" w:rsidP="00BD6FED">
      <w:pPr>
        <w:jc w:val="left"/>
      </w:pPr>
    </w:p>
    <w:p w14:paraId="388F52CE" w14:textId="77777777" w:rsidR="00BD6FED" w:rsidRDefault="00BD6FED" w:rsidP="00BD6FED">
      <w:r w:rsidRPr="000A6B5E">
        <w:t>According to the data in Figure 4.13, the total donation amount of SAIC Group in 2018 increased by about 33% compared with that in 2017,</w:t>
      </w:r>
      <w:r>
        <w:t xml:space="preserve"> in addition, there is also a great rise in targeted poverty </w:t>
      </w:r>
      <w:r w:rsidRPr="000A6B5E">
        <w:rPr>
          <w:lang w:val="en-GB"/>
        </w:rPr>
        <w:t>alleviation project</w:t>
      </w:r>
      <w:r>
        <w:rPr>
          <w:lang w:val="en-GB"/>
        </w:rPr>
        <w:t>, i</w:t>
      </w:r>
      <w:r w:rsidRPr="000A6B5E">
        <w:rPr>
          <w:lang w:val="en-GB"/>
        </w:rPr>
        <w:t>t can be concluded that SAIC Group's contribution to charity donation and social welfare shows an upward trend</w:t>
      </w:r>
      <w:r>
        <w:rPr>
          <w:lang w:val="en-GB"/>
        </w:rPr>
        <w:t>.</w:t>
      </w:r>
    </w:p>
    <w:p w14:paraId="6D688A2A" w14:textId="77777777" w:rsidR="00BD6FED" w:rsidRDefault="00BD6FED" w:rsidP="00BD6FED">
      <w:r>
        <w:t>To sum up, SAIC has fulfilled its corporate social responsibility through a series of charitable donation and other fund support programs.</w:t>
      </w:r>
    </w:p>
    <w:p w14:paraId="3328E40D" w14:textId="77777777" w:rsidR="0027145A" w:rsidRPr="00BD6FED" w:rsidRDefault="0027145A"/>
    <w:sectPr w:rsidR="0027145A" w:rsidRPr="00BD6F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E2414" w14:textId="77777777" w:rsidR="00735EDD" w:rsidRDefault="00735EDD" w:rsidP="00BD6FED">
      <w:r>
        <w:separator/>
      </w:r>
    </w:p>
  </w:endnote>
  <w:endnote w:type="continuationSeparator" w:id="0">
    <w:p w14:paraId="0CF003D2" w14:textId="77777777" w:rsidR="00735EDD" w:rsidRDefault="00735EDD" w:rsidP="00BD6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6D9EB" w14:textId="77777777" w:rsidR="00735EDD" w:rsidRDefault="00735EDD" w:rsidP="00BD6FED">
      <w:r>
        <w:separator/>
      </w:r>
    </w:p>
  </w:footnote>
  <w:footnote w:type="continuationSeparator" w:id="0">
    <w:p w14:paraId="462B0E83" w14:textId="77777777" w:rsidR="00735EDD" w:rsidRDefault="00735EDD" w:rsidP="00BD6F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4CF"/>
    <w:rsid w:val="0027145A"/>
    <w:rsid w:val="00735EDD"/>
    <w:rsid w:val="00BD6FED"/>
    <w:rsid w:val="00C014CF"/>
    <w:rsid w:val="00FE3E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E9DB70-B5D7-421C-B93F-3761F0EE6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6FE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6FE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D6FED"/>
    <w:rPr>
      <w:sz w:val="18"/>
      <w:szCs w:val="18"/>
    </w:rPr>
  </w:style>
  <w:style w:type="paragraph" w:styleId="a5">
    <w:name w:val="footer"/>
    <w:basedOn w:val="a"/>
    <w:link w:val="a6"/>
    <w:uiPriority w:val="99"/>
    <w:unhideWhenUsed/>
    <w:rsid w:val="00BD6FED"/>
    <w:pPr>
      <w:tabs>
        <w:tab w:val="center" w:pos="4153"/>
        <w:tab w:val="right" w:pos="8306"/>
      </w:tabs>
      <w:snapToGrid w:val="0"/>
      <w:jc w:val="left"/>
    </w:pPr>
    <w:rPr>
      <w:sz w:val="18"/>
      <w:szCs w:val="18"/>
    </w:rPr>
  </w:style>
  <w:style w:type="character" w:customStyle="1" w:styleId="a6">
    <w:name w:val="页脚 字符"/>
    <w:basedOn w:val="a0"/>
    <w:link w:val="a5"/>
    <w:uiPriority w:val="99"/>
    <w:rsid w:val="00BD6FE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18" Type="http://schemas.openxmlformats.org/officeDocument/2006/relationships/chart" Target="charts/chart13.xml"/><Relationship Id="rId3" Type="http://schemas.openxmlformats.org/officeDocument/2006/relationships/webSettings" Target="webSettings.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chart" Target="charts/chart12.xml"/><Relationship Id="rId2" Type="http://schemas.openxmlformats.org/officeDocument/2006/relationships/settings" Target="settings.xml"/><Relationship Id="rId16" Type="http://schemas.openxmlformats.org/officeDocument/2006/relationships/chart" Target="charts/chart1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endnotes" Target="endnotes.xml"/><Relationship Id="rId15" Type="http://schemas.openxmlformats.org/officeDocument/2006/relationships/chart" Target="charts/chart10.xml"/><Relationship Id="rId10" Type="http://schemas.openxmlformats.org/officeDocument/2006/relationships/chart" Target="charts/chart5.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chart" Target="charts/chart4.xml"/><Relationship Id="rId14" Type="http://schemas.openxmlformats.org/officeDocument/2006/relationships/chart" Target="charts/chart9.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yc\Desktop\&#26032;&#24314;%20Microsoft%20Excel%20&#24037;&#20316;&#349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yc\Desktop\&#26032;&#24314;%20Microsoft%20Excel%20&#24037;&#20316;&#349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yc\Desktop\&#26032;&#24314;%20Microsoft%20Excel%20&#24037;&#20316;&#349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yc\Desktop\&#26032;&#24314;%20Microsoft%20Excel%20&#24037;&#20316;&#3492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Dyc\Desktop\&#26032;&#24314;%20Microsoft%20Excel%20&#24037;&#20316;&#3492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Dyc\Desktop\&#26032;&#24314;%20Microsoft%20Excel%20&#24037;&#20316;&#3492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Dyc\Desktop\&#26032;&#24314;%20Microsoft%20Excel%20&#24037;&#20316;&#34920;.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Dyc\Desktop\&#26032;&#24314;%20Microsoft%20Excel%20&#24037;&#20316;&#34920;.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Dyc\Desktop\&#26032;&#24314;%20Microsoft%20Excel%20&#24037;&#20316;&#34920;.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Dyc\Desktop\&#26032;&#24314;%20Microsoft%20Excel%20&#24037;&#20316;&#34920;.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Dyc\Desktop\&#26032;&#24314;%20Microsoft%20Excel%20&#24037;&#20316;&#34920;.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Dyc\Desktop\&#26032;&#24314;%20Microsoft%20Excel%20&#24037;&#20316;&#34920;.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Dyc\Desktop\&#26032;&#24314;%20Microsoft%20Excel%20&#24037;&#20316;&#34920;.xlsx" TargetMode="External"/><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Sales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Sales(million)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Sheet1!$A$2:$A$4</c:f>
              <c:numCache>
                <c:formatCode>General</c:formatCode>
                <c:ptCount val="3"/>
                <c:pt idx="0">
                  <c:v>2017</c:v>
                </c:pt>
                <c:pt idx="1">
                  <c:v>2018</c:v>
                </c:pt>
                <c:pt idx="2">
                  <c:v>2019</c:v>
                </c:pt>
              </c:numCache>
            </c:numRef>
          </c:cat>
          <c:val>
            <c:numRef>
              <c:f>Sheet1!$B$2:$B$4</c:f>
              <c:numCache>
                <c:formatCode>General</c:formatCode>
                <c:ptCount val="3"/>
                <c:pt idx="0">
                  <c:v>693</c:v>
                </c:pt>
                <c:pt idx="1">
                  <c:v>705</c:v>
                </c:pt>
                <c:pt idx="2">
                  <c:v>624</c:v>
                </c:pt>
              </c:numCache>
            </c:numRef>
          </c:val>
          <c:extLst>
            <c:ext xmlns:c16="http://schemas.microsoft.com/office/drawing/2014/chart" uri="{C3380CC4-5D6E-409C-BE32-E72D297353CC}">
              <c16:uniqueId val="{00000000-5B3C-4847-B068-5D1A9D5C5215}"/>
            </c:ext>
          </c:extLst>
        </c:ser>
        <c:dLbls>
          <c:dLblPos val="outEnd"/>
          <c:showLegendKey val="0"/>
          <c:showVal val="1"/>
          <c:showCatName val="0"/>
          <c:showSerName val="0"/>
          <c:showPercent val="0"/>
          <c:showBubbleSize val="0"/>
        </c:dLbls>
        <c:gapWidth val="219"/>
        <c:overlap val="-27"/>
        <c:axId val="603977040"/>
        <c:axId val="603978352"/>
      </c:barChart>
      <c:catAx>
        <c:axId val="60397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03978352"/>
        <c:crosses val="autoZero"/>
        <c:auto val="1"/>
        <c:lblAlgn val="ctr"/>
        <c:lblOffset val="100"/>
        <c:noMultiLvlLbl val="0"/>
      </c:catAx>
      <c:valAx>
        <c:axId val="603978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03977040"/>
        <c:crosses val="autoZero"/>
        <c:crossBetween val="between"/>
      </c:valAx>
      <c:spPr>
        <a:noFill/>
        <a:ln>
          <a:noFill/>
        </a:ln>
        <a:effectLst/>
      </c:spPr>
    </c:plotArea>
    <c:legend>
      <c:legendPos val="r"/>
      <c:legendEntry>
        <c:idx val="0"/>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zh-CN"/>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Sales(Passenger</a:t>
            </a:r>
            <a:r>
              <a:rPr lang="en-US" altLang="zh-CN" baseline="0"/>
              <a:t> Vehicles</a:t>
            </a:r>
            <a:r>
              <a:rPr lang="en-US" altLang="zh-CN"/>
              <a:t>)</a:t>
            </a:r>
          </a:p>
        </c:rich>
      </c:tx>
      <c:layout>
        <c:manualLayout>
          <c:xMode val="edge"/>
          <c:yMode val="edge"/>
          <c:x val="0.39434711286089241"/>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Sheet1!$F$5</c:f>
              <c:strCache>
                <c:ptCount val="1"/>
                <c:pt idx="0">
                  <c:v>Sales(million)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Sheet1!$E$6:$E$7</c:f>
              <c:numCache>
                <c:formatCode>General</c:formatCode>
                <c:ptCount val="2"/>
                <c:pt idx="0">
                  <c:v>2018</c:v>
                </c:pt>
                <c:pt idx="1">
                  <c:v>2019</c:v>
                </c:pt>
              </c:numCache>
            </c:numRef>
          </c:cat>
          <c:val>
            <c:numRef>
              <c:f>Sheet1!$F$6:$F$7</c:f>
              <c:numCache>
                <c:formatCode>General</c:formatCode>
                <c:ptCount val="2"/>
                <c:pt idx="0">
                  <c:v>616.20000000000005</c:v>
                </c:pt>
                <c:pt idx="1">
                  <c:v>537.79999999999995</c:v>
                </c:pt>
              </c:numCache>
            </c:numRef>
          </c:val>
          <c:extLst>
            <c:ext xmlns:c16="http://schemas.microsoft.com/office/drawing/2014/chart" uri="{C3380CC4-5D6E-409C-BE32-E72D297353CC}">
              <c16:uniqueId val="{00000000-0003-4C48-9A32-70A84851D9E7}"/>
            </c:ext>
          </c:extLst>
        </c:ser>
        <c:dLbls>
          <c:dLblPos val="outEnd"/>
          <c:showLegendKey val="0"/>
          <c:showVal val="1"/>
          <c:showCatName val="0"/>
          <c:showSerName val="0"/>
          <c:showPercent val="0"/>
          <c:showBubbleSize val="0"/>
        </c:dLbls>
        <c:gapWidth val="219"/>
        <c:overlap val="-27"/>
        <c:axId val="563034480"/>
        <c:axId val="563034808"/>
      </c:barChart>
      <c:catAx>
        <c:axId val="563034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63034808"/>
        <c:crosses val="autoZero"/>
        <c:auto val="1"/>
        <c:lblAlgn val="ctr"/>
        <c:lblOffset val="100"/>
        <c:noMultiLvlLbl val="0"/>
      </c:catAx>
      <c:valAx>
        <c:axId val="563034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6303448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Total</a:t>
            </a:r>
            <a:r>
              <a:rPr lang="en-US" altLang="zh-CN" baseline="0"/>
              <a:t> asset</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Sheet1!$A$1:$A$2</c:f>
              <c:numCache>
                <c:formatCode>General</c:formatCode>
                <c:ptCount val="2"/>
                <c:pt idx="0">
                  <c:v>2017</c:v>
                </c:pt>
                <c:pt idx="1">
                  <c:v>2018</c:v>
                </c:pt>
              </c:numCache>
            </c:numRef>
          </c:cat>
          <c:val>
            <c:numRef>
              <c:f>Sheet1!$B$1:$B$2</c:f>
              <c:numCache>
                <c:formatCode>General</c:formatCode>
                <c:ptCount val="2"/>
                <c:pt idx="0">
                  <c:v>723.53</c:v>
                </c:pt>
                <c:pt idx="1">
                  <c:v>782.87</c:v>
                </c:pt>
              </c:numCache>
            </c:numRef>
          </c:val>
          <c:extLst>
            <c:ext xmlns:c16="http://schemas.microsoft.com/office/drawing/2014/chart" uri="{C3380CC4-5D6E-409C-BE32-E72D297353CC}">
              <c16:uniqueId val="{00000000-178C-49B2-A314-A89F50D3727C}"/>
            </c:ext>
          </c:extLst>
        </c:ser>
        <c:dLbls>
          <c:dLblPos val="outEnd"/>
          <c:showLegendKey val="0"/>
          <c:showVal val="1"/>
          <c:showCatName val="0"/>
          <c:showSerName val="0"/>
          <c:showPercent val="0"/>
          <c:showBubbleSize val="0"/>
        </c:dLbls>
        <c:gapWidth val="182"/>
        <c:axId val="493062616"/>
        <c:axId val="493062944"/>
      </c:barChart>
      <c:catAx>
        <c:axId val="4930626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zh-CN"/>
          </a:p>
        </c:txPr>
        <c:crossAx val="493062944"/>
        <c:crosses val="autoZero"/>
        <c:auto val="1"/>
        <c:lblAlgn val="ctr"/>
        <c:lblOffset val="100"/>
        <c:noMultiLvlLbl val="0"/>
      </c:catAx>
      <c:valAx>
        <c:axId val="4930629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altLang="zh-CN" sz="1400"/>
                  <a:t>Billion (yuan)</a:t>
                </a:r>
                <a:endParaRPr lang="zh-CN" altLang="en-US" sz="1400"/>
              </a:p>
            </c:rich>
          </c:tx>
          <c:layout>
            <c:manualLayout>
              <c:xMode val="edge"/>
              <c:yMode val="edge"/>
              <c:x val="0.42818613298337704"/>
              <c:y val="0.86995370370370373"/>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zh-CN"/>
          </a:p>
        </c:txPr>
        <c:crossAx val="4930626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Net asset</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Sheet1!$A$21:$A$22</c:f>
              <c:numCache>
                <c:formatCode>General</c:formatCode>
                <c:ptCount val="2"/>
                <c:pt idx="0">
                  <c:v>2017</c:v>
                </c:pt>
                <c:pt idx="1">
                  <c:v>2018</c:v>
                </c:pt>
              </c:numCache>
            </c:numRef>
          </c:cat>
          <c:val>
            <c:numRef>
              <c:f>Sheet1!$B$21:$B$22</c:f>
              <c:numCache>
                <c:formatCode>General</c:formatCode>
                <c:ptCount val="2"/>
                <c:pt idx="0">
                  <c:v>225.33</c:v>
                </c:pt>
                <c:pt idx="1">
                  <c:v>234.37</c:v>
                </c:pt>
              </c:numCache>
            </c:numRef>
          </c:val>
          <c:extLst>
            <c:ext xmlns:c16="http://schemas.microsoft.com/office/drawing/2014/chart" uri="{C3380CC4-5D6E-409C-BE32-E72D297353CC}">
              <c16:uniqueId val="{00000000-E7F5-417A-AD43-D4DB82CD976A}"/>
            </c:ext>
          </c:extLst>
        </c:ser>
        <c:dLbls>
          <c:showLegendKey val="0"/>
          <c:showVal val="0"/>
          <c:showCatName val="0"/>
          <c:showSerName val="0"/>
          <c:showPercent val="0"/>
          <c:showBubbleSize val="0"/>
        </c:dLbls>
        <c:gapWidth val="182"/>
        <c:axId val="381444528"/>
        <c:axId val="381440920"/>
      </c:barChart>
      <c:catAx>
        <c:axId val="3814445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zh-CN"/>
          </a:p>
        </c:txPr>
        <c:crossAx val="381440920"/>
        <c:crosses val="autoZero"/>
        <c:auto val="1"/>
        <c:lblAlgn val="ctr"/>
        <c:lblOffset val="100"/>
        <c:noMultiLvlLbl val="0"/>
      </c:catAx>
      <c:valAx>
        <c:axId val="3814409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altLang="zh-CN" sz="1100"/>
                  <a:t>Billion</a:t>
                </a:r>
                <a:r>
                  <a:rPr lang="en-US" altLang="zh-CN" sz="1100" baseline="0"/>
                  <a:t> (yuan)</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zh-CN"/>
          </a:p>
        </c:txPr>
        <c:crossAx val="381444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Tax revenue</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Sheet1!$A$24:$A$25</c:f>
              <c:numCache>
                <c:formatCode>General</c:formatCode>
                <c:ptCount val="2"/>
                <c:pt idx="0">
                  <c:v>2017</c:v>
                </c:pt>
                <c:pt idx="1">
                  <c:v>2018</c:v>
                </c:pt>
              </c:numCache>
            </c:numRef>
          </c:cat>
          <c:val>
            <c:numRef>
              <c:f>Sheet1!$B$24:$B$25</c:f>
              <c:numCache>
                <c:formatCode>General</c:formatCode>
                <c:ptCount val="2"/>
                <c:pt idx="0">
                  <c:v>99.789000000000001</c:v>
                </c:pt>
                <c:pt idx="1">
                  <c:v>103.1</c:v>
                </c:pt>
              </c:numCache>
            </c:numRef>
          </c:val>
          <c:extLst>
            <c:ext xmlns:c16="http://schemas.microsoft.com/office/drawing/2014/chart" uri="{C3380CC4-5D6E-409C-BE32-E72D297353CC}">
              <c16:uniqueId val="{00000000-DF4D-4204-8549-A4D907CC043A}"/>
            </c:ext>
          </c:extLst>
        </c:ser>
        <c:dLbls>
          <c:showLegendKey val="0"/>
          <c:showVal val="0"/>
          <c:showCatName val="0"/>
          <c:showSerName val="0"/>
          <c:showPercent val="0"/>
          <c:showBubbleSize val="0"/>
        </c:dLbls>
        <c:gapWidth val="182"/>
        <c:axId val="591160520"/>
        <c:axId val="591158880"/>
      </c:barChart>
      <c:catAx>
        <c:axId val="5911605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zh-CN"/>
          </a:p>
        </c:txPr>
        <c:crossAx val="591158880"/>
        <c:crosses val="autoZero"/>
        <c:auto val="1"/>
        <c:lblAlgn val="ctr"/>
        <c:lblOffset val="100"/>
        <c:noMultiLvlLbl val="0"/>
      </c:catAx>
      <c:valAx>
        <c:axId val="5911588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altLang="zh-CN" sz="1100"/>
                  <a:t>Billion (yuan)</a:t>
                </a:r>
                <a:endParaRPr lang="zh-CN" altLang="en-US" sz="1100"/>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zh-CN"/>
          </a:p>
        </c:txPr>
        <c:crossAx val="5911605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tLang="zh-CN"/>
              <a:t>Total industrial  value</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Sheet1!$A$39:$A$40</c:f>
              <c:numCache>
                <c:formatCode>General</c:formatCode>
                <c:ptCount val="2"/>
                <c:pt idx="0">
                  <c:v>2017</c:v>
                </c:pt>
                <c:pt idx="1">
                  <c:v>2018</c:v>
                </c:pt>
              </c:numCache>
            </c:numRef>
          </c:cat>
          <c:val>
            <c:numRef>
              <c:f>Sheet1!$B$39:$B$40</c:f>
              <c:numCache>
                <c:formatCode>General</c:formatCode>
                <c:ptCount val="2"/>
                <c:pt idx="0">
                  <c:v>886.72500000000002</c:v>
                </c:pt>
                <c:pt idx="1">
                  <c:v>907.93299999999999</c:v>
                </c:pt>
              </c:numCache>
            </c:numRef>
          </c:val>
          <c:extLst>
            <c:ext xmlns:c16="http://schemas.microsoft.com/office/drawing/2014/chart" uri="{C3380CC4-5D6E-409C-BE32-E72D297353CC}">
              <c16:uniqueId val="{00000000-AD39-4536-975F-0E7897C335E5}"/>
            </c:ext>
          </c:extLst>
        </c:ser>
        <c:dLbls>
          <c:showLegendKey val="0"/>
          <c:showVal val="0"/>
          <c:showCatName val="0"/>
          <c:showSerName val="0"/>
          <c:showPercent val="0"/>
          <c:showBubbleSize val="0"/>
        </c:dLbls>
        <c:gapWidth val="182"/>
        <c:axId val="498193104"/>
        <c:axId val="498191136"/>
      </c:barChart>
      <c:catAx>
        <c:axId val="4981931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altLang="zh-CN" sz="1050" b="0" i="0" u="none" strike="noStrike" kern="1200" baseline="0">
                <a:solidFill>
                  <a:schemeClr val="tx1">
                    <a:lumMod val="65000"/>
                    <a:lumOff val="35000"/>
                  </a:schemeClr>
                </a:solidFill>
                <a:latin typeface="+mn-lt"/>
                <a:ea typeface="+mn-ea"/>
                <a:cs typeface="+mn-cs"/>
              </a:defRPr>
            </a:pPr>
            <a:endParaRPr lang="zh-CN"/>
          </a:p>
        </c:txPr>
        <c:crossAx val="498191136"/>
        <c:crosses val="autoZero"/>
        <c:auto val="1"/>
        <c:lblAlgn val="ctr"/>
        <c:lblOffset val="100"/>
        <c:noMultiLvlLbl val="0"/>
      </c:catAx>
      <c:valAx>
        <c:axId val="4981911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altLang="zh-CN" sz="1100"/>
                  <a:t>Billion(yuan)</a:t>
                </a:r>
                <a:endParaRPr lang="zh-CN" altLang="en-US" sz="1100"/>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981931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ltLang="zh-CN"/>
              <a:t>Total carbon emission</a:t>
            </a:r>
            <a:endParaRPr lang="zh-CN"/>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zh-CN"/>
        </a:p>
      </c:txPr>
    </c:title>
    <c:autoTitleDeleted val="0"/>
    <c:plotArea>
      <c:layout/>
      <c:lineChart>
        <c:grouping val="standard"/>
        <c:varyColors val="0"/>
        <c:ser>
          <c:idx val="0"/>
          <c:order val="0"/>
          <c:spPr>
            <a:ln w="2222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Sheet1!$B$1:$B$3</c:f>
              <c:numCache>
                <c:formatCode>General</c:formatCode>
                <c:ptCount val="3"/>
                <c:pt idx="0">
                  <c:v>2017</c:v>
                </c:pt>
                <c:pt idx="1">
                  <c:v>2018</c:v>
                </c:pt>
                <c:pt idx="2">
                  <c:v>2019</c:v>
                </c:pt>
              </c:numCache>
            </c:numRef>
          </c:cat>
          <c:val>
            <c:numRef>
              <c:f>Sheet1!$A$1:$A$3</c:f>
              <c:numCache>
                <c:formatCode>General</c:formatCode>
                <c:ptCount val="3"/>
                <c:pt idx="0">
                  <c:v>0.88</c:v>
                </c:pt>
                <c:pt idx="1">
                  <c:v>0.83</c:v>
                </c:pt>
                <c:pt idx="2">
                  <c:v>0.85</c:v>
                </c:pt>
              </c:numCache>
            </c:numRef>
          </c:val>
          <c:smooth val="0"/>
          <c:extLst>
            <c:ext xmlns:c16="http://schemas.microsoft.com/office/drawing/2014/chart" uri="{C3380CC4-5D6E-409C-BE32-E72D297353CC}">
              <c16:uniqueId val="{00000000-640D-4A89-BC27-1E21E061EE6B}"/>
            </c:ext>
          </c:extLst>
        </c:ser>
        <c:dLbls>
          <c:dLblPos val="ctr"/>
          <c:showLegendKey val="0"/>
          <c:showVal val="1"/>
          <c:showCatName val="0"/>
          <c:showSerName val="0"/>
          <c:showPercent val="0"/>
          <c:showBubbleSize val="0"/>
        </c:dLbls>
        <c:smooth val="0"/>
        <c:axId val="385686704"/>
        <c:axId val="385688016"/>
      </c:lineChart>
      <c:catAx>
        <c:axId val="385686704"/>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zh-CN"/>
          </a:p>
        </c:txPr>
        <c:crossAx val="385688016"/>
        <c:crosses val="autoZero"/>
        <c:auto val="1"/>
        <c:lblAlgn val="ctr"/>
        <c:lblOffset val="100"/>
        <c:noMultiLvlLbl val="0"/>
      </c:catAx>
      <c:valAx>
        <c:axId val="385688016"/>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ltLang="zh-CN"/>
                  <a:t>Ten thousand </a:t>
                </a:r>
                <a:r>
                  <a:rPr lang="en-US" altLang="zh-CN" baseline="0"/>
                  <a:t> ton</a:t>
                </a:r>
                <a:endParaRPr lang="zh-CN" altLang="en-US"/>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zh-CN"/>
          </a:p>
        </c:txPr>
        <c:crossAx val="385686704"/>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zh-CN"/>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Employee age structure</a:t>
            </a:r>
            <a:endParaRPr lang="zh-CN" altLang="en-US"/>
          </a:p>
        </c:rich>
      </c:tx>
      <c:layout>
        <c:manualLayout>
          <c:xMode val="edge"/>
          <c:yMode val="edge"/>
          <c:x val="0.32174999999999998"/>
          <c:y val="1.388888888888888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004-4374-B164-53538CEF70F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004-4374-B164-53538CEF70F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004-4374-B164-53538CEF70F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004-4374-B164-53538CEF70F6}"/>
              </c:ext>
            </c:extLst>
          </c:dPt>
          <c:dLbls>
            <c:dLbl>
              <c:idx val="2"/>
              <c:layout>
                <c:manualLayout>
                  <c:x val="-5.7574667146455559E-2"/>
                  <c:y val="0.1011378002528445"/>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004-4374-B164-53538CEF70F6}"/>
                </c:ext>
              </c:extLst>
            </c:dLbl>
            <c:dLbl>
              <c:idx val="3"/>
              <c:layout>
                <c:manualLayout>
                  <c:x val="-3.3585222502099076E-2"/>
                  <c:y val="4.214075010535187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0004-4374-B164-53538CEF70F6}"/>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200" b="0" i="0" u="none" strike="noStrike" kern="1200" baseline="0">
                    <a:solidFill>
                      <a:schemeClr val="dk1">
                        <a:lumMod val="65000"/>
                        <a:lumOff val="35000"/>
                      </a:schemeClr>
                    </a:solidFill>
                    <a:latin typeface="+mn-lt"/>
                    <a:ea typeface="+mn-ea"/>
                    <a:cs typeface="+mn-cs"/>
                  </a:defRPr>
                </a:pPr>
                <a:endParaRPr lang="zh-CN"/>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Sheet1!$B$5:$B$8</c:f>
              <c:strCache>
                <c:ptCount val="4"/>
                <c:pt idx="0">
                  <c:v>Under 30</c:v>
                </c:pt>
                <c:pt idx="1">
                  <c:v>31~40</c:v>
                </c:pt>
                <c:pt idx="2">
                  <c:v>41-50</c:v>
                </c:pt>
                <c:pt idx="3">
                  <c:v>Over 50</c:v>
                </c:pt>
              </c:strCache>
            </c:strRef>
          </c:cat>
          <c:val>
            <c:numRef>
              <c:f>Sheet1!$C$5:$C$8</c:f>
              <c:numCache>
                <c:formatCode>General</c:formatCode>
                <c:ptCount val="4"/>
                <c:pt idx="0">
                  <c:v>53</c:v>
                </c:pt>
                <c:pt idx="1">
                  <c:v>29</c:v>
                </c:pt>
                <c:pt idx="2">
                  <c:v>13</c:v>
                </c:pt>
                <c:pt idx="3">
                  <c:v>5</c:v>
                </c:pt>
              </c:numCache>
            </c:numRef>
          </c:val>
          <c:extLst>
            <c:ext xmlns:c16="http://schemas.microsoft.com/office/drawing/2014/chart" uri="{C3380CC4-5D6E-409C-BE32-E72D297353CC}">
              <c16:uniqueId val="{00000008-0004-4374-B164-53538CEF70F6}"/>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Employee education</a:t>
            </a:r>
            <a:r>
              <a:rPr lang="en-US" altLang="zh-CN" baseline="0"/>
              <a:t> structure</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271-416B-9371-7B6E4625EBF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271-416B-9371-7B6E4625EBF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271-416B-9371-7B6E4625EBF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271-416B-9371-7B6E4625EBFC}"/>
              </c:ext>
            </c:extLst>
          </c:dPt>
          <c:dLbls>
            <c:dLbl>
              <c:idx val="2"/>
              <c:layout>
                <c:manualLayout>
                  <c:x val="-5.0053628888094386E-2"/>
                  <c:y val="-5.357142857142856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271-416B-9371-7B6E4625EBFC}"/>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200" b="0" i="0" u="none" strike="noStrike" kern="1200" baseline="0">
                    <a:solidFill>
                      <a:schemeClr val="dk1">
                        <a:lumMod val="65000"/>
                        <a:lumOff val="35000"/>
                      </a:schemeClr>
                    </a:solidFill>
                    <a:latin typeface="+mn-lt"/>
                    <a:ea typeface="+mn-ea"/>
                    <a:cs typeface="+mn-cs"/>
                  </a:defRPr>
                </a:pPr>
                <a:endParaRPr lang="zh-CN"/>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Sheet1!$B$22:$B$25</c:f>
              <c:strCache>
                <c:ptCount val="4"/>
                <c:pt idx="0">
                  <c:v>Master</c:v>
                </c:pt>
                <c:pt idx="1">
                  <c:v>Undergraduate</c:v>
                </c:pt>
                <c:pt idx="2">
                  <c:v>Junior college</c:v>
                </c:pt>
                <c:pt idx="3">
                  <c:v>Under junior</c:v>
                </c:pt>
              </c:strCache>
            </c:strRef>
          </c:cat>
          <c:val>
            <c:numRef>
              <c:f>Sheet1!$C$22:$C$25</c:f>
              <c:numCache>
                <c:formatCode>General</c:formatCode>
                <c:ptCount val="4"/>
                <c:pt idx="0">
                  <c:v>11</c:v>
                </c:pt>
                <c:pt idx="1">
                  <c:v>32</c:v>
                </c:pt>
                <c:pt idx="2">
                  <c:v>21</c:v>
                </c:pt>
                <c:pt idx="3">
                  <c:v>36</c:v>
                </c:pt>
              </c:numCache>
            </c:numRef>
          </c:val>
          <c:extLst>
            <c:ext xmlns:c16="http://schemas.microsoft.com/office/drawing/2014/chart" uri="{C3380CC4-5D6E-409C-BE32-E72D297353CC}">
              <c16:uniqueId val="{00000008-F271-416B-9371-7B6E4625EBFC}"/>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Employee</a:t>
            </a:r>
            <a:r>
              <a:rPr lang="en-US" altLang="zh-CN" baseline="0"/>
              <a:t> gender structure</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633-4AB4-8036-1F47CC4D7CE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633-4AB4-8036-1F47CC4D7CE9}"/>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dk1">
                        <a:lumMod val="65000"/>
                        <a:lumOff val="35000"/>
                      </a:schemeClr>
                    </a:solidFill>
                    <a:latin typeface="+mn-lt"/>
                    <a:ea typeface="+mn-ea"/>
                    <a:cs typeface="+mn-cs"/>
                  </a:defRPr>
                </a:pPr>
                <a:endParaRPr lang="zh-CN"/>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Sheet1!$B$37:$B$38</c:f>
              <c:strCache>
                <c:ptCount val="2"/>
                <c:pt idx="0">
                  <c:v>Male</c:v>
                </c:pt>
                <c:pt idx="1">
                  <c:v>Female</c:v>
                </c:pt>
              </c:strCache>
            </c:strRef>
          </c:cat>
          <c:val>
            <c:numRef>
              <c:f>Sheet1!$C$37:$C$38</c:f>
              <c:numCache>
                <c:formatCode>General</c:formatCode>
                <c:ptCount val="2"/>
                <c:pt idx="0">
                  <c:v>82</c:v>
                </c:pt>
                <c:pt idx="1">
                  <c:v>18</c:v>
                </c:pt>
              </c:numCache>
            </c:numRef>
          </c:val>
          <c:extLst>
            <c:ext xmlns:c16="http://schemas.microsoft.com/office/drawing/2014/chart" uri="{C3380CC4-5D6E-409C-BE32-E72D297353CC}">
              <c16:uniqueId val="{00000004-4633-4AB4-8036-1F47CC4D7CE9}"/>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altLang="zh-CN" sz="1800" b="0" i="0" u="none" strike="noStrike" baseline="0">
                <a:effectLst/>
              </a:rPr>
              <a:t>Safety investment of SAIC</a:t>
            </a:r>
            <a:endParaRPr lang="zh-CN" altLang="en-US" sz="1800"/>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Sheet1!$A$1:$A$3</c:f>
              <c:numCache>
                <c:formatCode>General</c:formatCode>
                <c:ptCount val="3"/>
                <c:pt idx="0">
                  <c:v>0.88</c:v>
                </c:pt>
                <c:pt idx="1">
                  <c:v>0.83</c:v>
                </c:pt>
                <c:pt idx="2">
                  <c:v>0.85</c:v>
                </c:pt>
              </c:numCache>
            </c:numRef>
          </c:cat>
          <c:val>
            <c:numRef>
              <c:f>Sheet1!$B$1:$B$3</c:f>
              <c:numCache>
                <c:formatCode>General</c:formatCode>
                <c:ptCount val="3"/>
                <c:pt idx="0">
                  <c:v>2017</c:v>
                </c:pt>
                <c:pt idx="1">
                  <c:v>2018</c:v>
                </c:pt>
                <c:pt idx="2">
                  <c:v>2019</c:v>
                </c:pt>
              </c:numCache>
            </c:numRef>
          </c:val>
          <c:smooth val="0"/>
          <c:extLst>
            <c:ext xmlns:c16="http://schemas.microsoft.com/office/drawing/2014/chart" uri="{C3380CC4-5D6E-409C-BE32-E72D297353CC}">
              <c16:uniqueId val="{00000000-7D13-4303-8AB1-F318EE4EDB1E}"/>
            </c:ext>
          </c:extLst>
        </c:ser>
        <c:dLbls>
          <c:showLegendKey val="0"/>
          <c:showVal val="0"/>
          <c:showCatName val="0"/>
          <c:showSerName val="0"/>
          <c:showPercent val="0"/>
          <c:showBubbleSize val="0"/>
        </c:dLbls>
        <c:smooth val="0"/>
        <c:axId val="547140752"/>
        <c:axId val="547142064"/>
      </c:lineChart>
      <c:catAx>
        <c:axId val="547140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47142064"/>
        <c:crosses val="autoZero"/>
        <c:auto val="1"/>
        <c:lblAlgn val="ctr"/>
        <c:lblOffset val="100"/>
        <c:noMultiLvlLbl val="0"/>
      </c:catAx>
      <c:valAx>
        <c:axId val="547142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CN"/>
                  <a:t>Million</a:t>
                </a:r>
                <a:r>
                  <a:rPr lang="en-US" altLang="zh-CN" baseline="0"/>
                  <a:t> (yuan)</a:t>
                </a:r>
                <a:endParaRPr lang="zh-CN" alt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471407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Total donation </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Sheet1!$A$56:$A$57</c:f>
              <c:numCache>
                <c:formatCode>General</c:formatCode>
                <c:ptCount val="2"/>
                <c:pt idx="0">
                  <c:v>2017</c:v>
                </c:pt>
                <c:pt idx="1">
                  <c:v>2018</c:v>
                </c:pt>
              </c:numCache>
            </c:numRef>
          </c:cat>
          <c:val>
            <c:numRef>
              <c:f>Sheet1!$B$56:$B$57</c:f>
              <c:numCache>
                <c:formatCode>General</c:formatCode>
                <c:ptCount val="2"/>
                <c:pt idx="0">
                  <c:v>30</c:v>
                </c:pt>
                <c:pt idx="1">
                  <c:v>41</c:v>
                </c:pt>
              </c:numCache>
            </c:numRef>
          </c:val>
          <c:extLst>
            <c:ext xmlns:c16="http://schemas.microsoft.com/office/drawing/2014/chart" uri="{C3380CC4-5D6E-409C-BE32-E72D297353CC}">
              <c16:uniqueId val="{00000000-7FB0-4C14-9253-39046323FC6B}"/>
            </c:ext>
          </c:extLst>
        </c:ser>
        <c:dLbls>
          <c:dLblPos val="outEnd"/>
          <c:showLegendKey val="0"/>
          <c:showVal val="1"/>
          <c:showCatName val="0"/>
          <c:showSerName val="0"/>
          <c:showPercent val="0"/>
          <c:showBubbleSize val="0"/>
        </c:dLbls>
        <c:gapWidth val="182"/>
        <c:axId val="483089296"/>
        <c:axId val="251782392"/>
      </c:barChart>
      <c:catAx>
        <c:axId val="4830892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crossAx val="251782392"/>
        <c:crosses val="autoZero"/>
        <c:auto val="1"/>
        <c:lblAlgn val="ctr"/>
        <c:lblOffset val="100"/>
        <c:noMultiLvlLbl val="0"/>
      </c:catAx>
      <c:valAx>
        <c:axId val="2517823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CN"/>
                  <a:t>million (yuan)</a:t>
                </a:r>
                <a:endParaRPr lang="zh-CN" alt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830892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tLang="zh-CN"/>
              <a:t>Targeted poverty alleviation project</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manualLayout>
          <c:layoutTarget val="inner"/>
          <c:xMode val="edge"/>
          <c:yMode val="edge"/>
          <c:x val="8.9136482939632541E-2"/>
          <c:y val="0.18097222222222226"/>
          <c:w val="0.86171084864391956"/>
          <c:h val="0.72088764946048411"/>
        </c:manualLayout>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Sheet1!$A$70:$A$71</c:f>
              <c:numCache>
                <c:formatCode>General</c:formatCode>
                <c:ptCount val="2"/>
                <c:pt idx="0">
                  <c:v>2017</c:v>
                </c:pt>
                <c:pt idx="1">
                  <c:v>2018</c:v>
                </c:pt>
              </c:numCache>
            </c:numRef>
          </c:cat>
          <c:val>
            <c:numRef>
              <c:f>Sheet1!$B$70:$B$71</c:f>
              <c:numCache>
                <c:formatCode>General</c:formatCode>
                <c:ptCount val="2"/>
                <c:pt idx="0">
                  <c:v>1.47</c:v>
                </c:pt>
                <c:pt idx="1">
                  <c:v>2.15</c:v>
                </c:pt>
              </c:numCache>
            </c:numRef>
          </c:val>
          <c:extLst>
            <c:ext xmlns:c16="http://schemas.microsoft.com/office/drawing/2014/chart" uri="{C3380CC4-5D6E-409C-BE32-E72D297353CC}">
              <c16:uniqueId val="{00000000-3671-4DC0-AA9A-93CC8452F8DB}"/>
            </c:ext>
          </c:extLst>
        </c:ser>
        <c:dLbls>
          <c:dLblPos val="outEnd"/>
          <c:showLegendKey val="0"/>
          <c:showVal val="1"/>
          <c:showCatName val="0"/>
          <c:showSerName val="0"/>
          <c:showPercent val="0"/>
          <c:showBubbleSize val="0"/>
        </c:dLbls>
        <c:gapWidth val="182"/>
        <c:axId val="494027496"/>
        <c:axId val="494028480"/>
      </c:barChart>
      <c:catAx>
        <c:axId val="4940274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zh-CN"/>
          </a:p>
        </c:txPr>
        <c:crossAx val="494028480"/>
        <c:crosses val="autoZero"/>
        <c:auto val="1"/>
        <c:lblAlgn val="ctr"/>
        <c:lblOffset val="100"/>
        <c:noMultiLvlLbl val="0"/>
      </c:catAx>
      <c:valAx>
        <c:axId val="4940284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r>
                  <a:rPr lang="en-US" altLang="zh-CN" sz="1050"/>
                  <a:t>Million (yuan)</a:t>
                </a:r>
                <a:endParaRPr lang="zh-CN" altLang="en-US" sz="1050"/>
              </a:p>
            </c:rich>
          </c:tx>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crossAx val="494027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2328</Words>
  <Characters>13276</Characters>
  <Application>Microsoft Office Word</Application>
  <DocSecurity>0</DocSecurity>
  <Lines>110</Lines>
  <Paragraphs>31</Paragraphs>
  <ScaleCrop>false</ScaleCrop>
  <Company/>
  <LinksUpToDate>false</LinksUpToDate>
  <CharactersWithSpaces>15573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Dyc</dc:creator>
  <cp:keywords/>
  <dc:description/>
  <cp:lastModifiedBy>Dyc</cp:lastModifiedBy>
  <cp:revision>2</cp:revision>
  <dcterms:created xsi:type="dcterms:W3CDTF">2021-04-20T03:30:00Z</dcterms:created>
  <dcterms:modified xsi:type="dcterms:W3CDTF">2021-04-20T03:30:00Z</dcterms:modified>
</cp:coreProperties>
</file>