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Normal (Web)"/>
        <w:spacing w:before="0" w:after="0" w:line="480" w:lineRule="auto"/>
        <w:rPr>
          <w:outline w:val="0"/>
          <w:color w:val="0e101a"/>
          <w:u w:color="0e101a"/>
          <w14:textFill>
            <w14:solidFill>
              <w14:srgbClr w14:val="0E101A"/>
            </w14:solidFill>
          </w14:textFill>
        </w:rPr>
      </w:pPr>
      <w:r>
        <w:rPr>
          <w:outline w:val="0"/>
          <w:color w:val="0e101a"/>
          <w:u w:color="0e101a"/>
          <w14:textFill>
            <w14:solidFill>
              <w14:srgbClr w14:val="0E101A"/>
            </w14:solidFill>
          </w14:textFill>
        </w:rPr>
        <w:drawing xmlns:a="http://schemas.openxmlformats.org/drawingml/2006/main">
          <wp:anchor distT="152400" distB="152400" distL="152400" distR="152400" simplePos="0" relativeHeight="251659264" behindDoc="0" locked="0" layoutInCell="1" allowOverlap="1">
            <wp:simplePos x="0" y="0"/>
            <wp:positionH relativeFrom="margin">
              <wp:posOffset>-549284</wp:posOffset>
            </wp:positionH>
            <wp:positionV relativeFrom="line">
              <wp:posOffset>-152400</wp:posOffset>
            </wp:positionV>
            <wp:extent cx="2975344" cy="984154"/>
            <wp:effectExtent l="0" t="0" r="0" b="0"/>
            <wp:wrapThrough wrapText="bothSides" distL="152400" distR="152400">
              <wp:wrapPolygon edited="1">
                <wp:start x="0" y="0"/>
                <wp:lineTo x="21600" y="0"/>
                <wp:lineTo x="21600" y="21600"/>
                <wp:lineTo x="0" y="21600"/>
                <wp:lineTo x="0" y="0"/>
              </wp:wrapPolygon>
            </wp:wrapThrough>
            <wp:docPr id="1073741825" name="officeArt object" descr="Unknown.png"/>
            <wp:cNvGraphicFramePr/>
            <a:graphic xmlns:a="http://schemas.openxmlformats.org/drawingml/2006/main">
              <a:graphicData uri="http://schemas.openxmlformats.org/drawingml/2006/picture">
                <pic:pic xmlns:pic="http://schemas.openxmlformats.org/drawingml/2006/picture">
                  <pic:nvPicPr>
                    <pic:cNvPr id="1073741825" name="Unknown.png" descr="Unknown.png"/>
                    <pic:cNvPicPr>
                      <a:picLocks noChangeAspect="1"/>
                    </pic:cNvPicPr>
                  </pic:nvPicPr>
                  <pic:blipFill>
                    <a:blip r:embed="rId4">
                      <a:extLst/>
                    </a:blip>
                    <a:stretch>
                      <a:fillRect/>
                    </a:stretch>
                  </pic:blipFill>
                  <pic:spPr>
                    <a:xfrm>
                      <a:off x="0" y="0"/>
                      <a:ext cx="2975344" cy="984154"/>
                    </a:xfrm>
                    <a:prstGeom prst="rect">
                      <a:avLst/>
                    </a:prstGeom>
                    <a:ln w="12700" cap="flat">
                      <a:noFill/>
                      <a:miter lim="400000"/>
                    </a:ln>
                    <a:effectLst/>
                  </pic:spPr>
                </pic:pic>
              </a:graphicData>
            </a:graphic>
          </wp:anchor>
        </w:drawing>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40"/>
          <w:szCs w:val="40"/>
          <w:u w:val="none" w:color="000000"/>
          <w:shd w:val="nil" w:color="auto" w:fill="auto"/>
          <w:vertAlign w:val="baseline"/>
          <w:rtl w:val="0"/>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40"/>
          <w:szCs w:val="40"/>
          <w:u w:val="none" w:color="000000"/>
          <w:shd w:val="nil" w:color="auto" w:fill="auto"/>
          <w:vertAlign w:val="baseline"/>
          <w:rtl w:val="0"/>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40"/>
          <w:szCs w:val="40"/>
          <w:u w:val="none" w:color="000000"/>
          <w:shd w:val="nil" w:color="auto" w:fill="auto"/>
          <w:vertAlign w:val="baseline"/>
          <w:rtl w:val="0"/>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40"/>
          <w:szCs w:val="40"/>
          <w:u w:val="none" w:color="000000"/>
          <w:shd w:val="nil" w:color="auto" w:fill="auto"/>
          <w:vertAlign w:val="baseline"/>
          <w:rtl w:val="0"/>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Unicode MS" w:hAnsi="Arial" w:eastAsia="Arial Unicode MS"/>
          <w:b w:val="0"/>
          <w:bCs w:val="0"/>
          <w:i w:val="0"/>
          <w:iCs w:val="0"/>
          <w:caps w:val="0"/>
          <w:smallCaps w:val="0"/>
          <w:strike w:val="0"/>
          <w:dstrike w:val="0"/>
          <w:outline w:val="0"/>
          <w:color w:val="000000"/>
          <w:spacing w:val="0"/>
          <w:kern w:val="0"/>
          <w:position w:val="0"/>
          <w:sz w:val="40"/>
          <w:szCs w:val="40"/>
          <w:u w:val="none" w:color="000000"/>
          <w:shd w:val="nil" w:color="auto" w:fill="auto"/>
          <w:vertAlign w:val="baseline"/>
          <w:rtl w:val="0"/>
          <w14:textOutline w14:w="12700" w14:cap="flat">
            <w14:noFill/>
            <w14:miter w14:lim="400000"/>
          </w14:textOutline>
          <w14:textFill>
            <w14:solidFill>
              <w14:srgbClr w14:val="000000"/>
            </w14:solidFill>
          </w14:textFill>
        </w:rPr>
      </w:pPr>
    </w:p>
    <w:p>
      <w:pPr>
        <w:pStyle w:val="Subtitle"/>
        <w:bidi w:val="0"/>
        <w:ind w:left="0" w:right="0" w:firstLine="0"/>
        <w:jc w:val="center"/>
        <w:rPr>
          <w:u w:color="000000"/>
          <w:rtl w:val="0"/>
          <w:lang w:val="en-US"/>
          <w14:textOutline w14:w="12700" w14:cap="flat">
            <w14:noFill/>
            <w14:miter w14:lim="400000"/>
          </w14:textOutline>
        </w:rPr>
      </w:pPr>
      <w:r>
        <w:rPr>
          <w:u w:color="000000"/>
          <w:rtl w:val="0"/>
          <w:lang w:val="en-US"/>
          <w14:textOutline w14:w="12700" w14:cap="flat">
            <w14:noFill/>
            <w14:miter w14:lim="400000"/>
          </w14:textOutline>
        </w:rPr>
        <w:t>Community Engagement</w:t>
      </w:r>
      <w:r>
        <w:rPr>
          <w:u w:color="000000"/>
          <w:rtl w:val="0"/>
          <w:lang w:val="en-US"/>
          <w14:textOutline w14:w="12700" w14:cap="flat">
            <w14:noFill/>
            <w14:miter w14:lim="400000"/>
          </w14:textOutline>
        </w:rPr>
        <w:t xml:space="preserve"> (LCBB400</w:t>
      </w:r>
      <w:r>
        <w:rPr>
          <w:u w:color="000000"/>
          <w:rtl w:val="0"/>
          <w:lang w:val="en-US"/>
          <w14:textOutline w14:w="12700" w14:cap="flat">
            <w14:noFill/>
            <w14:miter w14:lim="400000"/>
          </w14:textOutline>
        </w:rPr>
        <w:t>2</w:t>
      </w:r>
      <w:r>
        <w:rPr>
          <w:u w:color="000000"/>
          <w:rtl w:val="0"/>
          <w:lang w:val="en-US"/>
          <w14:textOutline w14:w="12700" w14:cap="flat">
            <w14:noFill/>
            <w14:miter w14:lim="400000"/>
          </w14:textOutline>
        </w:rPr>
        <w:t>)</w:t>
      </w:r>
    </w:p>
    <w:p>
      <w:pPr>
        <w:pStyle w:val="Subtitle"/>
        <w:bidi w:val="0"/>
        <w:ind w:left="0" w:right="0" w:firstLine="0"/>
        <w:jc w:val="center"/>
        <w:rPr>
          <w:u w:color="000000"/>
          <w:rtl w:val="0"/>
          <w:lang w:val="en-US"/>
          <w14:textOutline w14:w="12700" w14:cap="flat">
            <w14:noFill/>
            <w14:miter w14:lim="400000"/>
          </w14:textOutline>
        </w:rPr>
      </w:pPr>
      <w:r>
        <w:rPr>
          <w:u w:color="000000"/>
          <w:rtl w:val="0"/>
          <w:lang w:val="en-US"/>
          <w14:textOutline w14:w="12700" w14:cap="flat">
            <w14:noFill/>
            <w14:miter w14:lim="400000"/>
          </w14:textOutline>
        </w:rPr>
        <w:t>Lectures Names:</w:t>
      </w:r>
      <w:r>
        <w:rPr>
          <w:u w:color="000000"/>
          <w:rtl w:val="0"/>
          <w:lang w:val="en-US"/>
          <w14:textOutline w14:w="12700" w14:cap="flat">
            <w14:noFill/>
            <w14:miter w14:lim="400000"/>
          </w14:textOutline>
        </w:rPr>
        <w:t xml:space="preserve"> Dr Gregory Cowan</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40"/>
          <w:szCs w:val="40"/>
          <w:u w:val="none" w:color="000000"/>
          <w:shd w:val="nil" w:color="auto" w:fill="auto"/>
          <w:vertAlign w:val="baseline"/>
          <w:rtl w:val="0"/>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40"/>
          <w:szCs w:val="40"/>
          <w:u w:val="none" w:color="000000"/>
          <w:shd w:val="nil" w:color="auto" w:fill="auto"/>
          <w:vertAlign w:val="baseline"/>
          <w:rtl w:val="0"/>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40"/>
          <w:szCs w:val="40"/>
          <w:u w:val="none" w:color="000000"/>
          <w:shd w:val="nil" w:color="auto" w:fill="auto"/>
          <w:vertAlign w:val="baseline"/>
          <w:rtl w:val="0"/>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38"/>
          <w:szCs w:val="38"/>
          <w:u w:val="none" w:color="000000"/>
          <w:shd w:val="nil" w:color="auto" w:fill="auto"/>
          <w:vertAlign w:val="baseline"/>
          <w:rtl w:val="0"/>
          <w14:textOutline w14:w="12700" w14:cap="flat">
            <w14:noFill/>
            <w14:miter w14:lim="400000"/>
          </w14:textOutline>
          <w14:textFill>
            <w14:solidFill>
              <w14:srgbClr w14:val="000000"/>
            </w14:solidFill>
          </w14:textFill>
        </w:rPr>
      </w:pPr>
    </w:p>
    <w:p>
      <w:pPr>
        <w:pStyle w:val="Title"/>
        <w:bidi w:val="0"/>
        <w:ind w:left="0" w:right="0" w:firstLine="0"/>
        <w:jc w:val="center"/>
        <w:rPr>
          <w:sz w:val="38"/>
          <w:szCs w:val="38"/>
          <w:u w:color="000000"/>
          <w:rtl w:val="0"/>
          <w:lang w:val="en-US"/>
          <w14:textOutline w14:w="12700" w14:cap="flat">
            <w14:noFill/>
            <w14:miter w14:lim="400000"/>
          </w14:textOutline>
        </w:rPr>
      </w:pPr>
      <w:r>
        <w:rPr>
          <w:sz w:val="38"/>
          <w:szCs w:val="38"/>
          <w:u w:color="000000"/>
          <w:rtl w:val="0"/>
          <w:lang w:val="en-US"/>
          <w14:textOutline w14:w="12700" w14:cap="flat">
            <w14:noFill/>
            <w14:miter w14:lim="400000"/>
          </w14:textOutline>
        </w:rPr>
        <w:t xml:space="preserve">Assessment </w:t>
      </w:r>
      <w:r>
        <w:rPr>
          <w:sz w:val="38"/>
          <w:szCs w:val="38"/>
          <w:u w:color="000000"/>
          <w:rtl w:val="0"/>
          <w:lang w:val="en-US"/>
          <w14:textOutline w14:w="12700" w14:cap="flat">
            <w14:noFill/>
            <w14:miter w14:lim="400000"/>
          </w14:textOutline>
        </w:rPr>
        <w:t>2</w:t>
      </w:r>
      <w:r>
        <w:rPr>
          <w:sz w:val="38"/>
          <w:szCs w:val="38"/>
          <w:u w:color="000000"/>
          <w:rtl w:val="0"/>
          <w:lang w:val="en-US"/>
          <w14:textOutline w14:w="12700" w14:cap="flat">
            <w14:noFill/>
            <w14:miter w14:lim="400000"/>
          </w14:textOutline>
        </w:rPr>
        <w:t xml:space="preserve"> </w:t>
      </w:r>
    </w:p>
    <w:p>
      <w:pPr>
        <w:pStyle w:val="Title"/>
        <w:jc w:val="center"/>
        <w:rPr>
          <w:rFonts w:ascii="Arial" w:cs="Arial" w:hAnsi="Arial" w:eastAsia="Arial"/>
          <w:sz w:val="48"/>
          <w:szCs w:val="48"/>
        </w:rPr>
      </w:pPr>
      <w:r>
        <w:rPr>
          <w:rFonts w:ascii="Times New Roman" w:hAnsi="Times New Roman"/>
          <w:outline w:val="0"/>
          <w:color w:val="0e101a"/>
          <w:sz w:val="48"/>
          <w:szCs w:val="48"/>
          <w:u w:color="0e101a"/>
          <w:rtl w:val="0"/>
          <w:lang w:val="en-US"/>
          <w14:textFill>
            <w14:solidFill>
              <w14:srgbClr w14:val="0E101A"/>
            </w14:solidFill>
          </w14:textFill>
        </w:rPr>
        <w:t xml:space="preserve">Calthorpe Project and </w:t>
      </w:r>
      <w:r>
        <w:rPr>
          <w:rFonts w:ascii="Times New Roman" w:hAnsi="Times New Roman"/>
          <w:outline w:val="0"/>
          <w:color w:val="0e101a"/>
          <w:sz w:val="48"/>
          <w:szCs w:val="48"/>
          <w:u w:color="0e101a"/>
          <w:rtl w:val="0"/>
          <w:lang w:val="en-US"/>
          <w14:textFill>
            <w14:solidFill>
              <w14:srgbClr w14:val="0E101A"/>
            </w14:solidFill>
          </w14:textFill>
        </w:rPr>
        <w:t>Changing Futures Project</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40"/>
          <w:szCs w:val="40"/>
          <w:u w:val="none" w:color="000000"/>
          <w:shd w:val="nil" w:color="auto" w:fill="auto"/>
          <w:vertAlign w:val="baseline"/>
          <w:rtl w:val="0"/>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40"/>
          <w:szCs w:val="40"/>
          <w:u w:val="none" w:color="000000"/>
          <w:shd w:val="nil" w:color="auto" w:fill="auto"/>
          <w:vertAlign w:val="baseline"/>
          <w:rtl w:val="0"/>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40"/>
          <w:szCs w:val="40"/>
          <w:u w:val="none" w:color="000000"/>
          <w:shd w:val="nil" w:color="auto" w:fill="auto"/>
          <w:vertAlign w:val="baseline"/>
          <w:rtl w:val="0"/>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40"/>
          <w:szCs w:val="40"/>
          <w:u w:val="none" w:color="000000"/>
          <w:shd w:val="nil" w:color="auto" w:fill="auto"/>
          <w:vertAlign w:val="baseline"/>
          <w:rtl w:val="0"/>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40"/>
          <w:szCs w:val="40"/>
          <w:u w:val="none" w:color="000000"/>
          <w:shd w:val="nil" w:color="auto" w:fill="auto"/>
          <w:vertAlign w:val="baseline"/>
          <w:rtl w:val="0"/>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40"/>
          <w:szCs w:val="40"/>
          <w:u w:val="none" w:color="000000"/>
          <w:shd w:val="nil" w:color="auto" w:fill="auto"/>
          <w:vertAlign w:val="baseline"/>
          <w:rtl w:val="0"/>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40"/>
          <w:szCs w:val="40"/>
          <w:u w:val="none" w:color="000000"/>
          <w:shd w:val="nil" w:color="auto" w:fill="auto"/>
          <w:vertAlign w:val="baseline"/>
          <w:rtl w:val="0"/>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40"/>
          <w:szCs w:val="40"/>
          <w:u w:val="none" w:color="000000"/>
          <w:shd w:val="nil" w:color="auto" w:fill="auto"/>
          <w:vertAlign w:val="baseline"/>
          <w:rtl w:val="0"/>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40"/>
          <w:szCs w:val="40"/>
          <w:u w:val="none" w:color="000000"/>
          <w:shd w:val="nil" w:color="auto" w:fill="auto"/>
          <w:vertAlign w:val="baseline"/>
          <w:rtl w:val="0"/>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40"/>
          <w:szCs w:val="40"/>
          <w:u w:val="none" w:color="000000"/>
          <w:shd w:val="nil" w:color="auto" w:fill="auto"/>
          <w:vertAlign w:val="baseline"/>
          <w:rtl w:val="0"/>
          <w14:textOutline w14:w="12700" w14:cap="flat">
            <w14:noFill/>
            <w14:miter w14:lim="400000"/>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40"/>
          <w:szCs w:val="40"/>
          <w:u w:val="none" w:color="000000"/>
          <w:shd w:val="nil" w:color="auto" w:fill="auto"/>
          <w:vertAlign w:val="baseline"/>
          <w:rtl w:val="0"/>
          <w:lang w:val="en-US"/>
          <w14:textOutline w14:w="12700" w14:cap="flat">
            <w14:noFill/>
            <w14:miter w14:lim="400000"/>
          </w14:textOutline>
          <w14:textFill>
            <w14:solidFill>
              <w14:srgbClr w14:val="000000"/>
            </w14:solidFill>
          </w14:textFill>
        </w:rPr>
        <w:t>Student Names: Manuela Manolova</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w="12700" w14:cap="flat">
            <w14:noFill/>
            <w14:miter w14:lim="400000"/>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40"/>
          <w:szCs w:val="40"/>
          <w:u w:val="none" w:color="000000"/>
          <w:shd w:val="nil" w:color="auto" w:fill="auto"/>
          <w:vertAlign w:val="baseline"/>
          <w:rtl w:val="0"/>
          <w:lang w:val="en-US"/>
          <w14:textOutline w14:w="12700" w14:cap="flat">
            <w14:noFill/>
            <w14:miter w14:lim="400000"/>
          </w14:textOutline>
          <w14:textFill>
            <w14:solidFill>
              <w14:srgbClr w14:val="000000"/>
            </w14:solidFill>
          </w14:textFill>
        </w:rPr>
        <w:t>Student ID: 2018271</w:t>
      </w:r>
    </w:p>
    <w:p>
      <w:pPr>
        <w:pStyle w:val="Normal (Web)"/>
        <w:spacing w:before="0" w:after="0" w:line="480" w:lineRule="auto"/>
        <w:jc w:val="center"/>
        <w:rPr>
          <w:outline w:val="0"/>
          <w:color w:val="0e101a"/>
          <w:u w:color="0e101a"/>
          <w14:textFill>
            <w14:solidFill>
              <w14:srgbClr w14:val="0E101A"/>
            </w14:solidFill>
          </w14:textFill>
        </w:rPr>
      </w:pPr>
    </w:p>
    <w:p>
      <w:pPr>
        <w:pStyle w:val="Normal (Web)"/>
        <w:spacing w:before="0" w:after="0" w:line="480" w:lineRule="auto"/>
        <w:jc w:val="center"/>
        <w:rPr>
          <w:outline w:val="0"/>
          <w:color w:val="0e101a"/>
          <w:u w:color="0e101a"/>
          <w14:textFill>
            <w14:solidFill>
              <w14:srgbClr w14:val="0E101A"/>
            </w14:solidFill>
          </w14:textFill>
        </w:rPr>
      </w:pPr>
    </w:p>
    <w:p>
      <w:pPr>
        <w:pStyle w:val="Normal (Web)"/>
        <w:spacing w:before="0" w:after="0" w:line="480" w:lineRule="auto"/>
        <w:jc w:val="center"/>
        <w:rPr>
          <w:outline w:val="0"/>
          <w:color w:val="0e101a"/>
          <w:u w:color="0e101a"/>
          <w14:textFill>
            <w14:solidFill>
              <w14:srgbClr w14:val="0E101A"/>
            </w14:solidFill>
          </w14:textFill>
        </w:rPr>
      </w:pPr>
    </w:p>
    <w:p>
      <w:pPr>
        <w:pStyle w:val="Subtitle"/>
        <w:bidi w:val="0"/>
      </w:pPr>
      <w:r>
        <w:rPr>
          <w:rtl w:val="0"/>
        </w:rPr>
        <w:t>Contain:</w:t>
      </w:r>
    </w:p>
    <w:p>
      <w:pPr>
        <w:pStyle w:val="Body"/>
        <w:bidi w:val="0"/>
      </w:pPr>
    </w:p>
    <w:p>
      <w:pPr>
        <w:pStyle w:val="Subtitle"/>
        <w:spacing w:line="360" w:lineRule="auto"/>
      </w:pPr>
      <w:r>
        <w:rPr>
          <w:rtl w:val="0"/>
          <w:lang w:val="en-US"/>
        </w:rPr>
        <w:t>Introduction</w:t>
      </w:r>
      <w:r>
        <w:rPr>
          <w:rtl w:val="0"/>
          <w:lang w:val="en-US"/>
        </w:rPr>
        <w:t>…………………………………………</w:t>
      </w:r>
      <w:r>
        <w:rPr>
          <w:rtl w:val="0"/>
          <w:lang w:val="en-US"/>
        </w:rPr>
        <w:t>3</w:t>
      </w:r>
    </w:p>
    <w:p>
      <w:pPr>
        <w:pStyle w:val="Subtitle"/>
        <w:spacing w:line="360" w:lineRule="auto"/>
      </w:pPr>
      <w:r>
        <w:rPr>
          <w:rtl w:val="0"/>
          <w:lang w:val="en-US"/>
        </w:rPr>
        <w:t>Overview of the Calthorpe Project</w:t>
      </w:r>
      <w:r>
        <w:rPr>
          <w:rtl w:val="0"/>
          <w:lang w:val="en-US"/>
        </w:rPr>
        <w:t>………………</w:t>
      </w:r>
      <w:r>
        <w:rPr>
          <w:rtl w:val="0"/>
          <w:lang w:val="en-US"/>
        </w:rPr>
        <w:t>.3</w:t>
      </w:r>
    </w:p>
    <w:p>
      <w:pPr>
        <w:pStyle w:val="Subtitle"/>
        <w:spacing w:line="360" w:lineRule="auto"/>
      </w:pPr>
      <w:r>
        <w:rPr>
          <w:rtl w:val="0"/>
          <w:lang w:val="en-US"/>
        </w:rPr>
        <w:t>Community Engagement</w:t>
      </w:r>
      <w:r>
        <w:rPr>
          <w:rtl w:val="0"/>
          <w:lang w:val="en-US"/>
        </w:rPr>
        <w:t>…………………………</w:t>
      </w:r>
      <w:r>
        <w:rPr>
          <w:rtl w:val="0"/>
          <w:lang w:val="en-US"/>
        </w:rPr>
        <w:t>.4</w:t>
      </w:r>
    </w:p>
    <w:p>
      <w:pPr>
        <w:pStyle w:val="Subtitle"/>
        <w:spacing w:line="360" w:lineRule="auto"/>
      </w:pPr>
      <w:r>
        <w:rPr>
          <w:rtl w:val="0"/>
          <w:lang w:val="en-US"/>
        </w:rPr>
        <w:t>Stakeholders` Participation</w:t>
      </w:r>
      <w:r>
        <w:rPr>
          <w:rtl w:val="0"/>
          <w:lang w:val="en-US"/>
        </w:rPr>
        <w:t>………………………</w:t>
      </w:r>
      <w:r>
        <w:rPr>
          <w:rtl w:val="0"/>
          <w:lang w:val="en-US"/>
        </w:rPr>
        <w:t>.5</w:t>
      </w:r>
    </w:p>
    <w:p>
      <w:pPr>
        <w:pStyle w:val="Subtitle"/>
        <w:spacing w:line="360" w:lineRule="auto"/>
      </w:pPr>
      <w:r>
        <w:rPr>
          <w:rtl w:val="0"/>
          <w:lang w:val="en-US"/>
        </w:rPr>
        <w:t>Inclusivity and diversity in the project</w:t>
      </w:r>
      <w:r>
        <w:rPr>
          <w:rtl w:val="0"/>
          <w:lang w:val="en-US"/>
        </w:rPr>
        <w:t>……………</w:t>
      </w:r>
      <w:r>
        <w:rPr>
          <w:rtl w:val="0"/>
          <w:lang w:val="en-US"/>
        </w:rPr>
        <w:t>7</w:t>
      </w:r>
    </w:p>
    <w:p>
      <w:pPr>
        <w:pStyle w:val="Subtitle"/>
        <w:spacing w:line="360" w:lineRule="auto"/>
      </w:pPr>
      <w:r>
        <w:rPr>
          <w:rtl w:val="0"/>
          <w:lang w:val="en-US"/>
        </w:rPr>
        <w:t>Research, Impact Analysis, and evaluation</w:t>
      </w:r>
      <w:r>
        <w:rPr>
          <w:rtl w:val="0"/>
          <w:lang w:val="en-US"/>
        </w:rPr>
        <w:t>……</w:t>
      </w:r>
      <w:r>
        <w:rPr>
          <w:rtl w:val="0"/>
          <w:lang w:val="en-US"/>
        </w:rPr>
        <w:t>..7</w:t>
      </w:r>
    </w:p>
    <w:p>
      <w:pPr>
        <w:pStyle w:val="Subtitle"/>
        <w:spacing w:line="360" w:lineRule="auto"/>
      </w:pPr>
      <w:r>
        <w:rPr>
          <w:rtl w:val="0"/>
          <w:lang w:val="en-US"/>
        </w:rPr>
        <w:t>Reference</w:t>
      </w:r>
      <w:r>
        <w:rPr>
          <w:rtl w:val="0"/>
          <w:lang w:val="en-US"/>
        </w:rPr>
        <w:t>………………………………………</w:t>
      </w:r>
      <w:r>
        <w:rPr>
          <w:rtl w:val="0"/>
          <w:lang w:val="en-US"/>
        </w:rPr>
        <w:t>.</w:t>
      </w:r>
      <w:r>
        <w:rPr>
          <w:rtl w:val="0"/>
          <w:lang w:val="en-US"/>
        </w:rPr>
        <w:t>…</w:t>
      </w:r>
      <w:r>
        <w:rPr>
          <w:rtl w:val="0"/>
          <w:lang w:val="en-US"/>
        </w:rPr>
        <w:t>10</w:t>
      </w:r>
    </w:p>
    <w:p>
      <w:pPr>
        <w:pStyle w:val="Subtitle"/>
        <w:spacing w:line="360" w:lineRule="auto"/>
      </w:pPr>
    </w:p>
    <w:p>
      <w:pPr>
        <w:pStyle w:val="Normal (Web)"/>
        <w:spacing w:before="0" w:after="0" w:line="480" w:lineRule="auto"/>
        <w:jc w:val="center"/>
        <w:rPr>
          <w:outline w:val="0"/>
          <w:color w:val="0e101a"/>
          <w:u w:color="0e101a"/>
          <w14:textFill>
            <w14:solidFill>
              <w14:srgbClr w14:val="0E101A"/>
            </w14:solidFill>
          </w14:textFill>
        </w:rPr>
      </w:pPr>
    </w:p>
    <w:p>
      <w:pPr>
        <w:pStyle w:val="Normal (Web)"/>
        <w:spacing w:before="0" w:after="0" w:line="480" w:lineRule="auto"/>
        <w:jc w:val="center"/>
        <w:rPr>
          <w:outline w:val="0"/>
          <w:color w:val="0e101a"/>
          <w:u w:color="0e101a"/>
          <w14:textFill>
            <w14:solidFill>
              <w14:srgbClr w14:val="0E101A"/>
            </w14:solidFill>
          </w14:textFill>
        </w:rPr>
      </w:pPr>
    </w:p>
    <w:p>
      <w:pPr>
        <w:pStyle w:val="Normal (Web)"/>
        <w:spacing w:before="0" w:after="0" w:line="480" w:lineRule="auto"/>
        <w:jc w:val="center"/>
        <w:rPr>
          <w:outline w:val="0"/>
          <w:color w:val="0e101a"/>
          <w:u w:color="0e101a"/>
          <w14:textFill>
            <w14:solidFill>
              <w14:srgbClr w14:val="0E101A"/>
            </w14:solidFill>
          </w14:textFill>
        </w:rPr>
      </w:pPr>
    </w:p>
    <w:p>
      <w:pPr>
        <w:pStyle w:val="Normal (Web)"/>
        <w:spacing w:before="0" w:after="0" w:line="480" w:lineRule="auto"/>
        <w:jc w:val="center"/>
        <w:rPr>
          <w:outline w:val="0"/>
          <w:color w:val="0e101a"/>
          <w:u w:color="0e101a"/>
          <w14:textFill>
            <w14:solidFill>
              <w14:srgbClr w14:val="0E101A"/>
            </w14:solidFill>
          </w14:textFill>
        </w:rPr>
      </w:pPr>
    </w:p>
    <w:p>
      <w:pPr>
        <w:pStyle w:val="Normal (Web)"/>
        <w:spacing w:before="0" w:after="0" w:line="480" w:lineRule="auto"/>
        <w:jc w:val="center"/>
        <w:rPr>
          <w:outline w:val="0"/>
          <w:color w:val="0e101a"/>
          <w:u w:color="0e101a"/>
          <w14:textFill>
            <w14:solidFill>
              <w14:srgbClr w14:val="0E101A"/>
            </w14:solidFill>
          </w14:textFill>
        </w:rPr>
      </w:pPr>
    </w:p>
    <w:p>
      <w:pPr>
        <w:pStyle w:val="Normal (Web)"/>
        <w:spacing w:before="0" w:after="0" w:line="480" w:lineRule="auto"/>
        <w:jc w:val="center"/>
        <w:rPr>
          <w:rFonts w:ascii="Calibri" w:cs="Calibri" w:hAnsi="Calibri" w:eastAsia="Calibri"/>
          <w:b w:val="1"/>
          <w:bCs w:val="1"/>
          <w:outline w:val="0"/>
          <w:color w:val="0e101a"/>
          <w:u w:color="0e101a"/>
          <w14:textFill>
            <w14:solidFill>
              <w14:srgbClr w14:val="0E101A"/>
            </w14:solidFill>
          </w14:textFill>
        </w:rPr>
      </w:pPr>
    </w:p>
    <w:p>
      <w:pPr>
        <w:pStyle w:val="Normal (Web)"/>
        <w:spacing w:before="0" w:after="0" w:line="480" w:lineRule="auto"/>
        <w:jc w:val="center"/>
        <w:rPr>
          <w:outline w:val="0"/>
          <w:color w:val="0e101a"/>
          <w:u w:color="0e101a"/>
          <w14:textFill>
            <w14:solidFill>
              <w14:srgbClr w14:val="0E101A"/>
            </w14:solidFill>
          </w14:textFill>
        </w:rPr>
      </w:pPr>
    </w:p>
    <w:p>
      <w:pPr>
        <w:pStyle w:val="Normal (Web)"/>
        <w:spacing w:before="0" w:after="0" w:line="480" w:lineRule="auto"/>
        <w:jc w:val="center"/>
        <w:rPr>
          <w:outline w:val="0"/>
          <w:color w:val="0e101a"/>
          <w:u w:color="0e101a"/>
          <w14:textFill>
            <w14:solidFill>
              <w14:srgbClr w14:val="0E101A"/>
            </w14:solidFill>
          </w14:textFill>
        </w:rPr>
      </w:pPr>
    </w:p>
    <w:p>
      <w:pPr>
        <w:pStyle w:val="Normal (Web)"/>
        <w:spacing w:before="0" w:after="0" w:line="480" w:lineRule="auto"/>
        <w:jc w:val="center"/>
        <w:rPr>
          <w:outline w:val="0"/>
          <w:color w:val="0e101a"/>
          <w:u w:color="0e101a"/>
          <w14:textFill>
            <w14:solidFill>
              <w14:srgbClr w14:val="0E101A"/>
            </w14:solidFill>
          </w14:textFill>
        </w:rPr>
      </w:pPr>
    </w:p>
    <w:p>
      <w:pPr>
        <w:pStyle w:val="Normal (Web)"/>
        <w:spacing w:before="0" w:after="0" w:line="480" w:lineRule="auto"/>
        <w:jc w:val="center"/>
        <w:rPr>
          <w:rFonts w:ascii="Calibri" w:cs="Calibri" w:hAnsi="Calibri" w:eastAsia="Calibri"/>
          <w:b w:val="1"/>
          <w:bCs w:val="1"/>
          <w:outline w:val="0"/>
          <w:color w:val="0e101a"/>
          <w:u w:color="0e101a"/>
          <w14:textFill>
            <w14:solidFill>
              <w14:srgbClr w14:val="0E101A"/>
            </w14:solidFill>
          </w14:textFill>
        </w:rPr>
      </w:pPr>
    </w:p>
    <w:p>
      <w:pPr>
        <w:pStyle w:val="Normal (Web)"/>
        <w:spacing w:before="0" w:after="0" w:line="480" w:lineRule="auto"/>
        <w:jc w:val="center"/>
        <w:rPr>
          <w:rFonts w:ascii="Calibri" w:cs="Calibri" w:hAnsi="Calibri" w:eastAsia="Calibri"/>
          <w:b w:val="1"/>
          <w:bCs w:val="1"/>
          <w:outline w:val="0"/>
          <w:color w:val="0e101a"/>
          <w:u w:color="0e101a"/>
          <w14:textFill>
            <w14:solidFill>
              <w14:srgbClr w14:val="0E101A"/>
            </w14:solidFill>
          </w14:textFill>
        </w:rPr>
      </w:pPr>
    </w:p>
    <w:p>
      <w:pPr>
        <w:pStyle w:val="Normal (Web)"/>
        <w:spacing w:before="0" w:after="0" w:line="480" w:lineRule="auto"/>
        <w:rPr>
          <w:rFonts w:ascii="Calibri" w:cs="Calibri" w:hAnsi="Calibri" w:eastAsia="Calibri"/>
          <w:b w:val="1"/>
          <w:bCs w:val="1"/>
          <w:outline w:val="0"/>
          <w:color w:val="0e101a"/>
          <w:u w:color="0e101a"/>
          <w14:textFill>
            <w14:solidFill>
              <w14:srgbClr w14:val="0E101A"/>
            </w14:solidFill>
          </w14:textFill>
        </w:rPr>
      </w:pPr>
    </w:p>
    <w:p>
      <w:pPr>
        <w:pStyle w:val="Normal (Web)"/>
        <w:spacing w:before="0" w:after="0" w:line="480" w:lineRule="auto"/>
        <w:rPr>
          <w:rFonts w:ascii="Calibri" w:cs="Calibri" w:hAnsi="Calibri" w:eastAsia="Calibri"/>
          <w:b w:val="1"/>
          <w:bCs w:val="1"/>
          <w:outline w:val="0"/>
          <w:color w:val="0e101a"/>
          <w:u w:color="0e101a"/>
          <w14:textFill>
            <w14:solidFill>
              <w14:srgbClr w14:val="0E101A"/>
            </w14:solidFill>
          </w14:textFill>
        </w:rPr>
      </w:pPr>
    </w:p>
    <w:p>
      <w:pPr>
        <w:pStyle w:val="Normal (Web)"/>
        <w:spacing w:before="0" w:after="0" w:line="480" w:lineRule="auto"/>
        <w:jc w:val="center"/>
        <w:rPr>
          <w:outline w:val="0"/>
          <w:color w:val="0e101a"/>
          <w:u w:color="0e101a"/>
          <w14:textFill>
            <w14:solidFill>
              <w14:srgbClr w14:val="0E101A"/>
            </w14:solidFill>
          </w14:textFill>
        </w:rPr>
      </w:pPr>
      <w:r>
        <w:rPr>
          <w:rFonts w:ascii="Calibri" w:hAnsi="Calibri"/>
          <w:b w:val="1"/>
          <w:bCs w:val="1"/>
          <w:outline w:val="0"/>
          <w:color w:val="0e101a"/>
          <w:u w:color="0e101a"/>
          <w:rtl w:val="0"/>
          <w:lang w:val="en-US"/>
          <w14:textFill>
            <w14:solidFill>
              <w14:srgbClr w14:val="0E101A"/>
            </w14:solidFill>
          </w14:textFill>
        </w:rPr>
        <w:t>Introduction</w:t>
      </w:r>
    </w:p>
    <w:p>
      <w:pPr>
        <w:pStyle w:val="Normal (Web)"/>
        <w:spacing w:before="0" w:after="0" w:line="480" w:lineRule="auto"/>
        <w:ind w:firstLine="720"/>
        <w:jc w:val="both"/>
        <w:rPr>
          <w:outline w:val="0"/>
          <w:color w:val="0e101a"/>
          <w:u w:color="0e101a"/>
          <w14:textFill>
            <w14:solidFill>
              <w14:srgbClr w14:val="0E101A"/>
            </w14:solidFill>
          </w14:textFill>
        </w:rPr>
      </w:pPr>
      <w:r>
        <w:rPr>
          <w:outline w:val="0"/>
          <w:color w:val="0e101a"/>
          <w:u w:color="0e101a"/>
          <w:rtl w:val="0"/>
          <w:lang w:val="en-US"/>
          <w14:textFill>
            <w14:solidFill>
              <w14:srgbClr w14:val="0E101A"/>
            </w14:solidFill>
          </w14:textFill>
        </w:rPr>
        <w:t>Community programmes and projects are meant to offer immediate and long-term solutions to community issues. The first step is to identify a challenge that the community is experiencing, then come with a solution, and finally implement the solution sustainably. In all these stages, the community must be involved since they are the ones who understand their challenges better and what works for them. Moreover, some projects fail because they lack strong engagement with the community. Community engagement means actively involving community members in decision-making and project implementation</w:t>
      </w:r>
      <w:r>
        <w:rPr>
          <w:rtl w:val="0"/>
          <w:lang w:val="en-US"/>
        </w:rPr>
        <w:t xml:space="preserve"> (</w:t>
      </w:r>
      <w:r>
        <w:rPr>
          <w:outline w:val="0"/>
          <w:color w:val="0e101a"/>
          <w:u w:color="0e101a"/>
          <w:rtl w:val="0"/>
          <w:lang w:val="en-US"/>
          <w14:textFill>
            <w14:solidFill>
              <w14:srgbClr w14:val="0E101A"/>
            </w14:solidFill>
          </w14:textFill>
        </w:rPr>
        <w:t>McCabe, Keast, and Brown, 2006). This involves following set community engagement principles and best practices. Based on that background, the current report compares the best practices of the Calthorpe Community garden project and Changing Futures Project. Calthorpe is a community project focused on Camden residents' wellbeing through physical exercise and organic farming. On the other hand, Changing Futures is a community project aimed at improving the lives of adults who are unemployed and have multiple disadvantages. The report includes the differences in communication, community mapping, and stakeholders</w:t>
      </w:r>
      <w:r>
        <w:rPr>
          <w:outline w:val="0"/>
          <w:color w:val="0e101a"/>
          <w:u w:color="0e101a"/>
          <w:rtl w:val="0"/>
          <w:lang w:val="en-US"/>
          <w14:textFill>
            <w14:solidFill>
              <w14:srgbClr w14:val="0E101A"/>
            </w14:solidFill>
          </w14:textFill>
        </w:rPr>
        <w:t xml:space="preserve">’ </w:t>
      </w:r>
      <w:r>
        <w:rPr>
          <w:outline w:val="0"/>
          <w:color w:val="0e101a"/>
          <w:u w:color="0e101a"/>
          <w:rtl w:val="0"/>
          <w:lang w:val="en-US"/>
          <w14:textFill>
            <w14:solidFill>
              <w14:srgbClr w14:val="0E101A"/>
            </w14:solidFill>
          </w14:textFill>
        </w:rPr>
        <w:t>participation between the two projects.</w:t>
      </w:r>
      <w:r>
        <w:rPr>
          <w:outline w:val="0"/>
          <w:color w:val="0e101a"/>
          <w:u w:color="0e101a"/>
          <w:rtl w:val="0"/>
          <w:lang w:val="en-US"/>
          <w14:textFill>
            <w14:solidFill>
              <w14:srgbClr w14:val="0E101A"/>
            </w14:solidFill>
          </w14:textFill>
        </w:rPr>
        <w:t> </w:t>
      </w:r>
    </w:p>
    <w:p>
      <w:pPr>
        <w:pStyle w:val="Normal (Web)"/>
        <w:spacing w:before="0" w:after="0" w:line="480" w:lineRule="auto"/>
        <w:jc w:val="center"/>
        <w:rPr>
          <w:outline w:val="0"/>
          <w:color w:val="0e101a"/>
          <w:u w:color="0e101a"/>
          <w14:textFill>
            <w14:solidFill>
              <w14:srgbClr w14:val="0E101A"/>
            </w14:solidFill>
          </w14:textFill>
        </w:rPr>
      </w:pPr>
      <w:r>
        <w:rPr>
          <w:rFonts w:ascii="Calibri" w:hAnsi="Calibri"/>
          <w:b w:val="1"/>
          <w:bCs w:val="1"/>
          <w:outline w:val="0"/>
          <w:color w:val="0e101a"/>
          <w:u w:color="0e101a"/>
          <w:rtl w:val="0"/>
          <w:lang w:val="en-US"/>
          <w14:textFill>
            <w14:solidFill>
              <w14:srgbClr w14:val="0E101A"/>
            </w14:solidFill>
          </w14:textFill>
        </w:rPr>
        <w:t>Overview of the Calthorpe Project</w:t>
      </w:r>
    </w:p>
    <w:p>
      <w:pPr>
        <w:pStyle w:val="Normal (Web)"/>
        <w:spacing w:before="0" w:after="0" w:line="480" w:lineRule="auto"/>
        <w:ind w:firstLine="720"/>
        <w:jc w:val="both"/>
        <w:rPr>
          <w:outline w:val="0"/>
          <w:color w:val="0e101a"/>
          <w:u w:color="0e101a"/>
          <w14:textFill>
            <w14:solidFill>
              <w14:srgbClr w14:val="0E101A"/>
            </w14:solidFill>
          </w14:textFill>
        </w:rPr>
      </w:pPr>
      <w:r>
        <w:rPr>
          <w:outline w:val="0"/>
          <w:color w:val="0e101a"/>
          <w:u w:color="0e101a"/>
          <w:rtl w:val="0"/>
          <w:lang w:val="en-US"/>
          <w14:textFill>
            <w14:solidFill>
              <w14:srgbClr w14:val="0E101A"/>
            </w14:solidFill>
          </w14:textFill>
        </w:rPr>
        <w:t>Calthorpe garden is a community project focused on Camden residents' wellbeing through physical exercise and organic farming. The project has a history dating back to the late 19th century when London was undergoing rapid developments. The site where the community garden is located had been allocated for urban office development. However, the developers were unable to complete the construction. When the land was put up for resale in the 1980s, concerned residents lobbied to the local authority to buy the land as community land, which should not be subjected to urbanised construction</w:t>
      </w:r>
      <w:r>
        <w:rPr>
          <w:rFonts w:ascii="Calibri" w:hAnsi="Calibri"/>
          <w:outline w:val="0"/>
          <w:color w:val="000000"/>
          <w:sz w:val="22"/>
          <w:szCs w:val="22"/>
          <w:u w:color="000000"/>
          <w:rtl w:val="0"/>
          <w:lang w:val="en-US"/>
          <w14:textFill>
            <w14:solidFill>
              <w14:srgbClr w14:val="000000"/>
            </w14:solidFill>
          </w14:textFill>
        </w:rPr>
        <w:t xml:space="preserve"> </w:t>
      </w:r>
      <w:r>
        <w:rPr>
          <w:outline w:val="0"/>
          <w:color w:val="0e101a"/>
          <w:u w:color="0e101a"/>
          <w:rtl w:val="0"/>
          <w:lang w:val="en-US"/>
          <w14:textFill>
            <w14:solidFill>
              <w14:srgbClr w14:val="0E101A"/>
            </w14:solidFill>
          </w14:textFill>
        </w:rPr>
        <w:t>(calthorpecommunitygarden, 2021). The land was turned into a community garden programme dedicated to positively impacting the people</w:t>
      </w:r>
      <w:r>
        <w:rPr>
          <w:outline w:val="0"/>
          <w:color w:val="0e101a"/>
          <w:u w:color="0e101a"/>
          <w:rtl w:val="0"/>
          <w:lang w:val="en-US"/>
          <w14:textFill>
            <w14:solidFill>
              <w14:srgbClr w14:val="0E101A"/>
            </w14:solidFill>
          </w14:textFill>
        </w:rPr>
        <w:t>’</w:t>
      </w:r>
      <w:r>
        <w:rPr>
          <w:outline w:val="0"/>
          <w:color w:val="0e101a"/>
          <w:u w:color="0e101a"/>
          <w:rtl w:val="0"/>
          <w:lang w:val="en-US"/>
          <w14:textFill>
            <w14:solidFill>
              <w14:srgbClr w14:val="0E101A"/>
            </w14:solidFill>
          </w14:textFill>
        </w:rPr>
        <w:t>s wellbeing and environment. The core activities in the programme include sustainable farming, supervised activities for families with children below 15 years of age, sports development, and community education. Other activities at the Calthorpe project include food waste recycling, a vegetarian caf</w:t>
      </w:r>
      <w:r>
        <w:rPr>
          <w:outline w:val="0"/>
          <w:color w:val="0e101a"/>
          <w:u w:color="0e101a"/>
          <w:rtl w:val="0"/>
          <w:lang w:val="en-US"/>
          <w14:textFill>
            <w14:solidFill>
              <w14:srgbClr w14:val="0E101A"/>
            </w14:solidFill>
          </w14:textFill>
        </w:rPr>
        <w:t>é</w:t>
      </w:r>
      <w:r>
        <w:rPr>
          <w:outline w:val="0"/>
          <w:color w:val="0e101a"/>
          <w:u w:color="0e101a"/>
          <w:rtl w:val="0"/>
          <w:lang w:val="en-US"/>
          <w14:textFill>
            <w14:solidFill>
              <w14:srgbClr w14:val="0E101A"/>
            </w14:solidFill>
          </w14:textFill>
        </w:rPr>
        <w:t>, and giving space for refugee connection</w:t>
      </w:r>
      <w:r>
        <w:rPr>
          <w:rFonts w:ascii="Calibri" w:hAnsi="Calibri"/>
          <w:outline w:val="0"/>
          <w:color w:val="000000"/>
          <w:sz w:val="22"/>
          <w:szCs w:val="22"/>
          <w:u w:color="000000"/>
          <w:rtl w:val="0"/>
          <w:lang w:val="en-US"/>
          <w14:textFill>
            <w14:solidFill>
              <w14:srgbClr w14:val="000000"/>
            </w14:solidFill>
          </w14:textFill>
        </w:rPr>
        <w:t xml:space="preserve"> </w:t>
      </w:r>
      <w:r>
        <w:rPr>
          <w:outline w:val="0"/>
          <w:color w:val="0e101a"/>
          <w:u w:color="0e101a"/>
          <w:rtl w:val="0"/>
          <w:lang w:val="en-US"/>
          <w14:textFill>
            <w14:solidFill>
              <w14:srgbClr w14:val="0E101A"/>
            </w14:solidFill>
          </w14:textFill>
        </w:rPr>
        <w:t>(calthorpecommunitygarden, 2021).</w:t>
      </w:r>
      <w:r>
        <w:rPr>
          <w:outline w:val="0"/>
          <w:color w:val="0e101a"/>
          <w:u w:color="0e101a"/>
          <w:rtl w:val="0"/>
          <w:lang w:val="en-US"/>
          <w14:textFill>
            <w14:solidFill>
              <w14:srgbClr w14:val="0E101A"/>
            </w14:solidFill>
          </w14:textFill>
        </w:rPr>
        <w:t> </w:t>
      </w:r>
    </w:p>
    <w:p>
      <w:pPr>
        <w:pStyle w:val="Normal (Web)"/>
        <w:spacing w:before="0" w:after="0" w:line="480" w:lineRule="auto"/>
        <w:jc w:val="center"/>
        <w:rPr>
          <w:outline w:val="0"/>
          <w:color w:val="0e101a"/>
          <w:u w:color="0e101a"/>
          <w14:textFill>
            <w14:solidFill>
              <w14:srgbClr w14:val="0E101A"/>
            </w14:solidFill>
          </w14:textFill>
        </w:rPr>
      </w:pPr>
      <w:r>
        <w:rPr>
          <w:rFonts w:ascii="Calibri" w:hAnsi="Calibri"/>
          <w:b w:val="1"/>
          <w:bCs w:val="1"/>
          <w:outline w:val="0"/>
          <w:color w:val="0e101a"/>
          <w:u w:color="0e101a"/>
          <w:rtl w:val="0"/>
          <w:lang w:val="en-US"/>
          <w14:textFill>
            <w14:solidFill>
              <w14:srgbClr w14:val="0E101A"/>
            </w14:solidFill>
          </w14:textFill>
        </w:rPr>
        <w:t>Community Engagement</w:t>
      </w:r>
    </w:p>
    <w:p>
      <w:pPr>
        <w:pStyle w:val="Normal (Web)"/>
        <w:spacing w:before="0" w:after="0" w:line="480" w:lineRule="auto"/>
        <w:ind w:firstLine="720"/>
        <w:jc w:val="both"/>
        <w:rPr>
          <w:outline w:val="0"/>
          <w:color w:val="0e101a"/>
          <w:u w:color="0e101a"/>
          <w14:textFill>
            <w14:solidFill>
              <w14:srgbClr w14:val="0E101A"/>
            </w14:solidFill>
          </w14:textFill>
        </w:rPr>
      </w:pPr>
      <w:r>
        <w:rPr>
          <w:outline w:val="0"/>
          <w:color w:val="0e101a"/>
          <w:u w:color="0e101a"/>
          <w:rtl w:val="0"/>
          <w:lang w:val="en-US"/>
          <w14:textFill>
            <w14:solidFill>
              <w14:srgbClr w14:val="0E101A"/>
            </w14:solidFill>
          </w14:textFill>
        </w:rPr>
        <w:t>There are several differences and similarities on how community engagement is done between Changing Futures and Calthorpe Project. A community project that aims to have a long-lasting impact on the community must involve the community members in problem identification and implementation of the solutions</w:t>
      </w:r>
      <w:r>
        <w:rPr>
          <w:rtl w:val="0"/>
          <w:lang w:val="en-US"/>
        </w:rPr>
        <w:t xml:space="preserve"> (</w:t>
      </w:r>
      <w:r>
        <w:rPr>
          <w:outline w:val="0"/>
          <w:color w:val="0e101a"/>
          <w:u w:color="0e101a"/>
          <w:rtl w:val="0"/>
          <w:lang w:val="en-US"/>
          <w14:textFill>
            <w14:solidFill>
              <w14:srgbClr w14:val="0E101A"/>
            </w14:solidFill>
          </w14:textFill>
        </w:rPr>
        <w:t>Atsdr.cdc.gov. 2020). Both projects were established to solve a problem in their communities. Calthorpe is focused on the emotional and physical wellbeing of the community members and care for the environment. On the other hand, Changing Futures is about rebuilding the lives of persons with multiple disadvantages who are not economically active. However, there is a difference in how the community was engaged at the initiation of the two projects.</w:t>
      </w:r>
      <w:r>
        <w:rPr>
          <w:outline w:val="0"/>
          <w:color w:val="0e101a"/>
          <w:u w:color="0e101a"/>
          <w:rtl w:val="0"/>
          <w:lang w:val="en-US"/>
          <w14:textFill>
            <w14:solidFill>
              <w14:srgbClr w14:val="0E101A"/>
            </w14:solidFill>
          </w14:textFill>
        </w:rPr>
        <w:t> </w:t>
      </w:r>
    </w:p>
    <w:p>
      <w:pPr>
        <w:pStyle w:val="Normal (Web)"/>
        <w:spacing w:before="0" w:after="0" w:line="480" w:lineRule="auto"/>
        <w:ind w:firstLine="720"/>
        <w:jc w:val="both"/>
        <w:rPr>
          <w:outline w:val="0"/>
          <w:color w:val="0e101a"/>
          <w:u w:color="0e101a"/>
          <w14:textFill>
            <w14:solidFill>
              <w14:srgbClr w14:val="0E101A"/>
            </w14:solidFill>
          </w14:textFill>
        </w:rPr>
      </w:pPr>
      <w:r>
        <w:rPr>
          <w:outline w:val="0"/>
          <w:color w:val="0e101a"/>
          <w:u w:color="0e101a"/>
          <w:rtl w:val="0"/>
          <w:lang w:val="en-US"/>
          <w14:textFill>
            <w14:solidFill>
              <w14:srgbClr w14:val="0E101A"/>
            </w14:solidFill>
          </w14:textFill>
        </w:rPr>
        <w:t>The Calthorpe Project had a very active engagement compared with the Changing Futures project. This is because the community itself started the Calthorpe project. The community members came up with the idea and conducted campaigns and lobbying to stop any further urbanised development on the site, and instead a community garden to be established. It fits the actual definition of a community-initiated project. On the other hand, Changing Futures project was not an idea of the local Lancashire community, but was part of the national government</w:t>
      </w:r>
      <w:r>
        <w:rPr>
          <w:outline w:val="0"/>
          <w:color w:val="0e101a"/>
          <w:u w:color="0e101a"/>
          <w:rtl w:val="0"/>
          <w:lang w:val="en-US"/>
          <w14:textFill>
            <w14:solidFill>
              <w14:srgbClr w14:val="0E101A"/>
            </w14:solidFill>
          </w14:textFill>
        </w:rPr>
        <w:t>’</w:t>
      </w:r>
      <w:r>
        <w:rPr>
          <w:outline w:val="0"/>
          <w:color w:val="0e101a"/>
          <w:u w:color="0e101a"/>
          <w:rtl w:val="0"/>
          <w:lang w:val="en-US"/>
          <w14:textFill>
            <w14:solidFill>
              <w14:srgbClr w14:val="0E101A"/>
            </w14:solidFill>
          </w14:textFill>
        </w:rPr>
        <w:t>s Changing Futures Programme that was started in collaboration with the European Social Fund. This does not mean that the Changing Futures programme does not involve community members in identifying the challenges faced, but unlike the Calthorpe Project, it was started from an idea of the national government. In other words, Calthorpe Project was more bottom-up compared to Changing Futures Project. Bottom-up projects are more likely to be sustainable compared to the top-down ones</w:t>
      </w:r>
      <w:r>
        <w:rPr>
          <w:rFonts w:ascii="Calibri" w:hAnsi="Calibri"/>
          <w:outline w:val="0"/>
          <w:color w:val="000000"/>
          <w:sz w:val="22"/>
          <w:szCs w:val="22"/>
          <w:u w:color="000000"/>
          <w:rtl w:val="0"/>
          <w:lang w:val="en-US"/>
          <w14:textFill>
            <w14:solidFill>
              <w14:srgbClr w14:val="000000"/>
            </w14:solidFill>
          </w14:textFill>
        </w:rPr>
        <w:t xml:space="preserve"> </w:t>
      </w:r>
      <w:r>
        <w:rPr>
          <w:outline w:val="0"/>
          <w:color w:val="0e101a"/>
          <w:u w:color="0e101a"/>
          <w:rtl w:val="0"/>
          <w:lang w:val="en-US"/>
          <w14:textFill>
            <w14:solidFill>
              <w14:srgbClr w14:val="0E101A"/>
            </w14:solidFill>
          </w14:textFill>
        </w:rPr>
        <w:t>(Jim</w:t>
      </w:r>
      <w:r>
        <w:rPr>
          <w:outline w:val="0"/>
          <w:color w:val="0e101a"/>
          <w:u w:color="0e101a"/>
          <w:rtl w:val="0"/>
          <w:lang w:val="en-US"/>
          <w14:textFill>
            <w14:solidFill>
              <w14:srgbClr w14:val="0E101A"/>
            </w14:solidFill>
          </w14:textFill>
        </w:rPr>
        <w:t>é</w:t>
      </w:r>
      <w:r>
        <w:rPr>
          <w:outline w:val="0"/>
          <w:color w:val="0e101a"/>
          <w:u w:color="0e101a"/>
          <w:rtl w:val="0"/>
          <w:lang w:val="en-US"/>
          <w14:textFill>
            <w14:solidFill>
              <w14:srgbClr w14:val="0E101A"/>
            </w14:solidFill>
          </w14:textFill>
        </w:rPr>
        <w:t>nez-Aceituno et al., 2019). This could be the reason why the Calthorpe Project has lasted for over three decades and remains relevant today. Nevertheless, the Changing Futures Project has positively impacted the target population, as evidenced by the testimonials and follow-up reports.</w:t>
      </w:r>
      <w:r>
        <w:rPr>
          <w:outline w:val="0"/>
          <w:color w:val="0e101a"/>
          <w:u w:color="0e101a"/>
          <w:rtl w:val="0"/>
          <w:lang w:val="en-US"/>
          <w14:textFill>
            <w14:solidFill>
              <w14:srgbClr w14:val="0E101A"/>
            </w14:solidFill>
          </w14:textFill>
        </w:rPr>
        <w:t> </w:t>
      </w:r>
    </w:p>
    <w:p>
      <w:pPr>
        <w:pStyle w:val="Normal (Web)"/>
        <w:spacing w:before="0" w:after="0" w:line="480" w:lineRule="auto"/>
        <w:jc w:val="center"/>
        <w:rPr>
          <w:outline w:val="0"/>
          <w:color w:val="0e101a"/>
          <w:u w:color="0e101a"/>
          <w14:textFill>
            <w14:solidFill>
              <w14:srgbClr w14:val="0E101A"/>
            </w14:solidFill>
          </w14:textFill>
        </w:rPr>
      </w:pPr>
      <w:r>
        <w:rPr>
          <w:rFonts w:ascii="Calibri" w:hAnsi="Calibri"/>
          <w:b w:val="1"/>
          <w:bCs w:val="1"/>
          <w:outline w:val="0"/>
          <w:color w:val="0e101a"/>
          <w:u w:color="0e101a"/>
          <w:rtl w:val="0"/>
          <w:lang w:val="en-US"/>
          <w14:textFill>
            <w14:solidFill>
              <w14:srgbClr w14:val="0E101A"/>
            </w14:solidFill>
          </w14:textFill>
        </w:rPr>
        <w:t>Stakeholders</w:t>
      </w:r>
      <w:r>
        <w:rPr>
          <w:rFonts w:ascii="Calibri" w:hAnsi="Calibri" w:hint="default"/>
          <w:b w:val="1"/>
          <w:bCs w:val="1"/>
          <w:outline w:val="0"/>
          <w:color w:val="0e101a"/>
          <w:u w:color="0e101a"/>
          <w:rtl w:val="0"/>
          <w:lang w:val="en-US"/>
          <w14:textFill>
            <w14:solidFill>
              <w14:srgbClr w14:val="0E101A"/>
            </w14:solidFill>
          </w14:textFill>
        </w:rPr>
        <w:t xml:space="preserve">’ </w:t>
      </w:r>
      <w:r>
        <w:rPr>
          <w:rFonts w:ascii="Calibri" w:hAnsi="Calibri"/>
          <w:b w:val="1"/>
          <w:bCs w:val="1"/>
          <w:outline w:val="0"/>
          <w:color w:val="0e101a"/>
          <w:u w:color="0e101a"/>
          <w:rtl w:val="0"/>
          <w:lang w:val="en-US"/>
          <w14:textFill>
            <w14:solidFill>
              <w14:srgbClr w14:val="0E101A"/>
            </w14:solidFill>
          </w14:textFill>
        </w:rPr>
        <w:t>Participation</w:t>
      </w:r>
    </w:p>
    <w:p>
      <w:pPr>
        <w:pStyle w:val="Normal (Web)"/>
        <w:spacing w:before="0" w:after="0" w:line="480" w:lineRule="auto"/>
        <w:ind w:firstLine="720"/>
        <w:jc w:val="both"/>
        <w:rPr>
          <w:outline w:val="0"/>
          <w:color w:val="0e101a"/>
          <w:u w:color="0e101a"/>
          <w14:textFill>
            <w14:solidFill>
              <w14:srgbClr w14:val="0E101A"/>
            </w14:solidFill>
          </w14:textFill>
        </w:rPr>
      </w:pPr>
      <w:r>
        <w:rPr>
          <w:outline w:val="0"/>
          <w:color w:val="0e101a"/>
          <w:u w:color="0e101a"/>
          <w:rtl w:val="0"/>
          <w:lang w:val="en-US"/>
          <w14:textFill>
            <w14:solidFill>
              <w14:srgbClr w14:val="0E101A"/>
            </w14:solidFill>
          </w14:textFill>
        </w:rPr>
        <w:t>Stakeholders are people or entities with active involvement in a project or whose interests are likely to be affected by the project</w:t>
      </w:r>
      <w:r>
        <w:rPr>
          <w:rFonts w:ascii="Calibri" w:hAnsi="Calibri"/>
          <w:outline w:val="0"/>
          <w:color w:val="000000"/>
          <w:sz w:val="22"/>
          <w:szCs w:val="22"/>
          <w:u w:color="000000"/>
          <w:rtl w:val="0"/>
          <w:lang w:val="en-US"/>
          <w14:textFill>
            <w14:solidFill>
              <w14:srgbClr w14:val="000000"/>
            </w14:solidFill>
          </w14:textFill>
        </w:rPr>
        <w:t xml:space="preserve"> </w:t>
      </w:r>
      <w:r>
        <w:rPr>
          <w:outline w:val="0"/>
          <w:color w:val="0e101a"/>
          <w:u w:color="0e101a"/>
          <w:rtl w:val="0"/>
          <w:lang w:val="en-US"/>
          <w14:textFill>
            <w14:solidFill>
              <w14:srgbClr w14:val="0E101A"/>
            </w14:solidFill>
          </w14:textFill>
        </w:rPr>
        <w:t>(Minelle, 2015). It is, therefore, to involve all essential stakeholders throughout the project for it to be successful. For example, funding stakeholders may not fund the project if it does not align with its values or expectation; and the government authority may fail to approve a project if it does not follow the appropriate legal procedures.</w:t>
      </w:r>
    </w:p>
    <w:p>
      <w:pPr>
        <w:pStyle w:val="Normal (Web)"/>
        <w:spacing w:before="0" w:after="0" w:line="480" w:lineRule="auto"/>
        <w:ind w:firstLine="720"/>
        <w:jc w:val="both"/>
        <w:rPr>
          <w:outline w:val="0"/>
          <w:color w:val="0e101a"/>
          <w:u w:color="0e101a"/>
          <w14:textFill>
            <w14:solidFill>
              <w14:srgbClr w14:val="0E101A"/>
            </w14:solidFill>
          </w14:textFill>
        </w:rPr>
      </w:pPr>
      <w:r>
        <w:rPr>
          <w:outline w:val="0"/>
          <w:color w:val="0e101a"/>
          <w:u w:color="0e101a"/>
          <w:rtl w:val="0"/>
          <w:lang w:val="en-US"/>
          <w14:textFill>
            <w14:solidFill>
              <w14:srgbClr w14:val="0E101A"/>
            </w14:solidFill>
          </w14:textFill>
        </w:rPr>
        <w:t> </w:t>
      </w:r>
      <w:r>
        <w:rPr>
          <w:outline w:val="0"/>
          <w:color w:val="0e101a"/>
          <w:u w:color="0e101a"/>
          <w:rtl w:val="0"/>
          <w:lang w:val="en-US"/>
          <w14:textFill>
            <w14:solidFill>
              <w14:srgbClr w14:val="0E101A"/>
            </w14:solidFill>
          </w14:textFill>
        </w:rPr>
        <w:t>In both Calthorpe and Changing Future Projects, there are strong stakeholders</w:t>
      </w:r>
      <w:r>
        <w:rPr>
          <w:outline w:val="0"/>
          <w:color w:val="0e101a"/>
          <w:u w:color="0e101a"/>
          <w:rtl w:val="0"/>
          <w:lang w:val="en-US"/>
          <w14:textFill>
            <w14:solidFill>
              <w14:srgbClr w14:val="0E101A"/>
            </w14:solidFill>
          </w14:textFill>
        </w:rPr>
        <w:t xml:space="preserve">’ </w:t>
      </w:r>
      <w:r>
        <w:rPr>
          <w:outline w:val="0"/>
          <w:color w:val="0e101a"/>
          <w:u w:color="0e101a"/>
          <w:rtl w:val="0"/>
          <w:lang w:val="en-US"/>
          <w14:textFill>
            <w14:solidFill>
              <w14:srgbClr w14:val="0E101A"/>
            </w14:solidFill>
          </w14:textFill>
        </w:rPr>
        <w:t>participation, but their engagement is different. The Changing Futures project includes multiple stakeholders, but Her Majesty</w:t>
      </w:r>
      <w:r>
        <w:rPr>
          <w:outline w:val="0"/>
          <w:color w:val="0e101a"/>
          <w:u w:color="0e101a"/>
          <w:rtl w:val="0"/>
          <w:lang w:val="en-US"/>
          <w14:textFill>
            <w14:solidFill>
              <w14:srgbClr w14:val="0E101A"/>
            </w14:solidFill>
          </w14:textFill>
        </w:rPr>
        <w:t>’</w:t>
      </w:r>
      <w:r>
        <w:rPr>
          <w:outline w:val="0"/>
          <w:color w:val="0e101a"/>
          <w:u w:color="0e101a"/>
          <w:rtl w:val="0"/>
          <w:lang w:val="en-US"/>
          <w14:textFill>
            <w14:solidFill>
              <w14:srgbClr w14:val="0E101A"/>
            </w14:solidFill>
          </w14:textFill>
        </w:rPr>
        <w:t>s government is the leading financier. The project engages with the HM government by presenting the reports about the unemployed and multiple disadvantaged people in Lancashire and then showing how they benefit from the project. This is based on the HM</w:t>
      </w:r>
      <w:r>
        <w:rPr>
          <w:outline w:val="0"/>
          <w:color w:val="0e101a"/>
          <w:u w:color="0e101a"/>
          <w:rtl w:val="0"/>
          <w:lang w:val="en-US"/>
          <w14:textFill>
            <w14:solidFill>
              <w14:srgbClr w14:val="0E101A"/>
            </w14:solidFill>
          </w14:textFill>
        </w:rPr>
        <w:t>’</w:t>
      </w:r>
      <w:r>
        <w:rPr>
          <w:outline w:val="0"/>
          <w:color w:val="0e101a"/>
          <w:u w:color="0e101a"/>
          <w:rtl w:val="0"/>
          <w:lang w:val="en-US"/>
          <w14:textFill>
            <w14:solidFill>
              <w14:srgbClr w14:val="0E101A"/>
            </w14:solidFill>
          </w14:textFill>
        </w:rPr>
        <w:t>s government requirement that Changing Futures projects must be localised and prove to be solving social problems related to the disadvantaged persons in the community for them to continue receiving the grants. On the other hand, the Calthorpe Project does not report to HM</w:t>
      </w:r>
      <w:r>
        <w:rPr>
          <w:outline w:val="0"/>
          <w:color w:val="0e101a"/>
          <w:u w:color="0e101a"/>
          <w:rtl w:val="0"/>
          <w:lang w:val="en-US"/>
          <w14:textFill>
            <w14:solidFill>
              <w14:srgbClr w14:val="0E101A"/>
            </w14:solidFill>
          </w14:textFill>
        </w:rPr>
        <w:t>’</w:t>
      </w:r>
      <w:r>
        <w:rPr>
          <w:outline w:val="0"/>
          <w:color w:val="0e101a"/>
          <w:u w:color="0e101a"/>
          <w:rtl w:val="0"/>
          <w:lang w:val="en-US"/>
          <w14:textFill>
            <w14:solidFill>
              <w14:srgbClr w14:val="0E101A"/>
            </w14:solidFill>
          </w14:textFill>
        </w:rPr>
        <w:t>s government. However, the local authority is an essential stakeholder in the project because it is the one that provided the main permanent asset (land) for the project. The Calthorpe project</w:t>
      </w:r>
      <w:r>
        <w:rPr>
          <w:outline w:val="0"/>
          <w:color w:val="0e101a"/>
          <w:u w:color="0e101a"/>
          <w:rtl w:val="0"/>
          <w:lang w:val="en-US"/>
          <w14:textFill>
            <w14:solidFill>
              <w14:srgbClr w14:val="0E101A"/>
            </w14:solidFill>
          </w14:textFill>
        </w:rPr>
        <w:t>’</w:t>
      </w:r>
      <w:r>
        <w:rPr>
          <w:outline w:val="0"/>
          <w:color w:val="0e101a"/>
          <w:u w:color="0e101a"/>
          <w:rtl w:val="0"/>
          <w:lang w:val="en-US"/>
          <w14:textFill>
            <w14:solidFill>
              <w14:srgbClr w14:val="0E101A"/>
            </w14:solidFill>
          </w14:textFill>
        </w:rPr>
        <w:t>s other key stakeholders include businesses in Camden and the surrounding who support the project as part of their community social responsibility and organisations that are interested in offering technical support to the project</w:t>
      </w:r>
      <w:r>
        <w:rPr>
          <w:outline w:val="0"/>
          <w:color w:val="0e101a"/>
          <w:u w:color="0e101a"/>
          <w:rtl w:val="0"/>
          <w:lang w:val="en-US"/>
          <w14:textFill>
            <w14:solidFill>
              <w14:srgbClr w14:val="0E101A"/>
            </w14:solidFill>
          </w14:textFill>
        </w:rPr>
        <w:t>’</w:t>
      </w:r>
      <w:r>
        <w:rPr>
          <w:outline w:val="0"/>
          <w:color w:val="0e101a"/>
          <w:u w:color="0e101a"/>
          <w:rtl w:val="0"/>
          <w:lang w:val="en-US"/>
          <w14:textFill>
            <w14:solidFill>
              <w14:srgbClr w14:val="0E101A"/>
            </w14:solidFill>
          </w14:textFill>
        </w:rPr>
        <w:t xml:space="preserve">s participants. At the same time, the project conducts income-generating activities such as renting training and meeting spaces and merchandising vegetarian foods. However, the project requires external funding, and thus it includes annual fundraising campaigns. In these campaigns, the constituency model is used to reach different stakeholders depending on how strongly they are connected with the project. The strongly connected stakeholders in this project include the local government and large businesses in the area who have a long history of donating to the programme. The project team engages with these stakeholders through conferences, annual meetings, and official emails. However, it still needs the </w:t>
      </w:r>
      <w:r>
        <w:rPr>
          <w:outline w:val="0"/>
          <w:color w:val="0e101a"/>
          <w:u w:color="0e101a"/>
          <w:rtl w:val="0"/>
          <w:lang w:val="en-US"/>
          <w14:textFill>
            <w14:solidFill>
              <w14:srgbClr w14:val="0E101A"/>
            </w14:solidFill>
          </w14:textFill>
        </w:rPr>
        <w:t>“</w:t>
      </w:r>
      <w:r>
        <w:rPr>
          <w:outline w:val="0"/>
          <w:color w:val="0e101a"/>
          <w:u w:color="0e101a"/>
          <w:rtl w:val="0"/>
          <w:lang w:val="en-US"/>
          <w14:textFill>
            <w14:solidFill>
              <w14:srgbClr w14:val="0E101A"/>
            </w14:solidFill>
          </w14:textFill>
        </w:rPr>
        <w:t>loosely connected</w:t>
      </w:r>
      <w:r>
        <w:rPr>
          <w:outline w:val="0"/>
          <w:color w:val="0e101a"/>
          <w:u w:color="0e101a"/>
          <w:rtl w:val="0"/>
          <w:lang w:val="en-US"/>
          <w14:textFill>
            <w14:solidFill>
              <w14:srgbClr w14:val="0E101A"/>
            </w14:solidFill>
          </w14:textFill>
        </w:rPr>
        <w:t xml:space="preserve">” </w:t>
      </w:r>
      <w:r>
        <w:rPr>
          <w:outline w:val="0"/>
          <w:color w:val="0e101a"/>
          <w:u w:color="0e101a"/>
          <w:rtl w:val="0"/>
          <w:lang w:val="en-US"/>
          <w14:textFill>
            <w14:solidFill>
              <w14:srgbClr w14:val="0E101A"/>
            </w14:solidFill>
          </w14:textFill>
        </w:rPr>
        <w:t>stakeholders, whom it reaches out through word of mouth and placing announcements and objectives on its official website.</w:t>
      </w:r>
      <w:r>
        <w:rPr>
          <w:outline w:val="0"/>
          <w:color w:val="0e101a"/>
          <w:u w:color="0e101a"/>
          <w:rtl w:val="0"/>
          <w:lang w:val="en-US"/>
          <w14:textFill>
            <w14:solidFill>
              <w14:srgbClr w14:val="0E101A"/>
            </w14:solidFill>
          </w14:textFill>
        </w:rPr>
        <w:t> </w:t>
      </w:r>
    </w:p>
    <w:p>
      <w:pPr>
        <w:pStyle w:val="Normal (Web)"/>
        <w:spacing w:before="0" w:after="0" w:line="480" w:lineRule="auto"/>
        <w:ind w:firstLine="720"/>
        <w:jc w:val="both"/>
        <w:rPr>
          <w:outline w:val="0"/>
          <w:color w:val="0e101a"/>
          <w:u w:color="0e101a"/>
          <w14:textFill>
            <w14:solidFill>
              <w14:srgbClr w14:val="0E101A"/>
            </w14:solidFill>
          </w14:textFill>
        </w:rPr>
      </w:pPr>
      <w:r>
        <w:rPr>
          <w:outline w:val="0"/>
          <w:color w:val="0e101a"/>
          <w:u w:color="0e101a"/>
          <w:rtl w:val="0"/>
          <w:lang w:val="en-US"/>
          <w14:textFill>
            <w14:solidFill>
              <w14:srgbClr w14:val="0E101A"/>
            </w14:solidFill>
          </w14:textFill>
        </w:rPr>
        <w:t>On the other hand, the Changing Futures project does not have income-generating activities as it entirely depends on donor funding. Apart from HM</w:t>
      </w:r>
      <w:r>
        <w:rPr>
          <w:outline w:val="0"/>
          <w:color w:val="0e101a"/>
          <w:u w:color="0e101a"/>
          <w:rtl w:val="0"/>
          <w:lang w:val="en-US"/>
          <w14:textFill>
            <w14:solidFill>
              <w14:srgbClr w14:val="0E101A"/>
            </w14:solidFill>
          </w14:textFill>
        </w:rPr>
        <w:t>’</w:t>
      </w:r>
      <w:r>
        <w:rPr>
          <w:outline w:val="0"/>
          <w:color w:val="0e101a"/>
          <w:u w:color="0e101a"/>
          <w:rtl w:val="0"/>
          <w:lang w:val="en-US"/>
          <w14:textFill>
            <w14:solidFill>
              <w14:srgbClr w14:val="0E101A"/>
            </w14:solidFill>
          </w14:textFill>
        </w:rPr>
        <w:t xml:space="preserve">s government funding, it receives support from Lancashire businesses and organisations. Also, it engages the NHS, criminal justice system, and the social services organisations because it deals with individuals with multiple disadvantages who require several services to get back to normal life. These stakeholders are reached through awareness campaigns that are done online and through electronic and print media. However, both projects do not have a strong presence on social media. Remarkably, the Calthorpe Project is very traditional in communication, which can be understood because it is founded on the principles of </w:t>
      </w:r>
      <w:r>
        <w:rPr>
          <w:outline w:val="0"/>
          <w:color w:val="0e101a"/>
          <w:u w:color="0e101a"/>
          <w:rtl w:val="0"/>
          <w:lang w:val="en-US"/>
          <w14:textFill>
            <w14:solidFill>
              <w14:srgbClr w14:val="0E101A"/>
            </w14:solidFill>
          </w14:textFill>
        </w:rPr>
        <w:t>“</w:t>
      </w:r>
      <w:r>
        <w:rPr>
          <w:outline w:val="0"/>
          <w:color w:val="0e101a"/>
          <w:u w:color="0e101a"/>
          <w:rtl w:val="0"/>
          <w:lang w:val="en-US"/>
          <w14:textFill>
            <w14:solidFill>
              <w14:srgbClr w14:val="0E101A"/>
            </w14:solidFill>
          </w14:textFill>
        </w:rPr>
        <w:t>natural</w:t>
      </w:r>
      <w:r>
        <w:rPr>
          <w:outline w:val="0"/>
          <w:color w:val="0e101a"/>
          <w:u w:color="0e101a"/>
          <w:rtl w:val="0"/>
          <w:lang w:val="en-US"/>
          <w14:textFill>
            <w14:solidFill>
              <w14:srgbClr w14:val="0E101A"/>
            </w14:solidFill>
          </w14:textFill>
        </w:rPr>
        <w:t xml:space="preserve">” </w:t>
      </w:r>
      <w:r>
        <w:rPr>
          <w:outline w:val="0"/>
          <w:color w:val="0e101a"/>
          <w:u w:color="0e101a"/>
          <w:rtl w:val="0"/>
          <w:lang w:val="en-US"/>
          <w14:textFill>
            <w14:solidFill>
              <w14:srgbClr w14:val="0E101A"/>
            </w14:solidFill>
          </w14:textFill>
        </w:rPr>
        <w:t>settings and sustainability. Nevertheless, the project also use events involving art such as dance competitions and sports to raise awareness. However, it is upon the project management team to understand that social media communication is critical in modern times, especially when reaching young people to be part of the project. Also, the Changing Futures project mainly uses YouTube to relay testimonials from the project beneficiaries. However, its general social media presence is weak</w:t>
      </w:r>
    </w:p>
    <w:p>
      <w:pPr>
        <w:pStyle w:val="Normal (Web)"/>
        <w:spacing w:before="0" w:after="0" w:line="480" w:lineRule="auto"/>
        <w:ind w:firstLine="720"/>
        <w:jc w:val="center"/>
        <w:rPr>
          <w:outline w:val="0"/>
          <w:color w:val="0e101a"/>
          <w:u w:color="0e101a"/>
          <w14:textFill>
            <w14:solidFill>
              <w14:srgbClr w14:val="0E101A"/>
            </w14:solidFill>
          </w14:textFill>
        </w:rPr>
      </w:pPr>
      <w:r>
        <w:rPr>
          <w:rFonts w:ascii="Calibri" w:hAnsi="Calibri"/>
          <w:b w:val="1"/>
          <w:bCs w:val="1"/>
          <w:outline w:val="0"/>
          <w:color w:val="0e101a"/>
          <w:u w:color="0e101a"/>
          <w:rtl w:val="0"/>
          <w:lang w:val="en-US"/>
          <w14:textFill>
            <w14:solidFill>
              <w14:srgbClr w14:val="0E101A"/>
            </w14:solidFill>
          </w14:textFill>
        </w:rPr>
        <w:t>Inclusivity and diversity in the project</w:t>
      </w:r>
    </w:p>
    <w:p>
      <w:pPr>
        <w:pStyle w:val="Normal (Web)"/>
        <w:spacing w:before="0" w:after="0" w:line="480" w:lineRule="auto"/>
        <w:ind w:firstLine="720"/>
        <w:jc w:val="both"/>
        <w:rPr>
          <w:outline w:val="0"/>
          <w:color w:val="0e101a"/>
          <w:u w:color="0e101a"/>
          <w14:textFill>
            <w14:solidFill>
              <w14:srgbClr w14:val="0E101A"/>
            </w14:solidFill>
          </w14:textFill>
        </w:rPr>
      </w:pPr>
      <w:r>
        <w:rPr>
          <w:outline w:val="0"/>
          <w:color w:val="0e101a"/>
          <w:u w:color="0e101a"/>
          <w:rtl w:val="0"/>
          <w:lang w:val="en-US"/>
          <w14:textFill>
            <w14:solidFill>
              <w14:srgbClr w14:val="0E101A"/>
            </w14:solidFill>
          </w14:textFill>
        </w:rPr>
        <w:t>Community projects must be seen to include the diverse population in the community. It can be racial, ethnic, abilities, worldviews, or demographic diversity. Otherwise, if a section of the population feels excluded from the programme, they may not support the project. Furthermore, many donors are likely to support projects that value diversity. Both Changing Futures and Calthorpe Project serve a diverse community. This is because they are from areas with highly diverse populations. However, Changing Futures is very categorical. Its first priority is minorities and persons with mental and physical challenges though it supports all unemployed persons with multiple disadvantages and is not connected to any support system.</w:t>
      </w:r>
    </w:p>
    <w:p>
      <w:pPr>
        <w:pStyle w:val="Normal (Web)"/>
        <w:spacing w:before="0" w:after="0" w:line="480" w:lineRule="auto"/>
        <w:jc w:val="both"/>
        <w:rPr>
          <w:outline w:val="0"/>
          <w:color w:val="0e101a"/>
          <w:u w:color="0e101a"/>
          <w14:textFill>
            <w14:solidFill>
              <w14:srgbClr w14:val="0E101A"/>
            </w14:solidFill>
          </w14:textFill>
        </w:rPr>
      </w:pPr>
      <w:r>
        <w:rPr>
          <w:outline w:val="0"/>
          <w:color w:val="0e101a"/>
          <w:u w:color="0e101a"/>
          <w:rtl w:val="0"/>
          <w:lang w:val="en-US"/>
          <w14:textFill>
            <w14:solidFill>
              <w14:srgbClr w14:val="0E101A"/>
            </w14:solidFill>
          </w14:textFill>
        </w:rPr>
        <w:t>On the other hand, the Calthorpe Project does not discriminate a person based on any demographic characteristic or ability. Besides, it includes activities both old and young. The project also supports activities to integrate refugees and asylum seekers into the community, although the primary focus is emotional and physical health and sustainable farming.</w:t>
      </w:r>
      <w:r>
        <w:rPr>
          <w:outline w:val="0"/>
          <w:color w:val="0e101a"/>
          <w:u w:color="0e101a"/>
          <w:rtl w:val="0"/>
          <w:lang w:val="en-US"/>
          <w14:textFill>
            <w14:solidFill>
              <w14:srgbClr w14:val="0E101A"/>
            </w14:solidFill>
          </w14:textFill>
        </w:rPr>
        <w:t> </w:t>
      </w:r>
    </w:p>
    <w:p>
      <w:pPr>
        <w:pStyle w:val="Normal (Web)"/>
        <w:spacing w:before="0" w:after="0" w:line="480" w:lineRule="auto"/>
        <w:jc w:val="center"/>
        <w:rPr>
          <w:outline w:val="0"/>
          <w:color w:val="0e101a"/>
          <w:u w:color="0e101a"/>
          <w14:textFill>
            <w14:solidFill>
              <w14:srgbClr w14:val="0E101A"/>
            </w14:solidFill>
          </w14:textFill>
        </w:rPr>
      </w:pPr>
      <w:r>
        <w:rPr>
          <w:rFonts w:ascii="Calibri" w:hAnsi="Calibri"/>
          <w:b w:val="1"/>
          <w:bCs w:val="1"/>
          <w:outline w:val="0"/>
          <w:color w:val="0e101a"/>
          <w:u w:color="0e101a"/>
          <w:rtl w:val="0"/>
          <w:lang w:val="en-US"/>
          <w14:textFill>
            <w14:solidFill>
              <w14:srgbClr w14:val="0E101A"/>
            </w14:solidFill>
          </w14:textFill>
        </w:rPr>
        <w:t>Research, Impact Analysis, and evaluation</w:t>
      </w:r>
    </w:p>
    <w:p>
      <w:pPr>
        <w:pStyle w:val="Normal (Web)"/>
        <w:spacing w:before="0" w:after="0" w:line="480" w:lineRule="auto"/>
        <w:ind w:firstLine="720"/>
        <w:jc w:val="both"/>
        <w:rPr>
          <w:outline w:val="0"/>
          <w:color w:val="0e101a"/>
          <w:u w:color="0e101a"/>
          <w14:textFill>
            <w14:solidFill>
              <w14:srgbClr w14:val="0E101A"/>
            </w14:solidFill>
          </w14:textFill>
        </w:rPr>
      </w:pPr>
      <w:r>
        <w:rPr>
          <w:outline w:val="0"/>
          <w:color w:val="0e101a"/>
          <w:u w:color="0e101a"/>
          <w:rtl w:val="0"/>
          <w:lang w:val="en-US"/>
          <w14:textFill>
            <w14:solidFill>
              <w14:srgbClr w14:val="0E101A"/>
            </w14:solidFill>
          </w14:textFill>
        </w:rPr>
        <w:t>Impact analysis is about assessing if a project has achieved its intended purpose and the impact it has had on the community</w:t>
      </w:r>
      <w:r>
        <w:rPr>
          <w:rFonts w:ascii="Calibri" w:hAnsi="Calibri"/>
          <w:outline w:val="0"/>
          <w:color w:val="000000"/>
          <w:sz w:val="22"/>
          <w:szCs w:val="22"/>
          <w:u w:color="000000"/>
          <w:rtl w:val="0"/>
          <w:lang w:val="en-US"/>
          <w14:textFill>
            <w14:solidFill>
              <w14:srgbClr w14:val="000000"/>
            </w14:solidFill>
          </w14:textFill>
        </w:rPr>
        <w:t xml:space="preserve"> </w:t>
      </w:r>
      <w:r>
        <w:rPr>
          <w:outline w:val="0"/>
          <w:color w:val="0e101a"/>
          <w:u w:color="0e101a"/>
          <w:rtl w:val="0"/>
          <w:lang w:val="en-US"/>
          <w14:textFill>
            <w14:solidFill>
              <w14:srgbClr w14:val="0E101A"/>
            </w14:solidFill>
          </w14:textFill>
        </w:rPr>
        <w:t>(Ifrc.org, n.d.). The impact analysis and evaluation are usually done after the completion of the project, but for continuous projects, it can be done at any time as the project progresses. As noted in the Changing Futures practice report, the project impact analysis is based on the number of beneficiaries whose lives have been transformed by the project. It is also a requirement by HM</w:t>
      </w:r>
      <w:r>
        <w:rPr>
          <w:outline w:val="0"/>
          <w:color w:val="0e101a"/>
          <w:u w:color="0e101a"/>
          <w:rtl w:val="0"/>
          <w:lang w:val="en-US"/>
          <w14:textFill>
            <w14:solidFill>
              <w14:srgbClr w14:val="0E101A"/>
            </w14:solidFill>
          </w14:textFill>
        </w:rPr>
        <w:t>’</w:t>
      </w:r>
      <w:r>
        <w:rPr>
          <w:outline w:val="0"/>
          <w:color w:val="0e101a"/>
          <w:u w:color="0e101a"/>
          <w:rtl w:val="0"/>
          <w:lang w:val="en-US"/>
          <w14:textFill>
            <w14:solidFill>
              <w14:srgbClr w14:val="0E101A"/>
            </w14:solidFill>
          </w14:textFill>
        </w:rPr>
        <w:t>s government for the Changing Futures projects to show their progress and impact to continue receiving the funding. The project team also analyses the impact on individual beneficiaries by assessing their progress since they joined the programme. This is done through interviews to get the information directly from the beneficiaries. At the same time, the observation method is used to analyse the beneficiaries</w:t>
      </w:r>
      <w:r>
        <w:rPr>
          <w:outline w:val="0"/>
          <w:color w:val="0e101a"/>
          <w:u w:color="0e101a"/>
          <w:rtl w:val="0"/>
          <w:lang w:val="en-US"/>
          <w14:textFill>
            <w14:solidFill>
              <w14:srgbClr w14:val="0E101A"/>
            </w14:solidFill>
          </w14:textFill>
        </w:rPr>
        <w:t xml:space="preserve">’ </w:t>
      </w:r>
      <w:r>
        <w:rPr>
          <w:outline w:val="0"/>
          <w:color w:val="0e101a"/>
          <w:u w:color="0e101a"/>
          <w:rtl w:val="0"/>
          <w:lang w:val="en-US"/>
          <w14:textFill>
            <w14:solidFill>
              <w14:srgbClr w14:val="0E101A"/>
            </w14:solidFill>
          </w14:textFill>
        </w:rPr>
        <w:t>physical living conditions before and after the project. It is not clear whether the project follows up with the beneficiaries to understand the long-term impact. However, since it is a conditionally funded project and set for a specific timeframe, it is logical to say that outcome evaluation is performed after the completion of the project. On its side, the Calthorpe Project does not have a precise impact analysis method. Still, according to the project team, its impact on the Camden community and its surroundings cannot be overemphasised. As indicated in the project</w:t>
      </w:r>
      <w:r>
        <w:rPr>
          <w:outline w:val="0"/>
          <w:color w:val="0e101a"/>
          <w:u w:color="0e101a"/>
          <w:rtl w:val="0"/>
          <w:lang w:val="en-US"/>
          <w14:textFill>
            <w14:solidFill>
              <w14:srgbClr w14:val="0E101A"/>
            </w14:solidFill>
          </w14:textFill>
        </w:rPr>
        <w:t>’</w:t>
      </w:r>
      <w:r>
        <w:rPr>
          <w:outline w:val="0"/>
          <w:color w:val="0e101a"/>
          <w:u w:color="0e101a"/>
          <w:rtl w:val="0"/>
          <w:lang w:val="en-US"/>
          <w14:textFill>
            <w14:solidFill>
              <w14:srgbClr w14:val="0E101A"/>
            </w14:solidFill>
          </w14:textFill>
        </w:rPr>
        <w:t>s website, the project has an impact on four areas- Sports, education, entertainment, and diversity (calthorpecommunitygarden, 2021), but it has not given details of how it conducts the impact analysis.</w:t>
      </w:r>
      <w:r>
        <w:rPr>
          <w:outline w:val="0"/>
          <w:color w:val="0e101a"/>
          <w:u w:color="0e101a"/>
          <w:rtl w:val="0"/>
          <w:lang w:val="en-US"/>
          <w14:textFill>
            <w14:solidFill>
              <w14:srgbClr w14:val="0E101A"/>
            </w14:solidFill>
          </w14:textFill>
        </w:rPr>
        <w:t> </w:t>
      </w:r>
    </w:p>
    <w:p>
      <w:pPr>
        <w:pStyle w:val="Normal (Web)"/>
        <w:spacing w:before="0" w:after="0" w:line="480" w:lineRule="auto"/>
        <w:jc w:val="center"/>
        <w:rPr>
          <w:outline w:val="0"/>
          <w:color w:val="0e101a"/>
          <w:u w:color="0e101a"/>
          <w14:textFill>
            <w14:solidFill>
              <w14:srgbClr w14:val="0E101A"/>
            </w14:solidFill>
          </w14:textFill>
        </w:rPr>
      </w:pPr>
      <w:r>
        <w:rPr>
          <w:rFonts w:ascii="Calibri" w:hAnsi="Calibri"/>
          <w:b w:val="1"/>
          <w:bCs w:val="1"/>
          <w:outline w:val="0"/>
          <w:color w:val="0e101a"/>
          <w:u w:color="0e101a"/>
          <w:rtl w:val="0"/>
          <w:lang w:val="en-US"/>
          <w14:textFill>
            <w14:solidFill>
              <w14:srgbClr w14:val="0E101A"/>
            </w14:solidFill>
          </w14:textFill>
        </w:rPr>
        <w:t>Conclusion</w:t>
      </w:r>
    </w:p>
    <w:p>
      <w:pPr>
        <w:pStyle w:val="Normal (Web)"/>
        <w:spacing w:before="0" w:after="0" w:line="480" w:lineRule="auto"/>
        <w:ind w:firstLine="720"/>
        <w:jc w:val="both"/>
        <w:rPr>
          <w:outline w:val="0"/>
          <w:color w:val="0e101a"/>
          <w:u w:color="0e101a"/>
          <w14:textFill>
            <w14:solidFill>
              <w14:srgbClr w14:val="0E101A"/>
            </w14:solidFill>
          </w14:textFill>
        </w:rPr>
      </w:pPr>
      <w:r>
        <w:rPr>
          <w:outline w:val="0"/>
          <w:color w:val="0e101a"/>
          <w:u w:color="0e101a"/>
          <w:rtl w:val="0"/>
          <w:lang w:val="en-US"/>
          <w14:textFill>
            <w14:solidFill>
              <w14:srgbClr w14:val="0E101A"/>
            </w14:solidFill>
          </w14:textFill>
        </w:rPr>
        <w:t>Community projects allow the project team to engage with the community in understanding their challenges and how they can be solved. However, the engagement approach can differ depending on the type of project, as shown in this report. The Camden community established Calthorpe Project through lobbying and campaigns. On the other hand, the Changing Futures project is the national government</w:t>
      </w:r>
      <w:r>
        <w:rPr>
          <w:outline w:val="0"/>
          <w:color w:val="0e101a"/>
          <w:u w:color="0e101a"/>
          <w:rtl w:val="0"/>
          <w:lang w:val="en-US"/>
          <w14:textFill>
            <w14:solidFill>
              <w14:srgbClr w14:val="0E101A"/>
            </w14:solidFill>
          </w14:textFill>
        </w:rPr>
        <w:t>’</w:t>
      </w:r>
      <w:r>
        <w:rPr>
          <w:outline w:val="0"/>
          <w:color w:val="0e101a"/>
          <w:u w:color="0e101a"/>
          <w:rtl w:val="0"/>
          <w:lang w:val="en-US"/>
          <w14:textFill>
            <w14:solidFill>
              <w14:srgbClr w14:val="0E101A"/>
            </w14:solidFill>
          </w14:textFill>
        </w:rPr>
        <w:t>s idea that was then localised to the Lancashire community. Both projects have active stakeholders</w:t>
      </w:r>
      <w:r>
        <w:rPr>
          <w:outline w:val="0"/>
          <w:color w:val="0e101a"/>
          <w:u w:color="0e101a"/>
          <w:rtl w:val="0"/>
          <w:lang w:val="en-US"/>
          <w14:textFill>
            <w14:solidFill>
              <w14:srgbClr w14:val="0E101A"/>
            </w14:solidFill>
          </w14:textFill>
        </w:rPr>
        <w:t xml:space="preserve">’ </w:t>
      </w:r>
      <w:r>
        <w:rPr>
          <w:outline w:val="0"/>
          <w:color w:val="0e101a"/>
          <w:u w:color="0e101a"/>
          <w:rtl w:val="0"/>
          <w:lang w:val="en-US"/>
          <w14:textFill>
            <w14:solidFill>
              <w14:srgbClr w14:val="0E101A"/>
            </w14:solidFill>
          </w14:textFill>
        </w:rPr>
        <w:t>engagement but at different capacities. The Calthorpe Project has some income-generating activities because it is a long-term community-based initiative that requires maintenance finances, but it also engages stakeholders such as local businesses and charities in fundraising. This is because it still needs funds to run its major activities. On its side, the Changing Futures project has a specific timeframe, and HM</w:t>
      </w:r>
      <w:r>
        <w:rPr>
          <w:outline w:val="0"/>
          <w:color w:val="0e101a"/>
          <w:u w:color="0e101a"/>
          <w:rtl w:val="0"/>
          <w:lang w:val="en-US"/>
          <w14:textFill>
            <w14:solidFill>
              <w14:srgbClr w14:val="0E101A"/>
            </w14:solidFill>
          </w14:textFill>
        </w:rPr>
        <w:t>’</w:t>
      </w:r>
      <w:r>
        <w:rPr>
          <w:outline w:val="0"/>
          <w:color w:val="0e101a"/>
          <w:u w:color="0e101a"/>
          <w:rtl w:val="0"/>
          <w:lang w:val="en-US"/>
          <w14:textFill>
            <w14:solidFill>
              <w14:srgbClr w14:val="0E101A"/>
            </w14:solidFill>
          </w14:textFill>
        </w:rPr>
        <w:t>s government is the key financier. However, it still engages local enterprises, organisations, and individuals who contribute financial support, technical support, and voluntary services. Moreover, the two projects involve diverse populations, although the Changing Future project is very definite about its priority on the minorities and others with multiple-disadvantage. In summary, the two projects positively impact the population in their own way, but they need to improve their social media presence to increase awareness and stakeholders' engagement.</w:t>
      </w:r>
      <w:r>
        <w:rPr>
          <w:outline w:val="0"/>
          <w:color w:val="0e101a"/>
          <w:u w:color="0e101a"/>
          <w:rtl w:val="0"/>
          <w:lang w:val="en-US"/>
          <w14:textFill>
            <w14:solidFill>
              <w14:srgbClr w14:val="0E101A"/>
            </w14:solidFill>
          </w14:textFill>
        </w:rPr>
        <w:t> </w:t>
      </w:r>
    </w:p>
    <w:p>
      <w:pPr>
        <w:pStyle w:val="Normal (Web)"/>
        <w:spacing w:before="0" w:after="0" w:line="480" w:lineRule="auto"/>
        <w:ind w:firstLine="720"/>
        <w:jc w:val="both"/>
        <w:rPr>
          <w:outline w:val="0"/>
          <w:color w:val="0e101a"/>
          <w:u w:color="0e101a"/>
          <w14:textFill>
            <w14:solidFill>
              <w14:srgbClr w14:val="0E101A"/>
            </w14:solidFill>
          </w14:textFill>
        </w:rPr>
      </w:pPr>
    </w:p>
    <w:p>
      <w:pPr>
        <w:pStyle w:val="Normal (Web)"/>
        <w:spacing w:before="0" w:after="0" w:line="480" w:lineRule="auto"/>
        <w:ind w:firstLine="720"/>
        <w:jc w:val="both"/>
        <w:rPr>
          <w:outline w:val="0"/>
          <w:color w:val="0e101a"/>
          <w:u w:color="0e101a"/>
          <w14:textFill>
            <w14:solidFill>
              <w14:srgbClr w14:val="0E101A"/>
            </w14:solidFill>
          </w14:textFill>
        </w:rPr>
      </w:pPr>
    </w:p>
    <w:p>
      <w:pPr>
        <w:pStyle w:val="Normal (Web)"/>
        <w:spacing w:before="0" w:after="0" w:line="480" w:lineRule="auto"/>
        <w:ind w:firstLine="720"/>
        <w:jc w:val="both"/>
        <w:rPr>
          <w:outline w:val="0"/>
          <w:color w:val="0e101a"/>
          <w:u w:color="0e101a"/>
          <w14:textFill>
            <w14:solidFill>
              <w14:srgbClr w14:val="0E101A"/>
            </w14:solidFill>
          </w14:textFill>
        </w:rPr>
      </w:pPr>
    </w:p>
    <w:p>
      <w:pPr>
        <w:pStyle w:val="Normal (Web)"/>
        <w:spacing w:before="0" w:after="0" w:line="480" w:lineRule="auto"/>
        <w:ind w:firstLine="720"/>
        <w:jc w:val="both"/>
        <w:rPr>
          <w:outline w:val="0"/>
          <w:color w:val="0e101a"/>
          <w:u w:color="0e101a"/>
          <w14:textFill>
            <w14:solidFill>
              <w14:srgbClr w14:val="0E101A"/>
            </w14:solidFill>
          </w14:textFill>
        </w:rPr>
      </w:pPr>
    </w:p>
    <w:p>
      <w:pPr>
        <w:pStyle w:val="Normal (Web)"/>
        <w:spacing w:before="0" w:after="0" w:line="480" w:lineRule="auto"/>
        <w:ind w:firstLine="720"/>
        <w:jc w:val="both"/>
        <w:rPr>
          <w:outline w:val="0"/>
          <w:color w:val="0e101a"/>
          <w:u w:color="0e101a"/>
          <w14:textFill>
            <w14:solidFill>
              <w14:srgbClr w14:val="0E101A"/>
            </w14:solidFill>
          </w14:textFill>
        </w:rPr>
      </w:pPr>
    </w:p>
    <w:p>
      <w:pPr>
        <w:pStyle w:val="Normal (Web)"/>
        <w:spacing w:before="0" w:after="0" w:line="480" w:lineRule="auto"/>
        <w:ind w:firstLine="720"/>
        <w:jc w:val="both"/>
        <w:rPr>
          <w:outline w:val="0"/>
          <w:color w:val="0e101a"/>
          <w:u w:color="0e101a"/>
          <w14:textFill>
            <w14:solidFill>
              <w14:srgbClr w14:val="0E101A"/>
            </w14:solidFill>
          </w14:textFill>
        </w:rPr>
      </w:pPr>
    </w:p>
    <w:p>
      <w:pPr>
        <w:pStyle w:val="Normal (Web)"/>
        <w:spacing w:before="0" w:after="0" w:line="480" w:lineRule="auto"/>
        <w:ind w:firstLine="720"/>
        <w:jc w:val="both"/>
        <w:rPr>
          <w:outline w:val="0"/>
          <w:color w:val="0e101a"/>
          <w:u w:color="0e101a"/>
          <w14:textFill>
            <w14:solidFill>
              <w14:srgbClr w14:val="0E101A"/>
            </w14:solidFill>
          </w14:textFill>
        </w:rPr>
      </w:pPr>
    </w:p>
    <w:p>
      <w:pPr>
        <w:pStyle w:val="Normal (Web)"/>
        <w:spacing w:before="0" w:after="0" w:line="480" w:lineRule="auto"/>
        <w:ind w:firstLine="720"/>
        <w:jc w:val="both"/>
        <w:rPr>
          <w:outline w:val="0"/>
          <w:color w:val="0e101a"/>
          <w:u w:color="0e101a"/>
          <w14:textFill>
            <w14:solidFill>
              <w14:srgbClr w14:val="0E101A"/>
            </w14:solidFill>
          </w14:textFill>
        </w:rPr>
      </w:pPr>
    </w:p>
    <w:p>
      <w:pPr>
        <w:pStyle w:val="Normal (Web)"/>
        <w:spacing w:before="0" w:after="0" w:line="480" w:lineRule="auto"/>
        <w:ind w:firstLine="720"/>
        <w:jc w:val="both"/>
        <w:rPr>
          <w:outline w:val="0"/>
          <w:color w:val="0e101a"/>
          <w:u w:color="0e101a"/>
          <w14:textFill>
            <w14:solidFill>
              <w14:srgbClr w14:val="0E101A"/>
            </w14:solidFill>
          </w14:textFill>
        </w:rPr>
      </w:pPr>
    </w:p>
    <w:p>
      <w:pPr>
        <w:pStyle w:val="Normal (Web)"/>
        <w:spacing w:before="0" w:after="0" w:line="480" w:lineRule="auto"/>
        <w:ind w:firstLine="720"/>
        <w:jc w:val="both"/>
        <w:rPr>
          <w:outline w:val="0"/>
          <w:color w:val="0e101a"/>
          <w:u w:color="0e101a"/>
          <w14:textFill>
            <w14:solidFill>
              <w14:srgbClr w14:val="0E101A"/>
            </w14:solidFill>
          </w14:textFill>
        </w:rPr>
      </w:pPr>
    </w:p>
    <w:p>
      <w:pPr>
        <w:pStyle w:val="Normal (Web)"/>
        <w:spacing w:before="0" w:after="0" w:line="480" w:lineRule="auto"/>
        <w:ind w:firstLine="720"/>
        <w:jc w:val="both"/>
        <w:rPr>
          <w:outline w:val="0"/>
          <w:color w:val="0e101a"/>
          <w:u w:color="0e101a"/>
          <w14:textFill>
            <w14:solidFill>
              <w14:srgbClr w14:val="0E101A"/>
            </w14:solidFill>
          </w14:textFill>
        </w:rPr>
      </w:pPr>
    </w:p>
    <w:p>
      <w:pPr>
        <w:pStyle w:val="Normal (Web)"/>
        <w:spacing w:before="0" w:after="0" w:line="480" w:lineRule="auto"/>
        <w:ind w:firstLine="720"/>
        <w:jc w:val="both"/>
        <w:rPr>
          <w:outline w:val="0"/>
          <w:color w:val="0e101a"/>
          <w:u w:color="0e101a"/>
          <w14:textFill>
            <w14:solidFill>
              <w14:srgbClr w14:val="0E101A"/>
            </w14:solidFill>
          </w14:textFill>
        </w:rPr>
      </w:pPr>
    </w:p>
    <w:p>
      <w:pPr>
        <w:pStyle w:val="Normal (Web)"/>
        <w:spacing w:before="0" w:after="0" w:line="480" w:lineRule="auto"/>
        <w:ind w:firstLine="720"/>
        <w:jc w:val="both"/>
        <w:rPr>
          <w:outline w:val="0"/>
          <w:color w:val="0e101a"/>
          <w:u w:color="0e101a"/>
          <w14:textFill>
            <w14:solidFill>
              <w14:srgbClr w14:val="0E101A"/>
            </w14:solidFill>
          </w14:textFill>
        </w:rPr>
      </w:pPr>
    </w:p>
    <w:p>
      <w:pPr>
        <w:pStyle w:val="Normal (Web)"/>
        <w:spacing w:before="0" w:after="0" w:line="480" w:lineRule="auto"/>
        <w:ind w:firstLine="720"/>
        <w:jc w:val="both"/>
        <w:rPr>
          <w:outline w:val="0"/>
          <w:color w:val="0e101a"/>
          <w:u w:color="0e101a"/>
          <w14:textFill>
            <w14:solidFill>
              <w14:srgbClr w14:val="0E101A"/>
            </w14:solidFill>
          </w14:textFill>
        </w:rPr>
      </w:pPr>
    </w:p>
    <w:p>
      <w:pPr>
        <w:pStyle w:val="Normal (Web)"/>
        <w:spacing w:before="0" w:after="0" w:line="480" w:lineRule="auto"/>
        <w:ind w:firstLine="720"/>
        <w:jc w:val="both"/>
        <w:rPr>
          <w:outline w:val="0"/>
          <w:color w:val="0e101a"/>
          <w:u w:color="0e101a"/>
          <w14:textFill>
            <w14:solidFill>
              <w14:srgbClr w14:val="0E101A"/>
            </w14:solidFill>
          </w14:textFill>
        </w:rPr>
      </w:pPr>
    </w:p>
    <w:p>
      <w:pPr>
        <w:pStyle w:val="Body.0"/>
        <w:tabs>
          <w:tab w:val="left" w:pos="3451"/>
        </w:tabs>
        <w:spacing w:line="480" w:lineRule="auto"/>
        <w:jc w:val="center"/>
        <w:rPr>
          <w:rFonts w:ascii="Times New Roman" w:cs="Times New Roman" w:hAnsi="Times New Roman" w:eastAsia="Times New Roman"/>
          <w:sz w:val="24"/>
          <w:szCs w:val="24"/>
        </w:rPr>
      </w:pPr>
      <w:r>
        <w:rPr>
          <w:rFonts w:ascii="Times New Roman" w:hAnsi="Times New Roman"/>
          <w:sz w:val="24"/>
          <w:szCs w:val="24"/>
          <w:rtl w:val="0"/>
          <w:lang w:val="fr-FR"/>
        </w:rPr>
        <w:t>References</w:t>
      </w:r>
    </w:p>
    <w:p>
      <w:pPr>
        <w:pStyle w:val="Body.0"/>
        <w:tabs>
          <w:tab w:val="left" w:pos="3451"/>
        </w:tabs>
        <w:spacing w:line="480" w:lineRule="auto"/>
        <w:rPr>
          <w:rFonts w:ascii="Times New Roman" w:cs="Times New Roman" w:hAnsi="Times New Roman" w:eastAsia="Times New Roman"/>
          <w:sz w:val="24"/>
          <w:szCs w:val="24"/>
        </w:rPr>
      </w:pPr>
      <w:r>
        <w:rPr>
          <w:rFonts w:ascii="Times New Roman" w:hAnsi="Times New Roman"/>
          <w:sz w:val="24"/>
          <w:szCs w:val="24"/>
          <w:rtl w:val="0"/>
        </w:rPr>
        <w:t>Atsdr.cdc.gov. 2020.</w:t>
      </w:r>
      <w:r>
        <w:rPr>
          <w:rFonts w:ascii="Times New Roman" w:hAnsi="Times New Roman" w:hint="default"/>
          <w:sz w:val="24"/>
          <w:szCs w:val="24"/>
          <w:rtl w:val="0"/>
          <w:lang w:val="en-US"/>
        </w:rPr>
        <w:t> </w:t>
      </w:r>
      <w:r>
        <w:rPr>
          <w:rFonts w:ascii="Times New Roman" w:hAnsi="Times New Roman"/>
          <w:i w:val="1"/>
          <w:iCs w:val="1"/>
          <w:sz w:val="24"/>
          <w:szCs w:val="24"/>
          <w:rtl w:val="0"/>
        </w:rPr>
        <w:t>Home | Principles Of Community Engagement | ATSDR</w:t>
      </w:r>
      <w:r>
        <w:rPr>
          <w:rFonts w:ascii="Times New Roman" w:hAnsi="Times New Roman"/>
          <w:sz w:val="24"/>
          <w:szCs w:val="24"/>
          <w:rtl w:val="0"/>
          <w:lang w:val="pt-PT"/>
        </w:rPr>
        <w:t>. [online]</w:t>
      </w:r>
    </w:p>
    <w:p>
      <w:pPr>
        <w:pStyle w:val="Body.0"/>
        <w:tabs>
          <w:tab w:val="left" w:pos="3451"/>
        </w:tabs>
        <w:spacing w:line="480"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           Available at: &lt;https://www.atsdr.cdc.gov/communityengagement/index.html </w:t>
      </w:r>
    </w:p>
    <w:p>
      <w:pPr>
        <w:pStyle w:val="Body.0"/>
        <w:tabs>
          <w:tab w:val="left" w:pos="3451"/>
        </w:tabs>
        <w:spacing w:line="480"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 calthorpecommunitygarden, 2021. </w:t>
      </w:r>
      <w:r>
        <w:rPr>
          <w:rFonts w:ascii="Times New Roman" w:hAnsi="Times New Roman"/>
          <w:i w:val="1"/>
          <w:iCs w:val="1"/>
          <w:sz w:val="24"/>
          <w:szCs w:val="24"/>
          <w:rtl w:val="0"/>
          <w:lang w:val="en-US"/>
        </w:rPr>
        <w:t>Calthorpe Community Garden</w:t>
      </w:r>
      <w:r>
        <w:rPr>
          <w:rFonts w:ascii="Times New Roman" w:hAnsi="Times New Roman"/>
          <w:sz w:val="24"/>
          <w:szCs w:val="24"/>
          <w:rtl w:val="0"/>
          <w:lang w:val="en-US"/>
        </w:rPr>
        <w:t>. [online] Calthorpe</w:t>
      </w:r>
    </w:p>
    <w:p>
      <w:pPr>
        <w:pStyle w:val="Body.0"/>
        <w:tabs>
          <w:tab w:val="left" w:pos="3451"/>
        </w:tabs>
        <w:spacing w:line="480"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                      Community Garden. Available at:  </w:t>
      </w:r>
      <w:r>
        <w:rPr>
          <w:rStyle w:val="Hyperlink.0"/>
        </w:rPr>
        <w:fldChar w:fldCharType="begin" w:fldLock="0"/>
      </w:r>
      <w:r>
        <w:rPr>
          <w:rStyle w:val="Hyperlink.0"/>
        </w:rPr>
        <w:instrText xml:space="preserve"> HYPERLINK "https://www.calthorpecommunitygarden.org.uk/"</w:instrText>
      </w:r>
      <w:r>
        <w:rPr>
          <w:rStyle w:val="Hyperlink.0"/>
        </w:rPr>
        <w:fldChar w:fldCharType="separate" w:fldLock="0"/>
      </w:r>
      <w:r>
        <w:rPr>
          <w:rStyle w:val="Hyperlink.0"/>
          <w:rtl w:val="0"/>
          <w:lang w:val="en-US"/>
        </w:rPr>
        <w:t>https://www.calthorpecommunitygarden.org.uk/</w:t>
      </w:r>
      <w:r>
        <w:rPr/>
        <w:fldChar w:fldCharType="end" w:fldLock="0"/>
      </w:r>
      <w:r>
        <w:rPr>
          <w:rFonts w:ascii="Times New Roman" w:hAnsi="Times New Roman"/>
          <w:sz w:val="24"/>
          <w:szCs w:val="24"/>
          <w:rtl w:val="0"/>
        </w:rPr>
        <w:t xml:space="preserve"> </w:t>
      </w:r>
    </w:p>
    <w:p>
      <w:pPr>
        <w:pStyle w:val="Body.0"/>
        <w:spacing w:line="480" w:lineRule="auto"/>
        <w:rPr>
          <w:rFonts w:ascii="Times New Roman" w:cs="Times New Roman" w:hAnsi="Times New Roman" w:eastAsia="Times New Roman"/>
          <w:sz w:val="24"/>
          <w:szCs w:val="24"/>
        </w:rPr>
      </w:pPr>
      <w:r>
        <w:rPr>
          <w:rFonts w:ascii="Times New Roman" w:hAnsi="Times New Roman"/>
          <w:sz w:val="24"/>
          <w:szCs w:val="24"/>
          <w:rtl w:val="0"/>
        </w:rPr>
        <w:t>Jim</w:t>
      </w:r>
      <w:r>
        <w:rPr>
          <w:rFonts w:ascii="Times New Roman" w:hAnsi="Times New Roman" w:hint="default"/>
          <w:sz w:val="24"/>
          <w:szCs w:val="24"/>
          <w:rtl w:val="0"/>
          <w:lang w:val="en-US"/>
        </w:rPr>
        <w:t>é</w:t>
      </w:r>
      <w:r>
        <w:rPr>
          <w:rFonts w:ascii="Times New Roman" w:hAnsi="Times New Roman"/>
          <w:sz w:val="24"/>
          <w:szCs w:val="24"/>
          <w:rtl w:val="0"/>
          <w:lang w:val="pt-PT"/>
        </w:rPr>
        <w:t>nez-Aceituno, A., Peterson, G., Norstr</w:t>
      </w:r>
      <w:r>
        <w:rPr>
          <w:rFonts w:ascii="Times New Roman" w:hAnsi="Times New Roman" w:hint="default"/>
          <w:sz w:val="24"/>
          <w:szCs w:val="24"/>
          <w:rtl w:val="0"/>
          <w:lang w:val="en-US"/>
        </w:rPr>
        <w:t>ö</w:t>
      </w:r>
      <w:r>
        <w:rPr>
          <w:rFonts w:ascii="Times New Roman" w:hAnsi="Times New Roman"/>
          <w:sz w:val="24"/>
          <w:szCs w:val="24"/>
          <w:rtl w:val="0"/>
          <w:lang w:val="en-US"/>
        </w:rPr>
        <w:t>m, A., Wong, G. and Downing, A., 2019. Local</w:t>
      </w:r>
    </w:p>
    <w:p>
      <w:pPr>
        <w:pStyle w:val="Body.0"/>
        <w:spacing w:line="480" w:lineRule="auto"/>
        <w:ind w:left="720" w:firstLine="0"/>
        <w:rPr>
          <w:rFonts w:ascii="Times New Roman" w:cs="Times New Roman" w:hAnsi="Times New Roman" w:eastAsia="Times New Roman"/>
          <w:sz w:val="24"/>
          <w:szCs w:val="24"/>
        </w:rPr>
      </w:pPr>
      <w:r>
        <w:rPr>
          <w:rFonts w:ascii="Times New Roman" w:hAnsi="Times New Roman"/>
          <w:sz w:val="24"/>
          <w:szCs w:val="24"/>
          <w:rtl w:val="0"/>
          <w:lang w:val="en-US"/>
        </w:rPr>
        <w:t xml:space="preserve">lens for SDG implementation: lessons from bottom-up approaches in Africa. </w:t>
      </w:r>
      <w:r>
        <w:rPr>
          <w:rFonts w:ascii="Times New Roman" w:hAnsi="Times New Roman"/>
          <w:i w:val="1"/>
          <w:iCs w:val="1"/>
          <w:sz w:val="24"/>
          <w:szCs w:val="24"/>
          <w:rtl w:val="0"/>
          <w:lang w:val="en-US"/>
        </w:rPr>
        <w:t>Sustainability Science</w:t>
      </w:r>
      <w:r>
        <w:rPr>
          <w:rFonts w:ascii="Times New Roman" w:hAnsi="Times New Roman"/>
          <w:sz w:val="24"/>
          <w:szCs w:val="24"/>
          <w:rtl w:val="0"/>
        </w:rPr>
        <w:t>, 15(3), pp.729-743.</w:t>
      </w:r>
    </w:p>
    <w:p>
      <w:pPr>
        <w:pStyle w:val="Body.0"/>
        <w:spacing w:line="480" w:lineRule="auto"/>
        <w:rPr>
          <w:rFonts w:ascii="Times New Roman" w:cs="Times New Roman" w:hAnsi="Times New Roman" w:eastAsia="Times New Roman"/>
          <w:sz w:val="24"/>
          <w:szCs w:val="24"/>
        </w:rPr>
      </w:pPr>
      <w:r>
        <w:rPr>
          <w:rFonts w:ascii="Times New Roman" w:hAnsi="Times New Roman"/>
          <w:sz w:val="24"/>
          <w:szCs w:val="24"/>
          <w:rtl w:val="0"/>
          <w:lang w:val="en-US"/>
        </w:rPr>
        <w:t>McCabe, A., Keast, R. and Brown, K., 2006. Community engagement: Towards community</w:t>
      </w:r>
    </w:p>
    <w:p>
      <w:pPr>
        <w:pStyle w:val="Body.0"/>
        <w:spacing w:line="480" w:lineRule="auto"/>
        <w:ind w:left="720" w:firstLine="0"/>
        <w:rPr>
          <w:rFonts w:ascii="Times New Roman" w:cs="Times New Roman" w:hAnsi="Times New Roman" w:eastAsia="Times New Roman"/>
          <w:sz w:val="24"/>
          <w:szCs w:val="24"/>
        </w:rPr>
      </w:pPr>
      <w:r>
        <w:rPr>
          <w:rFonts w:ascii="Times New Roman" w:hAnsi="Times New Roman"/>
          <w:sz w:val="24"/>
          <w:szCs w:val="24"/>
          <w:rtl w:val="0"/>
          <w:lang w:val="pt-PT"/>
        </w:rPr>
        <w:t>as governance. In</w:t>
      </w:r>
      <w:r>
        <w:rPr>
          <w:rFonts w:ascii="Times New Roman" w:hAnsi="Times New Roman" w:hint="default"/>
          <w:sz w:val="24"/>
          <w:szCs w:val="24"/>
          <w:rtl w:val="0"/>
          <w:lang w:val="en-US"/>
        </w:rPr>
        <w:t> </w:t>
      </w:r>
      <w:r>
        <w:rPr>
          <w:rFonts w:ascii="Times New Roman" w:hAnsi="Times New Roman"/>
          <w:i w:val="1"/>
          <w:iCs w:val="1"/>
          <w:sz w:val="24"/>
          <w:szCs w:val="24"/>
          <w:rtl w:val="0"/>
          <w:lang w:val="en-US"/>
        </w:rPr>
        <w:t>Proceedings of the Governments &amp; Communities in Partnership Conference: From Theory to Practice</w:t>
      </w:r>
      <w:r>
        <w:rPr>
          <w:rFonts w:ascii="Times New Roman" w:hAnsi="Times New Roman" w:hint="default"/>
          <w:sz w:val="24"/>
          <w:szCs w:val="24"/>
          <w:rtl w:val="0"/>
          <w:lang w:val="en-US"/>
        </w:rPr>
        <w:t> </w:t>
      </w:r>
      <w:r>
        <w:rPr>
          <w:rFonts w:ascii="Times New Roman" w:hAnsi="Times New Roman"/>
          <w:sz w:val="24"/>
          <w:szCs w:val="24"/>
          <w:rtl w:val="0"/>
          <w:lang w:val="en-US"/>
        </w:rPr>
        <w:t>(pp. 1-21). University of Melbourne.</w:t>
      </w:r>
    </w:p>
    <w:p>
      <w:pPr>
        <w:pStyle w:val="Body.0"/>
        <w:tabs>
          <w:tab w:val="left" w:pos="3451"/>
        </w:tabs>
        <w:spacing w:line="480" w:lineRule="auto"/>
        <w:rPr>
          <w:rFonts w:ascii="Times New Roman" w:cs="Times New Roman" w:hAnsi="Times New Roman" w:eastAsia="Times New Roman"/>
          <w:sz w:val="24"/>
          <w:szCs w:val="24"/>
        </w:rPr>
      </w:pPr>
      <w:r>
        <w:rPr>
          <w:rFonts w:ascii="Times New Roman" w:hAnsi="Times New Roman"/>
          <w:sz w:val="24"/>
          <w:szCs w:val="24"/>
          <w:rtl w:val="0"/>
          <w:lang w:val="en-US"/>
        </w:rPr>
        <w:t>Minelle, F., 2015. Managing stakeholders as clients. Sponsorship, Partnership, Leadership,</w:t>
      </w:r>
    </w:p>
    <w:p>
      <w:pPr>
        <w:pStyle w:val="Body.0"/>
        <w:tabs>
          <w:tab w:val="left" w:pos="3451"/>
        </w:tabs>
        <w:spacing w:line="480"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           and Citizenship. </w:t>
      </w:r>
      <w:r>
        <w:rPr>
          <w:rFonts w:ascii="Times New Roman" w:hAnsi="Times New Roman"/>
          <w:i w:val="1"/>
          <w:iCs w:val="1"/>
          <w:sz w:val="24"/>
          <w:szCs w:val="24"/>
          <w:rtl w:val="0"/>
          <w:lang w:val="de-DE"/>
        </w:rPr>
        <w:t>PROJECT MANAGER (IL)</w:t>
      </w:r>
      <w:r>
        <w:rPr>
          <w:rFonts w:ascii="Times New Roman" w:hAnsi="Times New Roman"/>
          <w:sz w:val="24"/>
          <w:szCs w:val="24"/>
          <w:rtl w:val="0"/>
        </w:rPr>
        <w:t>, (21), pp.46-47.</w:t>
      </w:r>
    </w:p>
    <w:p>
      <w:pPr>
        <w:pStyle w:val="Body.0"/>
        <w:tabs>
          <w:tab w:val="left" w:pos="3451"/>
        </w:tabs>
        <w:spacing w:line="480" w:lineRule="auto"/>
        <w:rPr>
          <w:rFonts w:ascii="Times New Roman" w:cs="Times New Roman" w:hAnsi="Times New Roman" w:eastAsia="Times New Roman"/>
          <w:sz w:val="24"/>
          <w:szCs w:val="24"/>
        </w:rPr>
      </w:pPr>
      <w:r>
        <w:rPr>
          <w:rFonts w:ascii="Times New Roman" w:hAnsi="Times New Roman"/>
          <w:sz w:val="24"/>
          <w:szCs w:val="24"/>
          <w:rtl w:val="0"/>
          <w:lang w:val="en-US"/>
        </w:rPr>
        <w:t>National Standards for Community Engagement. (2016). [online] Available at:</w:t>
      </w:r>
    </w:p>
    <w:p>
      <w:pPr>
        <w:pStyle w:val="Body.0"/>
        <w:tabs>
          <w:tab w:val="left" w:pos="3451"/>
        </w:tabs>
        <w:spacing w:line="480" w:lineRule="auto"/>
      </w:pPr>
      <w:r>
        <w:rPr>
          <w:rFonts w:ascii="Times New Roman" w:hAnsi="Times New Roman"/>
          <w:sz w:val="24"/>
          <w:szCs w:val="24"/>
          <w:rtl w:val="0"/>
        </w:rPr>
        <w:t xml:space="preserve">            </w:t>
      </w:r>
      <w:r>
        <w:rPr>
          <w:rStyle w:val="Hyperlink.0"/>
        </w:rPr>
        <w:fldChar w:fldCharType="begin" w:fldLock="0"/>
      </w:r>
      <w:r>
        <w:rPr>
          <w:rStyle w:val="Hyperlink.0"/>
        </w:rPr>
        <w:instrText xml:space="preserve"> HYPERLINK "http://www.voicescotland.org.uk/media/resources/NSfCE%2520online_October.pdf"</w:instrText>
      </w:r>
      <w:r>
        <w:rPr>
          <w:rStyle w:val="Hyperlink.0"/>
        </w:rPr>
        <w:fldChar w:fldCharType="separate" w:fldLock="0"/>
      </w:r>
      <w:r>
        <w:rPr>
          <w:rStyle w:val="Hyperlink.0"/>
          <w:rtl w:val="0"/>
          <w:lang w:val="en-US"/>
        </w:rPr>
        <w:t>http://www.voicescotland.org.uk/media/resources/NSfCE%20online_October.pdf</w:t>
      </w:r>
      <w:r>
        <w:rPr/>
        <w:fldChar w:fldCharType="end" w:fldLock="0"/>
      </w:r>
      <w:r>
        <w:rPr>
          <w:rFonts w:ascii="Times New Roman" w:hAnsi="Times New Roman"/>
          <w:sz w:val="24"/>
          <w:szCs w:val="24"/>
          <w:rtl w:val="0"/>
        </w:rPr>
        <w:t xml:space="preserve"> </w:t>
      </w:r>
    </w:p>
    <w:sectPr>
      <w:headerReference w:type="default" r:id="rId5"/>
      <w:footerReference w:type="default" r:id="rId6"/>
      <w:pgSz w:w="11900" w:h="16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Calibri">
    <w:charset w:val="00"/>
    <w:family w:val="roman"/>
    <w:pitch w:val="default"/>
  </w:font>
  <w:font w:name="Helvetica Neu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w:tabs>
        <w:tab w:val="right" w:pos="9000"/>
        <w:tab w:val="clear" w:pos="9026"/>
      </w:tabs>
      <w:jc w:val="right"/>
    </w:pPr>
    <w:r>
      <w:rPr/>
      <w:fldChar w:fldCharType="begin" w:fldLock="0"/>
    </w:r>
    <w:r>
      <w:instrText xml:space="preserve"> PAGE </w:instrText>
    </w:r>
    <w:r>
      <w:rPr/>
      <w:fldChar w:fldCharType="separate" w:fldLock="0"/>
    </w:r>
    <w:r/>
    <w:r>
      <w:rPr/>
      <w:fldChar w:fldCharType="end" w:fldLock="0"/>
    </w:r>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w:name w:val="header"/>
    <w:next w:val="header"/>
    <w:pPr>
      <w:keepNext w:val="0"/>
      <w:keepLines w:val="0"/>
      <w:pageBreakBefore w:val="0"/>
      <w:widowControl w:val="1"/>
      <w:shd w:val="clear" w:color="auto" w:fill="auto"/>
      <w:tabs>
        <w:tab w:val="center" w:pos="4513"/>
        <w:tab w:val="right" w:pos="9026"/>
      </w:tabs>
      <w:suppressAutoHyphens w:val="0"/>
      <w:bidi w:val="0"/>
      <w:spacing w:before="0" w:after="0" w:line="240"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Fill>
        <w14:solidFill>
          <w14:srgbClr w14:val="000000"/>
        </w14:solidFill>
      </w14:textFill>
    </w:r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Normal (Web)">
    <w:name w:val="Normal (Web)"/>
    <w:next w:val="Normal (Web)"/>
    <w:pPr>
      <w:keepNext w:val="0"/>
      <w:keepLines w:val="0"/>
      <w:pageBreakBefore w:val="0"/>
      <w:widowControl w:val="1"/>
      <w:shd w:val="clear" w:color="auto" w:fill="auto"/>
      <w:suppressAutoHyphens w:val="0"/>
      <w:bidi w:val="0"/>
      <w:spacing w:before="100" w:after="100" w:line="240"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Fill>
        <w14:solidFill>
          <w14:srgbClr w14:val="000000"/>
        </w14:solidFill>
      </w14:textFill>
    </w:rPr>
  </w:style>
  <w:style w:type="paragraph" w:styleId="Subtitle">
    <w:name w:val="Subtitle"/>
    <w:next w:val="Body"/>
    <w:pPr>
      <w:keepNext w:val="1"/>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40"/>
      <w:szCs w:val="40"/>
      <w:u w:val="none"/>
      <w:shd w:val="nil" w:color="auto" w:fill="auto"/>
      <w:vertAlign w:val="baseline"/>
      <w:lang w:val="en-US"/>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paragraph" w:styleId="Title">
    <w:name w:val="Title"/>
    <w:next w:val="Body"/>
    <w:pPr>
      <w:keepNext w:val="1"/>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1"/>
      <w:bCs w:val="1"/>
      <w:i w:val="0"/>
      <w:iCs w:val="0"/>
      <w:caps w:val="0"/>
      <w:smallCaps w:val="0"/>
      <w:strike w:val="0"/>
      <w:dstrike w:val="0"/>
      <w:outline w:val="0"/>
      <w:color w:val="000000"/>
      <w:spacing w:val="0"/>
      <w:kern w:val="0"/>
      <w:position w:val="0"/>
      <w:sz w:val="60"/>
      <w:szCs w:val="60"/>
      <w:u w:val="none"/>
      <w:shd w:val="nil" w:color="auto" w:fill="auto"/>
      <w:vertAlign w:val="baseline"/>
      <w:lang w:val="en-US"/>
      <w14:textOutline>
        <w14:noFill/>
      </w14:textOutline>
      <w14:textFill>
        <w14:solidFill>
          <w14:srgbClr w14:val="000000"/>
        </w14:solidFill>
      </w14:textFill>
    </w:rPr>
  </w:style>
  <w:style w:type="paragraph" w:styleId="Body.0">
    <w:name w:val="Body"/>
    <w:next w:val="Body.0"/>
    <w:pPr>
      <w:keepNext w:val="0"/>
      <w:keepLines w:val="0"/>
      <w:pageBreakBefore w:val="0"/>
      <w:widowControl w:val="1"/>
      <w:shd w:val="clear" w:color="auto" w:fill="auto"/>
      <w:suppressAutoHyphens w:val="0"/>
      <w:bidi w:val="0"/>
      <w:spacing w:before="0" w:after="160" w:line="259"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fr-FR"/>
      <w14:textOutline>
        <w14:noFill/>
      </w14:textOutline>
      <w14:textFill>
        <w14:solidFill>
          <w14:srgbClr w14:val="000000"/>
        </w14:solidFill>
      </w14:textFill>
    </w:rPr>
  </w:style>
  <w:style w:type="character" w:styleId="Link">
    <w:name w:val="Link"/>
    <w:rPr>
      <w:outline w:val="0"/>
      <w:color w:val="0563c1"/>
      <w:u w:val="single" w:color="0563c1"/>
      <w14:textFill>
        <w14:solidFill>
          <w14:srgbClr w14:val="0563C1"/>
        </w14:solidFill>
      </w14:textFill>
    </w:rPr>
  </w:style>
  <w:style w:type="character" w:styleId="Hyperlink.0">
    <w:name w:val="Hyperlink.0"/>
    <w:basedOn w:val="Link"/>
    <w:next w:val="Hyperlink.0"/>
    <w:rPr>
      <w:rFonts w:ascii="Times New Roman" w:cs="Times New Roman" w:hAnsi="Times New Roman" w:eastAsia="Times New Roman"/>
      <w:sz w:val="24"/>
      <w:szCs w:val="24"/>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