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56E5D" w14:textId="1A711997" w:rsidR="00092B6D" w:rsidRDefault="003714F1" w:rsidP="003714F1">
      <w:pPr>
        <w:jc w:val="center"/>
        <w:rPr>
          <w:u w:val="single"/>
        </w:rPr>
      </w:pPr>
      <w:r>
        <w:rPr>
          <w:u w:val="single"/>
        </w:rPr>
        <w:t xml:space="preserve">Celtic Art assignment 1: </w:t>
      </w:r>
      <w:r w:rsidR="00536D93" w:rsidRPr="00536D93">
        <w:rPr>
          <w:u w:val="single"/>
        </w:rPr>
        <w:t>The Snettisham Great torc</w:t>
      </w:r>
    </w:p>
    <w:p w14:paraId="6F982844" w14:textId="77777777" w:rsidR="00536D93" w:rsidRDefault="00536D93" w:rsidP="00536D93">
      <w:pPr>
        <w:rPr>
          <w:u w:val="single"/>
        </w:rPr>
      </w:pPr>
    </w:p>
    <w:p w14:paraId="0CEA7790" w14:textId="1E3420AE" w:rsidR="00536D93" w:rsidRDefault="00536D93" w:rsidP="00536D93">
      <w:pPr>
        <w:rPr>
          <w:u w:val="single"/>
        </w:rPr>
      </w:pPr>
    </w:p>
    <w:p w14:paraId="4EE50988" w14:textId="77777777" w:rsidR="005F691B" w:rsidRDefault="005F691B" w:rsidP="005F691B">
      <w:pPr>
        <w:keepNext/>
      </w:pPr>
      <w:r>
        <w:rPr>
          <w:noProof/>
        </w:rPr>
        <w:drawing>
          <wp:inline distT="0" distB="0" distL="0" distR="0" wp14:anchorId="34F1E733" wp14:editId="3F3F5C41">
            <wp:extent cx="2217398" cy="1975415"/>
            <wp:effectExtent l="0" t="0" r="0" b="6350"/>
            <wp:docPr id="8986046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604632" name="Picture 898604632"/>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44912" cy="1999926"/>
                    </a:xfrm>
                    <a:prstGeom prst="rect">
                      <a:avLst/>
                    </a:prstGeom>
                  </pic:spPr>
                </pic:pic>
              </a:graphicData>
            </a:graphic>
          </wp:inline>
        </w:drawing>
      </w:r>
    </w:p>
    <w:p w14:paraId="01581B0A" w14:textId="0D15C1B8" w:rsidR="005F691B" w:rsidRDefault="005F691B" w:rsidP="005F691B">
      <w:pPr>
        <w:pStyle w:val="Caption"/>
      </w:pPr>
      <w:r>
        <w:t xml:space="preserve">Figure </w:t>
      </w:r>
      <w:r w:rsidR="00471499">
        <w:fldChar w:fldCharType="begin"/>
      </w:r>
      <w:r w:rsidR="00471499">
        <w:instrText xml:space="preserve"> SEQ Figure \* ARABIC </w:instrText>
      </w:r>
      <w:r w:rsidR="00471499">
        <w:fldChar w:fldCharType="separate"/>
      </w:r>
      <w:r w:rsidR="005010A3">
        <w:rPr>
          <w:noProof/>
        </w:rPr>
        <w:t>1</w:t>
      </w:r>
      <w:r w:rsidR="00471499">
        <w:rPr>
          <w:noProof/>
        </w:rPr>
        <w:fldChar w:fldCharType="end"/>
      </w:r>
      <w:r w:rsidRPr="00FE6B77">
        <w:t>Snettisham Great Torc (source: https: //www.britishmuseum.org/)</w:t>
      </w:r>
    </w:p>
    <w:p w14:paraId="3AA2B8BF" w14:textId="77777777" w:rsidR="005F691B" w:rsidRDefault="005F691B" w:rsidP="00CD607B"/>
    <w:p w14:paraId="4EA59434" w14:textId="034ADCD4" w:rsidR="005F691B" w:rsidRDefault="00536D93" w:rsidP="00CD607B">
      <w:r>
        <w:t>The</w:t>
      </w:r>
      <w:r w:rsidR="00B76E7F">
        <w:t xml:space="preserve"> object of this biography is the</w:t>
      </w:r>
      <w:r>
        <w:t xml:space="preserve"> Snettisham Great Torc</w:t>
      </w:r>
      <w:r w:rsidR="00B76E7F">
        <w:t>, which is a gold alloy torc to be worn around a person’s neck. Th</w:t>
      </w:r>
      <w:r w:rsidR="000C0664">
        <w:t>e British Museum has stated this</w:t>
      </w:r>
      <w:r w:rsidR="00B76E7F">
        <w:t xml:space="preserve"> torc</w:t>
      </w:r>
      <w:r w:rsidR="000C0664">
        <w:t xml:space="preserve"> was made from a little over one kilo’s worth of gold with some traces of silver and has been dated to have been made around 150BC – 50BC.</w:t>
      </w:r>
      <w:r w:rsidR="000C0664">
        <w:rPr>
          <w:rStyle w:val="FootnoteReference"/>
        </w:rPr>
        <w:footnoteReference w:id="1"/>
      </w:r>
      <w:r w:rsidR="000C0664">
        <w:t xml:space="preserve"> The </w:t>
      </w:r>
      <w:r w:rsidR="00F7623D">
        <w:t>gold alloy used for this torc has been shaped into</w:t>
      </w:r>
      <w:r w:rsidR="005F691B">
        <w:t xml:space="preserve"> a</w:t>
      </w:r>
      <w:r w:rsidR="00F7623D">
        <w:t xml:space="preserve"> series of threads, which </w:t>
      </w:r>
      <w:r w:rsidR="005F691B">
        <w:t>have been</w:t>
      </w:r>
      <w:r w:rsidR="00F7623D">
        <w:t xml:space="preserve"> </w:t>
      </w:r>
      <w:r w:rsidR="005F691B">
        <w:t>grouped</w:t>
      </w:r>
      <w:r w:rsidR="00F7623D">
        <w:t xml:space="preserve"> into</w:t>
      </w:r>
      <w:r w:rsidR="005F691B">
        <w:t xml:space="preserve"> bundles</w:t>
      </w:r>
      <w:r w:rsidR="00F7623D">
        <w:t xml:space="preserve"> eight threads each to be twisted to form the rope type pattern see</w:t>
      </w:r>
      <w:r w:rsidR="005F691B">
        <w:t>n</w:t>
      </w:r>
      <w:r w:rsidR="00F7623D">
        <w:t xml:space="preserve"> on the torc.</w:t>
      </w:r>
      <w:r w:rsidR="00852EF1">
        <w:rPr>
          <w:rStyle w:val="FootnoteReference"/>
        </w:rPr>
        <w:footnoteReference w:id="2"/>
      </w:r>
      <w:r w:rsidR="005F691B">
        <w:t xml:space="preserve"> The twisted ropes form the hoop of the torc which ends in decorated terminals</w:t>
      </w:r>
      <w:r w:rsidR="00AE3C09">
        <w:t xml:space="preserve"> in the style of circular shapes and interconnecting lines</w:t>
      </w:r>
      <w:r w:rsidR="005F691B">
        <w:t xml:space="preserve">. </w:t>
      </w:r>
    </w:p>
    <w:p w14:paraId="54E17549" w14:textId="55EBA049" w:rsidR="000D13BA" w:rsidRDefault="00F7623D" w:rsidP="005F691B">
      <w:r>
        <w:t>The torc was discovered</w:t>
      </w:r>
      <w:r w:rsidR="00FD5E06">
        <w:t xml:space="preserve"> accidentally</w:t>
      </w:r>
      <w:r w:rsidR="005F691B">
        <w:t xml:space="preserve"> in</w:t>
      </w:r>
      <w:r w:rsidR="00FD5E06">
        <w:t xml:space="preserve"> 1950</w:t>
      </w:r>
      <w:r>
        <w:t xml:space="preserve"> by</w:t>
      </w:r>
      <w:r w:rsidR="00FE7FBE">
        <w:t xml:space="preserve"> a</w:t>
      </w:r>
      <w:r>
        <w:t xml:space="preserve"> farmer, who was ploughing his field</w:t>
      </w:r>
      <w:r w:rsidR="00CD607B">
        <w:t xml:space="preserve"> near</w:t>
      </w:r>
      <w:r>
        <w:t xml:space="preserve"> </w:t>
      </w:r>
      <w:r w:rsidR="00CD607B">
        <w:t>the village of</w:t>
      </w:r>
      <w:r>
        <w:t xml:space="preserve"> Snettisham </w:t>
      </w:r>
      <w:r w:rsidR="00FD5E06">
        <w:t>alongside other artefacts such as a coin and a bracelet.</w:t>
      </w:r>
      <w:r w:rsidR="00FD5E06">
        <w:rPr>
          <w:rStyle w:val="FootnoteReference"/>
        </w:rPr>
        <w:footnoteReference w:id="3"/>
      </w:r>
      <w:r w:rsidR="00FE7FBE">
        <w:t xml:space="preserve"> This small treasure hoard is not unique to the area as several other hoards of various size has discovered and excavated throughout the 20</w:t>
      </w:r>
      <w:r w:rsidR="00FE7FBE" w:rsidRPr="00FE7FBE">
        <w:rPr>
          <w:vertAlign w:val="superscript"/>
        </w:rPr>
        <w:t>th</w:t>
      </w:r>
      <w:r w:rsidR="00FE7FBE">
        <w:t xml:space="preserve"> century. </w:t>
      </w:r>
      <w:r w:rsidR="00CD607B">
        <w:t>After the discovery</w:t>
      </w:r>
      <w:r w:rsidR="00FE7FBE">
        <w:t xml:space="preserve"> of this particular hoard</w:t>
      </w:r>
      <w:r w:rsidR="00CD607B">
        <w:t>, the artefacts including the torc were acquired by the British Museum in 1951, where they are still kept on display to this day.</w:t>
      </w:r>
      <w:r w:rsidR="00CD607B">
        <w:rPr>
          <w:rStyle w:val="FootnoteReference"/>
        </w:rPr>
        <w:footnoteReference w:id="4"/>
      </w:r>
      <w:r w:rsidR="002F6C0E">
        <w:t xml:space="preserve"> I</w:t>
      </w:r>
      <w:r w:rsidR="005F691B">
        <w:t>t began life as a valuable ornament</w:t>
      </w:r>
      <w:r w:rsidR="002F6C0E">
        <w:t xml:space="preserve"> perhaps connected to status and power in Iron Age society. During its lifetime it fell into obscurity either through purposeful deposition or by mistake only </w:t>
      </w:r>
      <w:r w:rsidR="002F6C0E">
        <w:lastRenderedPageBreak/>
        <w:t>to be rediscovered in the 1950’s to experience a new life as a museum artefact and object of study.</w:t>
      </w:r>
    </w:p>
    <w:p w14:paraId="2D1EBCF4" w14:textId="5B2EB31A" w:rsidR="00BE6F6A" w:rsidRDefault="00B76E7F" w:rsidP="005F691B">
      <w:r w:rsidRPr="00760BC7">
        <w:t xml:space="preserve">By examining these </w:t>
      </w:r>
      <w:r w:rsidR="005D7036" w:rsidRPr="00760BC7">
        <w:t>stages,</w:t>
      </w:r>
      <w:r w:rsidRPr="00760BC7">
        <w:t xml:space="preserve"> we can understand not only the object itself</w:t>
      </w:r>
      <w:r w:rsidR="005D7036">
        <w:t xml:space="preserve"> more clearly</w:t>
      </w:r>
      <w:r w:rsidRPr="00760BC7">
        <w:t xml:space="preserve"> but also</w:t>
      </w:r>
      <w:r w:rsidR="005D7036">
        <w:t xml:space="preserve"> view the life of the torc from its creation point to its present state on display.</w:t>
      </w:r>
      <w:r>
        <w:t xml:space="preserve"> </w:t>
      </w:r>
      <w:r w:rsidR="00536D93">
        <w:t xml:space="preserve"> </w:t>
      </w:r>
    </w:p>
    <w:p w14:paraId="5973D06C" w14:textId="45A7F314" w:rsidR="0087562B" w:rsidRDefault="00852EF1" w:rsidP="00BE6F6A">
      <w:r>
        <w:t>The Snettisham Great Torc’s creation point is estimated to be around 150BC – 50BC, which would place its manufacture during the Iron Age. While the exact creators of this torc are unknown</w:t>
      </w:r>
      <w:r w:rsidR="00D8659E">
        <w:t>, the skill and detail put into the torc demonstrates the metal workers of this period were highly skilled artisans.</w:t>
      </w:r>
      <w:r w:rsidR="002F6C0E">
        <w:t xml:space="preserve"> </w:t>
      </w:r>
      <w:r w:rsidR="005010A3" w:rsidRPr="005010A3">
        <w:t>Machling</w:t>
      </w:r>
      <w:r w:rsidR="005010A3">
        <w:t xml:space="preserve"> </w:t>
      </w:r>
      <w:r w:rsidR="00DA7B09">
        <w:t xml:space="preserve">states that </w:t>
      </w:r>
      <w:r w:rsidR="005010A3">
        <w:t xml:space="preserve">the technique to create and attach the terminal to the collar of the torc is known as a </w:t>
      </w:r>
      <w:r w:rsidR="005010A3" w:rsidRPr="005010A3">
        <w:t>tripartitie construction technique</w:t>
      </w:r>
      <w:r w:rsidR="005010A3">
        <w:t>, where the core of the terminal and the shell of it are created separately to be attached at a later point to the collar.</w:t>
      </w:r>
      <w:r w:rsidR="005010A3">
        <w:rPr>
          <w:rStyle w:val="FootnoteReference"/>
        </w:rPr>
        <w:footnoteReference w:id="5"/>
      </w:r>
      <w:r w:rsidR="00DA7B09">
        <w:t xml:space="preserve">  </w:t>
      </w:r>
      <w:r w:rsidR="008D1448" w:rsidRPr="00760BC7">
        <w:t>Producing a</w:t>
      </w:r>
      <w:r w:rsidR="008D1448">
        <w:t xml:space="preserve"> torc of this quality </w:t>
      </w:r>
      <w:r w:rsidR="008D1448" w:rsidRPr="00760BC7">
        <w:t>would have required time, labour, and</w:t>
      </w:r>
      <w:r w:rsidR="008D1448">
        <w:t xml:space="preserve"> skilled</w:t>
      </w:r>
      <w:r w:rsidR="008D1448" w:rsidRPr="00760BC7">
        <w:t xml:space="preserve"> expertise</w:t>
      </w:r>
      <w:r w:rsidR="008D1448">
        <w:t>. This would</w:t>
      </w:r>
      <w:r w:rsidR="008D1448" w:rsidRPr="00760BC7">
        <w:t xml:space="preserve"> suggest patronage by powerful individuals or groups</w:t>
      </w:r>
      <w:r w:rsidR="008D1448">
        <w:t xml:space="preserve"> funding its creation</w:t>
      </w:r>
      <w:r w:rsidR="002F6C0E">
        <w:t>.</w:t>
      </w:r>
      <w:r w:rsidR="008D1448" w:rsidRPr="00760BC7">
        <w:t xml:space="preserve"> </w:t>
      </w:r>
      <w:r w:rsidR="002F6C0E">
        <w:t>I</w:t>
      </w:r>
      <w:r w:rsidR="008D1448" w:rsidRPr="00760BC7">
        <w:t xml:space="preserve">t is unlikely that the torc was made for ordinary use rather, it was </w:t>
      </w:r>
      <w:r w:rsidR="008D1448">
        <w:t>likely</w:t>
      </w:r>
      <w:r w:rsidR="008D1448" w:rsidRPr="00760BC7">
        <w:t xml:space="preserve"> commissioned as a statement piece intended to communicate authority and prestige</w:t>
      </w:r>
      <w:r w:rsidR="008D1448">
        <w:t xml:space="preserve"> amongst the tribal elite of the time</w:t>
      </w:r>
      <w:r w:rsidR="008D1448" w:rsidRPr="00760BC7">
        <w:t>.</w:t>
      </w:r>
      <w:r w:rsidR="00187F88">
        <w:t xml:space="preserve"> </w:t>
      </w:r>
      <w:r w:rsidR="00187F88">
        <w:rPr>
          <w:rStyle w:val="FootnoteReference"/>
        </w:rPr>
        <w:footnoteReference w:id="6"/>
      </w:r>
      <w:r w:rsidR="0087562B">
        <w:t xml:space="preserve"> </w:t>
      </w:r>
    </w:p>
    <w:p w14:paraId="3449B984" w14:textId="5551B365" w:rsidR="00BE6F6A" w:rsidRDefault="0087562B" w:rsidP="00BE6F6A">
      <w:r w:rsidRPr="0087562B">
        <w:t>Machling</w:t>
      </w:r>
      <w:r>
        <w:t xml:space="preserve"> notes that the Snettisham great torc is unique among other torcs found near the region due to areas of the torc being made either in a less optimal way originally or modifications to the original piece has left noticeable signs of change.</w:t>
      </w:r>
      <w:r w:rsidR="00187F88">
        <w:rPr>
          <w:rStyle w:val="FootnoteReference"/>
        </w:rPr>
        <w:footnoteReference w:id="7"/>
      </w:r>
    </w:p>
    <w:p w14:paraId="04ACA888" w14:textId="57FE2AEF" w:rsidR="0087562B" w:rsidRDefault="0087562B" w:rsidP="00796113">
      <w:pPr>
        <w:ind w:right="-283"/>
      </w:pPr>
      <w:r w:rsidRPr="0087562B">
        <w:t>This torc is unusual as the joint between collar and wires is extremely messy: there are a large number of wide gaps between the wire ropes of the neck-ring which have been filled with poorly-applied quantities of gold solder, perhaps overlying and surrounding pressed-in sheet from a collar lip. It would seem that the eight wire ropes of the neck-ring, as made, were not wide enough to snugly fill the collar aperture. Therefore, they had to be splayed open to fit the collar, as witnessed by the widening of the neck-ring as it joins the terminals</w:t>
      </w:r>
      <w:r w:rsidR="00DA7B09">
        <w:t>.</w:t>
      </w:r>
      <w:r w:rsidR="00DA7B09">
        <w:rPr>
          <w:rStyle w:val="FootnoteReference"/>
        </w:rPr>
        <w:footnoteReference w:id="8"/>
      </w:r>
      <w:r>
        <w:t xml:space="preserve"> </w:t>
      </w:r>
    </w:p>
    <w:p w14:paraId="5B897D80" w14:textId="58CBDF12" w:rsidR="0087562B" w:rsidRDefault="00FB4505" w:rsidP="0087562B">
      <w:pPr>
        <w:ind w:right="-283"/>
      </w:pPr>
      <w:r>
        <w:t xml:space="preserve">It is odd that an object with such a valuable amount of gold was made with poor technique. There are a number of possible reasons why the neck ring has been attached to </w:t>
      </w:r>
      <w:r w:rsidR="00CA1137">
        <w:t>inappropriately</w:t>
      </w:r>
      <w:r>
        <w:t xml:space="preserve"> sized terminals which required the excess use of solder. Machling suggests some possible reasons, the first that British smiths were inexperienced with the soldering technique and the second was that the terminals and neck ring may have been manufactured separately by different goldsmiths with poor measurements. Another </w:t>
      </w:r>
      <w:r>
        <w:lastRenderedPageBreak/>
        <w:t>suggestion is that the torc was made from recycled parts of broken torcs to reuse the elements.</w:t>
      </w:r>
      <w:r w:rsidR="00187F88">
        <w:rPr>
          <w:rStyle w:val="FootnoteReference"/>
        </w:rPr>
        <w:footnoteReference w:id="9"/>
      </w:r>
      <w:r>
        <w:t xml:space="preserve"> </w:t>
      </w:r>
    </w:p>
    <w:p w14:paraId="50992AE1" w14:textId="67C3AF11" w:rsidR="00BE6F6A" w:rsidRDefault="00DD33D4" w:rsidP="00DD33D4">
      <w:pPr>
        <w:ind w:right="-283"/>
      </w:pPr>
      <w:r>
        <w:t xml:space="preserve">The concept of inalienable wealth may apply to the Snettisham torc and explain why it may have possibly been repaired or the elements preserved in such a way. Annette Weiner talks about the concept of inalienable objects. Such objects can not be separated from their owners, even when they are circulated. They always have a sense of belonging to a person or group. She writes; </w:t>
      </w:r>
      <w:r w:rsidR="006E49F3">
        <w:t xml:space="preserve">‘The </w:t>
      </w:r>
      <w:r w:rsidR="006E49F3" w:rsidRPr="006E49F3">
        <w:t xml:space="preserve">cultural meanings of such wealth made these objects different from those that lacked the value of </w:t>
      </w:r>
      <w:r w:rsidRPr="006E49F3">
        <w:t>inali</w:t>
      </w:r>
      <w:r>
        <w:t>enability.’</w:t>
      </w:r>
      <w:r w:rsidR="00187F88">
        <w:t xml:space="preserve"> </w:t>
      </w:r>
      <w:r w:rsidR="00187F88">
        <w:rPr>
          <w:rStyle w:val="FootnoteReference"/>
        </w:rPr>
        <w:footnoteReference w:id="10"/>
      </w:r>
      <w:r w:rsidR="009E3432">
        <w:t xml:space="preserve"> </w:t>
      </w:r>
      <w:r>
        <w:t>The Snettisham torc may have had significant meaning to the owner which transcended the commercial value of its gold.</w:t>
      </w:r>
    </w:p>
    <w:p w14:paraId="0FD07732" w14:textId="06FA7104" w:rsidR="008C7349" w:rsidRDefault="000D13BA" w:rsidP="00903898">
      <w:r>
        <w:t xml:space="preserve">In contrast to where the torc </w:t>
      </w:r>
      <w:r w:rsidR="00906AFB">
        <w:t>w</w:t>
      </w:r>
      <w:r>
        <w:t>as discovered in Snettisham</w:t>
      </w:r>
      <w:r w:rsidR="00A45B4E">
        <w:t>,</w:t>
      </w:r>
      <w:r>
        <w:t xml:space="preserve"> </w:t>
      </w:r>
      <w:r w:rsidR="00A45B4E">
        <w:t>t</w:t>
      </w:r>
      <w:r>
        <w:t>he materials used to create the artefact could have possibly been brought in from elsewhere.</w:t>
      </w:r>
      <w:r w:rsidR="007350D4">
        <w:t xml:space="preserve"> Gold mining in Iron Age Britain</w:t>
      </w:r>
      <w:r w:rsidR="00903898">
        <w:t xml:space="preserve"> was rar</w:t>
      </w:r>
      <w:r w:rsidR="00906AFB">
        <w:t>e to the point that most known ancient gold mines that have been rediscovered are from a later time period, most commonly when the Romans arrived and occupied parts of the island from 44AD to 410AD.</w:t>
      </w:r>
      <w:r w:rsidR="0003014D">
        <w:rPr>
          <w:rStyle w:val="FootnoteReference"/>
        </w:rPr>
        <w:footnoteReference w:id="11"/>
      </w:r>
      <w:r w:rsidR="00906AFB">
        <w:t xml:space="preserve"> </w:t>
      </w:r>
      <w:r w:rsidR="008C7349">
        <w:t>It should be noted that even modern gold mines in Britain are located away from Snettisham</w:t>
      </w:r>
      <w:r w:rsidR="00471499">
        <w:t>, which could show that even if these later mines existed in the Iron Age period, the gold materials would still have to travel a fair distance to where the torc was discovered.</w:t>
      </w:r>
    </w:p>
    <w:p w14:paraId="058ECA19" w14:textId="77777777" w:rsidR="00471499" w:rsidRDefault="00471499" w:rsidP="00471499">
      <w:pPr>
        <w:keepNext/>
      </w:pPr>
      <w:r>
        <w:rPr>
          <w:noProof/>
        </w:rPr>
        <w:drawing>
          <wp:inline distT="0" distB="0" distL="0" distR="0" wp14:anchorId="2760D559" wp14:editId="6FF3CFC0">
            <wp:extent cx="2694316" cy="2921181"/>
            <wp:effectExtent l="0" t="0" r="0" b="0"/>
            <wp:docPr id="18462413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241301" name="Picture 184624130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06682" cy="2934588"/>
                    </a:xfrm>
                    <a:prstGeom prst="rect">
                      <a:avLst/>
                    </a:prstGeom>
                  </pic:spPr>
                </pic:pic>
              </a:graphicData>
            </a:graphic>
          </wp:inline>
        </w:drawing>
      </w:r>
    </w:p>
    <w:p w14:paraId="03509B0D" w14:textId="33C6E3ED" w:rsidR="00471499" w:rsidRDefault="00471499" w:rsidP="00471499">
      <w:pPr>
        <w:pStyle w:val="Caption"/>
      </w:pPr>
      <w:r>
        <w:t xml:space="preserve">Figure </w:t>
      </w:r>
      <w:r>
        <w:fldChar w:fldCharType="begin"/>
      </w:r>
      <w:r>
        <w:instrText xml:space="preserve"> SEQ Figure \* ARABIC </w:instrText>
      </w:r>
      <w:r>
        <w:fldChar w:fldCharType="separate"/>
      </w:r>
      <w:r w:rsidR="005010A3">
        <w:rPr>
          <w:noProof/>
        </w:rPr>
        <w:t>2</w:t>
      </w:r>
      <w:r>
        <w:rPr>
          <w:noProof/>
        </w:rPr>
        <w:fldChar w:fldCharType="end"/>
      </w:r>
      <w:r>
        <w:t xml:space="preserve"> Modern Gold mines in Britain (Source: </w:t>
      </w:r>
      <w:r w:rsidRPr="00D2170B">
        <w:t>https://www.bullionbypost.co.uk/</w:t>
      </w:r>
      <w:r>
        <w:t>)</w:t>
      </w:r>
    </w:p>
    <w:p w14:paraId="0E3D5E2B" w14:textId="77777777" w:rsidR="00462D9E" w:rsidRDefault="00FE7FBE" w:rsidP="00FA38CC">
      <w:r>
        <w:lastRenderedPageBreak/>
        <w:t>This raises several questions as to where the gold ore and raw gold could have possibly originated from? If the torc was made from such a rare metal, then who was it intended for?</w:t>
      </w:r>
      <w:r w:rsidR="00462D9E">
        <w:t xml:space="preserve"> Does the decorative style of the torc or any other signifiers reveal any clues and where it came from?</w:t>
      </w:r>
      <w:r>
        <w:t xml:space="preserve"> Why was it not made from a more accessible metal such as copper? </w:t>
      </w:r>
    </w:p>
    <w:p w14:paraId="289B65C5" w14:textId="192E4008" w:rsidR="00FE7FBE" w:rsidRDefault="00FE7FBE" w:rsidP="00FA38CC">
      <w:r>
        <w:t>We can theorise the answer to these questions by examining the torc itself.</w:t>
      </w:r>
      <w:r>
        <w:t xml:space="preserve"> The torc</w:t>
      </w:r>
      <w:r w:rsidR="002F70EB">
        <w:t xml:space="preserve"> is made up from electrum, which is a natural gold and silver alloy with traces of copper. It should be noted that with the rarity and value of gold that it is</w:t>
      </w:r>
      <w:r w:rsidR="002F70EB" w:rsidRPr="002F70EB">
        <w:t xml:space="preserve"> </w:t>
      </w:r>
      <w:r w:rsidR="002F70EB">
        <w:t>very likely the gold has been recycled over and over into different forms and objects before becoming its final form as the Snettisham great torc</w:t>
      </w:r>
      <w:r w:rsidR="0018135D">
        <w:t xml:space="preserve"> making tracing its origins difficult</w:t>
      </w:r>
      <w:r w:rsidR="002F70EB">
        <w:t>.</w:t>
      </w:r>
      <w:r w:rsidR="00385255">
        <w:rPr>
          <w:rStyle w:val="FootnoteReference"/>
        </w:rPr>
        <w:footnoteReference w:id="12"/>
      </w:r>
      <w:r w:rsidR="002F70EB">
        <w:t xml:space="preserve"> Academics are already quite aware of an international trading network throughout Europe during the Iron Age, with the Great Orme copper mine having its ore </w:t>
      </w:r>
      <w:r w:rsidR="00462D9E">
        <w:t>being linked to artefacts found in several countries across the European mainland.</w:t>
      </w:r>
      <w:r w:rsidR="00385255">
        <w:rPr>
          <w:rStyle w:val="FootnoteReference"/>
        </w:rPr>
        <w:footnoteReference w:id="13"/>
      </w:r>
      <w:r w:rsidR="00462D9E">
        <w:t xml:space="preserve"> It can then be theorised that early traders using one of these existing trade networks could explain how the materials for the torc had travelled possibly from </w:t>
      </w:r>
      <w:r w:rsidR="0018135D">
        <w:t>aboard</w:t>
      </w:r>
      <w:r w:rsidR="00462D9E">
        <w:t xml:space="preserve"> to Snettisham.</w:t>
      </w:r>
      <w:r w:rsidR="002F70EB">
        <w:t xml:space="preserve"> </w:t>
      </w:r>
    </w:p>
    <w:p w14:paraId="6D0B1098" w14:textId="77777777" w:rsidR="005010A3" w:rsidRDefault="005010A3" w:rsidP="00FA38CC"/>
    <w:p w14:paraId="6CBABA1E" w14:textId="77777777" w:rsidR="005010A3" w:rsidRDefault="005010A3" w:rsidP="005010A3">
      <w:pPr>
        <w:keepNext/>
      </w:pPr>
      <w:r>
        <w:rPr>
          <w:noProof/>
        </w:rPr>
        <w:drawing>
          <wp:inline distT="0" distB="0" distL="0" distR="0" wp14:anchorId="297516BD" wp14:editId="5BA217B4">
            <wp:extent cx="4049486" cy="1660890"/>
            <wp:effectExtent l="0" t="0" r="8255" b="0"/>
            <wp:docPr id="14794318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431858" name="Picture 1479431858"/>
                    <pic:cNvPicPr/>
                  </pic:nvPicPr>
                  <pic:blipFill>
                    <a:blip r:embed="rId9">
                      <a:extLst>
                        <a:ext uri="{28A0092B-C50C-407E-A947-70E740481C1C}">
                          <a14:useLocalDpi xmlns:a14="http://schemas.microsoft.com/office/drawing/2010/main" val="0"/>
                        </a:ext>
                      </a:extLst>
                    </a:blip>
                    <a:stretch>
                      <a:fillRect/>
                    </a:stretch>
                  </pic:blipFill>
                  <pic:spPr>
                    <a:xfrm>
                      <a:off x="0" y="0"/>
                      <a:ext cx="4069454" cy="1669080"/>
                    </a:xfrm>
                    <a:prstGeom prst="rect">
                      <a:avLst/>
                    </a:prstGeom>
                  </pic:spPr>
                </pic:pic>
              </a:graphicData>
            </a:graphic>
          </wp:inline>
        </w:drawing>
      </w:r>
    </w:p>
    <w:p w14:paraId="7CA1F8F2" w14:textId="49A48902" w:rsidR="005010A3" w:rsidRDefault="005010A3" w:rsidP="005010A3">
      <w:pPr>
        <w:pStyle w:val="Caption"/>
      </w:pPr>
      <w:r>
        <w:t xml:space="preserve">Figure </w:t>
      </w:r>
      <w:r>
        <w:fldChar w:fldCharType="begin"/>
      </w:r>
      <w:r>
        <w:instrText xml:space="preserve"> SEQ Figure \* ARABIC </w:instrText>
      </w:r>
      <w:r>
        <w:fldChar w:fldCharType="separate"/>
      </w:r>
      <w:r>
        <w:rPr>
          <w:noProof/>
        </w:rPr>
        <w:t>3</w:t>
      </w:r>
      <w:r>
        <w:fldChar w:fldCharType="end"/>
      </w:r>
      <w:r>
        <w:t xml:space="preserve"> Design pattern on the Great Torc (Source: Tess Machling)</w:t>
      </w:r>
    </w:p>
    <w:p w14:paraId="3426569A" w14:textId="4C786509" w:rsidR="00EC3D93" w:rsidRPr="00EC3D93" w:rsidRDefault="002A1599" w:rsidP="00EC3D93">
      <w:pPr>
        <w:ind w:right="-283"/>
      </w:pPr>
      <w:r>
        <w:t>If the estimated creation date between 150 BC – 50 BC is accurate then this would place the torc’s origins to be in the late Iron Age and before the Roman arrival on Britain. Knowing the time period of the creation torc can help us understand it more to see if it has any other relation to other Celtic artwork from this period or is it showing something more unique, which could instead be considered more early British art instead?</w:t>
      </w:r>
      <w:r>
        <w:t xml:space="preserve"> </w:t>
      </w:r>
      <w:r w:rsidR="00EC3D93">
        <w:t xml:space="preserve">To define the torc as either Celtic art or a form of early British art is a difficult task. La </w:t>
      </w:r>
      <w:r w:rsidR="00EC3D93" w:rsidRPr="00EC3D93">
        <w:rPr>
          <w:lang w:val="en"/>
        </w:rPr>
        <w:t>Tène</w:t>
      </w:r>
      <w:r w:rsidR="00EC3D93">
        <w:rPr>
          <w:lang w:val="en"/>
        </w:rPr>
        <w:t xml:space="preserve"> culture</w:t>
      </w:r>
      <w:r w:rsidR="00EC3D93">
        <w:t xml:space="preserve"> was still influencing the Celtic world in this period and while some distinctions were visible to broadly classify an object as something else, it was still clear in the majority that the depictions on most artefacts were following with the La </w:t>
      </w:r>
      <w:r w:rsidR="00EC3D93" w:rsidRPr="00EC3D93">
        <w:rPr>
          <w:lang w:val="en"/>
        </w:rPr>
        <w:t>Tène</w:t>
      </w:r>
      <w:r w:rsidR="00EC3D93">
        <w:rPr>
          <w:lang w:val="en"/>
        </w:rPr>
        <w:t xml:space="preserve"> style.</w:t>
      </w:r>
    </w:p>
    <w:p w14:paraId="3435C152" w14:textId="3DD51DFF" w:rsidR="00C03768" w:rsidRDefault="00C03768" w:rsidP="002A1599">
      <w:pPr>
        <w:ind w:right="-283"/>
      </w:pPr>
    </w:p>
    <w:p w14:paraId="3F68BE7C" w14:textId="4BEF1433" w:rsidR="00B349CE" w:rsidRDefault="00F07ABB" w:rsidP="00B349CE">
      <w:pPr>
        <w:ind w:right="-283"/>
      </w:pPr>
      <w:r>
        <w:t>The theory of it being a gift brought from overseas</w:t>
      </w:r>
      <w:r w:rsidR="002F70EB">
        <w:t>,</w:t>
      </w:r>
      <w:r w:rsidR="0018135D">
        <w:t xml:space="preserve"> </w:t>
      </w:r>
      <w:r>
        <w:t xml:space="preserve">could also explain why it appears that the torc has potentially been modified </w:t>
      </w:r>
      <w:r w:rsidR="00A45B4E">
        <w:t>as testified by</w:t>
      </w:r>
      <w:r>
        <w:t xml:space="preserve"> the messy work found between the joint and the wiring.</w:t>
      </w:r>
      <w:r w:rsidR="00385255">
        <w:rPr>
          <w:rStyle w:val="FootnoteReference"/>
        </w:rPr>
        <w:footnoteReference w:id="14"/>
      </w:r>
      <w:r>
        <w:t xml:space="preserve"> If the torc was a gift from a </w:t>
      </w:r>
      <w:r w:rsidR="008C7349">
        <w:t>far-off</w:t>
      </w:r>
      <w:r>
        <w:t xml:space="preserve"> place and the measurements for the intended recipient were wrong, then it is possible that the torc was sent to a more local and less experienced metalsmith to adjust the fit and cause the messy work.</w:t>
      </w:r>
      <w:r w:rsidR="00B349CE">
        <w:t xml:space="preserve"> </w:t>
      </w:r>
      <w:r w:rsidR="00B349CE">
        <w:t>Machling suggests a theory that</w:t>
      </w:r>
      <w:r w:rsidR="00B349CE">
        <w:t xml:space="preserve"> instead of the messy work resulting from inexperienced metal workers, it could be possible that what we know as the Snettisham great torc is not the original but instead a recreation of it. Which could explain why the collar does not fit to the terminals correctly because they were created for the original version of the torc instead.</w:t>
      </w:r>
      <w:r w:rsidR="00B349CE">
        <w:rPr>
          <w:rStyle w:val="FootnoteReference"/>
        </w:rPr>
        <w:footnoteReference w:id="15"/>
      </w:r>
      <w:r w:rsidR="00B349CE">
        <w:t xml:space="preserve"> </w:t>
      </w:r>
    </w:p>
    <w:p w14:paraId="40D981B1" w14:textId="30607051" w:rsidR="00FA38CC" w:rsidRDefault="00FA38CC" w:rsidP="00FA38CC"/>
    <w:p w14:paraId="08F1E8E0" w14:textId="3BB2A0FE" w:rsidR="000A6C3E" w:rsidRDefault="00F07ABB" w:rsidP="0077682F">
      <w:pPr>
        <w:ind w:right="-283"/>
      </w:pPr>
      <w:r>
        <w:t xml:space="preserve">The discovery site of the torc can possibly also answer who the </w:t>
      </w:r>
      <w:r w:rsidR="008C7349">
        <w:t xml:space="preserve">artefact was intended for. The modern settlement of Snettisham is located in the </w:t>
      </w:r>
      <w:r w:rsidR="00471499">
        <w:t>southeast</w:t>
      </w:r>
      <w:r w:rsidR="008C7349">
        <w:t xml:space="preserve"> of England and is notably where the Iron Age tribe the Iceni were said to have lived</w:t>
      </w:r>
      <w:r w:rsidR="00471499">
        <w:t>.</w:t>
      </w:r>
      <w:r w:rsidR="000A6C3E">
        <w:t xml:space="preserve"> </w:t>
      </w:r>
      <w:r w:rsidR="000A6C3E" w:rsidRPr="000A6C3E">
        <w:t>The Iceni are best known</w:t>
      </w:r>
      <w:r w:rsidR="000A6C3E">
        <w:t xml:space="preserve"> for a</w:t>
      </w:r>
      <w:r w:rsidR="000A6C3E" w:rsidRPr="000A6C3E">
        <w:t xml:space="preserve"> later</w:t>
      </w:r>
      <w:r w:rsidR="000A6C3E">
        <w:t xml:space="preserve"> point</w:t>
      </w:r>
      <w:r w:rsidR="000A6C3E" w:rsidRPr="000A6C3E">
        <w:t xml:space="preserve"> in</w:t>
      </w:r>
      <w:r w:rsidR="000A6C3E">
        <w:t xml:space="preserve"> their</w:t>
      </w:r>
      <w:r w:rsidR="000A6C3E" w:rsidRPr="000A6C3E">
        <w:t xml:space="preserve"> history </w:t>
      </w:r>
      <w:r w:rsidR="000A6C3E">
        <w:t>where</w:t>
      </w:r>
      <w:r w:rsidR="000A6C3E" w:rsidRPr="000A6C3E">
        <w:t xml:space="preserve"> their resistance to Roman rule under Boudicca</w:t>
      </w:r>
      <w:r w:rsidR="000A6C3E">
        <w:t xml:space="preserve"> has been a common story retold since the Victorian age. However,</w:t>
      </w:r>
      <w:r w:rsidR="000A6C3E" w:rsidRPr="000A6C3E">
        <w:t xml:space="preserve"> at the time the torc was </w:t>
      </w:r>
      <w:r w:rsidR="000A6C3E">
        <w:t>created,</w:t>
      </w:r>
      <w:r w:rsidR="000A6C3E" w:rsidRPr="000A6C3E">
        <w:t xml:space="preserve"> the</w:t>
      </w:r>
      <w:r w:rsidR="000A6C3E">
        <w:t xml:space="preserve"> Iceni</w:t>
      </w:r>
      <w:r w:rsidR="000A6C3E" w:rsidRPr="000A6C3E">
        <w:t xml:space="preserve"> were</w:t>
      </w:r>
      <w:r w:rsidR="000A6C3E">
        <w:t xml:space="preserve"> likely a</w:t>
      </w:r>
      <w:r w:rsidR="000A6C3E" w:rsidRPr="000A6C3E">
        <w:t xml:space="preserve"> part of a thriving interconnected Iron Age world.</w:t>
      </w:r>
      <w:r w:rsidR="000A6C3E">
        <w:t xml:space="preserve"> </w:t>
      </w:r>
      <w:r w:rsidR="000A6C3E" w:rsidRPr="000A6C3E">
        <w:t xml:space="preserve">The presence </w:t>
      </w:r>
      <w:r w:rsidR="000A6C3E">
        <w:t>c</w:t>
      </w:r>
      <w:r w:rsidR="000A6C3E" w:rsidRPr="000A6C3E">
        <w:t>oins found with the torc</w:t>
      </w:r>
      <w:r w:rsidR="000A6C3E">
        <w:t xml:space="preserve"> also</w:t>
      </w:r>
      <w:r w:rsidR="000A6C3E" w:rsidRPr="000A6C3E">
        <w:t xml:space="preserve"> indicate</w:t>
      </w:r>
      <w:r w:rsidR="000A6C3E">
        <w:t>s</w:t>
      </w:r>
      <w:r w:rsidR="000A6C3E" w:rsidRPr="000A6C3E">
        <w:t xml:space="preserve"> links</w:t>
      </w:r>
      <w:r w:rsidR="000A6C3E">
        <w:t xml:space="preserve"> to other tribal communities across</w:t>
      </w:r>
      <w:r w:rsidR="000A6C3E" w:rsidRPr="000A6C3E">
        <w:t xml:space="preserve"> continental Europe</w:t>
      </w:r>
      <w:r w:rsidR="000A6C3E">
        <w:t xml:space="preserve"> and this would</w:t>
      </w:r>
      <w:r w:rsidR="000A6C3E" w:rsidRPr="000A6C3E">
        <w:t xml:space="preserve"> reinforc</w:t>
      </w:r>
      <w:r w:rsidR="000A6C3E">
        <w:t>e</w:t>
      </w:r>
      <w:r w:rsidR="000A6C3E" w:rsidRPr="000A6C3E">
        <w:t xml:space="preserve"> the idea </w:t>
      </w:r>
      <w:r w:rsidR="000A6C3E">
        <w:t xml:space="preserve">of a </w:t>
      </w:r>
      <w:r w:rsidR="000A6C3E" w:rsidRPr="000A6C3E">
        <w:t>culturally and economically connect</w:t>
      </w:r>
      <w:r w:rsidR="000A6C3E">
        <w:t>ivity with the rest of Europe</w:t>
      </w:r>
      <w:r w:rsidR="000A6C3E" w:rsidRPr="000A6C3E">
        <w:t>.</w:t>
      </w:r>
      <w:r w:rsidR="00B170C5">
        <w:rPr>
          <w:rStyle w:val="FootnoteReference"/>
        </w:rPr>
        <w:footnoteReference w:id="16"/>
      </w:r>
      <w:r w:rsidR="000A6C3E">
        <w:t xml:space="preserve"> </w:t>
      </w:r>
      <w:r w:rsidR="00471499">
        <w:t xml:space="preserve">This could possibly </w:t>
      </w:r>
      <w:r w:rsidR="000A6C3E">
        <w:t>mean that</w:t>
      </w:r>
      <w:r w:rsidR="00471499">
        <w:t xml:space="preserve"> the torc was a gift intended for a notabl</w:t>
      </w:r>
      <w:r w:rsidR="00A45B4E">
        <w:t>e</w:t>
      </w:r>
      <w:r w:rsidR="00471499">
        <w:t xml:space="preserve"> member of the</w:t>
      </w:r>
      <w:r w:rsidR="000A6C3E">
        <w:t xml:space="preserve"> </w:t>
      </w:r>
      <w:r w:rsidR="00471499">
        <w:t>tribe or even its chief</w:t>
      </w:r>
      <w:r w:rsidR="000A6C3E">
        <w:t xml:space="preserve"> from one tribe to another</w:t>
      </w:r>
      <w:r w:rsidR="00471499">
        <w:t>.</w:t>
      </w:r>
      <w:r w:rsidR="002A1599">
        <w:t xml:space="preserve"> </w:t>
      </w:r>
      <w:r w:rsidR="000A6C3E">
        <w:t>As evidenced with the discovery of coins among the hoard with the torc was founds reveals the</w:t>
      </w:r>
      <w:r w:rsidR="0077682F">
        <w:t xml:space="preserve"> cultural and economic</w:t>
      </w:r>
      <w:r w:rsidR="000A6C3E">
        <w:t xml:space="preserve"> shift </w:t>
      </w:r>
      <w:r w:rsidR="0077682F">
        <w:t>of bartering or labour exchange was already being replaced with currency.</w:t>
      </w:r>
      <w:r w:rsidR="00AE3C09">
        <w:rPr>
          <w:rStyle w:val="FootnoteReference"/>
        </w:rPr>
        <w:footnoteReference w:id="17"/>
      </w:r>
      <w:r w:rsidR="0077682F">
        <w:t xml:space="preserve"> Given the value of gold during this time period, it is notable that many torcs were preserved instead of being smelted down and recycled into coins. This gives weight to the idea that these torcs were heirlooms and held a deep inalienable wealth to the community over the commercial value gained from destroying them.</w:t>
      </w:r>
      <w:r w:rsidR="00B170C5">
        <w:rPr>
          <w:rStyle w:val="FootnoteReference"/>
        </w:rPr>
        <w:footnoteReference w:id="18"/>
      </w:r>
      <w:r w:rsidR="0077682F">
        <w:t xml:space="preserve"> </w:t>
      </w:r>
    </w:p>
    <w:p w14:paraId="55EBCFDC" w14:textId="1B678BC9" w:rsidR="00B952BB" w:rsidRDefault="002A1599" w:rsidP="002A1599">
      <w:r>
        <w:t>Due to other golden torcs being discovered in similar hoards across Snettisham</w:t>
      </w:r>
      <w:r w:rsidR="0077682F">
        <w:t>. A</w:t>
      </w:r>
      <w:r>
        <w:t>rchaeologists have noted that there are o</w:t>
      </w:r>
      <w:r w:rsidR="0077682F">
        <w:t>ther discovered torcs</w:t>
      </w:r>
      <w:r>
        <w:t xml:space="preserve"> of different sizes, suggesting the objects were worn likely by not just men, but also women and young </w:t>
      </w:r>
      <w:r>
        <w:t>children</w:t>
      </w:r>
      <w:r>
        <w:t>.</w:t>
      </w:r>
      <w:r w:rsidR="00AE3C09">
        <w:rPr>
          <w:rStyle w:val="FootnoteReference"/>
        </w:rPr>
        <w:footnoteReference w:id="19"/>
      </w:r>
      <w:r>
        <w:t xml:space="preserve"> Many objects show clear signs of being worn which suggests</w:t>
      </w:r>
      <w:r>
        <w:t xml:space="preserve"> these torcs </w:t>
      </w:r>
      <w:r>
        <w:lastRenderedPageBreak/>
        <w:t>were intended for</w:t>
      </w:r>
      <w:r>
        <w:t xml:space="preserve"> daily wear rather than objects of ritual use or symbols of office. The signs of wear may also indicate the torcs were treasured family heirlooms passed down through generations. It is possible to speculate that even with the growing use of coins these objects were kept in the form as torcs and eventually being buried rather than being melted down to make into coins. Burying objects during this period could</w:t>
      </w:r>
      <w:r w:rsidR="00385255">
        <w:t xml:space="preserve"> have possibly</w:t>
      </w:r>
      <w:r>
        <w:t xml:space="preserve"> be</w:t>
      </w:r>
      <w:r w:rsidR="00385255">
        <w:t>en</w:t>
      </w:r>
      <w:r>
        <w:t xml:space="preserve"> a way to protect wealth and objects of note from threats such as enemy raids.</w:t>
      </w:r>
      <w:r w:rsidR="00481F84">
        <w:t xml:space="preserve"> </w:t>
      </w:r>
    </w:p>
    <w:p w14:paraId="1DC72C47" w14:textId="3A59B779" w:rsidR="000D13BA" w:rsidRDefault="00481F84" w:rsidP="002A1599">
      <w:r>
        <w:t>Snettisham and the wider Norfolk area is widely not</w:t>
      </w:r>
      <w:r w:rsidR="00B952BB">
        <w:t xml:space="preserve">able for over having 75 torcs discovered in a complete state, with more found in pieces as Garrow points out, ‘only around 275 torcs have been found in the whole of Europe.’ </w:t>
      </w:r>
      <w:r w:rsidR="00B952BB">
        <w:rPr>
          <w:rStyle w:val="FootnoteReference"/>
        </w:rPr>
        <w:footnoteReference w:id="20"/>
      </w:r>
      <w:r w:rsidR="00B952BB">
        <w:t xml:space="preserve"> What makes this particular region unique for having so many torcs remains a topic of discussion for academics today. The discovery of so many torcs in this region has revealed that not all torcs like the Snettisham great torc were golden with some being found made from silver or copper, both of which are materials that were much more accessible locally at the time. </w:t>
      </w:r>
      <w:r w:rsidR="00B952BB">
        <w:rPr>
          <w:rStyle w:val="FootnoteReference"/>
        </w:rPr>
        <w:footnoteReference w:id="21"/>
      </w:r>
    </w:p>
    <w:p w14:paraId="2137E471" w14:textId="1CCD197E" w:rsidR="0008447C" w:rsidRPr="0008447C" w:rsidRDefault="0008447C" w:rsidP="002A1599">
      <w:r>
        <w:t xml:space="preserve">In order to understand how these ancient torcs were made, the Snettisham great torc has been successfully replicated by Baron Nimmo, Arthur Prescot and Herbert Maryon through a series of </w:t>
      </w:r>
      <w:r w:rsidRPr="0008447C">
        <w:t>moulding, electroforming and fabrication</w:t>
      </w:r>
      <w:r>
        <w:t xml:space="preserve"> and weaving the neck wires respectively.</w:t>
      </w:r>
      <w:r>
        <w:rPr>
          <w:rStyle w:val="FootnoteReference"/>
        </w:rPr>
        <w:footnoteReference w:id="22"/>
      </w:r>
      <w:r>
        <w:t xml:space="preserve"> </w:t>
      </w:r>
    </w:p>
    <w:p w14:paraId="7300C4DE" w14:textId="357D386C" w:rsidR="00024463" w:rsidRPr="003714F1" w:rsidRDefault="00024463" w:rsidP="00DD33D4">
      <w:pPr>
        <w:ind w:right="-283"/>
      </w:pPr>
      <w:r>
        <w:t>The latest stage of life for the Snettisham’s great torc is its life as a museum artefact after being acquired in 1951</w:t>
      </w:r>
      <w:r w:rsidR="00E15813">
        <w:t>. It is admired by thousands of visitors to the museum annually and is</w:t>
      </w:r>
      <w:r>
        <w:t xml:space="preserve"> highly valued as an object of study by students and academics alike.</w:t>
      </w:r>
      <w:r w:rsidR="00E15813">
        <w:t xml:space="preserve"> Being able to examine an artefact in such a well preserved state as the great torc has opened up many new topics of study of the Iron Age world from the crafting techniques that went into creating it and if they can be recreated today, to how the artistic decorative style has changed or deviated compared to other artefacts from a similar region or time period, to how its core materials that went into creating the torc ended up </w:t>
      </w:r>
      <w:r w:rsidR="00F9363B">
        <w:t>far from where they were dug up.</w:t>
      </w:r>
      <w:r>
        <w:t xml:space="preserve"> </w:t>
      </w:r>
    </w:p>
    <w:p w14:paraId="09457846" w14:textId="77777777" w:rsidR="0087562B" w:rsidRDefault="0087562B" w:rsidP="009E3432">
      <w:pPr>
        <w:rPr>
          <w:u w:val="single"/>
        </w:rPr>
      </w:pPr>
    </w:p>
    <w:p w14:paraId="2970EFE8" w14:textId="77777777" w:rsidR="00E15813" w:rsidRDefault="00E15813" w:rsidP="0008447C">
      <w:pPr>
        <w:rPr>
          <w:u w:val="single"/>
        </w:rPr>
      </w:pPr>
    </w:p>
    <w:p w14:paraId="45895F9C" w14:textId="77777777" w:rsidR="00E15813" w:rsidRDefault="00E15813" w:rsidP="00BE6F6A">
      <w:pPr>
        <w:jc w:val="center"/>
        <w:rPr>
          <w:u w:val="single"/>
        </w:rPr>
      </w:pPr>
    </w:p>
    <w:p w14:paraId="3CC19DD0" w14:textId="77777777" w:rsidR="00E15813" w:rsidRDefault="00E15813" w:rsidP="00BE6F6A">
      <w:pPr>
        <w:jc w:val="center"/>
        <w:rPr>
          <w:u w:val="single"/>
        </w:rPr>
      </w:pPr>
    </w:p>
    <w:p w14:paraId="4C5D84BA" w14:textId="77777777" w:rsidR="00E15813" w:rsidRDefault="00E15813" w:rsidP="00BE6F6A">
      <w:pPr>
        <w:jc w:val="center"/>
        <w:rPr>
          <w:u w:val="single"/>
        </w:rPr>
      </w:pPr>
    </w:p>
    <w:p w14:paraId="7823E182" w14:textId="77777777" w:rsidR="00385255" w:rsidRDefault="00385255" w:rsidP="00385255">
      <w:pPr>
        <w:rPr>
          <w:u w:val="single"/>
        </w:rPr>
      </w:pPr>
    </w:p>
    <w:p w14:paraId="5896F2F0" w14:textId="1B03B42D" w:rsidR="00CD607B" w:rsidRDefault="00BE6F6A" w:rsidP="00385255">
      <w:pPr>
        <w:jc w:val="center"/>
        <w:rPr>
          <w:u w:val="single"/>
        </w:rPr>
      </w:pPr>
      <w:r>
        <w:rPr>
          <w:u w:val="single"/>
        </w:rPr>
        <w:t>Image Source</w:t>
      </w:r>
    </w:p>
    <w:p w14:paraId="3F7FE208" w14:textId="77777777" w:rsidR="00BE6F6A" w:rsidRDefault="00BE6F6A" w:rsidP="00BE6F6A">
      <w:pPr>
        <w:jc w:val="center"/>
        <w:rPr>
          <w:u w:val="single"/>
        </w:rPr>
      </w:pPr>
    </w:p>
    <w:p w14:paraId="31CA24A3" w14:textId="569859D7" w:rsidR="00BE6F6A" w:rsidRDefault="00BE6F6A" w:rsidP="00BE6F6A">
      <w:r>
        <w:t xml:space="preserve">Snettisham Great Torc </w:t>
      </w:r>
      <w:hyperlink r:id="rId10" w:history="1">
        <w:r w:rsidRPr="00673C3E">
          <w:rPr>
            <w:rStyle w:val="Hyperlink"/>
          </w:rPr>
          <w:t>https://www.britishmuseum.org/</w:t>
        </w:r>
      </w:hyperlink>
    </w:p>
    <w:p w14:paraId="3F2CD89C" w14:textId="0839F4D8" w:rsidR="00814507" w:rsidRDefault="00814507" w:rsidP="00BE6F6A">
      <w:r>
        <w:t xml:space="preserve">Modern Gold Mine sites </w:t>
      </w:r>
      <w:hyperlink r:id="rId11" w:history="1">
        <w:r w:rsidRPr="005968FD">
          <w:rPr>
            <w:rStyle w:val="Hyperlink"/>
          </w:rPr>
          <w:t>https://www.bullionbypost.co.uk/index/gold/gold-mining-in-the-uk/</w:t>
        </w:r>
      </w:hyperlink>
    </w:p>
    <w:p w14:paraId="1DC24A0E" w14:textId="04BF483A" w:rsidR="00814507" w:rsidRDefault="00B349CE" w:rsidP="00BE6F6A">
      <w:r>
        <w:t xml:space="preserve">Design patterns of the Great Torc </w:t>
      </w:r>
      <w:hyperlink r:id="rId12" w:history="1">
        <w:r w:rsidRPr="000E31B5">
          <w:rPr>
            <w:rStyle w:val="Hyperlink"/>
          </w:rPr>
          <w:t>https://bigbookoftorcs.com/wp-content/uploads/2024/01/machling_pattern-and-purpose-a-new-story-about-the-creation-of-the-snettisham-great-torc.pdf</w:t>
        </w:r>
      </w:hyperlink>
    </w:p>
    <w:p w14:paraId="375C562D" w14:textId="77777777" w:rsidR="00B349CE" w:rsidRDefault="00B349CE" w:rsidP="00BE6F6A"/>
    <w:p w14:paraId="707BA420" w14:textId="77777777" w:rsidR="00BE6F6A" w:rsidRPr="00BE6F6A" w:rsidRDefault="00BE6F6A" w:rsidP="00BE6F6A"/>
    <w:p w14:paraId="4828EB46" w14:textId="77777777" w:rsidR="00CD607B" w:rsidRDefault="00CD607B" w:rsidP="00CD607B"/>
    <w:p w14:paraId="1E460DC8" w14:textId="77777777" w:rsidR="00CD607B" w:rsidRDefault="00CD607B" w:rsidP="00CD607B"/>
    <w:p w14:paraId="002C2A16" w14:textId="77777777" w:rsidR="00CD607B" w:rsidRDefault="00CD607B" w:rsidP="00CD607B"/>
    <w:p w14:paraId="62FBDB53" w14:textId="77777777" w:rsidR="00CD607B" w:rsidRDefault="00CD607B" w:rsidP="00CD607B"/>
    <w:p w14:paraId="44527B2A" w14:textId="77777777" w:rsidR="00CD607B" w:rsidRDefault="00CD607B" w:rsidP="00CD607B"/>
    <w:p w14:paraId="65E15AFE" w14:textId="77777777" w:rsidR="00BE6F6A" w:rsidRDefault="00BE6F6A" w:rsidP="00CD607B"/>
    <w:p w14:paraId="0FC78989" w14:textId="77777777" w:rsidR="00BE6F6A" w:rsidRDefault="00BE6F6A" w:rsidP="00CD607B"/>
    <w:p w14:paraId="5260A409" w14:textId="77777777" w:rsidR="00BE6F6A" w:rsidRDefault="00BE6F6A" w:rsidP="00CD607B"/>
    <w:p w14:paraId="716F246C" w14:textId="77777777" w:rsidR="00BE6F6A" w:rsidRDefault="00BE6F6A" w:rsidP="00CD607B"/>
    <w:p w14:paraId="421EC1BB" w14:textId="77777777" w:rsidR="00BE6F6A" w:rsidRDefault="00BE6F6A" w:rsidP="00CD607B"/>
    <w:p w14:paraId="260DFD22" w14:textId="77777777" w:rsidR="00BE6F6A" w:rsidRDefault="00BE6F6A" w:rsidP="00CD607B"/>
    <w:p w14:paraId="0DBD8CDA" w14:textId="77777777" w:rsidR="00BE6F6A" w:rsidRDefault="00BE6F6A" w:rsidP="00CD607B"/>
    <w:p w14:paraId="679C0070" w14:textId="77777777" w:rsidR="00BE6F6A" w:rsidRDefault="00BE6F6A" w:rsidP="00CD607B"/>
    <w:p w14:paraId="63BA00B1" w14:textId="77777777" w:rsidR="00BE6F6A" w:rsidRDefault="00BE6F6A" w:rsidP="00CD607B"/>
    <w:p w14:paraId="71FFFBD9" w14:textId="77777777" w:rsidR="00BE6F6A" w:rsidRDefault="00BE6F6A" w:rsidP="00CD607B"/>
    <w:p w14:paraId="6A490B76" w14:textId="77777777" w:rsidR="00D433DF" w:rsidRDefault="00D433DF" w:rsidP="00D433DF"/>
    <w:p w14:paraId="6E9DC8A5" w14:textId="77777777" w:rsidR="00E15813" w:rsidRDefault="00E15813" w:rsidP="00B349CE">
      <w:pPr>
        <w:rPr>
          <w:u w:val="single"/>
        </w:rPr>
      </w:pPr>
    </w:p>
    <w:p w14:paraId="0CC2D59C" w14:textId="4CF503C0" w:rsidR="00CD607B" w:rsidRDefault="00CD607B" w:rsidP="00D433DF">
      <w:pPr>
        <w:jc w:val="center"/>
        <w:rPr>
          <w:u w:val="single"/>
        </w:rPr>
      </w:pPr>
      <w:r>
        <w:rPr>
          <w:u w:val="single"/>
        </w:rPr>
        <w:lastRenderedPageBreak/>
        <w:t>Bibliography</w:t>
      </w:r>
    </w:p>
    <w:p w14:paraId="2E291C0E" w14:textId="77777777" w:rsidR="00CD607B" w:rsidRDefault="00CD607B" w:rsidP="00CD607B">
      <w:pPr>
        <w:jc w:val="center"/>
        <w:rPr>
          <w:u w:val="single"/>
        </w:rPr>
      </w:pPr>
    </w:p>
    <w:p w14:paraId="09B20B31" w14:textId="77777777" w:rsidR="00385255" w:rsidRPr="00385255" w:rsidRDefault="00CD607B" w:rsidP="00385255">
      <w:pPr>
        <w:pStyle w:val="Bibliography"/>
        <w:rPr>
          <w:rFonts w:ascii="Aptos" w:hAnsi="Aptos"/>
        </w:rPr>
      </w:pPr>
      <w:r>
        <w:fldChar w:fldCharType="begin"/>
      </w:r>
      <w:r>
        <w:instrText xml:space="preserve"> ADDIN ZOTERO_BIBL {"uncited":[],"omitted":[],"custom":[]} CSL_BIBLIOGRAPHY </w:instrText>
      </w:r>
      <w:r>
        <w:fldChar w:fldCharType="separate"/>
      </w:r>
      <w:r w:rsidR="00385255" w:rsidRPr="00385255">
        <w:rPr>
          <w:rFonts w:ascii="Aptos" w:hAnsi="Aptos"/>
        </w:rPr>
        <w:t xml:space="preserve">Becker, Katharina, ‘Iron Age Ireland: Continuity, Change, and Identity’, in </w:t>
      </w:r>
      <w:r w:rsidR="00385255" w:rsidRPr="00385255">
        <w:rPr>
          <w:rFonts w:ascii="Aptos" w:hAnsi="Aptos"/>
          <w:i/>
          <w:iCs/>
        </w:rPr>
        <w:t>Atlantic Europe in the First Millennium BC</w:t>
      </w:r>
      <w:r w:rsidR="00385255" w:rsidRPr="00385255">
        <w:rPr>
          <w:rFonts w:ascii="Aptos" w:hAnsi="Aptos"/>
        </w:rPr>
        <w:t xml:space="preserve">, ed. by Thomas Hugh Moore and </w:t>
      </w:r>
      <w:proofErr w:type="spellStart"/>
      <w:r w:rsidR="00385255" w:rsidRPr="00385255">
        <w:rPr>
          <w:rFonts w:ascii="Aptos" w:hAnsi="Aptos"/>
        </w:rPr>
        <w:t>Xosê</w:t>
      </w:r>
      <w:proofErr w:type="spellEnd"/>
      <w:r w:rsidR="00385255" w:rsidRPr="00385255">
        <w:rPr>
          <w:rFonts w:ascii="Aptos" w:hAnsi="Aptos"/>
        </w:rPr>
        <w:t>-Lois Armada (OUP Oxford, 2011), p. 690</w:t>
      </w:r>
    </w:p>
    <w:p w14:paraId="0E640E53" w14:textId="77777777" w:rsidR="00385255" w:rsidRPr="00385255" w:rsidRDefault="00385255" w:rsidP="00385255">
      <w:pPr>
        <w:pStyle w:val="Bibliography"/>
        <w:rPr>
          <w:rFonts w:ascii="Aptos" w:hAnsi="Aptos"/>
        </w:rPr>
      </w:pPr>
      <w:r w:rsidRPr="00385255">
        <w:rPr>
          <w:rFonts w:ascii="Aptos" w:hAnsi="Aptos"/>
        </w:rPr>
        <w:t>British Museum Publishing, ‘British Museum - The Great Torc from Snettisham’, Archive, British Museum Archive, 27 October 2015 &lt;https://web.archive.org/web/20151027020809/http://www.britishmuseum.org/explore/highlights/highlight_objects/pe_prb/t/the_great_torc_from_snettisham.aspx&gt; [accessed 7 April 2026]</w:t>
      </w:r>
    </w:p>
    <w:p w14:paraId="2F86507C" w14:textId="77777777" w:rsidR="00385255" w:rsidRPr="00385255" w:rsidRDefault="00385255" w:rsidP="00385255">
      <w:pPr>
        <w:pStyle w:val="Bibliography"/>
        <w:rPr>
          <w:rFonts w:ascii="Aptos" w:hAnsi="Aptos"/>
        </w:rPr>
      </w:pPr>
      <w:r w:rsidRPr="00385255">
        <w:rPr>
          <w:rFonts w:ascii="Aptos" w:hAnsi="Aptos"/>
        </w:rPr>
        <w:t>Farley, Julia, ‘The Snettisham Hoards’, Academic news and history, University of Cambridge, University of Cambridge, 2024 &lt;https://api.repository.cam.ac.uk/server/api/core/bitstreams/6f34d68d-6741-48e2-8184-55bc3d43c66c/content&gt; [accessed 7 April 2026]</w:t>
      </w:r>
    </w:p>
    <w:p w14:paraId="4ECA5FB7" w14:textId="77777777" w:rsidR="00385255" w:rsidRPr="00385255" w:rsidRDefault="00385255" w:rsidP="00385255">
      <w:pPr>
        <w:pStyle w:val="Bibliography"/>
        <w:rPr>
          <w:rFonts w:ascii="Aptos" w:hAnsi="Aptos"/>
        </w:rPr>
      </w:pPr>
      <w:r w:rsidRPr="00385255">
        <w:rPr>
          <w:rFonts w:ascii="Aptos" w:hAnsi="Aptos"/>
        </w:rPr>
        <w:t xml:space="preserve">Garrow, Duncan, and Chris Gosden, </w:t>
      </w:r>
      <w:r w:rsidRPr="00385255">
        <w:rPr>
          <w:rFonts w:ascii="Aptos" w:hAnsi="Aptos"/>
          <w:i/>
          <w:iCs/>
        </w:rPr>
        <w:t xml:space="preserve">Technologies of </w:t>
      </w:r>
      <w:proofErr w:type="gramStart"/>
      <w:r w:rsidRPr="00385255">
        <w:rPr>
          <w:rFonts w:ascii="Aptos" w:hAnsi="Aptos"/>
          <w:i/>
          <w:iCs/>
        </w:rPr>
        <w:t>Enchantment?:</w:t>
      </w:r>
      <w:proofErr w:type="gramEnd"/>
      <w:r w:rsidRPr="00385255">
        <w:rPr>
          <w:rFonts w:ascii="Aptos" w:hAnsi="Aptos"/>
          <w:i/>
          <w:iCs/>
        </w:rPr>
        <w:t xml:space="preserve"> Exploring Celtic Art: 400 BC to AD 100</w:t>
      </w:r>
      <w:r w:rsidRPr="00385255">
        <w:rPr>
          <w:rFonts w:ascii="Aptos" w:hAnsi="Aptos"/>
        </w:rPr>
        <w:t xml:space="preserve"> (Oxford University Press, 2012)</w:t>
      </w:r>
    </w:p>
    <w:p w14:paraId="44C6D1F0" w14:textId="77777777" w:rsidR="00385255" w:rsidRPr="00385255" w:rsidRDefault="00385255" w:rsidP="00385255">
      <w:pPr>
        <w:pStyle w:val="Bibliography"/>
        <w:rPr>
          <w:rFonts w:ascii="Aptos" w:hAnsi="Aptos"/>
        </w:rPr>
      </w:pPr>
      <w:r w:rsidRPr="00385255">
        <w:rPr>
          <w:rFonts w:ascii="Aptos" w:hAnsi="Aptos"/>
        </w:rPr>
        <w:t xml:space="preserve">Jenkins, D. A., A. E. </w:t>
      </w:r>
      <w:proofErr w:type="spellStart"/>
      <w:r w:rsidRPr="00385255">
        <w:rPr>
          <w:rFonts w:ascii="Aptos" w:hAnsi="Aptos"/>
        </w:rPr>
        <w:t>Caseldine</w:t>
      </w:r>
      <w:proofErr w:type="spellEnd"/>
      <w:r w:rsidRPr="00385255">
        <w:rPr>
          <w:rFonts w:ascii="Aptos" w:hAnsi="Aptos"/>
        </w:rPr>
        <w:t xml:space="preserve">, and S. Hamilton-Dyer, ‘Prehistoric Copper Mining on the Great Orme, Llandudno, Gwynedd’, </w:t>
      </w:r>
      <w:r w:rsidRPr="00385255">
        <w:rPr>
          <w:rFonts w:ascii="Aptos" w:hAnsi="Aptos"/>
          <w:i/>
          <w:iCs/>
        </w:rPr>
        <w:t>Proceedings of the Prehistoric Society</w:t>
      </w:r>
      <w:r w:rsidRPr="00385255">
        <w:rPr>
          <w:rFonts w:ascii="Aptos" w:hAnsi="Aptos"/>
        </w:rPr>
        <w:t>, 60.1 (1994), pp. 245–86, doi:10.1017/S0079497X00003455</w:t>
      </w:r>
    </w:p>
    <w:p w14:paraId="1A70B197" w14:textId="77777777" w:rsidR="00385255" w:rsidRPr="00385255" w:rsidRDefault="00385255" w:rsidP="00385255">
      <w:pPr>
        <w:pStyle w:val="Bibliography"/>
        <w:rPr>
          <w:rFonts w:ascii="Aptos" w:hAnsi="Aptos"/>
        </w:rPr>
      </w:pPr>
      <w:r w:rsidRPr="00385255">
        <w:rPr>
          <w:rFonts w:ascii="Aptos" w:hAnsi="Aptos"/>
        </w:rPr>
        <w:t xml:space="preserve">Machling, Tess, </w:t>
      </w:r>
      <w:r w:rsidRPr="00385255">
        <w:rPr>
          <w:rFonts w:ascii="Aptos" w:hAnsi="Aptos"/>
          <w:i/>
          <w:iCs/>
        </w:rPr>
        <w:t>Beyond Snettisham</w:t>
      </w:r>
      <w:r w:rsidRPr="00385255">
        <w:rPr>
          <w:rFonts w:ascii="Aptos" w:hAnsi="Aptos"/>
        </w:rPr>
        <w:t xml:space="preserve"> (https://bigbookoftorcs.com/wp-content/uploads/2024/02/machling_williamson_beyond-snettisham.pdf, 2023)</w:t>
      </w:r>
    </w:p>
    <w:p w14:paraId="7059B9AE" w14:textId="77777777" w:rsidR="00385255" w:rsidRPr="00385255" w:rsidRDefault="00385255" w:rsidP="00385255">
      <w:pPr>
        <w:pStyle w:val="Bibliography"/>
        <w:rPr>
          <w:rFonts w:ascii="Aptos" w:hAnsi="Aptos"/>
        </w:rPr>
      </w:pPr>
      <w:r w:rsidRPr="00385255">
        <w:rPr>
          <w:rFonts w:ascii="Aptos" w:hAnsi="Aptos"/>
        </w:rPr>
        <w:t xml:space="preserve">——, </w:t>
      </w:r>
      <w:r w:rsidRPr="00385255">
        <w:rPr>
          <w:rFonts w:ascii="Aptos" w:hAnsi="Aptos"/>
          <w:i/>
          <w:iCs/>
        </w:rPr>
        <w:t>Pattern and Purpose: A New Story about the Creation of the Snettisham Great Torc.</w:t>
      </w:r>
      <w:r w:rsidRPr="00385255">
        <w:rPr>
          <w:rFonts w:ascii="Aptos" w:hAnsi="Aptos"/>
        </w:rPr>
        <w:t>, 29 May 2022, p. 12, doi:10.5281/zenodo.10511412</w:t>
      </w:r>
    </w:p>
    <w:p w14:paraId="3D354185" w14:textId="77777777" w:rsidR="00385255" w:rsidRPr="00385255" w:rsidRDefault="00385255" w:rsidP="00385255">
      <w:pPr>
        <w:pStyle w:val="Bibliography"/>
        <w:rPr>
          <w:rFonts w:ascii="Aptos" w:hAnsi="Aptos"/>
        </w:rPr>
      </w:pPr>
      <w:r w:rsidRPr="00385255">
        <w:rPr>
          <w:rFonts w:ascii="Aptos" w:hAnsi="Aptos"/>
        </w:rPr>
        <w:t xml:space="preserve">Shearman, </w:t>
      </w:r>
      <w:proofErr w:type="spellStart"/>
      <w:r w:rsidRPr="00385255">
        <w:rPr>
          <w:rFonts w:ascii="Aptos" w:hAnsi="Aptos"/>
        </w:rPr>
        <w:t>Fluer</w:t>
      </w:r>
      <w:proofErr w:type="spellEnd"/>
      <w:r w:rsidRPr="00385255">
        <w:rPr>
          <w:rFonts w:ascii="Aptos" w:hAnsi="Aptos"/>
        </w:rPr>
        <w:t xml:space="preserve">, and Marilyn Hockey, ‘Conservation of the Snettisham Torcs’, in </w:t>
      </w:r>
      <w:r w:rsidRPr="00385255">
        <w:rPr>
          <w:rFonts w:ascii="Aptos" w:hAnsi="Aptos"/>
          <w:i/>
          <w:iCs/>
        </w:rPr>
        <w:t xml:space="preserve">The Snettisham Hoards </w:t>
      </w:r>
      <w:proofErr w:type="spellStart"/>
      <w:r w:rsidRPr="00385255">
        <w:rPr>
          <w:rFonts w:ascii="Aptos" w:hAnsi="Aptos"/>
          <w:i/>
          <w:iCs/>
        </w:rPr>
        <w:t>Vol.II</w:t>
      </w:r>
      <w:proofErr w:type="spellEnd"/>
      <w:r w:rsidRPr="00385255">
        <w:rPr>
          <w:rFonts w:ascii="Aptos" w:hAnsi="Aptos"/>
        </w:rPr>
        <w:t xml:space="preserve">, ed. by Julia Farley and Judy Joy (British Museum Publishing, n.d.), </w:t>
      </w:r>
      <w:r w:rsidRPr="00385255">
        <w:rPr>
          <w:rFonts w:ascii="Aptos" w:hAnsi="Aptos"/>
          <w:smallCaps/>
        </w:rPr>
        <w:t>ii</w:t>
      </w:r>
    </w:p>
    <w:p w14:paraId="3F1F6827" w14:textId="77777777" w:rsidR="00385255" w:rsidRPr="00385255" w:rsidRDefault="00385255" w:rsidP="00385255">
      <w:pPr>
        <w:pStyle w:val="Bibliography"/>
        <w:rPr>
          <w:rFonts w:ascii="Aptos" w:hAnsi="Aptos"/>
        </w:rPr>
      </w:pPr>
      <w:r w:rsidRPr="00385255">
        <w:rPr>
          <w:rFonts w:ascii="Aptos" w:hAnsi="Aptos"/>
        </w:rPr>
        <w:t xml:space="preserve">Shotter, Davied, </w:t>
      </w:r>
      <w:r w:rsidRPr="00385255">
        <w:rPr>
          <w:rFonts w:ascii="Aptos" w:hAnsi="Aptos"/>
          <w:i/>
          <w:iCs/>
        </w:rPr>
        <w:t>Roman Britain</w:t>
      </w:r>
      <w:r w:rsidRPr="00385255">
        <w:rPr>
          <w:rFonts w:ascii="Aptos" w:hAnsi="Aptos"/>
        </w:rPr>
        <w:t>, 2nd edn (Routledge, 2004) &lt;https://research-ebsco-com.uwtsd.idm.oclc.org/c/onvpsy/ebook-viewer/pdf/uc2nvfu3fz/page/pp_6?location=https%25253A%25252F%25252Fresearch-ebsco-com.uwtsd.idm.oclc.org%25252Fc%25252Fonvpsy%25252Fsearch%25252Fdetails%25252Fuc2nvfu3fz%25253Fdb%25253Dnlebk&gt; [accessed 16 April 2026]</w:t>
      </w:r>
    </w:p>
    <w:p w14:paraId="32EB7C08" w14:textId="77777777" w:rsidR="00385255" w:rsidRPr="00385255" w:rsidRDefault="00385255" w:rsidP="00385255">
      <w:pPr>
        <w:pStyle w:val="Bibliography"/>
        <w:rPr>
          <w:rFonts w:ascii="Aptos" w:hAnsi="Aptos"/>
        </w:rPr>
      </w:pPr>
      <w:r w:rsidRPr="00385255">
        <w:rPr>
          <w:rFonts w:ascii="Aptos" w:hAnsi="Aptos"/>
        </w:rPr>
        <w:t xml:space="preserve">The British </w:t>
      </w:r>
      <w:proofErr w:type="spellStart"/>
      <w:r w:rsidRPr="00385255">
        <w:rPr>
          <w:rFonts w:ascii="Aptos" w:hAnsi="Aptos"/>
        </w:rPr>
        <w:t>Muesum</w:t>
      </w:r>
      <w:proofErr w:type="spellEnd"/>
      <w:r w:rsidRPr="00385255">
        <w:rPr>
          <w:rFonts w:ascii="Aptos" w:hAnsi="Aptos"/>
        </w:rPr>
        <w:t xml:space="preserve">, ‘Torc | British Museum’, Museum Archive, The British </w:t>
      </w:r>
      <w:proofErr w:type="spellStart"/>
      <w:r w:rsidRPr="00385255">
        <w:rPr>
          <w:rFonts w:ascii="Aptos" w:hAnsi="Aptos"/>
        </w:rPr>
        <w:t>Muesum</w:t>
      </w:r>
      <w:proofErr w:type="spellEnd"/>
      <w:r w:rsidRPr="00385255">
        <w:rPr>
          <w:rFonts w:ascii="Aptos" w:hAnsi="Aptos"/>
        </w:rPr>
        <w:t>, 1951 &lt;https://www.britishmuseum.org/collection/object/H_1951-0402-2&gt; [accessed 7 April 2026]</w:t>
      </w:r>
    </w:p>
    <w:p w14:paraId="0F020CE9" w14:textId="77777777" w:rsidR="00385255" w:rsidRPr="00385255" w:rsidRDefault="00385255" w:rsidP="00385255">
      <w:pPr>
        <w:pStyle w:val="Bibliography"/>
        <w:rPr>
          <w:rFonts w:ascii="Aptos" w:hAnsi="Aptos"/>
        </w:rPr>
      </w:pPr>
      <w:r w:rsidRPr="00385255">
        <w:rPr>
          <w:rFonts w:ascii="Aptos" w:hAnsi="Aptos"/>
        </w:rPr>
        <w:lastRenderedPageBreak/>
        <w:t xml:space="preserve">Weiner, Annette B., ‘Inalienable Wealth’, </w:t>
      </w:r>
      <w:r w:rsidRPr="00385255">
        <w:rPr>
          <w:rFonts w:ascii="Aptos" w:hAnsi="Aptos"/>
          <w:i/>
          <w:iCs/>
        </w:rPr>
        <w:t>American Ethnologist</w:t>
      </w:r>
      <w:r w:rsidRPr="00385255">
        <w:rPr>
          <w:rFonts w:ascii="Aptos" w:hAnsi="Aptos"/>
        </w:rPr>
        <w:t>, 12.2 (1985), pp. 210–27</w:t>
      </w:r>
    </w:p>
    <w:p w14:paraId="5CB5FD7E" w14:textId="77777777" w:rsidR="00385255" w:rsidRPr="00385255" w:rsidRDefault="00385255" w:rsidP="00385255">
      <w:pPr>
        <w:pStyle w:val="Bibliography"/>
        <w:rPr>
          <w:rFonts w:ascii="Aptos" w:hAnsi="Aptos"/>
        </w:rPr>
      </w:pPr>
      <w:r w:rsidRPr="00385255">
        <w:rPr>
          <w:rFonts w:ascii="Aptos" w:hAnsi="Aptos"/>
        </w:rPr>
        <w:t xml:space="preserve">Williams, R. Alan, ‘Boom and Bust in Bronze Age Britain: The Great Orme Copper Mine and European Trade’, in </w:t>
      </w:r>
      <w:r w:rsidRPr="00385255">
        <w:rPr>
          <w:rFonts w:ascii="Aptos" w:hAnsi="Aptos"/>
          <w:i/>
          <w:iCs/>
        </w:rPr>
        <w:t>Boom and Bust in Bronze Age Britain</w:t>
      </w:r>
      <w:r w:rsidRPr="00385255">
        <w:rPr>
          <w:rFonts w:ascii="Aptos" w:hAnsi="Aptos"/>
        </w:rPr>
        <w:t xml:space="preserve">, </w:t>
      </w:r>
      <w:proofErr w:type="spellStart"/>
      <w:r w:rsidRPr="00385255">
        <w:rPr>
          <w:rFonts w:ascii="Aptos" w:hAnsi="Aptos"/>
        </w:rPr>
        <w:t>Archaeopress</w:t>
      </w:r>
      <w:proofErr w:type="spellEnd"/>
      <w:r w:rsidRPr="00385255">
        <w:rPr>
          <w:rFonts w:ascii="Aptos" w:hAnsi="Aptos"/>
        </w:rPr>
        <w:t xml:space="preserve"> Archaeology (</w:t>
      </w:r>
      <w:proofErr w:type="spellStart"/>
      <w:r w:rsidRPr="00385255">
        <w:rPr>
          <w:rFonts w:ascii="Aptos" w:hAnsi="Aptos"/>
        </w:rPr>
        <w:t>Archaeopress</w:t>
      </w:r>
      <w:proofErr w:type="spellEnd"/>
      <w:r w:rsidRPr="00385255">
        <w:rPr>
          <w:rFonts w:ascii="Aptos" w:hAnsi="Aptos"/>
        </w:rPr>
        <w:t xml:space="preserve"> Publishing, 2023)</w:t>
      </w:r>
    </w:p>
    <w:p w14:paraId="52D2E3A1" w14:textId="011A6F56" w:rsidR="00CD607B" w:rsidRPr="00CD607B" w:rsidRDefault="00CD607B" w:rsidP="00CD607B">
      <w:r>
        <w:fldChar w:fldCharType="end"/>
      </w:r>
    </w:p>
    <w:sectPr w:rsidR="00CD607B" w:rsidRPr="00CD607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E923DE" w14:textId="77777777" w:rsidR="00C444D1" w:rsidRDefault="00C444D1" w:rsidP="000C0664">
      <w:pPr>
        <w:spacing w:after="0" w:line="240" w:lineRule="auto"/>
      </w:pPr>
      <w:r>
        <w:separator/>
      </w:r>
    </w:p>
  </w:endnote>
  <w:endnote w:type="continuationSeparator" w:id="0">
    <w:p w14:paraId="1700A281" w14:textId="77777777" w:rsidR="00C444D1" w:rsidRDefault="00C444D1" w:rsidP="000C06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78CA02" w14:textId="77777777" w:rsidR="00C444D1" w:rsidRDefault="00C444D1" w:rsidP="000C0664">
      <w:pPr>
        <w:spacing w:after="0" w:line="240" w:lineRule="auto"/>
      </w:pPr>
      <w:r>
        <w:separator/>
      </w:r>
    </w:p>
  </w:footnote>
  <w:footnote w:type="continuationSeparator" w:id="0">
    <w:p w14:paraId="3C0D654A" w14:textId="77777777" w:rsidR="00C444D1" w:rsidRDefault="00C444D1" w:rsidP="000C0664">
      <w:pPr>
        <w:spacing w:after="0" w:line="240" w:lineRule="auto"/>
      </w:pPr>
      <w:r>
        <w:continuationSeparator/>
      </w:r>
    </w:p>
  </w:footnote>
  <w:footnote w:id="1">
    <w:p w14:paraId="582B2CF2" w14:textId="4DA95482" w:rsidR="000C0664" w:rsidRDefault="000C0664">
      <w:pPr>
        <w:pStyle w:val="FootnoteText"/>
      </w:pPr>
      <w:r>
        <w:rPr>
          <w:rStyle w:val="FootnoteReference"/>
        </w:rPr>
        <w:footnoteRef/>
      </w:r>
      <w:r>
        <w:t xml:space="preserve"> </w:t>
      </w:r>
      <w:r>
        <w:fldChar w:fldCharType="begin"/>
      </w:r>
      <w:r>
        <w:instrText xml:space="preserve"> ADDIN ZOTERO_ITEM CSL_CITATION {"citationID":"bX7HzOTi","properties":{"formattedCitation":"The British Muesum, \\uc0\\u8216{}Torc | British Museum\\uc0\\u8217{}, Museum Archive, The British Muesum, 1951 &lt;https://www.britishmuseum.org/collection/object/H_1951-0402-2&gt; [accessed 7 April 2026].","plainCitation":"The British Muesum, ‘Torc | British Museum’, Museum Archive, The British Muesum, 1951 &lt;https://www.britishmuseum.org/collection/object/H_1951-0402-2&gt; [accessed 7 April 2026].","noteIndex":1},"citationItems":[{"id":419,"uris":["http://zotero.org/users/16334958/items/EYILU7MM"],"itemData":{"id":419,"type":"webpage","container-title":"The British Muesum","genre":"Museum Archive","language":"en","publisher":"The British Muesum","publisher-place":"London","title":"torc | British Museum","URL":"https://www.britishmuseum.org/collection/object/H_1951-0402-2","accessed":{"date-parts":[["2026",4,7]]},"issued":{"date-parts":[["1951"]]}}}],"schema":"https://github.com/citation-style-language/schema/raw/master/csl-citation.json"} </w:instrText>
      </w:r>
      <w:r>
        <w:fldChar w:fldCharType="separate"/>
      </w:r>
      <w:r w:rsidRPr="000C0664">
        <w:rPr>
          <w:rFonts w:ascii="Aptos" w:hAnsi="Aptos" w:cs="Times New Roman"/>
          <w:kern w:val="0"/>
        </w:rPr>
        <w:t>The British Muesum, ‘Torc | British Museum’, Museum Archive, The British Muesum, 1951 &lt;https://www.britishmuseum.org/collection/object/H_1951-0402-2&gt; [accessed 7 April 2026].</w:t>
      </w:r>
      <w:r>
        <w:fldChar w:fldCharType="end"/>
      </w:r>
    </w:p>
  </w:footnote>
  <w:footnote w:id="2">
    <w:p w14:paraId="072FC141" w14:textId="24D75DEB" w:rsidR="00852EF1" w:rsidRDefault="00852EF1">
      <w:pPr>
        <w:pStyle w:val="FootnoteText"/>
      </w:pPr>
      <w:r>
        <w:rPr>
          <w:rStyle w:val="FootnoteReference"/>
        </w:rPr>
        <w:footnoteRef/>
      </w:r>
      <w:r>
        <w:t xml:space="preserve"> </w:t>
      </w:r>
      <w:r>
        <w:fldChar w:fldCharType="begin"/>
      </w:r>
      <w:r>
        <w:instrText xml:space="preserve"> ADDIN ZOTERO_ITEM CSL_CITATION {"citationID":"jNPXJ5Gd","properties":{"formattedCitation":"The British Muesum, \\uc0\\u8216{}Torc | British Museum\\uc0\\u8217{}.","plainCitation":"The British Muesum, ‘Torc | British Museum’.","noteIndex":2},"citationItems":[{"id":419,"uris":["http://zotero.org/users/16334958/items/EYILU7MM"],"itemData":{"id":419,"type":"webpage","container-title":"The British Muesum","genre":"Museum Archive","language":"en","publisher":"The British Muesum","publisher-place":"London","title":"torc | British Museum","URL":"https://www.britishmuseum.org/collection/object/H_1951-0402-2","accessed":{"date-parts":[["2026",4,7]]},"issued":{"date-parts":[["1951"]]}}}],"schema":"https://github.com/citation-style-language/schema/raw/master/csl-citation.json"} </w:instrText>
      </w:r>
      <w:r>
        <w:fldChar w:fldCharType="separate"/>
      </w:r>
      <w:r w:rsidRPr="00852EF1">
        <w:rPr>
          <w:rFonts w:ascii="Aptos" w:hAnsi="Aptos" w:cs="Times New Roman"/>
          <w:kern w:val="0"/>
        </w:rPr>
        <w:t>The British Muesum, ‘Torc | British Museum’.</w:t>
      </w:r>
      <w:r>
        <w:fldChar w:fldCharType="end"/>
      </w:r>
    </w:p>
  </w:footnote>
  <w:footnote w:id="3">
    <w:p w14:paraId="33D5F417" w14:textId="0E961BBF" w:rsidR="00FD5E06" w:rsidRDefault="00FD5E06">
      <w:pPr>
        <w:pStyle w:val="FootnoteText"/>
      </w:pPr>
      <w:r>
        <w:rPr>
          <w:rStyle w:val="FootnoteReference"/>
        </w:rPr>
        <w:footnoteRef/>
      </w:r>
      <w:r>
        <w:t xml:space="preserve"> </w:t>
      </w:r>
      <w:r>
        <w:fldChar w:fldCharType="begin"/>
      </w:r>
      <w:r w:rsidR="00B952BB">
        <w:instrText xml:space="preserve"> ADDIN ZOTERO_ITEM CSL_CITATION {"citationID":"53hh8Wz6","properties":{"formattedCitation":"British Museum Publishing, \\uc0\\u8216{}British Museum - The Great Torc from Snettisham\\uc0\\u8217{}, Archive, British Museum Archive, 27 October 2015 &lt;https://web.archive.org/web/20151027020809/http://www.britishmuseum.org/explore/highlights/highlight_objects/pe_prb/t/the_great_torc_from_snettisham.aspx&gt; [accessed 7 April 2026].","plainCitation":"British Museum Publishing, ‘British Museum - The Great Torc from Snettisham’, Archive, British Museum Archive, 27 October 2015 &lt;https://web.archive.org/web/20151027020809/http://www.britishmuseum.org/explore/highlights/highlight_objects/pe_prb/t/the_great_torc_from_snettisham.aspx&gt; [accessed 7 April 2026].","noteIndex":3},"citationItems":[{"id":435,"uris":["http://zotero.org/users/16334958/items/2E6SXQC7"],"itemData":{"id":435,"type":"webpage","container-title":"British Museum Archive","genre":"Archive","publisher":"British Museum Publishing","publisher-place":"London","title":"British Museum - The Great Torc from Snettisham","URL":"https://web.archive.org/web/20151027020809/http://www.britishmuseum.org/explore/highlights/highlight_objects/pe_prb/t/the_great_torc_from_snettisham.aspx","accessed":{"date-parts":[["2026",4,7]]},"issued":{"date-parts":[["2015",10,27]]}}}],"schema":"https://github.com/citation-style-language/schema/raw/master/csl-citation.json"} </w:instrText>
      </w:r>
      <w:r>
        <w:fldChar w:fldCharType="separate"/>
      </w:r>
      <w:r w:rsidRPr="00FD5E06">
        <w:rPr>
          <w:rFonts w:ascii="Aptos" w:hAnsi="Aptos" w:cs="Times New Roman"/>
          <w:kern w:val="0"/>
        </w:rPr>
        <w:t>British Museum Publishing, ‘British Museum - The Great Torc from Snettisham’, Archive, British Museum Archive, 27 October 2015 &lt;https://web.archive.org/web/20151027020809/http://www.britishmuseum.org/explore/highlights/highlight_objects/pe_prb/t/the_great_torc_from_snettisham.aspx&gt; [accessed 7 April 2026].</w:t>
      </w:r>
      <w:r>
        <w:fldChar w:fldCharType="end"/>
      </w:r>
    </w:p>
  </w:footnote>
  <w:footnote w:id="4">
    <w:p w14:paraId="2C503093" w14:textId="1323480C" w:rsidR="00CD607B" w:rsidRDefault="00CD607B">
      <w:pPr>
        <w:pStyle w:val="FootnoteText"/>
      </w:pPr>
      <w:r>
        <w:rPr>
          <w:rStyle w:val="FootnoteReference"/>
        </w:rPr>
        <w:footnoteRef/>
      </w:r>
      <w:r>
        <w:t xml:space="preserve"> </w:t>
      </w:r>
      <w:r>
        <w:fldChar w:fldCharType="begin"/>
      </w:r>
      <w:r w:rsidR="00B952BB">
        <w:instrText xml:space="preserve"> ADDIN ZOTERO_ITEM CSL_CITATION {"citationID":"kNIBphJf","properties":{"formattedCitation":"The British Muesum, \\uc0\\u8216{}Torc | British Museum\\uc0\\u8217{}.","plainCitation":"The British Muesum, ‘Torc | British Museum’.","noteIndex":4},"citationItems":[{"id":419,"uris":["http://zotero.org/users/16334958/items/EYILU7MM"],"itemData":{"id":419,"type":"webpage","container-title":"The British Muesum","genre":"Museum Archive","language":"en","publisher":"The British Muesum","publisher-place":"London","title":"torc | British Museum","URL":"https://www.britishmuseum.org/collection/object/H_1951-0402-2","accessed":{"date-parts":[["2026",4,7]]},"issued":{"date-parts":[["1951"]]}}}],"schema":"https://github.com/citation-style-language/schema/raw/master/csl-citation.json"} </w:instrText>
      </w:r>
      <w:r>
        <w:fldChar w:fldCharType="separate"/>
      </w:r>
      <w:r w:rsidRPr="00CD607B">
        <w:rPr>
          <w:rFonts w:ascii="Aptos" w:hAnsi="Aptos" w:cs="Times New Roman"/>
          <w:kern w:val="0"/>
        </w:rPr>
        <w:t xml:space="preserve">The British </w:t>
      </w:r>
      <w:proofErr w:type="spellStart"/>
      <w:r w:rsidRPr="00CD607B">
        <w:rPr>
          <w:rFonts w:ascii="Aptos" w:hAnsi="Aptos" w:cs="Times New Roman"/>
          <w:kern w:val="0"/>
        </w:rPr>
        <w:t>Muesum</w:t>
      </w:r>
      <w:proofErr w:type="spellEnd"/>
      <w:r w:rsidRPr="00CD607B">
        <w:rPr>
          <w:rFonts w:ascii="Aptos" w:hAnsi="Aptos" w:cs="Times New Roman"/>
          <w:kern w:val="0"/>
        </w:rPr>
        <w:t>, ‘Torc | British Museum’.</w:t>
      </w:r>
      <w:r>
        <w:fldChar w:fldCharType="end"/>
      </w:r>
    </w:p>
  </w:footnote>
  <w:footnote w:id="5">
    <w:p w14:paraId="640519F6" w14:textId="2A0130D6" w:rsidR="005010A3" w:rsidRDefault="005010A3">
      <w:pPr>
        <w:pStyle w:val="FootnoteText"/>
      </w:pPr>
      <w:r>
        <w:rPr>
          <w:rStyle w:val="FootnoteReference"/>
        </w:rPr>
        <w:footnoteRef/>
      </w:r>
      <w:r>
        <w:t xml:space="preserve"> </w:t>
      </w:r>
      <w:r>
        <w:fldChar w:fldCharType="begin"/>
      </w:r>
      <w:r w:rsidR="00187F88">
        <w:instrText xml:space="preserve"> ADDIN ZOTERO_ITEM CSL_CITATION {"citationID":"M4iphoAB","properties":{"formattedCitation":"Tess Machling, {\\i{}Pattern and Purpose: A New Story about the Creation of the Snettisham Great Torc.}, 29 May 2022, p. 12 (p. 1), doi:10.5281/zenodo.10511412.","plainCitation":"Tess Machling, Pattern and Purpose: A New Story about the Creation of the Snettisham Great Torc., 29 May 2022, p. 12 (p. 1), doi:10.5281/zenodo.10511412.","noteIndex":5},"citationItems":[{"id":443,"uris":["http://zotero.org/users/16334958/items/M2LW5VVI"],"itemData":{"id":443,"type":"article-journal","abstract":"The Snettisham Great torc is one of the most recognisable and well known Iron Age artefacts in Britain. Found in 1950 by Tom Rout, whilst ploughing fields on the Ken Hill estate in Snettisham, Norfolk, the torc has long been seen as the pinnacle of Iron Age goldwork found in the UK. However, it remains poorly understood and it’s precise manufacturing methods and techniques have yet to be thoroughly explored.\n\nIn previous papers (Machling &amp;Williamson 2018, 2019a, 2020) we have demonstrated that the terminals of this torc were created separately in sheet gold alloy, using a tripartitie construction technique (a shell, core and collar) (Fig. 1). We have also suggested that the terminals of the Great torc were poorly fixed and perhaps not created to fit the neck ring to which they are currently attached.\n\nThis blog revisits this previous work, and examines the Great torc in greater detail, looking further at the construction technique and decorative evidence and uses this to create a new object biography regarding the origins and creation of this artefact.","DOI":"10.5281/zenodo.10511412","page":"12","publisher":"Zenodo","source":"Zenodo","title":"Pattern and purpose: a new story about the creation of the Snettisham Great torc.","title-short":"Pattern and purpose","author":[{"family":"Machling","given":"Tess"}],"issued":{"date-parts":[["2022",5,29]]}},"locator":"1","label":"page"}],"schema":"https://github.com/citation-style-language/schema/raw/master/csl-citation.json"} </w:instrText>
      </w:r>
      <w:r>
        <w:fldChar w:fldCharType="separate"/>
      </w:r>
      <w:r w:rsidR="00187F88" w:rsidRPr="00187F88">
        <w:rPr>
          <w:rFonts w:ascii="Aptos" w:hAnsi="Aptos" w:cs="Times New Roman"/>
          <w:kern w:val="0"/>
        </w:rPr>
        <w:t xml:space="preserve">Tess Machling, </w:t>
      </w:r>
      <w:r w:rsidR="00187F88" w:rsidRPr="00187F88">
        <w:rPr>
          <w:rFonts w:ascii="Aptos" w:hAnsi="Aptos" w:cs="Times New Roman"/>
          <w:i/>
          <w:iCs/>
          <w:kern w:val="0"/>
        </w:rPr>
        <w:t>Pattern and Purpose: A New Story about the Creation of the Snettisham Great Torc.</w:t>
      </w:r>
      <w:r w:rsidR="00187F88" w:rsidRPr="00187F88">
        <w:rPr>
          <w:rFonts w:ascii="Aptos" w:hAnsi="Aptos" w:cs="Times New Roman"/>
          <w:kern w:val="0"/>
        </w:rPr>
        <w:t>, 29 May 2022, p. 12 (p. 1), doi:10.5281/zenodo.10511412.</w:t>
      </w:r>
      <w:r>
        <w:fldChar w:fldCharType="end"/>
      </w:r>
    </w:p>
  </w:footnote>
  <w:footnote w:id="6">
    <w:p w14:paraId="57252965" w14:textId="7369D447" w:rsidR="00187F88" w:rsidRDefault="00187F88">
      <w:pPr>
        <w:pStyle w:val="FootnoteText"/>
      </w:pPr>
      <w:r>
        <w:rPr>
          <w:rStyle w:val="FootnoteReference"/>
        </w:rPr>
        <w:footnoteRef/>
      </w:r>
      <w:r>
        <w:t xml:space="preserve"> </w:t>
      </w:r>
      <w:r>
        <w:fldChar w:fldCharType="begin"/>
      </w:r>
      <w:r>
        <w:instrText xml:space="preserve"> ADDIN ZOTERO_ITEM CSL_CITATION {"citationID":"BJMV0pJ8","properties":{"formattedCitation":"Katharina Becker, \\uc0\\u8216{}Iron Age Ireland: Continuity, Change, and Identity\\uc0\\u8217{}, in {\\i{}Atlantic Europe in the First Millennium BC}, ed. by Thomas Hugh Moore and Xos\\uc0\\u234{}-Lois Armada (OUP Oxford, 2011), p. 690 (p. 452).","plainCitation":"Katharina Becker, ‘Iron Age Ireland: Continuity, Change, and Identity’, in Atlantic Europe in the First Millennium BC, ed. by Thomas Hugh Moore and Xosê-Lois Armada (OUP Oxford, 2011), p. 690 (p. 452).","noteIndex":6},"citationItems":[{"id":448,"uris":["http://zotero.org/users/16334958/items/46KISUAK"],"itemData":{"id":448,"type":"chapter","container-title":"Atlantic Europe in the First Millennium BC","language":"en","page":"690","publisher":"OUP Oxford","publisher-place":"Oxford","source":"Zotero","title":"Iron Age Ireland: Continuity, Change, and Identity","author":[{"family":"Becker","given":"Katharina"}],"editor":[{"family":"Moore","given":"Thomas Hugh"},{"family":"Armada","given":"Xosê-Lois"}],"issued":{"date-parts":[["2011"]]}},"locator":"452","label":"page"}],"schema":"https://github.com/citation-style-language/schema/raw/master/csl-citation.json"} </w:instrText>
      </w:r>
      <w:r>
        <w:fldChar w:fldCharType="separate"/>
      </w:r>
      <w:r w:rsidRPr="00187F88">
        <w:rPr>
          <w:rFonts w:ascii="Aptos" w:hAnsi="Aptos" w:cs="Times New Roman"/>
          <w:kern w:val="0"/>
        </w:rPr>
        <w:t xml:space="preserve">Katharina Becker, ‘Iron Age Ireland: Continuity, Change, and Identity’, in </w:t>
      </w:r>
      <w:r w:rsidRPr="00187F88">
        <w:rPr>
          <w:rFonts w:ascii="Aptos" w:hAnsi="Aptos" w:cs="Times New Roman"/>
          <w:i/>
          <w:iCs/>
          <w:kern w:val="0"/>
        </w:rPr>
        <w:t>Atlantic Europe in the First Millennium BC</w:t>
      </w:r>
      <w:r w:rsidRPr="00187F88">
        <w:rPr>
          <w:rFonts w:ascii="Aptos" w:hAnsi="Aptos" w:cs="Times New Roman"/>
          <w:kern w:val="0"/>
        </w:rPr>
        <w:t xml:space="preserve">, ed. by Thomas Hugh Moore and </w:t>
      </w:r>
      <w:proofErr w:type="spellStart"/>
      <w:r w:rsidRPr="00187F88">
        <w:rPr>
          <w:rFonts w:ascii="Aptos" w:hAnsi="Aptos" w:cs="Times New Roman"/>
          <w:kern w:val="0"/>
        </w:rPr>
        <w:t>Xosê</w:t>
      </w:r>
      <w:proofErr w:type="spellEnd"/>
      <w:r w:rsidRPr="00187F88">
        <w:rPr>
          <w:rFonts w:ascii="Aptos" w:hAnsi="Aptos" w:cs="Times New Roman"/>
          <w:kern w:val="0"/>
        </w:rPr>
        <w:t>-Lois Armada (OUP Oxford, 2011), p. 690 (p. 452).</w:t>
      </w:r>
      <w:r>
        <w:fldChar w:fldCharType="end"/>
      </w:r>
    </w:p>
  </w:footnote>
  <w:footnote w:id="7">
    <w:p w14:paraId="3A5C1E21" w14:textId="2D0EF9CF" w:rsidR="00187F88" w:rsidRDefault="00187F88">
      <w:pPr>
        <w:pStyle w:val="FootnoteText"/>
      </w:pPr>
      <w:r>
        <w:rPr>
          <w:rStyle w:val="FootnoteReference"/>
        </w:rPr>
        <w:footnoteRef/>
      </w:r>
      <w:r>
        <w:t xml:space="preserve"> </w:t>
      </w:r>
      <w:r>
        <w:fldChar w:fldCharType="begin"/>
      </w:r>
      <w:r>
        <w:instrText xml:space="preserve"> ADDIN ZOTERO_ITEM CSL_CITATION {"citationID":"nbcTXsYZ","properties":{"formattedCitation":"Machling, {\\i{}Pattern and Purpose}, p. 1.","plainCitation":"Machling, Pattern and Purpose, p. 1.","noteIndex":7},"citationItems":[{"id":443,"uris":["http://zotero.org/users/16334958/items/M2LW5VVI"],"itemData":{"id":443,"type":"article-journal","abstract":"The Snettisham Great torc is one of the most recognisable and well known Iron Age artefacts in Britain. Found in 1950 by Tom Rout, whilst ploughing fields on the Ken Hill estate in Snettisham, Norfolk, the torc has long been seen as the pinnacle of Iron Age goldwork found in the UK. However, it remains poorly understood and it’s precise manufacturing methods and techniques have yet to be thoroughly explored.\n\nIn previous papers (Machling &amp;Williamson 2018, 2019a, 2020) we have demonstrated that the terminals of this torc were created separately in sheet gold alloy, using a tripartitie construction technique (a shell, core and collar) (Fig. 1). We have also suggested that the terminals of the Great torc were poorly fixed and perhaps not created to fit the neck ring to which they are currently attached.\n\nThis blog revisits this previous work, and examines the Great torc in greater detail, looking further at the construction technique and decorative evidence and uses this to create a new object biography regarding the origins and creation of this artefact.","DOI":"10.5281/zenodo.10511412","page":"12","publisher":"Zenodo","source":"Zenodo","title":"Pattern and purpose: a new story about the creation of the Snettisham Great torc.","title-short":"Pattern and purpose","author":[{"family":"Machling","given":"Tess"}],"issued":{"date-parts":[["2022",5,29]]}},"locator":"1","label":"page"}],"schema":"https://github.com/citation-style-language/schema/raw/master/csl-citation.json"} </w:instrText>
      </w:r>
      <w:r>
        <w:fldChar w:fldCharType="separate"/>
      </w:r>
      <w:r w:rsidRPr="00187F88">
        <w:rPr>
          <w:rFonts w:ascii="Aptos" w:hAnsi="Aptos" w:cs="Times New Roman"/>
          <w:kern w:val="0"/>
        </w:rPr>
        <w:t xml:space="preserve">Machling, </w:t>
      </w:r>
      <w:r w:rsidRPr="00187F88">
        <w:rPr>
          <w:rFonts w:ascii="Aptos" w:hAnsi="Aptos" w:cs="Times New Roman"/>
          <w:i/>
          <w:iCs/>
          <w:kern w:val="0"/>
        </w:rPr>
        <w:t>Pattern and Purpose</w:t>
      </w:r>
      <w:r w:rsidRPr="00187F88">
        <w:rPr>
          <w:rFonts w:ascii="Aptos" w:hAnsi="Aptos" w:cs="Times New Roman"/>
          <w:kern w:val="0"/>
        </w:rPr>
        <w:t>, p. 1.</w:t>
      </w:r>
      <w:r>
        <w:fldChar w:fldCharType="end"/>
      </w:r>
    </w:p>
  </w:footnote>
  <w:footnote w:id="8">
    <w:p w14:paraId="3B03F874" w14:textId="47B1E80B" w:rsidR="00DA7B09" w:rsidRDefault="00DA7B09">
      <w:pPr>
        <w:pStyle w:val="FootnoteText"/>
      </w:pPr>
      <w:r>
        <w:rPr>
          <w:rStyle w:val="FootnoteReference"/>
        </w:rPr>
        <w:footnoteRef/>
      </w:r>
      <w:r>
        <w:t xml:space="preserve"> </w:t>
      </w:r>
      <w:r>
        <w:fldChar w:fldCharType="begin"/>
      </w:r>
      <w:r w:rsidR="00187F88">
        <w:instrText xml:space="preserve"> ADDIN ZOTERO_ITEM CSL_CITATION {"citationID":"WurX03ng","properties":{"formattedCitation":"Machling, {\\i{}Pattern and Purpose}, p. 2.","plainCitation":"Machling, Pattern and Purpose, p. 2.","noteIndex":8},"citationItems":[{"id":443,"uris":["http://zotero.org/users/16334958/items/M2LW5VVI"],"itemData":{"id":443,"type":"article-journal","abstract":"The Snettisham Great torc is one of the most recognisable and well known Iron Age artefacts in Britain. Found in 1950 by Tom Rout, whilst ploughing fields on the Ken Hill estate in Snettisham, Norfolk, the torc has long been seen as the pinnacle of Iron Age goldwork found in the UK. However, it remains poorly understood and it’s precise manufacturing methods and techniques have yet to be thoroughly explored.\n\nIn previous papers (Machling &amp;Williamson 2018, 2019a, 2020) we have demonstrated that the terminals of this torc were created separately in sheet gold alloy, using a tripartitie construction technique (a shell, core and collar) (Fig. 1). We have also suggested that the terminals of the Great torc were poorly fixed and perhaps not created to fit the neck ring to which they are currently attached.\n\nThis blog revisits this previous work, and examines the Great torc in greater detail, looking further at the construction technique and decorative evidence and uses this to create a new object biography regarding the origins and creation of this artefact.","DOI":"10.5281/zenodo.10511412","page":"12","publisher":"Zenodo","source":"Zenodo","title":"Pattern and purpose: a new story about the creation of the Snettisham Great torc.","title-short":"Pattern and purpose","author":[{"family":"Machling","given":"Tess"}],"issued":{"date-parts":[["2022",5,29]]}},"locator":"2","label":"page"}],"schema":"https://github.com/citation-style-language/schema/raw/master/csl-citation.json"} </w:instrText>
      </w:r>
      <w:r>
        <w:fldChar w:fldCharType="separate"/>
      </w:r>
      <w:r w:rsidR="005010A3" w:rsidRPr="005010A3">
        <w:rPr>
          <w:rFonts w:ascii="Aptos" w:hAnsi="Aptos" w:cs="Times New Roman"/>
          <w:kern w:val="0"/>
        </w:rPr>
        <w:t xml:space="preserve">Machling, </w:t>
      </w:r>
      <w:r w:rsidR="005010A3" w:rsidRPr="005010A3">
        <w:rPr>
          <w:rFonts w:ascii="Aptos" w:hAnsi="Aptos" w:cs="Times New Roman"/>
          <w:i/>
          <w:iCs/>
          <w:kern w:val="0"/>
        </w:rPr>
        <w:t>Pattern and Purpose</w:t>
      </w:r>
      <w:r w:rsidR="005010A3" w:rsidRPr="005010A3">
        <w:rPr>
          <w:rFonts w:ascii="Aptos" w:hAnsi="Aptos" w:cs="Times New Roman"/>
          <w:kern w:val="0"/>
        </w:rPr>
        <w:t>, p. 2.</w:t>
      </w:r>
      <w:r>
        <w:fldChar w:fldCharType="end"/>
      </w:r>
    </w:p>
  </w:footnote>
  <w:footnote w:id="9">
    <w:p w14:paraId="20399A95" w14:textId="06E7D7AF" w:rsidR="00187F88" w:rsidRDefault="00187F88">
      <w:pPr>
        <w:pStyle w:val="FootnoteText"/>
      </w:pPr>
      <w:r>
        <w:rPr>
          <w:rStyle w:val="FootnoteReference"/>
        </w:rPr>
        <w:footnoteRef/>
      </w:r>
      <w:r>
        <w:t xml:space="preserve"> </w:t>
      </w:r>
      <w:r>
        <w:fldChar w:fldCharType="begin"/>
      </w:r>
      <w:r>
        <w:instrText xml:space="preserve"> ADDIN ZOTERO_ITEM CSL_CITATION {"citationID":"jhdvrDYa","properties":{"formattedCitation":"Machling, {\\i{}Pattern and Purpose}, p. 2.","plainCitation":"Machling, Pattern and Purpose, p. 2.","noteIndex":9},"citationItems":[{"id":443,"uris":["http://zotero.org/users/16334958/items/M2LW5VVI"],"itemData":{"id":443,"type":"article-journal","abstract":"The Snettisham Great torc is one of the most recognisable and well known Iron Age artefacts in Britain. Found in 1950 by Tom Rout, whilst ploughing fields on the Ken Hill estate in Snettisham, Norfolk, the torc has long been seen as the pinnacle of Iron Age goldwork found in the UK. However, it remains poorly understood and it’s precise manufacturing methods and techniques have yet to be thoroughly explored.\n\nIn previous papers (Machling &amp;Williamson 2018, 2019a, 2020) we have demonstrated that the terminals of this torc were created separately in sheet gold alloy, using a tripartitie construction technique (a shell, core and collar) (Fig. 1). We have also suggested that the terminals of the Great torc were poorly fixed and perhaps not created to fit the neck ring to which they are currently attached.\n\nThis blog revisits this previous work, and examines the Great torc in greater detail, looking further at the construction technique and decorative evidence and uses this to create a new object biography regarding the origins and creation of this artefact.","DOI":"10.5281/zenodo.10511412","page":"12","publisher":"Zenodo","source":"Zenodo","title":"Pattern and purpose: a new story about the creation of the Snettisham Great torc.","title-short":"Pattern and purpose","author":[{"family":"Machling","given":"Tess"}],"issued":{"date-parts":[["2022",5,29]]}},"locator":"2","label":"page"}],"schema":"https://github.com/citation-style-language/schema/raw/master/csl-citation.json"} </w:instrText>
      </w:r>
      <w:r>
        <w:fldChar w:fldCharType="separate"/>
      </w:r>
      <w:r w:rsidRPr="00187F88">
        <w:rPr>
          <w:rFonts w:ascii="Aptos" w:hAnsi="Aptos" w:cs="Times New Roman"/>
          <w:kern w:val="0"/>
        </w:rPr>
        <w:t xml:space="preserve">Machling, </w:t>
      </w:r>
      <w:r w:rsidRPr="00187F88">
        <w:rPr>
          <w:rFonts w:ascii="Aptos" w:hAnsi="Aptos" w:cs="Times New Roman"/>
          <w:i/>
          <w:iCs/>
          <w:kern w:val="0"/>
        </w:rPr>
        <w:t>Pattern and Purpose</w:t>
      </w:r>
      <w:r w:rsidRPr="00187F88">
        <w:rPr>
          <w:rFonts w:ascii="Aptos" w:hAnsi="Aptos" w:cs="Times New Roman"/>
          <w:kern w:val="0"/>
        </w:rPr>
        <w:t>, p. 2.</w:t>
      </w:r>
      <w:r>
        <w:fldChar w:fldCharType="end"/>
      </w:r>
    </w:p>
  </w:footnote>
  <w:footnote w:id="10">
    <w:p w14:paraId="2F7BBADB" w14:textId="5D2B78BC" w:rsidR="00187F88" w:rsidRDefault="00187F88">
      <w:pPr>
        <w:pStyle w:val="FootnoteText"/>
      </w:pPr>
      <w:r>
        <w:rPr>
          <w:rStyle w:val="FootnoteReference"/>
        </w:rPr>
        <w:footnoteRef/>
      </w:r>
      <w:r>
        <w:t xml:space="preserve"> </w:t>
      </w:r>
      <w:r>
        <w:fldChar w:fldCharType="begin"/>
      </w:r>
      <w:r>
        <w:instrText xml:space="preserve"> ADDIN ZOTERO_ITEM CSL_CITATION {"citationID":"nFJIEXhs","properties":{"formattedCitation":"Annette B. Weiner, \\uc0\\u8216{}Inalienable Wealth\\uc0\\u8217{}, {\\i{}American Ethnologist}, 12.2 (1985), pp. 210\\uc0\\u8211{}27 (p. 211).","plainCitation":"Annette B. Weiner, ‘Inalienable Wealth’, American Ethnologist, 12.2 (1985), pp. 210–27 (p. 211).","noteIndex":10},"citationItems":[{"id":437,"uris":["http://zotero.org/users/16334958/items/MCK4TETT"],"itemData":{"id":437,"type":"article-journal","abstract":"This essay departs from traditional anthropological views of exchange by focusing on the importance of wealth objects kept out of circulation by their owners. I examine the implications of such wealth through an analysis of New Zealand Maori valued objects, notably, woven cloaks and nephrite weapons and ornaments. Drawing on Marcel Mauss's notions of inalienable wealth, I enter the debates surrounding the meaning of the Maori hau, the spirit embedded in persons and things. I illustrate the significance of the hau in relation to the historical content of objects. [exchange, history, Mauss, Maori, wealth]","container-title":"American Ethnologist","ISSN":"0094-0496","issue":"2","page":"210-227","publisher":"[Wiley, American Anthropological Association]","source":"JSTOR","title":"Inalienable Wealth","volume":"12","author":[{"family":"Weiner","given":"Annette B."}],"issued":{"date-parts":[["1985"]]}},"locator":"211","label":"page"}],"schema":"https://github.com/citation-style-language/schema/raw/master/csl-citation.json"} </w:instrText>
      </w:r>
      <w:r>
        <w:fldChar w:fldCharType="separate"/>
      </w:r>
      <w:r w:rsidRPr="00187F88">
        <w:rPr>
          <w:rFonts w:ascii="Aptos" w:hAnsi="Aptos" w:cs="Times New Roman"/>
          <w:kern w:val="0"/>
        </w:rPr>
        <w:t xml:space="preserve">Annette B. Weiner, ‘Inalienable Wealth’, </w:t>
      </w:r>
      <w:r w:rsidRPr="00187F88">
        <w:rPr>
          <w:rFonts w:ascii="Aptos" w:hAnsi="Aptos" w:cs="Times New Roman"/>
          <w:i/>
          <w:iCs/>
          <w:kern w:val="0"/>
        </w:rPr>
        <w:t>American Ethnologist</w:t>
      </w:r>
      <w:r w:rsidRPr="00187F88">
        <w:rPr>
          <w:rFonts w:ascii="Aptos" w:hAnsi="Aptos" w:cs="Times New Roman"/>
          <w:kern w:val="0"/>
        </w:rPr>
        <w:t>, 12.2 (1985), pp. 210–27 (p. 211).</w:t>
      </w:r>
      <w:r>
        <w:fldChar w:fldCharType="end"/>
      </w:r>
    </w:p>
  </w:footnote>
  <w:footnote w:id="11">
    <w:p w14:paraId="50CE5894" w14:textId="17B2B440" w:rsidR="0003014D" w:rsidRDefault="0003014D">
      <w:pPr>
        <w:pStyle w:val="FootnoteText"/>
      </w:pPr>
      <w:r>
        <w:rPr>
          <w:rStyle w:val="FootnoteReference"/>
        </w:rPr>
        <w:footnoteRef/>
      </w:r>
      <w:r>
        <w:t xml:space="preserve"> </w:t>
      </w:r>
      <w:r>
        <w:fldChar w:fldCharType="begin"/>
      </w:r>
      <w:r>
        <w:instrText xml:space="preserve"> ADDIN ZOTERO_ITEM CSL_CITATION {"citationID":"BNuItkpb","properties":{"formattedCitation":"Davied Shotter, {\\i{}Roman Britain}, 2nd edn (Routledge, 2004), p. 6 &lt;https://research-ebsco-com.uwtsd.idm.oclc.org/c/onvpsy/ebook-viewer/pdf/uc2nvfu3fz/page/pp_6?location=https%25253A%25252F%25252Fresearch-ebsco-com.uwtsd.idm.oclc.org%25252Fc%25252Fonvpsy%25252Fsearch%25252Fdetails%25252Fuc2nvfu3fz%25253Fdb%25253Dnlebk&gt; [accessed 16 April 2026].","plainCitation":"Davied Shotter, Roman Britain, 2nd edn (Routledge, 2004), p. 6 &lt;https://research-ebsco-com.uwtsd.idm.oclc.org/c/onvpsy/ebook-viewer/pdf/uc2nvfu3fz/page/pp_6?location=https%25253A%25252F%25252Fresearch-ebsco-com.uwtsd.idm.oclc.org%25252Fc%25252Fonvpsy%25252Fsearch%25252Fdetails%25252Fuc2nvfu3fz%25253Fdb%25253Dnlebk&gt; [accessed 16 April 2026].","noteIndex":7},"citationItems":[{"id":446,"uris":["http://zotero.org/users/16334958/items/4LI4ZQP9"],"itemData":{"id":446,"type":"book","edition":"2nd","number-of-pages":"144","publisher":"Routledge","publisher-place":"London","title":"Roman Britain","URL":"https://research-ebsco-com.uwtsd.idm.oclc.org/c/onvpsy/ebook-viewer/pdf/uc2nvfu3fz/page/pp_6?location=https%25253A%25252F%25252Fresearch-ebsco-com.uwtsd.idm.oclc.org%25252Fc%25252Fonvpsy%25252Fsearch%25252Fdetails%25252Fuc2nvfu3fz%25253Fdb%25253Dnlebk","author":[{"family":"Shotter","given":"Davied"}],"accessed":{"date-parts":[["2026",4,16]]},"issued":{"date-parts":[["2004"]]}},"locator":"6","label":"page"}],"schema":"https://github.com/citation-style-language/schema/raw/master/csl-citation.json"} </w:instrText>
      </w:r>
      <w:r>
        <w:fldChar w:fldCharType="separate"/>
      </w:r>
      <w:r w:rsidRPr="0003014D">
        <w:rPr>
          <w:rFonts w:ascii="Aptos" w:hAnsi="Aptos" w:cs="Times New Roman"/>
          <w:kern w:val="0"/>
        </w:rPr>
        <w:t xml:space="preserve">Davied Shotter, </w:t>
      </w:r>
      <w:r w:rsidRPr="0003014D">
        <w:rPr>
          <w:rFonts w:ascii="Aptos" w:hAnsi="Aptos" w:cs="Times New Roman"/>
          <w:i/>
          <w:iCs/>
          <w:kern w:val="0"/>
        </w:rPr>
        <w:t>Roman Britain</w:t>
      </w:r>
      <w:r w:rsidRPr="0003014D">
        <w:rPr>
          <w:rFonts w:ascii="Aptos" w:hAnsi="Aptos" w:cs="Times New Roman"/>
          <w:kern w:val="0"/>
        </w:rPr>
        <w:t>, 2nd edn (Routledge, 2004), p. 6 &lt;https://research-ebsco-com.uwtsd.idm.oclc.org/c/onvpsy/ebook-viewer/pdf/uc2nvfu3fz/page/pp_6?location=https%25253A%25252F%25252Fresearch-ebsco-com.uwtsd.idm.oclc.org%25252Fc%25252Fonvpsy%25252Fsearch%25252Fdetails%25252Fuc2nvfu3fz%25253Fdb%25253Dnlebk&gt; [accessed 16 April 2026].</w:t>
      </w:r>
      <w:r>
        <w:fldChar w:fldCharType="end"/>
      </w:r>
    </w:p>
  </w:footnote>
  <w:footnote w:id="12">
    <w:p w14:paraId="26521EF7" w14:textId="0A3DF0BA" w:rsidR="00385255" w:rsidRDefault="00385255">
      <w:pPr>
        <w:pStyle w:val="FootnoteText"/>
      </w:pPr>
      <w:r>
        <w:rPr>
          <w:rStyle w:val="FootnoteReference"/>
        </w:rPr>
        <w:footnoteRef/>
      </w:r>
      <w:r>
        <w:t xml:space="preserve"> </w:t>
      </w:r>
      <w:r>
        <w:fldChar w:fldCharType="begin"/>
      </w:r>
      <w:r>
        <w:instrText xml:space="preserve"> ADDIN ZOTERO_ITEM CSL_CITATION {"citationID":"6y2NLs7J","properties":{"formattedCitation":"Tess Machling, {\\i{}Beyond Snettisham} (https://bigbookoftorcs.com/wp-content/uploads/2024/02/machling_williamson_beyond-snettisham.pdf, 2023), p. 6.","plainCitation":"Tess Machling, Beyond Snettisham (https://bigbookoftorcs.com/wp-content/uploads/2024/02/machling_williamson_beyond-snettisham.pdf, 2023), p. 6.","noteIndex":12},"citationItems":[{"id":451,"uris":["http://zotero.org/users/16334958/items/CPFGJUSS"],"itemData":{"id":451,"type":"book","publisher":"https://bigbookoftorcs.com/wp-content/uploads/2024/02/machling_williamson_beyond-snettisham.pdf","publisher-place":"Online","title":"Beyond Snettisham","author":[{"family":"Machling","given":"Tess"}],"issued":{"date-parts":[["2023"]]}},"locator":"6","label":"page"}],"schema":"https://github.com/citation-style-language/schema/raw/master/csl-citation.json"} </w:instrText>
      </w:r>
      <w:r>
        <w:fldChar w:fldCharType="separate"/>
      </w:r>
      <w:r w:rsidRPr="00385255">
        <w:rPr>
          <w:rFonts w:ascii="Aptos" w:hAnsi="Aptos" w:cs="Times New Roman"/>
          <w:kern w:val="0"/>
        </w:rPr>
        <w:t xml:space="preserve">Tess Machling, </w:t>
      </w:r>
      <w:r w:rsidRPr="00385255">
        <w:rPr>
          <w:rFonts w:ascii="Aptos" w:hAnsi="Aptos" w:cs="Times New Roman"/>
          <w:i/>
          <w:iCs/>
          <w:kern w:val="0"/>
        </w:rPr>
        <w:t>Beyond Snettisham</w:t>
      </w:r>
      <w:r w:rsidRPr="00385255">
        <w:rPr>
          <w:rFonts w:ascii="Aptos" w:hAnsi="Aptos" w:cs="Times New Roman"/>
          <w:kern w:val="0"/>
        </w:rPr>
        <w:t xml:space="preserve"> (https://bigbookoftorcs.com/wp-content/uploads/2024/02/machling_williamson_beyond-snettisham.pdf, 2023), p. 6.</w:t>
      </w:r>
      <w:r>
        <w:fldChar w:fldCharType="end"/>
      </w:r>
    </w:p>
  </w:footnote>
  <w:footnote w:id="13">
    <w:p w14:paraId="1E5B2470" w14:textId="0BA24ADB" w:rsidR="00385255" w:rsidRDefault="00385255">
      <w:pPr>
        <w:pStyle w:val="FootnoteText"/>
      </w:pPr>
      <w:r>
        <w:rPr>
          <w:rStyle w:val="FootnoteReference"/>
        </w:rPr>
        <w:footnoteRef/>
      </w:r>
      <w:r>
        <w:t xml:space="preserve"> </w:t>
      </w:r>
      <w:r>
        <w:fldChar w:fldCharType="begin"/>
      </w:r>
      <w:r>
        <w:instrText xml:space="preserve"> ADDIN ZOTERO_ITEM CSL_CITATION {"citationID":"eMxFpubn","properties":{"formattedCitation":"D. A. Jenkins, A. E. Caseldine, and S. Hamilton-Dyer, \\uc0\\u8216{}Prehistoric Copper Mining on the Great Orme, Llandudno, Gwynedd\\uc0\\u8217{}, {\\i{}Proceedings of the Prehistoric Society}, 60.1 (1994), pp. 245\\uc0\\u8211{}86 (p. 284), doi:10.1017/S0079497X00003455.","plainCitation":"D. A. Jenkins, A. E. Caseldine, and S. Hamilton-Dyer, ‘Prehistoric Copper Mining on the Great Orme, Llandudno, Gwynedd’, Proceedings of the Prehistoric Society, 60.1 (1994), pp. 245–86 (p. 284), doi:10.1017/S0079497X00003455.","noteIndex":13},"citationItems":[{"id":453,"uris":["http://zotero.org/users/16334958/items/GBQ28IQC"],"itemData":{"id":453,"type":"article-journal","abstract":"The discovery of evidence to suggest that copper ore was exploited at the Great Orme on a considerable scale in prehistory is of great significance in our understanding of the development of metalworking technology in the British Isles.\n            In the past, the apparent absence from the archaeological record of a contemporaneous native mineral source for the production of copper and copper alloy artefacts during the Bronze Age has led to the assumption that raw materials, as well as metal technology, were imported from abroad. Alternatively, whilst accepting that local resources could have been exploited, it was assumed that these would have been obliterated by the mining operations of later centuries.\n            There are now several sites on the British mainland and in Ireland which have been identified and dated as having been exploited for copper ores during the Bronze Age, of which a number, as on the Great Orme, had since seen intensive working during the 18th and 19th centuries AD. AS yet, much of the evidence has come essentially from surface excavations, but at the Great Orme surface excavation combined with underground exploration has revealed a system of workings of truly remarkable size. A series of 10 radiocarbon dates has been obtained from within the mine complex, indicating that working was carried out for over a thousand years spanning the Early to Late Bronze Age.\n            The true extent of the surviving prehistoric workings is yet to be realized but present evidence indicates mining activity covering an area in excess of 24,000 square metres, incorporating passages totalling upwards of 5 km, penetrating to a vertical depth of 70 m.\n            Much of the archaeological evidence contained within this report has been gained from detailed excavation carried out within surface workings, which in their own right constitute a sizeable part of the prehistoric mine. From the surface area presently exposed it is conservatively estimated that 40,000 cubic metres of material was removed during the Bronze Age. Much of the early technology represented within the surface workings reflects the technology employed in the deep workings, with the additional evidence of ancillary operations which would seem to relate solely to surface locations.\n            Whilst the excavations reported in this paper relate to surface, or near surface, workings, they must be seen in the context of a labyrinthine complex of prehistoric workings recorded at depths of over yom (Jenkins &amp; Lewis 1991; Lewis 1994). These deep workings are the subject of parallel studies to be reported elsewhere. The known underground and surface prehistoric workings are on a scale so far unparallelled in Britain and are of international significance. Elsewhere in Europe there is evidence for the mining of copper ores at Ai Bunar in Bulgaria dated to 5840 BC (Cernych 1978) and at Rudna Glava in former Yugoslavia dated to 4715 BC (Jovanovic 1979). Evidence for subsequent copper mining has been dated to 3785 BC in southern Spain (Rio Tinto area: Rothenburg &amp; Blanco Freijeiro 1980) and to 3330 BC in Austria (Mitterberg; Pittioni 1951), marking an apparent development and extension westwards and northwards of copper technology. More recently, the dating of two sites in the south of France to around 3330 BC, at Cabrieres (Ambert et al. 1990) and Bouche Payrol, near Brusque (Barge 1985), has confirmed another area of Bronze Age working.","container-title":"Proceedings of the Prehistoric Society","DOI":"10.1017/S0079497X00003455","ISSN":"0079-497X, 2050-2729","issue":"1","journalAbbreviation":"Proc. Prehist. Soc.","language":"en","license":"https://www.cambridge.org/core/terms","page":"245-286","source":"DOI.org (Crossref)","title":"Prehistoric Copper Mining on the Great Orme, Llandudno, Gwynedd","volume":"60","editor":[{"family":"Dutton","given":"Andrew"},{"family":"Fasham","given":"Peter J."}],"author":[{"family":"Jenkins","given":"D. A."},{"family":"Caseldine","given":"A. E."},{"family":"Hamilton-Dyer","given":"S."}],"issued":{"date-parts":[["1994"]]}},"locator":"284","label":"page"}],"schema":"https://github.com/citation-style-language/schema/raw/master/csl-citation.json"} </w:instrText>
      </w:r>
      <w:r>
        <w:fldChar w:fldCharType="separate"/>
      </w:r>
      <w:r w:rsidRPr="00385255">
        <w:rPr>
          <w:rFonts w:ascii="Aptos" w:hAnsi="Aptos" w:cs="Times New Roman"/>
          <w:kern w:val="0"/>
        </w:rPr>
        <w:t xml:space="preserve">D. A. Jenkins, A. E. </w:t>
      </w:r>
      <w:proofErr w:type="spellStart"/>
      <w:r w:rsidRPr="00385255">
        <w:rPr>
          <w:rFonts w:ascii="Aptos" w:hAnsi="Aptos" w:cs="Times New Roman"/>
          <w:kern w:val="0"/>
        </w:rPr>
        <w:t>Caseldine</w:t>
      </w:r>
      <w:proofErr w:type="spellEnd"/>
      <w:r w:rsidRPr="00385255">
        <w:rPr>
          <w:rFonts w:ascii="Aptos" w:hAnsi="Aptos" w:cs="Times New Roman"/>
          <w:kern w:val="0"/>
        </w:rPr>
        <w:t xml:space="preserve">, and S. Hamilton-Dyer, ‘Prehistoric Copper Mining on the Great Orme, Llandudno, Gwynedd’, </w:t>
      </w:r>
      <w:r w:rsidRPr="00385255">
        <w:rPr>
          <w:rFonts w:ascii="Aptos" w:hAnsi="Aptos" w:cs="Times New Roman"/>
          <w:i/>
          <w:iCs/>
          <w:kern w:val="0"/>
        </w:rPr>
        <w:t>Proceedings of the Prehistoric Society</w:t>
      </w:r>
      <w:r w:rsidRPr="00385255">
        <w:rPr>
          <w:rFonts w:ascii="Aptos" w:hAnsi="Aptos" w:cs="Times New Roman"/>
          <w:kern w:val="0"/>
        </w:rPr>
        <w:t>, 60.1 (1994), pp. 245–86 (p. 284), doi:10.1017/S0079497X00003455.</w:t>
      </w:r>
      <w:r>
        <w:fldChar w:fldCharType="end"/>
      </w:r>
    </w:p>
  </w:footnote>
  <w:footnote w:id="14">
    <w:p w14:paraId="2DE6BED9" w14:textId="6BD9BBBA" w:rsidR="00385255" w:rsidRDefault="00385255">
      <w:pPr>
        <w:pStyle w:val="FootnoteText"/>
      </w:pPr>
      <w:r>
        <w:rPr>
          <w:rStyle w:val="FootnoteReference"/>
        </w:rPr>
        <w:footnoteRef/>
      </w:r>
      <w:r>
        <w:t xml:space="preserve"> </w:t>
      </w:r>
      <w:r>
        <w:fldChar w:fldCharType="begin"/>
      </w:r>
      <w:r>
        <w:instrText xml:space="preserve"> ADDIN ZOTERO_ITEM CSL_CITATION {"citationID":"qkwCHHf7","properties":{"formattedCitation":"Machling, {\\i{}Pattern and Purpose}, p. 1.","plainCitation":"Machling, Pattern and Purpose, p. 1.","noteIndex":14},"citationItems":[{"id":443,"uris":["http://zotero.org/users/16334958/items/M2LW5VVI"],"itemData":{"id":443,"type":"article-journal","abstract":"The Snettisham Great torc is one of the most recognisable and well known Iron Age artefacts in Britain. Found in 1950 by Tom Rout, whilst ploughing fields on the Ken Hill estate in Snettisham, Norfolk, the torc has long been seen as the pinnacle of Iron Age goldwork found in the UK. However, it remains poorly understood and it’s precise manufacturing methods and techniques have yet to be thoroughly explored.\n\nIn previous papers (Machling &amp;Williamson 2018, 2019a, 2020) we have demonstrated that the terminals of this torc were created separately in sheet gold alloy, using a tripartitie construction technique (a shell, core and collar) (Fig. 1). We have also suggested that the terminals of the Great torc were poorly fixed and perhaps not created to fit the neck ring to which they are currently attached.\n\nThis blog revisits this previous work, and examines the Great torc in greater detail, looking further at the construction technique and decorative evidence and uses this to create a new object biography regarding the origins and creation of this artefact.","DOI":"10.5281/zenodo.10511412","page":"12","publisher":"Zenodo","source":"Zenodo","title":"Pattern and purpose: a new story about the creation of the Snettisham Great torc.","title-short":"Pattern and purpose","author":[{"family":"Machling","given":"Tess"}],"issued":{"date-parts":[["2022",5,29]]}},"locator":"1","label":"page"}],"schema":"https://github.com/citation-style-language/schema/raw/master/csl-citation.json"} </w:instrText>
      </w:r>
      <w:r>
        <w:fldChar w:fldCharType="separate"/>
      </w:r>
      <w:r w:rsidRPr="00385255">
        <w:rPr>
          <w:rFonts w:ascii="Aptos" w:hAnsi="Aptos" w:cs="Times New Roman"/>
          <w:kern w:val="0"/>
        </w:rPr>
        <w:t xml:space="preserve">Machling, </w:t>
      </w:r>
      <w:r w:rsidRPr="00385255">
        <w:rPr>
          <w:rFonts w:ascii="Aptos" w:hAnsi="Aptos" w:cs="Times New Roman"/>
          <w:i/>
          <w:iCs/>
          <w:kern w:val="0"/>
        </w:rPr>
        <w:t>Pattern and Purpose</w:t>
      </w:r>
      <w:r w:rsidRPr="00385255">
        <w:rPr>
          <w:rFonts w:ascii="Aptos" w:hAnsi="Aptos" w:cs="Times New Roman"/>
          <w:kern w:val="0"/>
        </w:rPr>
        <w:t>, p. 1.</w:t>
      </w:r>
      <w:r>
        <w:fldChar w:fldCharType="end"/>
      </w:r>
    </w:p>
  </w:footnote>
  <w:footnote w:id="15">
    <w:p w14:paraId="7614F9F7" w14:textId="66F0DCA9" w:rsidR="00B349CE" w:rsidRDefault="00B349CE">
      <w:pPr>
        <w:pStyle w:val="FootnoteText"/>
      </w:pPr>
      <w:r>
        <w:rPr>
          <w:rStyle w:val="FootnoteReference"/>
        </w:rPr>
        <w:footnoteRef/>
      </w:r>
      <w:r>
        <w:t xml:space="preserve"> </w:t>
      </w:r>
      <w:r>
        <w:fldChar w:fldCharType="begin"/>
      </w:r>
      <w:r w:rsidR="00385255">
        <w:instrText xml:space="preserve"> ADDIN ZOTERO_ITEM CSL_CITATION {"citationID":"tBFtFsE2","properties":{"formattedCitation":"Machling, {\\i{}Pattern and Purpose}, p. 11.","plainCitation":"Machling, Pattern and Purpose, p. 11.","noteIndex":15},"citationItems":[{"id":443,"uris":["http://zotero.org/users/16334958/items/M2LW5VVI"],"itemData":{"id":443,"type":"article-journal","abstract":"The Snettisham Great torc is one of the most recognisable and well known Iron Age artefacts in Britain. Found in 1950 by Tom Rout, whilst ploughing fields on the Ken Hill estate in Snettisham, Norfolk, the torc has long been seen as the pinnacle of Iron Age goldwork found in the UK. However, it remains poorly understood and it’s precise manufacturing methods and techniques have yet to be thoroughly explored.\n\nIn previous papers (Machling &amp;Williamson 2018, 2019a, 2020) we have demonstrated that the terminals of this torc were created separately in sheet gold alloy, using a tripartitie construction technique (a shell, core and collar) (Fig. 1). We have also suggested that the terminals of the Great torc were poorly fixed and perhaps not created to fit the neck ring to which they are currently attached.\n\nThis blog revisits this previous work, and examines the Great torc in greater detail, looking further at the construction technique and decorative evidence and uses this to create a new object biography regarding the origins and creation of this artefact.","DOI":"10.5281/zenodo.10511412","page":"12","publisher":"Zenodo","source":"Zenodo","title":"Pattern and purpose: a new story about the creation of the Snettisham Great torc.","title-short":"Pattern and purpose","author":[{"family":"Machling","given":"Tess"}],"issued":{"date-parts":[["2022",5,29]]}},"locator":"11","label":"page"}],"schema":"https://github.com/citation-style-language/schema/raw/master/csl-citation.json"} </w:instrText>
      </w:r>
      <w:r>
        <w:fldChar w:fldCharType="separate"/>
      </w:r>
      <w:r w:rsidRPr="00B349CE">
        <w:rPr>
          <w:rFonts w:ascii="Aptos" w:hAnsi="Aptos" w:cs="Times New Roman"/>
          <w:kern w:val="0"/>
        </w:rPr>
        <w:t xml:space="preserve">Machling, </w:t>
      </w:r>
      <w:r w:rsidRPr="00B349CE">
        <w:rPr>
          <w:rFonts w:ascii="Aptos" w:hAnsi="Aptos" w:cs="Times New Roman"/>
          <w:i/>
          <w:iCs/>
          <w:kern w:val="0"/>
        </w:rPr>
        <w:t>Pattern and Purpose</w:t>
      </w:r>
      <w:r w:rsidRPr="00B349CE">
        <w:rPr>
          <w:rFonts w:ascii="Aptos" w:hAnsi="Aptos" w:cs="Times New Roman"/>
          <w:kern w:val="0"/>
        </w:rPr>
        <w:t>, p. 11.</w:t>
      </w:r>
      <w:r>
        <w:fldChar w:fldCharType="end"/>
      </w:r>
    </w:p>
  </w:footnote>
  <w:footnote w:id="16">
    <w:p w14:paraId="4ED6FECC" w14:textId="779D09EF" w:rsidR="00B170C5" w:rsidRDefault="00B170C5">
      <w:pPr>
        <w:pStyle w:val="FootnoteText"/>
      </w:pPr>
      <w:r>
        <w:rPr>
          <w:rStyle w:val="FootnoteReference"/>
        </w:rPr>
        <w:footnoteRef/>
      </w:r>
      <w:r>
        <w:t xml:space="preserve"> </w:t>
      </w:r>
      <w:r>
        <w:fldChar w:fldCharType="begin"/>
      </w:r>
      <w:r>
        <w:instrText xml:space="preserve"> ADDIN ZOTERO_ITEM CSL_CITATION {"citationID":"2EYLOdjE","properties":{"formattedCitation":"R. Alan Williams, \\uc0\\u8216{}Boom and Bust in Bronze Age Britain: The Great Orme Copper Mine and European Trade\\uc0\\u8217{}, in {\\i{}Boom and Bust in Bronze Age Britain}, Archaeopress Archaeology (Archaeopress Publishing, 2023), p. 4.","plainCitation":"R. Alan Williams, ‘Boom and Bust in Bronze Age Britain: The Great Orme Copper Mine and European Trade’, in Boom and Bust in Bronze Age Britain, Archaeopress Archaeology (Archaeopress Publishing, 2023), p. 4.","noteIndex":13},"citationItems":[{"id":450,"uris":["http://zotero.org/users/16334958/items/PWNS3GKI"],"itemData":{"id":450,"type":"chapter","abstract":"About the Author ; Acknowledgements ; Chapter 1: Introduction ; Chapter 2: The Bronze Age research context ; Chapter 3: Bronze Age mining and smelting ; Chapter 4: Great Orme mine site and Pentrwyn smelting site ; Chapter 5: Review of metal characterisation and provenance techniques ; Chapter 6: Methodology, materials and analytical methods ; Chapter 7: Results: Defining the Great Orme mine-based metal group ; Chapter 8: Results: Great Orme ore mineralogy and Pentrwyn slag studies ; Chapter 9: Discussion and interpretation ; Chapter 10: Conclusions and future work ; Bibliography ; Appendix I: Compilation of published chemical analyses of ores from the British and Irish Bronze Age copper mines ; Appendix II: Compilation of Cornish copper ore analyses ; Appendix III: Histograms and correlation coefficients on the chemical analyses of Great Orme copper ores ; Appendix IV: Chemical analyses of Group I palstaves (extracted from OXSAM database) ; Appendix V: Compilation of published lead isotope analyses from the British and Irish Bronze Age copper mines not included in Table 7.11 ; Index","call-number":"338.274 3","collection-title":"Archaeopress archaeology","container-title":"Boom and bust in Bronze Age Britain","ISBN":"978-1-80327-379-2","language":"en","publisher":"Archaeopress Publishing","publisher-place":"Oxford","source":"BnF ISBN","title":"Boom and bust in Bronze Age Britain: the Great Orme copper mine and European trade","author":[{"family":"Williams","given":"R. Alan"}],"issued":{"date-parts":[["2023"]]}},"locator":"4","label":"page"}],"schema":"https://github.com/citation-style-language/schema/raw/master/csl-citation.json"} </w:instrText>
      </w:r>
      <w:r>
        <w:fldChar w:fldCharType="separate"/>
      </w:r>
      <w:r w:rsidRPr="00B170C5">
        <w:rPr>
          <w:rFonts w:ascii="Aptos" w:hAnsi="Aptos" w:cs="Times New Roman"/>
          <w:kern w:val="0"/>
        </w:rPr>
        <w:t xml:space="preserve">R. Alan Williams, ‘Boom and Bust in Bronze Age Britain: The Great Orme Copper Mine and European Trade’, in </w:t>
      </w:r>
      <w:r w:rsidRPr="00B170C5">
        <w:rPr>
          <w:rFonts w:ascii="Aptos" w:hAnsi="Aptos" w:cs="Times New Roman"/>
          <w:i/>
          <w:iCs/>
          <w:kern w:val="0"/>
        </w:rPr>
        <w:t>Boom and Bust in Bronze Age Britain</w:t>
      </w:r>
      <w:r w:rsidRPr="00B170C5">
        <w:rPr>
          <w:rFonts w:ascii="Aptos" w:hAnsi="Aptos" w:cs="Times New Roman"/>
          <w:kern w:val="0"/>
        </w:rPr>
        <w:t xml:space="preserve">, </w:t>
      </w:r>
      <w:proofErr w:type="spellStart"/>
      <w:r w:rsidRPr="00B170C5">
        <w:rPr>
          <w:rFonts w:ascii="Aptos" w:hAnsi="Aptos" w:cs="Times New Roman"/>
          <w:kern w:val="0"/>
        </w:rPr>
        <w:t>Archaeopress</w:t>
      </w:r>
      <w:proofErr w:type="spellEnd"/>
      <w:r w:rsidRPr="00B170C5">
        <w:rPr>
          <w:rFonts w:ascii="Aptos" w:hAnsi="Aptos" w:cs="Times New Roman"/>
          <w:kern w:val="0"/>
        </w:rPr>
        <w:t xml:space="preserve"> Archaeology (</w:t>
      </w:r>
      <w:proofErr w:type="spellStart"/>
      <w:r w:rsidRPr="00B170C5">
        <w:rPr>
          <w:rFonts w:ascii="Aptos" w:hAnsi="Aptos" w:cs="Times New Roman"/>
          <w:kern w:val="0"/>
        </w:rPr>
        <w:t>Archaeopress</w:t>
      </w:r>
      <w:proofErr w:type="spellEnd"/>
      <w:r w:rsidRPr="00B170C5">
        <w:rPr>
          <w:rFonts w:ascii="Aptos" w:hAnsi="Aptos" w:cs="Times New Roman"/>
          <w:kern w:val="0"/>
        </w:rPr>
        <w:t xml:space="preserve"> Publishing, 2023), p. 4.</w:t>
      </w:r>
      <w:r>
        <w:fldChar w:fldCharType="end"/>
      </w:r>
    </w:p>
  </w:footnote>
  <w:footnote w:id="17">
    <w:p w14:paraId="1F7500E3" w14:textId="3B110F21" w:rsidR="00AE3C09" w:rsidRDefault="00AE3C09">
      <w:pPr>
        <w:pStyle w:val="FootnoteText"/>
      </w:pPr>
      <w:r>
        <w:rPr>
          <w:rStyle w:val="FootnoteReference"/>
        </w:rPr>
        <w:footnoteRef/>
      </w:r>
      <w:r>
        <w:t xml:space="preserve"> </w:t>
      </w:r>
      <w:r>
        <w:fldChar w:fldCharType="begin"/>
      </w:r>
      <w:r w:rsidR="00385255">
        <w:instrText xml:space="preserve"> ADDIN ZOTERO_ITEM CSL_CITATION {"citationID":"mGJcr1f7","properties":{"formattedCitation":"Julia Farley, \\uc0\\u8216{}The Snettisham Hoards\\uc0\\u8217{}, Academic news and history, University of Cambridge, University of Cambridge, 2024 &lt;https://api.repository.cam.ac.uk/server/api/core/bitstreams/6f34d68d-6741-48e2-8184-55bc3d43c66c/content&gt; [accessed 7 April 2026].","plainCitation":"Julia Farley, ‘The Snettisham Hoards’, Academic news and history, University of Cambridge, University of Cambridge, 2024 &lt;https://api.repository.cam.ac.uk/server/api/core/bitstreams/6f34d68d-6741-48e2-8184-55bc3d43c66c/content&gt; [accessed 7 April 2026].","noteIndex":17},"citationItems":[{"id":422,"uris":["http://zotero.org/users/16334958/items/JJ9JRECU"],"itemData":{"id":422,"type":"webpage","container-title":"University of Cambridge","genre":"Academic news and history","publisher":"University of Cambridge","publisher-place":"Online","title":"The Snettisham hoards","URL":"https://api.repository.cam.ac.uk/server/api/core/bitstreams/6f34d68d-6741-48e2-8184-55bc3d43c66c/content","author":[{"family":"Farley","given":"Julia"}],"accessed":{"date-parts":[["2026",4,7]]},"issued":{"date-parts":[["2024"]]}}}],"schema":"https://github.com/citation-style-language/schema/raw/master/csl-citation.json"} </w:instrText>
      </w:r>
      <w:r>
        <w:fldChar w:fldCharType="separate"/>
      </w:r>
      <w:r w:rsidRPr="00AE3C09">
        <w:rPr>
          <w:rFonts w:ascii="Aptos" w:hAnsi="Aptos" w:cs="Times New Roman"/>
          <w:kern w:val="0"/>
        </w:rPr>
        <w:t>Julia Farley, ‘The Snettisham Hoards’, Academic news and history, University of Cambridge, University of Cambridge, 2024 &lt;https://api.repository.cam.ac.uk/server/api/core/bitstreams/6f34d68d-6741-48e2-8184-55bc3d43c66c/content&gt; [accessed 7 April 2026].</w:t>
      </w:r>
      <w:r>
        <w:fldChar w:fldCharType="end"/>
      </w:r>
    </w:p>
  </w:footnote>
  <w:footnote w:id="18">
    <w:p w14:paraId="0732AC67" w14:textId="5F6C07BF" w:rsidR="00B170C5" w:rsidRDefault="00B170C5">
      <w:pPr>
        <w:pStyle w:val="FootnoteText"/>
      </w:pPr>
      <w:r>
        <w:rPr>
          <w:rStyle w:val="FootnoteReference"/>
        </w:rPr>
        <w:footnoteRef/>
      </w:r>
      <w:r>
        <w:t xml:space="preserve"> </w:t>
      </w:r>
      <w:r>
        <w:fldChar w:fldCharType="begin"/>
      </w:r>
      <w:r w:rsidR="00385255">
        <w:instrText xml:space="preserve"> ADDIN ZOTERO_ITEM CSL_CITATION {"citationID":"eyw9rEBv","properties":{"formattedCitation":"Farley, \\uc0\\u8216{}The Snettisham Hoards\\uc0\\u8217{}.","plainCitation":"Farley, ‘The Snettisham Hoards’.","noteIndex":18},"citationItems":[{"id":422,"uris":["http://zotero.org/users/16334958/items/JJ9JRECU"],"itemData":{"id":422,"type":"webpage","container-title":"University of Cambridge","genre":"Academic news and history","publisher":"University of Cambridge","publisher-place":"Online","title":"The Snettisham hoards","URL":"https://api.repository.cam.ac.uk/server/api/core/bitstreams/6f34d68d-6741-48e2-8184-55bc3d43c66c/content","author":[{"family":"Farley","given":"Julia"}],"accessed":{"date-parts":[["2026",4,7]]},"issued":{"date-parts":[["2024"]]}}}],"schema":"https://github.com/citation-style-language/schema/raw/master/csl-citation.json"} </w:instrText>
      </w:r>
      <w:r>
        <w:fldChar w:fldCharType="separate"/>
      </w:r>
      <w:r w:rsidRPr="00B170C5">
        <w:rPr>
          <w:rFonts w:ascii="Aptos" w:hAnsi="Aptos" w:cs="Times New Roman"/>
          <w:kern w:val="0"/>
        </w:rPr>
        <w:t>Farley, ‘The Snettisham Hoards’.</w:t>
      </w:r>
      <w:r>
        <w:fldChar w:fldCharType="end"/>
      </w:r>
    </w:p>
  </w:footnote>
  <w:footnote w:id="19">
    <w:p w14:paraId="0E98F725" w14:textId="3127E9FF" w:rsidR="00AE3C09" w:rsidRDefault="00AE3C09">
      <w:pPr>
        <w:pStyle w:val="FootnoteText"/>
      </w:pPr>
      <w:r>
        <w:rPr>
          <w:rStyle w:val="FootnoteReference"/>
        </w:rPr>
        <w:footnoteRef/>
      </w:r>
      <w:r>
        <w:t xml:space="preserve"> </w:t>
      </w:r>
      <w:r>
        <w:fldChar w:fldCharType="begin"/>
      </w:r>
      <w:r w:rsidR="00385255">
        <w:instrText xml:space="preserve"> ADDIN ZOTERO_ITEM CSL_CITATION {"citationID":"ccdVcr3W","properties":{"formattedCitation":"Farley, \\uc0\\u8216{}The Snettisham Hoards\\uc0\\u8217{}.","plainCitation":"Farley, ‘The Snettisham Hoards’.","noteIndex":19},"citationItems":[{"id":422,"uris":["http://zotero.org/users/16334958/items/JJ9JRECU"],"itemData":{"id":422,"type":"webpage","container-title":"University of Cambridge","genre":"Academic news and history","publisher":"University of Cambridge","publisher-place":"Online","title":"The Snettisham hoards","URL":"https://api.repository.cam.ac.uk/server/api/core/bitstreams/6f34d68d-6741-48e2-8184-55bc3d43c66c/content","author":[{"family":"Farley","given":"Julia"}],"accessed":{"date-parts":[["2026",4,7]]},"issued":{"date-parts":[["2024"]]}}}],"schema":"https://github.com/citation-style-language/schema/raw/master/csl-citation.json"} </w:instrText>
      </w:r>
      <w:r>
        <w:fldChar w:fldCharType="separate"/>
      </w:r>
      <w:r w:rsidRPr="00AE3C09">
        <w:rPr>
          <w:rFonts w:ascii="Aptos" w:hAnsi="Aptos" w:cs="Times New Roman"/>
          <w:kern w:val="0"/>
        </w:rPr>
        <w:t>Farley, ‘The Snettisham Hoards’.</w:t>
      </w:r>
      <w:r>
        <w:fldChar w:fldCharType="end"/>
      </w:r>
    </w:p>
  </w:footnote>
  <w:footnote w:id="20">
    <w:p w14:paraId="49E2CBA1" w14:textId="70DCE8CA" w:rsidR="00B952BB" w:rsidRDefault="00B952BB">
      <w:pPr>
        <w:pStyle w:val="FootnoteText"/>
      </w:pPr>
      <w:r>
        <w:rPr>
          <w:rStyle w:val="FootnoteReference"/>
        </w:rPr>
        <w:footnoteRef/>
      </w:r>
      <w:r>
        <w:t xml:space="preserve"> </w:t>
      </w:r>
      <w:r>
        <w:fldChar w:fldCharType="begin"/>
      </w:r>
      <w:r w:rsidR="00385255">
        <w:instrText xml:space="preserve"> ADDIN ZOTERO_ITEM CSL_CITATION {"citationID":"ygO3RDrg","properties":{"formattedCitation":"Duncan Garrow and Chris Gosden, {\\i{}Technologies of Enchantment?: Exploring Celtic Art: 400 BC to AD 100} (Oxford University Press, 2012), p. 1.","plainCitation":"Duncan Garrow and Chris Gosden, Technologies of Enchantment?: Exploring Celtic Art: 400 BC to AD 100 (Oxford University Press, 2012), p. 1.","noteIndex":20},"citationItems":[{"id":441,"uris":["http://zotero.org/users/16334958/items/8CEEVAS9"],"itemData":{"id":441,"type":"book","abstract":"While Celtic art includes some of the most famous archaeological artefacts in the British Isles, such as the Battersea shield or the gold torcs from Snettisham, it has often been considered from an art historical point of view. Technologies of Enchantment? Exploring Celtic Art attempts to connect Celtic art to its archaeological context, looking at how it was made, used, and deposited. Based on the first comprehensive database of Celtic art, it brings together current theories concerning the links between people and artefacts found in many areas of the social sciences. The authors argue that Celtic art was deliberately complex and ambiguous so that it could be used to negotiate social position and relations in an inherently unstable Iron Age world, especially in developing new forms of identity with the coming of the Romans. Placing the decorated metalwork of the later Iron Age in a long-term perspective of metal objects from the Bronze Age onwards, the volume pays special attention to the nature of deposition and focuses on settlements, hoards, and burials -- including Celtic art objects' links with other artefact classes, such as iron objects and coins. A unique feature of the book is that it pursues trends beyond the Roman invasion, highlighting stylistic continuities and differences in the nature and use of fine metalwork.","ISBN":"978-0-19-162627-2","language":"en","note":"Google-Books-ID: iQJREAAAQBAJ","number-of-pages":"395","publisher":"Oxford University Press","publisher-place":"Oxford","source":"Google Books","title":"Technologies of Enchantment?: Exploring Celtic Art: 400 BC to AD 100","title-short":"Technologies of Enchantment?","author":[{"family":"Garrow","given":"Duncan"},{"family":"Gosden","given":"Chris"}],"issued":{"date-parts":[["2012",8,2]]}},"locator":"1","label":"page"}],"schema":"https://github.com/citation-style-language/schema/raw/master/csl-citation.json"} </w:instrText>
      </w:r>
      <w:r>
        <w:fldChar w:fldCharType="separate"/>
      </w:r>
      <w:r w:rsidRPr="00B952BB">
        <w:rPr>
          <w:rFonts w:ascii="Aptos" w:hAnsi="Aptos" w:cs="Times New Roman"/>
          <w:kern w:val="0"/>
        </w:rPr>
        <w:t xml:space="preserve">Duncan Garrow and Chris Gosden, </w:t>
      </w:r>
      <w:r w:rsidRPr="00B952BB">
        <w:rPr>
          <w:rFonts w:ascii="Aptos" w:hAnsi="Aptos" w:cs="Times New Roman"/>
          <w:i/>
          <w:iCs/>
          <w:kern w:val="0"/>
        </w:rPr>
        <w:t xml:space="preserve">Technologies of </w:t>
      </w:r>
      <w:proofErr w:type="gramStart"/>
      <w:r w:rsidRPr="00B952BB">
        <w:rPr>
          <w:rFonts w:ascii="Aptos" w:hAnsi="Aptos" w:cs="Times New Roman"/>
          <w:i/>
          <w:iCs/>
          <w:kern w:val="0"/>
        </w:rPr>
        <w:t>Enchantment?:</w:t>
      </w:r>
      <w:proofErr w:type="gramEnd"/>
      <w:r w:rsidRPr="00B952BB">
        <w:rPr>
          <w:rFonts w:ascii="Aptos" w:hAnsi="Aptos" w:cs="Times New Roman"/>
          <w:i/>
          <w:iCs/>
          <w:kern w:val="0"/>
        </w:rPr>
        <w:t xml:space="preserve"> Exploring Celtic Art: 400 BC to AD 100</w:t>
      </w:r>
      <w:r w:rsidRPr="00B952BB">
        <w:rPr>
          <w:rFonts w:ascii="Aptos" w:hAnsi="Aptos" w:cs="Times New Roman"/>
          <w:kern w:val="0"/>
        </w:rPr>
        <w:t xml:space="preserve"> (Oxford University Press, 2012), p. 1.</w:t>
      </w:r>
      <w:r>
        <w:fldChar w:fldCharType="end"/>
      </w:r>
    </w:p>
  </w:footnote>
  <w:footnote w:id="21">
    <w:p w14:paraId="12A7ABD9" w14:textId="1D95E2A7" w:rsidR="00B952BB" w:rsidRDefault="00B952BB">
      <w:pPr>
        <w:pStyle w:val="FootnoteText"/>
      </w:pPr>
      <w:r>
        <w:rPr>
          <w:rStyle w:val="FootnoteReference"/>
        </w:rPr>
        <w:footnoteRef/>
      </w:r>
      <w:r>
        <w:t xml:space="preserve"> </w:t>
      </w:r>
      <w:r>
        <w:fldChar w:fldCharType="begin"/>
      </w:r>
      <w:r w:rsidR="00385255">
        <w:instrText xml:space="preserve"> ADDIN ZOTERO_ITEM CSL_CITATION {"citationID":"0C0Hcq4h","properties":{"formattedCitation":"Garrow and Gosden, {\\i{}Technologies of Enchantment?}, p. 1.","plainCitation":"Garrow and Gosden, Technologies of Enchantment?, p. 1.","noteIndex":21},"citationItems":[{"id":441,"uris":["http://zotero.org/users/16334958/items/8CEEVAS9"],"itemData":{"id":441,"type":"book","abstract":"While Celtic art includes some of the most famous archaeological artefacts in the British Isles, such as the Battersea shield or the gold torcs from Snettisham, it has often been considered from an art historical point of view. Technologies of Enchantment? Exploring Celtic Art attempts to connect Celtic art to its archaeological context, looking at how it was made, used, and deposited. Based on the first comprehensive database of Celtic art, it brings together current theories concerning the links between people and artefacts found in many areas of the social sciences. The authors argue that Celtic art was deliberately complex and ambiguous so that it could be used to negotiate social position and relations in an inherently unstable Iron Age world, especially in developing new forms of identity with the coming of the Romans. Placing the decorated metalwork of the later Iron Age in a long-term perspective of metal objects from the Bronze Age onwards, the volume pays special attention to the nature of deposition and focuses on settlements, hoards, and burials -- including Celtic art objects' links with other artefact classes, such as iron objects and coins. A unique feature of the book is that it pursues trends beyond the Roman invasion, highlighting stylistic continuities and differences in the nature and use of fine metalwork.","ISBN":"978-0-19-162627-2","language":"en","note":"Google-Books-ID: iQJREAAAQBAJ","number-of-pages":"395","publisher":"Oxford University Press","publisher-place":"Oxford","source":"Google Books","title":"Technologies of Enchantment?: Exploring Celtic Art: 400 BC to AD 100","title-short":"Technologies of Enchantment?","author":[{"family":"Garrow","given":"Duncan"},{"family":"Gosden","given":"Chris"}],"issued":{"date-parts":[["2012",8,2]]}},"locator":"1","label":"page"}],"schema":"https://github.com/citation-style-language/schema/raw/master/csl-citation.json"} </w:instrText>
      </w:r>
      <w:r>
        <w:fldChar w:fldCharType="separate"/>
      </w:r>
      <w:r w:rsidRPr="00B952BB">
        <w:rPr>
          <w:rFonts w:ascii="Aptos" w:hAnsi="Aptos" w:cs="Times New Roman"/>
          <w:kern w:val="0"/>
        </w:rPr>
        <w:t xml:space="preserve">Garrow and Gosden, </w:t>
      </w:r>
      <w:r w:rsidRPr="00B952BB">
        <w:rPr>
          <w:rFonts w:ascii="Aptos" w:hAnsi="Aptos" w:cs="Times New Roman"/>
          <w:i/>
          <w:iCs/>
          <w:kern w:val="0"/>
        </w:rPr>
        <w:t xml:space="preserve">Technologies of </w:t>
      </w:r>
      <w:proofErr w:type="gramStart"/>
      <w:r w:rsidRPr="00B952BB">
        <w:rPr>
          <w:rFonts w:ascii="Aptos" w:hAnsi="Aptos" w:cs="Times New Roman"/>
          <w:i/>
          <w:iCs/>
          <w:kern w:val="0"/>
        </w:rPr>
        <w:t>Enchantment?</w:t>
      </w:r>
      <w:r w:rsidRPr="00B952BB">
        <w:rPr>
          <w:rFonts w:ascii="Aptos" w:hAnsi="Aptos" w:cs="Times New Roman"/>
          <w:kern w:val="0"/>
        </w:rPr>
        <w:t>,</w:t>
      </w:r>
      <w:proofErr w:type="gramEnd"/>
      <w:r w:rsidRPr="00B952BB">
        <w:rPr>
          <w:rFonts w:ascii="Aptos" w:hAnsi="Aptos" w:cs="Times New Roman"/>
          <w:kern w:val="0"/>
        </w:rPr>
        <w:t xml:space="preserve"> p. 1.</w:t>
      </w:r>
      <w:r>
        <w:fldChar w:fldCharType="end"/>
      </w:r>
    </w:p>
  </w:footnote>
  <w:footnote w:id="22">
    <w:p w14:paraId="1EB87C54" w14:textId="3AB01071" w:rsidR="0008447C" w:rsidRDefault="0008447C">
      <w:pPr>
        <w:pStyle w:val="FootnoteText"/>
      </w:pPr>
      <w:r>
        <w:rPr>
          <w:rStyle w:val="FootnoteReference"/>
        </w:rPr>
        <w:footnoteRef/>
      </w:r>
      <w:r>
        <w:t xml:space="preserve"> </w:t>
      </w:r>
      <w:r>
        <w:fldChar w:fldCharType="begin"/>
      </w:r>
      <w:r>
        <w:instrText xml:space="preserve"> ADDIN ZOTERO_ITEM CSL_CITATION {"citationID":"YCU9XSYh","properties":{"formattedCitation":"Fluer Shearman and Marilyn Hockey, \\uc0\\u8216{}Conservation of the Snettisham Torcs\\uc0\\u8217{}, in {\\i{}The Snettisham Hoards Vol.II}, ed. by Julia Farley and Judy Joy (British Museum Publishing, n.d.), {\\scaps ii}, p. 414.","plainCitation":"Fluer Shearman and Marilyn Hockey, ‘Conservation of the Snettisham Torcs’, in The Snettisham Hoards Vol.II, ed. by Julia Farley and Judy Joy (British Museum Publishing, n.d.), ii, p. 414.","noteIndex":12},"citationItems":[{"id":445,"uris":["http://zotero.org/users/16334958/items/LX2S5QSA"],"itemData":{"id":445,"type":"chapter","container-title":"The Snettisham Hoards Vol.II","publisher":"British Museum Publishing","publisher-place":"London","title":"Conservation of the Snettisham Torcs","volume":"2","editor":[{"family":"Farley","given":"Julia"},{"family":"Joy","given":"Judy"}],"author":[{"family":"Shearman","given":"Fluer"},{"family":"Hockey","given":"Marilyn"}]},"locator":"414","label":"page"}],"schema":"https://github.com/citation-style-language/schema/raw/master/csl-citation.json"} </w:instrText>
      </w:r>
      <w:r>
        <w:fldChar w:fldCharType="separate"/>
      </w:r>
      <w:proofErr w:type="spellStart"/>
      <w:r w:rsidRPr="0008447C">
        <w:rPr>
          <w:rFonts w:ascii="Aptos" w:hAnsi="Aptos" w:cs="Times New Roman"/>
          <w:kern w:val="0"/>
        </w:rPr>
        <w:t>Fluer</w:t>
      </w:r>
      <w:proofErr w:type="spellEnd"/>
      <w:r w:rsidRPr="0008447C">
        <w:rPr>
          <w:rFonts w:ascii="Aptos" w:hAnsi="Aptos" w:cs="Times New Roman"/>
          <w:kern w:val="0"/>
        </w:rPr>
        <w:t xml:space="preserve"> Shearman and Marilyn Hockey, ‘Conservation of the Snettisham Torcs’, in </w:t>
      </w:r>
      <w:r w:rsidRPr="0008447C">
        <w:rPr>
          <w:rFonts w:ascii="Aptos" w:hAnsi="Aptos" w:cs="Times New Roman"/>
          <w:i/>
          <w:iCs/>
          <w:kern w:val="0"/>
        </w:rPr>
        <w:t xml:space="preserve">The Snettisham Hoards </w:t>
      </w:r>
      <w:proofErr w:type="spellStart"/>
      <w:r w:rsidRPr="0008447C">
        <w:rPr>
          <w:rFonts w:ascii="Aptos" w:hAnsi="Aptos" w:cs="Times New Roman"/>
          <w:i/>
          <w:iCs/>
          <w:kern w:val="0"/>
        </w:rPr>
        <w:t>Vol.II</w:t>
      </w:r>
      <w:proofErr w:type="spellEnd"/>
      <w:r w:rsidRPr="0008447C">
        <w:rPr>
          <w:rFonts w:ascii="Aptos" w:hAnsi="Aptos" w:cs="Times New Roman"/>
          <w:kern w:val="0"/>
        </w:rPr>
        <w:t xml:space="preserve">, ed. by Julia Farley and Judy Joy (British Museum Publishing, n.d.), </w:t>
      </w:r>
      <w:r w:rsidRPr="0008447C">
        <w:rPr>
          <w:rFonts w:ascii="Aptos" w:hAnsi="Aptos" w:cs="Times New Roman"/>
          <w:smallCaps/>
          <w:kern w:val="0"/>
        </w:rPr>
        <w:t>ii</w:t>
      </w:r>
      <w:r w:rsidRPr="0008447C">
        <w:rPr>
          <w:rFonts w:ascii="Aptos" w:hAnsi="Aptos" w:cs="Times New Roman"/>
          <w:kern w:val="0"/>
        </w:rPr>
        <w:t>, p. 414.</w:t>
      </w:r>
      <w:r>
        <w:fldChar w:fldCharType="end"/>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DD1294"/>
    <w:multiLevelType w:val="hybridMultilevel"/>
    <w:tmpl w:val="DECCE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3FD28A2"/>
    <w:multiLevelType w:val="hybridMultilevel"/>
    <w:tmpl w:val="0D92EAB8"/>
    <w:lvl w:ilvl="0" w:tplc="6B5073E8">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605579398">
    <w:abstractNumId w:val="0"/>
  </w:num>
  <w:num w:numId="2" w16cid:durableId="8967397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14F1"/>
    <w:rsid w:val="00024463"/>
    <w:rsid w:val="0003014D"/>
    <w:rsid w:val="00084262"/>
    <w:rsid w:val="0008447C"/>
    <w:rsid w:val="00092B6D"/>
    <w:rsid w:val="000A6C3E"/>
    <w:rsid w:val="000C0664"/>
    <w:rsid w:val="000D13BA"/>
    <w:rsid w:val="000F6A7D"/>
    <w:rsid w:val="00162FB9"/>
    <w:rsid w:val="0018135D"/>
    <w:rsid w:val="00187F88"/>
    <w:rsid w:val="002A1599"/>
    <w:rsid w:val="002D0FDE"/>
    <w:rsid w:val="002E1522"/>
    <w:rsid w:val="002F6C0E"/>
    <w:rsid w:val="002F70EB"/>
    <w:rsid w:val="003714F1"/>
    <w:rsid w:val="003803D6"/>
    <w:rsid w:val="00385255"/>
    <w:rsid w:val="003C647C"/>
    <w:rsid w:val="00462D9E"/>
    <w:rsid w:val="00471499"/>
    <w:rsid w:val="00481F84"/>
    <w:rsid w:val="005010A3"/>
    <w:rsid w:val="00506025"/>
    <w:rsid w:val="00536D93"/>
    <w:rsid w:val="00584A19"/>
    <w:rsid w:val="005B0658"/>
    <w:rsid w:val="005D7036"/>
    <w:rsid w:val="005F691B"/>
    <w:rsid w:val="0062237C"/>
    <w:rsid w:val="006365E9"/>
    <w:rsid w:val="00636BAA"/>
    <w:rsid w:val="006E49F3"/>
    <w:rsid w:val="007350D4"/>
    <w:rsid w:val="0077682F"/>
    <w:rsid w:val="00796113"/>
    <w:rsid w:val="00814507"/>
    <w:rsid w:val="00852EF1"/>
    <w:rsid w:val="0087562B"/>
    <w:rsid w:val="008C7349"/>
    <w:rsid w:val="008D1448"/>
    <w:rsid w:val="00903898"/>
    <w:rsid w:val="00906AFB"/>
    <w:rsid w:val="00947296"/>
    <w:rsid w:val="009E3432"/>
    <w:rsid w:val="00A45B4E"/>
    <w:rsid w:val="00AE3C09"/>
    <w:rsid w:val="00B170C5"/>
    <w:rsid w:val="00B349CE"/>
    <w:rsid w:val="00B53BEA"/>
    <w:rsid w:val="00B76E7F"/>
    <w:rsid w:val="00B952BB"/>
    <w:rsid w:val="00BE6F6A"/>
    <w:rsid w:val="00C03768"/>
    <w:rsid w:val="00C444D1"/>
    <w:rsid w:val="00C54136"/>
    <w:rsid w:val="00C75A4E"/>
    <w:rsid w:val="00CA1137"/>
    <w:rsid w:val="00CD607B"/>
    <w:rsid w:val="00D433DF"/>
    <w:rsid w:val="00D8659E"/>
    <w:rsid w:val="00DA0C47"/>
    <w:rsid w:val="00DA7B09"/>
    <w:rsid w:val="00DD33D4"/>
    <w:rsid w:val="00E03415"/>
    <w:rsid w:val="00E11E87"/>
    <w:rsid w:val="00E15813"/>
    <w:rsid w:val="00EB60A9"/>
    <w:rsid w:val="00EC3D93"/>
    <w:rsid w:val="00F07ABB"/>
    <w:rsid w:val="00F7623D"/>
    <w:rsid w:val="00F85670"/>
    <w:rsid w:val="00F9363B"/>
    <w:rsid w:val="00FA38CC"/>
    <w:rsid w:val="00FB4505"/>
    <w:rsid w:val="00FD5E06"/>
    <w:rsid w:val="00FE7F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20350"/>
  <w15:chartTrackingRefBased/>
  <w15:docId w15:val="{1F6B2BB0-ACE8-4725-8F91-955E3A48E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14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714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714F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714F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714F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714F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14F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14F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14F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14F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714F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714F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714F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714F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714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14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14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14F1"/>
    <w:rPr>
      <w:rFonts w:eastAsiaTheme="majorEastAsia" w:cstheme="majorBidi"/>
      <w:color w:val="272727" w:themeColor="text1" w:themeTint="D8"/>
    </w:rPr>
  </w:style>
  <w:style w:type="paragraph" w:styleId="Title">
    <w:name w:val="Title"/>
    <w:basedOn w:val="Normal"/>
    <w:next w:val="Normal"/>
    <w:link w:val="TitleChar"/>
    <w:uiPriority w:val="10"/>
    <w:qFormat/>
    <w:rsid w:val="003714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14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14F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14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14F1"/>
    <w:pPr>
      <w:spacing w:before="160"/>
      <w:jc w:val="center"/>
    </w:pPr>
    <w:rPr>
      <w:i/>
      <w:iCs/>
      <w:color w:val="404040" w:themeColor="text1" w:themeTint="BF"/>
    </w:rPr>
  </w:style>
  <w:style w:type="character" w:customStyle="1" w:styleId="QuoteChar">
    <w:name w:val="Quote Char"/>
    <w:basedOn w:val="DefaultParagraphFont"/>
    <w:link w:val="Quote"/>
    <w:uiPriority w:val="29"/>
    <w:rsid w:val="003714F1"/>
    <w:rPr>
      <w:i/>
      <w:iCs/>
      <w:color w:val="404040" w:themeColor="text1" w:themeTint="BF"/>
    </w:rPr>
  </w:style>
  <w:style w:type="paragraph" w:styleId="ListParagraph">
    <w:name w:val="List Paragraph"/>
    <w:basedOn w:val="Normal"/>
    <w:uiPriority w:val="34"/>
    <w:qFormat/>
    <w:rsid w:val="003714F1"/>
    <w:pPr>
      <w:ind w:left="720"/>
      <w:contextualSpacing/>
    </w:pPr>
  </w:style>
  <w:style w:type="character" w:styleId="IntenseEmphasis">
    <w:name w:val="Intense Emphasis"/>
    <w:basedOn w:val="DefaultParagraphFont"/>
    <w:uiPriority w:val="21"/>
    <w:qFormat/>
    <w:rsid w:val="003714F1"/>
    <w:rPr>
      <w:i/>
      <w:iCs/>
      <w:color w:val="0F4761" w:themeColor="accent1" w:themeShade="BF"/>
    </w:rPr>
  </w:style>
  <w:style w:type="paragraph" w:styleId="IntenseQuote">
    <w:name w:val="Intense Quote"/>
    <w:basedOn w:val="Normal"/>
    <w:next w:val="Normal"/>
    <w:link w:val="IntenseQuoteChar"/>
    <w:uiPriority w:val="30"/>
    <w:qFormat/>
    <w:rsid w:val="003714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714F1"/>
    <w:rPr>
      <w:i/>
      <w:iCs/>
      <w:color w:val="0F4761" w:themeColor="accent1" w:themeShade="BF"/>
    </w:rPr>
  </w:style>
  <w:style w:type="character" w:styleId="IntenseReference">
    <w:name w:val="Intense Reference"/>
    <w:basedOn w:val="DefaultParagraphFont"/>
    <w:uiPriority w:val="32"/>
    <w:qFormat/>
    <w:rsid w:val="003714F1"/>
    <w:rPr>
      <w:b/>
      <w:bCs/>
      <w:smallCaps/>
      <w:color w:val="0F4761" w:themeColor="accent1" w:themeShade="BF"/>
      <w:spacing w:val="5"/>
    </w:rPr>
  </w:style>
  <w:style w:type="paragraph" w:styleId="FootnoteText">
    <w:name w:val="footnote text"/>
    <w:basedOn w:val="Normal"/>
    <w:link w:val="FootnoteTextChar"/>
    <w:uiPriority w:val="99"/>
    <w:semiHidden/>
    <w:unhideWhenUsed/>
    <w:rsid w:val="000C066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C0664"/>
    <w:rPr>
      <w:sz w:val="20"/>
      <w:szCs w:val="20"/>
    </w:rPr>
  </w:style>
  <w:style w:type="character" w:styleId="FootnoteReference">
    <w:name w:val="footnote reference"/>
    <w:basedOn w:val="DefaultParagraphFont"/>
    <w:uiPriority w:val="99"/>
    <w:semiHidden/>
    <w:unhideWhenUsed/>
    <w:rsid w:val="000C0664"/>
    <w:rPr>
      <w:vertAlign w:val="superscript"/>
    </w:rPr>
  </w:style>
  <w:style w:type="paragraph" w:styleId="Bibliography">
    <w:name w:val="Bibliography"/>
    <w:basedOn w:val="Normal"/>
    <w:next w:val="Normal"/>
    <w:uiPriority w:val="37"/>
    <w:unhideWhenUsed/>
    <w:rsid w:val="00FD5E06"/>
  </w:style>
  <w:style w:type="paragraph" w:styleId="Caption">
    <w:name w:val="caption"/>
    <w:basedOn w:val="Normal"/>
    <w:next w:val="Normal"/>
    <w:uiPriority w:val="35"/>
    <w:unhideWhenUsed/>
    <w:qFormat/>
    <w:rsid w:val="00BE6F6A"/>
    <w:pPr>
      <w:spacing w:after="200" w:line="240" w:lineRule="auto"/>
    </w:pPr>
    <w:rPr>
      <w:i/>
      <w:iCs/>
      <w:color w:val="0E2841" w:themeColor="text2"/>
      <w:sz w:val="18"/>
      <w:szCs w:val="18"/>
    </w:rPr>
  </w:style>
  <w:style w:type="character" w:styleId="Hyperlink">
    <w:name w:val="Hyperlink"/>
    <w:basedOn w:val="DefaultParagraphFont"/>
    <w:uiPriority w:val="99"/>
    <w:unhideWhenUsed/>
    <w:rsid w:val="00BE6F6A"/>
    <w:rPr>
      <w:color w:val="467886" w:themeColor="hyperlink"/>
      <w:u w:val="single"/>
    </w:rPr>
  </w:style>
  <w:style w:type="character" w:styleId="UnresolvedMention">
    <w:name w:val="Unresolved Mention"/>
    <w:basedOn w:val="DefaultParagraphFont"/>
    <w:uiPriority w:val="99"/>
    <w:semiHidden/>
    <w:unhideWhenUsed/>
    <w:rsid w:val="00BE6F6A"/>
    <w:rPr>
      <w:color w:val="605E5C"/>
      <w:shd w:val="clear" w:color="auto" w:fill="E1DFDD"/>
    </w:rPr>
  </w:style>
  <w:style w:type="paragraph" w:styleId="NormalWeb">
    <w:name w:val="Normal (Web)"/>
    <w:basedOn w:val="Normal"/>
    <w:uiPriority w:val="99"/>
    <w:semiHidden/>
    <w:unhideWhenUsed/>
    <w:rsid w:val="000A6C3E"/>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bigbookoftorcs.com/wp-content/uploads/2024/01/machling_pattern-and-purpose-a-new-story-about-the-creation-of-the-snettisham-great-torc.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ullionbypost.co.uk/index/gold/gold-mining-in-the-uk/" TargetMode="External"/><Relationship Id="rId5" Type="http://schemas.openxmlformats.org/officeDocument/2006/relationships/footnotes" Target="footnotes.xml"/><Relationship Id="rId10" Type="http://schemas.openxmlformats.org/officeDocument/2006/relationships/hyperlink" Target="https://www.britishmuseum.org/" TargetMode="Externa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19</TotalTime>
  <Pages>9</Pages>
  <Words>2292</Words>
  <Characters>13067</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Rykus Llewellyn-Jones</dc:creator>
  <cp:keywords/>
  <dc:description/>
  <cp:lastModifiedBy>Rykus Llewellyn-Jones</cp:lastModifiedBy>
  <cp:revision>2</cp:revision>
  <dcterms:created xsi:type="dcterms:W3CDTF">2026-04-16T18:18:00Z</dcterms:created>
  <dcterms:modified xsi:type="dcterms:W3CDTF">2026-04-16T18:18:00Z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zotero-version="7.0.32"&gt;&lt;session id="UhWHGoQN"/&gt;&lt;style id="http://www.zotero.org/styles/mhra-notes" hasBibliography="1" bibliographyStyleHasBeenSet="1"/&gt;&lt;prefs&gt;&lt;pref name="fieldType" value="Field"/&gt;&lt;pref name="automaticJournalAbbrev</vt:lpwstr>
  </property>
  <property fmtid="{D5CDD505-2E9C-101B-9397-08002B2CF9AE}" pid="3" name="ZOTERO_PREF_2">
    <vt:lpwstr>iations" value="true"/&gt;&lt;pref name="noteType" value="1"/&gt;&lt;/prefs&gt;&lt;/data&gt;</vt:lpwstr>
  </property>
</Properties>
</file>