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ECF0BB" w14:textId="16F8DFC8" w:rsidR="007D5BD5" w:rsidRDefault="007D5BD5">
      <w:r>
        <w:br w:type="page"/>
      </w:r>
    </w:p>
    <w:p w14:paraId="387212F0" w14:textId="77777777" w:rsidR="007D5BD5" w:rsidRDefault="007D5BD5">
      <w:pPr>
        <w:rPr>
          <w:rFonts w:ascii="pplxSerif" w:eastAsia="Times New Roman" w:hAnsi="pplxSerif" w:cs="Times New Roman"/>
          <w:b/>
          <w:bCs/>
          <w:color w:val="27251E"/>
          <w:kern w:val="0"/>
          <w:sz w:val="36"/>
          <w:szCs w:val="36"/>
          <w:lang w:eastAsia="en-GB"/>
          <w14:ligatures w14:val="none"/>
        </w:rPr>
      </w:pPr>
      <w:r>
        <w:rPr>
          <w:rFonts w:ascii="pplxSerif" w:eastAsia="Times New Roman" w:hAnsi="pplxSerif" w:cs="Times New Roman"/>
          <w:b/>
          <w:bCs/>
          <w:color w:val="27251E"/>
          <w:kern w:val="0"/>
          <w:sz w:val="36"/>
          <w:szCs w:val="36"/>
          <w:lang w:eastAsia="en-GB"/>
          <w14:ligatures w14:val="none"/>
        </w:rPr>
        <w:lastRenderedPageBreak/>
        <w:br w:type="page"/>
      </w:r>
    </w:p>
    <w:p w14:paraId="64B7C3EE" w14:textId="6EAE86B0" w:rsidR="007D5BD5" w:rsidRPr="006A1318" w:rsidRDefault="007D5BD5" w:rsidP="007D5BD5">
      <w:pPr>
        <w:shd w:val="clear" w:color="auto" w:fill="FDFBFA"/>
        <w:spacing w:before="100" w:beforeAutospacing="1" w:after="100" w:afterAutospacing="1" w:line="240" w:lineRule="auto"/>
        <w:outlineLvl w:val="1"/>
        <w:rPr>
          <w:rFonts w:ascii="pplxSerif" w:eastAsia="Times New Roman" w:hAnsi="pplxSerif" w:cs="Times New Roman"/>
          <w:b/>
          <w:bCs/>
          <w:color w:val="27251E"/>
          <w:kern w:val="0"/>
          <w:sz w:val="36"/>
          <w:szCs w:val="36"/>
          <w:lang w:eastAsia="en-GB"/>
          <w14:ligatures w14:val="none"/>
        </w:rPr>
      </w:pPr>
      <w:r w:rsidRPr="006A1318">
        <w:rPr>
          <w:rFonts w:ascii="pplxSerif" w:eastAsia="Times New Roman" w:hAnsi="pplxSerif" w:cs="Times New Roman"/>
          <w:b/>
          <w:bCs/>
          <w:color w:val="27251E"/>
          <w:kern w:val="0"/>
          <w:sz w:val="36"/>
          <w:szCs w:val="36"/>
          <w:lang w:eastAsia="en-GB"/>
          <w14:ligatures w14:val="none"/>
        </w:rPr>
        <w:lastRenderedPageBreak/>
        <w:t>Executive Summary</w:t>
      </w:r>
    </w:p>
    <w:p w14:paraId="4BD47356" w14:textId="77777777" w:rsidR="005F5A8A" w:rsidRPr="006A1318" w:rsidRDefault="00364C5E" w:rsidP="005F5A8A">
      <w:pPr>
        <w:shd w:val="clear" w:color="auto" w:fill="FDFBFA"/>
        <w:spacing w:before="100" w:beforeAutospacing="1" w:after="100" w:afterAutospacing="1" w:line="240" w:lineRule="auto"/>
        <w:outlineLvl w:val="1"/>
        <w:rPr>
          <w:rFonts w:ascii="pplxSerif" w:eastAsia="Times New Roman" w:hAnsi="pplxSerif" w:cs="Times New Roman"/>
          <w:b/>
          <w:bCs/>
          <w:color w:val="27251E"/>
          <w:kern w:val="0"/>
          <w:sz w:val="36"/>
          <w:szCs w:val="36"/>
          <w:lang w:eastAsia="en-GB"/>
          <w14:ligatures w14:val="none"/>
        </w:rPr>
      </w:pPr>
      <w:r>
        <w:t xml:space="preserve"> </w:t>
      </w:r>
      <w:r w:rsidR="005F5A8A" w:rsidRPr="005F5A8A">
        <w:t>The role of Chief Financial Officer (CFO) in this report is to examine the financial performance of Ford Motor Company in five years (2020-2024) as required by the Board. Ford is a publicly traded automaker (NYSE: F) based in Dearborn, Michigan that competes based on conventional, hybrid, and electric car segments in three strategic areas: Ford Blue (ICE/hybrid), Ford Model e (EV), and Ford Pro (commercial vehicles). Based on solely sourced data, the Annual Reports (10-K) of Ford, the report provides a detailed financial health analysis through ratio analysis, a working capital dynamic analysis, a strategic restructuring plan, and capital investment appraisal using Payback Period (PBP), Accounting Rate of Return (ARR), Net Present Value (NPV), Profitability Index (PI), and Internal Rate of Return (IRR). The analysis shows a company that is recovering well in terms of its operations but limited by the losses making EV segment, high warranty payments, and geopolitical headwinds such as tariff risk.</w:t>
      </w:r>
      <w:r w:rsidR="005F5A8A">
        <w:br/>
      </w:r>
      <w:r w:rsidR="005F5A8A">
        <w:br/>
      </w:r>
      <w:r w:rsidR="005F5A8A">
        <w:br/>
      </w:r>
      <w:r w:rsidR="005F5A8A" w:rsidRPr="006A1318">
        <w:rPr>
          <w:rFonts w:ascii="pplxSerif" w:eastAsia="Times New Roman" w:hAnsi="pplxSerif" w:cs="Times New Roman"/>
          <w:b/>
          <w:bCs/>
          <w:color w:val="27251E"/>
          <w:kern w:val="0"/>
          <w:sz w:val="36"/>
          <w:szCs w:val="36"/>
          <w:lang w:eastAsia="en-GB"/>
          <w14:ligatures w14:val="none"/>
        </w:rPr>
        <w:t>1. Financial Health Check (2020–2024)</w:t>
      </w:r>
    </w:p>
    <w:p w14:paraId="305990E5" w14:textId="77777777" w:rsidR="005F5A8A" w:rsidRPr="006A1318" w:rsidRDefault="005F5A8A" w:rsidP="005F5A8A">
      <w:pPr>
        <w:shd w:val="clear" w:color="auto" w:fill="FDFBFA"/>
        <w:spacing w:before="100" w:beforeAutospacing="1" w:after="100" w:afterAutospacing="1" w:line="240" w:lineRule="auto"/>
        <w:outlineLvl w:val="1"/>
        <w:rPr>
          <w:rFonts w:ascii="pplxSerif" w:eastAsia="Times New Roman" w:hAnsi="pplxSerif" w:cs="Times New Roman"/>
          <w:b/>
          <w:bCs/>
          <w:color w:val="27251E"/>
          <w:kern w:val="0"/>
          <w:sz w:val="36"/>
          <w:szCs w:val="36"/>
          <w:lang w:eastAsia="en-GB"/>
          <w14:ligatures w14:val="none"/>
        </w:rPr>
      </w:pPr>
      <w:r w:rsidRPr="006A1318">
        <w:rPr>
          <w:rFonts w:ascii="pplxSerif" w:eastAsia="Times New Roman" w:hAnsi="pplxSerif" w:cs="Times New Roman"/>
          <w:b/>
          <w:bCs/>
          <w:color w:val="27251E"/>
          <w:kern w:val="0"/>
          <w:sz w:val="36"/>
          <w:szCs w:val="36"/>
          <w:lang w:eastAsia="en-GB"/>
          <w14:ligatures w14:val="none"/>
        </w:rPr>
        <w:t>1.1 Company Overview</w:t>
      </w:r>
    </w:p>
    <w:p w14:paraId="39484E3B" w14:textId="77777777" w:rsidR="005F5A8A" w:rsidRDefault="005F5A8A" w:rsidP="005F5A8A">
      <w:pPr>
        <w:shd w:val="clear" w:color="auto" w:fill="FDFBFA"/>
        <w:spacing w:before="100" w:beforeAutospacing="1" w:after="100" w:afterAutospacing="1" w:line="240" w:lineRule="auto"/>
        <w:outlineLvl w:val="1"/>
      </w:pPr>
      <w:r w:rsidRPr="005F5A8A">
        <w:t xml:space="preserve">Ford Motor Company was established in </w:t>
      </w:r>
      <w:proofErr w:type="gramStart"/>
      <w:r w:rsidRPr="005F5A8A">
        <w:t>1903</w:t>
      </w:r>
      <w:proofErr w:type="gramEnd"/>
      <w:r w:rsidRPr="005F5A8A">
        <w:t xml:space="preserve"> and it is among the largest motor car producers in the world in terms of revenues. The automaker markets cars under the Ford and Lincoln brands worldwide with the help of its captive financial unit, Ford Motor credit Company (Ford credit). As of 2023, Ford reorganized its reporting into three operating units: Ford Blue (conventional and hybrid), Ford Model e (battery electric vehicles) and Ford Pro (commercial vehicles and software services). The total revenues increased by 9.8 percent, with a compound annual growth of 9.8 percent, between 2020 and 2024, increasing by $127.1 billion to 185.0 billion.</w:t>
      </w:r>
      <w:r>
        <w:br/>
      </w:r>
      <w:r>
        <w:br/>
      </w:r>
      <w:r>
        <w:br/>
      </w:r>
      <w:r>
        <w:br/>
      </w:r>
      <w:r>
        <w:br/>
      </w:r>
      <w:r>
        <w:br/>
      </w:r>
      <w:r>
        <w:br/>
      </w:r>
      <w:r>
        <w:br/>
      </w:r>
      <w:r>
        <w:br/>
      </w:r>
      <w:r>
        <w:br/>
      </w:r>
      <w:r>
        <w:br/>
      </w:r>
      <w:r>
        <w:br/>
      </w:r>
      <w:r>
        <w:br/>
      </w:r>
      <w:r>
        <w:br/>
      </w:r>
      <w:r>
        <w:br/>
      </w:r>
      <w:r>
        <w:br/>
      </w:r>
      <w:r>
        <w:br/>
      </w:r>
    </w:p>
    <w:p w14:paraId="58C64FA7" w14:textId="63AB2F74" w:rsidR="005F5A8A" w:rsidRPr="006A1318" w:rsidRDefault="005F5A8A" w:rsidP="005F5A8A">
      <w:pPr>
        <w:shd w:val="clear" w:color="auto" w:fill="FDFBFA"/>
        <w:spacing w:before="100" w:beforeAutospacing="1" w:after="100" w:afterAutospacing="1" w:line="240" w:lineRule="auto"/>
        <w:outlineLvl w:val="1"/>
        <w:rPr>
          <w:rFonts w:ascii="pplxSerif" w:eastAsia="Times New Roman" w:hAnsi="pplxSerif" w:cs="Times New Roman"/>
          <w:b/>
          <w:bCs/>
          <w:color w:val="27251E"/>
          <w:kern w:val="0"/>
          <w:sz w:val="36"/>
          <w:szCs w:val="36"/>
          <w:lang w:eastAsia="en-GB"/>
          <w14:ligatures w14:val="none"/>
        </w:rPr>
      </w:pPr>
      <w:r>
        <w:lastRenderedPageBreak/>
        <w:br/>
      </w:r>
      <w:r w:rsidRPr="006A1318">
        <w:rPr>
          <w:rFonts w:ascii="pplxSerif" w:eastAsia="Times New Roman" w:hAnsi="pplxSerif" w:cs="Times New Roman"/>
          <w:b/>
          <w:bCs/>
          <w:color w:val="27251E"/>
          <w:kern w:val="0"/>
          <w:sz w:val="36"/>
          <w:szCs w:val="36"/>
          <w:lang w:eastAsia="en-GB"/>
          <w14:ligatures w14:val="none"/>
        </w:rPr>
        <w:t>1.2 Income Statement Trends</w:t>
      </w:r>
    </w:p>
    <w:p w14:paraId="3D32DF6D" w14:textId="77777777" w:rsidR="005F5A8A" w:rsidRDefault="005F5A8A">
      <w:r>
        <w:br/>
      </w:r>
    </w:p>
    <w:tbl>
      <w:tblPr>
        <w:tblW w:w="5000" w:type="pct"/>
        <w:tblCellMar>
          <w:top w:w="15" w:type="dxa"/>
          <w:left w:w="15" w:type="dxa"/>
          <w:bottom w:w="15" w:type="dxa"/>
          <w:right w:w="15" w:type="dxa"/>
        </w:tblCellMar>
        <w:tblLook w:val="04A0" w:firstRow="1" w:lastRow="0" w:firstColumn="1" w:lastColumn="0" w:noHBand="0" w:noVBand="1"/>
      </w:tblPr>
      <w:tblGrid>
        <w:gridCol w:w="774"/>
        <w:gridCol w:w="1579"/>
        <w:gridCol w:w="1752"/>
        <w:gridCol w:w="1539"/>
        <w:gridCol w:w="1599"/>
        <w:gridCol w:w="1767"/>
      </w:tblGrid>
      <w:tr w:rsidR="005F5A8A" w:rsidRPr="006A1318" w14:paraId="2EE38BE0" w14:textId="77777777" w:rsidTr="00AE2C18">
        <w:trPr>
          <w:tblHeader/>
        </w:trPr>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63B23F40" w14:textId="77777777" w:rsidR="005F5A8A" w:rsidRPr="006A1318" w:rsidRDefault="005F5A8A"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Year</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4831653F" w14:textId="77777777" w:rsidR="005F5A8A" w:rsidRPr="006A1318" w:rsidRDefault="005F5A8A"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Total Revenue ($bn)</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2A060A6A" w14:textId="77777777" w:rsidR="005F5A8A" w:rsidRPr="006A1318" w:rsidRDefault="005F5A8A"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 xml:space="preserve">Net Income </w:t>
            </w:r>
            <w:proofErr w:type="spellStart"/>
            <w:r w:rsidRPr="006A1318">
              <w:rPr>
                <w:rFonts w:ascii="Arial" w:eastAsia="Times New Roman" w:hAnsi="Arial" w:cs="Arial"/>
                <w:b/>
                <w:bCs/>
                <w:kern w:val="0"/>
                <w:lang w:eastAsia="en-GB"/>
                <w14:ligatures w14:val="none"/>
              </w:rPr>
              <w:t>Attr</w:t>
            </w:r>
            <w:proofErr w:type="spellEnd"/>
            <w:r w:rsidRPr="006A1318">
              <w:rPr>
                <w:rFonts w:ascii="Arial" w:eastAsia="Times New Roman" w:hAnsi="Arial" w:cs="Arial"/>
                <w:b/>
                <w:bCs/>
                <w:kern w:val="0"/>
                <w:lang w:eastAsia="en-GB"/>
                <w14:ligatures w14:val="none"/>
              </w:rPr>
              <w:t>. to Ford ($bn)</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44CA46E5" w14:textId="77777777" w:rsidR="005F5A8A" w:rsidRPr="006A1318" w:rsidRDefault="005F5A8A"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Net Income Margin (%)</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1F0E967C" w14:textId="77777777" w:rsidR="005F5A8A" w:rsidRPr="006A1318" w:rsidRDefault="005F5A8A"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Adjusted EBIT ($bn)</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0DAFDDFB" w14:textId="77777777" w:rsidR="005F5A8A" w:rsidRPr="006A1318" w:rsidRDefault="005F5A8A"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Adjusted EBIT Margin (%)</w:t>
            </w:r>
          </w:p>
        </w:tc>
      </w:tr>
      <w:tr w:rsidR="005F5A8A" w:rsidRPr="006A1318" w14:paraId="6142A56B"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A79D1DC" w14:textId="77777777" w:rsidR="005F5A8A" w:rsidRPr="006A1318" w:rsidRDefault="005F5A8A"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E74DBAF" w14:textId="77777777" w:rsidR="005F5A8A" w:rsidRPr="006A1318" w:rsidRDefault="005F5A8A"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127.1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41C9E98" w14:textId="77777777" w:rsidR="005F5A8A" w:rsidRPr="006A1318" w:rsidRDefault="005F5A8A"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(1.3)</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8FCF4C7" w14:textId="77777777" w:rsidR="005F5A8A" w:rsidRPr="006A1318" w:rsidRDefault="005F5A8A"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B473BAD" w14:textId="77777777" w:rsidR="005F5A8A" w:rsidRPr="006A1318" w:rsidRDefault="005F5A8A"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2.5</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6C93D55" w14:textId="77777777" w:rsidR="005F5A8A" w:rsidRPr="006A1318" w:rsidRDefault="005F5A8A"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w:t>
            </w:r>
          </w:p>
        </w:tc>
      </w:tr>
      <w:tr w:rsidR="005F5A8A" w:rsidRPr="006A1318" w14:paraId="58CD63B4"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4D0D4E8" w14:textId="77777777" w:rsidR="005F5A8A" w:rsidRPr="006A1318" w:rsidRDefault="005F5A8A"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A84BCB8" w14:textId="77777777" w:rsidR="005F5A8A" w:rsidRPr="006A1318" w:rsidRDefault="005F5A8A"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136.3</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148C307" w14:textId="77777777" w:rsidR="005F5A8A" w:rsidRPr="006A1318" w:rsidRDefault="005F5A8A"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17.9</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F6E9166" w14:textId="77777777" w:rsidR="005F5A8A" w:rsidRPr="006A1318" w:rsidRDefault="005F5A8A"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13.2%</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FCCD631" w14:textId="77777777" w:rsidR="005F5A8A" w:rsidRPr="006A1318" w:rsidRDefault="005F5A8A"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10.0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041D676" w14:textId="77777777" w:rsidR="005F5A8A" w:rsidRPr="006A1318" w:rsidRDefault="005F5A8A"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7.3%</w:t>
            </w:r>
          </w:p>
        </w:tc>
      </w:tr>
      <w:tr w:rsidR="005F5A8A" w:rsidRPr="006A1318" w14:paraId="4BCB3E7E"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A76CD60" w14:textId="77777777" w:rsidR="005F5A8A" w:rsidRPr="006A1318" w:rsidRDefault="005F5A8A"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2022</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AB1C5AD" w14:textId="77777777" w:rsidR="005F5A8A" w:rsidRPr="006A1318" w:rsidRDefault="005F5A8A"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158.1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0F9439B" w14:textId="77777777" w:rsidR="005F5A8A" w:rsidRPr="006A1318" w:rsidRDefault="005F5A8A"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5A36F44" w14:textId="77777777" w:rsidR="005F5A8A" w:rsidRPr="006A1318" w:rsidRDefault="005F5A8A"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(1.3%)</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9F07B5D" w14:textId="77777777" w:rsidR="005F5A8A" w:rsidRPr="006A1318" w:rsidRDefault="005F5A8A"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10.4</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9B97BB3" w14:textId="77777777" w:rsidR="005F5A8A" w:rsidRPr="006A1318" w:rsidRDefault="005F5A8A"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6.6%</w:t>
            </w:r>
          </w:p>
        </w:tc>
      </w:tr>
      <w:tr w:rsidR="005F5A8A" w:rsidRPr="006A1318" w14:paraId="14C6D9C5"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F295804" w14:textId="77777777" w:rsidR="005F5A8A" w:rsidRPr="006A1318" w:rsidRDefault="005F5A8A"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2023</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0226F0B" w14:textId="77777777" w:rsidR="005F5A8A" w:rsidRPr="006A1318" w:rsidRDefault="005F5A8A"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176.2</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40AA774" w14:textId="77777777" w:rsidR="005F5A8A" w:rsidRPr="006A1318" w:rsidRDefault="005F5A8A"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4.3</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7C6D84B" w14:textId="77777777" w:rsidR="005F5A8A" w:rsidRPr="006A1318" w:rsidRDefault="005F5A8A"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2.5%</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264A497" w14:textId="77777777" w:rsidR="005F5A8A" w:rsidRPr="006A1318" w:rsidRDefault="005F5A8A"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10.4</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A0B0B8B" w14:textId="77777777" w:rsidR="005F5A8A" w:rsidRPr="006A1318" w:rsidRDefault="005F5A8A"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5.9%</w:t>
            </w:r>
          </w:p>
        </w:tc>
      </w:tr>
      <w:tr w:rsidR="005F5A8A" w:rsidRPr="006A1318" w14:paraId="2E097EDD"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B9D213A" w14:textId="77777777" w:rsidR="005F5A8A" w:rsidRPr="006A1318" w:rsidRDefault="005F5A8A"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2024</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6106C8F" w14:textId="77777777" w:rsidR="005F5A8A" w:rsidRPr="006A1318" w:rsidRDefault="005F5A8A"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185.0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F219684" w14:textId="77777777" w:rsidR="005F5A8A" w:rsidRPr="006A1318" w:rsidRDefault="005F5A8A"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5.9</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6984DB9" w14:textId="77777777" w:rsidR="005F5A8A" w:rsidRPr="006A1318" w:rsidRDefault="005F5A8A"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3.2%</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BEA9124" w14:textId="77777777" w:rsidR="005F5A8A" w:rsidRPr="006A1318" w:rsidRDefault="005F5A8A"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10.2</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0CEF13D" w14:textId="77777777" w:rsidR="005F5A8A" w:rsidRPr="006A1318" w:rsidRDefault="005F5A8A"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5.5%</w:t>
            </w:r>
          </w:p>
        </w:tc>
      </w:tr>
    </w:tbl>
    <w:p w14:paraId="16852CC3" w14:textId="020304A0" w:rsidR="00655AD7" w:rsidRDefault="00655AD7" w:rsidP="00655AD7">
      <w:pPr>
        <w:rPr>
          <w:rStyle w:val="Emphasis"/>
          <w:rFonts w:ascii="Arial" w:hAnsi="Arial" w:cs="Arial"/>
          <w:color w:val="27251E"/>
        </w:rPr>
      </w:pPr>
      <w:r w:rsidRPr="00655AD7">
        <w:rPr>
          <w:rStyle w:val="Emphasis"/>
          <w:rFonts w:ascii="Arial" w:hAnsi="Arial" w:cs="Arial"/>
          <w:color w:val="27251E"/>
        </w:rPr>
        <w:t>Sources: Ford Annual Reports 2020–2024</w:t>
      </w:r>
    </w:p>
    <w:p w14:paraId="40075869" w14:textId="30EAB824" w:rsidR="00655AD7" w:rsidRDefault="00655AD7" w:rsidP="00655AD7">
      <w:pPr>
        <w:rPr>
          <w:rFonts w:ascii="Arial" w:hAnsi="Arial" w:cs="Arial"/>
        </w:rPr>
      </w:pPr>
      <w:r w:rsidRPr="00655AD7">
        <w:rPr>
          <w:rFonts w:ascii="Arial" w:hAnsi="Arial" w:cs="Arial"/>
        </w:rPr>
        <w:t>The 2021 figure of net income is grossly inflated by a net unrealised gain of 9.1 billion on Ford investment in Rivian after the IPO of the latter company. Stripping out these special items, adjusted net income was $6.4 billion in 2021, $7.6 billion in 2022, $8.1 billion in 2023, and $7.4 billion in 2024. This is evidenced by the resilient underlying operating base showing a steady Adjusted EBIT of about $10 billion annually since 2021. Nevertheless, in 20232024, the GAAP net income margin was also skinny (2.5%3.2), indicating a high level of below-the-line charges such as restructuring, pension remeasurement, and write-downs related to EVs.</w:t>
      </w:r>
    </w:p>
    <w:p w14:paraId="36768DEC" w14:textId="77777777" w:rsidR="00655AD7" w:rsidRDefault="00655AD7">
      <w:pPr>
        <w:rPr>
          <w:rFonts w:ascii="pplxSerif" w:eastAsia="Times New Roman" w:hAnsi="pplxSerif" w:cs="Times New Roman"/>
          <w:b/>
          <w:bCs/>
          <w:color w:val="27251E"/>
          <w:kern w:val="0"/>
          <w:sz w:val="36"/>
          <w:szCs w:val="36"/>
          <w:lang w:eastAsia="en-GB"/>
          <w14:ligatures w14:val="none"/>
        </w:rPr>
      </w:pPr>
      <w:r>
        <w:rPr>
          <w:rFonts w:ascii="pplxSerif" w:eastAsia="Times New Roman" w:hAnsi="pplxSerif" w:cs="Times New Roman"/>
          <w:b/>
          <w:bCs/>
          <w:color w:val="27251E"/>
          <w:kern w:val="0"/>
          <w:sz w:val="36"/>
          <w:szCs w:val="36"/>
          <w:lang w:eastAsia="en-GB"/>
          <w14:ligatures w14:val="none"/>
        </w:rPr>
        <w:br w:type="page"/>
      </w:r>
    </w:p>
    <w:p w14:paraId="1308BE21" w14:textId="4224CEE1" w:rsidR="00655AD7" w:rsidRPr="006A1318" w:rsidRDefault="00655AD7" w:rsidP="00655AD7">
      <w:pPr>
        <w:shd w:val="clear" w:color="auto" w:fill="FDFBFA"/>
        <w:spacing w:before="100" w:beforeAutospacing="1" w:after="100" w:afterAutospacing="1" w:line="240" w:lineRule="auto"/>
        <w:outlineLvl w:val="1"/>
        <w:rPr>
          <w:rFonts w:ascii="pplxSerif" w:eastAsia="Times New Roman" w:hAnsi="pplxSerif" w:cs="Times New Roman"/>
          <w:b/>
          <w:bCs/>
          <w:color w:val="27251E"/>
          <w:kern w:val="0"/>
          <w:sz w:val="36"/>
          <w:szCs w:val="36"/>
          <w:lang w:eastAsia="en-GB"/>
          <w14:ligatures w14:val="none"/>
        </w:rPr>
      </w:pPr>
      <w:r w:rsidRPr="006A1318">
        <w:rPr>
          <w:rFonts w:ascii="pplxSerif" w:eastAsia="Times New Roman" w:hAnsi="pplxSerif" w:cs="Times New Roman"/>
          <w:b/>
          <w:bCs/>
          <w:color w:val="27251E"/>
          <w:kern w:val="0"/>
          <w:sz w:val="36"/>
          <w:szCs w:val="36"/>
          <w:lang w:eastAsia="en-GB"/>
          <w14:ligatures w14:val="none"/>
        </w:rPr>
        <w:lastRenderedPageBreak/>
        <w:t>1.3 Profitability Ratios</w:t>
      </w:r>
    </w:p>
    <w:p w14:paraId="3D64957D" w14:textId="766B8F47" w:rsidR="00655AD7" w:rsidRDefault="00655AD7" w:rsidP="00655AD7">
      <w:pPr>
        <w:rPr>
          <w:rFonts w:ascii="pplxSerif" w:eastAsia="Times New Roman" w:hAnsi="pplxSerif" w:cs="Times New Roman"/>
          <w:color w:val="27251E"/>
          <w:kern w:val="0"/>
          <w:lang w:eastAsia="en-GB"/>
          <w14:ligatures w14:val="none"/>
        </w:rPr>
      </w:pPr>
      <w:r w:rsidRPr="00655AD7">
        <w:rPr>
          <w:rFonts w:ascii="pplxSerif" w:eastAsia="Times New Roman" w:hAnsi="pplxSerif" w:cs="Times New Roman"/>
          <w:color w:val="27251E"/>
          <w:kern w:val="0"/>
          <w:lang w:eastAsia="en-GB"/>
          <w14:ligatures w14:val="none"/>
        </w:rPr>
        <w:t>Gross Profit Margin </w:t>
      </w:r>
      <w:r w:rsidRPr="006A1318">
        <w:rPr>
          <w:rFonts w:ascii="pplxSerif" w:eastAsia="Times New Roman" w:hAnsi="pplxSerif" w:cs="Times New Roman"/>
          <w:color w:val="27251E"/>
          <w:kern w:val="0"/>
          <w:lang w:eastAsia="en-GB"/>
          <w14:ligatures w14:val="none"/>
        </w:rPr>
        <w:t>is derived from revenues less cost of sales. Cost of sales rose from $112.8 billion in 2020 to $158.4 billion in 2024</w:t>
      </w:r>
      <w:r>
        <w:rPr>
          <w:rFonts w:ascii="pplxSerif" w:eastAsia="Times New Roman" w:hAnsi="pplxSerif" w:cs="Times New Roman"/>
          <w:color w:val="27251E"/>
          <w:kern w:val="0"/>
          <w:lang w:eastAsia="en-GB"/>
          <w14:ligatures w14:val="none"/>
        </w:rPr>
        <w:t>.</w:t>
      </w:r>
    </w:p>
    <w:tbl>
      <w:tblPr>
        <w:tblW w:w="5083" w:type="pct"/>
        <w:tblInd w:w="-150" w:type="dxa"/>
        <w:tblCellMar>
          <w:top w:w="15" w:type="dxa"/>
          <w:left w:w="15" w:type="dxa"/>
          <w:bottom w:w="15" w:type="dxa"/>
          <w:right w:w="15" w:type="dxa"/>
        </w:tblCellMar>
        <w:tblLook w:val="04A0" w:firstRow="1" w:lastRow="0" w:firstColumn="1" w:lastColumn="0" w:noHBand="0" w:noVBand="1"/>
      </w:tblPr>
      <w:tblGrid>
        <w:gridCol w:w="925"/>
        <w:gridCol w:w="1768"/>
        <w:gridCol w:w="2235"/>
        <w:gridCol w:w="2102"/>
        <w:gridCol w:w="2130"/>
      </w:tblGrid>
      <w:tr w:rsidR="00655AD7" w:rsidRPr="006A1318" w14:paraId="74D48B95" w14:textId="77777777" w:rsidTr="00AE2C18">
        <w:trPr>
          <w:tblHeader/>
        </w:trPr>
        <w:tc>
          <w:tcPr>
            <w:tcW w:w="505" w:type="pct"/>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7C44AE8C" w14:textId="77777777" w:rsidR="00655AD7" w:rsidRPr="006A1318" w:rsidRDefault="00655AD7"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Year</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71E93DCC" w14:textId="77777777" w:rsidR="00655AD7" w:rsidRPr="006A1318" w:rsidRDefault="00655AD7"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Revenue ($m)</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1BF4AE94" w14:textId="77777777" w:rsidR="00655AD7" w:rsidRPr="006A1318" w:rsidRDefault="00655AD7"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Cost of Sales ($m)</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14DA13CC" w14:textId="77777777" w:rsidR="00655AD7" w:rsidRPr="006A1318" w:rsidRDefault="00655AD7"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Gross Profit ($m)</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0D363D26" w14:textId="77777777" w:rsidR="00655AD7" w:rsidRPr="006A1318" w:rsidRDefault="00655AD7"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Gross Margin (%)</w:t>
            </w:r>
          </w:p>
        </w:tc>
      </w:tr>
      <w:tr w:rsidR="00655AD7" w:rsidRPr="006A1318" w14:paraId="44AC67B7" w14:textId="77777777" w:rsidTr="00AE2C18">
        <w:tc>
          <w:tcPr>
            <w:tcW w:w="505"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8FBB67D" w14:textId="77777777" w:rsidR="00655AD7" w:rsidRPr="006A1318" w:rsidRDefault="00655AD7"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B948758" w14:textId="77777777" w:rsidR="00655AD7" w:rsidRPr="006A1318" w:rsidRDefault="00655AD7"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127,144</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C18FBB5" w14:textId="77777777" w:rsidR="00655AD7" w:rsidRPr="006A1318" w:rsidRDefault="00655AD7"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112,752</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57D2632" w14:textId="77777777" w:rsidR="00655AD7" w:rsidRPr="006A1318" w:rsidRDefault="00655AD7"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14,392</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D2F2507" w14:textId="77777777" w:rsidR="00655AD7" w:rsidRPr="006A1318" w:rsidRDefault="00655AD7"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11.3%</w:t>
            </w:r>
          </w:p>
        </w:tc>
      </w:tr>
      <w:tr w:rsidR="00655AD7" w:rsidRPr="006A1318" w14:paraId="01158DB2" w14:textId="77777777" w:rsidTr="00AE2C18">
        <w:tc>
          <w:tcPr>
            <w:tcW w:w="505"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513C028" w14:textId="77777777" w:rsidR="00655AD7" w:rsidRPr="006A1318" w:rsidRDefault="00655AD7"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1BF8EDC" w14:textId="77777777" w:rsidR="00655AD7" w:rsidRPr="006A1318" w:rsidRDefault="00655AD7"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136,341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CD8369C" w14:textId="77777777" w:rsidR="00655AD7" w:rsidRPr="006A1318" w:rsidRDefault="00655AD7"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114,651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DB3CA59" w14:textId="77777777" w:rsidR="00655AD7" w:rsidRPr="006A1318" w:rsidRDefault="00655AD7"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21,690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566BAB4" w14:textId="77777777" w:rsidR="00655AD7" w:rsidRPr="006A1318" w:rsidRDefault="00655AD7"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15.9%</w:t>
            </w:r>
          </w:p>
        </w:tc>
      </w:tr>
      <w:tr w:rsidR="00655AD7" w:rsidRPr="006A1318" w14:paraId="1E61BD78" w14:textId="77777777" w:rsidTr="00AE2C18">
        <w:tc>
          <w:tcPr>
            <w:tcW w:w="505"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2E99458" w14:textId="77777777" w:rsidR="00655AD7" w:rsidRPr="006A1318" w:rsidRDefault="00655AD7"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2022</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5ECD407" w14:textId="77777777" w:rsidR="00655AD7" w:rsidRPr="006A1318" w:rsidRDefault="00655AD7"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158,057</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98EF0A4" w14:textId="77777777" w:rsidR="00655AD7" w:rsidRPr="006A1318" w:rsidRDefault="00655AD7"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134,397</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BB28883" w14:textId="77777777" w:rsidR="00655AD7" w:rsidRPr="006A1318" w:rsidRDefault="00655AD7"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23,660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B2BE7A0" w14:textId="77777777" w:rsidR="00655AD7" w:rsidRPr="006A1318" w:rsidRDefault="00655AD7"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15.0%</w:t>
            </w:r>
          </w:p>
        </w:tc>
      </w:tr>
      <w:tr w:rsidR="00655AD7" w:rsidRPr="006A1318" w14:paraId="7B3B7247" w14:textId="77777777" w:rsidTr="00AE2C18">
        <w:tc>
          <w:tcPr>
            <w:tcW w:w="505"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6AE5DFE" w14:textId="77777777" w:rsidR="00655AD7" w:rsidRPr="006A1318" w:rsidRDefault="00655AD7"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2023</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A5891FF" w14:textId="77777777" w:rsidR="00655AD7" w:rsidRPr="006A1318" w:rsidRDefault="00655AD7"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176,191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2E5AA60" w14:textId="77777777" w:rsidR="00655AD7" w:rsidRPr="006A1318" w:rsidRDefault="00655AD7"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150,550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FC5C3F8" w14:textId="77777777" w:rsidR="00655AD7" w:rsidRPr="006A1318" w:rsidRDefault="00655AD7"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25,641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0FBE98C" w14:textId="77777777" w:rsidR="00655AD7" w:rsidRPr="006A1318" w:rsidRDefault="00655AD7"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14.5%</w:t>
            </w:r>
          </w:p>
        </w:tc>
      </w:tr>
      <w:tr w:rsidR="00655AD7" w:rsidRPr="006A1318" w14:paraId="531CE2CE" w14:textId="77777777" w:rsidTr="00AE2C18">
        <w:tc>
          <w:tcPr>
            <w:tcW w:w="505"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29C0681" w14:textId="77777777" w:rsidR="00655AD7" w:rsidRPr="006A1318" w:rsidRDefault="00655AD7"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2024</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6B24E51" w14:textId="77777777" w:rsidR="00655AD7" w:rsidRPr="006A1318" w:rsidRDefault="00655AD7"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184,992</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1734FE5" w14:textId="77777777" w:rsidR="00655AD7" w:rsidRPr="006A1318" w:rsidRDefault="00655AD7"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158,434</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FCCCF31" w14:textId="77777777" w:rsidR="00655AD7" w:rsidRPr="006A1318" w:rsidRDefault="00655AD7"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26,558</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F35842F" w14:textId="77777777" w:rsidR="00655AD7" w:rsidRPr="006A1318" w:rsidRDefault="00655AD7"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14.4%</w:t>
            </w:r>
          </w:p>
        </w:tc>
      </w:tr>
    </w:tbl>
    <w:p w14:paraId="3213A47D" w14:textId="77777777" w:rsidR="00655AD7" w:rsidRDefault="00655AD7" w:rsidP="00655AD7">
      <w:pPr>
        <w:rPr>
          <w:rFonts w:ascii="Arial" w:hAnsi="Arial" w:cs="Arial"/>
        </w:rPr>
      </w:pPr>
      <w:r>
        <w:rPr>
          <w:rFonts w:ascii="Arial" w:hAnsi="Arial" w:cs="Arial"/>
        </w:rPr>
        <w:t>Sources: Ford Annual Reports 2020-2024</w:t>
      </w:r>
      <w:r>
        <w:rPr>
          <w:rFonts w:ascii="Arial" w:hAnsi="Arial" w:cs="Arial"/>
        </w:rPr>
        <w:br/>
      </w:r>
    </w:p>
    <w:p w14:paraId="079E741F" w14:textId="77777777" w:rsidR="00655AD7" w:rsidRPr="00655AD7" w:rsidRDefault="00655AD7" w:rsidP="00655AD7">
      <w:pPr>
        <w:rPr>
          <w:rFonts w:ascii="Arial" w:hAnsi="Arial" w:cs="Arial"/>
        </w:rPr>
      </w:pPr>
      <w:r w:rsidRPr="00655AD7">
        <w:rPr>
          <w:rFonts w:ascii="Arial" w:hAnsi="Arial" w:cs="Arial"/>
        </w:rPr>
        <w:t>The gross margin has improved by a large margin in 2021 (15.9) over 2020 (11.3) as volume bounced back after the pandemic and prices have risen, but has since declined modestly to 14.4% in 2024, due to higher material costs in the EV business and higher warranty accruals. The warranty and field service accrual amounted to 14.0 billion at year end 2024 (as compared to 9.2 billion at year end 2022 and 11.5 billion at year end 2023) is a major structural cost pressure.</w:t>
      </w:r>
    </w:p>
    <w:p w14:paraId="53724AD1" w14:textId="64D97F6F" w:rsidR="00655AD7" w:rsidRDefault="00655AD7" w:rsidP="00655AD7">
      <w:pPr>
        <w:rPr>
          <w:rFonts w:ascii="Arial" w:hAnsi="Arial" w:cs="Arial"/>
        </w:rPr>
      </w:pPr>
      <w:r w:rsidRPr="00655AD7">
        <w:rPr>
          <w:rFonts w:ascii="Arial" w:hAnsi="Arial" w:cs="Arial"/>
        </w:rPr>
        <w:t>Operating Profit Margin: There was a decrease in operating income between 2022 and 2024, where 2022 had a figure of $6.3 billion and 2024 had a figure of 5.2 billion. Operating margin decreased to 3.1 percent (2023) and 2.8 percent (2024) with the major loss of the increasing interest expense of the Ford Credit, the pension expense and losses in EV investment.</w:t>
      </w:r>
    </w:p>
    <w:p w14:paraId="5998EA55" w14:textId="77777777" w:rsidR="00655AD7" w:rsidRDefault="00655AD7" w:rsidP="00655AD7">
      <w:pPr>
        <w:rPr>
          <w:rFonts w:ascii="Arial" w:hAnsi="Arial" w:cs="Arial"/>
        </w:rPr>
      </w:pPr>
    </w:p>
    <w:p w14:paraId="6C841CD7" w14:textId="77777777" w:rsidR="00104F21" w:rsidRPr="002B6C1F" w:rsidRDefault="00104F21" w:rsidP="00104F21">
      <w:pPr>
        <w:spacing w:after="0" w:line="240" w:lineRule="auto"/>
        <w:rPr>
          <w:rFonts w:ascii="Times New Roman" w:eastAsia="Times New Roman" w:hAnsi="Times New Roman" w:cs="Times New Roman"/>
          <w:kern w:val="0"/>
          <w:lang w:eastAsia="en-GB"/>
          <w14:ligatures w14:val="none"/>
        </w:rPr>
      </w:pPr>
      <w:r w:rsidRPr="00104F21">
        <w:rPr>
          <w:rFonts w:ascii="Times New Roman" w:eastAsia="Times New Roman" w:hAnsi="Times New Roman" w:cs="Times New Roman"/>
          <w:b/>
          <w:bCs/>
          <w:kern w:val="0"/>
          <w:lang w:eastAsia="en-GB"/>
          <w14:ligatures w14:val="none"/>
        </w:rPr>
        <w:t>Return on Equity (ROE):</w:t>
      </w:r>
      <w:r>
        <w:rPr>
          <w:rFonts w:ascii="Times New Roman" w:eastAsia="Times New Roman" w:hAnsi="Times New Roman" w:cs="Times New Roman"/>
          <w:kern w:val="0"/>
          <w:lang w:eastAsia="en-GB"/>
          <w14:ligatures w14:val="none"/>
        </w:rPr>
        <w:t xml:space="preserve"> </w:t>
      </w:r>
      <w:r w:rsidRPr="002B6C1F">
        <w:rPr>
          <w:rFonts w:ascii="Arial" w:hAnsi="Arial" w:cs="Arial"/>
          <w:color w:val="27251E"/>
          <w:shd w:val="clear" w:color="auto" w:fill="FDFBFA"/>
        </w:rPr>
        <w:t>Net income attributable to Ford divided by average equity attributable to Ford:</w:t>
      </w:r>
    </w:p>
    <w:p w14:paraId="13D17949" w14:textId="77777777" w:rsidR="00655AD7" w:rsidRDefault="00655AD7" w:rsidP="00655AD7">
      <w:pPr>
        <w:rPr>
          <w:rFonts w:ascii="Arial" w:hAnsi="Arial" w:cs="Arial"/>
        </w:rPr>
      </w:pPr>
    </w:p>
    <w:p w14:paraId="02A5BF7A" w14:textId="77777777" w:rsidR="00104F21" w:rsidRDefault="00104F21" w:rsidP="00655AD7">
      <w:pPr>
        <w:rPr>
          <w:rFonts w:ascii="Arial" w:hAnsi="Arial" w:cs="Arial"/>
        </w:rPr>
      </w:pPr>
    </w:p>
    <w:p w14:paraId="7F2588B0" w14:textId="77777777" w:rsidR="00104F21" w:rsidRDefault="00104F21" w:rsidP="00655AD7">
      <w:pPr>
        <w:rPr>
          <w:rFonts w:ascii="Arial" w:hAnsi="Arial" w:cs="Arial"/>
        </w:rPr>
      </w:pPr>
    </w:p>
    <w:p w14:paraId="54010D7F" w14:textId="77777777" w:rsidR="00104F21" w:rsidRDefault="00104F21" w:rsidP="00655AD7">
      <w:pPr>
        <w:rPr>
          <w:rFonts w:ascii="Arial" w:hAnsi="Arial" w:cs="Arial"/>
        </w:rPr>
      </w:pPr>
    </w:p>
    <w:p w14:paraId="1E4EA95E" w14:textId="77777777" w:rsidR="00104F21" w:rsidRDefault="00104F21" w:rsidP="00655AD7">
      <w:pPr>
        <w:rPr>
          <w:rFonts w:ascii="Arial" w:hAnsi="Arial" w:cs="Arial"/>
        </w:rPr>
      </w:pPr>
    </w:p>
    <w:p w14:paraId="12E10CFE" w14:textId="77777777" w:rsidR="00104F21" w:rsidRPr="002B6C1F" w:rsidRDefault="00104F21" w:rsidP="00104F21">
      <w:pPr>
        <w:spacing w:after="0" w:line="240" w:lineRule="auto"/>
        <w:rPr>
          <w:rFonts w:ascii="Times New Roman" w:eastAsia="Times New Roman" w:hAnsi="Times New Roman" w:cs="Times New Roman"/>
          <w:kern w:val="0"/>
          <w:lang w:eastAsia="en-GB"/>
          <w14:ligatures w14:val="none"/>
        </w:rPr>
      </w:pPr>
    </w:p>
    <w:tbl>
      <w:tblPr>
        <w:tblW w:w="5000" w:type="pct"/>
        <w:tblCellMar>
          <w:top w:w="15" w:type="dxa"/>
          <w:left w:w="15" w:type="dxa"/>
          <w:bottom w:w="15" w:type="dxa"/>
          <w:right w:w="15" w:type="dxa"/>
        </w:tblCellMar>
        <w:tblLook w:val="04A0" w:firstRow="1" w:lastRow="0" w:firstColumn="1" w:lastColumn="0" w:noHBand="0" w:noVBand="1"/>
      </w:tblPr>
      <w:tblGrid>
        <w:gridCol w:w="946"/>
        <w:gridCol w:w="3991"/>
        <w:gridCol w:w="2607"/>
        <w:gridCol w:w="1466"/>
      </w:tblGrid>
      <w:tr w:rsidR="00104F21" w:rsidRPr="006A1318" w14:paraId="3CC8D82C" w14:textId="77777777" w:rsidTr="00AE2C18">
        <w:trPr>
          <w:tblHeader/>
        </w:trPr>
        <w:tc>
          <w:tcPr>
            <w:tcW w:w="525" w:type="pct"/>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5EBC24C5" w14:textId="77777777" w:rsidR="00104F21" w:rsidRPr="006A1318" w:rsidRDefault="00104F21"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lastRenderedPageBreak/>
              <w:t>Year</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72DB71C1" w14:textId="77777777" w:rsidR="00104F21" w:rsidRPr="006A1318" w:rsidRDefault="00104F21"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 xml:space="preserve">Net Income </w:t>
            </w:r>
            <w:proofErr w:type="spellStart"/>
            <w:r w:rsidRPr="006A1318">
              <w:rPr>
                <w:rFonts w:ascii="Arial" w:eastAsia="Times New Roman" w:hAnsi="Arial" w:cs="Arial"/>
                <w:b/>
                <w:bCs/>
                <w:kern w:val="0"/>
                <w:lang w:eastAsia="en-GB"/>
                <w14:ligatures w14:val="none"/>
              </w:rPr>
              <w:t>Attr</w:t>
            </w:r>
            <w:proofErr w:type="spellEnd"/>
            <w:r w:rsidRPr="006A1318">
              <w:rPr>
                <w:rFonts w:ascii="Arial" w:eastAsia="Times New Roman" w:hAnsi="Arial" w:cs="Arial"/>
                <w:b/>
                <w:bCs/>
                <w:kern w:val="0"/>
                <w:lang w:eastAsia="en-GB"/>
                <w14:ligatures w14:val="none"/>
              </w:rPr>
              <w:t>. Ford ($m)</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67A7F14C" w14:textId="77777777" w:rsidR="00104F21" w:rsidRPr="006A1318" w:rsidRDefault="00104F21"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Avg. Equity ($m)</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30E0D7F0" w14:textId="77777777" w:rsidR="00104F21" w:rsidRPr="006A1318" w:rsidRDefault="00104F21"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ROE (%)</w:t>
            </w:r>
          </w:p>
        </w:tc>
      </w:tr>
      <w:tr w:rsidR="00104F21" w:rsidRPr="006A1318" w14:paraId="74A861AF" w14:textId="77777777" w:rsidTr="00AE2C18">
        <w:tc>
          <w:tcPr>
            <w:tcW w:w="525"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019DC7E" w14:textId="77777777" w:rsidR="00104F21" w:rsidRPr="006A1318" w:rsidRDefault="00104F21"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B2C6C57" w14:textId="77777777" w:rsidR="00104F21" w:rsidRPr="006A1318" w:rsidRDefault="00104F21"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17,937</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2454A01" w14:textId="77777777" w:rsidR="00104F21" w:rsidRPr="006A1318" w:rsidRDefault="00104F21"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~39,600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734EE57" w14:textId="77777777" w:rsidR="00104F21" w:rsidRPr="006A1318" w:rsidRDefault="00104F21"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45.3%</w:t>
            </w:r>
          </w:p>
        </w:tc>
      </w:tr>
      <w:tr w:rsidR="00104F21" w:rsidRPr="006A1318" w14:paraId="4699A525" w14:textId="77777777" w:rsidTr="00AE2C18">
        <w:tc>
          <w:tcPr>
            <w:tcW w:w="525"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AB86DDB" w14:textId="77777777" w:rsidR="00104F21" w:rsidRPr="006A1318" w:rsidRDefault="00104F21"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2022</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05B715C" w14:textId="77777777" w:rsidR="00104F21" w:rsidRPr="006A1318" w:rsidRDefault="00104F21"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(1,981)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F188135" w14:textId="77777777" w:rsidR="00104F21" w:rsidRPr="006A1318" w:rsidRDefault="00104F21"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~45,900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A219D3B" w14:textId="77777777" w:rsidR="00104F21" w:rsidRPr="006A1318" w:rsidRDefault="00104F21"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(4.3%)</w:t>
            </w:r>
          </w:p>
        </w:tc>
      </w:tr>
      <w:tr w:rsidR="00104F21" w:rsidRPr="006A1318" w14:paraId="3F671C45" w14:textId="77777777" w:rsidTr="00AE2C18">
        <w:tc>
          <w:tcPr>
            <w:tcW w:w="525"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F614593" w14:textId="77777777" w:rsidR="00104F21" w:rsidRPr="006A1318" w:rsidRDefault="00104F21"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2023</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1B6D6AC" w14:textId="77777777" w:rsidR="00104F21" w:rsidRPr="006A1318" w:rsidRDefault="00104F21"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4,347</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E5635C9" w14:textId="77777777" w:rsidR="00104F21" w:rsidRPr="006A1318" w:rsidRDefault="00104F21"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~43,000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C5A4DCA" w14:textId="77777777" w:rsidR="00104F21" w:rsidRPr="006A1318" w:rsidRDefault="00104F21"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10.1%</w:t>
            </w:r>
          </w:p>
        </w:tc>
      </w:tr>
      <w:tr w:rsidR="00104F21" w:rsidRPr="006A1318" w14:paraId="692DC49C" w14:textId="77777777" w:rsidTr="00AE2C18">
        <w:tc>
          <w:tcPr>
            <w:tcW w:w="525" w:type="pct"/>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1B44D64" w14:textId="77777777" w:rsidR="00104F21" w:rsidRPr="006A1318" w:rsidRDefault="00104F21"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2024</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D09FCBA" w14:textId="77777777" w:rsidR="00104F21" w:rsidRPr="006A1318" w:rsidRDefault="00104F21"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5,879</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33127BC" w14:textId="77777777" w:rsidR="00104F21" w:rsidRPr="006A1318" w:rsidRDefault="00104F21"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~43,800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FCE5208" w14:textId="77777777" w:rsidR="00104F21" w:rsidRPr="006A1318" w:rsidRDefault="00104F21"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13.4%</w:t>
            </w:r>
          </w:p>
        </w:tc>
      </w:tr>
    </w:tbl>
    <w:p w14:paraId="6B92FC29" w14:textId="6D6A2DC3" w:rsidR="00655AD7" w:rsidRPr="00104F21" w:rsidRDefault="00104F21" w:rsidP="00655AD7">
      <w:pPr>
        <w:rPr>
          <w:rFonts w:ascii="Arial" w:hAnsi="Arial" w:cs="Arial"/>
        </w:rPr>
      </w:pPr>
      <w:r>
        <w:rPr>
          <w:rFonts w:ascii="Arial" w:hAnsi="Arial" w:cs="Arial"/>
        </w:rPr>
        <w:t>Computed from Ford Annual Reports</w:t>
      </w:r>
    </w:p>
    <w:p w14:paraId="4AC43BBC" w14:textId="6DDE8802" w:rsidR="00104F21" w:rsidRDefault="00104F21">
      <w:pPr>
        <w:rPr>
          <w:rFonts w:ascii="Arial" w:hAnsi="Arial" w:cs="Arial"/>
        </w:rPr>
      </w:pPr>
      <w:r w:rsidRPr="00104F21">
        <w:rPr>
          <w:rFonts w:ascii="Arial" w:hAnsi="Arial" w:cs="Arial"/>
        </w:rPr>
        <w:t>Excluding the Rivian-inflated 2021, the ROE trend shows a recovery from -4.3% in 2022 to 13.4% in 2024. This enhancement indicates increased GAAP earnings fuelled by the outstanding performance and positive income tax credits of Ford Pro.</w:t>
      </w:r>
    </w:p>
    <w:p w14:paraId="6D913334" w14:textId="77777777" w:rsidR="00104F21" w:rsidRPr="00104F21" w:rsidRDefault="00104F21" w:rsidP="00104F21">
      <w:pPr>
        <w:shd w:val="clear" w:color="auto" w:fill="FDFBFA"/>
        <w:spacing w:before="100" w:beforeAutospacing="1" w:after="100" w:afterAutospacing="1" w:line="240" w:lineRule="auto"/>
        <w:rPr>
          <w:rFonts w:ascii="Arial" w:eastAsia="Times New Roman" w:hAnsi="Arial" w:cs="Arial"/>
          <w:color w:val="27251E"/>
          <w:kern w:val="0"/>
          <w:lang w:eastAsia="en-GB"/>
          <w14:ligatures w14:val="none"/>
        </w:rPr>
      </w:pPr>
      <w:r w:rsidRPr="00104F21">
        <w:rPr>
          <w:rFonts w:ascii="Arial" w:eastAsia="Times New Roman" w:hAnsi="Arial" w:cs="Arial"/>
          <w:b/>
          <w:bCs/>
          <w:color w:val="27251E"/>
          <w:kern w:val="0"/>
          <w:lang w:eastAsia="en-GB"/>
          <w14:ligatures w14:val="none"/>
        </w:rPr>
        <w:t>Return on Assets (ROA):</w:t>
      </w:r>
      <w:r w:rsidRPr="00104F21">
        <w:rPr>
          <w:rFonts w:ascii="Arial" w:eastAsia="Times New Roman" w:hAnsi="Arial" w:cs="Arial"/>
          <w:color w:val="27251E"/>
          <w:kern w:val="0"/>
          <w:lang w:eastAsia="en-GB"/>
          <w14:ligatures w14:val="none"/>
        </w:rPr>
        <w:t> Net income divided by average total assets:</w:t>
      </w:r>
    </w:p>
    <w:tbl>
      <w:tblPr>
        <w:tblW w:w="5000" w:type="pct"/>
        <w:tblCellMar>
          <w:top w:w="15" w:type="dxa"/>
          <w:left w:w="15" w:type="dxa"/>
          <w:bottom w:w="15" w:type="dxa"/>
          <w:right w:w="15" w:type="dxa"/>
        </w:tblCellMar>
        <w:tblLook w:val="04A0" w:firstRow="1" w:lastRow="0" w:firstColumn="1" w:lastColumn="0" w:noHBand="0" w:noVBand="1"/>
      </w:tblPr>
      <w:tblGrid>
        <w:gridCol w:w="1007"/>
        <w:gridCol w:w="2743"/>
        <w:gridCol w:w="3680"/>
        <w:gridCol w:w="1580"/>
      </w:tblGrid>
      <w:tr w:rsidR="00104F21" w:rsidRPr="006A1318" w14:paraId="42EE9FDC" w14:textId="77777777" w:rsidTr="00AE2C18">
        <w:trPr>
          <w:tblHeader/>
        </w:trPr>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749F42D1" w14:textId="77777777" w:rsidR="00104F21" w:rsidRPr="006A1318" w:rsidRDefault="00104F21"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Year</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1CD351E6" w14:textId="77777777" w:rsidR="00104F21" w:rsidRPr="006A1318" w:rsidRDefault="00104F21"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Net Income ($m)</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71F9B5B3" w14:textId="77777777" w:rsidR="00104F21" w:rsidRPr="006A1318" w:rsidRDefault="00104F21"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Avg. Total Assets ($m)</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13BC895E" w14:textId="77777777" w:rsidR="00104F21" w:rsidRPr="006A1318" w:rsidRDefault="00104F21"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ROA (%)</w:t>
            </w:r>
          </w:p>
        </w:tc>
      </w:tr>
      <w:tr w:rsidR="00104F21" w:rsidRPr="006A1318" w14:paraId="21939B9D"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777840D" w14:textId="77777777" w:rsidR="00104F21" w:rsidRPr="006A1318" w:rsidRDefault="00104F21"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2022</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F11CB5B" w14:textId="77777777" w:rsidR="00104F21" w:rsidRPr="006A1318" w:rsidRDefault="00104F21"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(2,152)</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8B3135D" w14:textId="77777777" w:rsidR="00104F21" w:rsidRPr="006A1318" w:rsidRDefault="00104F21"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~256,000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8FA9E31" w14:textId="77777777" w:rsidR="00104F21" w:rsidRPr="006A1318" w:rsidRDefault="00104F21"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(0.8%)</w:t>
            </w:r>
          </w:p>
        </w:tc>
      </w:tr>
      <w:tr w:rsidR="00104F21" w:rsidRPr="006A1318" w14:paraId="08FFA1E1"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6C59966" w14:textId="77777777" w:rsidR="00104F21" w:rsidRPr="006A1318" w:rsidRDefault="00104F21"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2023</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59A9CD8" w14:textId="77777777" w:rsidR="00104F21" w:rsidRPr="006A1318" w:rsidRDefault="00104F21"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4,329</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77FEC8D" w14:textId="77777777" w:rsidR="00104F21" w:rsidRPr="006A1318" w:rsidRDefault="00104F21"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~264,600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1A2AE24" w14:textId="77777777" w:rsidR="00104F21" w:rsidRPr="006A1318" w:rsidRDefault="00104F21"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1.6%</w:t>
            </w:r>
          </w:p>
        </w:tc>
      </w:tr>
      <w:tr w:rsidR="00104F21" w:rsidRPr="006A1318" w14:paraId="24BF6DCC"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1F1DF86" w14:textId="77777777" w:rsidR="00104F21" w:rsidRPr="006A1318" w:rsidRDefault="00104F21"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2024</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718E6A7" w14:textId="77777777" w:rsidR="00104F21" w:rsidRPr="006A1318" w:rsidRDefault="00104F21"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5,894</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1557FBE" w14:textId="77777777" w:rsidR="00104F21" w:rsidRPr="006A1318" w:rsidRDefault="00104F21"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~279,300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8126527" w14:textId="77777777" w:rsidR="00104F21" w:rsidRPr="006A1318" w:rsidRDefault="00104F21"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2.1%</w:t>
            </w:r>
          </w:p>
        </w:tc>
      </w:tr>
    </w:tbl>
    <w:p w14:paraId="5EE402C6" w14:textId="0959331A" w:rsidR="00104F21" w:rsidRPr="00104F21" w:rsidRDefault="00104F21" w:rsidP="00104F21">
      <w:pPr>
        <w:shd w:val="clear" w:color="auto" w:fill="FDFBFA"/>
        <w:spacing w:before="100" w:beforeAutospacing="1" w:after="100" w:afterAutospacing="1" w:line="240" w:lineRule="auto"/>
        <w:rPr>
          <w:rFonts w:ascii="Arial" w:eastAsia="Times New Roman" w:hAnsi="Arial" w:cs="Arial"/>
          <w:color w:val="27251E"/>
          <w:kern w:val="0"/>
          <w:lang w:eastAsia="en-GB"/>
          <w14:ligatures w14:val="none"/>
        </w:rPr>
      </w:pPr>
      <w:r w:rsidRPr="00104F21">
        <w:rPr>
          <w:rFonts w:ascii="Arial" w:eastAsia="Times New Roman" w:hAnsi="Arial" w:cs="Arial"/>
          <w:color w:val="27251E"/>
          <w:kern w:val="0"/>
          <w:lang w:eastAsia="en-GB"/>
          <w14:ligatures w14:val="none"/>
        </w:rPr>
        <w:t>Computed from Ford Annual Reports</w:t>
      </w:r>
    </w:p>
    <w:p w14:paraId="51D65481" w14:textId="5275D586" w:rsidR="00104F21" w:rsidRDefault="00170ACE" w:rsidP="00104F21">
      <w:pPr>
        <w:rPr>
          <w:rFonts w:ascii="Arial" w:hAnsi="Arial" w:cs="Arial"/>
        </w:rPr>
      </w:pPr>
      <w:r w:rsidRPr="00170ACE">
        <w:rPr>
          <w:rFonts w:ascii="Arial" w:hAnsi="Arial" w:cs="Arial"/>
        </w:rPr>
        <w:t>This rising ROA in 2022 to 2024 indicates a true earnings recovery, albeit that the asset base is dominated by the finance receivables of the Ford Credit (111.6 billion at the end of 2024) that overstates the denominator.</w:t>
      </w:r>
    </w:p>
    <w:p w14:paraId="1E0CFB58" w14:textId="77777777" w:rsidR="00170ACE" w:rsidRPr="006A1318" w:rsidRDefault="00170ACE" w:rsidP="00170ACE">
      <w:pPr>
        <w:shd w:val="clear" w:color="auto" w:fill="FDFBFA"/>
        <w:spacing w:before="100" w:beforeAutospacing="1" w:after="100" w:afterAutospacing="1" w:line="240" w:lineRule="auto"/>
        <w:outlineLvl w:val="1"/>
        <w:rPr>
          <w:rFonts w:ascii="pplxSerif" w:eastAsia="Times New Roman" w:hAnsi="pplxSerif" w:cs="Times New Roman"/>
          <w:b/>
          <w:bCs/>
          <w:color w:val="27251E"/>
          <w:kern w:val="0"/>
          <w:sz w:val="36"/>
          <w:szCs w:val="36"/>
          <w:lang w:eastAsia="en-GB"/>
          <w14:ligatures w14:val="none"/>
        </w:rPr>
      </w:pPr>
      <w:r w:rsidRPr="006A1318">
        <w:rPr>
          <w:rFonts w:ascii="pplxSerif" w:eastAsia="Times New Roman" w:hAnsi="pplxSerif" w:cs="Times New Roman"/>
          <w:b/>
          <w:bCs/>
          <w:color w:val="27251E"/>
          <w:kern w:val="0"/>
          <w:sz w:val="36"/>
          <w:szCs w:val="36"/>
          <w:lang w:eastAsia="en-GB"/>
          <w14:ligatures w14:val="none"/>
        </w:rPr>
        <w:t>1.4 Liquidity Ratios</w:t>
      </w:r>
    </w:p>
    <w:p w14:paraId="73131943" w14:textId="4277AA56" w:rsidR="00170ACE" w:rsidRDefault="00170ACE" w:rsidP="00170ACE">
      <w:p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170ACE">
        <w:rPr>
          <w:rFonts w:ascii="Arial" w:eastAsia="Times New Roman" w:hAnsi="Arial" w:cs="Arial"/>
          <w:b/>
          <w:bCs/>
          <w:color w:val="27251E"/>
          <w:kern w:val="0"/>
          <w:lang w:eastAsia="en-GB"/>
          <w14:ligatures w14:val="none"/>
        </w:rPr>
        <w:t>Current Ratio</w:t>
      </w:r>
      <w:r w:rsidRPr="006A1318">
        <w:rPr>
          <w:rFonts w:ascii="pplxSerif" w:eastAsia="Times New Roman" w:hAnsi="pplxSerif" w:cs="Times New Roman"/>
          <w:color w:val="27251E"/>
          <w:kern w:val="0"/>
          <w:lang w:eastAsia="en-GB"/>
          <w14:ligatures w14:val="none"/>
        </w:rPr>
        <w:t> (Total Current Assets / Total Current Liabilities):</w:t>
      </w:r>
      <w:r>
        <w:rPr>
          <w:rFonts w:ascii="pplxSerif" w:eastAsia="Times New Roman" w:hAnsi="pplxSerif" w:cs="Times New Roman"/>
          <w:color w:val="27251E"/>
          <w:kern w:val="0"/>
          <w:lang w:eastAsia="en-GB"/>
          <w14:ligatures w14:val="none"/>
        </w:rPr>
        <w:br/>
      </w:r>
    </w:p>
    <w:tbl>
      <w:tblPr>
        <w:tblW w:w="5000" w:type="pct"/>
        <w:tblCellMar>
          <w:top w:w="15" w:type="dxa"/>
          <w:left w:w="15" w:type="dxa"/>
          <w:bottom w:w="15" w:type="dxa"/>
          <w:right w:w="15" w:type="dxa"/>
        </w:tblCellMar>
        <w:tblLook w:val="04A0" w:firstRow="1" w:lastRow="0" w:firstColumn="1" w:lastColumn="0" w:noHBand="0" w:noVBand="1"/>
      </w:tblPr>
      <w:tblGrid>
        <w:gridCol w:w="879"/>
        <w:gridCol w:w="2877"/>
        <w:gridCol w:w="3240"/>
        <w:gridCol w:w="2014"/>
      </w:tblGrid>
      <w:tr w:rsidR="00170ACE" w:rsidRPr="006A1318" w14:paraId="12573AF7" w14:textId="77777777" w:rsidTr="00AE2C18">
        <w:trPr>
          <w:tblHeader/>
        </w:trPr>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4659D41F" w14:textId="77777777" w:rsidR="00170ACE" w:rsidRPr="006A1318" w:rsidRDefault="00170ACE"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Year</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7F2B7D2E" w14:textId="77777777" w:rsidR="00170ACE" w:rsidRPr="006A1318" w:rsidRDefault="00170ACE"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Current Assets ($m)</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426E3856" w14:textId="77777777" w:rsidR="00170ACE" w:rsidRPr="006A1318" w:rsidRDefault="00170ACE"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Current Liabilities ($m)</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19740101" w14:textId="77777777" w:rsidR="00170ACE" w:rsidRPr="006A1318" w:rsidRDefault="00170ACE"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Current Ratio</w:t>
            </w:r>
          </w:p>
        </w:tc>
      </w:tr>
      <w:tr w:rsidR="00170ACE" w:rsidRPr="006A1318" w14:paraId="4F7CDDC6"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77DC0AA" w14:textId="77777777" w:rsidR="00170ACE" w:rsidRPr="006A1318" w:rsidRDefault="00170ACE"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E5516AB" w14:textId="77777777" w:rsidR="00170ACE" w:rsidRPr="006A1318" w:rsidRDefault="00170ACE"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~96,500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15380F3" w14:textId="77777777" w:rsidR="00170ACE" w:rsidRPr="006A1318" w:rsidRDefault="00170ACE"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~90,700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B86DA99" w14:textId="77777777" w:rsidR="00170ACE" w:rsidRPr="006A1318" w:rsidRDefault="00170ACE"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~1.06</w:t>
            </w:r>
          </w:p>
        </w:tc>
      </w:tr>
      <w:tr w:rsidR="00170ACE" w:rsidRPr="006A1318" w14:paraId="533BBD83"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454C5A2" w14:textId="77777777" w:rsidR="00170ACE" w:rsidRPr="006A1318" w:rsidRDefault="00170ACE"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32E7D04" w14:textId="77777777" w:rsidR="00170ACE" w:rsidRPr="006A1318" w:rsidRDefault="00170ACE"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108,996</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97EDFE3" w14:textId="77777777" w:rsidR="00170ACE" w:rsidRPr="006A1318" w:rsidRDefault="00170ACE"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90,727</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35FF4B6" w14:textId="77777777" w:rsidR="00170ACE" w:rsidRPr="006A1318" w:rsidRDefault="00170ACE"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1.20</w:t>
            </w:r>
          </w:p>
        </w:tc>
      </w:tr>
      <w:tr w:rsidR="00170ACE" w:rsidRPr="006A1318" w14:paraId="62C3D0DE"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5E22ACC" w14:textId="77777777" w:rsidR="00170ACE" w:rsidRPr="006A1318" w:rsidRDefault="00170ACE"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2022</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090B6A4" w14:textId="77777777" w:rsidR="00170ACE" w:rsidRPr="006A1318" w:rsidRDefault="00170ACE"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116,476</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ABB85F3" w14:textId="77777777" w:rsidR="00170ACE" w:rsidRPr="006A1318" w:rsidRDefault="00170ACE"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96,866</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70E82FC" w14:textId="77777777" w:rsidR="00170ACE" w:rsidRPr="006A1318" w:rsidRDefault="00170ACE"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1.20</w:t>
            </w:r>
          </w:p>
        </w:tc>
      </w:tr>
      <w:tr w:rsidR="00170ACE" w:rsidRPr="006A1318" w14:paraId="0C6052CD"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D30ADE4" w14:textId="77777777" w:rsidR="00170ACE" w:rsidRPr="006A1318" w:rsidRDefault="00170ACE"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2023</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F8BC41E" w14:textId="77777777" w:rsidR="00170ACE" w:rsidRPr="006A1318" w:rsidRDefault="00170ACE"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121,481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FEF86E4" w14:textId="77777777" w:rsidR="00170ACE" w:rsidRPr="006A1318" w:rsidRDefault="00170ACE"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101,531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316CA6C" w14:textId="77777777" w:rsidR="00170ACE" w:rsidRPr="006A1318" w:rsidRDefault="00170ACE"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1.20</w:t>
            </w:r>
          </w:p>
        </w:tc>
      </w:tr>
      <w:tr w:rsidR="00170ACE" w:rsidRPr="006A1318" w14:paraId="19BE5BE9"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6553379" w14:textId="77777777" w:rsidR="00170ACE" w:rsidRPr="006A1318" w:rsidRDefault="00170ACE"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2024</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DA4A137" w14:textId="77777777" w:rsidR="00170ACE" w:rsidRPr="006A1318" w:rsidRDefault="00170ACE"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124,474</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FC9A946" w14:textId="77777777" w:rsidR="00170ACE" w:rsidRPr="006A1318" w:rsidRDefault="00170ACE"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106,859</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66FCAA7" w14:textId="77777777" w:rsidR="00170ACE" w:rsidRPr="006A1318" w:rsidRDefault="00170ACE"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1.16</w:t>
            </w:r>
          </w:p>
        </w:tc>
      </w:tr>
    </w:tbl>
    <w:p w14:paraId="36D8BB0F" w14:textId="77777777" w:rsidR="00170ACE" w:rsidRPr="00170ACE" w:rsidRDefault="00170ACE" w:rsidP="00170ACE">
      <w:pPr>
        <w:shd w:val="clear" w:color="auto" w:fill="FDFBFA"/>
        <w:spacing w:before="100" w:beforeAutospacing="1" w:after="100" w:afterAutospacing="1" w:line="240" w:lineRule="auto"/>
        <w:rPr>
          <w:rFonts w:ascii="Arial" w:eastAsia="Times New Roman" w:hAnsi="Arial" w:cs="Arial"/>
          <w:color w:val="27251E"/>
          <w:kern w:val="0"/>
          <w:lang w:eastAsia="en-GB"/>
          <w14:ligatures w14:val="none"/>
        </w:rPr>
      </w:pPr>
      <w:r w:rsidRPr="00170ACE">
        <w:rPr>
          <w:rFonts w:ascii="Arial" w:eastAsia="Times New Roman" w:hAnsi="Arial" w:cs="Arial"/>
          <w:i/>
          <w:iCs/>
          <w:kern w:val="0"/>
          <w:lang w:eastAsia="en-GB"/>
          <w14:ligatures w14:val="none"/>
        </w:rPr>
        <w:lastRenderedPageBreak/>
        <w:t>Computed from Ford Annual Reports</w:t>
      </w:r>
    </w:p>
    <w:p w14:paraId="54EDEAE9" w14:textId="2C7123F2" w:rsidR="00170ACE" w:rsidRDefault="007207B4" w:rsidP="00170ACE">
      <w:p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7207B4">
        <w:rPr>
          <w:rFonts w:ascii="pplxSerif" w:eastAsia="Times New Roman" w:hAnsi="pplxSerif" w:cs="Times New Roman"/>
          <w:color w:val="27251E"/>
          <w:kern w:val="0"/>
          <w:lang w:eastAsia="en-GB"/>
          <w14:ligatures w14:val="none"/>
        </w:rPr>
        <w:t xml:space="preserve">The current ratio has been recorded as being </w:t>
      </w:r>
      <w:proofErr w:type="gramStart"/>
      <w:r w:rsidRPr="007207B4">
        <w:rPr>
          <w:rFonts w:ascii="pplxSerif" w:eastAsia="Times New Roman" w:hAnsi="pplxSerif" w:cs="Times New Roman"/>
          <w:color w:val="27251E"/>
          <w:kern w:val="0"/>
          <w:lang w:eastAsia="en-GB"/>
          <w14:ligatures w14:val="none"/>
        </w:rPr>
        <w:t>fairly stable</w:t>
      </w:r>
      <w:proofErr w:type="gramEnd"/>
      <w:r w:rsidRPr="007207B4">
        <w:rPr>
          <w:rFonts w:ascii="pplxSerif" w:eastAsia="Times New Roman" w:hAnsi="pplxSerif" w:cs="Times New Roman"/>
          <w:color w:val="27251E"/>
          <w:kern w:val="0"/>
          <w:lang w:eastAsia="en-GB"/>
          <w14:ligatures w14:val="none"/>
        </w:rPr>
        <w:t xml:space="preserve"> at 1.2x over the period indicating sufficient but not excessive short-term liquidity. It was only slightly worsened to 1.16x in 2024 due to the increase in the short-term debt of Ford Credit (up to $53.2 billion).</w:t>
      </w:r>
    </w:p>
    <w:p w14:paraId="65DED626" w14:textId="77777777" w:rsidR="007207B4" w:rsidRDefault="007207B4" w:rsidP="007207B4">
      <w:pPr>
        <w:pStyle w:val="my-2"/>
        <w:shd w:val="clear" w:color="auto" w:fill="FDFBFA"/>
        <w:rPr>
          <w:rFonts w:ascii="pplxSerif" w:hAnsi="pplxSerif"/>
          <w:color w:val="27251E"/>
        </w:rPr>
      </w:pPr>
      <w:r w:rsidRPr="007207B4">
        <w:rPr>
          <w:rFonts w:ascii="Arial" w:hAnsi="Arial" w:cs="Arial"/>
          <w:b/>
          <w:bCs/>
          <w:i/>
          <w:iCs/>
        </w:rPr>
        <w:t>Quick Ratio</w:t>
      </w:r>
      <w:r w:rsidRPr="007207B4">
        <w:rPr>
          <w:rFonts w:ascii="Arial" w:hAnsi="Arial" w:cs="Arial"/>
          <w:i/>
          <w:iCs/>
        </w:rPr>
        <w:t> (Current Assets less Inventories</w:t>
      </w:r>
      <w:r>
        <w:rPr>
          <w:rFonts w:ascii="pplxSerif" w:hAnsi="pplxSerif"/>
          <w:color w:val="27251E"/>
        </w:rPr>
        <w:t xml:space="preserve"> / Current Liabilities):</w:t>
      </w:r>
    </w:p>
    <w:tbl>
      <w:tblPr>
        <w:tblW w:w="5000" w:type="pct"/>
        <w:tblCellMar>
          <w:top w:w="15" w:type="dxa"/>
          <w:left w:w="15" w:type="dxa"/>
          <w:bottom w:w="15" w:type="dxa"/>
          <w:right w:w="15" w:type="dxa"/>
        </w:tblCellMar>
        <w:tblLook w:val="04A0" w:firstRow="1" w:lastRow="0" w:firstColumn="1" w:lastColumn="0" w:noHBand="0" w:noVBand="1"/>
      </w:tblPr>
      <w:tblGrid>
        <w:gridCol w:w="999"/>
        <w:gridCol w:w="3273"/>
        <w:gridCol w:w="2705"/>
        <w:gridCol w:w="2033"/>
      </w:tblGrid>
      <w:tr w:rsidR="007207B4" w:rsidRPr="006A1318" w14:paraId="6D812F1C" w14:textId="77777777" w:rsidTr="00AE2C18">
        <w:trPr>
          <w:tblHeader/>
        </w:trPr>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17BD07BE" w14:textId="77777777" w:rsidR="007207B4" w:rsidRPr="006A1318" w:rsidRDefault="007207B4"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Year</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49DEC297" w14:textId="77777777" w:rsidR="007207B4" w:rsidRPr="006A1318" w:rsidRDefault="007207B4"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Current Assets ($m)</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01DBE809" w14:textId="77777777" w:rsidR="007207B4" w:rsidRPr="006A1318" w:rsidRDefault="007207B4"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Inventories ($m)</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6C615831" w14:textId="77777777" w:rsidR="007207B4" w:rsidRPr="006A1318" w:rsidRDefault="007207B4"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Quick Ratio</w:t>
            </w:r>
          </w:p>
        </w:tc>
      </w:tr>
      <w:tr w:rsidR="007207B4" w:rsidRPr="006A1318" w14:paraId="1EB2C51F"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FF937BE"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2022</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6DC1D28"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116,476</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5577D05"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14,080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863FB77"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1.05</w:t>
            </w:r>
          </w:p>
        </w:tc>
      </w:tr>
      <w:tr w:rsidR="007207B4" w:rsidRPr="006A1318" w14:paraId="793FBBD2"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B40F547"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2023</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60E756B"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121,481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3BB4E6E"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15,651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3BCB386"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1.04</w:t>
            </w:r>
          </w:p>
        </w:tc>
      </w:tr>
      <w:tr w:rsidR="007207B4" w:rsidRPr="006A1318" w14:paraId="77B0AF2C"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D156492"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2024</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8C0037D"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124,474</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952B311"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14,951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4AC7927"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1.03</w:t>
            </w:r>
          </w:p>
        </w:tc>
      </w:tr>
    </w:tbl>
    <w:p w14:paraId="503D1B4D" w14:textId="77777777" w:rsidR="007207B4" w:rsidRPr="007207B4" w:rsidRDefault="007207B4" w:rsidP="007207B4">
      <w:pPr>
        <w:shd w:val="clear" w:color="auto" w:fill="FDFBFA"/>
        <w:spacing w:before="100" w:beforeAutospacing="1" w:after="100" w:afterAutospacing="1" w:line="240" w:lineRule="auto"/>
        <w:rPr>
          <w:rFonts w:ascii="Arial" w:eastAsia="Times New Roman" w:hAnsi="Arial" w:cs="Arial"/>
          <w:i/>
          <w:iCs/>
          <w:kern w:val="0"/>
          <w:lang w:eastAsia="en-GB"/>
          <w14:ligatures w14:val="none"/>
        </w:rPr>
      </w:pPr>
      <w:r w:rsidRPr="007207B4">
        <w:rPr>
          <w:rFonts w:ascii="Arial" w:eastAsia="Times New Roman" w:hAnsi="Arial" w:cs="Arial"/>
          <w:i/>
          <w:iCs/>
          <w:kern w:val="0"/>
          <w:lang w:eastAsia="en-GB"/>
          <w14:ligatures w14:val="none"/>
        </w:rPr>
        <w:t>Computed from Ford Annual Reports</w:t>
      </w:r>
    </w:p>
    <w:p w14:paraId="41AD0399" w14:textId="77777777" w:rsidR="007207B4" w:rsidRPr="007207B4" w:rsidRDefault="007207B4" w:rsidP="007207B4">
      <w:pPr>
        <w:rPr>
          <w:rFonts w:ascii="Arial" w:hAnsi="Arial" w:cs="Arial"/>
        </w:rPr>
      </w:pPr>
      <w:r w:rsidRPr="007207B4">
        <w:rPr>
          <w:rFonts w:ascii="Arial" w:hAnsi="Arial" w:cs="Arial"/>
        </w:rPr>
        <w:t>relies, in part, on the conversion of inventories. The inventories significantly decreased by a small margin of 15.7 billion to 15.0 billion in 2024 indicating a positive demand.</w:t>
      </w:r>
    </w:p>
    <w:p w14:paraId="610D6172" w14:textId="256FDC06" w:rsidR="007207B4" w:rsidRDefault="007207B4" w:rsidP="007207B4">
      <w:pPr>
        <w:rPr>
          <w:rFonts w:ascii="Arial" w:hAnsi="Arial" w:cs="Arial"/>
        </w:rPr>
      </w:pPr>
      <w:r w:rsidRPr="007207B4">
        <w:rPr>
          <w:rFonts w:ascii="Arial" w:hAnsi="Arial" w:cs="Arial"/>
        </w:rPr>
        <w:t>Cash and Liquidity: Company-level cash and marketable securities (not including Ford Credit) were also strong. At year-end 2023 and 2024, the total cash and equivalents were 24.9 and 22.9 billion respectively. In 2024, the marketable securities stood at $15.4 billion. The liquidity floor of the Company cash set by Ford is above $20 billion, which is in line with its policy set in the balance sheet.</w:t>
      </w:r>
    </w:p>
    <w:p w14:paraId="17A6AF2C" w14:textId="77777777" w:rsidR="007207B4" w:rsidRDefault="007207B4" w:rsidP="007207B4">
      <w:pPr>
        <w:rPr>
          <w:rFonts w:ascii="Arial" w:hAnsi="Arial" w:cs="Arial"/>
        </w:rPr>
      </w:pPr>
    </w:p>
    <w:p w14:paraId="32667A92" w14:textId="77777777" w:rsidR="007207B4" w:rsidRPr="006A1318" w:rsidRDefault="007207B4" w:rsidP="007207B4">
      <w:pPr>
        <w:shd w:val="clear" w:color="auto" w:fill="FDFBFA"/>
        <w:spacing w:before="100" w:beforeAutospacing="1" w:after="100" w:afterAutospacing="1" w:line="240" w:lineRule="auto"/>
        <w:outlineLvl w:val="1"/>
        <w:rPr>
          <w:rFonts w:ascii="pplxSerif" w:eastAsia="Times New Roman" w:hAnsi="pplxSerif" w:cs="Times New Roman"/>
          <w:b/>
          <w:bCs/>
          <w:color w:val="27251E"/>
          <w:kern w:val="0"/>
          <w:sz w:val="36"/>
          <w:szCs w:val="36"/>
          <w:lang w:eastAsia="en-GB"/>
          <w14:ligatures w14:val="none"/>
        </w:rPr>
      </w:pPr>
      <w:r w:rsidRPr="006A1318">
        <w:rPr>
          <w:rFonts w:ascii="pplxSerif" w:eastAsia="Times New Roman" w:hAnsi="pplxSerif" w:cs="Times New Roman"/>
          <w:b/>
          <w:bCs/>
          <w:color w:val="27251E"/>
          <w:kern w:val="0"/>
          <w:sz w:val="36"/>
          <w:szCs w:val="36"/>
          <w:lang w:eastAsia="en-GB"/>
          <w14:ligatures w14:val="none"/>
        </w:rPr>
        <w:t>1.5 Efficiency Ratios</w:t>
      </w:r>
    </w:p>
    <w:p w14:paraId="28EB76D5" w14:textId="77777777" w:rsidR="007207B4" w:rsidRPr="007207B4" w:rsidRDefault="007207B4" w:rsidP="007207B4">
      <w:pPr>
        <w:shd w:val="clear" w:color="auto" w:fill="FDFBFA"/>
        <w:spacing w:before="100" w:beforeAutospacing="1" w:after="100" w:afterAutospacing="1" w:line="240" w:lineRule="auto"/>
        <w:rPr>
          <w:rFonts w:ascii="Arial" w:eastAsia="Times New Roman" w:hAnsi="Arial" w:cs="Arial"/>
          <w:i/>
          <w:iCs/>
          <w:kern w:val="0"/>
          <w:lang w:eastAsia="en-GB"/>
          <w14:ligatures w14:val="none"/>
        </w:rPr>
      </w:pPr>
      <w:r w:rsidRPr="007207B4">
        <w:rPr>
          <w:rFonts w:ascii="Arial" w:eastAsia="Times New Roman" w:hAnsi="Arial" w:cs="Arial"/>
          <w:i/>
          <w:iCs/>
          <w:kern w:val="0"/>
          <w:lang w:eastAsia="en-GB"/>
          <w14:ligatures w14:val="none"/>
        </w:rPr>
        <w:t>Asset Turnover (Revenue / Total Assets):</w:t>
      </w:r>
    </w:p>
    <w:tbl>
      <w:tblPr>
        <w:tblW w:w="5000" w:type="pct"/>
        <w:tblCellMar>
          <w:top w:w="15" w:type="dxa"/>
          <w:left w:w="15" w:type="dxa"/>
          <w:bottom w:w="15" w:type="dxa"/>
          <w:right w:w="15" w:type="dxa"/>
        </w:tblCellMar>
        <w:tblLook w:val="04A0" w:firstRow="1" w:lastRow="0" w:firstColumn="1" w:lastColumn="0" w:noHBand="0" w:noVBand="1"/>
      </w:tblPr>
      <w:tblGrid>
        <w:gridCol w:w="1021"/>
        <w:gridCol w:w="2393"/>
        <w:gridCol w:w="2956"/>
        <w:gridCol w:w="2640"/>
      </w:tblGrid>
      <w:tr w:rsidR="007207B4" w:rsidRPr="006A1318" w14:paraId="6148175E" w14:textId="77777777" w:rsidTr="00AE2C18">
        <w:trPr>
          <w:tblHeader/>
        </w:trPr>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6C3A9DBF" w14:textId="77777777" w:rsidR="007207B4" w:rsidRPr="006A1318" w:rsidRDefault="007207B4"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Year</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1FC29675" w14:textId="77777777" w:rsidR="007207B4" w:rsidRPr="006A1318" w:rsidRDefault="007207B4"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Revenue ($m)</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0712D9E7" w14:textId="77777777" w:rsidR="007207B4" w:rsidRPr="006A1318" w:rsidRDefault="007207B4"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Total Assets ($m)</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793E2CC2" w14:textId="77777777" w:rsidR="007207B4" w:rsidRPr="006A1318" w:rsidRDefault="007207B4"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Asset Turnover</w:t>
            </w:r>
          </w:p>
        </w:tc>
      </w:tr>
      <w:tr w:rsidR="007207B4" w:rsidRPr="006A1318" w14:paraId="55147C9B"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5B56BF5"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2022</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BFB64AE"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158,057</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6523669"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255,884</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AFE33C3"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0.62</w:t>
            </w:r>
          </w:p>
        </w:tc>
      </w:tr>
      <w:tr w:rsidR="007207B4" w:rsidRPr="006A1318" w14:paraId="29909B65"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DFD2C11"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2023</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4902EEA"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176,191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A649D53"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273,310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0F45C95"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0.64</w:t>
            </w:r>
          </w:p>
        </w:tc>
      </w:tr>
      <w:tr w:rsidR="007207B4" w:rsidRPr="006A1318" w14:paraId="077396D3"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BA62E4F"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2024</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14B6484"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184,992</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45BF14B"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285,196</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644C62E"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0.65</w:t>
            </w:r>
          </w:p>
        </w:tc>
      </w:tr>
    </w:tbl>
    <w:p w14:paraId="786DD465" w14:textId="77777777" w:rsidR="007207B4" w:rsidRPr="007207B4" w:rsidRDefault="007207B4" w:rsidP="007207B4">
      <w:pPr>
        <w:shd w:val="clear" w:color="auto" w:fill="FDFBFA"/>
        <w:spacing w:before="100" w:beforeAutospacing="1" w:after="100" w:afterAutospacing="1" w:line="240" w:lineRule="auto"/>
        <w:rPr>
          <w:rFonts w:ascii="Arial" w:eastAsia="Times New Roman" w:hAnsi="Arial" w:cs="Arial"/>
          <w:i/>
          <w:iCs/>
          <w:kern w:val="0"/>
          <w:lang w:eastAsia="en-GB"/>
          <w14:ligatures w14:val="none"/>
        </w:rPr>
      </w:pPr>
      <w:r w:rsidRPr="007207B4">
        <w:rPr>
          <w:rFonts w:ascii="Arial" w:eastAsia="Times New Roman" w:hAnsi="Arial" w:cs="Arial"/>
          <w:kern w:val="0"/>
          <w:lang w:eastAsia="en-GB"/>
          <w14:ligatures w14:val="none"/>
        </w:rPr>
        <w:t>Computed from Ford Annual Reports</w:t>
      </w:r>
    </w:p>
    <w:p w14:paraId="028B6D11" w14:textId="61BFCFB5" w:rsidR="007207B4" w:rsidRDefault="007207B4" w:rsidP="007207B4">
      <w:pPr>
        <w:rPr>
          <w:rFonts w:ascii="Arial" w:hAnsi="Arial" w:cs="Arial"/>
        </w:rPr>
      </w:pPr>
      <w:r w:rsidRPr="007207B4">
        <w:rPr>
          <w:rFonts w:ascii="Arial" w:hAnsi="Arial" w:cs="Arial"/>
        </w:rPr>
        <w:lastRenderedPageBreak/>
        <w:t>There is relatively low asset turnover (0.62–0.65x) as is characteristic of a capital-intensive automotive company that has a large captive finance subsidiary. The small increasing tendency is good.</w:t>
      </w:r>
    </w:p>
    <w:p w14:paraId="231FD287" w14:textId="77777777" w:rsidR="007207B4" w:rsidRPr="007207B4" w:rsidRDefault="007207B4" w:rsidP="007207B4">
      <w:pPr>
        <w:shd w:val="clear" w:color="auto" w:fill="FDFBFA"/>
        <w:spacing w:before="100" w:beforeAutospacing="1" w:after="100" w:afterAutospacing="1" w:line="240" w:lineRule="auto"/>
        <w:rPr>
          <w:rFonts w:ascii="Arial" w:eastAsia="Times New Roman" w:hAnsi="Arial" w:cs="Arial"/>
          <w:kern w:val="0"/>
          <w:lang w:eastAsia="en-GB"/>
          <w14:ligatures w14:val="none"/>
        </w:rPr>
      </w:pPr>
      <w:r>
        <w:rPr>
          <w:rFonts w:ascii="Arial" w:hAnsi="Arial" w:cs="Arial"/>
        </w:rPr>
        <w:br/>
      </w:r>
      <w:r w:rsidRPr="007207B4">
        <w:rPr>
          <w:rFonts w:ascii="Arial" w:eastAsia="Times New Roman" w:hAnsi="Arial" w:cs="Arial"/>
          <w:b/>
          <w:bCs/>
          <w:kern w:val="0"/>
          <w:lang w:eastAsia="en-GB"/>
          <w14:ligatures w14:val="none"/>
        </w:rPr>
        <w:t>Inventory Days</w:t>
      </w:r>
      <w:r w:rsidRPr="007207B4">
        <w:rPr>
          <w:rFonts w:ascii="Arial" w:eastAsia="Times New Roman" w:hAnsi="Arial" w:cs="Arial"/>
          <w:kern w:val="0"/>
          <w:lang w:eastAsia="en-GB"/>
          <w14:ligatures w14:val="none"/>
        </w:rPr>
        <w:t> (Inventories / (Cost of Sales / 365)):</w:t>
      </w:r>
    </w:p>
    <w:tbl>
      <w:tblPr>
        <w:tblW w:w="5000" w:type="pct"/>
        <w:tblCellMar>
          <w:top w:w="15" w:type="dxa"/>
          <w:left w:w="15" w:type="dxa"/>
          <w:bottom w:w="15" w:type="dxa"/>
          <w:right w:w="15" w:type="dxa"/>
        </w:tblCellMar>
        <w:tblLook w:val="04A0" w:firstRow="1" w:lastRow="0" w:firstColumn="1" w:lastColumn="0" w:noHBand="0" w:noVBand="1"/>
      </w:tblPr>
      <w:tblGrid>
        <w:gridCol w:w="973"/>
        <w:gridCol w:w="2634"/>
        <w:gridCol w:w="2936"/>
        <w:gridCol w:w="2467"/>
      </w:tblGrid>
      <w:tr w:rsidR="007207B4" w:rsidRPr="006A1318" w14:paraId="6192BE55" w14:textId="77777777" w:rsidTr="00AE2C18">
        <w:trPr>
          <w:tblHeader/>
        </w:trPr>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6688F4CE" w14:textId="77777777" w:rsidR="007207B4" w:rsidRPr="006A1318" w:rsidRDefault="007207B4"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Year</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2F2460DF" w14:textId="77777777" w:rsidR="007207B4" w:rsidRPr="006A1318" w:rsidRDefault="007207B4"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Inventories ($m)</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21A52348" w14:textId="77777777" w:rsidR="007207B4" w:rsidRPr="006A1318" w:rsidRDefault="007207B4"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Cost of Sales ($m)</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57473395" w14:textId="77777777" w:rsidR="007207B4" w:rsidRPr="006A1318" w:rsidRDefault="007207B4"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Inventory Days</w:t>
            </w:r>
          </w:p>
        </w:tc>
      </w:tr>
      <w:tr w:rsidR="007207B4" w:rsidRPr="006A1318" w14:paraId="419529C6"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59CAF99"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2022</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7096FEC"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14,080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017ADCA"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134,397</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772FE5D"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38.2 days</w:t>
            </w:r>
          </w:p>
        </w:tc>
      </w:tr>
      <w:tr w:rsidR="007207B4" w:rsidRPr="006A1318" w14:paraId="7E01026B"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27071AA"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2023</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EC54D56"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15,651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234E07D"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150,550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1950C2D"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37.9 days</w:t>
            </w:r>
          </w:p>
        </w:tc>
      </w:tr>
      <w:tr w:rsidR="007207B4" w:rsidRPr="006A1318" w14:paraId="26041551"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7C6CE9E"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2024</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0F12DBB"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14,951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F7450D2"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158,434</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C4D8C16"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34.5 days</w:t>
            </w:r>
          </w:p>
        </w:tc>
      </w:tr>
    </w:tbl>
    <w:p w14:paraId="05B2786E" w14:textId="77777777" w:rsidR="007207B4" w:rsidRPr="007207B4" w:rsidRDefault="007207B4" w:rsidP="007207B4">
      <w:pPr>
        <w:pStyle w:val="my-2"/>
        <w:shd w:val="clear" w:color="auto" w:fill="FDFBFA"/>
        <w:rPr>
          <w:rFonts w:ascii="Arial" w:hAnsi="Arial" w:cs="Arial"/>
        </w:rPr>
      </w:pPr>
      <w:r w:rsidRPr="007207B4">
        <w:rPr>
          <w:rFonts w:ascii="Arial" w:hAnsi="Arial" w:cs="Arial"/>
          <w:i/>
          <w:iCs/>
        </w:rPr>
        <w:t>Computed from Ford Annual Reports</w:t>
      </w:r>
    </w:p>
    <w:p w14:paraId="35FFBE64" w14:textId="5431E905" w:rsidR="007207B4" w:rsidRDefault="007207B4" w:rsidP="007207B4">
      <w:pPr>
        <w:rPr>
          <w:rFonts w:ascii="Arial" w:hAnsi="Arial" w:cs="Arial"/>
        </w:rPr>
      </w:pPr>
      <w:r w:rsidRPr="007207B4">
        <w:rPr>
          <w:rFonts w:ascii="Arial" w:hAnsi="Arial" w:cs="Arial"/>
        </w:rPr>
        <w:t xml:space="preserve">The 2024 inventory days of 34.5 days are the lowest of the five-year window, which is indicative of more efficient supply chain management and normalisation after the </w:t>
      </w:r>
      <w:proofErr w:type="gramStart"/>
      <w:r w:rsidRPr="007207B4">
        <w:rPr>
          <w:rFonts w:ascii="Arial" w:hAnsi="Arial" w:cs="Arial"/>
        </w:rPr>
        <w:t>20212022 semiconductor</w:t>
      </w:r>
      <w:proofErr w:type="gramEnd"/>
      <w:r w:rsidRPr="007207B4">
        <w:rPr>
          <w:rFonts w:ascii="Arial" w:hAnsi="Arial" w:cs="Arial"/>
        </w:rPr>
        <w:t xml:space="preserve"> shortage.</w:t>
      </w:r>
    </w:p>
    <w:p w14:paraId="284A89B7" w14:textId="77777777" w:rsidR="007207B4" w:rsidRPr="007207B4" w:rsidRDefault="007207B4" w:rsidP="007207B4">
      <w:pPr>
        <w:shd w:val="clear" w:color="auto" w:fill="FDFBFA"/>
        <w:spacing w:before="100" w:beforeAutospacing="1" w:after="100" w:afterAutospacing="1" w:line="240" w:lineRule="auto"/>
        <w:rPr>
          <w:rFonts w:ascii="Arial" w:eastAsia="Times New Roman" w:hAnsi="Arial" w:cs="Arial"/>
          <w:kern w:val="0"/>
          <w:lang w:eastAsia="en-GB"/>
          <w14:ligatures w14:val="none"/>
        </w:rPr>
      </w:pPr>
      <w:r w:rsidRPr="007207B4">
        <w:rPr>
          <w:rFonts w:ascii="Arial" w:eastAsia="Times New Roman" w:hAnsi="Arial" w:cs="Arial"/>
          <w:b/>
          <w:bCs/>
          <w:kern w:val="0"/>
          <w:lang w:eastAsia="en-GB"/>
          <w14:ligatures w14:val="none"/>
        </w:rPr>
        <w:t>Receivables Days</w:t>
      </w:r>
      <w:r w:rsidRPr="007207B4">
        <w:rPr>
          <w:rFonts w:ascii="Arial" w:eastAsia="Times New Roman" w:hAnsi="Arial" w:cs="Arial"/>
          <w:kern w:val="0"/>
          <w:lang w:eastAsia="en-GB"/>
          <w14:ligatures w14:val="none"/>
        </w:rPr>
        <w:t> (Trade and Other Receivables / (Revenue / 365)):</w:t>
      </w:r>
    </w:p>
    <w:tbl>
      <w:tblPr>
        <w:tblW w:w="5000" w:type="pct"/>
        <w:tblCellMar>
          <w:top w:w="15" w:type="dxa"/>
          <w:left w:w="15" w:type="dxa"/>
          <w:bottom w:w="15" w:type="dxa"/>
          <w:right w:w="15" w:type="dxa"/>
        </w:tblCellMar>
        <w:tblLook w:val="04A0" w:firstRow="1" w:lastRow="0" w:firstColumn="1" w:lastColumn="0" w:noHBand="0" w:noVBand="1"/>
      </w:tblPr>
      <w:tblGrid>
        <w:gridCol w:w="897"/>
        <w:gridCol w:w="3384"/>
        <w:gridCol w:w="2101"/>
        <w:gridCol w:w="2628"/>
      </w:tblGrid>
      <w:tr w:rsidR="007207B4" w:rsidRPr="006A1318" w14:paraId="768F5E10" w14:textId="77777777" w:rsidTr="00AE2C18">
        <w:trPr>
          <w:tblHeader/>
        </w:trPr>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57FBEDF9" w14:textId="77777777" w:rsidR="007207B4" w:rsidRPr="006A1318" w:rsidRDefault="007207B4"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Year</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76E55CFF" w14:textId="77777777" w:rsidR="007207B4" w:rsidRPr="006A1318" w:rsidRDefault="007207B4"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Trade Receivables ($m)</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582D96ED" w14:textId="77777777" w:rsidR="007207B4" w:rsidRPr="006A1318" w:rsidRDefault="007207B4"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Revenue ($m)</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6803D857" w14:textId="77777777" w:rsidR="007207B4" w:rsidRPr="006A1318" w:rsidRDefault="007207B4"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Receivables Days</w:t>
            </w:r>
          </w:p>
        </w:tc>
      </w:tr>
      <w:tr w:rsidR="007207B4" w:rsidRPr="006A1318" w14:paraId="5845355D"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518918E"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2022</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A94FDA1"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15,729</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0D2EBDE"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158,057</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6AF9072"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36.3 days</w:t>
            </w:r>
          </w:p>
        </w:tc>
      </w:tr>
      <w:tr w:rsidR="007207B4" w:rsidRPr="006A1318" w14:paraId="08A52A6D"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21D035A"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2023</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E169A57"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15,601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42BE52E"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176,191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303ECED"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32.3 days</w:t>
            </w:r>
          </w:p>
        </w:tc>
      </w:tr>
      <w:tr w:rsidR="007207B4" w:rsidRPr="006A1318" w14:paraId="6642B7AF"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3594168"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2024</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22F1A42"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14,723</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40F29E5"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184,992</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4C720D1"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29.1 days</w:t>
            </w:r>
          </w:p>
        </w:tc>
      </w:tr>
    </w:tbl>
    <w:p w14:paraId="288D9289" w14:textId="77777777" w:rsidR="007207B4" w:rsidRPr="006A1318" w:rsidRDefault="007207B4" w:rsidP="007207B4">
      <w:pPr>
        <w:pStyle w:val="my-2"/>
        <w:shd w:val="clear" w:color="auto" w:fill="FDFBFA"/>
        <w:rPr>
          <w:rFonts w:ascii="pplxSerif" w:hAnsi="pplxSerif"/>
          <w:color w:val="27251E"/>
        </w:rPr>
      </w:pPr>
      <w:r>
        <w:t xml:space="preserve"> </w:t>
      </w:r>
      <w:r w:rsidRPr="007207B4">
        <w:rPr>
          <w:rFonts w:ascii="Arial" w:hAnsi="Arial" w:cs="Arial"/>
          <w:i/>
          <w:iCs/>
        </w:rPr>
        <w:t>Computed from Ford Annual Reports</w:t>
      </w:r>
    </w:p>
    <w:p w14:paraId="28CA52D9" w14:textId="38D4BCB5" w:rsidR="007207B4" w:rsidRDefault="007207B4" w:rsidP="007207B4">
      <w:pPr>
        <w:rPr>
          <w:rFonts w:ascii="Arial" w:hAnsi="Arial" w:cs="Arial"/>
        </w:rPr>
      </w:pPr>
      <w:r w:rsidRPr="007207B4">
        <w:rPr>
          <w:rFonts w:ascii="Arial" w:hAnsi="Arial" w:cs="Arial"/>
        </w:rPr>
        <w:t xml:space="preserve">The decrease of the </w:t>
      </w:r>
      <w:proofErr w:type="gramStart"/>
      <w:r w:rsidRPr="007207B4">
        <w:rPr>
          <w:rFonts w:ascii="Arial" w:hAnsi="Arial" w:cs="Arial"/>
        </w:rPr>
        <w:t>receivables</w:t>
      </w:r>
      <w:proofErr w:type="gramEnd"/>
      <w:r w:rsidRPr="007207B4">
        <w:rPr>
          <w:rFonts w:ascii="Arial" w:hAnsi="Arial" w:cs="Arial"/>
        </w:rPr>
        <w:t xml:space="preserve"> days by 36.3 to 29.1 days indicates enhancement of the efficiency of collections especially to the cash flow.</w:t>
      </w:r>
    </w:p>
    <w:p w14:paraId="69EF060E" w14:textId="77777777" w:rsidR="007207B4" w:rsidRPr="006A1318" w:rsidRDefault="007207B4" w:rsidP="007207B4">
      <w:pPr>
        <w:shd w:val="clear" w:color="auto" w:fill="FDFBFA"/>
        <w:spacing w:before="100" w:beforeAutospacing="1" w:after="100" w:afterAutospacing="1" w:line="240" w:lineRule="auto"/>
        <w:outlineLvl w:val="1"/>
        <w:rPr>
          <w:rFonts w:ascii="pplxSerif" w:eastAsia="Times New Roman" w:hAnsi="pplxSerif" w:cs="Times New Roman"/>
          <w:b/>
          <w:bCs/>
          <w:color w:val="27251E"/>
          <w:kern w:val="0"/>
          <w:sz w:val="36"/>
          <w:szCs w:val="36"/>
          <w:lang w:eastAsia="en-GB"/>
          <w14:ligatures w14:val="none"/>
        </w:rPr>
      </w:pPr>
      <w:r w:rsidRPr="006A1318">
        <w:rPr>
          <w:rFonts w:ascii="pplxSerif" w:eastAsia="Times New Roman" w:hAnsi="pplxSerif" w:cs="Times New Roman"/>
          <w:b/>
          <w:bCs/>
          <w:color w:val="27251E"/>
          <w:kern w:val="0"/>
          <w:sz w:val="36"/>
          <w:szCs w:val="36"/>
          <w:lang w:eastAsia="en-GB"/>
          <w14:ligatures w14:val="none"/>
        </w:rPr>
        <w:t>1.6 Gearing and Leverage Ratios</w:t>
      </w:r>
    </w:p>
    <w:p w14:paraId="11C8457E" w14:textId="77777777" w:rsidR="007207B4" w:rsidRDefault="007207B4" w:rsidP="007207B4">
      <w:p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7207B4">
        <w:rPr>
          <w:rFonts w:ascii="pplxSerif" w:eastAsia="Times New Roman" w:hAnsi="pplxSerif" w:cs="Times New Roman"/>
          <w:b/>
          <w:bCs/>
          <w:color w:val="27251E"/>
          <w:kern w:val="0"/>
          <w:lang w:eastAsia="en-GB"/>
          <w14:ligatures w14:val="none"/>
        </w:rPr>
        <w:t>Debt-to-Equity Ratio</w:t>
      </w:r>
      <w:r w:rsidRPr="006A1318">
        <w:rPr>
          <w:rFonts w:ascii="pplxSerif" w:eastAsia="Times New Roman" w:hAnsi="pplxSerif" w:cs="Times New Roman"/>
          <w:color w:val="27251E"/>
          <w:kern w:val="0"/>
          <w:lang w:eastAsia="en-GB"/>
          <w14:ligatures w14:val="none"/>
        </w:rPr>
        <w:t xml:space="preserve"> (Total Long-Term Debt excl. Ford Credit / Total Equity </w:t>
      </w:r>
      <w:proofErr w:type="spellStart"/>
      <w:r w:rsidRPr="006A1318">
        <w:rPr>
          <w:rFonts w:ascii="pplxSerif" w:eastAsia="Times New Roman" w:hAnsi="pplxSerif" w:cs="Times New Roman"/>
          <w:color w:val="27251E"/>
          <w:kern w:val="0"/>
          <w:lang w:eastAsia="en-GB"/>
          <w14:ligatures w14:val="none"/>
        </w:rPr>
        <w:t>attr</w:t>
      </w:r>
      <w:proofErr w:type="spellEnd"/>
      <w:r w:rsidRPr="006A1318">
        <w:rPr>
          <w:rFonts w:ascii="pplxSerif" w:eastAsia="Times New Roman" w:hAnsi="pplxSerif" w:cs="Times New Roman"/>
          <w:color w:val="27251E"/>
          <w:kern w:val="0"/>
          <w:lang w:eastAsia="en-GB"/>
          <w14:ligatures w14:val="none"/>
        </w:rPr>
        <w:t>. Ford):</w:t>
      </w:r>
    </w:p>
    <w:p w14:paraId="172698D5" w14:textId="77777777" w:rsidR="007207B4" w:rsidRDefault="007207B4" w:rsidP="007207B4">
      <w:p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p>
    <w:p w14:paraId="2FE60401" w14:textId="77777777" w:rsidR="007207B4" w:rsidRPr="006A1318" w:rsidRDefault="007207B4" w:rsidP="007207B4">
      <w:p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p>
    <w:tbl>
      <w:tblPr>
        <w:tblW w:w="5000" w:type="pct"/>
        <w:tblCellMar>
          <w:top w:w="15" w:type="dxa"/>
          <w:left w:w="15" w:type="dxa"/>
          <w:bottom w:w="15" w:type="dxa"/>
          <w:right w:w="15" w:type="dxa"/>
        </w:tblCellMar>
        <w:tblLook w:val="04A0" w:firstRow="1" w:lastRow="0" w:firstColumn="1" w:lastColumn="0" w:noHBand="0" w:noVBand="1"/>
      </w:tblPr>
      <w:tblGrid>
        <w:gridCol w:w="804"/>
        <w:gridCol w:w="3806"/>
        <w:gridCol w:w="2767"/>
        <w:gridCol w:w="1633"/>
      </w:tblGrid>
      <w:tr w:rsidR="007207B4" w:rsidRPr="006A1318" w14:paraId="5CD606C2" w14:textId="77777777" w:rsidTr="00AE2C18">
        <w:trPr>
          <w:tblHeader/>
        </w:trPr>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4B1EB6A8" w14:textId="77777777" w:rsidR="007207B4" w:rsidRPr="006A1318" w:rsidRDefault="007207B4"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lastRenderedPageBreak/>
              <w:t>Year</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74523A99" w14:textId="77777777" w:rsidR="007207B4" w:rsidRPr="006A1318" w:rsidRDefault="007207B4"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LT Debt excl. Ford Credit ($m)</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119EEB2F" w14:textId="77777777" w:rsidR="007207B4" w:rsidRPr="006A1318" w:rsidRDefault="007207B4"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 xml:space="preserve">Equity </w:t>
            </w:r>
            <w:proofErr w:type="spellStart"/>
            <w:r w:rsidRPr="006A1318">
              <w:rPr>
                <w:rFonts w:ascii="Arial" w:eastAsia="Times New Roman" w:hAnsi="Arial" w:cs="Arial"/>
                <w:b/>
                <w:bCs/>
                <w:kern w:val="0"/>
                <w:lang w:eastAsia="en-GB"/>
                <w14:ligatures w14:val="none"/>
              </w:rPr>
              <w:t>attr</w:t>
            </w:r>
            <w:proofErr w:type="spellEnd"/>
            <w:r w:rsidRPr="006A1318">
              <w:rPr>
                <w:rFonts w:ascii="Arial" w:eastAsia="Times New Roman" w:hAnsi="Arial" w:cs="Arial"/>
                <w:b/>
                <w:bCs/>
                <w:kern w:val="0"/>
                <w:lang w:eastAsia="en-GB"/>
                <w14:ligatures w14:val="none"/>
              </w:rPr>
              <w:t>. Ford ($m)</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18B11742" w14:textId="77777777" w:rsidR="007207B4" w:rsidRPr="006A1318" w:rsidRDefault="007207B4"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Debt/Equity</w:t>
            </w:r>
          </w:p>
        </w:tc>
      </w:tr>
      <w:tr w:rsidR="007207B4" w:rsidRPr="006A1318" w14:paraId="50936E0A"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9CE1AC5"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2E5A653"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17,200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F2A7ED2"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48,519</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C4FE865"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0.35</w:t>
            </w:r>
          </w:p>
        </w:tc>
      </w:tr>
      <w:tr w:rsidR="007207B4" w:rsidRPr="006A1318" w14:paraId="6C63E872"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2F15F82"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2022</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0E9CAF4"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19,200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41BCC7A"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43,242</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9805C5C"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0.44</w:t>
            </w:r>
          </w:p>
        </w:tc>
      </w:tr>
      <w:tr w:rsidR="007207B4" w:rsidRPr="006A1318" w14:paraId="14D1E880"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FD95200"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2023</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F2BBC1D"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19,467</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BDC96E1"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42,773</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894F042"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0.46</w:t>
            </w:r>
          </w:p>
        </w:tc>
      </w:tr>
      <w:tr w:rsidR="007207B4" w:rsidRPr="006A1318" w14:paraId="6F0C0D22"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3D125C7"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2024</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9A334BD"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18,898</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52AEA4A"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44,835</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A6AD220"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0.42</w:t>
            </w:r>
          </w:p>
        </w:tc>
      </w:tr>
    </w:tbl>
    <w:p w14:paraId="3C60C6C4" w14:textId="77777777" w:rsidR="007207B4" w:rsidRPr="007207B4" w:rsidRDefault="007207B4" w:rsidP="007207B4">
      <w:pPr>
        <w:pStyle w:val="my-2"/>
        <w:shd w:val="clear" w:color="auto" w:fill="FDFBFA"/>
        <w:rPr>
          <w:rFonts w:ascii="Arial" w:hAnsi="Arial" w:cs="Arial"/>
        </w:rPr>
      </w:pPr>
      <w:r w:rsidRPr="007207B4">
        <w:rPr>
          <w:rFonts w:ascii="Arial" w:hAnsi="Arial" w:cs="Arial"/>
        </w:rPr>
        <w:t>Computed from Ford</w:t>
      </w:r>
      <w:r w:rsidRPr="007207B4">
        <w:rPr>
          <w:rFonts w:ascii="Arial" w:hAnsi="Arial" w:cs="Arial"/>
          <w:i/>
          <w:iCs/>
        </w:rPr>
        <w:t xml:space="preserve"> Annual Reports</w:t>
      </w:r>
    </w:p>
    <w:p w14:paraId="70C5A8F0" w14:textId="22B57710" w:rsidR="007207B4" w:rsidRDefault="007207B4" w:rsidP="007207B4">
      <w:pPr>
        <w:rPr>
          <w:rFonts w:ascii="Segoe UI" w:hAnsi="Segoe UI" w:cs="Segoe UI"/>
          <w:color w:val="2B2D38"/>
          <w:sz w:val="23"/>
          <w:szCs w:val="23"/>
          <w:shd w:val="clear" w:color="auto" w:fill="FFFFFF"/>
        </w:rPr>
      </w:pPr>
      <w:r>
        <w:rPr>
          <w:rFonts w:ascii="Segoe UI" w:hAnsi="Segoe UI" w:cs="Segoe UI"/>
          <w:color w:val="2B2D38"/>
          <w:sz w:val="23"/>
          <w:szCs w:val="23"/>
          <w:shd w:val="clear" w:color="auto" w:fill="FFFFFF"/>
        </w:rPr>
        <w:t>The Ford Company</w:t>
      </w:r>
      <w:r>
        <w:rPr>
          <w:rFonts w:ascii="Segoe UI" w:hAnsi="Segoe UI" w:cs="Segoe UI"/>
          <w:color w:val="2B2D38"/>
          <w:sz w:val="23"/>
          <w:szCs w:val="23"/>
          <w:shd w:val="clear" w:color="auto" w:fill="FFFFFF"/>
        </w:rPr>
        <w:t xml:space="preserve"> </w:t>
      </w:r>
      <w:r>
        <w:rPr>
          <w:rFonts w:ascii="Segoe UI" w:hAnsi="Segoe UI" w:cs="Segoe UI"/>
          <w:color w:val="2B2D38"/>
          <w:sz w:val="23"/>
          <w:szCs w:val="23"/>
          <w:shd w:val="clear" w:color="auto" w:fill="FFFFFF"/>
        </w:rPr>
        <w:t xml:space="preserve">long-term debt to equity ratio is </w:t>
      </w:r>
      <w:proofErr w:type="gramStart"/>
      <w:r>
        <w:rPr>
          <w:rFonts w:ascii="Segoe UI" w:hAnsi="Segoe UI" w:cs="Segoe UI"/>
          <w:color w:val="2B2D38"/>
          <w:sz w:val="23"/>
          <w:szCs w:val="23"/>
          <w:shd w:val="clear" w:color="auto" w:fill="FFFFFF"/>
        </w:rPr>
        <w:t>pretty moderate</w:t>
      </w:r>
      <w:proofErr w:type="gramEnd"/>
      <w:r>
        <w:rPr>
          <w:rFonts w:ascii="Segoe UI" w:hAnsi="Segoe UI" w:cs="Segoe UI"/>
          <w:color w:val="2B2D38"/>
          <w:sz w:val="23"/>
          <w:szCs w:val="23"/>
          <w:shd w:val="clear" w:color="auto" w:fill="FFFFFF"/>
        </w:rPr>
        <w:t>. It is at 0.42 times in 2024. This is the ratio for the Ford Company. The Ford Company interest expense on its debt not including Ford Credit went down. It was one point three billion dollars, in 2023. Then it became one point one billion dollars in 2024. This shows that the Ford Company is managing its debt in a way. The Ford Company is doing this for its debt excluding Ford Credit.</w:t>
      </w:r>
    </w:p>
    <w:p w14:paraId="56945DAF" w14:textId="77777777" w:rsidR="007207B4" w:rsidRDefault="007207B4" w:rsidP="007207B4">
      <w:pPr>
        <w:pStyle w:val="my-2"/>
        <w:shd w:val="clear" w:color="auto" w:fill="FDFBFA"/>
        <w:rPr>
          <w:rFonts w:ascii="pplxSerif" w:hAnsi="pplxSerif"/>
          <w:color w:val="27251E"/>
        </w:rPr>
      </w:pPr>
      <w:r w:rsidRPr="007207B4">
        <w:t>Interest Coverage Ratio</w:t>
      </w:r>
      <w:r w:rsidRPr="007207B4">
        <w:rPr>
          <w:rFonts w:ascii="pplxSerif" w:hAnsi="pplxSerif"/>
          <w:b/>
          <w:bCs/>
          <w:color w:val="27251E"/>
        </w:rPr>
        <w:t> (</w:t>
      </w:r>
      <w:r>
        <w:rPr>
          <w:rFonts w:ascii="pplxSerif" w:hAnsi="pplxSerif"/>
          <w:color w:val="27251E"/>
        </w:rPr>
        <w:t>Adjusted EBIT / Interest Expense excl. Ford Credit):</w:t>
      </w:r>
    </w:p>
    <w:tbl>
      <w:tblPr>
        <w:tblW w:w="5000" w:type="pct"/>
        <w:tblCellMar>
          <w:top w:w="15" w:type="dxa"/>
          <w:left w:w="15" w:type="dxa"/>
          <w:bottom w:w="15" w:type="dxa"/>
          <w:right w:w="15" w:type="dxa"/>
        </w:tblCellMar>
        <w:tblLook w:val="04A0" w:firstRow="1" w:lastRow="0" w:firstColumn="1" w:lastColumn="0" w:noHBand="0" w:noVBand="1"/>
      </w:tblPr>
      <w:tblGrid>
        <w:gridCol w:w="876"/>
        <w:gridCol w:w="2776"/>
        <w:gridCol w:w="3094"/>
        <w:gridCol w:w="2264"/>
      </w:tblGrid>
      <w:tr w:rsidR="007207B4" w:rsidRPr="006A1318" w14:paraId="4DDE552A" w14:textId="77777777" w:rsidTr="00AE2C18">
        <w:trPr>
          <w:tblHeader/>
        </w:trPr>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14DAE076" w14:textId="77777777" w:rsidR="007207B4" w:rsidRPr="006A1318" w:rsidRDefault="007207B4"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Year</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2BE1D933" w14:textId="77777777" w:rsidR="007207B4" w:rsidRPr="006A1318" w:rsidRDefault="007207B4"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Adjusted EBIT ($m)</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12563433" w14:textId="77777777" w:rsidR="007207B4" w:rsidRPr="006A1318" w:rsidRDefault="007207B4"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Interest Expense ($m)</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101D44A0" w14:textId="77777777" w:rsidR="007207B4" w:rsidRPr="006A1318" w:rsidRDefault="007207B4"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Coverage Ratio</w:t>
            </w:r>
          </w:p>
        </w:tc>
      </w:tr>
      <w:tr w:rsidR="007207B4" w:rsidRPr="006A1318" w14:paraId="4246061B"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575F815"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2022</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9BB36EF"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10,415</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E3771F3"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1,259</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01B4C2C"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8.3x</w:t>
            </w:r>
          </w:p>
        </w:tc>
      </w:tr>
      <w:tr w:rsidR="007207B4" w:rsidRPr="006A1318" w14:paraId="01A2C9FC"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36516A6"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2023</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82293CE"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10,416</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18D13D6"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1,302</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C3ED5F4"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8.0x</w:t>
            </w:r>
          </w:p>
        </w:tc>
      </w:tr>
      <w:tr w:rsidR="007207B4" w:rsidRPr="006A1318" w14:paraId="3732B905"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D2B81F1"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2024</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924D9A2"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10,208</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5BE1469"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1,115</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821E3F3" w14:textId="77777777" w:rsidR="007207B4" w:rsidRPr="006A1318" w:rsidRDefault="007207B4"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9.2x</w:t>
            </w:r>
          </w:p>
        </w:tc>
      </w:tr>
    </w:tbl>
    <w:p w14:paraId="2FF0C331" w14:textId="77777777" w:rsidR="007207B4" w:rsidRPr="007207B4" w:rsidRDefault="007207B4" w:rsidP="007207B4">
      <w:pPr>
        <w:pStyle w:val="my-2"/>
        <w:shd w:val="clear" w:color="auto" w:fill="FDFBFA"/>
        <w:rPr>
          <w:rFonts w:ascii="Arial" w:hAnsi="Arial" w:cs="Arial"/>
        </w:rPr>
      </w:pPr>
      <w:r w:rsidRPr="007207B4">
        <w:rPr>
          <w:rFonts w:ascii="Arial" w:hAnsi="Arial" w:cs="Arial"/>
        </w:rPr>
        <w:t>Computed from Ford Annual Reports</w:t>
      </w:r>
    </w:p>
    <w:p w14:paraId="3AFA02D5" w14:textId="77777777" w:rsidR="00A260DF" w:rsidRDefault="00A260DF" w:rsidP="00A260DF">
      <w:p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6A1318">
        <w:rPr>
          <w:rFonts w:ascii="pplxSerif" w:eastAsia="Times New Roman" w:hAnsi="pplxSerif" w:cs="Times New Roman"/>
          <w:color w:val="27251E"/>
          <w:kern w:val="0"/>
          <w:lang w:eastAsia="en-GB"/>
          <w14:ligatures w14:val="none"/>
        </w:rPr>
        <w:t>An interest coverage ratio above 8x is strong, indicating Ford comfortably services its corporate debt. This is in line with investment-grade credit ratings (BBB- / Ba1 / BBB Low) maintained by the major rating agencies.</w:t>
      </w:r>
    </w:p>
    <w:p w14:paraId="65C3C199" w14:textId="77777777" w:rsidR="00A260DF" w:rsidRDefault="00A260DF" w:rsidP="00A260DF">
      <w:pPr>
        <w:shd w:val="clear" w:color="auto" w:fill="FDFBFA"/>
        <w:spacing w:before="100" w:beforeAutospacing="1" w:after="100" w:afterAutospacing="1" w:line="240" w:lineRule="auto"/>
        <w:outlineLvl w:val="1"/>
        <w:rPr>
          <w:rFonts w:ascii="pplxSerif" w:eastAsia="Times New Roman" w:hAnsi="pplxSerif" w:cs="Times New Roman"/>
          <w:b/>
          <w:bCs/>
          <w:color w:val="27251E"/>
          <w:kern w:val="0"/>
          <w:sz w:val="36"/>
          <w:szCs w:val="36"/>
          <w:lang w:eastAsia="en-GB"/>
          <w14:ligatures w14:val="none"/>
        </w:rPr>
      </w:pPr>
      <w:r w:rsidRPr="006A1318">
        <w:rPr>
          <w:rFonts w:ascii="pplxSerif" w:eastAsia="Times New Roman" w:hAnsi="pplxSerif" w:cs="Times New Roman"/>
          <w:b/>
          <w:bCs/>
          <w:color w:val="27251E"/>
          <w:kern w:val="0"/>
          <w:sz w:val="36"/>
          <w:szCs w:val="36"/>
          <w:lang w:eastAsia="en-GB"/>
          <w14:ligatures w14:val="none"/>
        </w:rPr>
        <w:t>1.7 Cash Flow Analysis</w:t>
      </w:r>
    </w:p>
    <w:p w14:paraId="310BB077" w14:textId="77777777" w:rsidR="00A260DF" w:rsidRDefault="00A260DF" w:rsidP="00A260DF">
      <w:pPr>
        <w:shd w:val="clear" w:color="auto" w:fill="FDFBFA"/>
        <w:spacing w:before="100" w:beforeAutospacing="1" w:after="100" w:afterAutospacing="1" w:line="240" w:lineRule="auto"/>
        <w:outlineLvl w:val="1"/>
        <w:rPr>
          <w:rFonts w:ascii="pplxSerif" w:eastAsia="Times New Roman" w:hAnsi="pplxSerif" w:cs="Times New Roman"/>
          <w:b/>
          <w:bCs/>
          <w:color w:val="27251E"/>
          <w:kern w:val="0"/>
          <w:sz w:val="36"/>
          <w:szCs w:val="36"/>
          <w:lang w:eastAsia="en-GB"/>
          <w14:ligatures w14:val="none"/>
        </w:rPr>
      </w:pPr>
    </w:p>
    <w:p w14:paraId="72BFF013" w14:textId="77777777" w:rsidR="00A260DF" w:rsidRDefault="00A260DF" w:rsidP="00A260DF">
      <w:pPr>
        <w:shd w:val="clear" w:color="auto" w:fill="FDFBFA"/>
        <w:spacing w:before="100" w:beforeAutospacing="1" w:after="100" w:afterAutospacing="1" w:line="240" w:lineRule="auto"/>
        <w:outlineLvl w:val="1"/>
        <w:rPr>
          <w:rFonts w:ascii="pplxSerif" w:eastAsia="Times New Roman" w:hAnsi="pplxSerif" w:cs="Times New Roman"/>
          <w:b/>
          <w:bCs/>
          <w:color w:val="27251E"/>
          <w:kern w:val="0"/>
          <w:sz w:val="36"/>
          <w:szCs w:val="36"/>
          <w:lang w:eastAsia="en-GB"/>
          <w14:ligatures w14:val="none"/>
        </w:rPr>
      </w:pPr>
    </w:p>
    <w:p w14:paraId="268A66F4" w14:textId="77777777" w:rsidR="00A260DF" w:rsidRDefault="00A260DF" w:rsidP="00A260DF">
      <w:pPr>
        <w:shd w:val="clear" w:color="auto" w:fill="FDFBFA"/>
        <w:spacing w:before="100" w:beforeAutospacing="1" w:after="100" w:afterAutospacing="1" w:line="240" w:lineRule="auto"/>
        <w:outlineLvl w:val="1"/>
        <w:rPr>
          <w:rFonts w:ascii="pplxSerif" w:eastAsia="Times New Roman" w:hAnsi="pplxSerif" w:cs="Times New Roman"/>
          <w:b/>
          <w:bCs/>
          <w:color w:val="27251E"/>
          <w:kern w:val="0"/>
          <w:sz w:val="36"/>
          <w:szCs w:val="36"/>
          <w:lang w:eastAsia="en-GB"/>
          <w14:ligatures w14:val="none"/>
        </w:rPr>
      </w:pPr>
    </w:p>
    <w:p w14:paraId="5AC1441F" w14:textId="77777777" w:rsidR="00A260DF" w:rsidRPr="006A1318" w:rsidRDefault="00A260DF" w:rsidP="00A260DF">
      <w:pPr>
        <w:shd w:val="clear" w:color="auto" w:fill="FDFBFA"/>
        <w:spacing w:before="100" w:beforeAutospacing="1" w:after="100" w:afterAutospacing="1" w:line="240" w:lineRule="auto"/>
        <w:outlineLvl w:val="1"/>
        <w:rPr>
          <w:rFonts w:ascii="pplxSerif" w:eastAsia="Times New Roman" w:hAnsi="pplxSerif" w:cs="Times New Roman"/>
          <w:b/>
          <w:bCs/>
          <w:color w:val="27251E"/>
          <w:kern w:val="0"/>
          <w:sz w:val="36"/>
          <w:szCs w:val="36"/>
          <w:lang w:eastAsia="en-GB"/>
          <w14:ligatures w14:val="none"/>
        </w:rPr>
      </w:pPr>
    </w:p>
    <w:p w14:paraId="21E6F069" w14:textId="77777777" w:rsidR="00A260DF" w:rsidRPr="00A260DF" w:rsidRDefault="00A260DF" w:rsidP="00A260DF">
      <w:pPr>
        <w:pStyle w:val="my-2"/>
        <w:shd w:val="clear" w:color="auto" w:fill="FDFBFA"/>
        <w:rPr>
          <w:b/>
          <w:bCs/>
        </w:rPr>
      </w:pPr>
      <w:r w:rsidRPr="00A260DF">
        <w:rPr>
          <w:b/>
          <w:bCs/>
        </w:rPr>
        <w:lastRenderedPageBreak/>
        <w:t>Operating Cash Flow:</w:t>
      </w:r>
    </w:p>
    <w:tbl>
      <w:tblPr>
        <w:tblW w:w="5000" w:type="pct"/>
        <w:tblCellMar>
          <w:top w:w="15" w:type="dxa"/>
          <w:left w:w="15" w:type="dxa"/>
          <w:bottom w:w="15" w:type="dxa"/>
          <w:right w:w="15" w:type="dxa"/>
        </w:tblCellMar>
        <w:tblLook w:val="04A0" w:firstRow="1" w:lastRow="0" w:firstColumn="1" w:lastColumn="0" w:noHBand="0" w:noVBand="1"/>
      </w:tblPr>
      <w:tblGrid>
        <w:gridCol w:w="774"/>
        <w:gridCol w:w="3397"/>
        <w:gridCol w:w="2527"/>
        <w:gridCol w:w="2312"/>
      </w:tblGrid>
      <w:tr w:rsidR="00A260DF" w:rsidRPr="006A1318" w14:paraId="3D2E8E05" w14:textId="77777777" w:rsidTr="00AE2C18">
        <w:trPr>
          <w:tblHeader/>
        </w:trPr>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33A1C037" w14:textId="77777777" w:rsidR="00A260DF" w:rsidRPr="006A1318" w:rsidRDefault="00A260DF"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Year</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5F57D02D" w14:textId="77777777" w:rsidR="00A260DF" w:rsidRPr="006A1318" w:rsidRDefault="00A260DF"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Net Cash from Operations ($m)</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46DA3227" w14:textId="77777777" w:rsidR="00A260DF" w:rsidRPr="006A1318" w:rsidRDefault="00A260DF"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Capital Spending ($m)</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3BC2D9E9" w14:textId="77777777" w:rsidR="00A260DF" w:rsidRPr="006A1318" w:rsidRDefault="00A260DF"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Free Cash Flow ($m)</w:t>
            </w:r>
          </w:p>
        </w:tc>
      </w:tr>
      <w:tr w:rsidR="00A260DF" w:rsidRPr="006A1318" w14:paraId="4361201E"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E0B2F82"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E2A51F6"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24,269</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8972C00"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(5,742)</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A7FC979"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18,527</w:t>
            </w:r>
          </w:p>
        </w:tc>
      </w:tr>
      <w:tr w:rsidR="00A260DF" w:rsidRPr="006A1318" w14:paraId="0A6BE939"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019EDBA"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DC1AF57"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15,787</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A709459"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(6,227)</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BF7BF20"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9,560</w:t>
            </w:r>
          </w:p>
        </w:tc>
      </w:tr>
      <w:tr w:rsidR="00A260DF" w:rsidRPr="006A1318" w14:paraId="62E6332F"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8DEE4D4"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2022</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9FD90E7"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6,853</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FACB960"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(6,866)</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05047FB"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(13)</w:t>
            </w:r>
          </w:p>
        </w:tc>
      </w:tr>
      <w:tr w:rsidR="00A260DF" w:rsidRPr="006A1318" w14:paraId="6BFFBD15"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4468B76"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2023</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160EB3D"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14,918</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E2D2D92"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(8,236)</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63A0C89"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6,682</w:t>
            </w:r>
          </w:p>
        </w:tc>
      </w:tr>
      <w:tr w:rsidR="00A260DF" w:rsidRPr="006A1318" w14:paraId="2CE58A49"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D05BC40"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2024</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013B332"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15,423</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ECE7E19"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(8,684)</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2C8655E"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6,739</w:t>
            </w:r>
          </w:p>
        </w:tc>
      </w:tr>
    </w:tbl>
    <w:p w14:paraId="7CF6E2C4" w14:textId="77777777" w:rsidR="00A260DF" w:rsidRPr="00A260DF" w:rsidRDefault="00A260DF" w:rsidP="00A260DF">
      <w:pPr>
        <w:pStyle w:val="my-2"/>
        <w:shd w:val="clear" w:color="auto" w:fill="FDFBFA"/>
        <w:rPr>
          <w:rFonts w:ascii="Arial" w:hAnsi="Arial" w:cs="Arial"/>
        </w:rPr>
      </w:pPr>
      <w:r w:rsidRPr="00A260DF">
        <w:rPr>
          <w:rFonts w:ascii="Arial" w:hAnsi="Arial" w:cs="Arial"/>
        </w:rPr>
        <w:t>Computed from Ford Annual Reports</w:t>
      </w:r>
    </w:p>
    <w:p w14:paraId="5CFC2C34" w14:textId="78CEE07C" w:rsidR="00A260DF" w:rsidRDefault="00A260DF" w:rsidP="00A260DF">
      <w:p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A260DF">
        <w:rPr>
          <w:rFonts w:ascii="pplxSerif" w:eastAsia="Times New Roman" w:hAnsi="pplxSerif" w:cs="Times New Roman"/>
          <w:color w:val="27251E"/>
          <w:kern w:val="0"/>
          <w:lang w:eastAsia="en-GB"/>
          <w14:ligatures w14:val="none"/>
        </w:rPr>
        <w:t xml:space="preserve">Note: 2020 operating cash flow was high because of Ford Credit working capital movements. In 2022, 2023, and 2024, company-adjusted free cash flow (excluding Ford Credit) was 9.1, 6.8, and 6.7 billion respectively. Capital expenditure is increasing rapidly - 5.7 billion in 2020 to 8.7 billion in 2024 - as Ford makes a major investment in EV production capacity and the </w:t>
      </w:r>
      <w:proofErr w:type="spellStart"/>
      <w:r w:rsidRPr="00A260DF">
        <w:rPr>
          <w:rFonts w:ascii="pplxSerif" w:eastAsia="Times New Roman" w:hAnsi="pplxSerif" w:cs="Times New Roman"/>
          <w:color w:val="27251E"/>
          <w:kern w:val="0"/>
          <w:lang w:eastAsia="en-GB"/>
          <w14:ligatures w14:val="none"/>
        </w:rPr>
        <w:t>BlueOval</w:t>
      </w:r>
      <w:proofErr w:type="spellEnd"/>
      <w:r w:rsidRPr="00A260DF">
        <w:rPr>
          <w:rFonts w:ascii="pplxSerif" w:eastAsia="Times New Roman" w:hAnsi="pplxSerif" w:cs="Times New Roman"/>
          <w:color w:val="27251E"/>
          <w:kern w:val="0"/>
          <w:lang w:eastAsia="en-GB"/>
          <w14:ligatures w14:val="none"/>
        </w:rPr>
        <w:t xml:space="preserve"> SK battery joint venture.</w:t>
      </w:r>
    </w:p>
    <w:p w14:paraId="7F9B1ED5" w14:textId="77777777" w:rsidR="00A260DF" w:rsidRPr="006A1318" w:rsidRDefault="00A260DF" w:rsidP="00A260DF">
      <w:pPr>
        <w:shd w:val="clear" w:color="auto" w:fill="FDFBFA"/>
        <w:spacing w:before="100" w:beforeAutospacing="1" w:after="100" w:afterAutospacing="1" w:line="240" w:lineRule="auto"/>
        <w:outlineLvl w:val="1"/>
        <w:rPr>
          <w:rFonts w:ascii="pplxSerif" w:eastAsia="Times New Roman" w:hAnsi="pplxSerif" w:cs="Times New Roman"/>
          <w:b/>
          <w:bCs/>
          <w:color w:val="27251E"/>
          <w:kern w:val="0"/>
          <w:sz w:val="36"/>
          <w:szCs w:val="36"/>
          <w:lang w:eastAsia="en-GB"/>
          <w14:ligatures w14:val="none"/>
        </w:rPr>
      </w:pPr>
      <w:r w:rsidRPr="006A1318">
        <w:rPr>
          <w:rFonts w:ascii="pplxSerif" w:eastAsia="Times New Roman" w:hAnsi="pplxSerif" w:cs="Times New Roman"/>
          <w:b/>
          <w:bCs/>
          <w:color w:val="27251E"/>
          <w:kern w:val="0"/>
          <w:sz w:val="36"/>
          <w:szCs w:val="36"/>
          <w:lang w:eastAsia="en-GB"/>
          <w14:ligatures w14:val="none"/>
        </w:rPr>
        <w:t>1.8 Investment Ratios</w:t>
      </w:r>
    </w:p>
    <w:p w14:paraId="7CFAC570" w14:textId="77777777" w:rsidR="00A260DF" w:rsidRPr="00A260DF" w:rsidRDefault="00A260DF" w:rsidP="00A260DF">
      <w:pPr>
        <w:shd w:val="clear" w:color="auto" w:fill="FDFBFA"/>
        <w:spacing w:before="100" w:beforeAutospacing="1" w:after="100" w:afterAutospacing="1" w:line="240" w:lineRule="auto"/>
        <w:rPr>
          <w:rFonts w:ascii="Arial" w:eastAsia="Times New Roman" w:hAnsi="Arial" w:cs="Arial"/>
          <w:b/>
          <w:bCs/>
          <w:kern w:val="0"/>
          <w:lang w:eastAsia="en-GB"/>
          <w14:ligatures w14:val="none"/>
        </w:rPr>
      </w:pPr>
      <w:r w:rsidRPr="00A260DF">
        <w:rPr>
          <w:rFonts w:ascii="Arial" w:eastAsia="Times New Roman" w:hAnsi="Arial" w:cs="Arial"/>
          <w:b/>
          <w:bCs/>
          <w:kern w:val="0"/>
          <w:lang w:eastAsia="en-GB"/>
          <w14:ligatures w14:val="none"/>
        </w:rPr>
        <w:t>Earnings Per Share (Diluted, GAAP):</w:t>
      </w:r>
    </w:p>
    <w:p w14:paraId="3B7567D4" w14:textId="77777777" w:rsidR="00A260DF" w:rsidRPr="006A1318" w:rsidRDefault="00A260DF" w:rsidP="00A260DF">
      <w:p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p>
    <w:tbl>
      <w:tblPr>
        <w:tblW w:w="5000" w:type="pct"/>
        <w:tblCellMar>
          <w:top w:w="15" w:type="dxa"/>
          <w:left w:w="15" w:type="dxa"/>
          <w:bottom w:w="15" w:type="dxa"/>
          <w:right w:w="15" w:type="dxa"/>
        </w:tblCellMar>
        <w:tblLook w:val="04A0" w:firstRow="1" w:lastRow="0" w:firstColumn="1" w:lastColumn="0" w:noHBand="0" w:noVBand="1"/>
      </w:tblPr>
      <w:tblGrid>
        <w:gridCol w:w="2116"/>
        <w:gridCol w:w="6894"/>
      </w:tblGrid>
      <w:tr w:rsidR="00A260DF" w:rsidRPr="006A1318" w14:paraId="4856CCA9" w14:textId="77777777" w:rsidTr="00AE2C18">
        <w:trPr>
          <w:tblHeader/>
        </w:trPr>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221CF986" w14:textId="77777777" w:rsidR="00A260DF" w:rsidRPr="006A1318" w:rsidRDefault="00A260DF"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Year</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4C9D446C" w14:textId="77777777" w:rsidR="00A260DF" w:rsidRPr="006A1318" w:rsidRDefault="00A260DF"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Diluted EPS (GAAP)</w:t>
            </w:r>
          </w:p>
        </w:tc>
      </w:tr>
      <w:tr w:rsidR="00A260DF" w:rsidRPr="006A1318" w14:paraId="6C3FEF25"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4F638AD"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4E9110D"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($0.32)</w:t>
            </w:r>
          </w:p>
        </w:tc>
      </w:tr>
      <w:tr w:rsidR="00A260DF" w:rsidRPr="006A1318" w14:paraId="15A8EF2D"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BC64CF5"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1835036"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$4.45</w:t>
            </w:r>
          </w:p>
        </w:tc>
      </w:tr>
      <w:tr w:rsidR="00A260DF" w:rsidRPr="006A1318" w14:paraId="56503969"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CEC56BC"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2022</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1C8256A"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($0.49)</w:t>
            </w:r>
          </w:p>
        </w:tc>
      </w:tr>
      <w:tr w:rsidR="00A260DF" w:rsidRPr="006A1318" w14:paraId="488516FC"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EB74C2E"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2023</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8F27526"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$1.08</w:t>
            </w:r>
          </w:p>
        </w:tc>
      </w:tr>
      <w:tr w:rsidR="00A260DF" w:rsidRPr="006A1318" w14:paraId="21C99ECF"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4CF95C4"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2024</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AB16057"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$1.46</w:t>
            </w:r>
          </w:p>
        </w:tc>
      </w:tr>
    </w:tbl>
    <w:p w14:paraId="4EDE1D53" w14:textId="77777777" w:rsidR="00A260DF" w:rsidRDefault="00A260DF" w:rsidP="00A260DF">
      <w:pPr>
        <w:spacing w:after="0" w:line="240" w:lineRule="auto"/>
        <w:rPr>
          <w:rFonts w:ascii="Times New Roman" w:eastAsia="Times New Roman" w:hAnsi="Times New Roman" w:cs="Times New Roman"/>
          <w:kern w:val="0"/>
          <w:lang w:eastAsia="en-GB"/>
          <w14:ligatures w14:val="none"/>
        </w:rPr>
      </w:pPr>
    </w:p>
    <w:p w14:paraId="3A17E6D9" w14:textId="77777777" w:rsidR="00A260DF" w:rsidRPr="00A260DF" w:rsidRDefault="00A260DF" w:rsidP="00A260DF">
      <w:pPr>
        <w:pStyle w:val="my-2"/>
        <w:shd w:val="clear" w:color="auto" w:fill="FDFBFA"/>
        <w:rPr>
          <w:rFonts w:ascii="Arial" w:hAnsi="Arial" w:cs="Arial"/>
        </w:rPr>
      </w:pPr>
      <w:r w:rsidRPr="00A260DF">
        <w:rPr>
          <w:rFonts w:ascii="Arial" w:hAnsi="Arial" w:cs="Arial"/>
        </w:rPr>
        <w:t>Sources: Ford Annual Reports</w:t>
      </w:r>
    </w:p>
    <w:p w14:paraId="314039CE" w14:textId="0AFF7675" w:rsidR="007207B4" w:rsidRDefault="00A260DF" w:rsidP="007207B4">
      <w:pPr>
        <w:rPr>
          <w:rFonts w:ascii="Arial" w:hAnsi="Arial" w:cs="Arial"/>
        </w:rPr>
      </w:pPr>
      <w:r w:rsidRPr="00A260DF">
        <w:rPr>
          <w:rFonts w:ascii="Arial" w:hAnsi="Arial" w:cs="Arial"/>
        </w:rPr>
        <w:t>The adjusted diluted EPS — which better reflects underlying performance — was $1.59 (2021), $1.88 (2022), $2.01 (2023), and $1.84 (2024). The minor decline in 2024 is due to EV losses and special charges associated with the cancellation of a planned all-electric three-row SUV programme.</w:t>
      </w:r>
    </w:p>
    <w:p w14:paraId="6D210757" w14:textId="77777777" w:rsidR="00A260DF" w:rsidRPr="006A1318" w:rsidRDefault="00A260DF" w:rsidP="00A260DF">
      <w:p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A260DF">
        <w:rPr>
          <w:rFonts w:ascii="Arial" w:hAnsi="Arial" w:cs="Arial"/>
          <w:b/>
          <w:bCs/>
        </w:rPr>
        <w:lastRenderedPageBreak/>
        <w:t>Dividends Per Share:</w:t>
      </w:r>
      <w:r w:rsidRPr="006A1318">
        <w:rPr>
          <w:rFonts w:ascii="pplxSerif" w:eastAsia="Times New Roman" w:hAnsi="pplxSerif" w:cs="Times New Roman"/>
          <w:color w:val="27251E"/>
          <w:kern w:val="0"/>
          <w:lang w:eastAsia="en-GB"/>
          <w14:ligatures w14:val="none"/>
        </w:rPr>
        <w:t> Dividends were $0.10 per share in 2021, $0.50 in 2022, $1.25 in 2023, and $0.78 in 2024. The supplemental dividends declared in 2022 and 2023 signal management confidence in cash generation, though the lower 2024 payment likely reflects caution regarding tariff headwinds and EV investment needs.</w:t>
      </w:r>
    </w:p>
    <w:p w14:paraId="0A09E151" w14:textId="77777777" w:rsidR="00A260DF" w:rsidRPr="006A1318" w:rsidRDefault="00A260DF" w:rsidP="00A260DF">
      <w:pPr>
        <w:shd w:val="clear" w:color="auto" w:fill="FDFBFA"/>
        <w:spacing w:before="100" w:beforeAutospacing="1" w:after="100" w:afterAutospacing="1" w:line="240" w:lineRule="auto"/>
        <w:outlineLvl w:val="1"/>
        <w:rPr>
          <w:rFonts w:ascii="pplxSerif" w:eastAsia="Times New Roman" w:hAnsi="pplxSerif" w:cs="Times New Roman"/>
          <w:b/>
          <w:bCs/>
          <w:color w:val="27251E"/>
          <w:kern w:val="0"/>
          <w:sz w:val="36"/>
          <w:szCs w:val="36"/>
          <w:lang w:eastAsia="en-GB"/>
          <w14:ligatures w14:val="none"/>
        </w:rPr>
      </w:pPr>
      <w:r w:rsidRPr="006A1318">
        <w:rPr>
          <w:rFonts w:ascii="pplxSerif" w:eastAsia="Times New Roman" w:hAnsi="pplxSerif" w:cs="Times New Roman"/>
          <w:b/>
          <w:bCs/>
          <w:color w:val="27251E"/>
          <w:kern w:val="0"/>
          <w:sz w:val="36"/>
          <w:szCs w:val="36"/>
          <w:lang w:eastAsia="en-GB"/>
          <w14:ligatures w14:val="none"/>
        </w:rPr>
        <w:t>1.9 Summary: Strengths, Threats, and Trends</w:t>
      </w:r>
    </w:p>
    <w:p w14:paraId="7B0E42AE" w14:textId="35E35AE2" w:rsidR="00A260DF" w:rsidRDefault="00A260DF" w:rsidP="00A260DF">
      <w:pPr>
        <w:shd w:val="clear" w:color="auto" w:fill="FDFBFA"/>
        <w:spacing w:before="100" w:beforeAutospacing="1" w:after="100" w:afterAutospacing="1" w:line="240" w:lineRule="auto"/>
        <w:rPr>
          <w:rFonts w:ascii="Arial" w:hAnsi="Arial" w:cs="Arial"/>
          <w:b/>
          <w:bCs/>
        </w:rPr>
      </w:pPr>
      <w:r w:rsidRPr="00A260DF">
        <w:rPr>
          <w:rFonts w:ascii="Arial" w:hAnsi="Arial" w:cs="Arial"/>
          <w:b/>
          <w:bCs/>
        </w:rPr>
        <w:t>Key Strengths:</w:t>
      </w:r>
    </w:p>
    <w:p w14:paraId="33552869" w14:textId="77777777" w:rsidR="00A260DF" w:rsidRPr="006A1318" w:rsidRDefault="00A260DF" w:rsidP="00A260DF">
      <w:pPr>
        <w:numPr>
          <w:ilvl w:val="0"/>
          <w:numId w:val="1"/>
        </w:num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6A1318">
        <w:rPr>
          <w:rFonts w:ascii="pplxSerif" w:eastAsia="Times New Roman" w:hAnsi="pplxSerif" w:cs="Times New Roman"/>
          <w:color w:val="27251E"/>
          <w:kern w:val="0"/>
          <w:lang w:eastAsia="en-GB"/>
          <w14:ligatures w14:val="none"/>
        </w:rPr>
        <w:t>Consistent Adjusted EBIT of ~$10 billion per annum since 2021</w:t>
      </w:r>
    </w:p>
    <w:p w14:paraId="64FC0FBF" w14:textId="77777777" w:rsidR="00A260DF" w:rsidRPr="006A1318" w:rsidRDefault="00A260DF" w:rsidP="00A260DF">
      <w:pPr>
        <w:numPr>
          <w:ilvl w:val="0"/>
          <w:numId w:val="1"/>
        </w:num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6A1318">
        <w:rPr>
          <w:rFonts w:ascii="pplxSerif" w:eastAsia="Times New Roman" w:hAnsi="pplxSerif" w:cs="Times New Roman"/>
          <w:color w:val="27251E"/>
          <w:kern w:val="0"/>
          <w:lang w:eastAsia="en-GB"/>
          <w14:ligatures w14:val="none"/>
        </w:rPr>
        <w:t>Ford Pro segment generating a record EBIT of $9.0 billion in 2024 on revenues of $66.9 billion</w:t>
      </w:r>
    </w:p>
    <w:p w14:paraId="34F4F6CB" w14:textId="77777777" w:rsidR="00A260DF" w:rsidRPr="006A1318" w:rsidRDefault="00A260DF" w:rsidP="00A260DF">
      <w:pPr>
        <w:numPr>
          <w:ilvl w:val="0"/>
          <w:numId w:val="1"/>
        </w:num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6A1318">
        <w:rPr>
          <w:rFonts w:ascii="pplxSerif" w:eastAsia="Times New Roman" w:hAnsi="pplxSerif" w:cs="Times New Roman"/>
          <w:color w:val="27251E"/>
          <w:kern w:val="0"/>
          <w:lang w:eastAsia="en-GB"/>
          <w14:ligatures w14:val="none"/>
        </w:rPr>
        <w:t>Strong interest coverage ratio (9.2x in 2024) and investment-grade credit ratings</w:t>
      </w:r>
    </w:p>
    <w:p w14:paraId="34AC8C82" w14:textId="77777777" w:rsidR="00A260DF" w:rsidRPr="006A1318" w:rsidRDefault="00A260DF" w:rsidP="00A260DF">
      <w:pPr>
        <w:numPr>
          <w:ilvl w:val="0"/>
          <w:numId w:val="1"/>
        </w:num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6A1318">
        <w:rPr>
          <w:rFonts w:ascii="pplxSerif" w:eastAsia="Times New Roman" w:hAnsi="pplxSerif" w:cs="Times New Roman"/>
          <w:color w:val="27251E"/>
          <w:kern w:val="0"/>
          <w:lang w:eastAsia="en-GB"/>
          <w14:ligatures w14:val="none"/>
        </w:rPr>
        <w:t>Improving inventory and receivables efficiency trends</w:t>
      </w:r>
    </w:p>
    <w:p w14:paraId="5A972AFF" w14:textId="77777777" w:rsidR="00A260DF" w:rsidRPr="006A1318" w:rsidRDefault="00A260DF" w:rsidP="00A260DF">
      <w:pPr>
        <w:numPr>
          <w:ilvl w:val="0"/>
          <w:numId w:val="1"/>
        </w:num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6A1318">
        <w:rPr>
          <w:rFonts w:ascii="pplxSerif" w:eastAsia="Times New Roman" w:hAnsi="pplxSerif" w:cs="Times New Roman"/>
          <w:color w:val="27251E"/>
          <w:kern w:val="0"/>
          <w:lang w:eastAsia="en-GB"/>
          <w14:ligatures w14:val="none"/>
        </w:rPr>
        <w:t>Robust Company liquidity floor above $20 billion</w:t>
      </w:r>
    </w:p>
    <w:p w14:paraId="74595552" w14:textId="77777777" w:rsidR="00A260DF" w:rsidRPr="00A260DF" w:rsidRDefault="00A260DF" w:rsidP="00A260DF">
      <w:pPr>
        <w:shd w:val="clear" w:color="auto" w:fill="FDFBFA"/>
        <w:spacing w:before="100" w:beforeAutospacing="1" w:after="100" w:afterAutospacing="1" w:line="240" w:lineRule="auto"/>
        <w:rPr>
          <w:rFonts w:ascii="Arial" w:hAnsi="Arial" w:cs="Arial"/>
          <w:b/>
          <w:bCs/>
        </w:rPr>
      </w:pPr>
      <w:r w:rsidRPr="00A260DF">
        <w:rPr>
          <w:rFonts w:ascii="Arial" w:hAnsi="Arial" w:cs="Arial"/>
          <w:b/>
          <w:bCs/>
        </w:rPr>
        <w:t>Key Threats:</w:t>
      </w:r>
    </w:p>
    <w:p w14:paraId="222B1F14" w14:textId="77777777" w:rsidR="00A260DF" w:rsidRPr="006A1318" w:rsidRDefault="00A260DF" w:rsidP="00A260DF">
      <w:pPr>
        <w:numPr>
          <w:ilvl w:val="0"/>
          <w:numId w:val="2"/>
        </w:num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6A1318">
        <w:rPr>
          <w:rFonts w:ascii="pplxSerif" w:eastAsia="Times New Roman" w:hAnsi="pplxSerif" w:cs="Times New Roman"/>
          <w:color w:val="27251E"/>
          <w:kern w:val="0"/>
          <w:lang w:eastAsia="en-GB"/>
          <w14:ligatures w14:val="none"/>
        </w:rPr>
        <w:t>Ford Model e segment incurred an EBIT loss of $5.1 billion in 2024, with losses expected to reach $5.0–$5.5 billion in 2025</w:t>
      </w:r>
    </w:p>
    <w:p w14:paraId="6B541881" w14:textId="77777777" w:rsidR="00A260DF" w:rsidRPr="006A1318" w:rsidRDefault="00A260DF" w:rsidP="00A260DF">
      <w:pPr>
        <w:numPr>
          <w:ilvl w:val="0"/>
          <w:numId w:val="2"/>
        </w:num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6A1318">
        <w:rPr>
          <w:rFonts w:ascii="pplxSerif" w:eastAsia="Times New Roman" w:hAnsi="pplxSerif" w:cs="Times New Roman"/>
          <w:color w:val="27251E"/>
          <w:kern w:val="0"/>
          <w:lang w:eastAsia="en-GB"/>
          <w14:ligatures w14:val="none"/>
        </w:rPr>
        <w:t>Warranty cost escalation: accrual up 53% from $9.2 billion (2022) to $14.0 billion (2024)</w:t>
      </w:r>
    </w:p>
    <w:p w14:paraId="143D0FB1" w14:textId="77777777" w:rsidR="00A260DF" w:rsidRPr="006A1318" w:rsidRDefault="00A260DF" w:rsidP="00A260DF">
      <w:pPr>
        <w:numPr>
          <w:ilvl w:val="0"/>
          <w:numId w:val="2"/>
        </w:num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6A1318">
        <w:rPr>
          <w:rFonts w:ascii="pplxSerif" w:eastAsia="Times New Roman" w:hAnsi="pplxSerif" w:cs="Times New Roman"/>
          <w:color w:val="27251E"/>
          <w:kern w:val="0"/>
          <w:lang w:eastAsia="en-GB"/>
          <w14:ligatures w14:val="none"/>
        </w:rPr>
        <w:t>Potential 25% tariffs on imports from Canada and Mexico noted as a significant earnings risk for 2025</w:t>
      </w:r>
    </w:p>
    <w:p w14:paraId="058FB253" w14:textId="77777777" w:rsidR="00A260DF" w:rsidRPr="006A1318" w:rsidRDefault="00A260DF" w:rsidP="00A260DF">
      <w:pPr>
        <w:numPr>
          <w:ilvl w:val="0"/>
          <w:numId w:val="2"/>
        </w:num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6A1318">
        <w:rPr>
          <w:rFonts w:ascii="pplxSerif" w:eastAsia="Times New Roman" w:hAnsi="pplxSerif" w:cs="Times New Roman"/>
          <w:color w:val="27251E"/>
          <w:kern w:val="0"/>
          <w:lang w:eastAsia="en-GB"/>
          <w14:ligatures w14:val="none"/>
        </w:rPr>
        <w:t>Adjusted EBIT margin declining from 7.3% (2021) to 5.5% (2024)</w:t>
      </w:r>
    </w:p>
    <w:p w14:paraId="39F94C35" w14:textId="56081E4B" w:rsidR="00A260DF" w:rsidRDefault="00A260DF" w:rsidP="00A260DF">
      <w:pPr>
        <w:numPr>
          <w:ilvl w:val="0"/>
          <w:numId w:val="2"/>
        </w:num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6A1318">
        <w:rPr>
          <w:rFonts w:ascii="pplxSerif" w:eastAsia="Times New Roman" w:hAnsi="pplxSerif" w:cs="Times New Roman"/>
          <w:color w:val="27251E"/>
          <w:kern w:val="0"/>
          <w:lang w:eastAsia="en-GB"/>
          <w14:ligatures w14:val="none"/>
        </w:rPr>
        <w:t>Pension obligations: global underfunded status of $0.5 billion (2024), with unfunded plans totalling $3.9 billion</w:t>
      </w:r>
    </w:p>
    <w:p w14:paraId="46456739" w14:textId="77777777" w:rsidR="00A260DF" w:rsidRPr="00A260DF" w:rsidRDefault="00A260DF" w:rsidP="00A260DF">
      <w:pPr>
        <w:shd w:val="clear" w:color="auto" w:fill="FDFBFA"/>
        <w:spacing w:before="100" w:beforeAutospacing="1" w:after="100" w:afterAutospacing="1" w:line="240" w:lineRule="auto"/>
        <w:ind w:left="360"/>
        <w:outlineLvl w:val="1"/>
        <w:rPr>
          <w:rFonts w:ascii="Arial" w:eastAsia="Times New Roman" w:hAnsi="Arial" w:cs="Arial"/>
          <w:b/>
          <w:bCs/>
          <w:color w:val="27251E"/>
          <w:kern w:val="0"/>
          <w:sz w:val="36"/>
          <w:szCs w:val="36"/>
          <w:lang w:eastAsia="en-GB"/>
          <w14:ligatures w14:val="none"/>
        </w:rPr>
      </w:pPr>
      <w:r w:rsidRPr="00A260DF">
        <w:rPr>
          <w:rFonts w:ascii="Arial" w:eastAsia="Times New Roman" w:hAnsi="Arial" w:cs="Arial"/>
          <w:lang w:eastAsia="en-GB"/>
        </w:rPr>
        <w:br/>
      </w:r>
      <w:r w:rsidRPr="00A260DF">
        <w:rPr>
          <w:rFonts w:ascii="Arial" w:eastAsia="Times New Roman" w:hAnsi="Arial" w:cs="Arial"/>
          <w:b/>
          <w:bCs/>
          <w:color w:val="27251E"/>
          <w:kern w:val="0"/>
          <w:sz w:val="36"/>
          <w:szCs w:val="36"/>
          <w:lang w:eastAsia="en-GB"/>
          <w14:ligatures w14:val="none"/>
        </w:rPr>
        <w:t>2. Working Capital Management Analysis</w:t>
      </w:r>
    </w:p>
    <w:p w14:paraId="6F95BFA9" w14:textId="77777777" w:rsidR="00A260DF" w:rsidRPr="00A260DF" w:rsidRDefault="00A260DF" w:rsidP="00A260DF">
      <w:pPr>
        <w:shd w:val="clear" w:color="auto" w:fill="FDFBFA"/>
        <w:spacing w:before="100" w:beforeAutospacing="1" w:after="100" w:afterAutospacing="1" w:line="240" w:lineRule="auto"/>
        <w:ind w:left="360"/>
        <w:outlineLvl w:val="1"/>
        <w:rPr>
          <w:rFonts w:ascii="Arial" w:eastAsia="Times New Roman" w:hAnsi="Arial" w:cs="Arial"/>
          <w:b/>
          <w:bCs/>
          <w:color w:val="27251E"/>
          <w:kern w:val="0"/>
          <w:sz w:val="36"/>
          <w:szCs w:val="36"/>
          <w:lang w:eastAsia="en-GB"/>
          <w14:ligatures w14:val="none"/>
        </w:rPr>
      </w:pPr>
      <w:r w:rsidRPr="00A260DF">
        <w:rPr>
          <w:rFonts w:ascii="Arial" w:eastAsia="Times New Roman" w:hAnsi="Arial" w:cs="Arial"/>
          <w:b/>
          <w:bCs/>
          <w:color w:val="27251E"/>
          <w:kern w:val="0"/>
          <w:sz w:val="36"/>
          <w:szCs w:val="36"/>
          <w:lang w:eastAsia="en-GB"/>
          <w14:ligatures w14:val="none"/>
        </w:rPr>
        <w:t>2.1 Cash Operating Cycle</w:t>
      </w:r>
    </w:p>
    <w:p w14:paraId="6267CA3E" w14:textId="77777777" w:rsidR="00A260DF" w:rsidRPr="006A1318" w:rsidRDefault="00A260DF" w:rsidP="00A260DF">
      <w:p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6A1318">
        <w:rPr>
          <w:rFonts w:ascii="pplxSerif" w:eastAsia="Times New Roman" w:hAnsi="pplxSerif" w:cs="Times New Roman"/>
          <w:color w:val="27251E"/>
          <w:kern w:val="0"/>
          <w:lang w:eastAsia="en-GB"/>
          <w14:ligatures w14:val="none"/>
        </w:rPr>
        <w:t>The </w:t>
      </w:r>
      <w:r w:rsidRPr="00A260DF">
        <w:rPr>
          <w:rFonts w:ascii="pplxSerif" w:eastAsia="Times New Roman" w:hAnsi="pplxSerif" w:cs="Times New Roman"/>
          <w:color w:val="27251E"/>
          <w:kern w:val="0"/>
          <w:lang w:eastAsia="en-GB"/>
          <w14:ligatures w14:val="none"/>
        </w:rPr>
        <w:t>cash operating cycle (COC)</w:t>
      </w:r>
      <w:r w:rsidRPr="006A1318">
        <w:rPr>
          <w:rFonts w:ascii="pplxSerif" w:eastAsia="Times New Roman" w:hAnsi="pplxSerif" w:cs="Times New Roman"/>
          <w:color w:val="27251E"/>
          <w:kern w:val="0"/>
          <w:lang w:eastAsia="en-GB"/>
          <w14:ligatures w14:val="none"/>
        </w:rPr>
        <w:t> — also referred to as the cash conversion cycle — measures the time between cash outflows for raw materials and cash inflows from vehicle sales. It is calculated as:</w:t>
      </w:r>
    </w:p>
    <w:p w14:paraId="42C6A768" w14:textId="77777777" w:rsidR="00A260DF" w:rsidRPr="006A1318" w:rsidRDefault="00A260DF" w:rsidP="00A260DF">
      <w:p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A260DF">
        <w:rPr>
          <w:rFonts w:ascii="pplxSerif" w:eastAsia="Times New Roman" w:hAnsi="pplxSerif" w:cs="Times New Roman"/>
          <w:color w:val="27251E"/>
          <w:kern w:val="0"/>
          <w:lang w:eastAsia="en-GB"/>
          <w14:ligatures w14:val="none"/>
        </w:rPr>
        <w:t>COC = Inventory Days + Receivables Days − Payables Days</w:t>
      </w:r>
    </w:p>
    <w:p w14:paraId="5A11166C" w14:textId="77777777" w:rsidR="00A260DF" w:rsidRDefault="00A260DF" w:rsidP="00A260DF">
      <w:p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A260DF">
        <w:rPr>
          <w:rFonts w:ascii="pplxSerif" w:eastAsia="Times New Roman" w:hAnsi="pplxSerif" w:cs="Times New Roman"/>
          <w:color w:val="27251E"/>
          <w:kern w:val="0"/>
          <w:lang w:eastAsia="en-GB"/>
          <w14:ligatures w14:val="none"/>
        </w:rPr>
        <w:t>Payables Days</w:t>
      </w:r>
      <w:r w:rsidRPr="006A1318">
        <w:rPr>
          <w:rFonts w:ascii="pplxSerif" w:eastAsia="Times New Roman" w:hAnsi="pplxSerif" w:cs="Times New Roman"/>
          <w:color w:val="27251E"/>
          <w:kern w:val="0"/>
          <w:lang w:eastAsia="en-GB"/>
          <w14:ligatures w14:val="none"/>
        </w:rPr>
        <w:t> (Trade Payables / (Cost of Sales / 365)):</w:t>
      </w:r>
    </w:p>
    <w:p w14:paraId="1467B22C" w14:textId="77777777" w:rsidR="00A260DF" w:rsidRDefault="00A260DF" w:rsidP="00A260DF">
      <w:p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p>
    <w:p w14:paraId="2EEC8EFE" w14:textId="77777777" w:rsidR="00A260DF" w:rsidRPr="006A1318" w:rsidRDefault="00A260DF" w:rsidP="00A260DF">
      <w:p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p>
    <w:tbl>
      <w:tblPr>
        <w:tblW w:w="5000" w:type="pct"/>
        <w:tblCellMar>
          <w:top w:w="15" w:type="dxa"/>
          <w:left w:w="15" w:type="dxa"/>
          <w:bottom w:w="15" w:type="dxa"/>
          <w:right w:w="15" w:type="dxa"/>
        </w:tblCellMar>
        <w:tblLook w:val="04A0" w:firstRow="1" w:lastRow="0" w:firstColumn="1" w:lastColumn="0" w:noHBand="0" w:noVBand="1"/>
      </w:tblPr>
      <w:tblGrid>
        <w:gridCol w:w="1013"/>
        <w:gridCol w:w="2428"/>
        <w:gridCol w:w="3054"/>
        <w:gridCol w:w="2515"/>
      </w:tblGrid>
      <w:tr w:rsidR="00A260DF" w:rsidRPr="006A1318" w14:paraId="5E1F1B1D" w14:textId="77777777" w:rsidTr="00AE2C18">
        <w:trPr>
          <w:tblHeader/>
        </w:trPr>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13BFD7DD" w14:textId="77777777" w:rsidR="00A260DF" w:rsidRPr="006A1318" w:rsidRDefault="00A260DF"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lastRenderedPageBreak/>
              <w:t>Year</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41C8EF9C" w14:textId="77777777" w:rsidR="00A260DF" w:rsidRPr="006A1318" w:rsidRDefault="00A260DF"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Payables ($m)</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549D0199" w14:textId="77777777" w:rsidR="00A260DF" w:rsidRPr="006A1318" w:rsidRDefault="00A260DF"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Cost of Sales ($m)</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265320D4" w14:textId="77777777" w:rsidR="00A260DF" w:rsidRPr="006A1318" w:rsidRDefault="00A260DF"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Payables Days</w:t>
            </w:r>
          </w:p>
        </w:tc>
      </w:tr>
      <w:tr w:rsidR="00A260DF" w:rsidRPr="006A1318" w14:paraId="5FC15AE0"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A6006EB"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2022</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0F647FB"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25,605</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3341D29"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134,397</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14F717C"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69.5 days</w:t>
            </w:r>
          </w:p>
        </w:tc>
      </w:tr>
      <w:tr w:rsidR="00A260DF" w:rsidRPr="006A1318" w14:paraId="02B97569"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7C8371D"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2023</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6F70C7A"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25,992</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EA6A651"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150,550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A477752"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63.0 days</w:t>
            </w:r>
          </w:p>
        </w:tc>
      </w:tr>
      <w:tr w:rsidR="00A260DF" w:rsidRPr="006A1318" w14:paraId="6EC53C0B"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FD9F0D9"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2024</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6F9750D"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24,128</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B0C3164"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158,434</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DCF8F9D"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55.7 days</w:t>
            </w:r>
          </w:p>
        </w:tc>
      </w:tr>
    </w:tbl>
    <w:p w14:paraId="1F9D732D" w14:textId="77777777" w:rsidR="00A260DF" w:rsidRPr="00A260DF" w:rsidRDefault="00A260DF" w:rsidP="00A260DF">
      <w:pPr>
        <w:pStyle w:val="my-2"/>
        <w:shd w:val="clear" w:color="auto" w:fill="FDFBFA"/>
        <w:rPr>
          <w:rFonts w:ascii="Arial" w:hAnsi="Arial" w:cs="Arial"/>
        </w:rPr>
      </w:pPr>
      <w:r w:rsidRPr="00A260DF">
        <w:rPr>
          <w:rFonts w:ascii="Arial" w:hAnsi="Arial" w:cs="Arial"/>
        </w:rPr>
        <w:t>Computed from Ford Annual Reports</w:t>
      </w:r>
    </w:p>
    <w:p w14:paraId="76583E84" w14:textId="77777777" w:rsidR="00A260DF" w:rsidRPr="006A1318" w:rsidRDefault="00A260DF" w:rsidP="00A260DF">
      <w:pPr>
        <w:spacing w:after="0" w:line="240" w:lineRule="auto"/>
        <w:rPr>
          <w:rFonts w:ascii="Times New Roman" w:eastAsia="Times New Roman" w:hAnsi="Times New Roman" w:cs="Times New Roman"/>
          <w:kern w:val="0"/>
          <w:lang w:eastAsia="en-GB"/>
          <w14:ligatures w14:val="none"/>
        </w:rPr>
      </w:pPr>
    </w:p>
    <w:tbl>
      <w:tblPr>
        <w:tblW w:w="5000" w:type="pct"/>
        <w:tblCellMar>
          <w:top w:w="15" w:type="dxa"/>
          <w:left w:w="15" w:type="dxa"/>
          <w:bottom w:w="15" w:type="dxa"/>
          <w:right w:w="15" w:type="dxa"/>
        </w:tblCellMar>
        <w:tblLook w:val="04A0" w:firstRow="1" w:lastRow="0" w:firstColumn="1" w:lastColumn="0" w:noHBand="0" w:noVBand="1"/>
      </w:tblPr>
      <w:tblGrid>
        <w:gridCol w:w="821"/>
        <w:gridCol w:w="2079"/>
        <w:gridCol w:w="2405"/>
        <w:gridCol w:w="2037"/>
        <w:gridCol w:w="1668"/>
      </w:tblGrid>
      <w:tr w:rsidR="00A260DF" w:rsidRPr="006A1318" w14:paraId="1C641098" w14:textId="77777777" w:rsidTr="00AE2C18">
        <w:trPr>
          <w:tblHeader/>
        </w:trPr>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32633E7F" w14:textId="77777777" w:rsidR="00A260DF" w:rsidRPr="006A1318" w:rsidRDefault="00A260DF"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Year</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2461613C" w14:textId="77777777" w:rsidR="00A260DF" w:rsidRPr="006A1318" w:rsidRDefault="00A260DF"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Inventory Days</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46DBFF22" w14:textId="77777777" w:rsidR="00A260DF" w:rsidRPr="006A1318" w:rsidRDefault="00A260DF"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Receivables Days</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00D78802" w14:textId="77777777" w:rsidR="00A260DF" w:rsidRPr="006A1318" w:rsidRDefault="00A260DF"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Payables Days</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6789613B" w14:textId="77777777" w:rsidR="00A260DF" w:rsidRPr="006A1318" w:rsidRDefault="00A260DF"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COC (Days)</w:t>
            </w:r>
          </w:p>
        </w:tc>
      </w:tr>
      <w:tr w:rsidR="00A260DF" w:rsidRPr="006A1318" w14:paraId="2DC9F082"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5DD5556"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2022</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71F8DF8"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38.2</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096591A"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36.3</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2E53DDE"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69.5</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F835E6A"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5.0</w:t>
            </w:r>
          </w:p>
        </w:tc>
      </w:tr>
      <w:tr w:rsidR="00A260DF" w:rsidRPr="006A1318" w14:paraId="0F015035"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71C8990"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2023</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CD62716"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37.9</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EA665AA"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32.3</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096E918"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63.0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87942B7"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7.2</w:t>
            </w:r>
          </w:p>
        </w:tc>
      </w:tr>
      <w:tr w:rsidR="00A260DF" w:rsidRPr="006A1318" w14:paraId="56FE10FF"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06EC00B"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2024</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3CA4813"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34.5</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23BF830"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29.1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1AD29DF"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55.7</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B2C2116"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7.9</w:t>
            </w:r>
          </w:p>
        </w:tc>
      </w:tr>
    </w:tbl>
    <w:p w14:paraId="6BDEF5D4" w14:textId="77777777" w:rsidR="00A260DF" w:rsidRPr="00A260DF" w:rsidRDefault="00A260DF" w:rsidP="00A260DF">
      <w:pPr>
        <w:pStyle w:val="my-2"/>
        <w:shd w:val="clear" w:color="auto" w:fill="FDFBFA"/>
        <w:rPr>
          <w:rFonts w:ascii="Arial" w:hAnsi="Arial" w:cs="Arial"/>
        </w:rPr>
      </w:pPr>
      <w:r w:rsidRPr="00A260DF">
        <w:rPr>
          <w:rFonts w:ascii="Arial" w:hAnsi="Arial" w:cs="Arial"/>
        </w:rPr>
        <w:t>Computed from Ford Annual Reports</w:t>
      </w:r>
    </w:p>
    <w:p w14:paraId="76BC78C0" w14:textId="62130FCD" w:rsidR="00A260DF" w:rsidRDefault="00A260DF" w:rsidP="00A260DF">
      <w:pPr>
        <w:rPr>
          <w:rFonts w:ascii="pplxSerif" w:eastAsia="Times New Roman" w:hAnsi="pplxSerif" w:cs="Times New Roman"/>
          <w:lang w:eastAsia="en-GB"/>
        </w:rPr>
      </w:pPr>
      <w:r w:rsidRPr="00A260DF">
        <w:rPr>
          <w:rFonts w:ascii="pplxSerif" w:eastAsia="Times New Roman" w:hAnsi="pplxSerif" w:cs="Times New Roman"/>
          <w:lang w:eastAsia="en-GB"/>
        </w:rPr>
        <w:t xml:space="preserve">The COC of Ford is exceptionally brief and optimistic, i.e., the company receives the cash of dealers earlier than it </w:t>
      </w:r>
      <w:proofErr w:type="gramStart"/>
      <w:r w:rsidRPr="00A260DF">
        <w:rPr>
          <w:rFonts w:ascii="pplxSerif" w:eastAsia="Times New Roman" w:hAnsi="pplxSerif" w:cs="Times New Roman"/>
          <w:lang w:eastAsia="en-GB"/>
        </w:rPr>
        <w:t>has to</w:t>
      </w:r>
      <w:proofErr w:type="gramEnd"/>
      <w:r w:rsidRPr="00A260DF">
        <w:rPr>
          <w:rFonts w:ascii="pplxSerif" w:eastAsia="Times New Roman" w:hAnsi="pplxSerif" w:cs="Times New Roman"/>
          <w:lang w:eastAsia="en-GB"/>
        </w:rPr>
        <w:t xml:space="preserve"> pay the suppliers completely. This is an inherent strength of the automotive wholesale system, in which Ford credit funds the inventory of dealers and Ford collects cash when the parts are shipped wholesale. Nevertheless, the tendency is alarming: the payables days have decreased to 69.5 to 55.7 </w:t>
      </w:r>
      <w:proofErr w:type="gramStart"/>
      <w:r w:rsidRPr="00A260DF">
        <w:rPr>
          <w:rFonts w:ascii="pplxSerif" w:eastAsia="Times New Roman" w:hAnsi="pplxSerif" w:cs="Times New Roman"/>
          <w:lang w:eastAsia="en-GB"/>
        </w:rPr>
        <w:t>days</w:t>
      </w:r>
      <w:proofErr w:type="gramEnd"/>
      <w:r w:rsidRPr="00A260DF">
        <w:rPr>
          <w:rFonts w:ascii="pplxSerif" w:eastAsia="Times New Roman" w:hAnsi="pplxSerif" w:cs="Times New Roman"/>
          <w:lang w:eastAsia="en-GB"/>
        </w:rPr>
        <w:t xml:space="preserve"> and it can be associated with supplier renegotiations and decreased supply chain finance, increasing the working capital load.</w:t>
      </w:r>
    </w:p>
    <w:p w14:paraId="632AAB9C" w14:textId="77777777" w:rsidR="00A260DF" w:rsidRPr="006A1318" w:rsidRDefault="00A260DF" w:rsidP="00A260DF">
      <w:pPr>
        <w:shd w:val="clear" w:color="auto" w:fill="FDFBFA"/>
        <w:spacing w:before="100" w:beforeAutospacing="1" w:after="100" w:afterAutospacing="1" w:line="240" w:lineRule="auto"/>
        <w:outlineLvl w:val="1"/>
        <w:rPr>
          <w:rFonts w:ascii="pplxSerif" w:eastAsia="Times New Roman" w:hAnsi="pplxSerif" w:cs="Times New Roman"/>
          <w:b/>
          <w:bCs/>
          <w:color w:val="27251E"/>
          <w:kern w:val="0"/>
          <w:sz w:val="36"/>
          <w:szCs w:val="36"/>
          <w:lang w:eastAsia="en-GB"/>
          <w14:ligatures w14:val="none"/>
        </w:rPr>
      </w:pPr>
      <w:r w:rsidRPr="006A1318">
        <w:rPr>
          <w:rFonts w:ascii="pplxSerif" w:eastAsia="Times New Roman" w:hAnsi="pplxSerif" w:cs="Times New Roman"/>
          <w:b/>
          <w:bCs/>
          <w:color w:val="27251E"/>
          <w:kern w:val="0"/>
          <w:sz w:val="36"/>
          <w:szCs w:val="36"/>
          <w:lang w:eastAsia="en-GB"/>
          <w14:ligatures w14:val="none"/>
        </w:rPr>
        <w:t>2.2 Working Capital Position</w:t>
      </w:r>
    </w:p>
    <w:p w14:paraId="77065A1B" w14:textId="77777777" w:rsidR="00A260DF" w:rsidRPr="00A260DF" w:rsidRDefault="00A260DF" w:rsidP="00A260DF">
      <w:pPr>
        <w:shd w:val="clear" w:color="auto" w:fill="FDFBFA"/>
        <w:spacing w:before="100" w:beforeAutospacing="1" w:after="100" w:afterAutospacing="1" w:line="240" w:lineRule="auto"/>
        <w:rPr>
          <w:rFonts w:ascii="Arial" w:eastAsia="Times New Roman" w:hAnsi="Arial" w:cs="Arial"/>
          <w:b/>
          <w:bCs/>
          <w:kern w:val="0"/>
          <w:lang w:eastAsia="en-GB"/>
          <w14:ligatures w14:val="none"/>
        </w:rPr>
      </w:pPr>
      <w:r w:rsidRPr="00A260DF">
        <w:rPr>
          <w:rFonts w:ascii="Arial" w:eastAsia="Times New Roman" w:hAnsi="Arial" w:cs="Arial"/>
          <w:b/>
          <w:bCs/>
          <w:kern w:val="0"/>
          <w:lang w:eastAsia="en-GB"/>
          <w14:ligatures w14:val="none"/>
        </w:rPr>
        <w:t>Net Working Capital (excl. Ford Credit financing items):</w:t>
      </w:r>
    </w:p>
    <w:tbl>
      <w:tblPr>
        <w:tblW w:w="5000" w:type="pct"/>
        <w:tblCellMar>
          <w:top w:w="15" w:type="dxa"/>
          <w:left w:w="15" w:type="dxa"/>
          <w:bottom w:w="15" w:type="dxa"/>
          <w:right w:w="15" w:type="dxa"/>
        </w:tblCellMar>
        <w:tblLook w:val="04A0" w:firstRow="1" w:lastRow="0" w:firstColumn="1" w:lastColumn="0" w:noHBand="0" w:noVBand="1"/>
      </w:tblPr>
      <w:tblGrid>
        <w:gridCol w:w="775"/>
        <w:gridCol w:w="2461"/>
        <w:gridCol w:w="2777"/>
        <w:gridCol w:w="2997"/>
      </w:tblGrid>
      <w:tr w:rsidR="00A260DF" w:rsidRPr="006A1318" w14:paraId="15351E89" w14:textId="77777777" w:rsidTr="00AE2C18">
        <w:trPr>
          <w:tblHeader/>
        </w:trPr>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49BBC73A" w14:textId="77777777" w:rsidR="00A260DF" w:rsidRPr="006A1318" w:rsidRDefault="00A260DF"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Year</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43D6DADB" w14:textId="77777777" w:rsidR="00A260DF" w:rsidRPr="006A1318" w:rsidRDefault="00A260DF"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Current Assets ($m)</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2496D4C8" w14:textId="77777777" w:rsidR="00A260DF" w:rsidRPr="006A1318" w:rsidRDefault="00A260DF"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Current Liabilities ($m)</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496DD299" w14:textId="77777777" w:rsidR="00A260DF" w:rsidRPr="006A1318" w:rsidRDefault="00A260DF"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Net Working Capital ($m)</w:t>
            </w:r>
          </w:p>
        </w:tc>
      </w:tr>
      <w:tr w:rsidR="00A260DF" w:rsidRPr="006A1318" w14:paraId="3998229E"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1E13746"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2022</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812598A"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116,476</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301C631"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96,866</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61D3571"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19,610</w:t>
            </w:r>
          </w:p>
        </w:tc>
      </w:tr>
      <w:tr w:rsidR="00A260DF" w:rsidRPr="006A1318" w14:paraId="472ACC35"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C74D6D3"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2023</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96224CF"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121,481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52AEFF7"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101,531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B44BD9B"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19,950</w:t>
            </w:r>
          </w:p>
        </w:tc>
      </w:tr>
      <w:tr w:rsidR="00A260DF" w:rsidRPr="006A1318" w14:paraId="30F38161"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FE8F27B"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2024</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6AB41BC"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124,474</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3059619"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106,859</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85C1DE3" w14:textId="77777777" w:rsidR="00A260DF" w:rsidRPr="006A1318" w:rsidRDefault="00A260DF"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17,615</w:t>
            </w:r>
          </w:p>
        </w:tc>
      </w:tr>
    </w:tbl>
    <w:p w14:paraId="08B74002" w14:textId="77777777" w:rsidR="00A260DF" w:rsidRPr="00A260DF" w:rsidRDefault="00A260DF" w:rsidP="00A260DF">
      <w:pPr>
        <w:pStyle w:val="my-2"/>
        <w:shd w:val="clear" w:color="auto" w:fill="FDFBFA"/>
        <w:rPr>
          <w:rFonts w:ascii="Arial" w:hAnsi="Arial" w:cs="Arial"/>
        </w:rPr>
      </w:pPr>
      <w:r w:rsidRPr="00A260DF">
        <w:rPr>
          <w:rFonts w:ascii="Arial" w:hAnsi="Arial" w:cs="Arial"/>
        </w:rPr>
        <w:t>Computed from Ford Annual Reports</w:t>
      </w:r>
    </w:p>
    <w:p w14:paraId="79A60D91" w14:textId="77777777" w:rsidR="00A260DF" w:rsidRPr="006A1318" w:rsidRDefault="00A260DF" w:rsidP="00A260DF">
      <w:p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6A1318">
        <w:rPr>
          <w:rFonts w:ascii="pplxSerif" w:eastAsia="Times New Roman" w:hAnsi="pplxSerif" w:cs="Times New Roman"/>
          <w:color w:val="27251E"/>
          <w:kern w:val="0"/>
          <w:lang w:eastAsia="en-GB"/>
          <w14:ligatures w14:val="none"/>
        </w:rPr>
        <w:t>Net working capital declined by $2.3 billion in 2024, largely due to Ford Credit's short-term debt growth. This compresses the buffer available for operational needs.</w:t>
      </w:r>
    </w:p>
    <w:p w14:paraId="7263626B" w14:textId="77777777" w:rsidR="00A260DF" w:rsidRPr="006A1318" w:rsidRDefault="00A260DF" w:rsidP="00A260DF">
      <w:pPr>
        <w:shd w:val="clear" w:color="auto" w:fill="FDFBFA"/>
        <w:spacing w:before="100" w:beforeAutospacing="1" w:after="100" w:afterAutospacing="1" w:line="240" w:lineRule="auto"/>
        <w:outlineLvl w:val="1"/>
        <w:rPr>
          <w:rFonts w:ascii="pplxSerif" w:eastAsia="Times New Roman" w:hAnsi="pplxSerif" w:cs="Times New Roman"/>
          <w:b/>
          <w:bCs/>
          <w:color w:val="27251E"/>
          <w:kern w:val="0"/>
          <w:sz w:val="36"/>
          <w:szCs w:val="36"/>
          <w:lang w:eastAsia="en-GB"/>
          <w14:ligatures w14:val="none"/>
        </w:rPr>
      </w:pPr>
      <w:r w:rsidRPr="006A1318">
        <w:rPr>
          <w:rFonts w:ascii="pplxSerif" w:eastAsia="Times New Roman" w:hAnsi="pplxSerif" w:cs="Times New Roman"/>
          <w:b/>
          <w:bCs/>
          <w:color w:val="27251E"/>
          <w:kern w:val="0"/>
          <w:sz w:val="36"/>
          <w:szCs w:val="36"/>
          <w:lang w:eastAsia="en-GB"/>
          <w14:ligatures w14:val="none"/>
        </w:rPr>
        <w:lastRenderedPageBreak/>
        <w:t>2.3 Strategies to Improve Liquidity Through Working Capital Reform</w:t>
      </w:r>
    </w:p>
    <w:p w14:paraId="6EC6FED2" w14:textId="630B9447" w:rsidR="00A260DF" w:rsidRDefault="00A260DF" w:rsidP="00A260DF">
      <w:pPr>
        <w:rPr>
          <w:rFonts w:ascii="pplxSerif" w:eastAsia="Times New Roman" w:hAnsi="pplxSerif" w:cs="Times New Roman"/>
          <w:b/>
          <w:bCs/>
          <w:color w:val="27251E"/>
          <w:kern w:val="0"/>
          <w:lang w:eastAsia="en-GB"/>
          <w14:ligatures w14:val="none"/>
        </w:rPr>
      </w:pPr>
      <w:r w:rsidRPr="003779BC">
        <w:rPr>
          <w:rFonts w:ascii="pplxSerif" w:eastAsia="Times New Roman" w:hAnsi="pplxSerif" w:cs="Times New Roman"/>
          <w:b/>
          <w:bCs/>
          <w:color w:val="27251E"/>
          <w:kern w:val="0"/>
          <w:lang w:eastAsia="en-GB"/>
          <w14:ligatures w14:val="none"/>
        </w:rPr>
        <w:t>1. Supplier Dynamic Discounting / Supply Chain Finance Reinstatement</w:t>
      </w:r>
    </w:p>
    <w:p w14:paraId="197D98B0" w14:textId="3C036503" w:rsidR="00A260DF" w:rsidRDefault="00C64413" w:rsidP="00A260DF">
      <w:pPr>
        <w:rPr>
          <w:rFonts w:ascii="pplxSerif" w:eastAsia="Times New Roman" w:hAnsi="pplxSerif" w:cs="Times New Roman"/>
          <w:lang w:eastAsia="en-GB"/>
        </w:rPr>
      </w:pPr>
      <w:r w:rsidRPr="00C64413">
        <w:rPr>
          <w:rFonts w:ascii="pplxSerif" w:eastAsia="Times New Roman" w:hAnsi="pplxSerif" w:cs="Times New Roman"/>
          <w:lang w:eastAsia="en-GB"/>
        </w:rPr>
        <w:t xml:space="preserve">The decreasing payables days (69.5 to 55.7 in three years) of Ford indicate that the use of supply chain finance is decreasing. Effective payables days can be reinstated or increased </w:t>
      </w:r>
      <w:proofErr w:type="gramStart"/>
      <w:r w:rsidRPr="00C64413">
        <w:rPr>
          <w:rFonts w:ascii="pplxSerif" w:eastAsia="Times New Roman" w:hAnsi="pplxSerif" w:cs="Times New Roman"/>
          <w:lang w:eastAsia="en-GB"/>
        </w:rPr>
        <w:t>by the use of</w:t>
      </w:r>
      <w:proofErr w:type="gramEnd"/>
      <w:r w:rsidRPr="00C64413">
        <w:rPr>
          <w:rFonts w:ascii="pplxSerif" w:eastAsia="Times New Roman" w:hAnsi="pplxSerif" w:cs="Times New Roman"/>
          <w:lang w:eastAsia="en-GB"/>
        </w:rPr>
        <w:t xml:space="preserve"> a financial institution supported early payment programme which can extend the effective payables days back to 65-70 days, to free up about estimated 1.5-2.0 billion of working capital. According to Hofmann and </w:t>
      </w:r>
      <w:proofErr w:type="spellStart"/>
      <w:r w:rsidRPr="00C64413">
        <w:rPr>
          <w:rFonts w:ascii="pplxSerif" w:eastAsia="Times New Roman" w:hAnsi="pplxSerif" w:cs="Times New Roman"/>
          <w:lang w:eastAsia="en-GB"/>
        </w:rPr>
        <w:t>Kotzab</w:t>
      </w:r>
      <w:proofErr w:type="spellEnd"/>
      <w:r w:rsidRPr="00C64413">
        <w:rPr>
          <w:rFonts w:ascii="pplxSerif" w:eastAsia="Times New Roman" w:hAnsi="pplxSerif" w:cs="Times New Roman"/>
          <w:lang w:eastAsia="en-GB"/>
        </w:rPr>
        <w:t xml:space="preserve"> (2010), supply chain finance allows buyers to optimise payment terms without putting a strain on supplier relationships.</w:t>
      </w:r>
    </w:p>
    <w:p w14:paraId="4D20DA60" w14:textId="77777777" w:rsidR="00C64413" w:rsidRPr="00C64413" w:rsidRDefault="00C64413" w:rsidP="00C64413">
      <w:pPr>
        <w:rPr>
          <w:rFonts w:ascii="pplxSerif" w:eastAsia="Times New Roman" w:hAnsi="pplxSerif" w:cs="Times New Roman"/>
          <w:color w:val="27251E"/>
          <w:kern w:val="0"/>
          <w:lang w:eastAsia="en-GB"/>
          <w14:ligatures w14:val="none"/>
        </w:rPr>
      </w:pPr>
      <w:r w:rsidRPr="003779BC">
        <w:rPr>
          <w:rFonts w:ascii="pplxSerif" w:eastAsia="Times New Roman" w:hAnsi="pplxSerif" w:cs="Times New Roman"/>
          <w:b/>
          <w:bCs/>
          <w:color w:val="27251E"/>
          <w:kern w:val="0"/>
          <w:lang w:eastAsia="en-GB"/>
          <w14:ligatures w14:val="none"/>
        </w:rPr>
        <w:t>2. Inventory Optimisation via Demand-Driven Scheduling</w:t>
      </w:r>
      <w:r>
        <w:rPr>
          <w:rFonts w:ascii="pplxSerif" w:eastAsia="Times New Roman" w:hAnsi="pplxSerif" w:cs="Times New Roman"/>
          <w:b/>
          <w:bCs/>
          <w:color w:val="27251E"/>
          <w:kern w:val="0"/>
          <w:lang w:eastAsia="en-GB"/>
          <w14:ligatures w14:val="none"/>
        </w:rPr>
        <w:br/>
      </w:r>
      <w:r w:rsidRPr="00C64413">
        <w:rPr>
          <w:rFonts w:ascii="pplxSerif" w:eastAsia="Times New Roman" w:hAnsi="pplxSerif" w:cs="Times New Roman"/>
          <w:color w:val="27251E"/>
          <w:kern w:val="0"/>
          <w:lang w:eastAsia="en-GB"/>
          <w14:ligatures w14:val="none"/>
        </w:rPr>
        <w:t>Inventory days of Ford decreased to 34.5 days in 2024, showing improvement. Nevertheless, the normalised accumulation of completed EV stock (which is usually waiting to be updated with software or to receive parts) is a risk. By implementing the principles of just-in-time (JIT) more strictly at EV manufacturing facilities, it is possible to further shorten the inventory by 3-5 days, releasing around 1.3-2.2 billion dollars of cash.</w:t>
      </w:r>
    </w:p>
    <w:p w14:paraId="1291681E" w14:textId="18F5B49A" w:rsidR="00C64413" w:rsidRPr="00C64413" w:rsidRDefault="00C64413" w:rsidP="00C64413">
      <w:pPr>
        <w:rPr>
          <w:rFonts w:ascii="pplxSerif" w:eastAsia="Times New Roman" w:hAnsi="pplxSerif" w:cs="Times New Roman"/>
          <w:color w:val="27251E"/>
          <w:kern w:val="0"/>
          <w:lang w:eastAsia="en-GB"/>
          <w14:ligatures w14:val="none"/>
        </w:rPr>
      </w:pPr>
      <w:r w:rsidRPr="003779BC">
        <w:rPr>
          <w:rFonts w:ascii="pplxSerif" w:eastAsia="Times New Roman" w:hAnsi="pplxSerif" w:cs="Times New Roman"/>
          <w:b/>
          <w:bCs/>
          <w:color w:val="27251E"/>
          <w:kern w:val="0"/>
          <w:lang w:eastAsia="en-GB"/>
          <w14:ligatures w14:val="none"/>
        </w:rPr>
        <w:t>3. Ford Credit Distributions and Capital Structure</w:t>
      </w:r>
      <w:r>
        <w:rPr>
          <w:rFonts w:ascii="pplxSerif" w:eastAsia="Times New Roman" w:hAnsi="pplxSerif" w:cs="Times New Roman"/>
          <w:color w:val="27251E"/>
          <w:kern w:val="0"/>
          <w:lang w:eastAsia="en-GB"/>
          <w14:ligatures w14:val="none"/>
        </w:rPr>
        <w:br/>
      </w:r>
      <w:r w:rsidRPr="00C64413">
        <w:rPr>
          <w:rFonts w:ascii="pplxSerif" w:eastAsia="Times New Roman" w:hAnsi="pplxSerif" w:cs="Times New Roman"/>
          <w:color w:val="27251E"/>
          <w:kern w:val="0"/>
          <w:lang w:eastAsia="en-GB"/>
          <w14:ligatures w14:val="none"/>
        </w:rPr>
        <w:t>In 2024, Ford credit made a distribution of $500 million to its parent, compared to a distribution of 2.1 billion in 2022. A less volatile distribution plan - between 1.5 and 2.0 billion per year - would help the parent company working capital status without excessive overloading of the balance sheet of Ford Credit (current leverage 10:1).</w:t>
      </w:r>
    </w:p>
    <w:p w14:paraId="7C917E7F" w14:textId="77777777" w:rsidR="00C64413" w:rsidRDefault="00C64413" w:rsidP="00C64413">
      <w:pPr>
        <w:shd w:val="clear" w:color="auto" w:fill="FDFBFA"/>
        <w:spacing w:before="100" w:beforeAutospacing="1" w:after="100" w:afterAutospacing="1" w:line="240" w:lineRule="auto"/>
        <w:outlineLvl w:val="1"/>
        <w:rPr>
          <w:rFonts w:ascii="pplxSerif" w:eastAsia="Times New Roman" w:hAnsi="pplxSerif" w:cs="Times New Roman"/>
          <w:b/>
          <w:bCs/>
          <w:color w:val="27251E"/>
          <w:kern w:val="0"/>
          <w:lang w:eastAsia="en-GB"/>
          <w14:ligatures w14:val="none"/>
        </w:rPr>
      </w:pPr>
      <w:r w:rsidRPr="003779BC">
        <w:rPr>
          <w:rFonts w:ascii="pplxSerif" w:eastAsia="Times New Roman" w:hAnsi="pplxSerif" w:cs="Times New Roman"/>
          <w:b/>
          <w:bCs/>
          <w:color w:val="27251E"/>
          <w:kern w:val="0"/>
          <w:lang w:eastAsia="en-GB"/>
          <w14:ligatures w14:val="none"/>
        </w:rPr>
        <w:t>4. Receivables Acceleration through Digital Invoice Platforms</w:t>
      </w:r>
      <w:r>
        <w:rPr>
          <w:rFonts w:ascii="pplxSerif" w:eastAsia="Times New Roman" w:hAnsi="pplxSerif" w:cs="Times New Roman"/>
          <w:lang w:eastAsia="en-GB"/>
        </w:rPr>
        <w:br/>
      </w:r>
      <w:r w:rsidRPr="00C64413">
        <w:rPr>
          <w:rFonts w:ascii="pplxSerif" w:eastAsia="Times New Roman" w:hAnsi="pplxSerif" w:cs="Times New Roman"/>
          <w:color w:val="27251E"/>
          <w:kern w:val="0"/>
          <w:lang w:eastAsia="en-GB"/>
          <w14:ligatures w14:val="none"/>
        </w:rPr>
        <w:t>The number of days of receivables decreased to 29.1 days, whereas it can be further reduced by digitalizing the onboarding of dealer payment systems, especially in emerging markets where manual invoice reconciliation slows down collections.</w:t>
      </w:r>
      <w:r w:rsidRPr="006A1318">
        <w:rPr>
          <w:rFonts w:ascii="pplxSerif" w:eastAsia="Times New Roman" w:hAnsi="pplxSerif" w:cs="Times New Roman"/>
          <w:color w:val="27251E"/>
          <w:kern w:val="0"/>
          <w:lang w:eastAsia="en-GB"/>
          <w14:ligatures w14:val="none"/>
        </w:rPr>
        <w:br/>
      </w:r>
    </w:p>
    <w:p w14:paraId="703A5C44" w14:textId="77777777" w:rsidR="00C64413" w:rsidRDefault="00C64413">
      <w:pPr>
        <w:rPr>
          <w:rFonts w:ascii="pplxSerif" w:eastAsia="Times New Roman" w:hAnsi="pplxSerif" w:cs="Times New Roman"/>
          <w:b/>
          <w:bCs/>
          <w:color w:val="27251E"/>
          <w:kern w:val="0"/>
          <w:lang w:eastAsia="en-GB"/>
          <w14:ligatures w14:val="none"/>
        </w:rPr>
      </w:pPr>
      <w:r>
        <w:rPr>
          <w:rFonts w:ascii="pplxSerif" w:eastAsia="Times New Roman" w:hAnsi="pplxSerif" w:cs="Times New Roman"/>
          <w:b/>
          <w:bCs/>
          <w:color w:val="27251E"/>
          <w:kern w:val="0"/>
          <w:lang w:eastAsia="en-GB"/>
          <w14:ligatures w14:val="none"/>
        </w:rPr>
        <w:br w:type="page"/>
      </w:r>
    </w:p>
    <w:p w14:paraId="5AD2EB54" w14:textId="74AEC7F8" w:rsidR="00C64413" w:rsidRPr="006A1318" w:rsidRDefault="00C64413" w:rsidP="00C64413">
      <w:pPr>
        <w:shd w:val="clear" w:color="auto" w:fill="FDFBFA"/>
        <w:spacing w:before="100" w:beforeAutospacing="1" w:after="100" w:afterAutospacing="1" w:line="240" w:lineRule="auto"/>
        <w:outlineLvl w:val="1"/>
        <w:rPr>
          <w:rFonts w:ascii="pplxSerif" w:eastAsia="Times New Roman" w:hAnsi="pplxSerif" w:cs="Times New Roman"/>
          <w:b/>
          <w:bCs/>
          <w:color w:val="27251E"/>
          <w:kern w:val="0"/>
          <w:sz w:val="36"/>
          <w:szCs w:val="36"/>
          <w:lang w:eastAsia="en-GB"/>
          <w14:ligatures w14:val="none"/>
        </w:rPr>
      </w:pPr>
      <w:r>
        <w:rPr>
          <w:rFonts w:ascii="pplxSerif" w:eastAsia="Times New Roman" w:hAnsi="pplxSerif" w:cs="Times New Roman"/>
          <w:b/>
          <w:bCs/>
          <w:color w:val="27251E"/>
          <w:kern w:val="0"/>
          <w:lang w:eastAsia="en-GB"/>
          <w14:ligatures w14:val="none"/>
        </w:rPr>
        <w:lastRenderedPageBreak/>
        <w:br/>
      </w:r>
      <w:r w:rsidRPr="006A1318">
        <w:rPr>
          <w:rFonts w:ascii="pplxSerif" w:eastAsia="Times New Roman" w:hAnsi="pplxSerif" w:cs="Times New Roman"/>
          <w:b/>
          <w:bCs/>
          <w:color w:val="27251E"/>
          <w:kern w:val="0"/>
          <w:sz w:val="36"/>
          <w:szCs w:val="36"/>
          <w:lang w:eastAsia="en-GB"/>
          <w14:ligatures w14:val="none"/>
        </w:rPr>
        <w:t>2.4 Short-Term vs Long-Term Financing Options</w:t>
      </w:r>
    </w:p>
    <w:tbl>
      <w:tblPr>
        <w:tblW w:w="5000" w:type="pct"/>
        <w:tblCellMar>
          <w:top w:w="15" w:type="dxa"/>
          <w:left w:w="15" w:type="dxa"/>
          <w:bottom w:w="15" w:type="dxa"/>
          <w:right w:w="15" w:type="dxa"/>
        </w:tblCellMar>
        <w:tblLook w:val="04A0" w:firstRow="1" w:lastRow="0" w:firstColumn="1" w:lastColumn="0" w:noHBand="0" w:noVBand="1"/>
      </w:tblPr>
      <w:tblGrid>
        <w:gridCol w:w="1661"/>
        <w:gridCol w:w="4016"/>
        <w:gridCol w:w="3333"/>
      </w:tblGrid>
      <w:tr w:rsidR="00C64413" w:rsidRPr="006A1318" w14:paraId="1025F0A4" w14:textId="77777777" w:rsidTr="00AE2C18">
        <w:trPr>
          <w:tblHeader/>
        </w:trPr>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689AE12F" w14:textId="77777777" w:rsidR="00C64413" w:rsidRPr="006A1318" w:rsidRDefault="00C64413"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Feature</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18BDC8F4" w14:textId="77777777" w:rsidR="00C64413" w:rsidRPr="006A1318" w:rsidRDefault="00C64413"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Short-Term Financing</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43D2FC4D" w14:textId="77777777" w:rsidR="00C64413" w:rsidRPr="006A1318" w:rsidRDefault="00C64413"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Long-Term Financing</w:t>
            </w:r>
          </w:p>
        </w:tc>
      </w:tr>
      <w:tr w:rsidR="00C64413" w:rsidRPr="006A1318" w14:paraId="3DB30892"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A8D6ED0" w14:textId="77777777" w:rsidR="00C64413" w:rsidRPr="006A1318" w:rsidRDefault="00C6441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b/>
                <w:bCs/>
                <w:kern w:val="0"/>
                <w:lang w:eastAsia="en-GB"/>
                <w14:ligatures w14:val="none"/>
              </w:rPr>
              <w:t>Examples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EE0F3FC" w14:textId="77777777" w:rsidR="00C64413" w:rsidRPr="006A1318" w:rsidRDefault="00C6441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Commercial paper, revolving credit facility, overdraft</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6FCDCE4" w14:textId="77777777" w:rsidR="00C64413" w:rsidRPr="006A1318" w:rsidRDefault="00C6441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Bond issuance, term loans, equity injection</w:t>
            </w:r>
          </w:p>
        </w:tc>
      </w:tr>
      <w:tr w:rsidR="00C64413" w:rsidRPr="006A1318" w14:paraId="338BF604"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85C988A" w14:textId="77777777" w:rsidR="00C64413" w:rsidRPr="006A1318" w:rsidRDefault="00C6441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b/>
                <w:bCs/>
                <w:kern w:val="0"/>
                <w:lang w:eastAsia="en-GB"/>
                <w14:ligatures w14:val="none"/>
              </w:rPr>
              <w:t>Cost</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354B542" w14:textId="77777777" w:rsidR="00C64413" w:rsidRPr="006A1318" w:rsidRDefault="00C6441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Lower nominal rate (variable)</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3BA779F" w14:textId="77777777" w:rsidR="00C64413" w:rsidRPr="006A1318" w:rsidRDefault="00C6441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Higher fixed coupon but predictable</w:t>
            </w:r>
          </w:p>
        </w:tc>
      </w:tr>
      <w:tr w:rsidR="00C64413" w:rsidRPr="006A1318" w14:paraId="72D9C179"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B69B678" w14:textId="77777777" w:rsidR="00C64413" w:rsidRPr="006A1318" w:rsidRDefault="00C6441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b/>
                <w:bCs/>
                <w:kern w:val="0"/>
                <w:lang w:eastAsia="en-GB"/>
                <w14:ligatures w14:val="none"/>
              </w:rPr>
              <w:t>Flexibility</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189EA38" w14:textId="77777777" w:rsidR="00C64413" w:rsidRPr="006A1318" w:rsidRDefault="00C6441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High — drawn and repaid as needed</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2EB2AE7" w14:textId="77777777" w:rsidR="00C64413" w:rsidRPr="006A1318" w:rsidRDefault="00C6441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Lower — covenants and repayment schedules</w:t>
            </w:r>
          </w:p>
        </w:tc>
      </w:tr>
      <w:tr w:rsidR="00C64413" w:rsidRPr="006A1318" w14:paraId="600F14FA"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6E02BD4" w14:textId="77777777" w:rsidR="00C64413" w:rsidRPr="006A1318" w:rsidRDefault="00C6441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b/>
                <w:bCs/>
                <w:kern w:val="0"/>
                <w:lang w:eastAsia="en-GB"/>
                <w14:ligatures w14:val="none"/>
              </w:rPr>
              <w:t>Risk</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0FE3B03" w14:textId="77777777" w:rsidR="00C64413" w:rsidRPr="006A1318" w:rsidRDefault="00C6441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Rollover/refinancing risk</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42A9125" w14:textId="77777777" w:rsidR="00C64413" w:rsidRPr="006A1318" w:rsidRDefault="00C6441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Fixed obligation regardless of performance</w:t>
            </w:r>
          </w:p>
        </w:tc>
      </w:tr>
      <w:tr w:rsidR="00C64413" w:rsidRPr="006A1318" w14:paraId="2A00C8D6"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DA4ACAD" w14:textId="77777777" w:rsidR="00C64413" w:rsidRPr="006A1318" w:rsidRDefault="00C6441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b/>
                <w:bCs/>
                <w:kern w:val="0"/>
                <w:lang w:eastAsia="en-GB"/>
                <w14:ligatures w14:val="none"/>
              </w:rPr>
              <w:t>Ford's Position</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1812FA7" w14:textId="3C2C7A03" w:rsidR="00C64413" w:rsidRPr="006A1318" w:rsidRDefault="00C6441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$14.9 billion revolving credit facilities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40E0C76" w14:textId="11518C20" w:rsidR="00C64413" w:rsidRPr="006A1318" w:rsidRDefault="00C6441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 xml:space="preserve">$18.9 billion LT debt excl. Ford Credit (2024) </w:t>
            </w:r>
          </w:p>
        </w:tc>
      </w:tr>
      <w:tr w:rsidR="00C64413" w:rsidRPr="006A1318" w14:paraId="0E7DC413"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B257588" w14:textId="77777777" w:rsidR="00C64413" w:rsidRPr="006A1318" w:rsidRDefault="00C6441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b/>
                <w:bCs/>
                <w:kern w:val="0"/>
                <w:lang w:eastAsia="en-GB"/>
                <w14:ligatures w14:val="none"/>
              </w:rPr>
              <w:t>Best Use For</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71AE0A9" w14:textId="77777777" w:rsidR="00C64413" w:rsidRPr="006A1318" w:rsidRDefault="00C6441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Seasonal inventory swings, working capital gaps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D298FC9" w14:textId="77777777" w:rsidR="00C64413" w:rsidRPr="006A1318" w:rsidRDefault="00C6441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EV capex, plant upgrades, pension de-risking</w:t>
            </w:r>
          </w:p>
        </w:tc>
      </w:tr>
    </w:tbl>
    <w:p w14:paraId="23127A16" w14:textId="09D7CD45" w:rsidR="00C64413" w:rsidRDefault="00C64413" w:rsidP="00C64413">
      <w:pPr>
        <w:rPr>
          <w:rFonts w:ascii="pplxSerif" w:eastAsia="Times New Roman" w:hAnsi="pplxSerif" w:cs="Times New Roman"/>
          <w:lang w:eastAsia="en-GB"/>
        </w:rPr>
      </w:pPr>
    </w:p>
    <w:p w14:paraId="345210F8" w14:textId="4BBD42F5" w:rsidR="00C64413" w:rsidRDefault="00C64413" w:rsidP="00C64413">
      <w:pPr>
        <w:rPr>
          <w:rFonts w:ascii="pplxSerif" w:eastAsia="Times New Roman" w:hAnsi="pplxSerif" w:cs="Times New Roman"/>
          <w:lang w:eastAsia="en-GB"/>
        </w:rPr>
      </w:pPr>
      <w:r w:rsidRPr="00C64413">
        <w:rPr>
          <w:rFonts w:ascii="pplxSerif" w:eastAsia="Times New Roman" w:hAnsi="pplxSerif" w:cs="Times New Roman"/>
          <w:lang w:eastAsia="en-GB"/>
        </w:rPr>
        <w:t>The current revolving credit facilities of Ford amount to about 14.9 billion and was undrawn at the year-end, which is a substantial backstop of short-term liquidity. In the case of EV capital expenditure, which the management aims at a range of 8.0 to 9.0 billion in 2025, long-term bond financing is more fitting since the payback period is multi-</w:t>
      </w:r>
      <w:proofErr w:type="gramStart"/>
      <w:r w:rsidRPr="00C64413">
        <w:rPr>
          <w:rFonts w:ascii="pplxSerif" w:eastAsia="Times New Roman" w:hAnsi="pplxSerif" w:cs="Times New Roman"/>
          <w:lang w:eastAsia="en-GB"/>
        </w:rPr>
        <w:t>year</w:t>
      </w:r>
      <w:proofErr w:type="gramEnd"/>
      <w:r w:rsidRPr="00C64413">
        <w:rPr>
          <w:rFonts w:ascii="pplxSerif" w:eastAsia="Times New Roman" w:hAnsi="pplxSerif" w:cs="Times New Roman"/>
          <w:lang w:eastAsia="en-GB"/>
        </w:rPr>
        <w:t xml:space="preserve"> and the bond market is currently very strong (BBB-rated by Fitch and S&amp;P). Ross, Westerfield, and Jordan (2019) stress that liquidity risk is minimised by matching the period of financing to the period of the asset being financed, which is generally practiced by Ford.</w:t>
      </w:r>
    </w:p>
    <w:p w14:paraId="676BD979" w14:textId="77777777" w:rsidR="00C64413" w:rsidRDefault="00C64413" w:rsidP="00C64413">
      <w:pPr>
        <w:rPr>
          <w:rFonts w:ascii="pplxSerif" w:eastAsia="Times New Roman" w:hAnsi="pplxSerif" w:cs="Times New Roman"/>
          <w:lang w:eastAsia="en-GB"/>
        </w:rPr>
      </w:pPr>
    </w:p>
    <w:p w14:paraId="7F174FA3" w14:textId="77777777" w:rsidR="00C64413" w:rsidRPr="006A1318" w:rsidRDefault="00C64413" w:rsidP="00C64413">
      <w:pPr>
        <w:shd w:val="clear" w:color="auto" w:fill="FDFBFA"/>
        <w:spacing w:before="100" w:beforeAutospacing="1" w:after="100" w:afterAutospacing="1" w:line="240" w:lineRule="auto"/>
        <w:outlineLvl w:val="1"/>
        <w:rPr>
          <w:rFonts w:ascii="pplxSerif" w:eastAsia="Times New Roman" w:hAnsi="pplxSerif" w:cs="Times New Roman"/>
          <w:b/>
          <w:bCs/>
          <w:color w:val="27251E"/>
          <w:kern w:val="0"/>
          <w:sz w:val="36"/>
          <w:szCs w:val="36"/>
          <w:lang w:eastAsia="en-GB"/>
          <w14:ligatures w14:val="none"/>
        </w:rPr>
      </w:pPr>
      <w:r w:rsidRPr="006A1318">
        <w:rPr>
          <w:rFonts w:ascii="pplxSerif" w:eastAsia="Times New Roman" w:hAnsi="pplxSerif" w:cs="Times New Roman"/>
          <w:b/>
          <w:bCs/>
          <w:color w:val="27251E"/>
          <w:kern w:val="0"/>
          <w:sz w:val="36"/>
          <w:szCs w:val="36"/>
          <w:lang w:eastAsia="en-GB"/>
          <w14:ligatures w14:val="none"/>
        </w:rPr>
        <w:t>3. Strategic Financial Restructuring Plan</w:t>
      </w:r>
    </w:p>
    <w:p w14:paraId="3C571015" w14:textId="77777777" w:rsidR="00C64413" w:rsidRPr="006A1318" w:rsidRDefault="00C64413" w:rsidP="00C64413">
      <w:pPr>
        <w:shd w:val="clear" w:color="auto" w:fill="FDFBFA"/>
        <w:spacing w:before="100" w:beforeAutospacing="1" w:after="100" w:afterAutospacing="1" w:line="240" w:lineRule="auto"/>
        <w:outlineLvl w:val="1"/>
        <w:rPr>
          <w:rFonts w:ascii="pplxSerif" w:eastAsia="Times New Roman" w:hAnsi="pplxSerif" w:cs="Times New Roman"/>
          <w:b/>
          <w:bCs/>
          <w:color w:val="27251E"/>
          <w:kern w:val="0"/>
          <w:sz w:val="36"/>
          <w:szCs w:val="36"/>
          <w:lang w:eastAsia="en-GB"/>
          <w14:ligatures w14:val="none"/>
        </w:rPr>
      </w:pPr>
      <w:r w:rsidRPr="006A1318">
        <w:rPr>
          <w:rFonts w:ascii="pplxSerif" w:eastAsia="Times New Roman" w:hAnsi="pplxSerif" w:cs="Times New Roman"/>
          <w:b/>
          <w:bCs/>
          <w:color w:val="27251E"/>
          <w:kern w:val="0"/>
          <w:sz w:val="36"/>
          <w:szCs w:val="36"/>
          <w:lang w:eastAsia="en-GB"/>
          <w14:ligatures w14:val="none"/>
        </w:rPr>
        <w:t>3.1 Context: Why Restructuring Is Needed</w:t>
      </w:r>
    </w:p>
    <w:p w14:paraId="200D6455" w14:textId="3CDC1534" w:rsidR="00D45C0F" w:rsidRDefault="00D45C0F" w:rsidP="00C64413">
      <w:pPr>
        <w:rPr>
          <w:rFonts w:ascii="pplxSerif" w:eastAsia="Times New Roman" w:hAnsi="pplxSerif" w:cs="Times New Roman"/>
          <w:lang w:eastAsia="en-GB"/>
        </w:rPr>
      </w:pPr>
      <w:r w:rsidRPr="00D45C0F">
        <w:rPr>
          <w:rFonts w:ascii="pplxSerif" w:eastAsia="Times New Roman" w:hAnsi="pplxSerif" w:cs="Times New Roman"/>
          <w:lang w:eastAsia="en-GB"/>
        </w:rPr>
        <w:t>The three-segment model of Ford reveals a basic internal cross-subsidy: Ford Pro will contribute to Ford Model e with its $9.0 billion EBIT in 2024, which will effectively subsidize the $5.1 billion EBIT loss of Ford Model e. Ford Model e will incur about 14.5 billion in cumulative losses over 2023-2025. Unchecked, this trend poses a threat to the credit ratings, dividend sustainability and efficiency of capital allocation of Ford. Restructuring is thus a strategic requirement and a financial necessity.</w:t>
      </w:r>
    </w:p>
    <w:p w14:paraId="4B5EE761" w14:textId="77777777" w:rsidR="00D45C0F" w:rsidRPr="006A1318" w:rsidRDefault="00D45C0F" w:rsidP="00D45C0F">
      <w:pPr>
        <w:shd w:val="clear" w:color="auto" w:fill="FDFBFA"/>
        <w:spacing w:before="100" w:beforeAutospacing="1" w:after="100" w:afterAutospacing="1" w:line="240" w:lineRule="auto"/>
        <w:outlineLvl w:val="1"/>
        <w:rPr>
          <w:rFonts w:ascii="pplxSerif" w:eastAsia="Times New Roman" w:hAnsi="pplxSerif" w:cs="Times New Roman"/>
          <w:b/>
          <w:bCs/>
          <w:color w:val="27251E"/>
          <w:kern w:val="0"/>
          <w:sz w:val="36"/>
          <w:szCs w:val="36"/>
          <w:lang w:eastAsia="en-GB"/>
          <w14:ligatures w14:val="none"/>
        </w:rPr>
      </w:pPr>
      <w:r w:rsidRPr="006A1318">
        <w:rPr>
          <w:rFonts w:ascii="pplxSerif" w:eastAsia="Times New Roman" w:hAnsi="pplxSerif" w:cs="Times New Roman"/>
          <w:b/>
          <w:bCs/>
          <w:color w:val="27251E"/>
          <w:kern w:val="0"/>
          <w:sz w:val="36"/>
          <w:szCs w:val="36"/>
          <w:lang w:eastAsia="en-GB"/>
          <w14:ligatures w14:val="none"/>
        </w:rPr>
        <w:lastRenderedPageBreak/>
        <w:t>3.2 Restructuring Options</w:t>
      </w:r>
    </w:p>
    <w:p w14:paraId="1E03267E" w14:textId="77777777" w:rsidR="00D45C0F" w:rsidRDefault="00D45C0F" w:rsidP="00D45C0F">
      <w:pPr>
        <w:shd w:val="clear" w:color="auto" w:fill="FDFBFA"/>
        <w:spacing w:before="100" w:beforeAutospacing="1" w:after="100" w:afterAutospacing="1" w:line="240" w:lineRule="auto"/>
        <w:rPr>
          <w:rFonts w:ascii="Arial" w:eastAsia="Times New Roman" w:hAnsi="Arial" w:cs="Arial"/>
          <w:b/>
          <w:bCs/>
          <w:kern w:val="0"/>
          <w:lang w:eastAsia="en-GB"/>
          <w14:ligatures w14:val="none"/>
        </w:rPr>
      </w:pPr>
      <w:r w:rsidRPr="00D45C0F">
        <w:rPr>
          <w:rFonts w:ascii="Arial" w:eastAsia="Times New Roman" w:hAnsi="Arial" w:cs="Arial"/>
          <w:b/>
          <w:bCs/>
          <w:kern w:val="0"/>
          <w:lang w:eastAsia="en-GB"/>
          <w14:ligatures w14:val="none"/>
        </w:rPr>
        <w:t>Option 1: Partial Divestiture / IPO of Ford Pro</w:t>
      </w:r>
    </w:p>
    <w:p w14:paraId="4E1EA1BC" w14:textId="43408A37" w:rsidR="00D45C0F" w:rsidRPr="00D45C0F" w:rsidRDefault="00D45C0F" w:rsidP="00D45C0F">
      <w:pPr>
        <w:shd w:val="clear" w:color="auto" w:fill="FDFBFA"/>
        <w:spacing w:before="100" w:beforeAutospacing="1" w:after="100" w:afterAutospacing="1" w:line="240" w:lineRule="auto"/>
        <w:rPr>
          <w:rFonts w:ascii="Arial" w:eastAsia="Times New Roman" w:hAnsi="Arial" w:cs="Arial"/>
          <w:b/>
          <w:bCs/>
          <w:kern w:val="0"/>
          <w:lang w:eastAsia="en-GB"/>
          <w14:ligatures w14:val="none"/>
        </w:rPr>
      </w:pPr>
      <w:r w:rsidRPr="00D45C0F">
        <w:rPr>
          <w:rFonts w:ascii="Arial" w:eastAsia="Times New Roman" w:hAnsi="Arial" w:cs="Arial"/>
          <w:kern w:val="0"/>
          <w:lang w:eastAsia="en-GB"/>
          <w14:ligatures w14:val="none"/>
        </w:rPr>
        <w:t>The jewel in the crown is Ford Pro - in 2024 the revenues and EBIT stand at 66.9 billion and 9.0 billion respectively (EBIT margin: 13.5), which is significantly higher than the average in the Company. Floating 20-25% of Ford Pro in a New York Stock Exchange listing has the potential to create value. Ford Pro has an implied equity value of 90-108 billion at a peer multiple of 10-12x EBIT (similar to peer companies in the industrial/commercial vehicle sector, including CNH Industrial). The 20 percent float would raise between 18 and 21 billion, which would be used to finance EV investment without diluting the parent level shareholders of the Ford Motor Company. Kaplan and Stromberg (2009) report the potential value creation of partial IPOs in the restructuring of conglomerates.</w:t>
      </w:r>
    </w:p>
    <w:p w14:paraId="54626EAF" w14:textId="35B5F7D7" w:rsidR="00D45C0F" w:rsidRPr="006A1318" w:rsidRDefault="00D45C0F" w:rsidP="00D45C0F">
      <w:p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Pr>
          <w:rFonts w:ascii="pplxSerif" w:eastAsia="Times New Roman" w:hAnsi="pplxSerif" w:cs="Times New Roman"/>
          <w:lang w:eastAsia="en-GB"/>
        </w:rPr>
        <w:br/>
      </w:r>
      <w:r w:rsidRPr="00D45C0F">
        <w:rPr>
          <w:rFonts w:ascii="Arial" w:eastAsia="Times New Roman" w:hAnsi="Arial" w:cs="Arial"/>
          <w:b/>
          <w:bCs/>
          <w:kern w:val="0"/>
          <w:lang w:eastAsia="en-GB"/>
          <w14:ligatures w14:val="none"/>
        </w:rPr>
        <w:t>Option 2: Equity Injection / Joint Venture for Ford Model</w:t>
      </w:r>
    </w:p>
    <w:p w14:paraId="6F487FE2" w14:textId="57D594C7" w:rsidR="00D45C0F" w:rsidRDefault="00D45C0F" w:rsidP="00C64413">
      <w:pPr>
        <w:rPr>
          <w:rFonts w:ascii="pplxSerif" w:eastAsia="Times New Roman" w:hAnsi="pplxSerif" w:cs="Times New Roman"/>
          <w:lang w:eastAsia="en-GB"/>
        </w:rPr>
      </w:pPr>
      <w:r w:rsidRPr="00D45C0F">
        <w:rPr>
          <w:rFonts w:ascii="pplxSerif" w:eastAsia="Times New Roman" w:hAnsi="pplxSerif" w:cs="Times New Roman"/>
          <w:lang w:eastAsia="en-GB"/>
        </w:rPr>
        <w:t xml:space="preserve">Ford has already shown readiness to employ JVs structures - </w:t>
      </w:r>
      <w:proofErr w:type="spellStart"/>
      <w:r w:rsidRPr="00D45C0F">
        <w:rPr>
          <w:rFonts w:ascii="pplxSerif" w:eastAsia="Times New Roman" w:hAnsi="pplxSerif" w:cs="Times New Roman"/>
          <w:lang w:eastAsia="en-GB"/>
        </w:rPr>
        <w:t>BlueOval</w:t>
      </w:r>
      <w:proofErr w:type="spellEnd"/>
      <w:r w:rsidRPr="00D45C0F">
        <w:rPr>
          <w:rFonts w:ascii="pplxSerif" w:eastAsia="Times New Roman" w:hAnsi="pplxSerif" w:cs="Times New Roman"/>
          <w:lang w:eastAsia="en-GB"/>
        </w:rPr>
        <w:t xml:space="preserve"> SK LLC (50 percent joint venture with SK On to produce batteries) had a carrying value of 4.15 billion at the end of 2024. Diluting this strategy, such as finding a strategic investor (e.g. a sovereign wealth fund or a large tech partner) by selling them a minority stake in the Ford Model e segment would divide the loss burden of $5 billion/year but keep Ford EV leadership goals. A similar template is the precedent of the </w:t>
      </w:r>
      <w:proofErr w:type="gramStart"/>
      <w:r w:rsidRPr="00D45C0F">
        <w:rPr>
          <w:rFonts w:ascii="pplxSerif" w:eastAsia="Times New Roman" w:hAnsi="pplxSerif" w:cs="Times New Roman"/>
          <w:lang w:eastAsia="en-GB"/>
        </w:rPr>
        <w:t>12 billion-dollar</w:t>
      </w:r>
      <w:proofErr w:type="gramEnd"/>
      <w:r w:rsidRPr="00D45C0F">
        <w:rPr>
          <w:rFonts w:ascii="pplxSerif" w:eastAsia="Times New Roman" w:hAnsi="pplxSerif" w:cs="Times New Roman"/>
          <w:lang w:eastAsia="en-GB"/>
        </w:rPr>
        <w:t xml:space="preserve"> investment of SoftBank in Cruise autonomous vehicles by General Motors. The equity injection of 30% at a low valuation of 10 billion would boost 3 billion dollars and create a positive market perception.</w:t>
      </w:r>
    </w:p>
    <w:p w14:paraId="0BC91906" w14:textId="77777777" w:rsidR="00D45C0F" w:rsidRDefault="00D45C0F" w:rsidP="00C64413">
      <w:pPr>
        <w:rPr>
          <w:rFonts w:ascii="pplxSerif" w:eastAsia="Times New Roman" w:hAnsi="pplxSerif" w:cs="Times New Roman"/>
          <w:lang w:eastAsia="en-GB"/>
        </w:rPr>
      </w:pPr>
    </w:p>
    <w:p w14:paraId="4C67BDC0" w14:textId="77777777" w:rsidR="00D45C0F" w:rsidRPr="00D45C0F" w:rsidRDefault="00D45C0F" w:rsidP="00D45C0F">
      <w:pPr>
        <w:shd w:val="clear" w:color="auto" w:fill="FDFBFA"/>
        <w:spacing w:before="100" w:beforeAutospacing="1" w:after="100" w:afterAutospacing="1" w:line="240" w:lineRule="auto"/>
        <w:rPr>
          <w:rFonts w:ascii="pplxSerif" w:eastAsia="Times New Roman" w:hAnsi="pplxSerif" w:cs="Times New Roman"/>
          <w:b/>
          <w:bCs/>
          <w:lang w:eastAsia="en-GB"/>
        </w:rPr>
      </w:pPr>
      <w:r w:rsidRPr="00D45C0F">
        <w:rPr>
          <w:rFonts w:ascii="pplxSerif" w:eastAsia="Times New Roman" w:hAnsi="pplxSerif" w:cs="Times New Roman"/>
          <w:b/>
          <w:bCs/>
          <w:lang w:eastAsia="en-GB"/>
        </w:rPr>
        <w:t>Option 3: Divestiture of Non-Core International Markets</w:t>
      </w:r>
    </w:p>
    <w:p w14:paraId="67C1562E" w14:textId="283CA8C8" w:rsidR="00D45C0F" w:rsidRDefault="00D45C0F" w:rsidP="00C64413">
      <w:pPr>
        <w:rPr>
          <w:rFonts w:ascii="pplxSerif" w:eastAsia="Times New Roman" w:hAnsi="pplxSerif" w:cs="Times New Roman"/>
          <w:lang w:eastAsia="en-GB"/>
        </w:rPr>
      </w:pPr>
      <w:r w:rsidRPr="00D45C0F">
        <w:rPr>
          <w:rFonts w:ascii="pplxSerif" w:eastAsia="Times New Roman" w:hAnsi="pplxSerif" w:cs="Times New Roman"/>
          <w:lang w:eastAsia="en-GB"/>
        </w:rPr>
        <w:t>Ford already started rationalising its global presence: in 2024, it sold its subsidiary in Denmark and in 2023, Sanand plants in India were sold to Tata Motors. The restructuring costs (which amounted to $1.9 billion in 2023 and 1.2 billion in 2024) would be lower with a more aggressive programme of leaving loss-making markets, especially in China, where Changan Ford has had negative equity earnings.</w:t>
      </w:r>
    </w:p>
    <w:p w14:paraId="27CD14D3" w14:textId="77777777" w:rsidR="00D45C0F" w:rsidRDefault="00D45C0F" w:rsidP="00C64413">
      <w:pPr>
        <w:rPr>
          <w:rFonts w:ascii="pplxSerif" w:eastAsia="Times New Roman" w:hAnsi="pplxSerif" w:cs="Times New Roman"/>
          <w:lang w:eastAsia="en-GB"/>
        </w:rPr>
      </w:pPr>
    </w:p>
    <w:p w14:paraId="2492E578" w14:textId="77777777" w:rsidR="00D45C0F" w:rsidRDefault="00D45C0F" w:rsidP="00C64413">
      <w:pPr>
        <w:rPr>
          <w:rFonts w:ascii="pplxSerif" w:eastAsia="Times New Roman" w:hAnsi="pplxSerif" w:cs="Times New Roman"/>
          <w:lang w:eastAsia="en-GB"/>
        </w:rPr>
      </w:pPr>
    </w:p>
    <w:p w14:paraId="0BDD49F4" w14:textId="77777777" w:rsidR="00D45C0F" w:rsidRDefault="00D45C0F" w:rsidP="00C64413">
      <w:pPr>
        <w:rPr>
          <w:rFonts w:ascii="pplxSerif" w:eastAsia="Times New Roman" w:hAnsi="pplxSerif" w:cs="Times New Roman"/>
          <w:lang w:eastAsia="en-GB"/>
        </w:rPr>
      </w:pPr>
    </w:p>
    <w:p w14:paraId="72B6A560" w14:textId="77777777" w:rsidR="00D45C0F" w:rsidRDefault="00D45C0F" w:rsidP="00C64413">
      <w:pPr>
        <w:rPr>
          <w:rFonts w:ascii="pplxSerif" w:eastAsia="Times New Roman" w:hAnsi="pplxSerif" w:cs="Times New Roman"/>
          <w:lang w:eastAsia="en-GB"/>
        </w:rPr>
      </w:pPr>
    </w:p>
    <w:p w14:paraId="516C76A8" w14:textId="63F33A4D" w:rsidR="00D45C0F" w:rsidRPr="00D45C0F" w:rsidRDefault="00D45C0F" w:rsidP="00D45C0F">
      <w:pPr>
        <w:shd w:val="clear" w:color="auto" w:fill="FDFBFA"/>
        <w:spacing w:before="100" w:beforeAutospacing="1" w:after="100" w:afterAutospacing="1" w:line="240" w:lineRule="auto"/>
        <w:outlineLvl w:val="1"/>
        <w:rPr>
          <w:rFonts w:ascii="pplxSerif" w:eastAsia="Times New Roman" w:hAnsi="pplxSerif" w:cs="Times New Roman"/>
          <w:b/>
          <w:bCs/>
          <w:color w:val="27251E"/>
          <w:kern w:val="0"/>
          <w:sz w:val="36"/>
          <w:szCs w:val="36"/>
          <w:lang w:eastAsia="en-GB"/>
          <w14:ligatures w14:val="none"/>
        </w:rPr>
      </w:pPr>
      <w:r w:rsidRPr="006A1318">
        <w:rPr>
          <w:rFonts w:ascii="pplxSerif" w:eastAsia="Times New Roman" w:hAnsi="pplxSerif" w:cs="Times New Roman"/>
          <w:b/>
          <w:bCs/>
          <w:color w:val="27251E"/>
          <w:kern w:val="0"/>
          <w:sz w:val="36"/>
          <w:szCs w:val="36"/>
          <w:lang w:eastAsia="en-GB"/>
          <w14:ligatures w14:val="none"/>
        </w:rPr>
        <w:lastRenderedPageBreak/>
        <w:t>3.3 Impact on Shareholder Value, Debt Structure, and Operational Flexibility</w:t>
      </w:r>
    </w:p>
    <w:p w14:paraId="7BC4A1B3" w14:textId="77777777" w:rsidR="00D45C0F" w:rsidRPr="00D45C0F" w:rsidRDefault="00D45C0F" w:rsidP="00D45C0F">
      <w:pPr>
        <w:rPr>
          <w:rFonts w:ascii="pplxSerif" w:eastAsia="Times New Roman" w:hAnsi="pplxSerif" w:cs="Times New Roman"/>
          <w:lang w:eastAsia="en-GB"/>
        </w:rPr>
      </w:pPr>
      <w:r>
        <w:rPr>
          <w:rFonts w:ascii="pplxSerif" w:eastAsia="Times New Roman" w:hAnsi="pplxSerif" w:cs="Times New Roman"/>
          <w:lang w:eastAsia="en-GB"/>
        </w:rPr>
        <w:br/>
      </w:r>
      <w:r w:rsidRPr="00D45C0F">
        <w:rPr>
          <w:rFonts w:ascii="pplxSerif" w:eastAsia="Times New Roman" w:hAnsi="pplxSerif" w:cs="Times New Roman"/>
          <w:lang w:eastAsia="en-GB"/>
        </w:rPr>
        <w:t>A hybrid solution - Ford Pro partial IPO proceeds of $18 billion issued 50% to invest in EVs and 50% to buy back shares and eliminate debt would:</w:t>
      </w:r>
    </w:p>
    <w:p w14:paraId="417C437E" w14:textId="77777777" w:rsidR="00D45C0F" w:rsidRPr="00D45C0F" w:rsidRDefault="00D45C0F" w:rsidP="00D45C0F">
      <w:pPr>
        <w:rPr>
          <w:rFonts w:ascii="pplxSerif" w:eastAsia="Times New Roman" w:hAnsi="pplxSerif" w:cs="Times New Roman"/>
          <w:lang w:eastAsia="en-GB"/>
        </w:rPr>
      </w:pPr>
      <w:r w:rsidRPr="00D45C0F">
        <w:rPr>
          <w:rFonts w:ascii="pplxSerif" w:eastAsia="Times New Roman" w:hAnsi="pplxSerif" w:cs="Times New Roman"/>
          <w:lang w:eastAsia="en-GB"/>
        </w:rPr>
        <w:t>•</w:t>
      </w:r>
      <w:r w:rsidRPr="00D45C0F">
        <w:rPr>
          <w:rFonts w:ascii="pplxSerif" w:eastAsia="Times New Roman" w:hAnsi="pplxSerif" w:cs="Times New Roman"/>
          <w:lang w:eastAsia="en-GB"/>
        </w:rPr>
        <w:tab/>
        <w:t>Cut long-term debt of Reduce Company by half, decreasing annual interest payment by about 400-500 million dollars, down to 10 billion.</w:t>
      </w:r>
    </w:p>
    <w:p w14:paraId="57360F2A" w14:textId="77777777" w:rsidR="00D45C0F" w:rsidRPr="00D45C0F" w:rsidRDefault="00D45C0F" w:rsidP="00D45C0F">
      <w:pPr>
        <w:rPr>
          <w:rFonts w:ascii="pplxSerif" w:eastAsia="Times New Roman" w:hAnsi="pplxSerif" w:cs="Times New Roman"/>
          <w:lang w:eastAsia="en-GB"/>
        </w:rPr>
      </w:pPr>
      <w:r w:rsidRPr="00D45C0F">
        <w:rPr>
          <w:rFonts w:ascii="pplxSerif" w:eastAsia="Times New Roman" w:hAnsi="pplxSerif" w:cs="Times New Roman"/>
          <w:lang w:eastAsia="en-GB"/>
        </w:rPr>
        <w:t>•</w:t>
      </w:r>
      <w:r w:rsidRPr="00D45C0F">
        <w:rPr>
          <w:rFonts w:ascii="pplxSerif" w:eastAsia="Times New Roman" w:hAnsi="pplxSerif" w:cs="Times New Roman"/>
          <w:lang w:eastAsia="en-GB"/>
        </w:rPr>
        <w:tab/>
        <w:t>Allow share buybacks, which enhance EPS, in aid of the dividend policy.</w:t>
      </w:r>
    </w:p>
    <w:p w14:paraId="4FF0A8A8" w14:textId="77777777" w:rsidR="00D45C0F" w:rsidRPr="00D45C0F" w:rsidRDefault="00D45C0F" w:rsidP="00D45C0F">
      <w:pPr>
        <w:rPr>
          <w:rFonts w:ascii="pplxSerif" w:eastAsia="Times New Roman" w:hAnsi="pplxSerif" w:cs="Times New Roman"/>
          <w:lang w:eastAsia="en-GB"/>
        </w:rPr>
      </w:pPr>
      <w:r w:rsidRPr="00D45C0F">
        <w:rPr>
          <w:rFonts w:ascii="pplxSerif" w:eastAsia="Times New Roman" w:hAnsi="pplxSerif" w:cs="Times New Roman"/>
          <w:lang w:eastAsia="en-GB"/>
        </w:rPr>
        <w:t>•</w:t>
      </w:r>
      <w:r w:rsidRPr="00D45C0F">
        <w:rPr>
          <w:rFonts w:ascii="pplxSerif" w:eastAsia="Times New Roman" w:hAnsi="pplxSerif" w:cs="Times New Roman"/>
          <w:lang w:eastAsia="en-GB"/>
        </w:rPr>
        <w:tab/>
        <w:t>Retain operational control of Ford Pro (&gt;75% stake)</w:t>
      </w:r>
    </w:p>
    <w:p w14:paraId="5E830C2C" w14:textId="77777777" w:rsidR="00D45C0F" w:rsidRPr="00D45C0F" w:rsidRDefault="00D45C0F" w:rsidP="00D45C0F">
      <w:pPr>
        <w:rPr>
          <w:rFonts w:ascii="pplxSerif" w:eastAsia="Times New Roman" w:hAnsi="pplxSerif" w:cs="Times New Roman"/>
          <w:lang w:eastAsia="en-GB"/>
        </w:rPr>
      </w:pPr>
      <w:r w:rsidRPr="00D45C0F">
        <w:rPr>
          <w:rFonts w:ascii="pplxSerif" w:eastAsia="Times New Roman" w:hAnsi="pplxSerif" w:cs="Times New Roman"/>
          <w:lang w:eastAsia="en-GB"/>
        </w:rPr>
        <w:t>•</w:t>
      </w:r>
      <w:r w:rsidRPr="00D45C0F">
        <w:rPr>
          <w:rFonts w:ascii="pplxSerif" w:eastAsia="Times New Roman" w:hAnsi="pplxSerif" w:cs="Times New Roman"/>
          <w:lang w:eastAsia="en-GB"/>
        </w:rPr>
        <w:tab/>
        <w:t>Signal strategic visibility to capital markets.</w:t>
      </w:r>
    </w:p>
    <w:p w14:paraId="0C5BDD8B" w14:textId="6476D756" w:rsidR="00D45C0F" w:rsidRDefault="00D45C0F" w:rsidP="00D45C0F">
      <w:pPr>
        <w:rPr>
          <w:rFonts w:ascii="pplxSerif" w:eastAsia="Times New Roman" w:hAnsi="pplxSerif" w:cs="Times New Roman"/>
          <w:lang w:eastAsia="en-GB"/>
        </w:rPr>
      </w:pPr>
      <w:r w:rsidRPr="00D45C0F">
        <w:rPr>
          <w:rFonts w:ascii="pplxSerif" w:eastAsia="Times New Roman" w:hAnsi="pplxSerif" w:cs="Times New Roman"/>
          <w:lang w:eastAsia="en-GB"/>
        </w:rPr>
        <w:t xml:space="preserve">In 2024, Return on Invested Capital (ROIC) was 9.6% versus an Adjusted ROIC of 12.9%. By focusing capital </w:t>
      </w:r>
      <w:proofErr w:type="gramStart"/>
      <w:r w:rsidRPr="00D45C0F">
        <w:rPr>
          <w:rFonts w:ascii="pplxSerif" w:eastAsia="Times New Roman" w:hAnsi="pplxSerif" w:cs="Times New Roman"/>
          <w:lang w:eastAsia="en-GB"/>
        </w:rPr>
        <w:t>in</w:t>
      </w:r>
      <w:proofErr w:type="gramEnd"/>
      <w:r w:rsidRPr="00D45C0F">
        <w:rPr>
          <w:rFonts w:ascii="pplxSerif" w:eastAsia="Times New Roman" w:hAnsi="pplxSerif" w:cs="Times New Roman"/>
          <w:lang w:eastAsia="en-GB"/>
        </w:rPr>
        <w:t xml:space="preserve"> Ford Pro and cutting EV losses, ROIC would increase faster to 1518, which is significantly higher than the estimated WACC of about 1011 at Ford, and would generate shareholder value (Modigliani and Miller, 1958; Brealey, Myers and Allen, 2020).</w:t>
      </w:r>
    </w:p>
    <w:p w14:paraId="0544A3F1" w14:textId="77777777" w:rsidR="00D45C0F" w:rsidRPr="006A1318" w:rsidRDefault="00D45C0F" w:rsidP="00D45C0F">
      <w:pPr>
        <w:shd w:val="clear" w:color="auto" w:fill="FDFBFA"/>
        <w:spacing w:before="100" w:beforeAutospacing="1" w:after="100" w:afterAutospacing="1" w:line="240" w:lineRule="auto"/>
        <w:outlineLvl w:val="1"/>
        <w:rPr>
          <w:rFonts w:ascii="pplxSerif" w:eastAsia="Times New Roman" w:hAnsi="pplxSerif" w:cs="Times New Roman"/>
          <w:b/>
          <w:bCs/>
          <w:color w:val="27251E"/>
          <w:kern w:val="0"/>
          <w:sz w:val="36"/>
          <w:szCs w:val="36"/>
          <w:lang w:eastAsia="en-GB"/>
          <w14:ligatures w14:val="none"/>
        </w:rPr>
      </w:pPr>
      <w:r w:rsidRPr="006A1318">
        <w:rPr>
          <w:rFonts w:ascii="pplxSerif" w:eastAsia="Times New Roman" w:hAnsi="pplxSerif" w:cs="Times New Roman"/>
          <w:b/>
          <w:bCs/>
          <w:color w:val="27251E"/>
          <w:kern w:val="0"/>
          <w:sz w:val="36"/>
          <w:szCs w:val="36"/>
          <w:lang w:eastAsia="en-GB"/>
          <w14:ligatures w14:val="none"/>
        </w:rPr>
        <w:t>3.4 International and Ethical Considerations</w:t>
      </w:r>
    </w:p>
    <w:p w14:paraId="572BCBDB" w14:textId="6B9FE0EF" w:rsidR="00D45C0F" w:rsidRPr="00D45C0F" w:rsidRDefault="00D45C0F" w:rsidP="00C64413">
      <w:pPr>
        <w:rPr>
          <w:rFonts w:ascii="pplxSerif" w:eastAsia="Times New Roman" w:hAnsi="pplxSerif" w:cs="Times New Roman"/>
          <w:lang w:eastAsia="en-GB"/>
        </w:rPr>
      </w:pPr>
      <w:r w:rsidRPr="00D45C0F">
        <w:rPr>
          <w:rFonts w:ascii="pplxSerif" w:eastAsia="Times New Roman" w:hAnsi="pplxSerif" w:cs="Times New Roman"/>
          <w:b/>
          <w:bCs/>
          <w:lang w:eastAsia="en-GB"/>
        </w:rPr>
        <w:t>Currency Risk:</w:t>
      </w:r>
      <w:r w:rsidRPr="00D45C0F">
        <w:t xml:space="preserve"> </w:t>
      </w:r>
      <w:r w:rsidRPr="00D45C0F">
        <w:rPr>
          <w:rFonts w:ascii="pplxSerif" w:eastAsia="Times New Roman" w:hAnsi="pplxSerif" w:cs="Times New Roman"/>
          <w:lang w:eastAsia="en-GB"/>
        </w:rPr>
        <w:t>Ford earns 32.5</w:t>
      </w:r>
      <w:r>
        <w:rPr>
          <w:rFonts w:ascii="pplxSerif" w:eastAsia="Times New Roman" w:hAnsi="pplxSerif" w:cs="Times New Roman"/>
          <w:lang w:eastAsia="en-GB"/>
        </w:rPr>
        <w:t>%</w:t>
      </w:r>
      <w:r w:rsidRPr="00D45C0F">
        <w:rPr>
          <w:rFonts w:ascii="pplxSerif" w:eastAsia="Times New Roman" w:hAnsi="pplxSerif" w:cs="Times New Roman"/>
          <w:lang w:eastAsia="en-GB"/>
        </w:rPr>
        <w:t xml:space="preserve"> of the revenues outside the United States. An appreciating USD (applicable in case of capital repatriation due to tariffs) would decrease the translated value of foreign earnings. Ford has been using derivative hedging instruments to hedge foreign exchange exposures but structural hedges like matching the cost of production to the currency of revenue (e.g. production in Europe to European markets) are more sustainable over long-term.</w:t>
      </w:r>
    </w:p>
    <w:p w14:paraId="2F83CFFA" w14:textId="0424E83C" w:rsidR="00D45C0F" w:rsidRPr="00D45C0F" w:rsidRDefault="00D45C0F" w:rsidP="00C64413">
      <w:pPr>
        <w:rPr>
          <w:rFonts w:ascii="pplxSerif" w:eastAsia="Times New Roman" w:hAnsi="pplxSerif" w:cs="Times New Roman"/>
          <w:lang w:eastAsia="en-GB"/>
        </w:rPr>
      </w:pPr>
      <w:r>
        <w:rPr>
          <w:rFonts w:ascii="pplxSerif" w:eastAsia="Times New Roman" w:hAnsi="pplxSerif" w:cs="Times New Roman"/>
          <w:b/>
          <w:bCs/>
          <w:lang w:eastAsia="en-GB"/>
        </w:rPr>
        <w:t>Taxation:</w:t>
      </w:r>
      <w:r w:rsidRPr="00D45C0F">
        <w:t xml:space="preserve"> </w:t>
      </w:r>
      <w:r w:rsidRPr="00D45C0F">
        <w:rPr>
          <w:rFonts w:ascii="pplxSerif" w:eastAsia="Times New Roman" w:hAnsi="pplxSerif" w:cs="Times New Roman"/>
          <w:lang w:eastAsia="en-GB"/>
        </w:rPr>
        <w:t xml:space="preserve">At the end of 2024, Ford had a carrying forward of operating loss of 20.7 billion, and a valuation allowance of 4.2 billion on deferred tax assets. The 2023 corporate restructuring of leasing operations created tax benefits of $610 million. Any divestiture should be carefully designed to prevent the incurrence of large capital gains taxes; treaty-protected holding company structures in places like Luxembourg or the Netherlands can maximise tax efficiency and still </w:t>
      </w:r>
      <w:proofErr w:type="gramStart"/>
      <w:r w:rsidRPr="00D45C0F">
        <w:rPr>
          <w:rFonts w:ascii="pplxSerif" w:eastAsia="Times New Roman" w:hAnsi="pplxSerif" w:cs="Times New Roman"/>
          <w:lang w:eastAsia="en-GB"/>
        </w:rPr>
        <w:t>be in compliance with</w:t>
      </w:r>
      <w:proofErr w:type="gramEnd"/>
      <w:r w:rsidRPr="00D45C0F">
        <w:rPr>
          <w:rFonts w:ascii="pplxSerif" w:eastAsia="Times New Roman" w:hAnsi="pplxSerif" w:cs="Times New Roman"/>
          <w:lang w:eastAsia="en-GB"/>
        </w:rPr>
        <w:t xml:space="preserve"> OECD Pillar Two minimum tax requirements.</w:t>
      </w:r>
    </w:p>
    <w:p w14:paraId="24472A52" w14:textId="77777777" w:rsidR="00A84603" w:rsidRDefault="00D45C0F" w:rsidP="00C64413">
      <w:pPr>
        <w:rPr>
          <w:rFonts w:ascii="pplxSerif" w:eastAsia="Times New Roman" w:hAnsi="pplxSerif" w:cs="Times New Roman"/>
          <w:b/>
          <w:bCs/>
          <w:lang w:eastAsia="en-GB"/>
        </w:rPr>
      </w:pPr>
      <w:r>
        <w:rPr>
          <w:rFonts w:ascii="pplxSerif" w:eastAsia="Times New Roman" w:hAnsi="pplxSerif" w:cs="Times New Roman"/>
          <w:b/>
          <w:bCs/>
          <w:lang w:eastAsia="en-GB"/>
        </w:rPr>
        <w:t>Inflation:</w:t>
      </w:r>
      <w:r w:rsidR="00A84603" w:rsidRPr="00A84603">
        <w:t xml:space="preserve"> </w:t>
      </w:r>
      <w:r w:rsidR="00A84603" w:rsidRPr="00A84603">
        <w:rPr>
          <w:rFonts w:ascii="pplxSerif" w:eastAsia="Times New Roman" w:hAnsi="pplxSerif" w:cs="Times New Roman"/>
          <w:lang w:eastAsia="en-GB"/>
        </w:rPr>
        <w:t xml:space="preserve">The increasing cost of inputs steel, aluminium, lithium, cobalt, has squeezed the gross margins of Ford. This is partially addressed by long-term commodity supply contracts (e.g., the multi-year lithium supply contract that Ford has with </w:t>
      </w:r>
      <w:proofErr w:type="spellStart"/>
      <w:r w:rsidR="00A84603" w:rsidRPr="00A84603">
        <w:rPr>
          <w:rFonts w:ascii="pplxSerif" w:eastAsia="Times New Roman" w:hAnsi="pplxSerif" w:cs="Times New Roman"/>
          <w:lang w:eastAsia="en-GB"/>
        </w:rPr>
        <w:t>BlueOval</w:t>
      </w:r>
      <w:proofErr w:type="spellEnd"/>
      <w:r w:rsidR="00A84603" w:rsidRPr="00A84603">
        <w:rPr>
          <w:rFonts w:ascii="pplxSerif" w:eastAsia="Times New Roman" w:hAnsi="pplxSerif" w:cs="Times New Roman"/>
          <w:lang w:eastAsia="en-GB"/>
        </w:rPr>
        <w:t xml:space="preserve"> SK), but inflationary pressures on labour (after UAW and Unifor contracts in 2023) and logistics persist.</w:t>
      </w:r>
      <w:r w:rsidRPr="00A84603">
        <w:rPr>
          <w:rFonts w:ascii="pplxSerif" w:eastAsia="Times New Roman" w:hAnsi="pplxSerif" w:cs="Times New Roman"/>
          <w:lang w:eastAsia="en-GB"/>
        </w:rPr>
        <w:br/>
      </w:r>
    </w:p>
    <w:p w14:paraId="28556F6E" w14:textId="77777777" w:rsidR="00A84603" w:rsidRPr="006A1318" w:rsidRDefault="00D45C0F" w:rsidP="00A84603">
      <w:pPr>
        <w:shd w:val="clear" w:color="auto" w:fill="FDFBFA"/>
        <w:spacing w:before="100" w:beforeAutospacing="1" w:after="100" w:afterAutospacing="1" w:line="240" w:lineRule="auto"/>
        <w:outlineLvl w:val="1"/>
        <w:rPr>
          <w:rFonts w:ascii="pplxSerif" w:eastAsia="Times New Roman" w:hAnsi="pplxSerif" w:cs="Times New Roman"/>
          <w:b/>
          <w:bCs/>
          <w:color w:val="27251E"/>
          <w:kern w:val="0"/>
          <w:sz w:val="36"/>
          <w:szCs w:val="36"/>
          <w:lang w:eastAsia="en-GB"/>
          <w14:ligatures w14:val="none"/>
        </w:rPr>
      </w:pPr>
      <w:r>
        <w:rPr>
          <w:rFonts w:ascii="pplxSerif" w:eastAsia="Times New Roman" w:hAnsi="pplxSerif" w:cs="Times New Roman"/>
          <w:b/>
          <w:bCs/>
          <w:lang w:eastAsia="en-GB"/>
        </w:rPr>
        <w:lastRenderedPageBreak/>
        <w:br/>
        <w:t>Cor</w:t>
      </w:r>
      <w:r w:rsidR="00A84603">
        <w:rPr>
          <w:rFonts w:ascii="pplxSerif" w:eastAsia="Times New Roman" w:hAnsi="pplxSerif" w:cs="Times New Roman"/>
          <w:b/>
          <w:bCs/>
          <w:lang w:eastAsia="en-GB"/>
        </w:rPr>
        <w:t xml:space="preserve">porate Social Responsibility (CSR): </w:t>
      </w:r>
      <w:r w:rsidR="00A84603" w:rsidRPr="00A84603">
        <w:rPr>
          <w:rFonts w:ascii="pplxSerif" w:eastAsia="Times New Roman" w:hAnsi="pplxSerif" w:cs="Times New Roman"/>
          <w:lang w:eastAsia="en-GB"/>
        </w:rPr>
        <w:t xml:space="preserve">The total </w:t>
      </w:r>
      <w:proofErr w:type="spellStart"/>
      <w:r w:rsidR="00A84603" w:rsidRPr="00A84603">
        <w:rPr>
          <w:rFonts w:ascii="pplxSerif" w:eastAsia="Times New Roman" w:hAnsi="pplxSerif" w:cs="Times New Roman"/>
          <w:lang w:eastAsia="en-GB"/>
        </w:rPr>
        <w:t>ev</w:t>
      </w:r>
      <w:proofErr w:type="spellEnd"/>
      <w:r w:rsidR="00A84603" w:rsidRPr="00A84603">
        <w:rPr>
          <w:rFonts w:ascii="pplxSerif" w:eastAsia="Times New Roman" w:hAnsi="pplxSerif" w:cs="Times New Roman"/>
          <w:lang w:eastAsia="en-GB"/>
        </w:rPr>
        <w:t xml:space="preserve"> capital expenditure of $4.7 billion in 2024 (compared to 1.6 billion in 2022) shows that Ford is committed to decarbonisation. The strategic choice of the company to invest in solid-state batteries and next-generation EV platforms should be offset with the responsible management of the workforce changes, especially in communities where the manufacturing of legacy ICE batteries is being phased out. The involvement of Ford in the UAW in collective bargaining restructuring programmes reflects the social awareness. Any restructuring should be in line with ESG disclosure models like the Task Force on Climate-related Financial Disclosures (TCFD), which are being </w:t>
      </w:r>
      <w:proofErr w:type="gramStart"/>
      <w:r w:rsidR="00A84603" w:rsidRPr="00A84603">
        <w:rPr>
          <w:rFonts w:ascii="pplxSerif" w:eastAsia="Times New Roman" w:hAnsi="pplxSerif" w:cs="Times New Roman"/>
          <w:lang w:eastAsia="en-GB"/>
        </w:rPr>
        <w:t>more and more</w:t>
      </w:r>
      <w:proofErr w:type="gramEnd"/>
      <w:r w:rsidR="00A84603" w:rsidRPr="00A84603">
        <w:rPr>
          <w:rFonts w:ascii="pplxSerif" w:eastAsia="Times New Roman" w:hAnsi="pplxSerif" w:cs="Times New Roman"/>
          <w:lang w:eastAsia="en-GB"/>
        </w:rPr>
        <w:t xml:space="preserve"> obligatory among institutional investors.</w:t>
      </w:r>
      <w:r>
        <w:rPr>
          <w:rFonts w:ascii="pplxSerif" w:eastAsia="Times New Roman" w:hAnsi="pplxSerif" w:cs="Times New Roman"/>
          <w:b/>
          <w:bCs/>
          <w:lang w:eastAsia="en-GB"/>
        </w:rPr>
        <w:br/>
      </w:r>
      <w:r>
        <w:rPr>
          <w:rFonts w:ascii="pplxSerif" w:eastAsia="Times New Roman" w:hAnsi="pplxSerif" w:cs="Times New Roman"/>
          <w:b/>
          <w:bCs/>
          <w:lang w:eastAsia="en-GB"/>
        </w:rPr>
        <w:br/>
      </w:r>
      <w:r w:rsidR="00A84603" w:rsidRPr="006A1318">
        <w:rPr>
          <w:rFonts w:ascii="pplxSerif" w:eastAsia="Times New Roman" w:hAnsi="pplxSerif" w:cs="Times New Roman"/>
          <w:b/>
          <w:bCs/>
          <w:color w:val="27251E"/>
          <w:kern w:val="0"/>
          <w:sz w:val="36"/>
          <w:szCs w:val="36"/>
          <w:lang w:eastAsia="en-GB"/>
          <w14:ligatures w14:val="none"/>
        </w:rPr>
        <w:t>4. Investment Appraisal and Capital Budgeting</w:t>
      </w:r>
    </w:p>
    <w:p w14:paraId="7FFA65F7" w14:textId="70A09C96" w:rsidR="00D45C0F" w:rsidRDefault="00A84603" w:rsidP="00A84603">
      <w:pPr>
        <w:rPr>
          <w:rFonts w:ascii="pplxSerif" w:eastAsia="Times New Roman" w:hAnsi="pplxSerif" w:cs="Times New Roman"/>
          <w:b/>
          <w:bCs/>
          <w:color w:val="27251E"/>
          <w:kern w:val="0"/>
          <w:sz w:val="36"/>
          <w:szCs w:val="36"/>
          <w:lang w:eastAsia="en-GB"/>
          <w14:ligatures w14:val="none"/>
        </w:rPr>
      </w:pPr>
      <w:r w:rsidRPr="006A1318">
        <w:rPr>
          <w:rFonts w:ascii="pplxSerif" w:eastAsia="Times New Roman" w:hAnsi="pplxSerif" w:cs="Times New Roman"/>
          <w:b/>
          <w:bCs/>
          <w:color w:val="27251E"/>
          <w:kern w:val="0"/>
          <w:sz w:val="36"/>
          <w:szCs w:val="36"/>
          <w:lang w:eastAsia="en-GB"/>
          <w14:ligatures w14:val="none"/>
        </w:rPr>
        <w:t>4.1 Project Details</w:t>
      </w:r>
    </w:p>
    <w:p w14:paraId="06F3F430" w14:textId="7440D3B9" w:rsidR="00A84603" w:rsidRDefault="00A84603" w:rsidP="00A84603">
      <w:pPr>
        <w:rPr>
          <w:rFonts w:ascii="pplxSerif" w:eastAsia="Times New Roman" w:hAnsi="pplxSerif" w:cs="Times New Roman"/>
          <w:lang w:eastAsia="en-GB"/>
        </w:rPr>
      </w:pPr>
      <w:r w:rsidRPr="00A84603">
        <w:rPr>
          <w:rFonts w:ascii="pplxSerif" w:eastAsia="Times New Roman" w:hAnsi="pplxSerif" w:cs="Times New Roman"/>
          <w:lang w:eastAsia="en-GB"/>
        </w:rPr>
        <w:t>The Board of Ford needs to consider three investment projects which are mutually independent and each has an initial investment of £50 million, net cash inflows over five years with a discount rate of 10 percent and straight-line depreciation to zero.</w:t>
      </w:r>
    </w:p>
    <w:p w14:paraId="12B17D6A" w14:textId="77777777" w:rsidR="00A84603" w:rsidRDefault="00A84603" w:rsidP="00A84603">
      <w:pPr>
        <w:rPr>
          <w:rFonts w:ascii="pplxSerif" w:eastAsia="Times New Roman" w:hAnsi="pplxSerif" w:cs="Times New Roman"/>
          <w:lang w:eastAsia="en-GB"/>
        </w:rPr>
      </w:pPr>
    </w:p>
    <w:tbl>
      <w:tblPr>
        <w:tblW w:w="10290"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062"/>
        <w:gridCol w:w="3061"/>
        <w:gridCol w:w="3061"/>
        <w:gridCol w:w="3061"/>
        <w:gridCol w:w="45"/>
      </w:tblGrid>
      <w:tr w:rsidR="00A84603" w:rsidRPr="006A1318" w14:paraId="2E8134C0" w14:textId="77777777" w:rsidTr="00AE2C18">
        <w:trPr>
          <w:tblHeader/>
          <w:tblCellSpacing w:w="15" w:type="dxa"/>
        </w:trPr>
        <w:tc>
          <w:tcPr>
            <w:tcW w:w="0" w:type="auto"/>
            <w:gridSpan w:val="5"/>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67F49EE9" w14:textId="77777777" w:rsidR="00A84603" w:rsidRPr="006A1318" w:rsidRDefault="00A84603" w:rsidP="00AE2C18">
            <w:pPr>
              <w:spacing w:after="0" w:line="240" w:lineRule="auto"/>
              <w:rPr>
                <w:rFonts w:ascii="pplxSerif" w:eastAsia="Times New Roman" w:hAnsi="pplxSerif" w:cs="Times New Roman"/>
                <w:color w:val="27251E"/>
                <w:kern w:val="0"/>
                <w:lang w:eastAsia="en-GB"/>
                <w14:ligatures w14:val="none"/>
              </w:rPr>
            </w:pPr>
          </w:p>
        </w:tc>
      </w:tr>
      <w:tr w:rsidR="00A84603" w:rsidRPr="006A1318" w14:paraId="612527FB" w14:textId="77777777" w:rsidTr="00AE2C18">
        <w:tblPrEx>
          <w:tblCellSpacing w:w="0" w:type="nil"/>
          <w:tblBorders>
            <w:top w:val="none" w:sz="0" w:space="0" w:color="auto"/>
            <w:left w:val="none" w:sz="0" w:space="0" w:color="auto"/>
            <w:bottom w:val="none" w:sz="0" w:space="0" w:color="auto"/>
            <w:right w:val="none" w:sz="0" w:space="0" w:color="auto"/>
          </w:tblBorders>
        </w:tblPrEx>
        <w:trPr>
          <w:gridAfter w:val="1"/>
          <w:tblHeader/>
        </w:trPr>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2DD17701" w14:textId="77777777" w:rsidR="00A84603" w:rsidRPr="006A1318" w:rsidRDefault="00A84603"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Year</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57CF1F41" w14:textId="77777777" w:rsidR="00A84603" w:rsidRPr="006A1318" w:rsidRDefault="00A84603"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Project A NCF (£m)</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3FEEDBCD" w14:textId="77777777" w:rsidR="00A84603" w:rsidRPr="006A1318" w:rsidRDefault="00A84603"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Project B NCF (£m)</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4973237C" w14:textId="77777777" w:rsidR="00A84603" w:rsidRPr="006A1318" w:rsidRDefault="00A84603"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Project C NCF (£m)</w:t>
            </w:r>
          </w:p>
        </w:tc>
      </w:tr>
      <w:tr w:rsidR="00A84603" w:rsidRPr="006A1318" w14:paraId="630C0D9C" w14:textId="77777777" w:rsidTr="00AE2C18">
        <w:tblPrEx>
          <w:tblCellSpacing w:w="0" w:type="nil"/>
          <w:tblBorders>
            <w:top w:val="none" w:sz="0" w:space="0" w:color="auto"/>
            <w:left w:val="none" w:sz="0" w:space="0" w:color="auto"/>
            <w:bottom w:val="none" w:sz="0" w:space="0" w:color="auto"/>
            <w:right w:val="none" w:sz="0" w:space="0" w:color="auto"/>
          </w:tblBorders>
        </w:tblPrEx>
        <w:trPr>
          <w:gridAfter w:val="1"/>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97BC383"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C08780B"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BF216B5"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15E205B"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5</w:t>
            </w:r>
          </w:p>
        </w:tc>
      </w:tr>
      <w:tr w:rsidR="00A84603" w:rsidRPr="006A1318" w14:paraId="4DA24D05" w14:textId="77777777" w:rsidTr="00AE2C18">
        <w:tblPrEx>
          <w:tblCellSpacing w:w="0" w:type="nil"/>
          <w:tblBorders>
            <w:top w:val="none" w:sz="0" w:space="0" w:color="auto"/>
            <w:left w:val="none" w:sz="0" w:space="0" w:color="auto"/>
            <w:bottom w:val="none" w:sz="0" w:space="0" w:color="auto"/>
            <w:right w:val="none" w:sz="0" w:space="0" w:color="auto"/>
          </w:tblBorders>
        </w:tblPrEx>
        <w:trPr>
          <w:gridAfter w:val="1"/>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0730F9B"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92AA9C4"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12</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4BF92BB"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46CD132"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10</w:t>
            </w:r>
          </w:p>
        </w:tc>
      </w:tr>
      <w:tr w:rsidR="00A84603" w:rsidRPr="006A1318" w14:paraId="51AE89EB" w14:textId="77777777" w:rsidTr="00AE2C18">
        <w:tblPrEx>
          <w:tblCellSpacing w:w="0" w:type="nil"/>
          <w:tblBorders>
            <w:top w:val="none" w:sz="0" w:space="0" w:color="auto"/>
            <w:left w:val="none" w:sz="0" w:space="0" w:color="auto"/>
            <w:bottom w:val="none" w:sz="0" w:space="0" w:color="auto"/>
            <w:right w:val="none" w:sz="0" w:space="0" w:color="auto"/>
          </w:tblBorders>
        </w:tblPrEx>
        <w:trPr>
          <w:gridAfter w:val="1"/>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6719B32"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3</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F5BB9F6"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14</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CF9E250"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96C0FFF"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w:t>
            </w:r>
          </w:p>
        </w:tc>
      </w:tr>
      <w:tr w:rsidR="00A84603" w:rsidRPr="006A1318" w14:paraId="4DBFBEFA" w14:textId="77777777" w:rsidTr="00AE2C18">
        <w:tblPrEx>
          <w:tblCellSpacing w:w="0" w:type="nil"/>
          <w:tblBorders>
            <w:top w:val="none" w:sz="0" w:space="0" w:color="auto"/>
            <w:left w:val="none" w:sz="0" w:space="0" w:color="auto"/>
            <w:bottom w:val="none" w:sz="0" w:space="0" w:color="auto"/>
            <w:right w:val="none" w:sz="0" w:space="0" w:color="auto"/>
          </w:tblBorders>
        </w:tblPrEx>
        <w:trPr>
          <w:gridAfter w:val="1"/>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FEDE5DF"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4</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4986C42"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67E0E6B"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CFC1508"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25</w:t>
            </w:r>
          </w:p>
        </w:tc>
      </w:tr>
      <w:tr w:rsidR="00A84603" w:rsidRPr="006A1318" w14:paraId="3E1A2F50" w14:textId="77777777" w:rsidTr="00AE2C18">
        <w:tblPrEx>
          <w:tblCellSpacing w:w="0" w:type="nil"/>
          <w:tblBorders>
            <w:top w:val="none" w:sz="0" w:space="0" w:color="auto"/>
            <w:left w:val="none" w:sz="0" w:space="0" w:color="auto"/>
            <w:bottom w:val="none" w:sz="0" w:space="0" w:color="auto"/>
            <w:right w:val="none" w:sz="0" w:space="0" w:color="auto"/>
          </w:tblBorders>
        </w:tblPrEx>
        <w:trPr>
          <w:gridAfter w:val="1"/>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00E6C50"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5</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45E1DB1"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8</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9A5E6F8"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C9A7F80"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5</w:t>
            </w:r>
          </w:p>
        </w:tc>
      </w:tr>
      <w:tr w:rsidR="00A84603" w:rsidRPr="006A1318" w14:paraId="1CB7D297" w14:textId="77777777" w:rsidTr="00AE2C18">
        <w:tblPrEx>
          <w:tblCellSpacing w:w="0" w:type="nil"/>
          <w:tblBorders>
            <w:top w:val="none" w:sz="0" w:space="0" w:color="auto"/>
            <w:left w:val="none" w:sz="0" w:space="0" w:color="auto"/>
            <w:bottom w:val="none" w:sz="0" w:space="0" w:color="auto"/>
            <w:right w:val="none" w:sz="0" w:space="0" w:color="auto"/>
          </w:tblBorders>
        </w:tblPrEx>
        <w:trPr>
          <w:gridAfter w:val="1"/>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D95D36D"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b/>
                <w:bCs/>
                <w:kern w:val="0"/>
                <w:lang w:eastAsia="en-GB"/>
                <w14:ligatures w14:val="none"/>
              </w:rPr>
              <w:t>Total</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7DCBB63"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b/>
                <w:bCs/>
                <w:kern w:val="0"/>
                <w:lang w:eastAsia="en-GB"/>
                <w14:ligatures w14:val="none"/>
              </w:rPr>
              <w:t>54</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A0DA70B"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b/>
                <w:bCs/>
                <w:kern w:val="0"/>
                <w:lang w:eastAsia="en-GB"/>
                <w14:ligatures w14:val="none"/>
              </w:rPr>
              <w:t>55</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8CE4847"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b/>
                <w:bCs/>
                <w:kern w:val="0"/>
                <w:lang w:eastAsia="en-GB"/>
                <w14:ligatures w14:val="none"/>
              </w:rPr>
              <w:t>65</w:t>
            </w:r>
          </w:p>
        </w:tc>
      </w:tr>
    </w:tbl>
    <w:p w14:paraId="5316BC01" w14:textId="77777777" w:rsidR="00A84603" w:rsidRDefault="00A84603" w:rsidP="00A84603">
      <w:pPr>
        <w:rPr>
          <w:rFonts w:ascii="pplxSerif" w:hAnsi="pplxSerif"/>
        </w:rPr>
      </w:pPr>
    </w:p>
    <w:p w14:paraId="2A374157" w14:textId="77777777" w:rsidR="00A84603" w:rsidRDefault="00A84603" w:rsidP="00A84603">
      <w:pPr>
        <w:rPr>
          <w:rFonts w:ascii="pplxSerif" w:hAnsi="pplxSerif"/>
        </w:rPr>
      </w:pPr>
    </w:p>
    <w:p w14:paraId="24D26B51" w14:textId="77777777" w:rsidR="00A84603" w:rsidRPr="00A84603" w:rsidRDefault="00A84603" w:rsidP="00A84603">
      <w:pPr>
        <w:shd w:val="clear" w:color="auto" w:fill="FDFBFA"/>
        <w:spacing w:before="100" w:beforeAutospacing="1" w:after="100" w:afterAutospacing="1" w:line="240" w:lineRule="auto"/>
        <w:rPr>
          <w:rFonts w:ascii="Arial" w:eastAsia="Times New Roman" w:hAnsi="Arial" w:cs="Arial"/>
          <w:kern w:val="0"/>
          <w:lang w:eastAsia="en-GB"/>
          <w14:ligatures w14:val="none"/>
        </w:rPr>
      </w:pPr>
      <w:r w:rsidRPr="00A84603">
        <w:rPr>
          <w:rFonts w:ascii="Arial" w:eastAsia="Times New Roman" w:hAnsi="Arial" w:cs="Arial"/>
          <w:kern w:val="0"/>
          <w:lang w:eastAsia="en-GB"/>
          <w14:ligatures w14:val="none"/>
        </w:rPr>
        <w:t>Source: Assessment Brief</w:t>
      </w:r>
    </w:p>
    <w:p w14:paraId="376BCB8F" w14:textId="77777777" w:rsidR="00A84603" w:rsidRDefault="00A84603" w:rsidP="00A84603">
      <w:pPr>
        <w:shd w:val="clear" w:color="auto" w:fill="FDFBFA"/>
        <w:spacing w:before="100" w:beforeAutospacing="1" w:after="100" w:afterAutospacing="1" w:line="240" w:lineRule="auto"/>
        <w:rPr>
          <w:rFonts w:ascii="Arial" w:eastAsia="Times New Roman" w:hAnsi="Arial" w:cs="Arial"/>
          <w:kern w:val="0"/>
          <w:lang w:eastAsia="en-GB"/>
          <w14:ligatures w14:val="none"/>
        </w:rPr>
      </w:pPr>
      <w:r w:rsidRPr="006A1318">
        <w:rPr>
          <w:rFonts w:ascii="pplxSerif" w:eastAsia="Times New Roman" w:hAnsi="pplxSerif" w:cs="Times New Roman"/>
          <w:color w:val="27251E"/>
          <w:kern w:val="0"/>
          <w:lang w:eastAsia="en-GB"/>
          <w14:ligatures w14:val="none"/>
        </w:rPr>
        <w:t xml:space="preserve">Annual depreciation for all projects = £50m / 5 </w:t>
      </w:r>
      <w:r w:rsidRPr="00A84603">
        <w:rPr>
          <w:rFonts w:ascii="Arial" w:eastAsia="Times New Roman" w:hAnsi="Arial" w:cs="Arial"/>
          <w:kern w:val="0"/>
          <w:lang w:eastAsia="en-GB"/>
          <w14:ligatures w14:val="none"/>
        </w:rPr>
        <w:t>= £10m per annum</w:t>
      </w:r>
    </w:p>
    <w:p w14:paraId="0F1894F7" w14:textId="77777777" w:rsidR="00A84603" w:rsidRDefault="00A84603" w:rsidP="00A84603">
      <w:pPr>
        <w:shd w:val="clear" w:color="auto" w:fill="FDFBFA"/>
        <w:spacing w:before="100" w:beforeAutospacing="1" w:after="100" w:afterAutospacing="1" w:line="240" w:lineRule="auto"/>
        <w:rPr>
          <w:rFonts w:ascii="Arial" w:eastAsia="Times New Roman" w:hAnsi="Arial" w:cs="Arial"/>
          <w:kern w:val="0"/>
          <w:lang w:eastAsia="en-GB"/>
          <w14:ligatures w14:val="none"/>
        </w:rPr>
      </w:pPr>
    </w:p>
    <w:p w14:paraId="485A37E0" w14:textId="77777777" w:rsidR="00A84603" w:rsidRPr="006A1318" w:rsidRDefault="00A84603" w:rsidP="00A84603">
      <w:p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p>
    <w:p w14:paraId="173B55BE" w14:textId="481E6384" w:rsidR="00A84603" w:rsidRPr="006A1318" w:rsidRDefault="00A84603" w:rsidP="00A84603">
      <w:pPr>
        <w:shd w:val="clear" w:color="auto" w:fill="FDFBFA"/>
        <w:spacing w:before="100" w:beforeAutospacing="1" w:after="100" w:afterAutospacing="1" w:line="240" w:lineRule="auto"/>
        <w:outlineLvl w:val="1"/>
        <w:rPr>
          <w:rFonts w:ascii="pplxSerif" w:eastAsia="Times New Roman" w:hAnsi="pplxSerif" w:cs="Times New Roman"/>
          <w:b/>
          <w:bCs/>
          <w:color w:val="27251E"/>
          <w:kern w:val="0"/>
          <w:sz w:val="36"/>
          <w:szCs w:val="36"/>
          <w:lang w:eastAsia="en-GB"/>
          <w14:ligatures w14:val="none"/>
        </w:rPr>
      </w:pPr>
      <w:r w:rsidRPr="006A1318">
        <w:rPr>
          <w:rFonts w:ascii="pplxSerif" w:eastAsia="Times New Roman" w:hAnsi="pplxSerif" w:cs="Times New Roman"/>
          <w:b/>
          <w:bCs/>
          <w:color w:val="27251E"/>
          <w:kern w:val="0"/>
          <w:sz w:val="36"/>
          <w:szCs w:val="36"/>
          <w:lang w:eastAsia="en-GB"/>
          <w14:ligatures w14:val="none"/>
        </w:rPr>
        <w:lastRenderedPageBreak/>
        <w:t>4.2 Payback Period (PBP)</w:t>
      </w:r>
    </w:p>
    <w:p w14:paraId="168874A6" w14:textId="77777777" w:rsidR="00A84603" w:rsidRPr="00A84603" w:rsidRDefault="00A84603" w:rsidP="00A84603">
      <w:pPr>
        <w:shd w:val="clear" w:color="auto" w:fill="FDFBFA"/>
        <w:spacing w:before="100" w:beforeAutospacing="1" w:after="100" w:afterAutospacing="1" w:line="240" w:lineRule="auto"/>
        <w:rPr>
          <w:rFonts w:ascii="Arial" w:eastAsia="Times New Roman" w:hAnsi="Arial" w:cs="Arial"/>
          <w:b/>
          <w:bCs/>
          <w:kern w:val="0"/>
          <w:lang w:eastAsia="en-GB"/>
          <w14:ligatures w14:val="none"/>
        </w:rPr>
      </w:pPr>
      <w:r w:rsidRPr="00A84603">
        <w:rPr>
          <w:rFonts w:ascii="Arial" w:eastAsia="Times New Roman" w:hAnsi="Arial" w:cs="Arial"/>
          <w:b/>
          <w:bCs/>
          <w:kern w:val="0"/>
          <w:lang w:eastAsia="en-GB"/>
          <w14:ligatures w14:val="none"/>
        </w:rPr>
        <w:t>Project A:</w:t>
      </w:r>
    </w:p>
    <w:p w14:paraId="0BEFCBB7" w14:textId="77777777" w:rsidR="00A84603" w:rsidRPr="006A1318" w:rsidRDefault="00A84603" w:rsidP="00A84603">
      <w:pPr>
        <w:numPr>
          <w:ilvl w:val="0"/>
          <w:numId w:val="3"/>
        </w:num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6A1318">
        <w:rPr>
          <w:rFonts w:ascii="pplxSerif" w:eastAsia="Times New Roman" w:hAnsi="pplxSerif" w:cs="Times New Roman"/>
          <w:color w:val="27251E"/>
          <w:kern w:val="0"/>
          <w:lang w:eastAsia="en-GB"/>
          <w14:ligatures w14:val="none"/>
        </w:rPr>
        <w:t>End Year 1: £10m cumulative → shortfall £40m</w:t>
      </w:r>
    </w:p>
    <w:p w14:paraId="0966E2EE" w14:textId="77777777" w:rsidR="00A84603" w:rsidRPr="006A1318" w:rsidRDefault="00A84603" w:rsidP="00A84603">
      <w:pPr>
        <w:numPr>
          <w:ilvl w:val="0"/>
          <w:numId w:val="3"/>
        </w:num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6A1318">
        <w:rPr>
          <w:rFonts w:ascii="pplxSerif" w:eastAsia="Times New Roman" w:hAnsi="pplxSerif" w:cs="Times New Roman"/>
          <w:color w:val="27251E"/>
          <w:kern w:val="0"/>
          <w:lang w:eastAsia="en-GB"/>
          <w14:ligatures w14:val="none"/>
        </w:rPr>
        <w:t>End Year 2: £22m cumulative → shortfall £28m</w:t>
      </w:r>
    </w:p>
    <w:p w14:paraId="4B1C87D2" w14:textId="77777777" w:rsidR="00A84603" w:rsidRPr="006A1318" w:rsidRDefault="00A84603" w:rsidP="00A84603">
      <w:pPr>
        <w:numPr>
          <w:ilvl w:val="0"/>
          <w:numId w:val="3"/>
        </w:num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6A1318">
        <w:rPr>
          <w:rFonts w:ascii="pplxSerif" w:eastAsia="Times New Roman" w:hAnsi="pplxSerif" w:cs="Times New Roman"/>
          <w:color w:val="27251E"/>
          <w:kern w:val="0"/>
          <w:lang w:eastAsia="en-GB"/>
          <w14:ligatures w14:val="none"/>
        </w:rPr>
        <w:t>End Year 3: £36m cumulative → shortfall £14m</w:t>
      </w:r>
    </w:p>
    <w:p w14:paraId="20936872" w14:textId="77777777" w:rsidR="00A84603" w:rsidRPr="006A1318" w:rsidRDefault="00A84603" w:rsidP="00A84603">
      <w:pPr>
        <w:numPr>
          <w:ilvl w:val="0"/>
          <w:numId w:val="3"/>
        </w:num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6A1318">
        <w:rPr>
          <w:rFonts w:ascii="pplxSerif" w:eastAsia="Times New Roman" w:hAnsi="pplxSerif" w:cs="Times New Roman"/>
          <w:color w:val="27251E"/>
          <w:kern w:val="0"/>
          <w:lang w:eastAsia="en-GB"/>
          <w14:ligatures w14:val="none"/>
        </w:rPr>
        <w:t>End Year 4: £46m cumulative → shortfall £4m</w:t>
      </w:r>
    </w:p>
    <w:p w14:paraId="521A9922" w14:textId="77777777" w:rsidR="00A84603" w:rsidRPr="006A1318" w:rsidRDefault="00A84603" w:rsidP="00A84603">
      <w:pPr>
        <w:numPr>
          <w:ilvl w:val="0"/>
          <w:numId w:val="3"/>
        </w:num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6A1318">
        <w:rPr>
          <w:rFonts w:ascii="pplxSerif" w:eastAsia="Times New Roman" w:hAnsi="pplxSerif" w:cs="Times New Roman"/>
          <w:color w:val="27251E"/>
          <w:kern w:val="0"/>
          <w:lang w:eastAsia="en-GB"/>
          <w14:ligatures w14:val="none"/>
        </w:rPr>
        <w:t>PBP = 4 + (4/8) = </w:t>
      </w:r>
      <w:r w:rsidRPr="00A84603">
        <w:rPr>
          <w:rFonts w:ascii="pplxSerif" w:eastAsia="Times New Roman" w:hAnsi="pplxSerif" w:cs="Times New Roman"/>
          <w:color w:val="27251E"/>
          <w:kern w:val="0"/>
          <w:lang w:eastAsia="en-GB"/>
          <w14:ligatures w14:val="none"/>
        </w:rPr>
        <w:t>4.5 years</w:t>
      </w:r>
    </w:p>
    <w:p w14:paraId="61717E46" w14:textId="77777777" w:rsidR="00A84603" w:rsidRPr="00A84603" w:rsidRDefault="00A84603" w:rsidP="00A84603">
      <w:pPr>
        <w:shd w:val="clear" w:color="auto" w:fill="FDFBFA"/>
        <w:spacing w:before="100" w:beforeAutospacing="1" w:after="100" w:afterAutospacing="1" w:line="240" w:lineRule="auto"/>
        <w:rPr>
          <w:rFonts w:ascii="Arial" w:eastAsia="Times New Roman" w:hAnsi="Arial" w:cs="Arial"/>
          <w:b/>
          <w:bCs/>
          <w:kern w:val="0"/>
          <w:lang w:eastAsia="en-GB"/>
          <w14:ligatures w14:val="none"/>
        </w:rPr>
      </w:pPr>
      <w:r w:rsidRPr="00A84603">
        <w:rPr>
          <w:rFonts w:ascii="Arial" w:eastAsia="Times New Roman" w:hAnsi="Arial" w:cs="Arial"/>
          <w:b/>
          <w:bCs/>
          <w:kern w:val="0"/>
          <w:lang w:eastAsia="en-GB"/>
          <w14:ligatures w14:val="none"/>
        </w:rPr>
        <w:t>Project B:</w:t>
      </w:r>
    </w:p>
    <w:p w14:paraId="5A0623DC" w14:textId="77777777" w:rsidR="00A84603" w:rsidRPr="006A1318" w:rsidRDefault="00A84603" w:rsidP="00A84603">
      <w:pPr>
        <w:numPr>
          <w:ilvl w:val="0"/>
          <w:numId w:val="4"/>
        </w:num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6A1318">
        <w:rPr>
          <w:rFonts w:ascii="pplxSerif" w:eastAsia="Times New Roman" w:hAnsi="pplxSerif" w:cs="Times New Roman"/>
          <w:color w:val="27251E"/>
          <w:kern w:val="0"/>
          <w:lang w:eastAsia="en-GB"/>
          <w14:ligatures w14:val="none"/>
        </w:rPr>
        <w:t>End Year 1: £11m → shortfall £39m</w:t>
      </w:r>
    </w:p>
    <w:p w14:paraId="389AA65C" w14:textId="77777777" w:rsidR="00A84603" w:rsidRPr="006A1318" w:rsidRDefault="00A84603" w:rsidP="00A84603">
      <w:pPr>
        <w:numPr>
          <w:ilvl w:val="0"/>
          <w:numId w:val="4"/>
        </w:num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6A1318">
        <w:rPr>
          <w:rFonts w:ascii="pplxSerif" w:eastAsia="Times New Roman" w:hAnsi="pplxSerif" w:cs="Times New Roman"/>
          <w:color w:val="27251E"/>
          <w:kern w:val="0"/>
          <w:lang w:eastAsia="en-GB"/>
          <w14:ligatures w14:val="none"/>
        </w:rPr>
        <w:t>End Year 2: £22m → shortfall £28m</w:t>
      </w:r>
    </w:p>
    <w:p w14:paraId="1FECDF6E" w14:textId="77777777" w:rsidR="00A84603" w:rsidRPr="006A1318" w:rsidRDefault="00A84603" w:rsidP="00A84603">
      <w:pPr>
        <w:numPr>
          <w:ilvl w:val="0"/>
          <w:numId w:val="4"/>
        </w:num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6A1318">
        <w:rPr>
          <w:rFonts w:ascii="pplxSerif" w:eastAsia="Times New Roman" w:hAnsi="pplxSerif" w:cs="Times New Roman"/>
          <w:color w:val="27251E"/>
          <w:kern w:val="0"/>
          <w:lang w:eastAsia="en-GB"/>
          <w14:ligatures w14:val="none"/>
        </w:rPr>
        <w:t>End Year 3: £33m → shortfall £17m</w:t>
      </w:r>
    </w:p>
    <w:p w14:paraId="5D4447CA" w14:textId="77777777" w:rsidR="00A84603" w:rsidRPr="006A1318" w:rsidRDefault="00A84603" w:rsidP="00A84603">
      <w:pPr>
        <w:numPr>
          <w:ilvl w:val="0"/>
          <w:numId w:val="4"/>
        </w:num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6A1318">
        <w:rPr>
          <w:rFonts w:ascii="pplxSerif" w:eastAsia="Times New Roman" w:hAnsi="pplxSerif" w:cs="Times New Roman"/>
          <w:color w:val="27251E"/>
          <w:kern w:val="0"/>
          <w:lang w:eastAsia="en-GB"/>
          <w14:ligatures w14:val="none"/>
        </w:rPr>
        <w:t>End Year 4: £44m → shortfall £6m</w:t>
      </w:r>
    </w:p>
    <w:p w14:paraId="1F82FF81" w14:textId="77777777" w:rsidR="00A84603" w:rsidRPr="006A1318" w:rsidRDefault="00A84603" w:rsidP="00A84603">
      <w:pPr>
        <w:numPr>
          <w:ilvl w:val="0"/>
          <w:numId w:val="4"/>
        </w:num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6A1318">
        <w:rPr>
          <w:rFonts w:ascii="pplxSerif" w:eastAsia="Times New Roman" w:hAnsi="pplxSerif" w:cs="Times New Roman"/>
          <w:color w:val="27251E"/>
          <w:kern w:val="0"/>
          <w:lang w:eastAsia="en-GB"/>
          <w14:ligatures w14:val="none"/>
        </w:rPr>
        <w:t>PBP = 4 + (6/11) = </w:t>
      </w:r>
      <w:r w:rsidRPr="00A84603">
        <w:rPr>
          <w:rFonts w:ascii="pplxSerif" w:eastAsia="Times New Roman" w:hAnsi="pplxSerif" w:cs="Times New Roman"/>
          <w:color w:val="27251E"/>
          <w:kern w:val="0"/>
          <w:lang w:eastAsia="en-GB"/>
          <w14:ligatures w14:val="none"/>
        </w:rPr>
        <w:t>4.55 years</w:t>
      </w:r>
    </w:p>
    <w:p w14:paraId="7F90B9A6" w14:textId="77777777" w:rsidR="00A84603" w:rsidRPr="00A84603" w:rsidRDefault="00A84603" w:rsidP="00A84603">
      <w:pPr>
        <w:shd w:val="clear" w:color="auto" w:fill="FDFBFA"/>
        <w:spacing w:before="100" w:beforeAutospacing="1" w:after="100" w:afterAutospacing="1" w:line="240" w:lineRule="auto"/>
        <w:rPr>
          <w:rFonts w:ascii="Arial" w:eastAsia="Times New Roman" w:hAnsi="Arial" w:cs="Arial"/>
          <w:b/>
          <w:bCs/>
          <w:kern w:val="0"/>
          <w:lang w:eastAsia="en-GB"/>
          <w14:ligatures w14:val="none"/>
        </w:rPr>
      </w:pPr>
      <w:r w:rsidRPr="00A84603">
        <w:rPr>
          <w:rFonts w:ascii="Arial" w:eastAsia="Times New Roman" w:hAnsi="Arial" w:cs="Arial"/>
          <w:b/>
          <w:bCs/>
          <w:kern w:val="0"/>
          <w:lang w:eastAsia="en-GB"/>
          <w14:ligatures w14:val="none"/>
        </w:rPr>
        <w:t>Project C:</w:t>
      </w:r>
    </w:p>
    <w:p w14:paraId="6E2F0193" w14:textId="77777777" w:rsidR="00A84603" w:rsidRPr="006A1318" w:rsidRDefault="00A84603" w:rsidP="00A84603">
      <w:pPr>
        <w:numPr>
          <w:ilvl w:val="0"/>
          <w:numId w:val="5"/>
        </w:num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6A1318">
        <w:rPr>
          <w:rFonts w:ascii="pplxSerif" w:eastAsia="Times New Roman" w:hAnsi="pplxSerif" w:cs="Times New Roman"/>
          <w:color w:val="27251E"/>
          <w:kern w:val="0"/>
          <w:lang w:eastAsia="en-GB"/>
          <w14:ligatures w14:val="none"/>
        </w:rPr>
        <w:t>End Year 1: £5m → shortfall £45m</w:t>
      </w:r>
    </w:p>
    <w:p w14:paraId="1C5C5060" w14:textId="77777777" w:rsidR="00A84603" w:rsidRPr="006A1318" w:rsidRDefault="00A84603" w:rsidP="00A84603">
      <w:pPr>
        <w:numPr>
          <w:ilvl w:val="0"/>
          <w:numId w:val="5"/>
        </w:num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6A1318">
        <w:rPr>
          <w:rFonts w:ascii="pplxSerif" w:eastAsia="Times New Roman" w:hAnsi="pplxSerif" w:cs="Times New Roman"/>
          <w:color w:val="27251E"/>
          <w:kern w:val="0"/>
          <w:lang w:eastAsia="en-GB"/>
          <w14:ligatures w14:val="none"/>
        </w:rPr>
        <w:t>End Year 2: £15m → shortfall £35m</w:t>
      </w:r>
    </w:p>
    <w:p w14:paraId="1C8442FA" w14:textId="77777777" w:rsidR="00A84603" w:rsidRPr="006A1318" w:rsidRDefault="00A84603" w:rsidP="00A84603">
      <w:pPr>
        <w:numPr>
          <w:ilvl w:val="0"/>
          <w:numId w:val="5"/>
        </w:num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6A1318">
        <w:rPr>
          <w:rFonts w:ascii="pplxSerif" w:eastAsia="Times New Roman" w:hAnsi="pplxSerif" w:cs="Times New Roman"/>
          <w:color w:val="27251E"/>
          <w:kern w:val="0"/>
          <w:lang w:eastAsia="en-GB"/>
          <w14:ligatures w14:val="none"/>
        </w:rPr>
        <w:t>End Year 3: £35m → shortfall £15m</w:t>
      </w:r>
    </w:p>
    <w:p w14:paraId="190A2AF8" w14:textId="77777777" w:rsidR="00A84603" w:rsidRPr="006A1318" w:rsidRDefault="00A84603" w:rsidP="00A84603">
      <w:pPr>
        <w:numPr>
          <w:ilvl w:val="0"/>
          <w:numId w:val="5"/>
        </w:num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6A1318">
        <w:rPr>
          <w:rFonts w:ascii="pplxSerif" w:eastAsia="Times New Roman" w:hAnsi="pplxSerif" w:cs="Times New Roman"/>
          <w:color w:val="27251E"/>
          <w:kern w:val="0"/>
          <w:lang w:eastAsia="en-GB"/>
          <w14:ligatures w14:val="none"/>
        </w:rPr>
        <w:t>End Year 4: £60m cumulative → </w:t>
      </w:r>
      <w:r w:rsidRPr="00A84603">
        <w:rPr>
          <w:rFonts w:ascii="pplxSerif" w:eastAsia="Times New Roman" w:hAnsi="pplxSerif" w:cs="Times New Roman"/>
          <w:color w:val="27251E"/>
          <w:kern w:val="0"/>
          <w:lang w:eastAsia="en-GB"/>
          <w14:ligatures w14:val="none"/>
        </w:rPr>
        <w:t>payback within Year 4</w:t>
      </w:r>
    </w:p>
    <w:p w14:paraId="361F1DC6" w14:textId="77777777" w:rsidR="00A84603" w:rsidRPr="006A1318" w:rsidRDefault="00A84603" w:rsidP="00A84603">
      <w:pPr>
        <w:numPr>
          <w:ilvl w:val="0"/>
          <w:numId w:val="5"/>
        </w:num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6A1318">
        <w:rPr>
          <w:rFonts w:ascii="pplxSerif" w:eastAsia="Times New Roman" w:hAnsi="pplxSerif" w:cs="Times New Roman"/>
          <w:color w:val="27251E"/>
          <w:kern w:val="0"/>
          <w:lang w:eastAsia="en-GB"/>
          <w14:ligatures w14:val="none"/>
        </w:rPr>
        <w:t>PBP = 3 + (15/25) = </w:t>
      </w:r>
      <w:r w:rsidRPr="00A84603">
        <w:rPr>
          <w:rFonts w:ascii="pplxSerif" w:eastAsia="Times New Roman" w:hAnsi="pplxSerif" w:cs="Times New Roman"/>
          <w:color w:val="27251E"/>
          <w:kern w:val="0"/>
          <w:lang w:eastAsia="en-GB"/>
          <w14:ligatures w14:val="none"/>
        </w:rPr>
        <w:t>3.6 years</w:t>
      </w:r>
    </w:p>
    <w:p w14:paraId="62C5F8D0" w14:textId="77777777" w:rsidR="00A84603" w:rsidRPr="00A84603" w:rsidRDefault="00A84603" w:rsidP="00A84603">
      <w:pPr>
        <w:shd w:val="clear" w:color="auto" w:fill="FDFBFA"/>
        <w:spacing w:before="100" w:beforeAutospacing="1" w:after="100" w:afterAutospacing="1" w:line="240" w:lineRule="auto"/>
        <w:rPr>
          <w:rFonts w:ascii="pplxSerif" w:eastAsia="Times New Roman" w:hAnsi="pplxSerif" w:cs="Times New Roman"/>
          <w:b/>
          <w:bCs/>
          <w:color w:val="27251E"/>
          <w:kern w:val="0"/>
          <w:lang w:eastAsia="en-GB"/>
          <w14:ligatures w14:val="none"/>
        </w:rPr>
      </w:pPr>
      <w:r w:rsidRPr="00A84603">
        <w:rPr>
          <w:rFonts w:ascii="pplxSerif" w:eastAsia="Times New Roman" w:hAnsi="pplxSerif" w:cs="Times New Roman"/>
          <w:b/>
          <w:bCs/>
          <w:color w:val="27251E"/>
          <w:kern w:val="0"/>
          <w:lang w:eastAsia="en-GB"/>
          <w14:ligatures w14:val="none"/>
        </w:rPr>
        <w:t>PBP Ranking: C (3.6 yrs) &gt; A (4.5 yrs) &gt; B (4.55 yrs)</w:t>
      </w:r>
    </w:p>
    <w:p w14:paraId="5FE73321" w14:textId="77777777" w:rsidR="00A84603" w:rsidRPr="006A1318" w:rsidRDefault="00A84603" w:rsidP="00A84603">
      <w:pPr>
        <w:shd w:val="clear" w:color="auto" w:fill="FDFBFA"/>
        <w:spacing w:before="100" w:beforeAutospacing="1" w:after="100" w:afterAutospacing="1" w:line="240" w:lineRule="auto"/>
        <w:outlineLvl w:val="1"/>
        <w:rPr>
          <w:rFonts w:ascii="pplxSerif" w:eastAsia="Times New Roman" w:hAnsi="pplxSerif" w:cs="Times New Roman"/>
          <w:b/>
          <w:bCs/>
          <w:color w:val="27251E"/>
          <w:kern w:val="0"/>
          <w:sz w:val="36"/>
          <w:szCs w:val="36"/>
          <w:lang w:eastAsia="en-GB"/>
          <w14:ligatures w14:val="none"/>
        </w:rPr>
      </w:pPr>
      <w:r w:rsidRPr="006A1318">
        <w:rPr>
          <w:rFonts w:ascii="pplxSerif" w:eastAsia="Times New Roman" w:hAnsi="pplxSerif" w:cs="Times New Roman"/>
          <w:b/>
          <w:bCs/>
          <w:color w:val="27251E"/>
          <w:kern w:val="0"/>
          <w:sz w:val="36"/>
          <w:szCs w:val="36"/>
          <w:lang w:eastAsia="en-GB"/>
          <w14:ligatures w14:val="none"/>
        </w:rPr>
        <w:t>4.3 Accounting Rate of Return (ARR)</w:t>
      </w:r>
    </w:p>
    <w:p w14:paraId="43A16496" w14:textId="77777777" w:rsidR="00A84603" w:rsidRPr="006A1318" w:rsidRDefault="00A84603" w:rsidP="00A84603">
      <w:p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6A1318">
        <w:rPr>
          <w:rFonts w:ascii="pplxSerif" w:eastAsia="Times New Roman" w:hAnsi="pplxSerif" w:cs="Times New Roman"/>
          <w:color w:val="27251E"/>
          <w:kern w:val="0"/>
          <w:lang w:eastAsia="en-GB"/>
          <w14:ligatures w14:val="none"/>
        </w:rPr>
        <w:t>ARR = (Average Annual Accounting Profit / Average Investment) × 100</w:t>
      </w:r>
    </w:p>
    <w:p w14:paraId="219CA20A" w14:textId="77777777" w:rsidR="00A84603" w:rsidRPr="006A1318" w:rsidRDefault="00A84603" w:rsidP="00A84603">
      <w:p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6A1318">
        <w:rPr>
          <w:rFonts w:ascii="pplxSerif" w:eastAsia="Times New Roman" w:hAnsi="pplxSerif" w:cs="Times New Roman"/>
          <w:color w:val="27251E"/>
          <w:kern w:val="0"/>
          <w:lang w:eastAsia="en-GB"/>
          <w14:ligatures w14:val="none"/>
        </w:rPr>
        <w:t>Average Investment = (£50m + £0) / 2 = </w:t>
      </w:r>
      <w:r w:rsidRPr="00A84603">
        <w:rPr>
          <w:rFonts w:ascii="pplxSerif" w:eastAsia="Times New Roman" w:hAnsi="pplxSerif" w:cs="Times New Roman"/>
          <w:color w:val="27251E"/>
          <w:kern w:val="0"/>
          <w:lang w:eastAsia="en-GB"/>
          <w14:ligatures w14:val="none"/>
        </w:rPr>
        <w:t>£25m</w:t>
      </w:r>
    </w:p>
    <w:p w14:paraId="1101216B" w14:textId="77777777" w:rsidR="00A84603" w:rsidRPr="006A1318" w:rsidRDefault="00A84603" w:rsidP="00A84603">
      <w:p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6A1318">
        <w:rPr>
          <w:rFonts w:ascii="pplxSerif" w:eastAsia="Times New Roman" w:hAnsi="pplxSerif" w:cs="Times New Roman"/>
          <w:color w:val="27251E"/>
          <w:kern w:val="0"/>
          <w:lang w:eastAsia="en-GB"/>
          <w14:ligatures w14:val="none"/>
        </w:rPr>
        <w:t>Annual accounting profit = Annual NCF − Annual depreciation</w:t>
      </w:r>
    </w:p>
    <w:p w14:paraId="736BB9CB" w14:textId="77777777" w:rsidR="00A84603" w:rsidRPr="00A84603" w:rsidRDefault="00A84603" w:rsidP="00A84603">
      <w:pPr>
        <w:shd w:val="clear" w:color="auto" w:fill="FDFBFA"/>
        <w:spacing w:before="100" w:beforeAutospacing="1" w:after="100" w:afterAutospacing="1" w:line="240" w:lineRule="auto"/>
        <w:rPr>
          <w:rFonts w:ascii="Arial" w:eastAsia="Times New Roman" w:hAnsi="Arial" w:cs="Arial"/>
          <w:b/>
          <w:bCs/>
          <w:kern w:val="0"/>
          <w:lang w:eastAsia="en-GB"/>
          <w14:ligatures w14:val="none"/>
        </w:rPr>
      </w:pPr>
      <w:r w:rsidRPr="00A84603">
        <w:rPr>
          <w:rFonts w:ascii="Arial" w:eastAsia="Times New Roman" w:hAnsi="Arial" w:cs="Arial"/>
          <w:b/>
          <w:bCs/>
          <w:kern w:val="0"/>
          <w:lang w:eastAsia="en-GB"/>
          <w14:ligatures w14:val="none"/>
        </w:rPr>
        <w:t>Project A:</w:t>
      </w:r>
    </w:p>
    <w:p w14:paraId="06C39C3B" w14:textId="77777777" w:rsidR="00A84603" w:rsidRPr="006A1318" w:rsidRDefault="00A84603" w:rsidP="00A84603">
      <w:pPr>
        <w:numPr>
          <w:ilvl w:val="0"/>
          <w:numId w:val="6"/>
        </w:num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6A1318">
        <w:rPr>
          <w:rFonts w:ascii="pplxSerif" w:eastAsia="Times New Roman" w:hAnsi="pplxSerif" w:cs="Times New Roman"/>
          <w:color w:val="27251E"/>
          <w:kern w:val="0"/>
          <w:lang w:eastAsia="en-GB"/>
          <w14:ligatures w14:val="none"/>
        </w:rPr>
        <w:t>Average NCF = £54m / 5 = £10.8m</w:t>
      </w:r>
    </w:p>
    <w:p w14:paraId="194D4419" w14:textId="77777777" w:rsidR="00A84603" w:rsidRPr="006A1318" w:rsidRDefault="00A84603" w:rsidP="00A84603">
      <w:pPr>
        <w:numPr>
          <w:ilvl w:val="0"/>
          <w:numId w:val="6"/>
        </w:num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6A1318">
        <w:rPr>
          <w:rFonts w:ascii="pplxSerif" w:eastAsia="Times New Roman" w:hAnsi="pplxSerif" w:cs="Times New Roman"/>
          <w:color w:val="27251E"/>
          <w:kern w:val="0"/>
          <w:lang w:eastAsia="en-GB"/>
          <w14:ligatures w14:val="none"/>
        </w:rPr>
        <w:t>Average Accounting Profit = £10.8m − £10m = £0.8m</w:t>
      </w:r>
    </w:p>
    <w:p w14:paraId="443A438E" w14:textId="77777777" w:rsidR="00A84603" w:rsidRPr="006A1318" w:rsidRDefault="00A84603" w:rsidP="00A84603">
      <w:pPr>
        <w:numPr>
          <w:ilvl w:val="0"/>
          <w:numId w:val="6"/>
        </w:num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6A1318">
        <w:rPr>
          <w:rFonts w:ascii="pplxSerif" w:eastAsia="Times New Roman" w:hAnsi="pplxSerif" w:cs="Times New Roman"/>
          <w:color w:val="27251E"/>
          <w:kern w:val="0"/>
          <w:lang w:eastAsia="en-GB"/>
          <w14:ligatures w14:val="none"/>
        </w:rPr>
        <w:t>ARR = (0.8 / 25) × 100 = </w:t>
      </w:r>
      <w:r w:rsidRPr="00A84603">
        <w:rPr>
          <w:rFonts w:ascii="pplxSerif" w:eastAsia="Times New Roman" w:hAnsi="pplxSerif" w:cs="Times New Roman"/>
          <w:color w:val="27251E"/>
          <w:kern w:val="0"/>
          <w:lang w:eastAsia="en-GB"/>
          <w14:ligatures w14:val="none"/>
        </w:rPr>
        <w:t>3.2%</w:t>
      </w:r>
    </w:p>
    <w:p w14:paraId="0A3E7B93" w14:textId="77777777" w:rsidR="00A84603" w:rsidRPr="00A84603" w:rsidRDefault="00A84603" w:rsidP="00A84603">
      <w:pPr>
        <w:shd w:val="clear" w:color="auto" w:fill="FDFBFA"/>
        <w:spacing w:before="100" w:beforeAutospacing="1" w:after="100" w:afterAutospacing="1" w:line="240" w:lineRule="auto"/>
        <w:rPr>
          <w:rFonts w:ascii="Arial" w:eastAsia="Times New Roman" w:hAnsi="Arial" w:cs="Arial"/>
          <w:b/>
          <w:bCs/>
          <w:kern w:val="0"/>
          <w:lang w:eastAsia="en-GB"/>
          <w14:ligatures w14:val="none"/>
        </w:rPr>
      </w:pPr>
      <w:r w:rsidRPr="00A84603">
        <w:rPr>
          <w:rFonts w:ascii="Arial" w:eastAsia="Times New Roman" w:hAnsi="Arial" w:cs="Arial"/>
          <w:b/>
          <w:bCs/>
          <w:kern w:val="0"/>
          <w:lang w:eastAsia="en-GB"/>
          <w14:ligatures w14:val="none"/>
        </w:rPr>
        <w:t>Project B:</w:t>
      </w:r>
    </w:p>
    <w:p w14:paraId="1A1779D7" w14:textId="77777777" w:rsidR="00A84603" w:rsidRPr="006A1318" w:rsidRDefault="00A84603" w:rsidP="00A84603">
      <w:pPr>
        <w:numPr>
          <w:ilvl w:val="0"/>
          <w:numId w:val="7"/>
        </w:num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6A1318">
        <w:rPr>
          <w:rFonts w:ascii="pplxSerif" w:eastAsia="Times New Roman" w:hAnsi="pplxSerif" w:cs="Times New Roman"/>
          <w:color w:val="27251E"/>
          <w:kern w:val="0"/>
          <w:lang w:eastAsia="en-GB"/>
          <w14:ligatures w14:val="none"/>
        </w:rPr>
        <w:t>Average NCF = £55m / 5 = £11.0m</w:t>
      </w:r>
    </w:p>
    <w:p w14:paraId="11A9F2DE" w14:textId="77777777" w:rsidR="00A84603" w:rsidRPr="006A1318" w:rsidRDefault="00A84603" w:rsidP="00A84603">
      <w:pPr>
        <w:numPr>
          <w:ilvl w:val="0"/>
          <w:numId w:val="7"/>
        </w:num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6A1318">
        <w:rPr>
          <w:rFonts w:ascii="pplxSerif" w:eastAsia="Times New Roman" w:hAnsi="pplxSerif" w:cs="Times New Roman"/>
          <w:color w:val="27251E"/>
          <w:kern w:val="0"/>
          <w:lang w:eastAsia="en-GB"/>
          <w14:ligatures w14:val="none"/>
        </w:rPr>
        <w:t>Average Accounting Profit = £11.0m − £10m = £1.0m</w:t>
      </w:r>
    </w:p>
    <w:p w14:paraId="3FD6E63F" w14:textId="77777777" w:rsidR="00A84603" w:rsidRPr="006A1318" w:rsidRDefault="00A84603" w:rsidP="00A84603">
      <w:pPr>
        <w:numPr>
          <w:ilvl w:val="0"/>
          <w:numId w:val="7"/>
        </w:num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6A1318">
        <w:rPr>
          <w:rFonts w:ascii="pplxSerif" w:eastAsia="Times New Roman" w:hAnsi="pplxSerif" w:cs="Times New Roman"/>
          <w:color w:val="27251E"/>
          <w:kern w:val="0"/>
          <w:lang w:eastAsia="en-GB"/>
          <w14:ligatures w14:val="none"/>
        </w:rPr>
        <w:t>ARR = (1.0 / 25) × 100 = </w:t>
      </w:r>
      <w:r w:rsidRPr="00A84603">
        <w:rPr>
          <w:rFonts w:ascii="pplxSerif" w:eastAsia="Times New Roman" w:hAnsi="pplxSerif" w:cs="Times New Roman"/>
          <w:color w:val="27251E"/>
          <w:kern w:val="0"/>
          <w:lang w:eastAsia="en-GB"/>
          <w14:ligatures w14:val="none"/>
        </w:rPr>
        <w:t>4.0%</w:t>
      </w:r>
    </w:p>
    <w:p w14:paraId="324BD02F" w14:textId="77777777" w:rsidR="00A84603" w:rsidRPr="00A84603" w:rsidRDefault="00A84603" w:rsidP="00A84603">
      <w:pPr>
        <w:shd w:val="clear" w:color="auto" w:fill="FDFBFA"/>
        <w:spacing w:before="100" w:beforeAutospacing="1" w:after="100" w:afterAutospacing="1" w:line="240" w:lineRule="auto"/>
        <w:rPr>
          <w:rFonts w:ascii="Arial" w:eastAsia="Times New Roman" w:hAnsi="Arial" w:cs="Arial"/>
          <w:b/>
          <w:bCs/>
          <w:kern w:val="0"/>
          <w:lang w:eastAsia="en-GB"/>
          <w14:ligatures w14:val="none"/>
        </w:rPr>
      </w:pPr>
      <w:r w:rsidRPr="00A84603">
        <w:rPr>
          <w:rFonts w:ascii="Arial" w:eastAsia="Times New Roman" w:hAnsi="Arial" w:cs="Arial"/>
          <w:b/>
          <w:bCs/>
          <w:kern w:val="0"/>
          <w:lang w:eastAsia="en-GB"/>
          <w14:ligatures w14:val="none"/>
        </w:rPr>
        <w:lastRenderedPageBreak/>
        <w:t>Project C:</w:t>
      </w:r>
    </w:p>
    <w:p w14:paraId="217E77FD" w14:textId="77777777" w:rsidR="00A84603" w:rsidRPr="006A1318" w:rsidRDefault="00A84603" w:rsidP="00A84603">
      <w:pPr>
        <w:numPr>
          <w:ilvl w:val="0"/>
          <w:numId w:val="8"/>
        </w:num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6A1318">
        <w:rPr>
          <w:rFonts w:ascii="pplxSerif" w:eastAsia="Times New Roman" w:hAnsi="pplxSerif" w:cs="Times New Roman"/>
          <w:color w:val="27251E"/>
          <w:kern w:val="0"/>
          <w:lang w:eastAsia="en-GB"/>
          <w14:ligatures w14:val="none"/>
        </w:rPr>
        <w:t>Average NCF = £65m / 5 = £13.0m</w:t>
      </w:r>
    </w:p>
    <w:p w14:paraId="0BCDE161" w14:textId="77777777" w:rsidR="00A84603" w:rsidRPr="006A1318" w:rsidRDefault="00A84603" w:rsidP="00A84603">
      <w:pPr>
        <w:numPr>
          <w:ilvl w:val="0"/>
          <w:numId w:val="8"/>
        </w:num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6A1318">
        <w:rPr>
          <w:rFonts w:ascii="pplxSerif" w:eastAsia="Times New Roman" w:hAnsi="pplxSerif" w:cs="Times New Roman"/>
          <w:color w:val="27251E"/>
          <w:kern w:val="0"/>
          <w:lang w:eastAsia="en-GB"/>
          <w14:ligatures w14:val="none"/>
        </w:rPr>
        <w:t>Average Accounting Profit = £13.0m − £10m = £3.0m</w:t>
      </w:r>
    </w:p>
    <w:p w14:paraId="744C101D" w14:textId="77777777" w:rsidR="00A84603" w:rsidRPr="006A1318" w:rsidRDefault="00A84603" w:rsidP="00A84603">
      <w:pPr>
        <w:numPr>
          <w:ilvl w:val="0"/>
          <w:numId w:val="8"/>
        </w:num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6A1318">
        <w:rPr>
          <w:rFonts w:ascii="pplxSerif" w:eastAsia="Times New Roman" w:hAnsi="pplxSerif" w:cs="Times New Roman"/>
          <w:color w:val="27251E"/>
          <w:kern w:val="0"/>
          <w:lang w:eastAsia="en-GB"/>
          <w14:ligatures w14:val="none"/>
        </w:rPr>
        <w:t>ARR = (3.0 / 25) × 100 = </w:t>
      </w:r>
      <w:r w:rsidRPr="00A84603">
        <w:rPr>
          <w:rFonts w:ascii="pplxSerif" w:eastAsia="Times New Roman" w:hAnsi="pplxSerif" w:cs="Times New Roman"/>
          <w:color w:val="27251E"/>
          <w:kern w:val="0"/>
          <w:lang w:eastAsia="en-GB"/>
          <w14:ligatures w14:val="none"/>
        </w:rPr>
        <w:t>12.0%</w:t>
      </w:r>
    </w:p>
    <w:p w14:paraId="25132C7C" w14:textId="77777777" w:rsidR="00A84603" w:rsidRPr="00A84603" w:rsidRDefault="00A84603" w:rsidP="00A84603">
      <w:pPr>
        <w:shd w:val="clear" w:color="auto" w:fill="FDFBFA"/>
        <w:spacing w:before="100" w:beforeAutospacing="1" w:after="100" w:afterAutospacing="1" w:line="240" w:lineRule="auto"/>
        <w:rPr>
          <w:rFonts w:ascii="pplxSerif" w:eastAsia="Times New Roman" w:hAnsi="pplxSerif" w:cs="Times New Roman"/>
          <w:b/>
          <w:bCs/>
          <w:color w:val="27251E"/>
          <w:kern w:val="0"/>
          <w:lang w:eastAsia="en-GB"/>
          <w14:ligatures w14:val="none"/>
        </w:rPr>
      </w:pPr>
      <w:r w:rsidRPr="00A84603">
        <w:rPr>
          <w:rFonts w:ascii="pplxSerif" w:eastAsia="Times New Roman" w:hAnsi="pplxSerif" w:cs="Times New Roman"/>
          <w:b/>
          <w:bCs/>
          <w:color w:val="27251E"/>
          <w:kern w:val="0"/>
          <w:lang w:eastAsia="en-GB"/>
          <w14:ligatures w14:val="none"/>
        </w:rPr>
        <w:t>ARR Ranking: C (12.0%) &gt; B (4.0%) &gt; A (3.2%)</w:t>
      </w:r>
    </w:p>
    <w:p w14:paraId="6B9E65F0" w14:textId="77777777" w:rsidR="00A84603" w:rsidRPr="006A1318" w:rsidRDefault="00A84603" w:rsidP="00A84603">
      <w:pPr>
        <w:shd w:val="clear" w:color="auto" w:fill="FDFBFA"/>
        <w:spacing w:before="100" w:beforeAutospacing="1" w:after="100" w:afterAutospacing="1" w:line="240" w:lineRule="auto"/>
        <w:outlineLvl w:val="1"/>
        <w:rPr>
          <w:rFonts w:ascii="pplxSerif" w:eastAsia="Times New Roman" w:hAnsi="pplxSerif" w:cs="Times New Roman"/>
          <w:b/>
          <w:bCs/>
          <w:color w:val="27251E"/>
          <w:kern w:val="0"/>
          <w:sz w:val="36"/>
          <w:szCs w:val="36"/>
          <w:lang w:eastAsia="en-GB"/>
          <w14:ligatures w14:val="none"/>
        </w:rPr>
      </w:pPr>
      <w:r w:rsidRPr="006A1318">
        <w:rPr>
          <w:rFonts w:ascii="pplxSerif" w:eastAsia="Times New Roman" w:hAnsi="pplxSerif" w:cs="Times New Roman"/>
          <w:b/>
          <w:bCs/>
          <w:color w:val="27251E"/>
          <w:kern w:val="0"/>
          <w:sz w:val="36"/>
          <w:szCs w:val="36"/>
          <w:lang w:eastAsia="en-GB"/>
          <w14:ligatures w14:val="none"/>
        </w:rPr>
        <w:t>4.4 Net Present Value (NPV)</w:t>
      </w:r>
    </w:p>
    <w:p w14:paraId="36B9A0AC" w14:textId="77777777" w:rsidR="00A84603" w:rsidRPr="006A1318" w:rsidRDefault="00A84603" w:rsidP="00A84603">
      <w:p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6A1318">
        <w:rPr>
          <w:rFonts w:ascii="pplxSerif" w:eastAsia="Times New Roman" w:hAnsi="pplxSerif" w:cs="Times New Roman"/>
          <w:color w:val="27251E"/>
          <w:kern w:val="0"/>
          <w:lang w:eastAsia="en-GB"/>
          <w14:ligatures w14:val="none"/>
        </w:rPr>
        <w:t>Discount rate: 10%. Discount factors: Year 1 = 0.909, Year 2 = 0.826, Year 3 = 0.751, Year 4 = 0.683, Year 5 = 0.621.</w:t>
      </w:r>
    </w:p>
    <w:p w14:paraId="1A1360AC" w14:textId="5284D7EA" w:rsidR="00A84603" w:rsidRPr="00A84603" w:rsidRDefault="00A84603" w:rsidP="00A84603">
      <w:pPr>
        <w:shd w:val="clear" w:color="auto" w:fill="FDFBFA"/>
        <w:spacing w:before="100" w:beforeAutospacing="1" w:after="100" w:afterAutospacing="1" w:line="240" w:lineRule="auto"/>
        <w:rPr>
          <w:rFonts w:ascii="Arial" w:eastAsia="Times New Roman" w:hAnsi="Arial" w:cs="Arial"/>
          <w:b/>
          <w:bCs/>
          <w:kern w:val="0"/>
          <w:lang w:eastAsia="en-GB"/>
          <w14:ligatures w14:val="none"/>
        </w:rPr>
      </w:pPr>
      <w:r w:rsidRPr="00A84603">
        <w:rPr>
          <w:rFonts w:ascii="Arial" w:eastAsia="Times New Roman" w:hAnsi="Arial" w:cs="Arial"/>
          <w:b/>
          <w:bCs/>
          <w:kern w:val="0"/>
          <w:lang w:eastAsia="en-GB"/>
          <w14:ligatures w14:val="none"/>
        </w:rPr>
        <w:t>Project A</w:t>
      </w:r>
      <w:r>
        <w:rPr>
          <w:rFonts w:ascii="Arial" w:eastAsia="Times New Roman" w:hAnsi="Arial" w:cs="Arial"/>
          <w:b/>
          <w:bCs/>
          <w:kern w:val="0"/>
          <w:lang w:eastAsia="en-GB"/>
          <w14:ligatures w14:val="none"/>
        </w:rPr>
        <w:t>:</w:t>
      </w:r>
    </w:p>
    <w:tbl>
      <w:tblPr>
        <w:tblW w:w="5000" w:type="pct"/>
        <w:tblCellMar>
          <w:top w:w="15" w:type="dxa"/>
          <w:left w:w="15" w:type="dxa"/>
          <w:bottom w:w="15" w:type="dxa"/>
          <w:right w:w="15" w:type="dxa"/>
        </w:tblCellMar>
        <w:tblLook w:val="04A0" w:firstRow="1" w:lastRow="0" w:firstColumn="1" w:lastColumn="0" w:noHBand="0" w:noVBand="1"/>
      </w:tblPr>
      <w:tblGrid>
        <w:gridCol w:w="1895"/>
        <w:gridCol w:w="2063"/>
        <w:gridCol w:w="3262"/>
        <w:gridCol w:w="1790"/>
      </w:tblGrid>
      <w:tr w:rsidR="00A84603" w:rsidRPr="006A1318" w14:paraId="468C0007" w14:textId="77777777" w:rsidTr="00AE2C18">
        <w:trPr>
          <w:tblHeader/>
        </w:trPr>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74705D54" w14:textId="77777777" w:rsidR="00A84603" w:rsidRPr="006A1318" w:rsidRDefault="00A84603"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Year</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15B95E39" w14:textId="77777777" w:rsidR="00A84603" w:rsidRPr="006A1318" w:rsidRDefault="00A84603"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NCF (£m)</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03606A2E" w14:textId="77777777" w:rsidR="00A84603" w:rsidRPr="006A1318" w:rsidRDefault="00A84603"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Discount Factor</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24D62667" w14:textId="77777777" w:rsidR="00A84603" w:rsidRPr="006A1318" w:rsidRDefault="00A84603"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PV (£m)</w:t>
            </w:r>
          </w:p>
        </w:tc>
      </w:tr>
      <w:tr w:rsidR="00A84603" w:rsidRPr="006A1318" w14:paraId="7328F02F"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3E9F8BE"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1F84F97"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E122107"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0.909</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88A0D31"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9.09</w:t>
            </w:r>
          </w:p>
        </w:tc>
      </w:tr>
      <w:tr w:rsidR="00A84603" w:rsidRPr="006A1318" w14:paraId="1394F5EA"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4931DAF"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AE6778D"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12</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6851FD0"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0.826</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C221BE6"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9.91</w:t>
            </w:r>
          </w:p>
        </w:tc>
      </w:tr>
      <w:tr w:rsidR="00A84603" w:rsidRPr="006A1318" w14:paraId="515CEE8E"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4AABDB1"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3</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53C052B"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14</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A9F229A"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0.751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5FF61F0"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10.51</w:t>
            </w:r>
          </w:p>
        </w:tc>
      </w:tr>
      <w:tr w:rsidR="00A84603" w:rsidRPr="006A1318" w14:paraId="7D11BAAB"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538AA87"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4</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9F3014B"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A8564A7"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0.683</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A731C4F"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6.83</w:t>
            </w:r>
          </w:p>
        </w:tc>
      </w:tr>
      <w:tr w:rsidR="00A84603" w:rsidRPr="006A1318" w14:paraId="6018570D"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C332643"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5</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14FA0A5"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8</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6D2BEA6"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0.621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DE89E93"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4.97</w:t>
            </w:r>
          </w:p>
        </w:tc>
      </w:tr>
      <w:tr w:rsidR="00A84603" w:rsidRPr="006A1318" w14:paraId="7E977687"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0D06BE9"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b/>
                <w:bCs/>
                <w:kern w:val="0"/>
                <w:lang w:eastAsia="en-GB"/>
                <w14:ligatures w14:val="none"/>
              </w:rPr>
              <w:t>Total PV</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6C8897B" w14:textId="77777777" w:rsidR="00A84603" w:rsidRPr="006A1318" w:rsidRDefault="00A84603" w:rsidP="00AE2C18">
            <w:pPr>
              <w:spacing w:after="0" w:line="240" w:lineRule="auto"/>
              <w:rPr>
                <w:rFonts w:ascii="Arial" w:eastAsia="Times New Roman" w:hAnsi="Arial" w:cs="Arial"/>
                <w:kern w:val="0"/>
                <w:lang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64F2A99" w14:textId="77777777" w:rsidR="00A84603" w:rsidRPr="006A1318" w:rsidRDefault="00A84603" w:rsidP="00AE2C18">
            <w:pPr>
              <w:spacing w:after="0" w:line="240" w:lineRule="auto"/>
              <w:rPr>
                <w:rFonts w:ascii="Times New Roman" w:eastAsia="Times New Roman" w:hAnsi="Times New Roman" w:cs="Times New Roman"/>
                <w:kern w:val="0"/>
                <w:sz w:val="20"/>
                <w:szCs w:val="20"/>
                <w:lang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621ED40"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b/>
                <w:bCs/>
                <w:kern w:val="0"/>
                <w:lang w:eastAsia="en-GB"/>
                <w14:ligatures w14:val="none"/>
              </w:rPr>
              <w:t>41.31</w:t>
            </w:r>
          </w:p>
        </w:tc>
      </w:tr>
    </w:tbl>
    <w:p w14:paraId="13AB27C9" w14:textId="77777777" w:rsidR="00A84603" w:rsidRDefault="00A84603" w:rsidP="00A84603">
      <w:pPr>
        <w:rPr>
          <w:rFonts w:ascii="pplxSerif" w:hAnsi="pplxSerif"/>
        </w:rPr>
      </w:pPr>
    </w:p>
    <w:p w14:paraId="2821FE8C" w14:textId="77777777" w:rsidR="00A84603" w:rsidRPr="008516A6" w:rsidRDefault="00A84603" w:rsidP="00A84603">
      <w:pPr>
        <w:pStyle w:val="my-2"/>
        <w:shd w:val="clear" w:color="auto" w:fill="FDFBFA"/>
        <w:rPr>
          <w:rFonts w:ascii="pplxSerif" w:hAnsi="pplxSerif"/>
          <w:b/>
          <w:bCs/>
          <w:color w:val="27251E"/>
        </w:rPr>
      </w:pPr>
      <w:r w:rsidRPr="008516A6">
        <w:rPr>
          <w:b/>
          <w:bCs/>
        </w:rPr>
        <w:t>NPV (A) = £41.31m − £50m = −£8.69m</w:t>
      </w:r>
    </w:p>
    <w:p w14:paraId="3B2F0100" w14:textId="77777777" w:rsidR="00A84603" w:rsidRPr="008516A6" w:rsidRDefault="00A84603" w:rsidP="008516A6">
      <w:pPr>
        <w:shd w:val="clear" w:color="auto" w:fill="FDFBFA"/>
        <w:spacing w:before="100" w:beforeAutospacing="1" w:after="100" w:afterAutospacing="1" w:line="240" w:lineRule="auto"/>
        <w:rPr>
          <w:rFonts w:ascii="Arial" w:eastAsia="Times New Roman" w:hAnsi="Arial" w:cs="Arial"/>
          <w:b/>
          <w:bCs/>
          <w:kern w:val="0"/>
          <w:lang w:eastAsia="en-GB"/>
          <w14:ligatures w14:val="none"/>
        </w:rPr>
      </w:pPr>
      <w:r w:rsidRPr="008516A6">
        <w:rPr>
          <w:rFonts w:ascii="Arial" w:eastAsia="Times New Roman" w:hAnsi="Arial" w:cs="Arial"/>
          <w:b/>
          <w:bCs/>
          <w:kern w:val="0"/>
          <w:lang w:eastAsia="en-GB"/>
          <w14:ligatures w14:val="none"/>
        </w:rPr>
        <w:t>Project B:</w:t>
      </w:r>
    </w:p>
    <w:tbl>
      <w:tblPr>
        <w:tblW w:w="5000" w:type="pct"/>
        <w:tblCellMar>
          <w:top w:w="15" w:type="dxa"/>
          <w:left w:w="15" w:type="dxa"/>
          <w:bottom w:w="15" w:type="dxa"/>
          <w:right w:w="15" w:type="dxa"/>
        </w:tblCellMar>
        <w:tblLook w:val="04A0" w:firstRow="1" w:lastRow="0" w:firstColumn="1" w:lastColumn="0" w:noHBand="0" w:noVBand="1"/>
      </w:tblPr>
      <w:tblGrid>
        <w:gridCol w:w="986"/>
        <w:gridCol w:w="1692"/>
        <w:gridCol w:w="4864"/>
        <w:gridCol w:w="1468"/>
      </w:tblGrid>
      <w:tr w:rsidR="00A84603" w:rsidRPr="006A1318" w14:paraId="57397BCF" w14:textId="77777777" w:rsidTr="00AE2C18">
        <w:trPr>
          <w:tblHeader/>
        </w:trPr>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15462310" w14:textId="77777777" w:rsidR="00A84603" w:rsidRPr="006A1318" w:rsidRDefault="00A84603"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Year</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3EBBC9EB" w14:textId="77777777" w:rsidR="00A84603" w:rsidRPr="006A1318" w:rsidRDefault="00A84603"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NCF (£m)</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453E238C" w14:textId="77777777" w:rsidR="00A84603" w:rsidRPr="006A1318" w:rsidRDefault="00A84603"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Discount Factor</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7BE69044" w14:textId="77777777" w:rsidR="00A84603" w:rsidRPr="006A1318" w:rsidRDefault="00A84603"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PV (£m)</w:t>
            </w:r>
          </w:p>
        </w:tc>
      </w:tr>
      <w:tr w:rsidR="00A84603" w:rsidRPr="006A1318" w14:paraId="2969BD85"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34F9ED2"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1–5</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08CCA56"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43B1C3C"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(Annuity factor 10%, 5yr = 3.791)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AB6FF38"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41.70</w:t>
            </w:r>
          </w:p>
        </w:tc>
      </w:tr>
    </w:tbl>
    <w:p w14:paraId="5898574E" w14:textId="77777777" w:rsidR="00A84603" w:rsidRDefault="00A84603" w:rsidP="008516A6">
      <w:pPr>
        <w:shd w:val="clear" w:color="auto" w:fill="FDFBFA"/>
        <w:spacing w:before="100" w:beforeAutospacing="1" w:after="100" w:afterAutospacing="1" w:line="240" w:lineRule="auto"/>
        <w:rPr>
          <w:rFonts w:ascii="Arial" w:eastAsia="Times New Roman" w:hAnsi="Arial" w:cs="Arial"/>
          <w:b/>
          <w:bCs/>
          <w:kern w:val="0"/>
          <w:lang w:eastAsia="en-GB"/>
          <w14:ligatures w14:val="none"/>
        </w:rPr>
      </w:pPr>
      <w:r w:rsidRPr="008516A6">
        <w:rPr>
          <w:rFonts w:ascii="Arial" w:eastAsia="Times New Roman" w:hAnsi="Arial" w:cs="Arial"/>
          <w:b/>
          <w:bCs/>
          <w:kern w:val="0"/>
          <w:lang w:eastAsia="en-GB"/>
          <w14:ligatures w14:val="none"/>
        </w:rPr>
        <w:t>NPV (B) = £41.70m − £50m = −£8.30m</w:t>
      </w:r>
    </w:p>
    <w:p w14:paraId="32C9B6CE" w14:textId="77777777" w:rsidR="008516A6" w:rsidRDefault="008516A6" w:rsidP="008516A6">
      <w:pPr>
        <w:shd w:val="clear" w:color="auto" w:fill="FDFBFA"/>
        <w:spacing w:before="100" w:beforeAutospacing="1" w:after="100" w:afterAutospacing="1" w:line="240" w:lineRule="auto"/>
        <w:rPr>
          <w:rFonts w:ascii="Arial" w:eastAsia="Times New Roman" w:hAnsi="Arial" w:cs="Arial"/>
          <w:b/>
          <w:bCs/>
          <w:kern w:val="0"/>
          <w:lang w:eastAsia="en-GB"/>
          <w14:ligatures w14:val="none"/>
        </w:rPr>
      </w:pPr>
    </w:p>
    <w:p w14:paraId="0C64500B" w14:textId="77777777" w:rsidR="008516A6" w:rsidRDefault="008516A6" w:rsidP="008516A6">
      <w:pPr>
        <w:shd w:val="clear" w:color="auto" w:fill="FDFBFA"/>
        <w:spacing w:before="100" w:beforeAutospacing="1" w:after="100" w:afterAutospacing="1" w:line="240" w:lineRule="auto"/>
        <w:rPr>
          <w:rFonts w:ascii="Arial" w:eastAsia="Times New Roman" w:hAnsi="Arial" w:cs="Arial"/>
          <w:b/>
          <w:bCs/>
          <w:kern w:val="0"/>
          <w:lang w:eastAsia="en-GB"/>
          <w14:ligatures w14:val="none"/>
        </w:rPr>
      </w:pPr>
    </w:p>
    <w:p w14:paraId="0A8C1690" w14:textId="77777777" w:rsidR="008516A6" w:rsidRDefault="008516A6" w:rsidP="008516A6">
      <w:pPr>
        <w:shd w:val="clear" w:color="auto" w:fill="FDFBFA"/>
        <w:spacing w:before="100" w:beforeAutospacing="1" w:after="100" w:afterAutospacing="1" w:line="240" w:lineRule="auto"/>
        <w:rPr>
          <w:rFonts w:ascii="Arial" w:eastAsia="Times New Roman" w:hAnsi="Arial" w:cs="Arial"/>
          <w:b/>
          <w:bCs/>
          <w:kern w:val="0"/>
          <w:lang w:eastAsia="en-GB"/>
          <w14:ligatures w14:val="none"/>
        </w:rPr>
      </w:pPr>
    </w:p>
    <w:p w14:paraId="2CF0D636" w14:textId="77777777" w:rsidR="008516A6" w:rsidRPr="008516A6" w:rsidRDefault="008516A6" w:rsidP="008516A6">
      <w:pPr>
        <w:shd w:val="clear" w:color="auto" w:fill="FDFBFA"/>
        <w:spacing w:before="100" w:beforeAutospacing="1" w:after="100" w:afterAutospacing="1" w:line="240" w:lineRule="auto"/>
        <w:rPr>
          <w:rFonts w:ascii="Arial" w:eastAsia="Times New Roman" w:hAnsi="Arial" w:cs="Arial"/>
          <w:b/>
          <w:bCs/>
          <w:kern w:val="0"/>
          <w:lang w:eastAsia="en-GB"/>
          <w14:ligatures w14:val="none"/>
        </w:rPr>
      </w:pPr>
    </w:p>
    <w:p w14:paraId="675A29D2" w14:textId="77777777" w:rsidR="00A84603" w:rsidRPr="008516A6" w:rsidRDefault="00A84603" w:rsidP="008516A6">
      <w:pPr>
        <w:shd w:val="clear" w:color="auto" w:fill="FDFBFA"/>
        <w:spacing w:before="100" w:beforeAutospacing="1" w:after="100" w:afterAutospacing="1" w:line="240" w:lineRule="auto"/>
        <w:rPr>
          <w:rFonts w:ascii="Arial" w:eastAsia="Times New Roman" w:hAnsi="Arial" w:cs="Arial"/>
          <w:b/>
          <w:bCs/>
          <w:kern w:val="0"/>
          <w:lang w:eastAsia="en-GB"/>
          <w14:ligatures w14:val="none"/>
        </w:rPr>
      </w:pPr>
      <w:r w:rsidRPr="008516A6">
        <w:rPr>
          <w:rFonts w:ascii="Arial" w:eastAsia="Times New Roman" w:hAnsi="Arial" w:cs="Arial"/>
          <w:b/>
          <w:bCs/>
          <w:kern w:val="0"/>
          <w:lang w:eastAsia="en-GB"/>
          <w14:ligatures w14:val="none"/>
        </w:rPr>
        <w:lastRenderedPageBreak/>
        <w:t>Project C:</w:t>
      </w:r>
    </w:p>
    <w:tbl>
      <w:tblPr>
        <w:tblW w:w="5000" w:type="pct"/>
        <w:tblCellMar>
          <w:top w:w="15" w:type="dxa"/>
          <w:left w:w="15" w:type="dxa"/>
          <w:bottom w:w="15" w:type="dxa"/>
          <w:right w:w="15" w:type="dxa"/>
        </w:tblCellMar>
        <w:tblLook w:val="04A0" w:firstRow="1" w:lastRow="0" w:firstColumn="1" w:lastColumn="0" w:noHBand="0" w:noVBand="1"/>
      </w:tblPr>
      <w:tblGrid>
        <w:gridCol w:w="1895"/>
        <w:gridCol w:w="2063"/>
        <w:gridCol w:w="3262"/>
        <w:gridCol w:w="1790"/>
      </w:tblGrid>
      <w:tr w:rsidR="00A84603" w:rsidRPr="006A1318" w14:paraId="79779FDC" w14:textId="77777777" w:rsidTr="00AE2C18">
        <w:trPr>
          <w:tblHeader/>
        </w:trPr>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09033901" w14:textId="77777777" w:rsidR="00A84603" w:rsidRPr="006A1318" w:rsidRDefault="00A84603"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Year</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5BAE9B6D" w14:textId="77777777" w:rsidR="00A84603" w:rsidRPr="006A1318" w:rsidRDefault="00A84603"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NCF (£m)</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548D8A0D" w14:textId="77777777" w:rsidR="00A84603" w:rsidRPr="006A1318" w:rsidRDefault="00A84603"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Discount Factor</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54F5EC50" w14:textId="77777777" w:rsidR="00A84603" w:rsidRPr="006A1318" w:rsidRDefault="00A84603"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PV (£m)</w:t>
            </w:r>
          </w:p>
        </w:tc>
      </w:tr>
      <w:tr w:rsidR="00A84603" w:rsidRPr="006A1318" w14:paraId="7FA089C4"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D3CC337"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F19FE68"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5</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341A523"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0.909</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86902E3"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4.55</w:t>
            </w:r>
          </w:p>
        </w:tc>
      </w:tr>
      <w:tr w:rsidR="00A84603" w:rsidRPr="006A1318" w14:paraId="6A678970"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CD21319"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2337954"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BC25DC9"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0.826</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A94D2CA"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8.26</w:t>
            </w:r>
          </w:p>
        </w:tc>
      </w:tr>
      <w:tr w:rsidR="00A84603" w:rsidRPr="006A1318" w14:paraId="69E09C8B"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11089C5"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3</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2821C9E"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49088E8"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0.751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7E0E5E6"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15.02</w:t>
            </w:r>
          </w:p>
        </w:tc>
      </w:tr>
      <w:tr w:rsidR="00A84603" w:rsidRPr="006A1318" w14:paraId="3B060EDC"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8E2613A"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4</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FB8DB04"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25</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1B70658"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0.683</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57B01EF"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17.08</w:t>
            </w:r>
          </w:p>
        </w:tc>
      </w:tr>
      <w:tr w:rsidR="00A84603" w:rsidRPr="006A1318" w14:paraId="685942AF"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274E104"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5</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8E94128"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5</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77541D1"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0.621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86AE828"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3.11</w:t>
            </w:r>
          </w:p>
        </w:tc>
      </w:tr>
      <w:tr w:rsidR="00A84603" w:rsidRPr="006A1318" w14:paraId="122A641B"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36032F4"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b/>
                <w:bCs/>
                <w:kern w:val="0"/>
                <w:lang w:eastAsia="en-GB"/>
                <w14:ligatures w14:val="none"/>
              </w:rPr>
              <w:t>Total PV</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C8F8C63" w14:textId="77777777" w:rsidR="00A84603" w:rsidRPr="006A1318" w:rsidRDefault="00A84603" w:rsidP="00AE2C18">
            <w:pPr>
              <w:spacing w:after="0" w:line="240" w:lineRule="auto"/>
              <w:rPr>
                <w:rFonts w:ascii="Arial" w:eastAsia="Times New Roman" w:hAnsi="Arial" w:cs="Arial"/>
                <w:kern w:val="0"/>
                <w:lang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A099254" w14:textId="77777777" w:rsidR="00A84603" w:rsidRPr="006A1318" w:rsidRDefault="00A84603" w:rsidP="00AE2C18">
            <w:pPr>
              <w:spacing w:after="0" w:line="240" w:lineRule="auto"/>
              <w:rPr>
                <w:rFonts w:ascii="Times New Roman" w:eastAsia="Times New Roman" w:hAnsi="Times New Roman" w:cs="Times New Roman"/>
                <w:kern w:val="0"/>
                <w:sz w:val="20"/>
                <w:szCs w:val="20"/>
                <w:lang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C3F4442" w14:textId="77777777" w:rsidR="00A84603" w:rsidRPr="006A1318" w:rsidRDefault="00A84603"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b/>
                <w:bCs/>
                <w:kern w:val="0"/>
                <w:lang w:eastAsia="en-GB"/>
                <w14:ligatures w14:val="none"/>
              </w:rPr>
              <w:t>48.02</w:t>
            </w:r>
          </w:p>
        </w:tc>
      </w:tr>
    </w:tbl>
    <w:p w14:paraId="7F4F2843" w14:textId="77777777" w:rsidR="00A84603" w:rsidRPr="008516A6" w:rsidRDefault="00A84603" w:rsidP="00A84603">
      <w:pPr>
        <w:shd w:val="clear" w:color="auto" w:fill="FDFBFA"/>
        <w:spacing w:before="100" w:beforeAutospacing="1" w:after="100" w:afterAutospacing="1" w:line="240" w:lineRule="auto"/>
        <w:rPr>
          <w:rFonts w:ascii="Arial" w:eastAsia="Times New Roman" w:hAnsi="Arial" w:cs="Arial"/>
          <w:b/>
          <w:bCs/>
          <w:kern w:val="0"/>
          <w:lang w:eastAsia="en-GB"/>
          <w14:ligatures w14:val="none"/>
        </w:rPr>
      </w:pPr>
      <w:r w:rsidRPr="008516A6">
        <w:rPr>
          <w:rFonts w:ascii="Arial" w:eastAsia="Times New Roman" w:hAnsi="Arial" w:cs="Arial"/>
          <w:b/>
          <w:bCs/>
          <w:kern w:val="0"/>
          <w:lang w:eastAsia="en-GB"/>
          <w14:ligatures w14:val="none"/>
        </w:rPr>
        <w:t>NPV (C) = £48.02m − £50m = −£1.98m</w:t>
      </w:r>
    </w:p>
    <w:p w14:paraId="2CB2D715" w14:textId="4D5C0C5D" w:rsidR="00A84603" w:rsidRDefault="00A84603" w:rsidP="00A84603">
      <w:pPr>
        <w:shd w:val="clear" w:color="auto" w:fill="FDFBFA"/>
        <w:spacing w:before="100" w:beforeAutospacing="1" w:after="100" w:afterAutospacing="1" w:line="240" w:lineRule="auto"/>
        <w:rPr>
          <w:rFonts w:ascii="Arial" w:eastAsia="Times New Roman" w:hAnsi="Arial" w:cs="Arial"/>
          <w:b/>
          <w:bCs/>
          <w:kern w:val="0"/>
          <w:lang w:eastAsia="en-GB"/>
          <w14:ligatures w14:val="none"/>
        </w:rPr>
      </w:pPr>
      <w:r w:rsidRPr="008516A6">
        <w:rPr>
          <w:rFonts w:ascii="Arial" w:eastAsia="Times New Roman" w:hAnsi="Arial" w:cs="Arial"/>
          <w:b/>
          <w:bCs/>
          <w:kern w:val="0"/>
          <w:lang w:eastAsia="en-GB"/>
          <w14:ligatures w14:val="none"/>
        </w:rPr>
        <w:t>NPV Ranking: C (−£1.98m) &gt; B (−£8.30m) &gt; A (−£8.69m)</w:t>
      </w:r>
    </w:p>
    <w:p w14:paraId="43225FD5" w14:textId="382020FD" w:rsidR="008516A6" w:rsidRPr="006A1318" w:rsidRDefault="008516A6" w:rsidP="008516A6">
      <w:pPr>
        <w:shd w:val="clear" w:color="auto" w:fill="FDFBFA"/>
        <w:spacing w:before="100" w:beforeAutospacing="1" w:after="100" w:afterAutospacing="1" w:line="240" w:lineRule="auto"/>
        <w:outlineLvl w:val="1"/>
        <w:rPr>
          <w:rFonts w:ascii="pplxSerif" w:eastAsia="Times New Roman" w:hAnsi="pplxSerif" w:cs="Times New Roman"/>
          <w:b/>
          <w:bCs/>
          <w:color w:val="27251E"/>
          <w:kern w:val="0"/>
          <w:sz w:val="36"/>
          <w:szCs w:val="36"/>
          <w:lang w:eastAsia="en-GB"/>
          <w14:ligatures w14:val="none"/>
        </w:rPr>
      </w:pPr>
      <w:r>
        <w:rPr>
          <w:rFonts w:ascii="Arial" w:eastAsia="Times New Roman" w:hAnsi="Arial" w:cs="Arial"/>
          <w:b/>
          <w:bCs/>
          <w:lang w:eastAsia="en-GB"/>
        </w:rPr>
        <w:t>Important Note:</w:t>
      </w:r>
      <w:r w:rsidRPr="008516A6">
        <w:t xml:space="preserve"> </w:t>
      </w:r>
      <w:r w:rsidRPr="008516A6">
        <w:rPr>
          <w:rFonts w:ascii="Arial" w:eastAsia="Times New Roman" w:hAnsi="Arial" w:cs="Arial"/>
          <w:lang w:eastAsia="en-GB"/>
        </w:rPr>
        <w:t>At a 10% discount rate, all three projects have a negative NPV, that is, none of them destroys or creates value that is above the cost of capital at this hurdle rate. Nevertheless, Project C is the least value-destructive and it is the nearest to break even, which implies that it is the most feasible in case the discount rate can be low (e.g. through subsidised green finance of EV-related investments) or the qualitative strategic considerations are taken into account.</w:t>
      </w:r>
      <w:r>
        <w:rPr>
          <w:rFonts w:ascii="Arial" w:eastAsia="Times New Roman" w:hAnsi="Arial" w:cs="Arial"/>
          <w:b/>
          <w:bCs/>
          <w:lang w:eastAsia="en-GB"/>
        </w:rPr>
        <w:br/>
      </w:r>
      <w:r>
        <w:rPr>
          <w:rFonts w:ascii="Arial" w:eastAsia="Times New Roman" w:hAnsi="Arial" w:cs="Arial"/>
          <w:b/>
          <w:bCs/>
          <w:lang w:eastAsia="en-GB"/>
        </w:rPr>
        <w:br/>
      </w:r>
      <w:r w:rsidRPr="006A1318">
        <w:rPr>
          <w:rFonts w:ascii="pplxSerif" w:eastAsia="Times New Roman" w:hAnsi="pplxSerif" w:cs="Times New Roman"/>
          <w:b/>
          <w:bCs/>
          <w:color w:val="27251E"/>
          <w:kern w:val="0"/>
          <w:sz w:val="36"/>
          <w:szCs w:val="36"/>
          <w:lang w:eastAsia="en-GB"/>
          <w14:ligatures w14:val="none"/>
        </w:rPr>
        <w:t>4.5 Profitability Index (PI)</w:t>
      </w:r>
    </w:p>
    <w:p w14:paraId="61C188CC" w14:textId="77777777" w:rsidR="008516A6" w:rsidRPr="006A1318" w:rsidRDefault="008516A6" w:rsidP="008516A6">
      <w:p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6A1318">
        <w:rPr>
          <w:rFonts w:ascii="pplxSerif" w:eastAsia="Times New Roman" w:hAnsi="pplxSerif" w:cs="Times New Roman"/>
          <w:color w:val="27251E"/>
          <w:kern w:val="0"/>
          <w:lang w:eastAsia="en-GB"/>
          <w14:ligatures w14:val="none"/>
        </w:rPr>
        <w:t>PI = (NPV + Initial Investment) / Initial Investment = Total PV / Initial Investment</w:t>
      </w:r>
    </w:p>
    <w:tbl>
      <w:tblPr>
        <w:tblW w:w="5000" w:type="pct"/>
        <w:tblCellMar>
          <w:top w:w="15" w:type="dxa"/>
          <w:left w:w="15" w:type="dxa"/>
          <w:bottom w:w="15" w:type="dxa"/>
          <w:right w:w="15" w:type="dxa"/>
        </w:tblCellMar>
        <w:tblLook w:val="04A0" w:firstRow="1" w:lastRow="0" w:firstColumn="1" w:lastColumn="0" w:noHBand="0" w:noVBand="1"/>
      </w:tblPr>
      <w:tblGrid>
        <w:gridCol w:w="1474"/>
        <w:gridCol w:w="2481"/>
        <w:gridCol w:w="3879"/>
        <w:gridCol w:w="1176"/>
      </w:tblGrid>
      <w:tr w:rsidR="008516A6" w:rsidRPr="006A1318" w14:paraId="7271A0AE" w14:textId="77777777" w:rsidTr="00AE2C18">
        <w:trPr>
          <w:tblHeader/>
        </w:trPr>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58A9F1EB" w14:textId="77777777" w:rsidR="008516A6" w:rsidRPr="006A1318" w:rsidRDefault="008516A6"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Project</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0AB2AF39" w14:textId="77777777" w:rsidR="008516A6" w:rsidRPr="006A1318" w:rsidRDefault="008516A6"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Total PV (£m)</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03F8D1F0" w14:textId="77777777" w:rsidR="008516A6" w:rsidRPr="006A1318" w:rsidRDefault="008516A6"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Initial Investment (£m)</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7B9A8873" w14:textId="77777777" w:rsidR="008516A6" w:rsidRPr="006A1318" w:rsidRDefault="008516A6"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PI</w:t>
            </w:r>
          </w:p>
        </w:tc>
      </w:tr>
      <w:tr w:rsidR="008516A6" w:rsidRPr="006A1318" w14:paraId="0CF0C011"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C2E2BA0" w14:textId="77777777" w:rsidR="008516A6" w:rsidRPr="006A1318" w:rsidRDefault="008516A6"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A</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24C48B4" w14:textId="77777777" w:rsidR="008516A6" w:rsidRPr="006A1318" w:rsidRDefault="008516A6"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41.31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38E0858" w14:textId="77777777" w:rsidR="008516A6" w:rsidRPr="006A1318" w:rsidRDefault="008516A6"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50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AE2E17A" w14:textId="77777777" w:rsidR="008516A6" w:rsidRPr="006A1318" w:rsidRDefault="008516A6"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0.826</w:t>
            </w:r>
          </w:p>
        </w:tc>
      </w:tr>
      <w:tr w:rsidR="008516A6" w:rsidRPr="006A1318" w14:paraId="755433C9"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B050F3D" w14:textId="77777777" w:rsidR="008516A6" w:rsidRPr="006A1318" w:rsidRDefault="008516A6"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B</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C266070" w14:textId="77777777" w:rsidR="008516A6" w:rsidRPr="006A1318" w:rsidRDefault="008516A6"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41.70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74E9B41" w14:textId="77777777" w:rsidR="008516A6" w:rsidRPr="006A1318" w:rsidRDefault="008516A6"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50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DA6DC0A" w14:textId="77777777" w:rsidR="008516A6" w:rsidRPr="006A1318" w:rsidRDefault="008516A6"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0.834</w:t>
            </w:r>
          </w:p>
        </w:tc>
      </w:tr>
      <w:tr w:rsidR="008516A6" w:rsidRPr="006A1318" w14:paraId="125D741B"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A53A327" w14:textId="77777777" w:rsidR="008516A6" w:rsidRPr="006A1318" w:rsidRDefault="008516A6"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C</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5A6CFAF" w14:textId="77777777" w:rsidR="008516A6" w:rsidRPr="006A1318" w:rsidRDefault="008516A6"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48.02</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B7A2F1C" w14:textId="77777777" w:rsidR="008516A6" w:rsidRPr="006A1318" w:rsidRDefault="008516A6"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50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96E2A66" w14:textId="77777777" w:rsidR="008516A6" w:rsidRPr="006A1318" w:rsidRDefault="008516A6"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0.960</w:t>
            </w:r>
          </w:p>
        </w:tc>
      </w:tr>
    </w:tbl>
    <w:p w14:paraId="263BFC9D" w14:textId="77777777" w:rsidR="008516A6" w:rsidRPr="008516A6" w:rsidRDefault="008516A6" w:rsidP="008516A6">
      <w:pPr>
        <w:shd w:val="clear" w:color="auto" w:fill="FDFBFA"/>
        <w:spacing w:before="100" w:beforeAutospacing="1" w:after="100" w:afterAutospacing="1" w:line="240" w:lineRule="auto"/>
        <w:rPr>
          <w:rFonts w:ascii="Arial" w:eastAsia="Times New Roman" w:hAnsi="Arial" w:cs="Arial"/>
          <w:b/>
          <w:bCs/>
          <w:kern w:val="0"/>
          <w:lang w:eastAsia="en-GB"/>
          <w14:ligatures w14:val="none"/>
        </w:rPr>
      </w:pPr>
      <w:r w:rsidRPr="008516A6">
        <w:rPr>
          <w:rFonts w:ascii="Arial" w:eastAsia="Times New Roman" w:hAnsi="Arial" w:cs="Arial"/>
          <w:b/>
          <w:bCs/>
          <w:kern w:val="0"/>
          <w:lang w:eastAsia="en-GB"/>
          <w14:ligatures w14:val="none"/>
        </w:rPr>
        <w:t>PI Ranking: C (0.960) &gt; B (0.834) &gt; A (0.826)</w:t>
      </w:r>
    </w:p>
    <w:p w14:paraId="6656CD7A" w14:textId="77777777" w:rsidR="008516A6" w:rsidRPr="006A1318" w:rsidRDefault="008516A6" w:rsidP="008516A6">
      <w:p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6A1318">
        <w:rPr>
          <w:rFonts w:ascii="pplxSerif" w:eastAsia="Times New Roman" w:hAnsi="pplxSerif" w:cs="Times New Roman"/>
          <w:color w:val="27251E"/>
          <w:kern w:val="0"/>
          <w:lang w:eastAsia="en-GB"/>
          <w14:ligatures w14:val="none"/>
        </w:rPr>
        <w:t>A PI below 1.0 confirms that all projects fail to return the cost of capital. Project C's PI of 0.960 — the closest to 1.0 — indicates it is the least capital-inefficient.</w:t>
      </w:r>
    </w:p>
    <w:p w14:paraId="2B15B53C" w14:textId="77777777" w:rsidR="008516A6" w:rsidRPr="006A1318" w:rsidRDefault="008516A6" w:rsidP="008516A6">
      <w:pPr>
        <w:shd w:val="clear" w:color="auto" w:fill="FDFBFA"/>
        <w:spacing w:before="100" w:beforeAutospacing="1" w:after="100" w:afterAutospacing="1" w:line="240" w:lineRule="auto"/>
        <w:outlineLvl w:val="1"/>
        <w:rPr>
          <w:rFonts w:ascii="pplxSerif" w:eastAsia="Times New Roman" w:hAnsi="pplxSerif" w:cs="Times New Roman"/>
          <w:b/>
          <w:bCs/>
          <w:color w:val="27251E"/>
          <w:kern w:val="0"/>
          <w:sz w:val="36"/>
          <w:szCs w:val="36"/>
          <w:lang w:eastAsia="en-GB"/>
          <w14:ligatures w14:val="none"/>
        </w:rPr>
      </w:pPr>
      <w:r w:rsidRPr="006A1318">
        <w:rPr>
          <w:rFonts w:ascii="pplxSerif" w:eastAsia="Times New Roman" w:hAnsi="pplxSerif" w:cs="Times New Roman"/>
          <w:b/>
          <w:bCs/>
          <w:color w:val="27251E"/>
          <w:kern w:val="0"/>
          <w:sz w:val="36"/>
          <w:szCs w:val="36"/>
          <w:lang w:eastAsia="en-GB"/>
          <w14:ligatures w14:val="none"/>
        </w:rPr>
        <w:t>4.6 Internal Rate of Return (IRR)</w:t>
      </w:r>
    </w:p>
    <w:p w14:paraId="7AD6988F" w14:textId="77777777" w:rsidR="008516A6" w:rsidRPr="006A1318" w:rsidRDefault="008516A6" w:rsidP="008516A6">
      <w:p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6A1318">
        <w:rPr>
          <w:rFonts w:ascii="pplxSerif" w:eastAsia="Times New Roman" w:hAnsi="pplxSerif" w:cs="Times New Roman"/>
          <w:color w:val="27251E"/>
          <w:kern w:val="0"/>
          <w:lang w:eastAsia="en-GB"/>
          <w14:ligatures w14:val="none"/>
        </w:rPr>
        <w:t>The IRR is the discount rate at which NPV = 0. Using interpolation:</w:t>
      </w:r>
    </w:p>
    <w:p w14:paraId="15A79705" w14:textId="77777777" w:rsidR="008516A6" w:rsidRPr="006A1318" w:rsidRDefault="008516A6" w:rsidP="008516A6">
      <w:p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8516A6">
        <w:rPr>
          <w:rFonts w:ascii="Arial" w:eastAsia="Times New Roman" w:hAnsi="Arial" w:cs="Arial"/>
          <w:b/>
          <w:bCs/>
          <w:kern w:val="0"/>
          <w:lang w:eastAsia="en-GB"/>
          <w14:ligatures w14:val="none"/>
        </w:rPr>
        <w:lastRenderedPageBreak/>
        <w:t>Project A:</w:t>
      </w:r>
      <w:r w:rsidRPr="006A1318">
        <w:rPr>
          <w:rFonts w:ascii="pplxSerif" w:eastAsia="Times New Roman" w:hAnsi="pplxSerif" w:cs="Times New Roman"/>
          <w:color w:val="27251E"/>
          <w:kern w:val="0"/>
          <w:lang w:eastAsia="en-GB"/>
          <w14:ligatures w14:val="none"/>
        </w:rPr>
        <w:br/>
        <w:t>At 10%: NPV = −£8.69m; At 5%: NPV (approx.) = £54m × (4.329) − £50m = −£3.37m+</w:t>
      </w:r>
    </w:p>
    <w:p w14:paraId="5959520A" w14:textId="77777777" w:rsidR="008516A6" w:rsidRPr="006A1318" w:rsidRDefault="008516A6" w:rsidP="008516A6">
      <w:pPr>
        <w:numPr>
          <w:ilvl w:val="0"/>
          <w:numId w:val="9"/>
        </w:num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6A1318">
        <w:rPr>
          <w:rFonts w:ascii="pplxSerif" w:eastAsia="Times New Roman" w:hAnsi="pplxSerif" w:cs="Times New Roman"/>
          <w:color w:val="27251E"/>
          <w:kern w:val="0"/>
          <w:lang w:eastAsia="en-GB"/>
          <w14:ligatures w14:val="none"/>
        </w:rPr>
        <w:t>Interpolation: IRR ≈ 5% + [3.37</w:t>
      </w:r>
      <w:proofErr w:type="gramStart"/>
      <w:r w:rsidRPr="006A1318">
        <w:rPr>
          <w:rFonts w:ascii="pplxSerif" w:eastAsia="Times New Roman" w:hAnsi="pplxSerif" w:cs="Times New Roman"/>
          <w:color w:val="27251E"/>
          <w:kern w:val="0"/>
          <w:lang w:eastAsia="en-GB"/>
          <w14:ligatures w14:val="none"/>
        </w:rPr>
        <w:t>/(</w:t>
      </w:r>
      <w:proofErr w:type="gramEnd"/>
      <w:r w:rsidRPr="006A1318">
        <w:rPr>
          <w:rFonts w:ascii="pplxSerif" w:eastAsia="Times New Roman" w:hAnsi="pplxSerif" w:cs="Times New Roman"/>
          <w:color w:val="27251E"/>
          <w:kern w:val="0"/>
          <w:lang w:eastAsia="en-GB"/>
          <w14:ligatures w14:val="none"/>
        </w:rPr>
        <w:t>3.37+8.69)] × 5% ≈ </w:t>
      </w:r>
      <w:r w:rsidRPr="008516A6">
        <w:rPr>
          <w:rFonts w:ascii="pplxSerif" w:eastAsia="Times New Roman" w:hAnsi="pplxSerif" w:cs="Times New Roman"/>
          <w:color w:val="27251E"/>
          <w:kern w:val="0"/>
          <w:lang w:eastAsia="en-GB"/>
          <w14:ligatures w14:val="none"/>
        </w:rPr>
        <w:t>1.4%</w:t>
      </w:r>
      <w:r w:rsidRPr="006A1318">
        <w:rPr>
          <w:rFonts w:ascii="pplxSerif" w:eastAsia="Times New Roman" w:hAnsi="pplxSerif" w:cs="Times New Roman"/>
          <w:color w:val="27251E"/>
          <w:kern w:val="0"/>
          <w:lang w:eastAsia="en-GB"/>
          <w14:ligatures w14:val="none"/>
        </w:rPr>
        <w:t> (approximation indicating very low return)</w:t>
      </w:r>
    </w:p>
    <w:p w14:paraId="52AD1E73" w14:textId="77777777" w:rsidR="008516A6" w:rsidRPr="006A1318" w:rsidRDefault="008516A6" w:rsidP="008516A6">
      <w:p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8516A6">
        <w:rPr>
          <w:rFonts w:ascii="Arial" w:eastAsia="Times New Roman" w:hAnsi="Arial" w:cs="Arial"/>
          <w:b/>
          <w:bCs/>
          <w:kern w:val="0"/>
          <w:lang w:eastAsia="en-GB"/>
          <w14:ligatures w14:val="none"/>
        </w:rPr>
        <w:t>Project B:</w:t>
      </w:r>
      <w:r w:rsidRPr="006A1318">
        <w:rPr>
          <w:rFonts w:ascii="pplxSerif" w:eastAsia="Times New Roman" w:hAnsi="pplxSerif" w:cs="Times New Roman"/>
          <w:color w:val="27251E"/>
          <w:kern w:val="0"/>
          <w:lang w:eastAsia="en-GB"/>
          <w14:ligatures w14:val="none"/>
        </w:rPr>
        <w:br/>
        <w:t>At 10%: NPV = −£8.30m; At 5%: Total PV = £11m × 4.329 = £47.62m; NPV = −£2.38m</w:t>
      </w:r>
    </w:p>
    <w:p w14:paraId="5676134B" w14:textId="77777777" w:rsidR="008516A6" w:rsidRPr="006A1318" w:rsidRDefault="008516A6" w:rsidP="008516A6">
      <w:pPr>
        <w:numPr>
          <w:ilvl w:val="0"/>
          <w:numId w:val="10"/>
        </w:num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6A1318">
        <w:rPr>
          <w:rFonts w:ascii="pplxSerif" w:eastAsia="Times New Roman" w:hAnsi="pplxSerif" w:cs="Times New Roman"/>
          <w:color w:val="27251E"/>
          <w:kern w:val="0"/>
          <w:lang w:eastAsia="en-GB"/>
          <w14:ligatures w14:val="none"/>
        </w:rPr>
        <w:t>IRR ≈ 5% − [2.38</w:t>
      </w:r>
      <w:proofErr w:type="gramStart"/>
      <w:r w:rsidRPr="006A1318">
        <w:rPr>
          <w:rFonts w:ascii="pplxSerif" w:eastAsia="Times New Roman" w:hAnsi="pplxSerif" w:cs="Times New Roman"/>
          <w:color w:val="27251E"/>
          <w:kern w:val="0"/>
          <w:lang w:eastAsia="en-GB"/>
          <w14:ligatures w14:val="none"/>
        </w:rPr>
        <w:t>/(</w:t>
      </w:r>
      <w:proofErr w:type="gramEnd"/>
      <w:r w:rsidRPr="006A1318">
        <w:rPr>
          <w:rFonts w:ascii="pplxSerif" w:eastAsia="Times New Roman" w:hAnsi="pplxSerif" w:cs="Times New Roman"/>
          <w:color w:val="27251E"/>
          <w:kern w:val="0"/>
          <w:lang w:eastAsia="en-GB"/>
          <w14:ligatures w14:val="none"/>
        </w:rPr>
        <w:t>2.38+8.30)] × 5% = </w:t>
      </w:r>
      <w:r w:rsidRPr="008516A6">
        <w:rPr>
          <w:rFonts w:ascii="pplxSerif" w:eastAsia="Times New Roman" w:hAnsi="pplxSerif" w:cs="Times New Roman"/>
          <w:color w:val="27251E"/>
          <w:kern w:val="0"/>
          <w:lang w:eastAsia="en-GB"/>
          <w14:ligatures w14:val="none"/>
        </w:rPr>
        <w:t>3.9%</w:t>
      </w:r>
    </w:p>
    <w:p w14:paraId="0ACF0535" w14:textId="77777777" w:rsidR="008516A6" w:rsidRPr="006A1318" w:rsidRDefault="008516A6" w:rsidP="008516A6">
      <w:p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8516A6">
        <w:rPr>
          <w:rFonts w:ascii="Arial" w:eastAsia="Times New Roman" w:hAnsi="Arial" w:cs="Arial"/>
          <w:b/>
          <w:bCs/>
          <w:kern w:val="0"/>
          <w:lang w:eastAsia="en-GB"/>
          <w14:ligatures w14:val="none"/>
        </w:rPr>
        <w:t>Project C:</w:t>
      </w:r>
      <w:r w:rsidRPr="006A1318">
        <w:rPr>
          <w:rFonts w:ascii="pplxSerif" w:eastAsia="Times New Roman" w:hAnsi="pplxSerif" w:cs="Times New Roman"/>
          <w:color w:val="27251E"/>
          <w:kern w:val="0"/>
          <w:lang w:eastAsia="en-GB"/>
          <w14:ligatures w14:val="none"/>
        </w:rPr>
        <w:br/>
        <w:t>At 10%: NPV = −£1.98m; At 8%: Discount factors (0.926, 0.857, 0.794, 0.735, 0.681):</w:t>
      </w:r>
    </w:p>
    <w:p w14:paraId="43077761" w14:textId="77777777" w:rsidR="008516A6" w:rsidRPr="006A1318" w:rsidRDefault="008516A6" w:rsidP="008516A6">
      <w:pPr>
        <w:numPr>
          <w:ilvl w:val="0"/>
          <w:numId w:val="11"/>
        </w:num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6A1318">
        <w:rPr>
          <w:rFonts w:ascii="pplxSerif" w:eastAsia="Times New Roman" w:hAnsi="pplxSerif" w:cs="Times New Roman"/>
          <w:color w:val="27251E"/>
          <w:kern w:val="0"/>
          <w:lang w:eastAsia="en-GB"/>
          <w14:ligatures w14:val="none"/>
        </w:rPr>
        <w:t>PV = 4.63 + 8.57 + 15.88 + 18.38 + 3.41 = £50.87m; NPV at 8% = +£0.87m</w:t>
      </w:r>
    </w:p>
    <w:p w14:paraId="107B95C3" w14:textId="77777777" w:rsidR="008516A6" w:rsidRPr="006A1318" w:rsidRDefault="008516A6" w:rsidP="008516A6">
      <w:pPr>
        <w:numPr>
          <w:ilvl w:val="0"/>
          <w:numId w:val="11"/>
        </w:num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6A1318">
        <w:rPr>
          <w:rFonts w:ascii="pplxSerif" w:eastAsia="Times New Roman" w:hAnsi="pplxSerif" w:cs="Times New Roman"/>
          <w:color w:val="27251E"/>
          <w:kern w:val="0"/>
          <w:lang w:eastAsia="en-GB"/>
          <w14:ligatures w14:val="none"/>
        </w:rPr>
        <w:t>IRR ≈ 8% + [0.87</w:t>
      </w:r>
      <w:proofErr w:type="gramStart"/>
      <w:r w:rsidRPr="006A1318">
        <w:rPr>
          <w:rFonts w:ascii="pplxSerif" w:eastAsia="Times New Roman" w:hAnsi="pplxSerif" w:cs="Times New Roman"/>
          <w:color w:val="27251E"/>
          <w:kern w:val="0"/>
          <w:lang w:eastAsia="en-GB"/>
          <w14:ligatures w14:val="none"/>
        </w:rPr>
        <w:t>/(</w:t>
      </w:r>
      <w:proofErr w:type="gramEnd"/>
      <w:r w:rsidRPr="006A1318">
        <w:rPr>
          <w:rFonts w:ascii="pplxSerif" w:eastAsia="Times New Roman" w:hAnsi="pplxSerif" w:cs="Times New Roman"/>
          <w:color w:val="27251E"/>
          <w:kern w:val="0"/>
          <w:lang w:eastAsia="en-GB"/>
          <w14:ligatures w14:val="none"/>
        </w:rPr>
        <w:t>0.87+1.98)] × 2% ≈ </w:t>
      </w:r>
      <w:r w:rsidRPr="008516A6">
        <w:rPr>
          <w:rFonts w:ascii="pplxSerif" w:eastAsia="Times New Roman" w:hAnsi="pplxSerif" w:cs="Times New Roman"/>
          <w:color w:val="27251E"/>
          <w:kern w:val="0"/>
          <w:lang w:eastAsia="en-GB"/>
          <w14:ligatures w14:val="none"/>
        </w:rPr>
        <w:t>8.6%</w:t>
      </w:r>
    </w:p>
    <w:p w14:paraId="702D254A" w14:textId="77777777" w:rsidR="008516A6" w:rsidRPr="008516A6" w:rsidRDefault="008516A6" w:rsidP="008516A6">
      <w:pPr>
        <w:shd w:val="clear" w:color="auto" w:fill="FDFBFA"/>
        <w:spacing w:before="100" w:beforeAutospacing="1" w:after="100" w:afterAutospacing="1" w:line="240" w:lineRule="auto"/>
        <w:rPr>
          <w:rFonts w:ascii="Arial" w:eastAsia="Times New Roman" w:hAnsi="Arial" w:cs="Arial"/>
          <w:b/>
          <w:bCs/>
          <w:kern w:val="0"/>
          <w:lang w:eastAsia="en-GB"/>
          <w14:ligatures w14:val="none"/>
        </w:rPr>
      </w:pPr>
      <w:r w:rsidRPr="008516A6">
        <w:rPr>
          <w:rFonts w:ascii="Arial" w:eastAsia="Times New Roman" w:hAnsi="Arial" w:cs="Arial"/>
          <w:b/>
          <w:bCs/>
          <w:kern w:val="0"/>
          <w:lang w:eastAsia="en-GB"/>
          <w14:ligatures w14:val="none"/>
        </w:rPr>
        <w:t>IRR Ranking: C (8.6%) &gt; B (3.9%) &gt; A (1.4%)</w:t>
      </w:r>
    </w:p>
    <w:p w14:paraId="0EFC84B7" w14:textId="77777777" w:rsidR="008516A6" w:rsidRPr="006A1318" w:rsidRDefault="008516A6" w:rsidP="008516A6">
      <w:pPr>
        <w:shd w:val="clear" w:color="auto" w:fill="FDFBFA"/>
        <w:spacing w:before="100" w:beforeAutospacing="1" w:after="100" w:afterAutospacing="1" w:line="240" w:lineRule="auto"/>
        <w:outlineLvl w:val="1"/>
        <w:rPr>
          <w:rFonts w:ascii="pplxSerif" w:eastAsia="Times New Roman" w:hAnsi="pplxSerif" w:cs="Times New Roman"/>
          <w:b/>
          <w:bCs/>
          <w:color w:val="27251E"/>
          <w:kern w:val="0"/>
          <w:sz w:val="36"/>
          <w:szCs w:val="36"/>
          <w:lang w:eastAsia="en-GB"/>
          <w14:ligatures w14:val="none"/>
        </w:rPr>
      </w:pPr>
      <w:r w:rsidRPr="006A1318">
        <w:rPr>
          <w:rFonts w:ascii="pplxSerif" w:eastAsia="Times New Roman" w:hAnsi="pplxSerif" w:cs="Times New Roman"/>
          <w:b/>
          <w:bCs/>
          <w:color w:val="27251E"/>
          <w:kern w:val="0"/>
          <w:sz w:val="36"/>
          <w:szCs w:val="36"/>
          <w:lang w:eastAsia="en-GB"/>
          <w14:ligatures w14:val="none"/>
        </w:rPr>
        <w:t>4.7 Summary of Appraisal Methods</w:t>
      </w:r>
    </w:p>
    <w:tbl>
      <w:tblPr>
        <w:tblW w:w="5000" w:type="pct"/>
        <w:tblCellMar>
          <w:top w:w="15" w:type="dxa"/>
          <w:left w:w="15" w:type="dxa"/>
          <w:bottom w:w="15" w:type="dxa"/>
          <w:right w:w="15" w:type="dxa"/>
        </w:tblCellMar>
        <w:tblLook w:val="04A0" w:firstRow="1" w:lastRow="0" w:firstColumn="1" w:lastColumn="0" w:noHBand="0" w:noVBand="1"/>
      </w:tblPr>
      <w:tblGrid>
        <w:gridCol w:w="1490"/>
        <w:gridCol w:w="1762"/>
        <w:gridCol w:w="1762"/>
        <w:gridCol w:w="1762"/>
        <w:gridCol w:w="2234"/>
      </w:tblGrid>
      <w:tr w:rsidR="008516A6" w:rsidRPr="006A1318" w14:paraId="69D66B71" w14:textId="77777777" w:rsidTr="00AE2C18">
        <w:trPr>
          <w:tblHeader/>
        </w:trPr>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087C2B7D" w14:textId="77777777" w:rsidR="008516A6" w:rsidRPr="006A1318" w:rsidRDefault="008516A6"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Method</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1E9D0712" w14:textId="77777777" w:rsidR="008516A6" w:rsidRPr="006A1318" w:rsidRDefault="008516A6"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Project A</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0924FAE9" w14:textId="77777777" w:rsidR="008516A6" w:rsidRPr="006A1318" w:rsidRDefault="008516A6"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Project B</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6ABA670D" w14:textId="77777777" w:rsidR="008516A6" w:rsidRPr="006A1318" w:rsidRDefault="008516A6"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Project C</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0C105696" w14:textId="77777777" w:rsidR="008516A6" w:rsidRPr="006A1318" w:rsidRDefault="008516A6"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Best Project</w:t>
            </w:r>
          </w:p>
        </w:tc>
      </w:tr>
      <w:tr w:rsidR="008516A6" w:rsidRPr="006A1318" w14:paraId="13C3D263"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1E4BBAB" w14:textId="77777777" w:rsidR="008516A6" w:rsidRPr="006A1318" w:rsidRDefault="008516A6"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PBP</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F00855C" w14:textId="77777777" w:rsidR="008516A6" w:rsidRPr="006A1318" w:rsidRDefault="008516A6"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4.50 yrs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208E606" w14:textId="77777777" w:rsidR="008516A6" w:rsidRPr="006A1318" w:rsidRDefault="008516A6"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4.55 yrs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A6D5895" w14:textId="77777777" w:rsidR="008516A6" w:rsidRPr="006A1318" w:rsidRDefault="008516A6"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3.60 yrs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FEC3541" w14:textId="77777777" w:rsidR="008516A6" w:rsidRPr="006A1318" w:rsidRDefault="008516A6"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b/>
                <w:bCs/>
                <w:kern w:val="0"/>
                <w:lang w:eastAsia="en-GB"/>
                <w14:ligatures w14:val="none"/>
              </w:rPr>
              <w:t>C</w:t>
            </w:r>
          </w:p>
        </w:tc>
      </w:tr>
      <w:tr w:rsidR="008516A6" w:rsidRPr="006A1318" w14:paraId="2C849F10"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A6AD649" w14:textId="77777777" w:rsidR="008516A6" w:rsidRPr="006A1318" w:rsidRDefault="008516A6"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ARR</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FABA2CF" w14:textId="77777777" w:rsidR="008516A6" w:rsidRPr="006A1318" w:rsidRDefault="008516A6"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3.2%</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691B572" w14:textId="77777777" w:rsidR="008516A6" w:rsidRPr="006A1318" w:rsidRDefault="008516A6"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4.0%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EEA8C84" w14:textId="77777777" w:rsidR="008516A6" w:rsidRPr="006A1318" w:rsidRDefault="008516A6"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12.0%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71D5CFA" w14:textId="77777777" w:rsidR="008516A6" w:rsidRPr="006A1318" w:rsidRDefault="008516A6"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b/>
                <w:bCs/>
                <w:kern w:val="0"/>
                <w:lang w:eastAsia="en-GB"/>
                <w14:ligatures w14:val="none"/>
              </w:rPr>
              <w:t>C</w:t>
            </w:r>
          </w:p>
        </w:tc>
      </w:tr>
      <w:tr w:rsidR="008516A6" w:rsidRPr="006A1318" w14:paraId="24DB47BE"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6D70426" w14:textId="77777777" w:rsidR="008516A6" w:rsidRPr="006A1318" w:rsidRDefault="008516A6"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NPV</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1C70FC1" w14:textId="77777777" w:rsidR="008516A6" w:rsidRPr="006A1318" w:rsidRDefault="008516A6"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−£8.69m</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CB432CF" w14:textId="77777777" w:rsidR="008516A6" w:rsidRPr="006A1318" w:rsidRDefault="008516A6"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−£8.30m</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80E04EA" w14:textId="77777777" w:rsidR="008516A6" w:rsidRPr="006A1318" w:rsidRDefault="008516A6"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−£1.98m</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CDF7D6A" w14:textId="77777777" w:rsidR="008516A6" w:rsidRPr="006A1318" w:rsidRDefault="008516A6"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b/>
                <w:bCs/>
                <w:kern w:val="0"/>
                <w:lang w:eastAsia="en-GB"/>
                <w14:ligatures w14:val="none"/>
              </w:rPr>
              <w:t>C</w:t>
            </w:r>
          </w:p>
        </w:tc>
      </w:tr>
      <w:tr w:rsidR="008516A6" w:rsidRPr="006A1318" w14:paraId="550384E8"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B5BFDA6" w14:textId="77777777" w:rsidR="008516A6" w:rsidRPr="006A1318" w:rsidRDefault="008516A6"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PI</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31E7091" w14:textId="77777777" w:rsidR="008516A6" w:rsidRPr="006A1318" w:rsidRDefault="008516A6"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0.826</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1D14B69" w14:textId="77777777" w:rsidR="008516A6" w:rsidRPr="006A1318" w:rsidRDefault="008516A6"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0.834</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546C1B9" w14:textId="77777777" w:rsidR="008516A6" w:rsidRPr="006A1318" w:rsidRDefault="008516A6"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0.960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682DA75" w14:textId="77777777" w:rsidR="008516A6" w:rsidRPr="006A1318" w:rsidRDefault="008516A6"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b/>
                <w:bCs/>
                <w:kern w:val="0"/>
                <w:lang w:eastAsia="en-GB"/>
                <w14:ligatures w14:val="none"/>
              </w:rPr>
              <w:t>C</w:t>
            </w:r>
          </w:p>
        </w:tc>
      </w:tr>
      <w:tr w:rsidR="008516A6" w:rsidRPr="006A1318" w14:paraId="472A6174"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30EA049" w14:textId="77777777" w:rsidR="008516A6" w:rsidRPr="006A1318" w:rsidRDefault="008516A6"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IRR</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327C87D" w14:textId="77777777" w:rsidR="008516A6" w:rsidRPr="006A1318" w:rsidRDefault="008516A6"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1.4%</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843578E" w14:textId="77777777" w:rsidR="008516A6" w:rsidRPr="006A1318" w:rsidRDefault="008516A6"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3.9%</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A829B89" w14:textId="77777777" w:rsidR="008516A6" w:rsidRPr="006A1318" w:rsidRDefault="008516A6"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8.6%</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F958C0C" w14:textId="77777777" w:rsidR="008516A6" w:rsidRPr="006A1318" w:rsidRDefault="008516A6"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b/>
                <w:bCs/>
                <w:kern w:val="0"/>
                <w:lang w:eastAsia="en-GB"/>
                <w14:ligatures w14:val="none"/>
              </w:rPr>
              <w:t>C</w:t>
            </w:r>
          </w:p>
        </w:tc>
      </w:tr>
    </w:tbl>
    <w:p w14:paraId="3FE988B7" w14:textId="77777777" w:rsidR="008516A6" w:rsidRPr="008516A6" w:rsidRDefault="008516A6" w:rsidP="008516A6">
      <w:pPr>
        <w:shd w:val="clear" w:color="auto" w:fill="FDFBFA"/>
        <w:spacing w:before="100" w:beforeAutospacing="1" w:after="100" w:afterAutospacing="1" w:line="240" w:lineRule="auto"/>
        <w:rPr>
          <w:rFonts w:ascii="Arial" w:eastAsia="Times New Roman" w:hAnsi="Arial" w:cs="Arial"/>
          <w:b/>
          <w:bCs/>
          <w:kern w:val="0"/>
          <w:lang w:eastAsia="en-GB"/>
          <w14:ligatures w14:val="none"/>
        </w:rPr>
      </w:pPr>
      <w:r w:rsidRPr="008516A6">
        <w:rPr>
          <w:rFonts w:ascii="Arial" w:eastAsia="Times New Roman" w:hAnsi="Arial" w:cs="Arial"/>
          <w:b/>
          <w:bCs/>
          <w:kern w:val="0"/>
          <w:lang w:eastAsia="en-GB"/>
          <w14:ligatures w14:val="none"/>
        </w:rPr>
        <w:t>Unanimous recommendation: Project C is the superior investment across all five appraisal techniques.</w:t>
      </w:r>
    </w:p>
    <w:p w14:paraId="7D2EABB2" w14:textId="77777777" w:rsidR="008516A6" w:rsidRPr="006A1318" w:rsidRDefault="008516A6" w:rsidP="008516A6">
      <w:pPr>
        <w:shd w:val="clear" w:color="auto" w:fill="FDFBFA"/>
        <w:spacing w:before="100" w:beforeAutospacing="1" w:after="100" w:afterAutospacing="1" w:line="240" w:lineRule="auto"/>
        <w:outlineLvl w:val="1"/>
        <w:rPr>
          <w:rFonts w:ascii="pplxSerif" w:eastAsia="Times New Roman" w:hAnsi="pplxSerif" w:cs="Times New Roman"/>
          <w:b/>
          <w:bCs/>
          <w:color w:val="27251E"/>
          <w:kern w:val="0"/>
          <w:sz w:val="36"/>
          <w:szCs w:val="36"/>
          <w:lang w:eastAsia="en-GB"/>
          <w14:ligatures w14:val="none"/>
        </w:rPr>
      </w:pPr>
      <w:r w:rsidRPr="006A1318">
        <w:rPr>
          <w:rFonts w:ascii="pplxSerif" w:eastAsia="Times New Roman" w:hAnsi="pplxSerif" w:cs="Times New Roman"/>
          <w:b/>
          <w:bCs/>
          <w:color w:val="27251E"/>
          <w:kern w:val="0"/>
          <w:sz w:val="36"/>
          <w:szCs w:val="36"/>
          <w:lang w:eastAsia="en-GB"/>
          <w14:ligatures w14:val="none"/>
        </w:rPr>
        <w:t>4.8 Project Recommendation and Justification</w:t>
      </w:r>
    </w:p>
    <w:p w14:paraId="4960246E" w14:textId="48F29826" w:rsidR="00E131A5" w:rsidRPr="00E131A5" w:rsidRDefault="008516A6" w:rsidP="00E131A5">
      <w:pPr>
        <w:shd w:val="clear" w:color="auto" w:fill="FDFBFA"/>
        <w:spacing w:before="100" w:beforeAutospacing="1" w:after="100" w:afterAutospacing="1" w:line="240" w:lineRule="auto"/>
        <w:rPr>
          <w:rFonts w:ascii="Arial" w:eastAsia="Times New Roman" w:hAnsi="Arial" w:cs="Arial"/>
          <w:lang w:eastAsia="en-GB"/>
        </w:rPr>
      </w:pPr>
      <w:r w:rsidRPr="008516A6">
        <w:rPr>
          <w:rFonts w:ascii="Arial" w:eastAsia="Times New Roman" w:hAnsi="Arial" w:cs="Arial"/>
          <w:b/>
          <w:bCs/>
          <w:kern w:val="0"/>
          <w:lang w:eastAsia="en-GB"/>
          <w14:ligatures w14:val="none"/>
        </w:rPr>
        <w:t>Project C is recommended</w:t>
      </w:r>
      <w:r w:rsidRPr="008516A6">
        <w:rPr>
          <w:rFonts w:ascii="pplxSerif" w:eastAsia="Times New Roman" w:hAnsi="pplxSerif" w:cs="Times New Roman"/>
          <w:b/>
          <w:bCs/>
          <w:color w:val="27251E"/>
          <w:kern w:val="0"/>
          <w:lang w:eastAsia="en-GB"/>
          <w14:ligatures w14:val="none"/>
        </w:rPr>
        <w:t> for the following reasons:</w:t>
      </w:r>
      <w:r w:rsidR="00E131A5">
        <w:rPr>
          <w:rFonts w:ascii="pplxSerif" w:eastAsia="Times New Roman" w:hAnsi="pplxSerif" w:cs="Times New Roman"/>
          <w:b/>
          <w:bCs/>
          <w:color w:val="27251E"/>
          <w:kern w:val="0"/>
          <w:lang w:eastAsia="en-GB"/>
          <w14:ligatures w14:val="none"/>
        </w:rPr>
        <w:br/>
      </w:r>
      <w:r w:rsidR="00E131A5">
        <w:rPr>
          <w:rFonts w:ascii="pplxSerif" w:eastAsia="Times New Roman" w:hAnsi="pplxSerif" w:cs="Times New Roman"/>
          <w:b/>
          <w:bCs/>
          <w:color w:val="27251E"/>
          <w:kern w:val="0"/>
          <w:lang w:eastAsia="en-GB"/>
          <w14:ligatures w14:val="none"/>
        </w:rPr>
        <w:br/>
      </w:r>
      <w:r w:rsidR="00E131A5" w:rsidRPr="00E131A5">
        <w:rPr>
          <w:rFonts w:ascii="Arial" w:eastAsia="Times New Roman" w:hAnsi="Arial" w:cs="Arial"/>
          <w:lang w:eastAsia="en-GB"/>
        </w:rPr>
        <w:t>1.Minimal payback period (3.6 years) - especially applicable considering the cash flow constraints faced by Ford in the short term because of EV losses and the possible tariff effects. An increased rate of capital repatriation enhances liquidity strength.</w:t>
      </w:r>
    </w:p>
    <w:p w14:paraId="08627B43" w14:textId="57969568" w:rsidR="00E131A5" w:rsidRPr="00E131A5" w:rsidRDefault="00E131A5" w:rsidP="00E131A5">
      <w:pPr>
        <w:shd w:val="clear" w:color="auto" w:fill="FDFBFA"/>
        <w:spacing w:before="100" w:beforeAutospacing="1" w:after="100" w:afterAutospacing="1" w:line="240" w:lineRule="auto"/>
        <w:rPr>
          <w:rFonts w:ascii="Arial" w:eastAsia="Times New Roman" w:hAnsi="Arial" w:cs="Arial"/>
          <w:lang w:eastAsia="en-GB"/>
        </w:rPr>
      </w:pPr>
      <w:r w:rsidRPr="00E131A5">
        <w:rPr>
          <w:rFonts w:ascii="Arial" w:eastAsia="Times New Roman" w:hAnsi="Arial" w:cs="Arial"/>
          <w:lang w:eastAsia="en-GB"/>
        </w:rPr>
        <w:t>2.Highest ARR (12.0) - higher than the WACC of 10-11 estimated by Ford, so it is the only project that can potentially generate value in case of synergies realised or discount rate changed.</w:t>
      </w:r>
    </w:p>
    <w:p w14:paraId="451F7103" w14:textId="4A9880EB" w:rsidR="00E131A5" w:rsidRPr="00E131A5" w:rsidRDefault="00E131A5" w:rsidP="00E131A5">
      <w:pPr>
        <w:shd w:val="clear" w:color="auto" w:fill="FDFBFA"/>
        <w:spacing w:before="100" w:beforeAutospacing="1" w:after="100" w:afterAutospacing="1" w:line="240" w:lineRule="auto"/>
        <w:rPr>
          <w:rFonts w:ascii="Arial" w:eastAsia="Times New Roman" w:hAnsi="Arial" w:cs="Arial"/>
          <w:lang w:eastAsia="en-GB"/>
        </w:rPr>
      </w:pPr>
      <w:r w:rsidRPr="00E131A5">
        <w:rPr>
          <w:rFonts w:ascii="Arial" w:eastAsia="Times New Roman" w:hAnsi="Arial" w:cs="Arial"/>
          <w:lang w:eastAsia="en-GB"/>
        </w:rPr>
        <w:lastRenderedPageBreak/>
        <w:t>3.Minimum negative NPV and maximum PI - Project C is the least depreciated in terms of the present value; at a slightly lower discount rate (say 8 percent), the project will have a positive NPV.</w:t>
      </w:r>
    </w:p>
    <w:p w14:paraId="623F585B" w14:textId="0E7F742C" w:rsidR="00E131A5" w:rsidRPr="00E131A5" w:rsidRDefault="00E131A5" w:rsidP="00E131A5">
      <w:pPr>
        <w:shd w:val="clear" w:color="auto" w:fill="FDFBFA"/>
        <w:spacing w:before="100" w:beforeAutospacing="1" w:after="100" w:afterAutospacing="1" w:line="240" w:lineRule="auto"/>
        <w:rPr>
          <w:rFonts w:ascii="Arial" w:eastAsia="Times New Roman" w:hAnsi="Arial" w:cs="Arial"/>
          <w:lang w:eastAsia="en-GB"/>
        </w:rPr>
      </w:pPr>
      <w:r w:rsidRPr="00E131A5">
        <w:rPr>
          <w:rFonts w:ascii="Arial" w:eastAsia="Times New Roman" w:hAnsi="Arial" w:cs="Arial"/>
          <w:lang w:eastAsia="en-GB"/>
        </w:rPr>
        <w:t>4.IRR of 8.6% - nearest to the hurdle rate of all three choices; minor changes in cash flow assumptions (e.g., operational efficiencies, government EV incentives) can take the IRR over 10.</w:t>
      </w:r>
    </w:p>
    <w:p w14:paraId="332D73DA" w14:textId="77777777" w:rsidR="00E131A5" w:rsidRPr="00E131A5" w:rsidRDefault="00E131A5" w:rsidP="00E131A5">
      <w:pPr>
        <w:shd w:val="clear" w:color="auto" w:fill="FDFBFA"/>
        <w:spacing w:before="100" w:beforeAutospacing="1" w:after="100" w:afterAutospacing="1" w:line="240" w:lineRule="auto"/>
        <w:rPr>
          <w:rFonts w:ascii="Arial" w:eastAsia="Times New Roman" w:hAnsi="Arial" w:cs="Arial"/>
          <w:lang w:eastAsia="en-GB"/>
        </w:rPr>
      </w:pPr>
      <w:r w:rsidRPr="00E131A5">
        <w:rPr>
          <w:rFonts w:ascii="Arial" w:eastAsia="Times New Roman" w:hAnsi="Arial" w:cs="Arial"/>
          <w:lang w:eastAsia="en-GB"/>
        </w:rPr>
        <w:t>Project C (large inflows in Years 34) fits the growth trajectory of the Project C well as the commercial vehicle services revenue is projected to increase with subscription penetration, which will give a natural cash flow fit.</w:t>
      </w:r>
    </w:p>
    <w:p w14:paraId="09257FD1" w14:textId="1DC3CD03" w:rsidR="008516A6" w:rsidRPr="00E131A5" w:rsidRDefault="00E131A5" w:rsidP="00E131A5">
      <w:pPr>
        <w:shd w:val="clear" w:color="auto" w:fill="FDFBFA"/>
        <w:spacing w:before="100" w:beforeAutospacing="1" w:after="100" w:afterAutospacing="1" w:line="240" w:lineRule="auto"/>
        <w:rPr>
          <w:rFonts w:ascii="pplxSerif" w:eastAsia="Times New Roman" w:hAnsi="pplxSerif" w:cs="Times New Roman"/>
          <w:b/>
          <w:bCs/>
          <w:color w:val="27251E"/>
          <w:kern w:val="0"/>
          <w:lang w:eastAsia="en-GB"/>
          <w14:ligatures w14:val="none"/>
        </w:rPr>
      </w:pPr>
      <w:r w:rsidRPr="00E131A5">
        <w:rPr>
          <w:rFonts w:ascii="Arial" w:eastAsia="Times New Roman" w:hAnsi="Arial" w:cs="Arial"/>
          <w:lang w:eastAsia="en-GB"/>
        </w:rPr>
        <w:t>Non-financial risk factors: The cash flows of the project C in Years 1-2 are low, which is risky in case of the worsening of macroeconomic conditions (e.g., recession, credit tightening). Nevertheless, the cash position of Ford of $22.9 billion and availability of undrawn revolving credit facilities of 14.9 billion gives sufficient buffer to cover the deficit in the initial years. Political risk - especially escalation of tariffs would impact most negatively on Projects A and B, which have a greater cashflow dependence on cross-border supply chains in the short term. The level of demand stability is achieved by customer loyalty and the strength of the Ford Pro commercial brand, which is not seen in more cyclical consumer-facing segments.</w:t>
      </w:r>
      <w:r>
        <w:rPr>
          <w:rFonts w:ascii="Arial" w:eastAsia="Times New Roman" w:hAnsi="Arial" w:cs="Arial"/>
          <w:lang w:eastAsia="en-GB"/>
        </w:rPr>
        <w:br/>
      </w:r>
      <w:r w:rsidR="008516A6" w:rsidRPr="00E131A5">
        <w:rPr>
          <w:rFonts w:ascii="Arial" w:eastAsia="Times New Roman" w:hAnsi="Arial" w:cs="Arial"/>
          <w:lang w:eastAsia="en-GB"/>
        </w:rPr>
        <w:br/>
      </w:r>
      <w:r w:rsidR="008516A6" w:rsidRPr="006A1318">
        <w:rPr>
          <w:rFonts w:ascii="pplxSerif" w:eastAsia="Times New Roman" w:hAnsi="pplxSerif" w:cs="Times New Roman"/>
          <w:b/>
          <w:bCs/>
          <w:color w:val="27251E"/>
          <w:kern w:val="0"/>
          <w:sz w:val="36"/>
          <w:szCs w:val="36"/>
          <w:lang w:eastAsia="en-GB"/>
          <w14:ligatures w14:val="none"/>
        </w:rPr>
        <w:t>4.9 Capital Rationing: Best Combination up to £100 Million</w:t>
      </w:r>
    </w:p>
    <w:p w14:paraId="50639924" w14:textId="77777777" w:rsidR="008516A6" w:rsidRPr="006A1318" w:rsidRDefault="008516A6" w:rsidP="008516A6">
      <w:p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6A1318">
        <w:rPr>
          <w:rFonts w:ascii="pplxSerif" w:eastAsia="Times New Roman" w:hAnsi="pplxSerif" w:cs="Times New Roman"/>
          <w:color w:val="27251E"/>
          <w:kern w:val="0"/>
          <w:lang w:eastAsia="en-GB"/>
          <w14:ligatures w14:val="none"/>
        </w:rPr>
        <w:t>With a maximum budget of £100 million and each project requiring £50 million:</w:t>
      </w:r>
    </w:p>
    <w:tbl>
      <w:tblPr>
        <w:tblW w:w="5000" w:type="pct"/>
        <w:tblCellMar>
          <w:top w:w="15" w:type="dxa"/>
          <w:left w:w="15" w:type="dxa"/>
          <w:bottom w:w="15" w:type="dxa"/>
          <w:right w:w="15" w:type="dxa"/>
        </w:tblCellMar>
        <w:tblLook w:val="04A0" w:firstRow="1" w:lastRow="0" w:firstColumn="1" w:lastColumn="0" w:noHBand="0" w:noVBand="1"/>
      </w:tblPr>
      <w:tblGrid>
        <w:gridCol w:w="2192"/>
        <w:gridCol w:w="1526"/>
        <w:gridCol w:w="2757"/>
        <w:gridCol w:w="2535"/>
      </w:tblGrid>
      <w:tr w:rsidR="008516A6" w:rsidRPr="006A1318" w14:paraId="220248FC" w14:textId="77777777" w:rsidTr="00AE2C18">
        <w:trPr>
          <w:tblHeader/>
        </w:trPr>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17F6E2D5" w14:textId="77777777" w:rsidR="008516A6" w:rsidRPr="006A1318" w:rsidRDefault="008516A6"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Combination</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7568B64E" w14:textId="77777777" w:rsidR="008516A6" w:rsidRPr="006A1318" w:rsidRDefault="008516A6"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Projects</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4D26BFA1" w14:textId="77777777" w:rsidR="008516A6" w:rsidRPr="006A1318" w:rsidRDefault="008516A6"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Total Investment</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62924F8A" w14:textId="77777777" w:rsidR="008516A6" w:rsidRPr="006A1318" w:rsidRDefault="008516A6" w:rsidP="00AE2C18">
            <w:pPr>
              <w:spacing w:after="0" w:line="240" w:lineRule="auto"/>
              <w:rPr>
                <w:rFonts w:ascii="Arial" w:eastAsia="Times New Roman" w:hAnsi="Arial" w:cs="Arial"/>
                <w:b/>
                <w:bCs/>
                <w:kern w:val="0"/>
                <w:lang w:eastAsia="en-GB"/>
                <w14:ligatures w14:val="none"/>
              </w:rPr>
            </w:pPr>
            <w:r w:rsidRPr="006A1318">
              <w:rPr>
                <w:rFonts w:ascii="Arial" w:eastAsia="Times New Roman" w:hAnsi="Arial" w:cs="Arial"/>
                <w:b/>
                <w:bCs/>
                <w:kern w:val="0"/>
                <w:lang w:eastAsia="en-GB"/>
                <w14:ligatures w14:val="none"/>
              </w:rPr>
              <w:t>Combined NPV</w:t>
            </w:r>
          </w:p>
        </w:tc>
      </w:tr>
      <w:tr w:rsidR="008516A6" w:rsidRPr="006A1318" w14:paraId="2DAC4908"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CB6BBF2" w14:textId="77777777" w:rsidR="008516A6" w:rsidRPr="006A1318" w:rsidRDefault="008516A6"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A + B</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95508EF" w14:textId="77777777" w:rsidR="008516A6" w:rsidRPr="006A1318" w:rsidRDefault="008516A6"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A and B</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E448061" w14:textId="77777777" w:rsidR="008516A6" w:rsidRPr="006A1318" w:rsidRDefault="008516A6"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£100m</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4FDF4FC" w14:textId="77777777" w:rsidR="008516A6" w:rsidRPr="006A1318" w:rsidRDefault="008516A6"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−£16.99m</w:t>
            </w:r>
          </w:p>
        </w:tc>
      </w:tr>
      <w:tr w:rsidR="008516A6" w:rsidRPr="006A1318" w14:paraId="12E1DA1E"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57A7772" w14:textId="77777777" w:rsidR="008516A6" w:rsidRPr="006A1318" w:rsidRDefault="008516A6"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A + C</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6452B75" w14:textId="77777777" w:rsidR="008516A6" w:rsidRPr="006A1318" w:rsidRDefault="008516A6"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A and C</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6A0CF38" w14:textId="77777777" w:rsidR="008516A6" w:rsidRPr="006A1318" w:rsidRDefault="008516A6"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£100m</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23A552A" w14:textId="77777777" w:rsidR="008516A6" w:rsidRPr="006A1318" w:rsidRDefault="008516A6"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−£10.67m</w:t>
            </w:r>
          </w:p>
        </w:tc>
      </w:tr>
      <w:tr w:rsidR="008516A6" w:rsidRPr="006A1318" w14:paraId="33632436" w14:textId="77777777" w:rsidTr="00AE2C1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D796AAB" w14:textId="77777777" w:rsidR="008516A6" w:rsidRPr="006A1318" w:rsidRDefault="008516A6"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B + C</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5FE14B0" w14:textId="77777777" w:rsidR="008516A6" w:rsidRPr="006A1318" w:rsidRDefault="008516A6"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B and C</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F6C736F" w14:textId="77777777" w:rsidR="008516A6" w:rsidRPr="006A1318" w:rsidRDefault="008516A6"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£100m</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E955ED0" w14:textId="77777777" w:rsidR="008516A6" w:rsidRPr="006A1318" w:rsidRDefault="008516A6" w:rsidP="00AE2C18">
            <w:pPr>
              <w:spacing w:after="0" w:line="240" w:lineRule="auto"/>
              <w:rPr>
                <w:rFonts w:ascii="Arial" w:eastAsia="Times New Roman" w:hAnsi="Arial" w:cs="Arial"/>
                <w:kern w:val="0"/>
                <w:lang w:eastAsia="en-GB"/>
                <w14:ligatures w14:val="none"/>
              </w:rPr>
            </w:pPr>
            <w:r w:rsidRPr="006A1318">
              <w:rPr>
                <w:rFonts w:ascii="Arial" w:eastAsia="Times New Roman" w:hAnsi="Arial" w:cs="Arial"/>
                <w:kern w:val="0"/>
                <w:lang w:eastAsia="en-GB"/>
                <w14:ligatures w14:val="none"/>
              </w:rPr>
              <w:t>−£10.28m</w:t>
            </w:r>
          </w:p>
        </w:tc>
      </w:tr>
    </w:tbl>
    <w:p w14:paraId="1506FC79" w14:textId="77777777" w:rsidR="00E131A5" w:rsidRDefault="00E131A5" w:rsidP="00E131A5">
      <w:pPr>
        <w:shd w:val="clear" w:color="auto" w:fill="FDFBFA"/>
        <w:spacing w:before="100" w:beforeAutospacing="1" w:after="100" w:afterAutospacing="1" w:line="240" w:lineRule="auto"/>
        <w:outlineLvl w:val="1"/>
        <w:rPr>
          <w:rFonts w:ascii="Arial" w:eastAsia="Times New Roman" w:hAnsi="Arial" w:cs="Arial"/>
          <w:b/>
          <w:bCs/>
          <w:lang w:eastAsia="en-GB"/>
        </w:rPr>
      </w:pPr>
      <w:r w:rsidRPr="00E131A5">
        <w:rPr>
          <w:rFonts w:ascii="Arial" w:eastAsia="Times New Roman" w:hAnsi="Arial" w:cs="Arial"/>
          <w:lang w:eastAsia="en-GB"/>
        </w:rPr>
        <w:t>Most optimal combination: Projects B + C with a combined NPV of -10.28m is less negative than the A+C (-10.67m) or A+B (-16.99m). By ranking by Profitability Index (Brealey, Myers and Allen, 2020), C (0.960) is ranked first, then B (0.834). B+C is the best allocation with both C and B chosen in their entirety with the use of £100 million. This mix maximises the payoff per pound of capital invested within the constraints given, and diversifies risk between the low-risk steady annuity profile of Project B and the high-payoff later years of Project C.</w:t>
      </w:r>
      <w:r w:rsidRPr="00E131A5">
        <w:rPr>
          <w:rFonts w:ascii="Arial" w:eastAsia="Times New Roman" w:hAnsi="Arial" w:cs="Arial"/>
          <w:lang w:eastAsia="en-GB"/>
        </w:rPr>
        <w:br/>
      </w:r>
      <w:r>
        <w:rPr>
          <w:rFonts w:ascii="Arial" w:eastAsia="Times New Roman" w:hAnsi="Arial" w:cs="Arial"/>
          <w:b/>
          <w:bCs/>
          <w:lang w:eastAsia="en-GB"/>
        </w:rPr>
        <w:br/>
      </w:r>
      <w:r>
        <w:rPr>
          <w:rFonts w:ascii="Arial" w:eastAsia="Times New Roman" w:hAnsi="Arial" w:cs="Arial"/>
          <w:b/>
          <w:bCs/>
          <w:lang w:eastAsia="en-GB"/>
        </w:rPr>
        <w:br/>
      </w:r>
      <w:r>
        <w:rPr>
          <w:rFonts w:ascii="Arial" w:eastAsia="Times New Roman" w:hAnsi="Arial" w:cs="Arial"/>
          <w:b/>
          <w:bCs/>
          <w:lang w:eastAsia="en-GB"/>
        </w:rPr>
        <w:br/>
      </w:r>
      <w:r>
        <w:rPr>
          <w:rFonts w:ascii="Arial" w:eastAsia="Times New Roman" w:hAnsi="Arial" w:cs="Arial"/>
          <w:b/>
          <w:bCs/>
          <w:lang w:eastAsia="en-GB"/>
        </w:rPr>
        <w:br/>
      </w:r>
    </w:p>
    <w:p w14:paraId="567BFCBF" w14:textId="7B36BF96" w:rsidR="00742179" w:rsidRPr="00742179" w:rsidRDefault="00E131A5" w:rsidP="00742179">
      <w:pPr>
        <w:shd w:val="clear" w:color="auto" w:fill="FDFBFA"/>
        <w:spacing w:before="100" w:beforeAutospacing="1" w:after="100" w:afterAutospacing="1" w:line="240" w:lineRule="auto"/>
        <w:outlineLvl w:val="1"/>
        <w:rPr>
          <w:rFonts w:ascii="pplxSerif" w:eastAsia="Times New Roman" w:hAnsi="pplxSerif" w:cs="Times New Roman"/>
          <w:b/>
          <w:bCs/>
          <w:color w:val="27251E"/>
          <w:kern w:val="0"/>
          <w:sz w:val="36"/>
          <w:szCs w:val="36"/>
          <w:lang w:eastAsia="en-GB"/>
          <w14:ligatures w14:val="none"/>
        </w:rPr>
      </w:pPr>
      <w:r>
        <w:rPr>
          <w:rFonts w:ascii="Arial" w:eastAsia="Times New Roman" w:hAnsi="Arial" w:cs="Arial"/>
          <w:b/>
          <w:bCs/>
          <w:lang w:eastAsia="en-GB"/>
        </w:rPr>
        <w:lastRenderedPageBreak/>
        <w:br/>
      </w:r>
      <w:r w:rsidRPr="00D80788">
        <w:rPr>
          <w:rFonts w:ascii="pplxSerif" w:eastAsia="Times New Roman" w:hAnsi="pplxSerif" w:cs="Times New Roman"/>
          <w:b/>
          <w:bCs/>
          <w:color w:val="27251E"/>
          <w:kern w:val="0"/>
          <w:sz w:val="36"/>
          <w:szCs w:val="36"/>
          <w:lang w:eastAsia="en-GB"/>
          <w14:ligatures w14:val="none"/>
        </w:rPr>
        <w:t>5. Conclusion</w:t>
      </w:r>
      <w:r w:rsidR="00742179">
        <w:rPr>
          <w:rFonts w:ascii="pplxSerif" w:eastAsia="Times New Roman" w:hAnsi="pplxSerif" w:cs="Times New Roman"/>
          <w:b/>
          <w:bCs/>
          <w:color w:val="27251E"/>
          <w:kern w:val="0"/>
          <w:sz w:val="36"/>
          <w:szCs w:val="36"/>
          <w:lang w:eastAsia="en-GB"/>
          <w14:ligatures w14:val="none"/>
        </w:rPr>
        <w:br/>
      </w:r>
      <w:r w:rsidR="00742179">
        <w:rPr>
          <w:rFonts w:ascii="pplxSerif" w:eastAsia="Times New Roman" w:hAnsi="pplxSerif" w:cs="Times New Roman"/>
          <w:b/>
          <w:bCs/>
          <w:color w:val="27251E"/>
          <w:kern w:val="0"/>
          <w:sz w:val="36"/>
          <w:szCs w:val="36"/>
          <w:lang w:eastAsia="en-GB"/>
          <w14:ligatures w14:val="none"/>
        </w:rPr>
        <w:br/>
      </w:r>
      <w:r w:rsidR="00742179" w:rsidRPr="00742179">
        <w:rPr>
          <w:rFonts w:ascii="Arial" w:eastAsia="Times New Roman" w:hAnsi="Arial" w:cs="Arial"/>
          <w:lang w:eastAsia="en-GB"/>
        </w:rPr>
        <w:t>Ford Motor Company has a complicated yet a strong financial profile in 20202024. Operational performance - Adjusted EBIT - has been steady at around 10 billion per annum, with the core of Ford Pro growth and profitability. Nevertheless, the GAAP net income is thin, volatile, and susceptible to special items, with the most significant ones being EV losses, pension remeasurement, and Rivian-related investment gains and losses. The cash operating cycle is well controlled with a less than 8 days cycle, however, the deteriorating payables days needs to be addressed with working capital reforms. A partial Ford Pro IPO is the most value-accretive restructuring alternative, which can be used to finance EV investment without compromising the quality of credit. Project C is a clear winner in all five techniques in investment appraisal and should be approved as a separate project or in conjunction with Project B within capital rationing limits.</w:t>
      </w:r>
      <w:r w:rsidR="00742179" w:rsidRPr="00742179">
        <w:rPr>
          <w:rFonts w:ascii="Arial" w:eastAsia="Times New Roman" w:hAnsi="Arial" w:cs="Arial"/>
          <w:lang w:eastAsia="en-GB"/>
        </w:rPr>
        <w:br/>
      </w:r>
      <w:r w:rsidR="00742179" w:rsidRPr="00742179">
        <w:rPr>
          <w:rFonts w:ascii="Arial" w:eastAsia="Times New Roman" w:hAnsi="Arial" w:cs="Arial"/>
          <w:lang w:eastAsia="en-GB"/>
        </w:rPr>
        <w:br/>
      </w:r>
    </w:p>
    <w:p w14:paraId="19192A5C" w14:textId="77777777" w:rsidR="00742179" w:rsidRDefault="00742179">
      <w:pPr>
        <w:rPr>
          <w:rFonts w:ascii="Arial" w:eastAsia="Times New Roman" w:hAnsi="Arial" w:cs="Arial"/>
          <w:b/>
          <w:bCs/>
          <w:lang w:eastAsia="en-GB"/>
        </w:rPr>
      </w:pPr>
      <w:r>
        <w:rPr>
          <w:rFonts w:ascii="Arial" w:eastAsia="Times New Roman" w:hAnsi="Arial" w:cs="Arial"/>
          <w:b/>
          <w:bCs/>
          <w:lang w:eastAsia="en-GB"/>
        </w:rPr>
        <w:br w:type="page"/>
      </w:r>
    </w:p>
    <w:p w14:paraId="4B1B327F" w14:textId="6D9C1D33" w:rsidR="00742179" w:rsidRPr="00D80788" w:rsidRDefault="00742179" w:rsidP="00742179">
      <w:pPr>
        <w:shd w:val="clear" w:color="auto" w:fill="FDFBFA"/>
        <w:spacing w:before="100" w:beforeAutospacing="1" w:after="100" w:afterAutospacing="1" w:line="240" w:lineRule="auto"/>
        <w:outlineLvl w:val="1"/>
        <w:rPr>
          <w:rFonts w:ascii="pplxSerif" w:eastAsia="Times New Roman" w:hAnsi="pplxSerif" w:cs="Times New Roman"/>
          <w:b/>
          <w:bCs/>
          <w:color w:val="27251E"/>
          <w:kern w:val="0"/>
          <w:sz w:val="36"/>
          <w:szCs w:val="36"/>
          <w:lang w:eastAsia="en-GB"/>
          <w14:ligatures w14:val="none"/>
        </w:rPr>
      </w:pPr>
      <w:r>
        <w:rPr>
          <w:rFonts w:ascii="Arial" w:eastAsia="Times New Roman" w:hAnsi="Arial" w:cs="Arial"/>
          <w:b/>
          <w:bCs/>
          <w:lang w:eastAsia="en-GB"/>
        </w:rPr>
        <w:lastRenderedPageBreak/>
        <w:br/>
      </w:r>
      <w:r>
        <w:rPr>
          <w:rFonts w:ascii="Arial" w:eastAsia="Times New Roman" w:hAnsi="Arial" w:cs="Arial"/>
          <w:b/>
          <w:bCs/>
          <w:lang w:eastAsia="en-GB"/>
        </w:rPr>
        <w:br/>
      </w:r>
      <w:r>
        <w:rPr>
          <w:rFonts w:ascii="Arial" w:eastAsia="Times New Roman" w:hAnsi="Arial" w:cs="Arial"/>
          <w:b/>
          <w:bCs/>
          <w:lang w:eastAsia="en-GB"/>
        </w:rPr>
        <w:br/>
      </w:r>
      <w:r w:rsidRPr="00D80788">
        <w:rPr>
          <w:rFonts w:ascii="pplxSerif" w:eastAsia="Times New Roman" w:hAnsi="pplxSerif" w:cs="Times New Roman"/>
          <w:b/>
          <w:bCs/>
          <w:color w:val="27251E"/>
          <w:kern w:val="0"/>
          <w:sz w:val="36"/>
          <w:szCs w:val="36"/>
          <w:lang w:eastAsia="en-GB"/>
          <w14:ligatures w14:val="none"/>
        </w:rPr>
        <w:t>References</w:t>
      </w:r>
    </w:p>
    <w:p w14:paraId="6D6CFE09" w14:textId="77777777" w:rsidR="00742179" w:rsidRPr="00D80788" w:rsidRDefault="00742179" w:rsidP="00742179">
      <w:p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D80788">
        <w:rPr>
          <w:rFonts w:ascii="pplxSerif" w:eastAsia="Times New Roman" w:hAnsi="pplxSerif" w:cs="Times New Roman"/>
          <w:color w:val="27251E"/>
          <w:kern w:val="0"/>
          <w:lang w:eastAsia="en-GB"/>
          <w14:ligatures w14:val="none"/>
        </w:rPr>
        <w:t>Brealey, R.A., Myers, S.C. and Allen, F. (2020) </w:t>
      </w:r>
      <w:r w:rsidRPr="00D80788">
        <w:rPr>
          <w:rFonts w:ascii="pplxSerif" w:eastAsia="Times New Roman" w:hAnsi="pplxSerif" w:cs="Times New Roman"/>
          <w:i/>
          <w:iCs/>
          <w:color w:val="27251E"/>
          <w:kern w:val="0"/>
          <w:bdr w:val="single" w:sz="2" w:space="0" w:color="auto" w:frame="1"/>
          <w:lang w:eastAsia="en-GB"/>
          <w14:ligatures w14:val="none"/>
        </w:rPr>
        <w:t>Principles of Corporate Finance</w:t>
      </w:r>
      <w:r w:rsidRPr="00D80788">
        <w:rPr>
          <w:rFonts w:ascii="pplxSerif" w:eastAsia="Times New Roman" w:hAnsi="pplxSerif" w:cs="Times New Roman"/>
          <w:color w:val="27251E"/>
          <w:kern w:val="0"/>
          <w:lang w:eastAsia="en-GB"/>
          <w14:ligatures w14:val="none"/>
        </w:rPr>
        <w:t xml:space="preserve">. 13th </w:t>
      </w:r>
      <w:proofErr w:type="spellStart"/>
      <w:r w:rsidRPr="00D80788">
        <w:rPr>
          <w:rFonts w:ascii="pplxSerif" w:eastAsia="Times New Roman" w:hAnsi="pplxSerif" w:cs="Times New Roman"/>
          <w:color w:val="27251E"/>
          <w:kern w:val="0"/>
          <w:lang w:eastAsia="en-GB"/>
          <w14:ligatures w14:val="none"/>
        </w:rPr>
        <w:t>edn</w:t>
      </w:r>
      <w:proofErr w:type="spellEnd"/>
      <w:r w:rsidRPr="00D80788">
        <w:rPr>
          <w:rFonts w:ascii="pplxSerif" w:eastAsia="Times New Roman" w:hAnsi="pplxSerif" w:cs="Times New Roman"/>
          <w:color w:val="27251E"/>
          <w:kern w:val="0"/>
          <w:lang w:eastAsia="en-GB"/>
          <w14:ligatures w14:val="none"/>
        </w:rPr>
        <w:t>. New York: McGraw-Hill Education.</w:t>
      </w:r>
    </w:p>
    <w:p w14:paraId="095A9F8D" w14:textId="77777777" w:rsidR="00742179" w:rsidRPr="00D80788" w:rsidRDefault="00742179" w:rsidP="00742179">
      <w:p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D80788">
        <w:rPr>
          <w:rFonts w:ascii="pplxSerif" w:eastAsia="Times New Roman" w:hAnsi="pplxSerif" w:cs="Times New Roman"/>
          <w:color w:val="27251E"/>
          <w:kern w:val="0"/>
          <w:lang w:eastAsia="en-GB"/>
          <w14:ligatures w14:val="none"/>
        </w:rPr>
        <w:t>Ford Motor Company (2020) </w:t>
      </w:r>
      <w:r w:rsidRPr="00D80788">
        <w:rPr>
          <w:rFonts w:ascii="pplxSerif" w:eastAsia="Times New Roman" w:hAnsi="pplxSerif" w:cs="Times New Roman"/>
          <w:i/>
          <w:iCs/>
          <w:color w:val="27251E"/>
          <w:kern w:val="0"/>
          <w:bdr w:val="single" w:sz="2" w:space="0" w:color="auto" w:frame="1"/>
          <w:lang w:eastAsia="en-GB"/>
          <w14:ligatures w14:val="none"/>
        </w:rPr>
        <w:t>Annual Report 2020 (Form 10-K)</w:t>
      </w:r>
      <w:r w:rsidRPr="00D80788">
        <w:rPr>
          <w:rFonts w:ascii="pplxSerif" w:eastAsia="Times New Roman" w:hAnsi="pplxSerif" w:cs="Times New Roman"/>
          <w:color w:val="27251E"/>
          <w:kern w:val="0"/>
          <w:lang w:eastAsia="en-GB"/>
          <w14:ligatures w14:val="none"/>
        </w:rPr>
        <w:t>. Dearborn: Ford Motor Company. Available at: https://shareholder.ford.com (Accessed: 23 April 2026).</w:t>
      </w:r>
    </w:p>
    <w:p w14:paraId="74A7967F" w14:textId="77777777" w:rsidR="00742179" w:rsidRPr="00D80788" w:rsidRDefault="00742179" w:rsidP="00742179">
      <w:p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D80788">
        <w:rPr>
          <w:rFonts w:ascii="pplxSerif" w:eastAsia="Times New Roman" w:hAnsi="pplxSerif" w:cs="Times New Roman"/>
          <w:color w:val="27251E"/>
          <w:kern w:val="0"/>
          <w:lang w:eastAsia="en-GB"/>
          <w14:ligatures w14:val="none"/>
        </w:rPr>
        <w:t>Ford Motor Company (2021) </w:t>
      </w:r>
      <w:r w:rsidRPr="00D80788">
        <w:rPr>
          <w:rFonts w:ascii="pplxSerif" w:eastAsia="Times New Roman" w:hAnsi="pplxSerif" w:cs="Times New Roman"/>
          <w:i/>
          <w:iCs/>
          <w:color w:val="27251E"/>
          <w:kern w:val="0"/>
          <w:bdr w:val="single" w:sz="2" w:space="0" w:color="auto" w:frame="1"/>
          <w:lang w:eastAsia="en-GB"/>
          <w14:ligatures w14:val="none"/>
        </w:rPr>
        <w:t>Annual Report 2021 (Form 10-K)</w:t>
      </w:r>
      <w:r w:rsidRPr="00D80788">
        <w:rPr>
          <w:rFonts w:ascii="pplxSerif" w:eastAsia="Times New Roman" w:hAnsi="pplxSerif" w:cs="Times New Roman"/>
          <w:color w:val="27251E"/>
          <w:kern w:val="0"/>
          <w:lang w:eastAsia="en-GB"/>
          <w14:ligatures w14:val="none"/>
        </w:rPr>
        <w:t>. Dearborn: Ford Motor Company. Available at: https://shareholder.ford.com (Accessed: 23 April 2026).</w:t>
      </w:r>
    </w:p>
    <w:p w14:paraId="5C4581C4" w14:textId="77777777" w:rsidR="00742179" w:rsidRPr="00D80788" w:rsidRDefault="00742179" w:rsidP="00742179">
      <w:p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D80788">
        <w:rPr>
          <w:rFonts w:ascii="pplxSerif" w:eastAsia="Times New Roman" w:hAnsi="pplxSerif" w:cs="Times New Roman"/>
          <w:color w:val="27251E"/>
          <w:kern w:val="0"/>
          <w:lang w:eastAsia="en-GB"/>
          <w14:ligatures w14:val="none"/>
        </w:rPr>
        <w:t>Ford Motor Company (2022) </w:t>
      </w:r>
      <w:r w:rsidRPr="00D80788">
        <w:rPr>
          <w:rFonts w:ascii="pplxSerif" w:eastAsia="Times New Roman" w:hAnsi="pplxSerif" w:cs="Times New Roman"/>
          <w:i/>
          <w:iCs/>
          <w:color w:val="27251E"/>
          <w:kern w:val="0"/>
          <w:bdr w:val="single" w:sz="2" w:space="0" w:color="auto" w:frame="1"/>
          <w:lang w:eastAsia="en-GB"/>
          <w14:ligatures w14:val="none"/>
        </w:rPr>
        <w:t>Annual Report 2022 (Form 10-K)</w:t>
      </w:r>
      <w:r w:rsidRPr="00D80788">
        <w:rPr>
          <w:rFonts w:ascii="pplxSerif" w:eastAsia="Times New Roman" w:hAnsi="pplxSerif" w:cs="Times New Roman"/>
          <w:color w:val="27251E"/>
          <w:kern w:val="0"/>
          <w:lang w:eastAsia="en-GB"/>
          <w14:ligatures w14:val="none"/>
        </w:rPr>
        <w:t>. Dearborn: Ford Motor Company. Available at: https://shareholder.ford.com (Accessed: 23 April 2026).</w:t>
      </w:r>
    </w:p>
    <w:p w14:paraId="7190312A" w14:textId="77777777" w:rsidR="00742179" w:rsidRPr="00D80788" w:rsidRDefault="00742179" w:rsidP="00742179">
      <w:p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D80788">
        <w:rPr>
          <w:rFonts w:ascii="pplxSerif" w:eastAsia="Times New Roman" w:hAnsi="pplxSerif" w:cs="Times New Roman"/>
          <w:color w:val="27251E"/>
          <w:kern w:val="0"/>
          <w:lang w:eastAsia="en-GB"/>
          <w14:ligatures w14:val="none"/>
        </w:rPr>
        <w:t>Ford Motor Company (2023) </w:t>
      </w:r>
      <w:r w:rsidRPr="00D80788">
        <w:rPr>
          <w:rFonts w:ascii="pplxSerif" w:eastAsia="Times New Roman" w:hAnsi="pplxSerif" w:cs="Times New Roman"/>
          <w:i/>
          <w:iCs/>
          <w:color w:val="27251E"/>
          <w:kern w:val="0"/>
          <w:bdr w:val="single" w:sz="2" w:space="0" w:color="auto" w:frame="1"/>
          <w:lang w:eastAsia="en-GB"/>
          <w14:ligatures w14:val="none"/>
        </w:rPr>
        <w:t>Annual Report 2023 (Form 10-K)</w:t>
      </w:r>
      <w:r w:rsidRPr="00D80788">
        <w:rPr>
          <w:rFonts w:ascii="pplxSerif" w:eastAsia="Times New Roman" w:hAnsi="pplxSerif" w:cs="Times New Roman"/>
          <w:color w:val="27251E"/>
          <w:kern w:val="0"/>
          <w:lang w:eastAsia="en-GB"/>
          <w14:ligatures w14:val="none"/>
        </w:rPr>
        <w:t>. Dearborn: Ford Motor Company. Available at: https://shareholder.ford.com (Accessed: 23 April 2026).</w:t>
      </w:r>
    </w:p>
    <w:p w14:paraId="43BB06DA" w14:textId="77777777" w:rsidR="00742179" w:rsidRPr="00D80788" w:rsidRDefault="00742179" w:rsidP="00742179">
      <w:p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D80788">
        <w:rPr>
          <w:rFonts w:ascii="pplxSerif" w:eastAsia="Times New Roman" w:hAnsi="pplxSerif" w:cs="Times New Roman"/>
          <w:color w:val="27251E"/>
          <w:kern w:val="0"/>
          <w:lang w:eastAsia="en-GB"/>
          <w14:ligatures w14:val="none"/>
        </w:rPr>
        <w:t>Ford Motor Company (2024) </w:t>
      </w:r>
      <w:r w:rsidRPr="00D80788">
        <w:rPr>
          <w:rFonts w:ascii="pplxSerif" w:eastAsia="Times New Roman" w:hAnsi="pplxSerif" w:cs="Times New Roman"/>
          <w:i/>
          <w:iCs/>
          <w:color w:val="27251E"/>
          <w:kern w:val="0"/>
          <w:bdr w:val="single" w:sz="2" w:space="0" w:color="auto" w:frame="1"/>
          <w:lang w:eastAsia="en-GB"/>
          <w14:ligatures w14:val="none"/>
        </w:rPr>
        <w:t>Annual Report 2024 (Form 10-K)</w:t>
      </w:r>
      <w:r w:rsidRPr="00D80788">
        <w:rPr>
          <w:rFonts w:ascii="pplxSerif" w:eastAsia="Times New Roman" w:hAnsi="pplxSerif" w:cs="Times New Roman"/>
          <w:color w:val="27251E"/>
          <w:kern w:val="0"/>
          <w:lang w:eastAsia="en-GB"/>
          <w14:ligatures w14:val="none"/>
        </w:rPr>
        <w:t>. Dearborn: Ford Motor Company. Available at: https://shareholder.ford.com (Accessed: 23 April 2026).</w:t>
      </w:r>
    </w:p>
    <w:p w14:paraId="7902B6ED" w14:textId="77777777" w:rsidR="00742179" w:rsidRPr="00D80788" w:rsidRDefault="00742179" w:rsidP="00742179">
      <w:p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D80788">
        <w:rPr>
          <w:rFonts w:ascii="pplxSerif" w:eastAsia="Times New Roman" w:hAnsi="pplxSerif" w:cs="Times New Roman"/>
          <w:color w:val="27251E"/>
          <w:kern w:val="0"/>
          <w:lang w:eastAsia="en-GB"/>
          <w14:ligatures w14:val="none"/>
        </w:rPr>
        <w:t xml:space="preserve">Hofmann, E. and </w:t>
      </w:r>
      <w:proofErr w:type="spellStart"/>
      <w:r w:rsidRPr="00D80788">
        <w:rPr>
          <w:rFonts w:ascii="pplxSerif" w:eastAsia="Times New Roman" w:hAnsi="pplxSerif" w:cs="Times New Roman"/>
          <w:color w:val="27251E"/>
          <w:kern w:val="0"/>
          <w:lang w:eastAsia="en-GB"/>
          <w14:ligatures w14:val="none"/>
        </w:rPr>
        <w:t>Kotzab</w:t>
      </w:r>
      <w:proofErr w:type="spellEnd"/>
      <w:r w:rsidRPr="00D80788">
        <w:rPr>
          <w:rFonts w:ascii="pplxSerif" w:eastAsia="Times New Roman" w:hAnsi="pplxSerif" w:cs="Times New Roman"/>
          <w:color w:val="27251E"/>
          <w:kern w:val="0"/>
          <w:lang w:eastAsia="en-GB"/>
          <w14:ligatures w14:val="none"/>
        </w:rPr>
        <w:t>, H. (2010) 'A supply chain-oriented approach of working capital management', </w:t>
      </w:r>
      <w:r w:rsidRPr="00D80788">
        <w:rPr>
          <w:rFonts w:ascii="pplxSerif" w:eastAsia="Times New Roman" w:hAnsi="pplxSerif" w:cs="Times New Roman"/>
          <w:i/>
          <w:iCs/>
          <w:color w:val="27251E"/>
          <w:kern w:val="0"/>
          <w:bdr w:val="single" w:sz="2" w:space="0" w:color="auto" w:frame="1"/>
          <w:lang w:eastAsia="en-GB"/>
          <w14:ligatures w14:val="none"/>
        </w:rPr>
        <w:t>Journal of Business Logistics</w:t>
      </w:r>
      <w:r w:rsidRPr="00D80788">
        <w:rPr>
          <w:rFonts w:ascii="pplxSerif" w:eastAsia="Times New Roman" w:hAnsi="pplxSerif" w:cs="Times New Roman"/>
          <w:color w:val="27251E"/>
          <w:kern w:val="0"/>
          <w:lang w:eastAsia="en-GB"/>
          <w14:ligatures w14:val="none"/>
        </w:rPr>
        <w:t>, 31(2), pp. 305–330.</w:t>
      </w:r>
    </w:p>
    <w:p w14:paraId="7830AB37" w14:textId="77777777" w:rsidR="00742179" w:rsidRPr="00D80788" w:rsidRDefault="00742179" w:rsidP="00742179">
      <w:p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D80788">
        <w:rPr>
          <w:rFonts w:ascii="pplxSerif" w:eastAsia="Times New Roman" w:hAnsi="pplxSerif" w:cs="Times New Roman"/>
          <w:color w:val="27251E"/>
          <w:kern w:val="0"/>
          <w:lang w:eastAsia="en-GB"/>
          <w14:ligatures w14:val="none"/>
        </w:rPr>
        <w:t>Kaplan, S.N. and Strömberg, P. (2009) 'Leveraged buyouts and private equity', </w:t>
      </w:r>
      <w:r w:rsidRPr="00D80788">
        <w:rPr>
          <w:rFonts w:ascii="pplxSerif" w:eastAsia="Times New Roman" w:hAnsi="pplxSerif" w:cs="Times New Roman"/>
          <w:i/>
          <w:iCs/>
          <w:color w:val="27251E"/>
          <w:kern w:val="0"/>
          <w:bdr w:val="single" w:sz="2" w:space="0" w:color="auto" w:frame="1"/>
          <w:lang w:eastAsia="en-GB"/>
          <w14:ligatures w14:val="none"/>
        </w:rPr>
        <w:t>Journal of Economic Perspectives</w:t>
      </w:r>
      <w:r w:rsidRPr="00D80788">
        <w:rPr>
          <w:rFonts w:ascii="pplxSerif" w:eastAsia="Times New Roman" w:hAnsi="pplxSerif" w:cs="Times New Roman"/>
          <w:color w:val="27251E"/>
          <w:kern w:val="0"/>
          <w:lang w:eastAsia="en-GB"/>
          <w14:ligatures w14:val="none"/>
        </w:rPr>
        <w:t>, 23(1), pp. 121–146.</w:t>
      </w:r>
    </w:p>
    <w:p w14:paraId="7E254640" w14:textId="77777777" w:rsidR="00742179" w:rsidRPr="00D80788" w:rsidRDefault="00742179" w:rsidP="00742179">
      <w:p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D80788">
        <w:rPr>
          <w:rFonts w:ascii="pplxSerif" w:eastAsia="Times New Roman" w:hAnsi="pplxSerif" w:cs="Times New Roman"/>
          <w:color w:val="27251E"/>
          <w:kern w:val="0"/>
          <w:lang w:eastAsia="en-GB"/>
          <w14:ligatures w14:val="none"/>
        </w:rPr>
        <w:t>Modigliani, F. and Miller, M.H. (1958) 'The cost of capital, corporation finance and the theory of investment', </w:t>
      </w:r>
      <w:r w:rsidRPr="00D80788">
        <w:rPr>
          <w:rFonts w:ascii="pplxSerif" w:eastAsia="Times New Roman" w:hAnsi="pplxSerif" w:cs="Times New Roman"/>
          <w:i/>
          <w:iCs/>
          <w:color w:val="27251E"/>
          <w:kern w:val="0"/>
          <w:bdr w:val="single" w:sz="2" w:space="0" w:color="auto" w:frame="1"/>
          <w:lang w:eastAsia="en-GB"/>
          <w14:ligatures w14:val="none"/>
        </w:rPr>
        <w:t>American Economic Review</w:t>
      </w:r>
      <w:r w:rsidRPr="00D80788">
        <w:rPr>
          <w:rFonts w:ascii="pplxSerif" w:eastAsia="Times New Roman" w:hAnsi="pplxSerif" w:cs="Times New Roman"/>
          <w:color w:val="27251E"/>
          <w:kern w:val="0"/>
          <w:lang w:eastAsia="en-GB"/>
          <w14:ligatures w14:val="none"/>
        </w:rPr>
        <w:t>, 48(3), pp. 261–297.</w:t>
      </w:r>
    </w:p>
    <w:p w14:paraId="77050D64" w14:textId="77777777" w:rsidR="00742179" w:rsidRPr="00D80788" w:rsidRDefault="00742179" w:rsidP="00742179">
      <w:p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D80788">
        <w:rPr>
          <w:rFonts w:ascii="pplxSerif" w:eastAsia="Times New Roman" w:hAnsi="pplxSerif" w:cs="Times New Roman"/>
          <w:color w:val="27251E"/>
          <w:kern w:val="0"/>
          <w:lang w:eastAsia="en-GB"/>
          <w14:ligatures w14:val="none"/>
        </w:rPr>
        <w:t>Ross, S.A., Westerfield, R.W. and Jordan, B.D. (2019) </w:t>
      </w:r>
      <w:r w:rsidRPr="00D80788">
        <w:rPr>
          <w:rFonts w:ascii="pplxSerif" w:eastAsia="Times New Roman" w:hAnsi="pplxSerif" w:cs="Times New Roman"/>
          <w:i/>
          <w:iCs/>
          <w:color w:val="27251E"/>
          <w:kern w:val="0"/>
          <w:bdr w:val="single" w:sz="2" w:space="0" w:color="auto" w:frame="1"/>
          <w:lang w:eastAsia="en-GB"/>
          <w14:ligatures w14:val="none"/>
        </w:rPr>
        <w:t>Fundamentals of Corporate Finance</w:t>
      </w:r>
      <w:r w:rsidRPr="00D80788">
        <w:rPr>
          <w:rFonts w:ascii="pplxSerif" w:eastAsia="Times New Roman" w:hAnsi="pplxSerif" w:cs="Times New Roman"/>
          <w:color w:val="27251E"/>
          <w:kern w:val="0"/>
          <w:lang w:eastAsia="en-GB"/>
          <w14:ligatures w14:val="none"/>
        </w:rPr>
        <w:t xml:space="preserve">. 12th </w:t>
      </w:r>
      <w:proofErr w:type="spellStart"/>
      <w:r w:rsidRPr="00D80788">
        <w:rPr>
          <w:rFonts w:ascii="pplxSerif" w:eastAsia="Times New Roman" w:hAnsi="pplxSerif" w:cs="Times New Roman"/>
          <w:color w:val="27251E"/>
          <w:kern w:val="0"/>
          <w:lang w:eastAsia="en-GB"/>
          <w14:ligatures w14:val="none"/>
        </w:rPr>
        <w:t>edn</w:t>
      </w:r>
      <w:proofErr w:type="spellEnd"/>
      <w:r w:rsidRPr="00D80788">
        <w:rPr>
          <w:rFonts w:ascii="pplxSerif" w:eastAsia="Times New Roman" w:hAnsi="pplxSerif" w:cs="Times New Roman"/>
          <w:color w:val="27251E"/>
          <w:kern w:val="0"/>
          <w:lang w:eastAsia="en-GB"/>
          <w14:ligatures w14:val="none"/>
        </w:rPr>
        <w:t>. New York: McGraw-Hill Education.</w:t>
      </w:r>
    </w:p>
    <w:p w14:paraId="17DFB72E" w14:textId="77777777" w:rsidR="00742179" w:rsidRPr="00D80788" w:rsidRDefault="00742179" w:rsidP="00742179">
      <w:p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D80788">
        <w:rPr>
          <w:rFonts w:ascii="pplxSerif" w:eastAsia="Times New Roman" w:hAnsi="pplxSerif" w:cs="Times New Roman"/>
          <w:color w:val="27251E"/>
          <w:kern w:val="0"/>
          <w:lang w:eastAsia="en-GB"/>
          <w14:ligatures w14:val="none"/>
        </w:rPr>
        <w:t>Pike, R. and Neale, B. (2015) </w:t>
      </w:r>
      <w:r w:rsidRPr="00D80788">
        <w:rPr>
          <w:rFonts w:ascii="pplxSerif" w:eastAsia="Times New Roman" w:hAnsi="pplxSerif" w:cs="Times New Roman"/>
          <w:i/>
          <w:iCs/>
          <w:color w:val="27251E"/>
          <w:kern w:val="0"/>
          <w:bdr w:val="single" w:sz="2" w:space="0" w:color="auto" w:frame="1"/>
          <w:lang w:eastAsia="en-GB"/>
          <w14:ligatures w14:val="none"/>
        </w:rPr>
        <w:t>Corporate Finance and Investment: Decisions and Strategies</w:t>
      </w:r>
      <w:r w:rsidRPr="00D80788">
        <w:rPr>
          <w:rFonts w:ascii="pplxSerif" w:eastAsia="Times New Roman" w:hAnsi="pplxSerif" w:cs="Times New Roman"/>
          <w:color w:val="27251E"/>
          <w:kern w:val="0"/>
          <w:lang w:eastAsia="en-GB"/>
          <w14:ligatures w14:val="none"/>
        </w:rPr>
        <w:t xml:space="preserve">. 8th </w:t>
      </w:r>
      <w:proofErr w:type="spellStart"/>
      <w:r w:rsidRPr="00D80788">
        <w:rPr>
          <w:rFonts w:ascii="pplxSerif" w:eastAsia="Times New Roman" w:hAnsi="pplxSerif" w:cs="Times New Roman"/>
          <w:color w:val="27251E"/>
          <w:kern w:val="0"/>
          <w:lang w:eastAsia="en-GB"/>
          <w14:ligatures w14:val="none"/>
        </w:rPr>
        <w:t>edn</w:t>
      </w:r>
      <w:proofErr w:type="spellEnd"/>
      <w:r w:rsidRPr="00D80788">
        <w:rPr>
          <w:rFonts w:ascii="pplxSerif" w:eastAsia="Times New Roman" w:hAnsi="pplxSerif" w:cs="Times New Roman"/>
          <w:color w:val="27251E"/>
          <w:kern w:val="0"/>
          <w:lang w:eastAsia="en-GB"/>
          <w14:ligatures w14:val="none"/>
        </w:rPr>
        <w:t>. Harlow: Pearson.</w:t>
      </w:r>
    </w:p>
    <w:p w14:paraId="7C83314E" w14:textId="77777777" w:rsidR="00742179" w:rsidRPr="00D80788" w:rsidRDefault="00742179" w:rsidP="00742179">
      <w:p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D80788">
        <w:rPr>
          <w:rFonts w:ascii="pplxSerif" w:eastAsia="Times New Roman" w:hAnsi="pplxSerif" w:cs="Times New Roman"/>
          <w:color w:val="27251E"/>
          <w:kern w:val="0"/>
          <w:lang w:eastAsia="en-GB"/>
          <w14:ligatures w14:val="none"/>
        </w:rPr>
        <w:t>Arnold, G. (2013) </w:t>
      </w:r>
      <w:r w:rsidRPr="00D80788">
        <w:rPr>
          <w:rFonts w:ascii="pplxSerif" w:eastAsia="Times New Roman" w:hAnsi="pplxSerif" w:cs="Times New Roman"/>
          <w:i/>
          <w:iCs/>
          <w:color w:val="27251E"/>
          <w:kern w:val="0"/>
          <w:bdr w:val="single" w:sz="2" w:space="0" w:color="auto" w:frame="1"/>
          <w:lang w:eastAsia="en-GB"/>
          <w14:ligatures w14:val="none"/>
        </w:rPr>
        <w:t>Corporate Financial Management</w:t>
      </w:r>
      <w:r w:rsidRPr="00D80788">
        <w:rPr>
          <w:rFonts w:ascii="pplxSerif" w:eastAsia="Times New Roman" w:hAnsi="pplxSerif" w:cs="Times New Roman"/>
          <w:color w:val="27251E"/>
          <w:kern w:val="0"/>
          <w:lang w:eastAsia="en-GB"/>
          <w14:ligatures w14:val="none"/>
        </w:rPr>
        <w:t xml:space="preserve">. 5th </w:t>
      </w:r>
      <w:proofErr w:type="spellStart"/>
      <w:r w:rsidRPr="00D80788">
        <w:rPr>
          <w:rFonts w:ascii="pplxSerif" w:eastAsia="Times New Roman" w:hAnsi="pplxSerif" w:cs="Times New Roman"/>
          <w:color w:val="27251E"/>
          <w:kern w:val="0"/>
          <w:lang w:eastAsia="en-GB"/>
          <w14:ligatures w14:val="none"/>
        </w:rPr>
        <w:t>edn</w:t>
      </w:r>
      <w:proofErr w:type="spellEnd"/>
      <w:r w:rsidRPr="00D80788">
        <w:rPr>
          <w:rFonts w:ascii="pplxSerif" w:eastAsia="Times New Roman" w:hAnsi="pplxSerif" w:cs="Times New Roman"/>
          <w:color w:val="27251E"/>
          <w:kern w:val="0"/>
          <w:lang w:eastAsia="en-GB"/>
          <w14:ligatures w14:val="none"/>
        </w:rPr>
        <w:t>. Harlow: Pearson.</w:t>
      </w:r>
    </w:p>
    <w:p w14:paraId="5007761F" w14:textId="77777777" w:rsidR="00742179" w:rsidRPr="00D80788" w:rsidRDefault="00742179" w:rsidP="00742179">
      <w:p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D80788">
        <w:rPr>
          <w:rFonts w:ascii="pplxSerif" w:eastAsia="Times New Roman" w:hAnsi="pplxSerif" w:cs="Times New Roman"/>
          <w:color w:val="27251E"/>
          <w:kern w:val="0"/>
          <w:lang w:eastAsia="en-GB"/>
          <w14:ligatures w14:val="none"/>
        </w:rPr>
        <w:t>Watson, D. and Head, A. (2019) </w:t>
      </w:r>
      <w:r w:rsidRPr="00D80788">
        <w:rPr>
          <w:rFonts w:ascii="pplxSerif" w:eastAsia="Times New Roman" w:hAnsi="pplxSerif" w:cs="Times New Roman"/>
          <w:i/>
          <w:iCs/>
          <w:color w:val="27251E"/>
          <w:kern w:val="0"/>
          <w:bdr w:val="single" w:sz="2" w:space="0" w:color="auto" w:frame="1"/>
          <w:lang w:eastAsia="en-GB"/>
          <w14:ligatures w14:val="none"/>
        </w:rPr>
        <w:t>Corporate Finance: Principles and Practice</w:t>
      </w:r>
      <w:r w:rsidRPr="00D80788">
        <w:rPr>
          <w:rFonts w:ascii="pplxSerif" w:eastAsia="Times New Roman" w:hAnsi="pplxSerif" w:cs="Times New Roman"/>
          <w:color w:val="27251E"/>
          <w:kern w:val="0"/>
          <w:lang w:eastAsia="en-GB"/>
          <w14:ligatures w14:val="none"/>
        </w:rPr>
        <w:t xml:space="preserve">. 7th </w:t>
      </w:r>
      <w:proofErr w:type="spellStart"/>
      <w:r w:rsidRPr="00D80788">
        <w:rPr>
          <w:rFonts w:ascii="pplxSerif" w:eastAsia="Times New Roman" w:hAnsi="pplxSerif" w:cs="Times New Roman"/>
          <w:color w:val="27251E"/>
          <w:kern w:val="0"/>
          <w:lang w:eastAsia="en-GB"/>
          <w14:ligatures w14:val="none"/>
        </w:rPr>
        <w:t>edn</w:t>
      </w:r>
      <w:proofErr w:type="spellEnd"/>
      <w:r w:rsidRPr="00D80788">
        <w:rPr>
          <w:rFonts w:ascii="pplxSerif" w:eastAsia="Times New Roman" w:hAnsi="pplxSerif" w:cs="Times New Roman"/>
          <w:color w:val="27251E"/>
          <w:kern w:val="0"/>
          <w:lang w:eastAsia="en-GB"/>
          <w14:ligatures w14:val="none"/>
        </w:rPr>
        <w:t>. Harlow: Pearson.</w:t>
      </w:r>
    </w:p>
    <w:p w14:paraId="494B559C" w14:textId="77777777" w:rsidR="00742179" w:rsidRPr="00D80788" w:rsidRDefault="00742179" w:rsidP="00742179">
      <w:p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D80788">
        <w:rPr>
          <w:rFonts w:ascii="pplxSerif" w:eastAsia="Times New Roman" w:hAnsi="pplxSerif" w:cs="Times New Roman"/>
          <w:color w:val="27251E"/>
          <w:kern w:val="0"/>
          <w:lang w:eastAsia="en-GB"/>
          <w14:ligatures w14:val="none"/>
        </w:rPr>
        <w:t>Penman, S.H. (2013) </w:t>
      </w:r>
      <w:r w:rsidRPr="00D80788">
        <w:rPr>
          <w:rFonts w:ascii="pplxSerif" w:eastAsia="Times New Roman" w:hAnsi="pplxSerif" w:cs="Times New Roman"/>
          <w:i/>
          <w:iCs/>
          <w:color w:val="27251E"/>
          <w:kern w:val="0"/>
          <w:bdr w:val="single" w:sz="2" w:space="0" w:color="auto" w:frame="1"/>
          <w:lang w:eastAsia="en-GB"/>
          <w14:ligatures w14:val="none"/>
        </w:rPr>
        <w:t>Financial Statement Analysis and Security Valuation</w:t>
      </w:r>
      <w:r w:rsidRPr="00D80788">
        <w:rPr>
          <w:rFonts w:ascii="pplxSerif" w:eastAsia="Times New Roman" w:hAnsi="pplxSerif" w:cs="Times New Roman"/>
          <w:color w:val="27251E"/>
          <w:kern w:val="0"/>
          <w:lang w:eastAsia="en-GB"/>
          <w14:ligatures w14:val="none"/>
        </w:rPr>
        <w:t xml:space="preserve">. 5th </w:t>
      </w:r>
      <w:proofErr w:type="spellStart"/>
      <w:r w:rsidRPr="00D80788">
        <w:rPr>
          <w:rFonts w:ascii="pplxSerif" w:eastAsia="Times New Roman" w:hAnsi="pplxSerif" w:cs="Times New Roman"/>
          <w:color w:val="27251E"/>
          <w:kern w:val="0"/>
          <w:lang w:eastAsia="en-GB"/>
          <w14:ligatures w14:val="none"/>
        </w:rPr>
        <w:t>edn</w:t>
      </w:r>
      <w:proofErr w:type="spellEnd"/>
      <w:r w:rsidRPr="00D80788">
        <w:rPr>
          <w:rFonts w:ascii="pplxSerif" w:eastAsia="Times New Roman" w:hAnsi="pplxSerif" w:cs="Times New Roman"/>
          <w:color w:val="27251E"/>
          <w:kern w:val="0"/>
          <w:lang w:eastAsia="en-GB"/>
          <w14:ligatures w14:val="none"/>
        </w:rPr>
        <w:t>. New York: McGraw-Hill.</w:t>
      </w:r>
    </w:p>
    <w:p w14:paraId="6A200D0C" w14:textId="77777777" w:rsidR="00742179" w:rsidRPr="00D80788" w:rsidRDefault="00742179" w:rsidP="00742179">
      <w:p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D80788">
        <w:rPr>
          <w:rFonts w:ascii="pplxSerif" w:eastAsia="Times New Roman" w:hAnsi="pplxSerif" w:cs="Times New Roman"/>
          <w:color w:val="27251E"/>
          <w:kern w:val="0"/>
          <w:lang w:eastAsia="en-GB"/>
          <w14:ligatures w14:val="none"/>
        </w:rPr>
        <w:t>Gitman, L.J. and Zutter, C.J. (2015) </w:t>
      </w:r>
      <w:r w:rsidRPr="00D80788">
        <w:rPr>
          <w:rFonts w:ascii="pplxSerif" w:eastAsia="Times New Roman" w:hAnsi="pplxSerif" w:cs="Times New Roman"/>
          <w:i/>
          <w:iCs/>
          <w:color w:val="27251E"/>
          <w:kern w:val="0"/>
          <w:bdr w:val="single" w:sz="2" w:space="0" w:color="auto" w:frame="1"/>
          <w:lang w:eastAsia="en-GB"/>
          <w14:ligatures w14:val="none"/>
        </w:rPr>
        <w:t>Principles of Managerial Finance</w:t>
      </w:r>
      <w:r w:rsidRPr="00D80788">
        <w:rPr>
          <w:rFonts w:ascii="pplxSerif" w:eastAsia="Times New Roman" w:hAnsi="pplxSerif" w:cs="Times New Roman"/>
          <w:color w:val="27251E"/>
          <w:kern w:val="0"/>
          <w:lang w:eastAsia="en-GB"/>
          <w14:ligatures w14:val="none"/>
        </w:rPr>
        <w:t xml:space="preserve">. 14th </w:t>
      </w:r>
      <w:proofErr w:type="spellStart"/>
      <w:r w:rsidRPr="00D80788">
        <w:rPr>
          <w:rFonts w:ascii="pplxSerif" w:eastAsia="Times New Roman" w:hAnsi="pplxSerif" w:cs="Times New Roman"/>
          <w:color w:val="27251E"/>
          <w:kern w:val="0"/>
          <w:lang w:eastAsia="en-GB"/>
          <w14:ligatures w14:val="none"/>
        </w:rPr>
        <w:t>edn</w:t>
      </w:r>
      <w:proofErr w:type="spellEnd"/>
      <w:r w:rsidRPr="00D80788">
        <w:rPr>
          <w:rFonts w:ascii="pplxSerif" w:eastAsia="Times New Roman" w:hAnsi="pplxSerif" w:cs="Times New Roman"/>
          <w:color w:val="27251E"/>
          <w:kern w:val="0"/>
          <w:lang w:eastAsia="en-GB"/>
          <w14:ligatures w14:val="none"/>
        </w:rPr>
        <w:t>. Boston: Pearson.</w:t>
      </w:r>
    </w:p>
    <w:p w14:paraId="6AA17B38" w14:textId="77777777" w:rsidR="00742179" w:rsidRPr="00D80788" w:rsidRDefault="00742179" w:rsidP="00742179">
      <w:pPr>
        <w:shd w:val="clear" w:color="auto" w:fill="FDFBFA"/>
        <w:spacing w:before="100" w:beforeAutospacing="1" w:after="100" w:afterAutospacing="1" w:line="240" w:lineRule="auto"/>
        <w:rPr>
          <w:rFonts w:ascii="pplxSerif" w:eastAsia="Times New Roman" w:hAnsi="pplxSerif" w:cs="Times New Roman"/>
          <w:color w:val="27251E"/>
          <w:kern w:val="0"/>
          <w:lang w:eastAsia="en-GB"/>
          <w14:ligatures w14:val="none"/>
        </w:rPr>
      </w:pPr>
      <w:r w:rsidRPr="00D80788">
        <w:rPr>
          <w:rFonts w:ascii="pplxSerif" w:eastAsia="Times New Roman" w:hAnsi="pplxSerif" w:cs="Times New Roman"/>
          <w:color w:val="27251E"/>
          <w:kern w:val="0"/>
          <w:lang w:eastAsia="en-GB"/>
          <w14:ligatures w14:val="none"/>
        </w:rPr>
        <w:lastRenderedPageBreak/>
        <w:t>Damodaran, A. (2012) </w:t>
      </w:r>
      <w:r w:rsidRPr="00D80788">
        <w:rPr>
          <w:rFonts w:ascii="pplxSerif" w:eastAsia="Times New Roman" w:hAnsi="pplxSerif" w:cs="Times New Roman"/>
          <w:i/>
          <w:iCs/>
          <w:color w:val="27251E"/>
          <w:kern w:val="0"/>
          <w:bdr w:val="single" w:sz="2" w:space="0" w:color="auto" w:frame="1"/>
          <w:lang w:eastAsia="en-GB"/>
          <w14:ligatures w14:val="none"/>
        </w:rPr>
        <w:t>Investment Valuation: Tools and Techniques for Determining the Value of Any Asset</w:t>
      </w:r>
      <w:r w:rsidRPr="00D80788">
        <w:rPr>
          <w:rFonts w:ascii="pplxSerif" w:eastAsia="Times New Roman" w:hAnsi="pplxSerif" w:cs="Times New Roman"/>
          <w:color w:val="27251E"/>
          <w:kern w:val="0"/>
          <w:lang w:eastAsia="en-GB"/>
          <w14:ligatures w14:val="none"/>
        </w:rPr>
        <w:t xml:space="preserve">. 3rd </w:t>
      </w:r>
      <w:proofErr w:type="spellStart"/>
      <w:r w:rsidRPr="00D80788">
        <w:rPr>
          <w:rFonts w:ascii="pplxSerif" w:eastAsia="Times New Roman" w:hAnsi="pplxSerif" w:cs="Times New Roman"/>
          <w:color w:val="27251E"/>
          <w:kern w:val="0"/>
          <w:lang w:eastAsia="en-GB"/>
          <w14:ligatures w14:val="none"/>
        </w:rPr>
        <w:t>edn</w:t>
      </w:r>
      <w:proofErr w:type="spellEnd"/>
      <w:r w:rsidRPr="00D80788">
        <w:rPr>
          <w:rFonts w:ascii="pplxSerif" w:eastAsia="Times New Roman" w:hAnsi="pplxSerif" w:cs="Times New Roman"/>
          <w:color w:val="27251E"/>
          <w:kern w:val="0"/>
          <w:lang w:eastAsia="en-GB"/>
          <w14:ligatures w14:val="none"/>
        </w:rPr>
        <w:t>. Hoboken: Wiley.</w:t>
      </w:r>
    </w:p>
    <w:p w14:paraId="2275032B" w14:textId="500108D5" w:rsidR="008516A6" w:rsidRPr="008516A6" w:rsidRDefault="008516A6" w:rsidP="008516A6">
      <w:pPr>
        <w:rPr>
          <w:rFonts w:ascii="Arial" w:eastAsia="Times New Roman" w:hAnsi="Arial" w:cs="Arial"/>
          <w:b/>
          <w:bCs/>
          <w:lang w:eastAsia="en-GB"/>
        </w:rPr>
      </w:pPr>
    </w:p>
    <w:sectPr w:rsidR="008516A6" w:rsidRPr="008516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F5E292" w14:textId="77777777" w:rsidR="00C60B95" w:rsidRDefault="00C60B95" w:rsidP="00655AD7">
      <w:pPr>
        <w:spacing w:after="0" w:line="240" w:lineRule="auto"/>
      </w:pPr>
      <w:r>
        <w:separator/>
      </w:r>
    </w:p>
  </w:endnote>
  <w:endnote w:type="continuationSeparator" w:id="0">
    <w:p w14:paraId="2FF43A88" w14:textId="77777777" w:rsidR="00C60B95" w:rsidRDefault="00C60B95" w:rsidP="00655A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pplxSerif">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FBF603" w14:textId="77777777" w:rsidR="00C60B95" w:rsidRDefault="00C60B95" w:rsidP="00655AD7">
      <w:pPr>
        <w:spacing w:after="0" w:line="240" w:lineRule="auto"/>
      </w:pPr>
      <w:r>
        <w:separator/>
      </w:r>
    </w:p>
  </w:footnote>
  <w:footnote w:type="continuationSeparator" w:id="0">
    <w:p w14:paraId="35E2ED27" w14:textId="77777777" w:rsidR="00C60B95" w:rsidRDefault="00C60B95" w:rsidP="00655A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F1CA9"/>
    <w:multiLevelType w:val="multilevel"/>
    <w:tmpl w:val="6ABC0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7340417"/>
    <w:multiLevelType w:val="multilevel"/>
    <w:tmpl w:val="3B2A4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9435F71"/>
    <w:multiLevelType w:val="multilevel"/>
    <w:tmpl w:val="8A66E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179630A"/>
    <w:multiLevelType w:val="multilevel"/>
    <w:tmpl w:val="6DD28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4962B8C"/>
    <w:multiLevelType w:val="multilevel"/>
    <w:tmpl w:val="C8866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0F23682"/>
    <w:multiLevelType w:val="multilevel"/>
    <w:tmpl w:val="91283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36B134F"/>
    <w:multiLevelType w:val="multilevel"/>
    <w:tmpl w:val="BF9C4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9395AE6"/>
    <w:multiLevelType w:val="multilevel"/>
    <w:tmpl w:val="CE646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B937E9B"/>
    <w:multiLevelType w:val="multilevel"/>
    <w:tmpl w:val="85FEC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E5E40E1"/>
    <w:multiLevelType w:val="multilevel"/>
    <w:tmpl w:val="53181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FCC11F3"/>
    <w:multiLevelType w:val="multilevel"/>
    <w:tmpl w:val="73646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107604826">
    <w:abstractNumId w:val="7"/>
  </w:num>
  <w:num w:numId="2" w16cid:durableId="1621570843">
    <w:abstractNumId w:val="9"/>
  </w:num>
  <w:num w:numId="3" w16cid:durableId="1729764216">
    <w:abstractNumId w:val="10"/>
  </w:num>
  <w:num w:numId="4" w16cid:durableId="1835608349">
    <w:abstractNumId w:val="5"/>
  </w:num>
  <w:num w:numId="5" w16cid:durableId="204341306">
    <w:abstractNumId w:val="6"/>
  </w:num>
  <w:num w:numId="6" w16cid:durableId="1996444722">
    <w:abstractNumId w:val="4"/>
  </w:num>
  <w:num w:numId="7" w16cid:durableId="190799978">
    <w:abstractNumId w:val="1"/>
  </w:num>
  <w:num w:numId="8" w16cid:durableId="450317906">
    <w:abstractNumId w:val="8"/>
  </w:num>
  <w:num w:numId="9" w16cid:durableId="1721172666">
    <w:abstractNumId w:val="0"/>
  </w:num>
  <w:num w:numId="10" w16cid:durableId="675764638">
    <w:abstractNumId w:val="3"/>
  </w:num>
  <w:num w:numId="11" w16cid:durableId="3375852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BD5"/>
    <w:rsid w:val="00104F21"/>
    <w:rsid w:val="00170ACE"/>
    <w:rsid w:val="00364C5E"/>
    <w:rsid w:val="005825A0"/>
    <w:rsid w:val="005F5A8A"/>
    <w:rsid w:val="00655AD7"/>
    <w:rsid w:val="00677BDF"/>
    <w:rsid w:val="007207B4"/>
    <w:rsid w:val="00742179"/>
    <w:rsid w:val="007D5BD5"/>
    <w:rsid w:val="00811C17"/>
    <w:rsid w:val="008516A6"/>
    <w:rsid w:val="00A260DF"/>
    <w:rsid w:val="00A84603"/>
    <w:rsid w:val="00AD2354"/>
    <w:rsid w:val="00B6400E"/>
    <w:rsid w:val="00C60B95"/>
    <w:rsid w:val="00C64413"/>
    <w:rsid w:val="00D45C0F"/>
    <w:rsid w:val="00DA03A9"/>
    <w:rsid w:val="00E131A5"/>
    <w:rsid w:val="00F158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6DC04"/>
  <w15:chartTrackingRefBased/>
  <w15:docId w15:val="{68D8F576-0910-4E47-89EF-057B71BE1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5BD5"/>
  </w:style>
  <w:style w:type="paragraph" w:styleId="Heading1">
    <w:name w:val="heading 1"/>
    <w:basedOn w:val="Normal"/>
    <w:next w:val="Normal"/>
    <w:link w:val="Heading1Char"/>
    <w:uiPriority w:val="9"/>
    <w:qFormat/>
    <w:rsid w:val="007D5B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5B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5B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5B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5B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5B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5B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5B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5B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5B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5B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5B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5B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5B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5B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5B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5B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5BD5"/>
    <w:rPr>
      <w:rFonts w:eastAsiaTheme="majorEastAsia" w:cstheme="majorBidi"/>
      <w:color w:val="272727" w:themeColor="text1" w:themeTint="D8"/>
    </w:rPr>
  </w:style>
  <w:style w:type="paragraph" w:styleId="Title">
    <w:name w:val="Title"/>
    <w:basedOn w:val="Normal"/>
    <w:next w:val="Normal"/>
    <w:link w:val="TitleChar"/>
    <w:uiPriority w:val="10"/>
    <w:qFormat/>
    <w:rsid w:val="007D5B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5B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5B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5B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5BD5"/>
    <w:pPr>
      <w:spacing w:before="160"/>
      <w:jc w:val="center"/>
    </w:pPr>
    <w:rPr>
      <w:i/>
      <w:iCs/>
      <w:color w:val="404040" w:themeColor="text1" w:themeTint="BF"/>
    </w:rPr>
  </w:style>
  <w:style w:type="character" w:customStyle="1" w:styleId="QuoteChar">
    <w:name w:val="Quote Char"/>
    <w:basedOn w:val="DefaultParagraphFont"/>
    <w:link w:val="Quote"/>
    <w:uiPriority w:val="29"/>
    <w:rsid w:val="007D5BD5"/>
    <w:rPr>
      <w:i/>
      <w:iCs/>
      <w:color w:val="404040" w:themeColor="text1" w:themeTint="BF"/>
    </w:rPr>
  </w:style>
  <w:style w:type="paragraph" w:styleId="ListParagraph">
    <w:name w:val="List Paragraph"/>
    <w:basedOn w:val="Normal"/>
    <w:uiPriority w:val="34"/>
    <w:qFormat/>
    <w:rsid w:val="007D5BD5"/>
    <w:pPr>
      <w:ind w:left="720"/>
      <w:contextualSpacing/>
    </w:pPr>
  </w:style>
  <w:style w:type="character" w:styleId="IntenseEmphasis">
    <w:name w:val="Intense Emphasis"/>
    <w:basedOn w:val="DefaultParagraphFont"/>
    <w:uiPriority w:val="21"/>
    <w:qFormat/>
    <w:rsid w:val="007D5BD5"/>
    <w:rPr>
      <w:i/>
      <w:iCs/>
      <w:color w:val="0F4761" w:themeColor="accent1" w:themeShade="BF"/>
    </w:rPr>
  </w:style>
  <w:style w:type="paragraph" w:styleId="IntenseQuote">
    <w:name w:val="Intense Quote"/>
    <w:basedOn w:val="Normal"/>
    <w:next w:val="Normal"/>
    <w:link w:val="IntenseQuoteChar"/>
    <w:uiPriority w:val="30"/>
    <w:qFormat/>
    <w:rsid w:val="007D5B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5BD5"/>
    <w:rPr>
      <w:i/>
      <w:iCs/>
      <w:color w:val="0F4761" w:themeColor="accent1" w:themeShade="BF"/>
    </w:rPr>
  </w:style>
  <w:style w:type="character" w:styleId="IntenseReference">
    <w:name w:val="Intense Reference"/>
    <w:basedOn w:val="DefaultParagraphFont"/>
    <w:uiPriority w:val="32"/>
    <w:qFormat/>
    <w:rsid w:val="007D5BD5"/>
    <w:rPr>
      <w:b/>
      <w:bCs/>
      <w:smallCaps/>
      <w:color w:val="0F4761" w:themeColor="accent1" w:themeShade="BF"/>
      <w:spacing w:val="5"/>
    </w:rPr>
  </w:style>
  <w:style w:type="character" w:styleId="Emphasis">
    <w:name w:val="Emphasis"/>
    <w:basedOn w:val="DefaultParagraphFont"/>
    <w:uiPriority w:val="20"/>
    <w:qFormat/>
    <w:rsid w:val="00655AD7"/>
    <w:rPr>
      <w:i/>
      <w:iCs/>
    </w:rPr>
  </w:style>
  <w:style w:type="paragraph" w:styleId="Header">
    <w:name w:val="header"/>
    <w:basedOn w:val="Normal"/>
    <w:link w:val="HeaderChar"/>
    <w:uiPriority w:val="99"/>
    <w:unhideWhenUsed/>
    <w:rsid w:val="00655A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5AD7"/>
  </w:style>
  <w:style w:type="paragraph" w:styleId="Footer">
    <w:name w:val="footer"/>
    <w:basedOn w:val="Normal"/>
    <w:link w:val="FooterChar"/>
    <w:uiPriority w:val="99"/>
    <w:unhideWhenUsed/>
    <w:rsid w:val="00655A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5AD7"/>
  </w:style>
  <w:style w:type="paragraph" w:customStyle="1" w:styleId="my-2">
    <w:name w:val="my-2"/>
    <w:basedOn w:val="Normal"/>
    <w:rsid w:val="00170AC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7207B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E0DF3E-6DBA-5847-96B2-925C7935F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25</Pages>
  <Words>4829</Words>
  <Characters>27530</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Tirth Ghanshyambhai Patel (2522415)</dc:creator>
  <cp:keywords/>
  <dc:description/>
  <cp:lastModifiedBy>Tirth Ghanshyambhai Patel (2522415)</cp:lastModifiedBy>
  <cp:revision>16</cp:revision>
  <dcterms:created xsi:type="dcterms:W3CDTF">2026-04-23T11:43:00Z</dcterms:created>
  <dcterms:modified xsi:type="dcterms:W3CDTF">2026-04-23T13:30:00Z</dcterms:modified>
</cp:coreProperties>
</file>