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glossary/document.xml" ContentType="application/vnd.openxmlformats-officedocument.wordprocessingml.document.glossary+xml"/>
  <Override PartName="/word/glossary/endnotes.xml" ContentType="application/vnd.openxmlformats-officedocument.wordprocessingml.endnotes+xml"/>
  <Override PartName="/word/glossary/fontTable.xml" ContentType="application/vnd.openxmlformats-officedocument.wordprocessingml.fontTable+xml"/>
  <Override PartName="/word/glossary/footnotes.xml" ContentType="application/vnd.openxmlformats-officedocument.wordprocessingml.footnotes+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1DEBF6B">
      <w:pPr>
        <w:jc w:val="both"/>
        <w:rPr>
          <w:b/>
          <w:bCs/>
          <w:sz w:val="56"/>
          <w:szCs w:val="56"/>
        </w:rPr>
      </w:pPr>
      <w:bookmarkStart w:id="30" w:name="_GoBack"/>
      <w:bookmarkEnd w:id="30"/>
    </w:p>
    <w:p w14:paraId="79623047">
      <w:pPr>
        <w:jc w:val="both"/>
        <w:rPr>
          <w:b/>
          <w:bCs/>
          <w:sz w:val="56"/>
          <w:szCs w:val="56"/>
        </w:rPr>
      </w:pPr>
    </w:p>
    <w:p w14:paraId="46E30DC7">
      <w:pPr>
        <w:jc w:val="center"/>
        <w:rPr>
          <w:b/>
          <w:bCs/>
          <w:sz w:val="56"/>
          <w:szCs w:val="56"/>
          <w:lang w:val="en-US"/>
        </w:rPr>
      </w:pPr>
      <w:r>
        <w:rPr>
          <w:b/>
          <w:bCs/>
          <w:sz w:val="56"/>
          <w:szCs w:val="56"/>
        </w:rPr>
        <w:t xml:space="preserve">Student Number: </w:t>
      </w:r>
      <w:r>
        <w:rPr>
          <w:b/>
          <w:bCs/>
          <w:sz w:val="56"/>
          <w:szCs w:val="56"/>
          <w:lang w:val="en-US"/>
        </w:rPr>
        <w:t>UP2291368</w:t>
      </w:r>
    </w:p>
    <w:p w14:paraId="0F945A0C">
      <w:pPr>
        <w:jc w:val="center"/>
        <w:rPr>
          <w:b/>
          <w:bCs/>
          <w:sz w:val="56"/>
          <w:szCs w:val="56"/>
        </w:rPr>
      </w:pPr>
      <w:r>
        <w:rPr>
          <w:b/>
          <w:bCs/>
          <w:sz w:val="56"/>
          <w:szCs w:val="56"/>
        </w:rPr>
        <w:t>Assignment:</w:t>
      </w:r>
    </w:p>
    <w:p w14:paraId="494F2E2A">
      <w:pPr>
        <w:jc w:val="center"/>
        <w:rPr>
          <w:b/>
          <w:bCs/>
          <w:sz w:val="56"/>
          <w:szCs w:val="56"/>
        </w:rPr>
      </w:pPr>
      <w:r>
        <w:rPr>
          <w:b/>
          <w:bCs/>
          <w:sz w:val="56"/>
          <w:szCs w:val="56"/>
        </w:rPr>
        <w:t>Professional Research and Development Proposal</w:t>
      </w:r>
    </w:p>
    <w:p w14:paraId="7DAAD6BF">
      <w:pPr>
        <w:jc w:val="center"/>
        <w:rPr>
          <w:b/>
          <w:bCs/>
          <w:sz w:val="56"/>
          <w:szCs w:val="56"/>
        </w:rPr>
      </w:pPr>
      <w:r>
        <w:rPr>
          <w:b/>
          <w:bCs/>
          <w:sz w:val="56"/>
          <w:szCs w:val="56"/>
        </w:rPr>
        <w:t>Title of Research Proposal:</w:t>
      </w:r>
    </w:p>
    <w:p w14:paraId="1DFD6742">
      <w:pPr>
        <w:ind w:left="720"/>
        <w:jc w:val="center"/>
        <w:rPr>
          <w:sz w:val="56"/>
          <w:szCs w:val="56"/>
        </w:rPr>
      </w:pPr>
      <w:r>
        <w:rPr>
          <w:b/>
          <w:bCs/>
          <w:sz w:val="56"/>
          <w:szCs w:val="56"/>
        </w:rPr>
        <w:t>Analysing the Challenges and Opportunities in Micro-Credentials: A Multi-Stakeholders Perspective.</w:t>
      </w:r>
    </w:p>
    <w:p w14:paraId="1D6F0AD9">
      <w:pPr>
        <w:rPr>
          <w:b/>
          <w:bCs/>
          <w:sz w:val="72"/>
          <w:szCs w:val="72"/>
        </w:rPr>
      </w:pPr>
    </w:p>
    <w:p w14:paraId="47FFDF54">
      <w:pPr>
        <w:rPr>
          <w:b/>
          <w:bCs/>
        </w:rPr>
      </w:pPr>
    </w:p>
    <w:p w14:paraId="3E2771B5">
      <w:pPr>
        <w:rPr>
          <w:b/>
          <w:bCs/>
        </w:rPr>
      </w:pPr>
    </w:p>
    <w:p w14:paraId="0A41FE94"/>
    <w:p w14:paraId="20D034BB"/>
    <w:sdt>
      <w:sdtPr>
        <w:rPr>
          <w:rFonts w:asciiTheme="minorHAnsi" w:hAnsiTheme="minorHAnsi" w:eastAsiaTheme="minorHAnsi" w:cstheme="minorBidi"/>
          <w:color w:val="auto"/>
          <w:sz w:val="22"/>
          <w:szCs w:val="22"/>
          <w:lang w:val="en-GB"/>
        </w:rPr>
        <w:id w:val="-2145805438"/>
        <w:docPartObj>
          <w:docPartGallery w:val="Table of Contents"/>
          <w:docPartUnique/>
        </w:docPartObj>
      </w:sdtPr>
      <w:sdtEndPr>
        <w:rPr>
          <w:rFonts w:asciiTheme="minorHAnsi" w:hAnsiTheme="minorHAnsi" w:eastAsiaTheme="minorHAnsi" w:cstheme="minorBidi"/>
          <w:b/>
          <w:bCs/>
          <w:color w:val="auto"/>
          <w:sz w:val="22"/>
          <w:szCs w:val="22"/>
          <w:lang w:val="en-GB"/>
        </w:rPr>
      </w:sdtEndPr>
      <w:sdtContent>
        <w:p w14:paraId="6E83AFEA">
          <w:pPr>
            <w:pStyle w:val="42"/>
          </w:pPr>
          <w:r>
            <w:t>Contents</w:t>
          </w:r>
        </w:p>
        <w:p w14:paraId="4D0096DF">
          <w:pPr>
            <w:pStyle w:val="20"/>
            <w:tabs>
              <w:tab w:val="right" w:leader="dot" w:pos="9016"/>
            </w:tabs>
          </w:pPr>
          <w:r>
            <w:fldChar w:fldCharType="begin"/>
          </w:r>
          <w:r>
            <w:instrText xml:space="preserve"> TOC \o "1-3" \h \z \u </w:instrText>
          </w:r>
          <w:r>
            <w:fldChar w:fldCharType="separate"/>
          </w:r>
          <w:r>
            <w:fldChar w:fldCharType="begin"/>
          </w:r>
          <w:r>
            <w:instrText xml:space="preserve"> HYPERLINK \l "_Toc208438489" </w:instrText>
          </w:r>
          <w:r>
            <w:fldChar w:fldCharType="separate"/>
          </w:r>
          <w:r>
            <w:rPr>
              <w:rStyle w:val="15"/>
            </w:rPr>
            <w:t>Analysing the Challenges and Opportunities in Micro-Credentials: A Multi-Stakeholders Perspective.</w:t>
          </w:r>
          <w:r>
            <w:tab/>
          </w:r>
          <w:r>
            <w:fldChar w:fldCharType="begin"/>
          </w:r>
          <w:r>
            <w:instrText xml:space="preserve"> PAGEREF _Toc208438489 \h </w:instrText>
          </w:r>
          <w:r>
            <w:fldChar w:fldCharType="separate"/>
          </w:r>
          <w:r>
            <w:t>3</w:t>
          </w:r>
          <w:r>
            <w:fldChar w:fldCharType="end"/>
          </w:r>
          <w:r>
            <w:fldChar w:fldCharType="end"/>
          </w:r>
        </w:p>
        <w:p w14:paraId="2AA8D463">
          <w:pPr>
            <w:pStyle w:val="20"/>
            <w:tabs>
              <w:tab w:val="right" w:leader="dot" w:pos="9016"/>
            </w:tabs>
          </w:pPr>
          <w:r>
            <w:fldChar w:fldCharType="begin"/>
          </w:r>
          <w:r>
            <w:instrText xml:space="preserve"> HYPERLINK \l "_Toc208438490" </w:instrText>
          </w:r>
          <w:r>
            <w:fldChar w:fldCharType="separate"/>
          </w:r>
          <w:r>
            <w:rPr>
              <w:rStyle w:val="15"/>
            </w:rPr>
            <w:t>Introduction to the Research Problem</w:t>
          </w:r>
          <w:r>
            <w:tab/>
          </w:r>
          <w:r>
            <w:fldChar w:fldCharType="begin"/>
          </w:r>
          <w:r>
            <w:instrText xml:space="preserve"> PAGEREF _Toc208438490 \h </w:instrText>
          </w:r>
          <w:r>
            <w:fldChar w:fldCharType="separate"/>
          </w:r>
          <w:r>
            <w:t>3</w:t>
          </w:r>
          <w:r>
            <w:fldChar w:fldCharType="end"/>
          </w:r>
          <w:r>
            <w:fldChar w:fldCharType="end"/>
          </w:r>
        </w:p>
        <w:p w14:paraId="29E8989B">
          <w:pPr>
            <w:pStyle w:val="20"/>
            <w:tabs>
              <w:tab w:val="right" w:leader="dot" w:pos="9016"/>
            </w:tabs>
          </w:pPr>
          <w:r>
            <w:fldChar w:fldCharType="begin"/>
          </w:r>
          <w:r>
            <w:instrText xml:space="preserve"> HYPERLINK \l "_Toc208438491" </w:instrText>
          </w:r>
          <w:r>
            <w:fldChar w:fldCharType="separate"/>
          </w:r>
          <w:r>
            <w:rPr>
              <w:rStyle w:val="15"/>
            </w:rPr>
            <w:t>The Aim and Objectives of the Study</w:t>
          </w:r>
          <w:r>
            <w:tab/>
          </w:r>
          <w:r>
            <w:fldChar w:fldCharType="begin"/>
          </w:r>
          <w:r>
            <w:instrText xml:space="preserve"> PAGEREF _Toc208438491 \h </w:instrText>
          </w:r>
          <w:r>
            <w:fldChar w:fldCharType="separate"/>
          </w:r>
          <w:r>
            <w:t>4</w:t>
          </w:r>
          <w:r>
            <w:fldChar w:fldCharType="end"/>
          </w:r>
          <w:r>
            <w:fldChar w:fldCharType="end"/>
          </w:r>
        </w:p>
        <w:p w14:paraId="5B334674">
          <w:pPr>
            <w:pStyle w:val="20"/>
            <w:tabs>
              <w:tab w:val="right" w:leader="dot" w:pos="9016"/>
            </w:tabs>
          </w:pPr>
          <w:r>
            <w:fldChar w:fldCharType="begin"/>
          </w:r>
          <w:r>
            <w:instrText xml:space="preserve"> HYPERLINK \l "_Toc208438492" </w:instrText>
          </w:r>
          <w:r>
            <w:fldChar w:fldCharType="separate"/>
          </w:r>
          <w:r>
            <w:rPr>
              <w:rStyle w:val="15"/>
            </w:rPr>
            <w:t>Literature Review</w:t>
          </w:r>
          <w:r>
            <w:tab/>
          </w:r>
          <w:r>
            <w:fldChar w:fldCharType="begin"/>
          </w:r>
          <w:r>
            <w:instrText xml:space="preserve"> PAGEREF _Toc208438492 \h </w:instrText>
          </w:r>
          <w:r>
            <w:fldChar w:fldCharType="separate"/>
          </w:r>
          <w:r>
            <w:t>4</w:t>
          </w:r>
          <w:r>
            <w:fldChar w:fldCharType="end"/>
          </w:r>
          <w:r>
            <w:fldChar w:fldCharType="end"/>
          </w:r>
        </w:p>
        <w:p w14:paraId="5922A94E">
          <w:pPr>
            <w:pStyle w:val="20"/>
            <w:tabs>
              <w:tab w:val="right" w:leader="dot" w:pos="9016"/>
            </w:tabs>
          </w:pPr>
          <w:r>
            <w:fldChar w:fldCharType="begin"/>
          </w:r>
          <w:r>
            <w:instrText xml:space="preserve"> HYPERLINK \l "_Toc208438493" </w:instrText>
          </w:r>
          <w:r>
            <w:fldChar w:fldCharType="separate"/>
          </w:r>
          <w:r>
            <w:rPr>
              <w:rStyle w:val="15"/>
            </w:rPr>
            <w:t>Employees’/Learners’ Perspective</w:t>
          </w:r>
          <w:r>
            <w:tab/>
          </w:r>
          <w:r>
            <w:fldChar w:fldCharType="begin"/>
          </w:r>
          <w:r>
            <w:instrText xml:space="preserve"> PAGEREF _Toc208438493 \h </w:instrText>
          </w:r>
          <w:r>
            <w:fldChar w:fldCharType="separate"/>
          </w:r>
          <w:r>
            <w:t>5</w:t>
          </w:r>
          <w:r>
            <w:fldChar w:fldCharType="end"/>
          </w:r>
          <w:r>
            <w:fldChar w:fldCharType="end"/>
          </w:r>
        </w:p>
        <w:p w14:paraId="21C5F506">
          <w:pPr>
            <w:pStyle w:val="20"/>
            <w:tabs>
              <w:tab w:val="right" w:leader="dot" w:pos="9016"/>
            </w:tabs>
          </w:pPr>
          <w:r>
            <w:fldChar w:fldCharType="begin"/>
          </w:r>
          <w:r>
            <w:instrText xml:space="preserve"> HYPERLINK \l "_Toc208438494" </w:instrText>
          </w:r>
          <w:r>
            <w:fldChar w:fldCharType="separate"/>
          </w:r>
          <w:r>
            <w:rPr>
              <w:rStyle w:val="15"/>
            </w:rPr>
            <w:t>Employers’ Perspective</w:t>
          </w:r>
          <w:r>
            <w:tab/>
          </w:r>
          <w:r>
            <w:fldChar w:fldCharType="begin"/>
          </w:r>
          <w:r>
            <w:instrText xml:space="preserve"> PAGEREF _Toc208438494 \h </w:instrText>
          </w:r>
          <w:r>
            <w:fldChar w:fldCharType="separate"/>
          </w:r>
          <w:r>
            <w:t>5</w:t>
          </w:r>
          <w:r>
            <w:fldChar w:fldCharType="end"/>
          </w:r>
          <w:r>
            <w:fldChar w:fldCharType="end"/>
          </w:r>
        </w:p>
        <w:p w14:paraId="425598EF">
          <w:pPr>
            <w:pStyle w:val="20"/>
            <w:tabs>
              <w:tab w:val="right" w:leader="dot" w:pos="9016"/>
            </w:tabs>
          </w:pPr>
          <w:r>
            <w:fldChar w:fldCharType="begin"/>
          </w:r>
          <w:r>
            <w:instrText xml:space="preserve"> HYPERLINK \l "_Toc208438495" </w:instrText>
          </w:r>
          <w:r>
            <w:fldChar w:fldCharType="separate"/>
          </w:r>
          <w:r>
            <w:rPr>
              <w:rStyle w:val="15"/>
            </w:rPr>
            <w:t>Institutional Perspective</w:t>
          </w:r>
          <w:r>
            <w:tab/>
          </w:r>
          <w:r>
            <w:fldChar w:fldCharType="begin"/>
          </w:r>
          <w:r>
            <w:instrText xml:space="preserve"> PAGEREF _Toc208438495 \h </w:instrText>
          </w:r>
          <w:r>
            <w:fldChar w:fldCharType="separate"/>
          </w:r>
          <w:r>
            <w:t>6</w:t>
          </w:r>
          <w:r>
            <w:fldChar w:fldCharType="end"/>
          </w:r>
          <w:r>
            <w:fldChar w:fldCharType="end"/>
          </w:r>
        </w:p>
        <w:p w14:paraId="68D8D3AD">
          <w:pPr>
            <w:pStyle w:val="20"/>
            <w:tabs>
              <w:tab w:val="right" w:leader="dot" w:pos="9016"/>
            </w:tabs>
          </w:pPr>
          <w:r>
            <w:fldChar w:fldCharType="begin"/>
          </w:r>
          <w:r>
            <w:instrText xml:space="preserve"> HYPERLINK \l "_Toc208438496" </w:instrText>
          </w:r>
          <w:r>
            <w:fldChar w:fldCharType="separate"/>
          </w:r>
          <w:r>
            <w:rPr>
              <w:rStyle w:val="15"/>
            </w:rPr>
            <w:t>Perceived Challenges Facing Micro-Credentials</w:t>
          </w:r>
          <w:r>
            <w:tab/>
          </w:r>
          <w:r>
            <w:fldChar w:fldCharType="begin"/>
          </w:r>
          <w:r>
            <w:instrText xml:space="preserve"> PAGEREF _Toc208438496 \h </w:instrText>
          </w:r>
          <w:r>
            <w:fldChar w:fldCharType="separate"/>
          </w:r>
          <w:r>
            <w:t>6</w:t>
          </w:r>
          <w:r>
            <w:fldChar w:fldCharType="end"/>
          </w:r>
          <w:r>
            <w:fldChar w:fldCharType="end"/>
          </w:r>
        </w:p>
        <w:p w14:paraId="613D7F4B">
          <w:pPr>
            <w:pStyle w:val="20"/>
            <w:tabs>
              <w:tab w:val="right" w:leader="dot" w:pos="9016"/>
            </w:tabs>
          </w:pPr>
          <w:r>
            <w:fldChar w:fldCharType="begin"/>
          </w:r>
          <w:r>
            <w:instrText xml:space="preserve"> HYPERLINK \l "_Toc208438497" </w:instrText>
          </w:r>
          <w:r>
            <w:fldChar w:fldCharType="separate"/>
          </w:r>
          <w:r>
            <w:rPr>
              <w:rStyle w:val="15"/>
            </w:rPr>
            <w:t>Opportunities Associated with Micro-Credentials</w:t>
          </w:r>
          <w:r>
            <w:tab/>
          </w:r>
          <w:r>
            <w:fldChar w:fldCharType="begin"/>
          </w:r>
          <w:r>
            <w:instrText xml:space="preserve"> PAGEREF _Toc208438497 \h </w:instrText>
          </w:r>
          <w:r>
            <w:fldChar w:fldCharType="separate"/>
          </w:r>
          <w:r>
            <w:t>7</w:t>
          </w:r>
          <w:r>
            <w:fldChar w:fldCharType="end"/>
          </w:r>
          <w:r>
            <w:fldChar w:fldCharType="end"/>
          </w:r>
        </w:p>
        <w:p w14:paraId="0F494C39">
          <w:pPr>
            <w:pStyle w:val="20"/>
            <w:tabs>
              <w:tab w:val="right" w:leader="dot" w:pos="9016"/>
            </w:tabs>
          </w:pPr>
          <w:r>
            <w:fldChar w:fldCharType="begin"/>
          </w:r>
          <w:r>
            <w:instrText xml:space="preserve"> HYPERLINK \l "_Toc208438498" </w:instrText>
          </w:r>
          <w:r>
            <w:fldChar w:fldCharType="separate"/>
          </w:r>
          <w:r>
            <w:rPr>
              <w:rStyle w:val="15"/>
            </w:rPr>
            <w:t>Theoretical Considerations</w:t>
          </w:r>
          <w:r>
            <w:tab/>
          </w:r>
          <w:r>
            <w:fldChar w:fldCharType="begin"/>
          </w:r>
          <w:r>
            <w:instrText xml:space="preserve"> PAGEREF _Toc208438498 \h </w:instrText>
          </w:r>
          <w:r>
            <w:fldChar w:fldCharType="separate"/>
          </w:r>
          <w:r>
            <w:t>8</w:t>
          </w:r>
          <w:r>
            <w:fldChar w:fldCharType="end"/>
          </w:r>
          <w:r>
            <w:fldChar w:fldCharType="end"/>
          </w:r>
        </w:p>
        <w:p w14:paraId="09FDD05F">
          <w:pPr>
            <w:pStyle w:val="21"/>
            <w:tabs>
              <w:tab w:val="right" w:leader="dot" w:pos="9016"/>
            </w:tabs>
          </w:pPr>
          <w:r>
            <w:fldChar w:fldCharType="begin"/>
          </w:r>
          <w:r>
            <w:instrText xml:space="preserve"> HYPERLINK \l "_Toc208438499" </w:instrText>
          </w:r>
          <w:r>
            <w:fldChar w:fldCharType="separate"/>
          </w:r>
          <w:r>
            <w:rPr>
              <w:rStyle w:val="15"/>
            </w:rPr>
            <w:t>Ecological Systems Theory in Micro-Credentials Consideration</w:t>
          </w:r>
          <w:r>
            <w:tab/>
          </w:r>
          <w:r>
            <w:fldChar w:fldCharType="begin"/>
          </w:r>
          <w:r>
            <w:instrText xml:space="preserve"> PAGEREF _Toc208438499 \h </w:instrText>
          </w:r>
          <w:r>
            <w:fldChar w:fldCharType="separate"/>
          </w:r>
          <w:r>
            <w:t>8</w:t>
          </w:r>
          <w:r>
            <w:fldChar w:fldCharType="end"/>
          </w:r>
          <w:r>
            <w:fldChar w:fldCharType="end"/>
          </w:r>
        </w:p>
        <w:p w14:paraId="692F7FB0">
          <w:pPr>
            <w:pStyle w:val="20"/>
            <w:tabs>
              <w:tab w:val="right" w:leader="dot" w:pos="9016"/>
            </w:tabs>
          </w:pPr>
          <w:r>
            <w:fldChar w:fldCharType="begin"/>
          </w:r>
          <w:r>
            <w:instrText xml:space="preserve"> HYPERLINK \l "_Toc208438500" </w:instrText>
          </w:r>
          <w:r>
            <w:fldChar w:fldCharType="separate"/>
          </w:r>
          <w:r>
            <w:rPr>
              <w:rStyle w:val="15"/>
            </w:rPr>
            <w:t>Conceptual Framework</w:t>
          </w:r>
          <w:r>
            <w:tab/>
          </w:r>
          <w:r>
            <w:fldChar w:fldCharType="begin"/>
          </w:r>
          <w:r>
            <w:instrText xml:space="preserve"> PAGEREF _Toc208438500 \h </w:instrText>
          </w:r>
          <w:r>
            <w:fldChar w:fldCharType="separate"/>
          </w:r>
          <w:r>
            <w:t>10</w:t>
          </w:r>
          <w:r>
            <w:fldChar w:fldCharType="end"/>
          </w:r>
          <w:r>
            <w:fldChar w:fldCharType="end"/>
          </w:r>
        </w:p>
        <w:p w14:paraId="5E425F19">
          <w:pPr>
            <w:pStyle w:val="20"/>
            <w:tabs>
              <w:tab w:val="right" w:leader="dot" w:pos="9016"/>
            </w:tabs>
          </w:pPr>
          <w:r>
            <w:fldChar w:fldCharType="begin"/>
          </w:r>
          <w:r>
            <w:instrText xml:space="preserve"> HYPERLINK \l "_Toc208438501" </w:instrText>
          </w:r>
          <w:r>
            <w:fldChar w:fldCharType="separate"/>
          </w:r>
          <w:r>
            <w:rPr>
              <w:rStyle w:val="15"/>
            </w:rPr>
            <w:t>Methodology (or Research Design)</w:t>
          </w:r>
          <w:r>
            <w:tab/>
          </w:r>
          <w:r>
            <w:fldChar w:fldCharType="begin"/>
          </w:r>
          <w:r>
            <w:instrText xml:space="preserve"> PAGEREF _Toc208438501 \h </w:instrText>
          </w:r>
          <w:r>
            <w:fldChar w:fldCharType="separate"/>
          </w:r>
          <w:r>
            <w:t>10</w:t>
          </w:r>
          <w:r>
            <w:fldChar w:fldCharType="end"/>
          </w:r>
          <w:r>
            <w:fldChar w:fldCharType="end"/>
          </w:r>
        </w:p>
        <w:p w14:paraId="33472BF5">
          <w:pPr>
            <w:pStyle w:val="20"/>
            <w:tabs>
              <w:tab w:val="right" w:leader="dot" w:pos="9016"/>
            </w:tabs>
          </w:pPr>
          <w:r>
            <w:fldChar w:fldCharType="begin"/>
          </w:r>
          <w:r>
            <w:instrText xml:space="preserve"> HYPERLINK \l "_Toc208438502" </w:instrText>
          </w:r>
          <w:r>
            <w:fldChar w:fldCharType="separate"/>
          </w:r>
          <w:r>
            <w:rPr>
              <w:rStyle w:val="15"/>
            </w:rPr>
            <w:t>Research Philosophy and Research Approach</w:t>
          </w:r>
          <w:r>
            <w:tab/>
          </w:r>
          <w:r>
            <w:fldChar w:fldCharType="begin"/>
          </w:r>
          <w:r>
            <w:instrText xml:space="preserve"> PAGEREF _Toc208438502 \h </w:instrText>
          </w:r>
          <w:r>
            <w:fldChar w:fldCharType="separate"/>
          </w:r>
          <w:r>
            <w:t>11</w:t>
          </w:r>
          <w:r>
            <w:fldChar w:fldCharType="end"/>
          </w:r>
          <w:r>
            <w:fldChar w:fldCharType="end"/>
          </w:r>
        </w:p>
        <w:p w14:paraId="4C6E22BB">
          <w:pPr>
            <w:pStyle w:val="20"/>
            <w:tabs>
              <w:tab w:val="right" w:leader="dot" w:pos="9016"/>
            </w:tabs>
          </w:pPr>
          <w:r>
            <w:fldChar w:fldCharType="begin"/>
          </w:r>
          <w:r>
            <w:instrText xml:space="preserve"> HYPERLINK \l "_Toc208438503" </w:instrText>
          </w:r>
          <w:r>
            <w:fldChar w:fldCharType="separate"/>
          </w:r>
          <w:r>
            <w:rPr>
              <w:rStyle w:val="15"/>
            </w:rPr>
            <w:t>Types of Investigation</w:t>
          </w:r>
          <w:r>
            <w:tab/>
          </w:r>
          <w:r>
            <w:fldChar w:fldCharType="begin"/>
          </w:r>
          <w:r>
            <w:instrText xml:space="preserve"> PAGEREF _Toc208438503 \h </w:instrText>
          </w:r>
          <w:r>
            <w:fldChar w:fldCharType="separate"/>
          </w:r>
          <w:r>
            <w:t>12</w:t>
          </w:r>
          <w:r>
            <w:fldChar w:fldCharType="end"/>
          </w:r>
          <w:r>
            <w:fldChar w:fldCharType="end"/>
          </w:r>
        </w:p>
        <w:p w14:paraId="383739C6">
          <w:pPr>
            <w:pStyle w:val="20"/>
            <w:tabs>
              <w:tab w:val="right" w:leader="dot" w:pos="9016"/>
            </w:tabs>
          </w:pPr>
          <w:r>
            <w:fldChar w:fldCharType="begin"/>
          </w:r>
          <w:r>
            <w:instrText xml:space="preserve"> HYPERLINK \l "_Toc208438504" </w:instrText>
          </w:r>
          <w:r>
            <w:fldChar w:fldCharType="separate"/>
          </w:r>
          <w:r>
            <w:rPr>
              <w:rStyle w:val="15"/>
            </w:rPr>
            <w:t>Data Collection Method(s)</w:t>
          </w:r>
          <w:r>
            <w:tab/>
          </w:r>
          <w:r>
            <w:fldChar w:fldCharType="begin"/>
          </w:r>
          <w:r>
            <w:instrText xml:space="preserve"> PAGEREF _Toc208438504 \h </w:instrText>
          </w:r>
          <w:r>
            <w:fldChar w:fldCharType="separate"/>
          </w:r>
          <w:r>
            <w:t>12</w:t>
          </w:r>
          <w:r>
            <w:fldChar w:fldCharType="end"/>
          </w:r>
          <w:r>
            <w:fldChar w:fldCharType="end"/>
          </w:r>
        </w:p>
        <w:p w14:paraId="39B0329A">
          <w:pPr>
            <w:pStyle w:val="20"/>
            <w:tabs>
              <w:tab w:val="right" w:leader="dot" w:pos="9016"/>
            </w:tabs>
          </w:pPr>
          <w:r>
            <w:fldChar w:fldCharType="begin"/>
          </w:r>
          <w:r>
            <w:instrText xml:space="preserve"> HYPERLINK \l "_Toc208438505" </w:instrText>
          </w:r>
          <w:r>
            <w:fldChar w:fldCharType="separate"/>
          </w:r>
          <w:r>
            <w:rPr>
              <w:rStyle w:val="15"/>
            </w:rPr>
            <w:t>Sampling Plan</w:t>
          </w:r>
          <w:r>
            <w:tab/>
          </w:r>
          <w:r>
            <w:fldChar w:fldCharType="begin"/>
          </w:r>
          <w:r>
            <w:instrText xml:space="preserve"> PAGEREF _Toc208438505 \h </w:instrText>
          </w:r>
          <w:r>
            <w:fldChar w:fldCharType="separate"/>
          </w:r>
          <w:r>
            <w:t>12</w:t>
          </w:r>
          <w:r>
            <w:fldChar w:fldCharType="end"/>
          </w:r>
          <w:r>
            <w:fldChar w:fldCharType="end"/>
          </w:r>
        </w:p>
        <w:p w14:paraId="37921756">
          <w:pPr>
            <w:pStyle w:val="20"/>
            <w:tabs>
              <w:tab w:val="right" w:leader="dot" w:pos="9016"/>
            </w:tabs>
          </w:pPr>
          <w:r>
            <w:fldChar w:fldCharType="begin"/>
          </w:r>
          <w:r>
            <w:instrText xml:space="preserve"> HYPERLINK \l "_Toc208438506" </w:instrText>
          </w:r>
          <w:r>
            <w:fldChar w:fldCharType="separate"/>
          </w:r>
          <w:r>
            <w:rPr>
              <w:rStyle w:val="15"/>
            </w:rPr>
            <w:t>Data Sources</w:t>
          </w:r>
          <w:r>
            <w:tab/>
          </w:r>
          <w:r>
            <w:fldChar w:fldCharType="begin"/>
          </w:r>
          <w:r>
            <w:instrText xml:space="preserve"> PAGEREF _Toc208438506 \h </w:instrText>
          </w:r>
          <w:r>
            <w:fldChar w:fldCharType="separate"/>
          </w:r>
          <w:r>
            <w:t>13</w:t>
          </w:r>
          <w:r>
            <w:fldChar w:fldCharType="end"/>
          </w:r>
          <w:r>
            <w:fldChar w:fldCharType="end"/>
          </w:r>
        </w:p>
        <w:p w14:paraId="7A960C77">
          <w:pPr>
            <w:pStyle w:val="20"/>
            <w:tabs>
              <w:tab w:val="right" w:leader="dot" w:pos="9016"/>
            </w:tabs>
          </w:pPr>
          <w:r>
            <w:fldChar w:fldCharType="begin"/>
          </w:r>
          <w:r>
            <w:instrText xml:space="preserve"> HYPERLINK \l "_Toc208438507" </w:instrText>
          </w:r>
          <w:r>
            <w:fldChar w:fldCharType="separate"/>
          </w:r>
          <w:r>
            <w:rPr>
              <w:rStyle w:val="15"/>
            </w:rPr>
            <w:t>Data Analysis Plan</w:t>
          </w:r>
          <w:r>
            <w:tab/>
          </w:r>
          <w:r>
            <w:fldChar w:fldCharType="begin"/>
          </w:r>
          <w:r>
            <w:instrText xml:space="preserve"> PAGEREF _Toc208438507 \h </w:instrText>
          </w:r>
          <w:r>
            <w:fldChar w:fldCharType="separate"/>
          </w:r>
          <w:r>
            <w:t>13</w:t>
          </w:r>
          <w:r>
            <w:fldChar w:fldCharType="end"/>
          </w:r>
          <w:r>
            <w:fldChar w:fldCharType="end"/>
          </w:r>
        </w:p>
        <w:p w14:paraId="69692358">
          <w:pPr>
            <w:pStyle w:val="20"/>
            <w:tabs>
              <w:tab w:val="right" w:leader="dot" w:pos="9016"/>
            </w:tabs>
          </w:pPr>
          <w:r>
            <w:fldChar w:fldCharType="begin"/>
          </w:r>
          <w:r>
            <w:instrText xml:space="preserve"> HYPERLINK \l "_Toc208438508" </w:instrText>
          </w:r>
          <w:r>
            <w:fldChar w:fldCharType="separate"/>
          </w:r>
          <w:r>
            <w:rPr>
              <w:rStyle w:val="15"/>
            </w:rPr>
            <w:t>Timescale &amp; Ethical Compliance</w:t>
          </w:r>
          <w:r>
            <w:tab/>
          </w:r>
          <w:r>
            <w:fldChar w:fldCharType="begin"/>
          </w:r>
          <w:r>
            <w:instrText xml:space="preserve"> PAGEREF _Toc208438508 \h </w:instrText>
          </w:r>
          <w:r>
            <w:fldChar w:fldCharType="separate"/>
          </w:r>
          <w:r>
            <w:t>13</w:t>
          </w:r>
          <w:r>
            <w:fldChar w:fldCharType="end"/>
          </w:r>
          <w:r>
            <w:fldChar w:fldCharType="end"/>
          </w:r>
        </w:p>
        <w:p w14:paraId="017DD963">
          <w:pPr>
            <w:pStyle w:val="20"/>
            <w:tabs>
              <w:tab w:val="right" w:leader="dot" w:pos="9016"/>
            </w:tabs>
          </w:pPr>
          <w:r>
            <w:fldChar w:fldCharType="begin"/>
          </w:r>
          <w:r>
            <w:instrText xml:space="preserve"> HYPERLINK \l "_Toc208438509" </w:instrText>
          </w:r>
          <w:r>
            <w:fldChar w:fldCharType="separate"/>
          </w:r>
          <w:r>
            <w:rPr>
              <w:rStyle w:val="15"/>
            </w:rPr>
            <w:t>Timeline</w:t>
          </w:r>
          <w:r>
            <w:tab/>
          </w:r>
          <w:r>
            <w:fldChar w:fldCharType="begin"/>
          </w:r>
          <w:r>
            <w:instrText xml:space="preserve"> PAGEREF _Toc208438509 \h </w:instrText>
          </w:r>
          <w:r>
            <w:fldChar w:fldCharType="separate"/>
          </w:r>
          <w:r>
            <w:t>13</w:t>
          </w:r>
          <w:r>
            <w:fldChar w:fldCharType="end"/>
          </w:r>
          <w:r>
            <w:fldChar w:fldCharType="end"/>
          </w:r>
        </w:p>
        <w:p w14:paraId="54096C74">
          <w:pPr>
            <w:pStyle w:val="20"/>
            <w:tabs>
              <w:tab w:val="right" w:leader="dot" w:pos="9016"/>
            </w:tabs>
          </w:pPr>
          <w:r>
            <w:fldChar w:fldCharType="begin"/>
          </w:r>
          <w:r>
            <w:instrText xml:space="preserve"> HYPERLINK \l "_Toc208438510" </w:instrText>
          </w:r>
          <w:r>
            <w:fldChar w:fldCharType="separate"/>
          </w:r>
          <w:r>
            <w:rPr>
              <w:rStyle w:val="15"/>
            </w:rPr>
            <w:t>Contribution of the Study (or Pathways to Impact)</w:t>
          </w:r>
          <w:r>
            <w:tab/>
          </w:r>
          <w:r>
            <w:fldChar w:fldCharType="begin"/>
          </w:r>
          <w:r>
            <w:instrText xml:space="preserve"> PAGEREF _Toc208438510 \h </w:instrText>
          </w:r>
          <w:r>
            <w:fldChar w:fldCharType="separate"/>
          </w:r>
          <w:r>
            <w:t>15</w:t>
          </w:r>
          <w:r>
            <w:fldChar w:fldCharType="end"/>
          </w:r>
          <w:r>
            <w:fldChar w:fldCharType="end"/>
          </w:r>
        </w:p>
        <w:p w14:paraId="08926E8B">
          <w:pPr>
            <w:pStyle w:val="20"/>
            <w:tabs>
              <w:tab w:val="right" w:leader="dot" w:pos="9016"/>
            </w:tabs>
          </w:pPr>
          <w:r>
            <w:fldChar w:fldCharType="begin"/>
          </w:r>
          <w:r>
            <w:instrText xml:space="preserve"> HYPERLINK \l "_Toc208438511" </w:instrText>
          </w:r>
          <w:r>
            <w:fldChar w:fldCharType="separate"/>
          </w:r>
          <w:r>
            <w:rPr>
              <w:rStyle w:val="15"/>
            </w:rPr>
            <w:t>Ensuring Maximum Engagement and Realising Benefits</w:t>
          </w:r>
          <w:r>
            <w:tab/>
          </w:r>
          <w:r>
            <w:fldChar w:fldCharType="begin"/>
          </w:r>
          <w:r>
            <w:instrText xml:space="preserve"> PAGEREF _Toc208438511 \h </w:instrText>
          </w:r>
          <w:r>
            <w:fldChar w:fldCharType="separate"/>
          </w:r>
          <w:r>
            <w:t>15</w:t>
          </w:r>
          <w:r>
            <w:fldChar w:fldCharType="end"/>
          </w:r>
          <w:r>
            <w:fldChar w:fldCharType="end"/>
          </w:r>
        </w:p>
        <w:p w14:paraId="74A7859D">
          <w:pPr>
            <w:pStyle w:val="20"/>
            <w:tabs>
              <w:tab w:val="right" w:leader="dot" w:pos="9016"/>
            </w:tabs>
          </w:pPr>
          <w:r>
            <w:fldChar w:fldCharType="begin"/>
          </w:r>
          <w:r>
            <w:instrText xml:space="preserve"> HYPERLINK \l "_Toc208438512" </w:instrText>
          </w:r>
          <w:r>
            <w:fldChar w:fldCharType="separate"/>
          </w:r>
          <w:r>
            <w:rPr>
              <w:rStyle w:val="15"/>
            </w:rPr>
            <w:t>Collaboration for Maximum Impact</w:t>
          </w:r>
          <w:r>
            <w:tab/>
          </w:r>
          <w:r>
            <w:fldChar w:fldCharType="begin"/>
          </w:r>
          <w:r>
            <w:instrText xml:space="preserve"> PAGEREF _Toc208438512 \h </w:instrText>
          </w:r>
          <w:r>
            <w:fldChar w:fldCharType="separate"/>
          </w:r>
          <w:r>
            <w:t>15</w:t>
          </w:r>
          <w:r>
            <w:fldChar w:fldCharType="end"/>
          </w:r>
          <w:r>
            <w:fldChar w:fldCharType="end"/>
          </w:r>
        </w:p>
        <w:p w14:paraId="59BDBDF0">
          <w:pPr>
            <w:pStyle w:val="20"/>
            <w:tabs>
              <w:tab w:val="right" w:leader="dot" w:pos="9016"/>
            </w:tabs>
          </w:pPr>
          <w:r>
            <w:fldChar w:fldCharType="begin"/>
          </w:r>
          <w:r>
            <w:instrText xml:space="preserve"> HYPERLINK \l "_Toc208438513" </w:instrText>
          </w:r>
          <w:r>
            <w:fldChar w:fldCharType="separate"/>
          </w:r>
          <w:r>
            <w:rPr>
              <w:rStyle w:val="15"/>
            </w:rPr>
            <w:t>References:</w:t>
          </w:r>
          <w:r>
            <w:tab/>
          </w:r>
          <w:r>
            <w:fldChar w:fldCharType="begin"/>
          </w:r>
          <w:r>
            <w:instrText xml:space="preserve"> PAGEREF _Toc208438513 \h </w:instrText>
          </w:r>
          <w:r>
            <w:fldChar w:fldCharType="separate"/>
          </w:r>
          <w:r>
            <w:t>16</w:t>
          </w:r>
          <w:r>
            <w:fldChar w:fldCharType="end"/>
          </w:r>
          <w:r>
            <w:fldChar w:fldCharType="end"/>
          </w:r>
        </w:p>
        <w:p w14:paraId="5F2C7B39">
          <w:pPr>
            <w:pStyle w:val="20"/>
            <w:tabs>
              <w:tab w:val="right" w:leader="dot" w:pos="9016"/>
            </w:tabs>
          </w:pPr>
          <w:r>
            <w:fldChar w:fldCharType="begin"/>
          </w:r>
          <w:r>
            <w:instrText xml:space="preserve"> HYPERLINK \l "_Toc208438514" </w:instrText>
          </w:r>
          <w:r>
            <w:fldChar w:fldCharType="separate"/>
          </w:r>
          <w:r>
            <w:rPr>
              <w:rStyle w:val="15"/>
            </w:rPr>
            <w:t>Appendix A</w:t>
          </w:r>
          <w:r>
            <w:tab/>
          </w:r>
          <w:r>
            <w:fldChar w:fldCharType="begin"/>
          </w:r>
          <w:r>
            <w:instrText xml:space="preserve"> PAGEREF _Toc208438514 \h </w:instrText>
          </w:r>
          <w:r>
            <w:fldChar w:fldCharType="separate"/>
          </w:r>
          <w:r>
            <w:t>19</w:t>
          </w:r>
          <w:r>
            <w:fldChar w:fldCharType="end"/>
          </w:r>
          <w:r>
            <w:fldChar w:fldCharType="end"/>
          </w:r>
        </w:p>
        <w:p w14:paraId="48802E25">
          <w:pPr>
            <w:pStyle w:val="20"/>
            <w:tabs>
              <w:tab w:val="right" w:leader="dot" w:pos="9016"/>
            </w:tabs>
          </w:pPr>
          <w:r>
            <w:fldChar w:fldCharType="begin"/>
          </w:r>
          <w:r>
            <w:instrText xml:space="preserve"> HYPERLINK \l "_Toc208438515" </w:instrText>
          </w:r>
          <w:r>
            <w:fldChar w:fldCharType="separate"/>
          </w:r>
          <w:r>
            <w:rPr>
              <w:rStyle w:val="15"/>
              <w:rFonts w:eastAsia="Times New Roman" w:cs="Times New Roman"/>
              <w:b/>
              <w:bCs/>
            </w:rPr>
            <w:t>Research Title:</w:t>
          </w:r>
          <w:r>
            <w:tab/>
          </w:r>
          <w:r>
            <w:fldChar w:fldCharType="begin"/>
          </w:r>
          <w:r>
            <w:instrText xml:space="preserve"> PAGEREF _Toc208438515 \h </w:instrText>
          </w:r>
          <w:r>
            <w:fldChar w:fldCharType="separate"/>
          </w:r>
          <w:r>
            <w:t>19</w:t>
          </w:r>
          <w:r>
            <w:fldChar w:fldCharType="end"/>
          </w:r>
          <w:r>
            <w:fldChar w:fldCharType="end"/>
          </w:r>
        </w:p>
        <w:p w14:paraId="7877259E">
          <w:pPr>
            <w:pStyle w:val="21"/>
            <w:tabs>
              <w:tab w:val="right" w:leader="dot" w:pos="9016"/>
            </w:tabs>
          </w:pPr>
          <w:r>
            <w:fldChar w:fldCharType="begin"/>
          </w:r>
          <w:r>
            <w:instrText xml:space="preserve"> HYPERLINK \l "_Toc208438516" </w:instrText>
          </w:r>
          <w:r>
            <w:fldChar w:fldCharType="separate"/>
          </w:r>
          <w:r>
            <w:rPr>
              <w:rStyle w:val="15"/>
              <w:b/>
              <w:bCs/>
            </w:rPr>
            <w:t>Analysing the Challenges and Opportunities in Micro-Credentials: A Multi-Stakeholders Perspective.</w:t>
          </w:r>
          <w:r>
            <w:tab/>
          </w:r>
          <w:r>
            <w:fldChar w:fldCharType="begin"/>
          </w:r>
          <w:r>
            <w:instrText xml:space="preserve"> PAGEREF _Toc208438516 \h </w:instrText>
          </w:r>
          <w:r>
            <w:fldChar w:fldCharType="separate"/>
          </w:r>
          <w:r>
            <w:t>19</w:t>
          </w:r>
          <w:r>
            <w:fldChar w:fldCharType="end"/>
          </w:r>
          <w:r>
            <w:fldChar w:fldCharType="end"/>
          </w:r>
        </w:p>
        <w:p w14:paraId="0DEB18FC">
          <w:pPr>
            <w:pStyle w:val="21"/>
            <w:tabs>
              <w:tab w:val="right" w:leader="dot" w:pos="9016"/>
            </w:tabs>
          </w:pPr>
          <w:r>
            <w:fldChar w:fldCharType="begin"/>
          </w:r>
          <w:r>
            <w:instrText xml:space="preserve"> HYPERLINK \l "_Toc208438517" </w:instrText>
          </w:r>
          <w:r>
            <w:fldChar w:fldCharType="separate"/>
          </w:r>
          <w:r>
            <w:rPr>
              <w:rStyle w:val="15"/>
              <w:b/>
              <w:bCs/>
            </w:rPr>
            <w:t>Dear Participant,</w:t>
          </w:r>
          <w:r>
            <w:tab/>
          </w:r>
          <w:r>
            <w:fldChar w:fldCharType="begin"/>
          </w:r>
          <w:r>
            <w:instrText xml:space="preserve"> PAGEREF _Toc208438517 \h </w:instrText>
          </w:r>
          <w:r>
            <w:fldChar w:fldCharType="separate"/>
          </w:r>
          <w:r>
            <w:t>19</w:t>
          </w:r>
          <w:r>
            <w:fldChar w:fldCharType="end"/>
          </w:r>
          <w:r>
            <w:fldChar w:fldCharType="end"/>
          </w:r>
        </w:p>
        <w:p w14:paraId="0F2A3552">
          <w:pPr>
            <w:pStyle w:val="21"/>
            <w:tabs>
              <w:tab w:val="right" w:leader="dot" w:pos="9016"/>
            </w:tabs>
          </w:pPr>
          <w:r>
            <w:fldChar w:fldCharType="begin"/>
          </w:r>
          <w:r>
            <w:instrText xml:space="preserve"> HYPERLINK \l "_Toc208438518" </w:instrText>
          </w:r>
          <w:r>
            <w:fldChar w:fldCharType="separate"/>
          </w:r>
          <w:r>
            <w:rPr>
              <w:rStyle w:val="15"/>
            </w:rPr>
            <w:t>Thank you for volunteering to take part in this survey on Challenges and Opportunities Associated with Micro-Credentials.</w:t>
          </w:r>
          <w:r>
            <w:tab/>
          </w:r>
          <w:r>
            <w:fldChar w:fldCharType="begin"/>
          </w:r>
          <w:r>
            <w:instrText xml:space="preserve"> PAGEREF _Toc208438518 \h </w:instrText>
          </w:r>
          <w:r>
            <w:fldChar w:fldCharType="separate"/>
          </w:r>
          <w:r>
            <w:t>19</w:t>
          </w:r>
          <w:r>
            <w:fldChar w:fldCharType="end"/>
          </w:r>
          <w:r>
            <w:fldChar w:fldCharType="end"/>
          </w:r>
        </w:p>
        <w:p w14:paraId="614C3FFD">
          <w:pPr>
            <w:pStyle w:val="21"/>
            <w:tabs>
              <w:tab w:val="right" w:leader="dot" w:pos="9016"/>
            </w:tabs>
          </w:pPr>
          <w:r>
            <w:fldChar w:fldCharType="begin"/>
          </w:r>
          <w:r>
            <w:instrText xml:space="preserve"> HYPERLINK \l "_Toc208438519" </w:instrText>
          </w:r>
          <w:r>
            <w:fldChar w:fldCharType="separate"/>
          </w:r>
          <w:r>
            <w:rPr>
              <w:rStyle w:val="15"/>
            </w:rPr>
            <w:t>Your response is of immense important to the success of this research. The questionnaire takes approximately 15 minutes to complete.</w:t>
          </w:r>
          <w:r>
            <w:tab/>
          </w:r>
          <w:r>
            <w:fldChar w:fldCharType="begin"/>
          </w:r>
          <w:r>
            <w:instrText xml:space="preserve"> PAGEREF _Toc208438519 \h </w:instrText>
          </w:r>
          <w:r>
            <w:fldChar w:fldCharType="separate"/>
          </w:r>
          <w:r>
            <w:t>19</w:t>
          </w:r>
          <w:r>
            <w:fldChar w:fldCharType="end"/>
          </w:r>
          <w:r>
            <w:fldChar w:fldCharType="end"/>
          </w:r>
        </w:p>
        <w:p w14:paraId="453FA567">
          <w:pPr>
            <w:pStyle w:val="21"/>
            <w:tabs>
              <w:tab w:val="right" w:leader="dot" w:pos="9016"/>
            </w:tabs>
          </w:pPr>
          <w:r>
            <w:fldChar w:fldCharType="begin"/>
          </w:r>
          <w:r>
            <w:instrText xml:space="preserve"> HYPERLINK \l "_Toc208438520" </w:instrText>
          </w:r>
          <w:r>
            <w:fldChar w:fldCharType="separate"/>
          </w:r>
          <w:r>
            <w:rPr>
              <w:rStyle w:val="15"/>
            </w:rPr>
            <w:t>As participant in this research, your response is treated with absolute confidentiality and anonymised.</w:t>
          </w:r>
          <w:r>
            <w:tab/>
          </w:r>
          <w:r>
            <w:fldChar w:fldCharType="begin"/>
          </w:r>
          <w:r>
            <w:instrText xml:space="preserve"> PAGEREF _Toc208438520 \h </w:instrText>
          </w:r>
          <w:r>
            <w:fldChar w:fldCharType="separate"/>
          </w:r>
          <w:r>
            <w:t>19</w:t>
          </w:r>
          <w:r>
            <w:fldChar w:fldCharType="end"/>
          </w:r>
          <w:r>
            <w:fldChar w:fldCharType="end"/>
          </w:r>
        </w:p>
        <w:p w14:paraId="35B927C0">
          <w:pPr>
            <w:pStyle w:val="21"/>
            <w:tabs>
              <w:tab w:val="right" w:leader="dot" w:pos="9016"/>
            </w:tabs>
          </w:pPr>
          <w:r>
            <w:fldChar w:fldCharType="begin"/>
          </w:r>
          <w:r>
            <w:instrText xml:space="preserve"> HYPERLINK \l "_Toc208438521" </w:instrText>
          </w:r>
          <w:r>
            <w:fldChar w:fldCharType="separate"/>
          </w:r>
          <w:r>
            <w:rPr>
              <w:rStyle w:val="15"/>
            </w:rPr>
            <w:t>I appreciate your consent and time in participating in this research.</w:t>
          </w:r>
          <w:r>
            <w:tab/>
          </w:r>
          <w:r>
            <w:fldChar w:fldCharType="begin"/>
          </w:r>
          <w:r>
            <w:instrText xml:space="preserve"> PAGEREF _Toc208438521 \h </w:instrText>
          </w:r>
          <w:r>
            <w:fldChar w:fldCharType="separate"/>
          </w:r>
          <w:r>
            <w:t>20</w:t>
          </w:r>
          <w:r>
            <w:fldChar w:fldCharType="end"/>
          </w:r>
          <w:r>
            <w:fldChar w:fldCharType="end"/>
          </w:r>
        </w:p>
        <w:p w14:paraId="1B36C798">
          <w:pPr>
            <w:pStyle w:val="21"/>
            <w:tabs>
              <w:tab w:val="right" w:leader="dot" w:pos="9016"/>
            </w:tabs>
          </w:pPr>
          <w:r>
            <w:fldChar w:fldCharType="begin"/>
          </w:r>
          <w:r>
            <w:instrText xml:space="preserve"> HYPERLINK \l "_Toc208438522" </w:instrText>
          </w:r>
          <w:r>
            <w:fldChar w:fldCharType="separate"/>
          </w:r>
          <w:r>
            <w:rPr>
              <w:rStyle w:val="15"/>
              <w:rFonts w:eastAsia="Times New Roman" w:cs="Times New Roman"/>
              <w:b/>
              <w:bCs/>
            </w:rPr>
            <w:t>Description</w:t>
          </w:r>
          <w:r>
            <w:tab/>
          </w:r>
          <w:r>
            <w:fldChar w:fldCharType="begin"/>
          </w:r>
          <w:r>
            <w:instrText xml:space="preserve"> PAGEREF _Toc208438522 \h </w:instrText>
          </w:r>
          <w:r>
            <w:fldChar w:fldCharType="separate"/>
          </w:r>
          <w:r>
            <w:t>20</w:t>
          </w:r>
          <w:r>
            <w:fldChar w:fldCharType="end"/>
          </w:r>
          <w:r>
            <w:fldChar w:fldCharType="end"/>
          </w:r>
        </w:p>
        <w:p w14:paraId="1F93D9B4">
          <w:r>
            <w:rPr>
              <w:b/>
              <w:bCs/>
            </w:rPr>
            <w:fldChar w:fldCharType="end"/>
          </w:r>
        </w:p>
      </w:sdtContent>
    </w:sdt>
    <w:p w14:paraId="06138CCF"/>
    <w:p w14:paraId="370DA071"/>
    <w:p w14:paraId="20D0CE38"/>
    <w:p w14:paraId="0583F28B"/>
    <w:p w14:paraId="31FC7AD1"/>
    <w:p w14:paraId="3E005FDE"/>
    <w:p w14:paraId="2F6AAD7A"/>
    <w:p w14:paraId="2A8DF564"/>
    <w:p w14:paraId="230BCF87"/>
    <w:p w14:paraId="17252B7D"/>
    <w:p w14:paraId="08020BCB"/>
    <w:p w14:paraId="518B12C2"/>
    <w:p w14:paraId="5F5B762A"/>
    <w:p w14:paraId="52D1135B"/>
    <w:p w14:paraId="39E06BB1"/>
    <w:p w14:paraId="719032C6"/>
    <w:p w14:paraId="43F8CF17"/>
    <w:p w14:paraId="3B2D7441"/>
    <w:p w14:paraId="59D1C5B7"/>
    <w:p w14:paraId="5F9AF118"/>
    <w:p w14:paraId="562009F9"/>
    <w:p w14:paraId="262B70A6"/>
    <w:p w14:paraId="6B8D45F3"/>
    <w:p w14:paraId="25C17D94"/>
    <w:p w14:paraId="0AFB6BD0"/>
    <w:p w14:paraId="6A63C441"/>
    <w:p w14:paraId="106CEC93">
      <w:pPr>
        <w:pStyle w:val="2"/>
      </w:pPr>
      <w:bookmarkStart w:id="0" w:name="_Toc208438489"/>
      <w:r>
        <w:t>Analysing the Challenges and Opportunities in Micro-Credentials: A Multi-Stakeholders Perspective.</w:t>
      </w:r>
      <w:bookmarkEnd w:id="0"/>
    </w:p>
    <w:p w14:paraId="3DBC79A7">
      <w:pPr>
        <w:pStyle w:val="2"/>
      </w:pPr>
      <w:bookmarkStart w:id="1" w:name="_Toc208438490"/>
      <w:r>
        <w:t>Introduction to the Research Problem</w:t>
      </w:r>
      <w:bookmarkEnd w:id="1"/>
    </w:p>
    <w:p w14:paraId="0293C2A1">
      <w:pPr>
        <w:autoSpaceDE w:val="0"/>
        <w:autoSpaceDN w:val="0"/>
        <w:adjustRightInd w:val="0"/>
        <w:spacing w:after="0" w:line="360" w:lineRule="auto"/>
        <w:jc w:val="both"/>
        <w:rPr>
          <w:rFonts w:cs="Arial"/>
        </w:rPr>
      </w:pPr>
      <w:r>
        <w:rPr>
          <w:rFonts w:cs="Arial"/>
        </w:rPr>
        <w:t>There is global demand for micro-credentials as it is fast becoming a trend globally (</w:t>
      </w:r>
      <w:r>
        <w:t>Bruguera, et al, 2025</w:t>
      </w:r>
      <w:r>
        <w:rPr>
          <w:rFonts w:cs="Arial"/>
        </w:rPr>
        <w:t xml:space="preserve">). It is a reflection for the surge in quest for soft skills and competencies employers look for in their employees (Brown, et al., 2021). The emerging concerns about the need for competent-based skills is currently an ongoing debate among various stakeholders – employees, employers, higher educational institutions (HEIs), etc., (Ralston, 2021; Peller-Semmens, 2021; Kato and Gyorfi, 2023). This has necessitated a rethink in the way knowledge is packaged to reflect the needs of job applicants and modern workplace (Peller-Semmens, 2021). An important way of repackaging knowledge that meets the industry-relevant skills and competencies is micro-credentials (McGreal, et al., 2022). The demand for micro-credentials is on the rise as emphasis is placed on what you can do with the knowledge you acquire at distinct levels of competencies rather than on the acquisition of knowledge alone (McGreal, et al., 2022). This is particularly instructive, as forty percent (40%) of all employers in Europe reported that they have been struggling to employ the required skilled workers (O’Grady, 2019; European MOOC Consortium, 2020). It is held that conventional educational institutions are not bridging the skills gap needed by industries and job applicants (Ralston, 2021). This gap is driving the emergence of validated/accredited digital learning of relevant skills and competencies. The observed gulf that necessitates short-term courses provides learners with the requisite skills and competencies required on the job. This gap can be traced to the decreasing absence of relevant skills and competencies in criteria for employment (Carnevale, et al., 2020; McGreal, et al., 2022; Kato and Gyorfi, 2023). </w:t>
      </w:r>
    </w:p>
    <w:p w14:paraId="799E4E7C">
      <w:pPr>
        <w:autoSpaceDE w:val="0"/>
        <w:autoSpaceDN w:val="0"/>
        <w:adjustRightInd w:val="0"/>
        <w:spacing w:after="0" w:line="360" w:lineRule="auto"/>
        <w:jc w:val="both"/>
      </w:pPr>
      <w:r>
        <w:rPr>
          <w:rFonts w:cs="Arial"/>
        </w:rPr>
        <w:t>Traditionally, qualification for employment is based on the combination of three (3) factors namely relevant level of education, experience and competencies. However, the predominant trend has been focused on formal education and experience with less focus on distinct competencies. But the changing modern workplace is recalibrating the requirements and is placing emphasis on demand for learning new skills and competencies for competitiveness (Carnevale, et al., 2020).  While there is increasing demand for teaching and acquiring job-related skills and competencies, relevant stakeholders hold divergent views which inhibit harnessing the full potential of micro-credentials. Likewise, execution and incorporation of micro-credentials into higher education curricula remain a challenge. Acceptable solution would require inputs of other stakeholders such as employees and employers (Ralston, 2021). Such congruence of views may necessitate a shift in HEIs’ paradigm from the transfer of knowledge towards an active learning model as well as competent-based evaluation scenarios (Kato and Gyorfi, 2023; Sokhanvar, Salehi and Sokhanvar, 2021).</w:t>
      </w:r>
    </w:p>
    <w:p w14:paraId="4935ED80">
      <w:pPr>
        <w:ind w:left="720"/>
      </w:pPr>
    </w:p>
    <w:p w14:paraId="34E51B0C">
      <w:pPr>
        <w:pStyle w:val="2"/>
      </w:pPr>
      <w:bookmarkStart w:id="2" w:name="_Toc208438491"/>
      <w:r>
        <w:t>The Aim and Objectives of the Study</w:t>
      </w:r>
      <w:bookmarkEnd w:id="2"/>
    </w:p>
    <w:p w14:paraId="544B6324">
      <w:pPr>
        <w:autoSpaceDE w:val="0"/>
        <w:autoSpaceDN w:val="0"/>
        <w:adjustRightInd w:val="0"/>
        <w:spacing w:after="0" w:line="360" w:lineRule="auto"/>
        <w:jc w:val="both"/>
        <w:rPr>
          <w:rFonts w:cs="Arial"/>
        </w:rPr>
      </w:pPr>
      <w:r>
        <w:rPr>
          <w:rFonts w:cs="Arial"/>
        </w:rPr>
        <w:t>The aim of this research is to contribute to knowledge on micro-credentials exploring how stakeholders (professional learners, employers and institutions i.e., Department of Education, HEIs) can be more effectively involved in addressing issues and harnessing opportunities in the advancement and deployment of micro-credentials for the benefit of all.</w:t>
      </w:r>
    </w:p>
    <w:p w14:paraId="6B27365D">
      <w:pPr>
        <w:spacing w:after="0" w:line="360" w:lineRule="auto"/>
        <w:jc w:val="both"/>
        <w:rPr>
          <w:rFonts w:cs="Arial"/>
        </w:rPr>
      </w:pPr>
      <w:r>
        <w:rPr>
          <w:rFonts w:cs="Arial"/>
        </w:rPr>
        <w:t>The research objectives are to:</w:t>
      </w:r>
    </w:p>
    <w:p w14:paraId="5A5D8944">
      <w:pPr>
        <w:pStyle w:val="35"/>
        <w:numPr>
          <w:ilvl w:val="0"/>
          <w:numId w:val="1"/>
        </w:numPr>
        <w:spacing w:after="0" w:line="360" w:lineRule="auto"/>
        <w:jc w:val="both"/>
        <w:rPr>
          <w:rFonts w:cs="Arial"/>
        </w:rPr>
      </w:pPr>
      <w:r>
        <w:rPr>
          <w:rFonts w:cs="Arial"/>
        </w:rPr>
        <w:t xml:space="preserve">identify challenges central to all stakeholders, </w:t>
      </w:r>
    </w:p>
    <w:p w14:paraId="5167DCBB">
      <w:pPr>
        <w:pStyle w:val="35"/>
        <w:numPr>
          <w:ilvl w:val="0"/>
          <w:numId w:val="1"/>
        </w:numPr>
        <w:spacing w:after="0" w:line="360" w:lineRule="auto"/>
        <w:jc w:val="both"/>
        <w:rPr>
          <w:rFonts w:cs="Arial"/>
        </w:rPr>
      </w:pPr>
      <w:r>
        <w:rPr>
          <w:rFonts w:cs="Arial"/>
        </w:rPr>
        <w:t xml:space="preserve">identify opportunities available to all stakeholders, </w:t>
      </w:r>
    </w:p>
    <w:p w14:paraId="188BC269">
      <w:pPr>
        <w:pStyle w:val="35"/>
        <w:numPr>
          <w:ilvl w:val="0"/>
          <w:numId w:val="1"/>
        </w:numPr>
        <w:spacing w:after="0" w:line="360" w:lineRule="auto"/>
        <w:jc w:val="both"/>
        <w:rPr>
          <w:rFonts w:cs="Arial"/>
        </w:rPr>
      </w:pPr>
      <w:r>
        <w:rPr>
          <w:rFonts w:cs="Arial"/>
        </w:rPr>
        <w:t>suggest holistic insights that address identified challenges, and,</w:t>
      </w:r>
    </w:p>
    <w:p w14:paraId="44ADECC4">
      <w:pPr>
        <w:pStyle w:val="35"/>
        <w:numPr>
          <w:ilvl w:val="0"/>
          <w:numId w:val="1"/>
        </w:numPr>
        <w:spacing w:after="0" w:line="360" w:lineRule="auto"/>
        <w:jc w:val="both"/>
        <w:rPr>
          <w:rFonts w:cs="Arial"/>
        </w:rPr>
      </w:pPr>
      <w:r>
        <w:rPr>
          <w:rFonts w:cs="Arial"/>
        </w:rPr>
        <w:t xml:space="preserve">suggest holistic ways of harnessing identified opportunities. </w:t>
      </w:r>
    </w:p>
    <w:p w14:paraId="5F610500">
      <w:pPr>
        <w:spacing w:after="0" w:line="360" w:lineRule="auto"/>
        <w:jc w:val="both"/>
        <w:rPr>
          <w:rFonts w:cs="Arial"/>
        </w:rPr>
      </w:pPr>
      <w:r>
        <w:rPr>
          <w:rFonts w:cs="Arial"/>
        </w:rPr>
        <w:t>The research questions are:</w:t>
      </w:r>
    </w:p>
    <w:p w14:paraId="2809BD20">
      <w:pPr>
        <w:pStyle w:val="35"/>
        <w:numPr>
          <w:ilvl w:val="0"/>
          <w:numId w:val="2"/>
        </w:numPr>
        <w:spacing w:after="0" w:line="360" w:lineRule="auto"/>
        <w:jc w:val="both"/>
        <w:rPr>
          <w:rFonts w:cs="Arial"/>
        </w:rPr>
      </w:pPr>
      <w:r>
        <w:rPr>
          <w:rFonts w:cs="Arial"/>
        </w:rPr>
        <w:t>What are the key issues/challenges confronting key stakeholders?</w:t>
      </w:r>
    </w:p>
    <w:p w14:paraId="18A92C39">
      <w:pPr>
        <w:pStyle w:val="35"/>
        <w:numPr>
          <w:ilvl w:val="0"/>
          <w:numId w:val="2"/>
        </w:numPr>
        <w:spacing w:after="0" w:line="360" w:lineRule="auto"/>
        <w:jc w:val="both"/>
        <w:rPr>
          <w:rFonts w:cs="Arial"/>
        </w:rPr>
      </w:pPr>
      <w:r>
        <w:rPr>
          <w:rFonts w:cs="Arial"/>
        </w:rPr>
        <w:t>What are the key opportunities central to all stakeholders?</w:t>
      </w:r>
    </w:p>
    <w:p w14:paraId="2D125801">
      <w:pPr>
        <w:pStyle w:val="35"/>
        <w:numPr>
          <w:ilvl w:val="0"/>
          <w:numId w:val="2"/>
        </w:numPr>
        <w:spacing w:after="0" w:line="360" w:lineRule="auto"/>
        <w:jc w:val="both"/>
        <w:rPr>
          <w:rFonts w:cs="Arial"/>
        </w:rPr>
      </w:pPr>
      <w:r>
        <w:rPr>
          <w:rFonts w:cs="Arial"/>
        </w:rPr>
        <w:t xml:space="preserve">How can the issues in (a) above be addressed for the benefits of all stakeholders? </w:t>
      </w:r>
    </w:p>
    <w:p w14:paraId="33C6FB47">
      <w:pPr>
        <w:pStyle w:val="35"/>
        <w:numPr>
          <w:ilvl w:val="0"/>
          <w:numId w:val="2"/>
        </w:numPr>
        <w:spacing w:after="0" w:line="360" w:lineRule="auto"/>
        <w:jc w:val="both"/>
        <w:rPr>
          <w:rFonts w:cs="Arial"/>
        </w:rPr>
      </w:pPr>
      <w:r>
        <w:rPr>
          <w:rFonts w:cs="Arial"/>
        </w:rPr>
        <w:t xml:space="preserve">How can the identified opportunities in (b) above be explored for the benefits of all </w:t>
      </w:r>
    </w:p>
    <w:p w14:paraId="73A28F42">
      <w:pPr>
        <w:pStyle w:val="35"/>
        <w:spacing w:after="0" w:line="360" w:lineRule="auto"/>
        <w:ind w:left="0"/>
        <w:jc w:val="both"/>
        <w:rPr>
          <w:rFonts w:cs="Arial"/>
        </w:rPr>
      </w:pPr>
      <w:r>
        <w:rPr>
          <w:rFonts w:cs="Arial"/>
        </w:rPr>
        <w:t xml:space="preserve">   stakeholders?</w:t>
      </w:r>
    </w:p>
    <w:p w14:paraId="3E5EC738">
      <w:pPr>
        <w:ind w:left="720"/>
      </w:pPr>
    </w:p>
    <w:p w14:paraId="550D8D14">
      <w:pPr>
        <w:pStyle w:val="2"/>
      </w:pPr>
      <w:bookmarkStart w:id="3" w:name="_Toc208438492"/>
      <w:r>
        <w:t>Literature Review</w:t>
      </w:r>
      <w:bookmarkEnd w:id="3"/>
    </w:p>
    <w:p w14:paraId="03EA1B06">
      <w:pPr>
        <w:autoSpaceDE w:val="0"/>
        <w:autoSpaceDN w:val="0"/>
        <w:adjustRightInd w:val="0"/>
        <w:spacing w:after="0" w:line="360" w:lineRule="auto"/>
        <w:jc w:val="both"/>
        <w:rPr>
          <w:rFonts w:cs="Arial"/>
        </w:rPr>
      </w:pPr>
      <w:r>
        <w:rPr>
          <w:rFonts w:cs="Arial"/>
        </w:rPr>
        <w:t>It has been argued that stakeholders constitute an important component of an organisation environment (Freeman, 1984). They are an integral part of an organisation/individual’s network of relationships and/or ecosystem (Waligo, et al, 2013; Sharma, et al, 2024). In this study, stakeholders refer to those groups or individuals whose interest in micro-credentials include learning and acquiring competent-based skills (employees/professional learners), supporting acquisition of acquiring competent-based skills (employers) and those involve in policy making, designing and implementing learning and acquiring competent-based skills (Department of Education, HEIs and related institutions) and therefore can affect or are affected by the decisions and activities concerning those micro credential initiatives. The section below present a review literature on employees’/learners’ perspective, employers’ perspective and institutional perspective.</w:t>
      </w:r>
    </w:p>
    <w:p w14:paraId="471B7817">
      <w:pPr>
        <w:pStyle w:val="2"/>
      </w:pPr>
      <w:bookmarkStart w:id="4" w:name="_Toc208438493"/>
      <w:r>
        <w:t>Employees’/Learners’ Perspective</w:t>
      </w:r>
      <w:bookmarkEnd w:id="4"/>
    </w:p>
    <w:p w14:paraId="03DAEC11">
      <w:pPr>
        <w:spacing w:after="0" w:line="360" w:lineRule="auto"/>
        <w:jc w:val="both"/>
        <w:rPr>
          <w:rFonts w:cs="Arial"/>
        </w:rPr>
      </w:pPr>
      <w:r>
        <w:rPr>
          <w:rFonts w:cs="Arial"/>
        </w:rPr>
        <w:t>Learners in this context refer to professional (and/or potential) employees that need reskilling and upskilling as well as students and/or prospective employees that intend to gain the necessary skills and competencies to improve their employability chances (Ralston, 2021; Peller-Semmens, 2021; Sharma, et al, 2024). For these learners, subject-specific micro-credentials provide the required adaptability and flexibility they need at any stage of their career journey as they seek to build new skill sets (Peller-Semmens, 2021). Professionals view micro-credentials as important pathways to progressively acquire knowledge within a specific area and/or augment their existing knowledge in a particular field. This enhances the demonstration of higher knowledge, improves/strengthens their employability and/or offers them the opportunity for career change (Peller-Semmens, 2021; Ralston, 2021).</w:t>
      </w:r>
    </w:p>
    <w:p w14:paraId="009EF643">
      <w:pPr>
        <w:spacing w:after="0" w:line="360" w:lineRule="auto"/>
        <w:jc w:val="both"/>
        <w:rPr>
          <w:rFonts w:cs="Arial"/>
        </w:rPr>
      </w:pPr>
      <w:r>
        <w:rPr>
          <w:rFonts w:cs="Arial"/>
        </w:rPr>
        <w:t>Prospective employees are becoming aware that the job market is awash with university graduates whose degrees, prospective employers considered as having limited value (Redden, 2020). Likewise, findings show that earnings between non-degree and degree employees are similar (Fain, 2020). However, prospective employees need to exercise caution; whilst it may bolster employability and increase earnings; micro-credentialing reduces higher learning to ‘tick boxes’ of hard skills and competencies with reduced focused on soft skills and human competencies and ability to ‘learn to learn’ (Ralston, 2021;</w:t>
      </w:r>
      <w:r>
        <w:rPr>
          <w:rFonts w:cs="Arial"/>
          <w:color w:val="131413"/>
        </w:rPr>
        <w:t xml:space="preserve"> Grugulis, and Vincent, 2009</w:t>
      </w:r>
      <w:r>
        <w:rPr>
          <w:rFonts w:cs="Arial"/>
        </w:rPr>
        <w:t>). In this wise, micro credentialing is viewed as reductivist (Ralston, 2021).</w:t>
      </w:r>
    </w:p>
    <w:p w14:paraId="6D5A10A6">
      <w:pPr>
        <w:pStyle w:val="2"/>
      </w:pPr>
      <w:bookmarkStart w:id="5" w:name="_Toc208438494"/>
      <w:r>
        <w:t>Employers’ Perspective</w:t>
      </w:r>
      <w:bookmarkEnd w:id="5"/>
    </w:p>
    <w:p w14:paraId="333DA5DF">
      <w:pPr>
        <w:spacing w:after="0" w:line="360" w:lineRule="auto"/>
        <w:jc w:val="both"/>
        <w:rPr>
          <w:rFonts w:cs="Arial"/>
        </w:rPr>
      </w:pPr>
      <w:r>
        <w:rPr>
          <w:rFonts w:cs="Arial"/>
        </w:rPr>
        <w:t>There is a growing consensus that traditional university degrees are being devalued as higher education is seen as a private commodity and not a public good. This view is fuelled by the decline in government funding to universities (Selingo, 2017; Ralston, 2021). The lost in ‘value’ of university degree is further fuelled by global recession in the 2000s, as many Americans lost confidence in university degree as a surety of climbing up social and economic ladder (Ralston, 2021). Likewise, the economic success of college dropouts such as Mark Zuckerberg, Evan Williams, Elon Musk, and Bill Gates has further diminished crave for university degree. Similarly, companies such as Apple, Google and Pengium Random House are no more placing emphasis on job applicants to have a degree (Glassdoor Team, 2020). Generally, employers are increasingly demanding for employees with ‘skills, and not degree’ (Kasriel, 2018; Ralston, 2021). It has been forecasted that the traditional undergraduate degree, once seen as a minimum requirement for consideration in a skilled profession, will decline in value and importance in the next decade (Selingo, 2017; Ralston, 2021). This may be due to the fast pace of technological innovation and labour market that necessitate speed and agility in learning and development. Similarly, market-driven businesses such as fintech and high-tech companies are retraining their employees within months not years so as to be abreast of the changing trends in technology (D’Orio, 2019).</w:t>
      </w:r>
    </w:p>
    <w:p w14:paraId="5F111AE0">
      <w:pPr>
        <w:pStyle w:val="2"/>
      </w:pPr>
      <w:bookmarkStart w:id="6" w:name="_Toc208438495"/>
      <w:r>
        <w:t>Institutional Perspective</w:t>
      </w:r>
      <w:bookmarkEnd w:id="6"/>
    </w:p>
    <w:p w14:paraId="2E40EC6D">
      <w:pPr>
        <w:spacing w:after="0" w:line="360" w:lineRule="auto"/>
        <w:jc w:val="both"/>
        <w:rPr>
          <w:rFonts w:cs="Arial"/>
        </w:rPr>
      </w:pPr>
      <w:r>
        <w:rPr>
          <w:rFonts w:cs="Arial"/>
        </w:rPr>
        <w:t>HEIs offer valuable contribution to national economy (Cranfield, 2011). Offering micro-credential courses helps these institutions in providing flexible and personalized learning to learners (Peller-Semmens, 2021, Pirkkalainen, et al., 2022; Sharma, et al, 2024). Offering of micro-credentials supports the recognition of skills and competencies acquired through focus on well-structured specific learning outcomes. Offering and management of micro-credentials helps in broadening Universities’ reach and enhances engagement with new set of professionals, learners and/or alumni. It provides Universities the platform to be major stakeholders in contributing to lifelong learning agenda of governments, businesses, and individual learners. This way Universities are well grounded in their impacts towards public and private businesses. Micro-credentials have enabled the adoption of novel business models across many universities (Pirkkalainen, et al., 2022; Sharma, et al, 2024).</w:t>
      </w:r>
    </w:p>
    <w:p w14:paraId="0BBADE67">
      <w:pPr>
        <w:spacing w:after="0" w:line="360" w:lineRule="auto"/>
        <w:jc w:val="both"/>
        <w:rPr>
          <w:rFonts w:cs="Arial"/>
        </w:rPr>
      </w:pPr>
    </w:p>
    <w:p w14:paraId="1AF2CFDD">
      <w:pPr>
        <w:pStyle w:val="2"/>
      </w:pPr>
      <w:bookmarkStart w:id="7" w:name="_Toc208438496"/>
      <w:r>
        <w:t>Perceived Challenges Facing Micro-Credentials</w:t>
      </w:r>
      <w:bookmarkEnd w:id="7"/>
      <w:r>
        <w:t xml:space="preserve"> </w:t>
      </w:r>
    </w:p>
    <w:p w14:paraId="701D1ED5">
      <w:pPr>
        <w:spacing w:after="0" w:line="360" w:lineRule="auto"/>
        <w:jc w:val="both"/>
      </w:pPr>
      <w:r>
        <w:t>Micro-credentials, although recognised as alternative qualification to university degrees, they are yet to be fully incorporated into standard accrediting system of higher education (Bruguera, et al, 2025; Ericksen, 2019). Similarly, universities in many developed countries are weary in appreciating micro-credentials as alternative learning certificates to degree certificates (Varadarajan et al., 2023).</w:t>
      </w:r>
    </w:p>
    <w:p w14:paraId="2834D182">
      <w:pPr>
        <w:spacing w:after="0" w:line="360" w:lineRule="auto"/>
        <w:jc w:val="both"/>
      </w:pPr>
      <w:r>
        <w:t>Another perceived challenge facing micro-credentials is the widespread adoption of micro-credentials certification which is feared could lead to demarketing of conventional degrees with potential negative impacts on revenue to the universities (Bruguera, et al, 2025). Furthermore, there is one acceptable definition for micro-credentials (Oliver, 2019); and inadequate understanding of micro-credentials among and within the academia community which leads to several divergent views and fragmented literature (Sankey and Selvaratnam, 2021). Based on the afore discussed challenges, there are ongoing deliberations particularly within European universities community on how to incorporate and operationalise micro-credentials as a sub-unit of core credit system (Uggeri and Barlassina, 2019). Likewise, universities in North America – Canada and United States have acknowledged the skills gap in the job market and the increasing need for micro-credentials course to cover the skills gap (Young et al., 2021; McGreal and Olcott, 2022).</w:t>
      </w:r>
    </w:p>
    <w:p w14:paraId="0D563315">
      <w:pPr>
        <w:spacing w:after="0" w:line="360" w:lineRule="auto"/>
        <w:jc w:val="both"/>
      </w:pPr>
    </w:p>
    <w:p w14:paraId="3EF271B7">
      <w:pPr>
        <w:spacing w:after="0" w:line="360" w:lineRule="auto"/>
        <w:jc w:val="both"/>
      </w:pPr>
    </w:p>
    <w:p w14:paraId="76013F16">
      <w:pPr>
        <w:pStyle w:val="2"/>
      </w:pPr>
      <w:bookmarkStart w:id="8" w:name="_Toc208438497"/>
      <w:r>
        <w:t>Opportunities Associated with Micro-Credentials</w:t>
      </w:r>
      <w:bookmarkEnd w:id="8"/>
    </w:p>
    <w:p w14:paraId="28DE2561">
      <w:pPr>
        <w:spacing w:after="0" w:line="360" w:lineRule="auto"/>
        <w:jc w:val="both"/>
      </w:pPr>
      <w:r>
        <w:t>Micro-credentials is gaining recognition and acceptance in many Western countries and developing countries like Malaysia (Ahmat, et al., 2021; MQA, 2019). This implies that there are opportunities for micro-credentials certification to expand in many countries. Furthermore, as micro-credentials are often delivered online, this allows learners across the world to join in/connect and also access learning materials in real time anytime and anywhere. This is unlike the conventional face-to-face teaching and learning method; micro-credentials provide opportunity for more convenient learning for learners globally world (Alias, 2020). The opportunity stated above is made possible by digital technologies. Global teaching and learning system has become more innovative by leveraging on technology (Ahmat, et al., 2021). Micro-credentials now exist in diverse forms in many countries under various titles and descriptions. They are being used to mark undeniable achievements in various disciplines such as military, sports, hospitality, business, health, etc. The achievements often come in form of digital badges, medals, and certificates (Shanahan, and Organ, 2022)</w:t>
      </w:r>
    </w:p>
    <w:p w14:paraId="6D4CD3C6">
      <w:pPr>
        <w:spacing w:after="0" w:line="360" w:lineRule="auto"/>
        <w:jc w:val="both"/>
      </w:pPr>
      <w:r>
        <w:t>Technology has helped the global education system to be more innovative in developing cutting-edge programmes. Similarly, as micro-credentials not only offer convenient learning process, after the completion of each module, learners are awarded digital badges.  The use of digital credential constitutes a motivational tool for engaging the learners (Ahmat, et al., 2021). The opportunity to undertake a micro-credential course is more appealing to professionals with part-time or full-time jobs, they view micro-credential as more accessible, flexible than a traditional degree programme. Likewise, with micro-credential course experienced workers can reskill, upskills, in certain area of skill gap. Young professionals that completed micro-credential courses in specific skill areas are able to secure competitive positions in the job markets (MQA, 2019).</w:t>
      </w:r>
    </w:p>
    <w:p w14:paraId="37655575">
      <w:pPr>
        <w:spacing w:after="0" w:line="360" w:lineRule="auto"/>
        <w:jc w:val="both"/>
      </w:pPr>
    </w:p>
    <w:p w14:paraId="458C2D2A">
      <w:pPr>
        <w:spacing w:after="0" w:line="360" w:lineRule="auto"/>
        <w:jc w:val="both"/>
      </w:pPr>
    </w:p>
    <w:p w14:paraId="2DAD7EEC">
      <w:pPr>
        <w:pStyle w:val="2"/>
      </w:pPr>
      <w:bookmarkStart w:id="9" w:name="_Toc208438498"/>
      <w:r>
        <w:t>Theoretical Considerations</w:t>
      </w:r>
      <w:bookmarkEnd w:id="9"/>
    </w:p>
    <w:p w14:paraId="73EAF554">
      <w:pPr>
        <w:pStyle w:val="3"/>
      </w:pPr>
      <w:bookmarkStart w:id="10" w:name="_Toc208438499"/>
      <w:r>
        <w:t>Ecological Systems Theory in Micro-Credentials Consideration</w:t>
      </w:r>
      <w:bookmarkEnd w:id="10"/>
      <w:r>
        <w:t xml:space="preserve"> </w:t>
      </w:r>
    </w:p>
    <w:p w14:paraId="17D2904E">
      <w:pPr>
        <w:spacing w:after="0" w:line="360" w:lineRule="auto"/>
        <w:jc w:val="both"/>
      </w:pPr>
      <w:r>
        <w:t>Micro-credentials have been considered as suitable educational response to changing nature of learning and skills demand in the workplace (Nguyen, et al., 2024).  The ecological systems theory as postulated by Bronfenbrenner (1979), helps in the analysis and discussion of micro-credentials. The theory helps in conceptualising micro-credentials has been a suitable response to evolving environment. It also explains the interaction and connection between the evolving person and the four types of environment structures. These structures are (i) microsystem, (ii) mesosysyem, (iii) exosystem and (iv) macrosystem.</w:t>
      </w:r>
    </w:p>
    <w:p w14:paraId="03F6AC53">
      <w:pPr>
        <w:spacing w:after="0" w:line="360" w:lineRule="auto"/>
        <w:jc w:val="both"/>
      </w:pPr>
      <w:r>
        <w:t>The microsystem refers to the interrelationships existing between person and environment within their immediate circle. The Mesosystem addresses the connection and interactions between main immediate circle of the person. Exosystem refers to the linkage and process about the mesosystem affecting the immediate environment. Lastly, the macrosystem highlights the broader multi-perspective context involving micro, meso and exosystem (Nguyen, et al., 2024).</w:t>
      </w:r>
    </w:p>
    <w:p w14:paraId="293D912B">
      <w:pPr>
        <w:spacing w:after="0" w:line="360" w:lineRule="auto"/>
        <w:jc w:val="both"/>
      </w:pPr>
      <w:r>
        <w:t>Macrosystem in the context of micro-credentials include Organisation for Economic Cooperation and Development (OECD), the European Commission, the and UNESCO. They are primarily concern with policy guidelines guiding the design and implementation of micro-credentials. Their work also includes promoting recognition of and widespread acceptance of micro-credentials among countries. Their span through working towards a globally acceptable micro-credential definition ((Nguyen, et al., 2024; Oliver, 2019). Mesosystems are national (country) and regional (e.g., European commission) effort towards respective countries and trading block make to promote adoption of micro-credentials in their domains (e.g., European Commission, 2020; Department of Education Skills and Employment, 2021 and New Zealand Qualifications Authority, 2020). Exosystem covers the employers and providers of micro-credentials courses including HEIs. They aim to provides education that validates professional abilities and competences in specific subject area (Gauthier, 2020). The microsystem indicates the awareness of and need to reskill and upskills through micro-credentials among employers and professionals (Gallagher, 2018; Nguyen et al., 2023).</w:t>
      </w:r>
    </w:p>
    <w:p w14:paraId="39F6EE1F">
      <w:pPr>
        <w:spacing w:after="0" w:line="360" w:lineRule="auto"/>
        <w:jc w:val="both"/>
      </w:pPr>
    </w:p>
    <w:p w14:paraId="5119EA63">
      <w:pPr>
        <w:spacing w:after="0" w:line="360" w:lineRule="auto"/>
        <w:jc w:val="both"/>
      </w:pPr>
    </w:p>
    <w:p w14:paraId="6A41AA9C">
      <w:pPr>
        <w:spacing w:after="0" w:line="360" w:lineRule="auto"/>
        <w:jc w:val="both"/>
      </w:pPr>
    </w:p>
    <w:p w14:paraId="743B09EC">
      <w:pPr>
        <w:spacing w:after="0" w:line="360" w:lineRule="auto"/>
        <w:jc w:val="both"/>
      </w:pPr>
    </w:p>
    <w:p w14:paraId="17F8881D">
      <w:pPr>
        <w:spacing w:after="0" w:line="360" w:lineRule="auto"/>
        <w:jc w:val="both"/>
      </w:pPr>
    </w:p>
    <w:p w14:paraId="348A913C">
      <w:pPr>
        <w:spacing w:after="0" w:line="360" w:lineRule="auto"/>
        <w:jc w:val="both"/>
      </w:pPr>
      <w:r>
        <w:rPr>
          <w:rFonts w:ascii="Arial" w:hAnsi="Arial" w:cs="Arial"/>
        </w:rPr>
        <w:drawing>
          <wp:inline distT="0" distB="0" distL="0" distR="0">
            <wp:extent cx="4895850" cy="4629150"/>
            <wp:effectExtent l="0" t="0" r="0" b="0"/>
            <wp:docPr id="385399070"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399070" name="Picture 1" descr="A diagram of a diagram&#10;&#10;AI-generated content may be incorrect."/>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4896102" cy="4629388"/>
                    </a:xfrm>
                    <a:prstGeom prst="rect">
                      <a:avLst/>
                    </a:prstGeom>
                  </pic:spPr>
                </pic:pic>
              </a:graphicData>
            </a:graphic>
          </wp:inline>
        </w:drawing>
      </w:r>
    </w:p>
    <w:p w14:paraId="42F27653">
      <w:pPr>
        <w:spacing w:after="0" w:line="360" w:lineRule="auto"/>
        <w:jc w:val="both"/>
        <w:rPr>
          <w:b/>
          <w:bCs/>
        </w:rPr>
      </w:pPr>
      <w:r>
        <w:rPr>
          <w:b/>
          <w:bCs/>
        </w:rPr>
        <w:t>Figure 1: Micro-credentials Ecosystem (Source: Nguyen, et al., 2024).</w:t>
      </w:r>
    </w:p>
    <w:p w14:paraId="6AB22B96">
      <w:pPr>
        <w:spacing w:after="0" w:line="360" w:lineRule="auto"/>
        <w:jc w:val="both"/>
      </w:pPr>
      <w:r>
        <w:t xml:space="preserve">This research intends to focus on three (3) perspectives of learners, employer/industry and institutional perspectives. This forms the basis of the conceptual framework developed as presented in the diagram (figure 2) below. In this study, learners are considered as a category with its own perspective. While employers and industry-wide skills requirements are considered as a separate category and lastly, HEIs, Department of Education and its associated stakeholders are considered as the third and final category. The basis for this categorisation is to enhance detailed analysis and consideration of stakeholders in similar functions, interests, and/or demand from micro-credentialing practices. </w:t>
      </w:r>
    </w:p>
    <w:p w14:paraId="503F06BD">
      <w:pPr>
        <w:spacing w:after="0" w:line="360" w:lineRule="auto"/>
        <w:jc w:val="both"/>
      </w:pPr>
    </w:p>
    <w:p w14:paraId="1CF2540F">
      <w:pPr>
        <w:spacing w:after="0" w:line="360" w:lineRule="auto"/>
        <w:jc w:val="both"/>
      </w:pPr>
    </w:p>
    <w:p w14:paraId="178F7D4C">
      <w:pPr>
        <w:spacing w:after="0" w:line="360" w:lineRule="auto"/>
        <w:jc w:val="both"/>
      </w:pPr>
    </w:p>
    <w:p w14:paraId="76C688C6">
      <w:pPr>
        <w:spacing w:after="0" w:line="360" w:lineRule="auto"/>
        <w:jc w:val="both"/>
      </w:pPr>
    </w:p>
    <w:p w14:paraId="397A0EAA">
      <w:pPr>
        <w:pStyle w:val="2"/>
      </w:pPr>
      <w:bookmarkStart w:id="11" w:name="_Toc208438500"/>
      <w:r>
        <w:rPr>
          <w14:ligatures w14:val="standardContextual"/>
        </w:rPr>
        <w:drawing>
          <wp:anchor distT="0" distB="0" distL="114300" distR="114300" simplePos="0" relativeHeight="251662336" behindDoc="0" locked="0" layoutInCell="1" allowOverlap="1">
            <wp:simplePos x="0" y="0"/>
            <wp:positionH relativeFrom="column">
              <wp:posOffset>-1041400</wp:posOffset>
            </wp:positionH>
            <wp:positionV relativeFrom="paragraph">
              <wp:posOffset>339090</wp:posOffset>
            </wp:positionV>
            <wp:extent cx="635" cy="635"/>
            <wp:effectExtent l="0" t="0" r="0" b="0"/>
            <wp:wrapNone/>
            <wp:docPr id="796069999" name="Ink 10"/>
            <wp:cNvGraphicFramePr/>
            <a:graphic xmlns:a="http://schemas.openxmlformats.org/drawingml/2006/main">
              <a:graphicData uri="http://schemas.openxmlformats.org/drawingml/2006/picture">
                <pic:pic xmlns:pic="http://schemas.openxmlformats.org/drawingml/2006/picture">
                  <pic:nvPicPr>
                    <pic:cNvPr id="796069999" name="Ink 10"/>
                    <pic:cNvPicPr/>
                  </pic:nvPicPr>
                  <pic:blipFill>
                    <a:blip r:embed="rId7"/>
                    <a:stretch>
                      <a:fillRect/>
                    </a:stretch>
                  </pic:blipFill>
                  <pic:spPr>
                    <a:xfrm>
                      <a:off x="0" y="0"/>
                      <a:ext cx="12600" cy="75600"/>
                    </a:xfrm>
                    <a:prstGeom prst="rect">
                      <a:avLst/>
                    </a:prstGeom>
                  </pic:spPr>
                </pic:pic>
              </a:graphicData>
            </a:graphic>
          </wp:anchor>
        </w:drawing>
      </w:r>
      <w:r>
        <w:t>Conceptual Framework</w:t>
      </w:r>
      <w:bookmarkEnd w:id="11"/>
    </w:p>
    <w:p w14:paraId="1A91579E">
      <w:pPr>
        <w:spacing w:after="0" w:line="360" w:lineRule="auto"/>
        <w:jc w:val="both"/>
      </w:pPr>
    </w:p>
    <w:tbl>
      <w:tblPr>
        <w:tblStyle w:val="18"/>
        <w:tblW w:w="10348" w:type="dxa"/>
        <w:tblInd w:w="-71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348"/>
      </w:tblGrid>
      <w:tr w14:paraId="2DCF95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348" w:type="dxa"/>
          </w:tcPr>
          <w:p w14:paraId="54DB034B">
            <w:pPr>
              <w:spacing w:after="0" w:line="360" w:lineRule="auto"/>
              <w:jc w:val="both"/>
            </w:pPr>
          </w:p>
          <w:p w14:paraId="711A253E">
            <w:pPr>
              <w:spacing w:after="0" w:line="360" w:lineRule="auto"/>
              <w:jc w:val="both"/>
              <w:rPr>
                <w:b/>
                <w:bCs/>
              </w:rPr>
            </w:pPr>
            <w:r>
              <w:rPr>
                <w14:ligatures w14:val="standardContextual"/>
              </w:rPr>
              <w:drawing>
                <wp:anchor distT="0" distB="0" distL="114300" distR="114300" simplePos="0" relativeHeight="251663360" behindDoc="0" locked="0" layoutInCell="1" allowOverlap="1">
                  <wp:simplePos x="0" y="0"/>
                  <wp:positionH relativeFrom="column">
                    <wp:posOffset>391160</wp:posOffset>
                  </wp:positionH>
                  <wp:positionV relativeFrom="paragraph">
                    <wp:posOffset>245110</wp:posOffset>
                  </wp:positionV>
                  <wp:extent cx="635" cy="635"/>
                  <wp:effectExtent l="0" t="0" r="0" b="0"/>
                  <wp:wrapNone/>
                  <wp:docPr id="689852444" name="Ink 11"/>
                  <wp:cNvGraphicFramePr/>
                  <a:graphic xmlns:a="http://schemas.openxmlformats.org/drawingml/2006/main">
                    <a:graphicData uri="http://schemas.openxmlformats.org/drawingml/2006/picture">
                      <pic:pic xmlns:pic="http://schemas.openxmlformats.org/drawingml/2006/picture">
                        <pic:nvPicPr>
                          <pic:cNvPr id="689852444" name="Ink 11"/>
                          <pic:cNvPicPr/>
                        </pic:nvPicPr>
                        <pic:blipFill>
                          <a:blip r:embed="rId7"/>
                          <a:stretch>
                            <a:fillRect/>
                          </a:stretch>
                        </pic:blipFill>
                        <pic:spPr>
                          <a:xfrm>
                            <a:off x="0" y="0"/>
                            <a:ext cx="12600" cy="75600"/>
                          </a:xfrm>
                          <a:prstGeom prst="rect">
                            <a:avLst/>
                          </a:prstGeom>
                        </pic:spPr>
                      </pic:pic>
                    </a:graphicData>
                  </a:graphic>
                </wp:anchor>
              </w:drawing>
            </w:r>
            <w:r>
              <w:t xml:space="preserve">                                                                                                                                             </w:t>
            </w:r>
            <w:r>
              <w:rPr>
                <w:b/>
                <w:bCs/>
              </w:rPr>
              <w:t>Technology enabled environment</w:t>
            </w:r>
          </w:p>
          <w:p w14:paraId="1313A2ED">
            <w:pPr>
              <w:spacing w:after="0" w:line="360" w:lineRule="auto"/>
              <w:jc w:val="both"/>
            </w:pPr>
          </w:p>
          <w:p w14:paraId="735E2B0C">
            <w:pPr>
              <w:spacing w:after="0" w:line="360" w:lineRule="auto"/>
              <w:ind w:left="110" w:hanging="110" w:hangingChars="50"/>
              <w:jc w:val="both"/>
              <w:rPr>
                <w:b/>
                <w:bCs/>
              </w:rPr>
            </w:pPr>
            <w:r>
              <w:rPr>
                <w14:ligatures w14:val="standardContextual"/>
              </w:rPr>
              <mc:AlternateContent>
                <mc:Choice Requires="wps">
                  <w:drawing>
                    <wp:anchor distT="0" distB="0" distL="114300" distR="114300" simplePos="0" relativeHeight="251666432" behindDoc="0" locked="0" layoutInCell="1" allowOverlap="1">
                      <wp:simplePos x="0" y="0"/>
                      <wp:positionH relativeFrom="column">
                        <wp:posOffset>2028190</wp:posOffset>
                      </wp:positionH>
                      <wp:positionV relativeFrom="paragraph">
                        <wp:posOffset>87630</wp:posOffset>
                      </wp:positionV>
                      <wp:extent cx="2419350" cy="2089150"/>
                      <wp:effectExtent l="0" t="0" r="19050" b="25400"/>
                      <wp:wrapNone/>
                      <wp:docPr id="557380671" name="Oval 12"/>
                      <wp:cNvGraphicFramePr/>
                      <a:graphic xmlns:a="http://schemas.openxmlformats.org/drawingml/2006/main">
                        <a:graphicData uri="http://schemas.microsoft.com/office/word/2010/wordprocessingShape">
                          <wps:wsp>
                            <wps:cNvSpPr/>
                            <wps:spPr>
                              <a:xfrm>
                                <a:off x="0" y="0"/>
                                <a:ext cx="2419350" cy="2089150"/>
                              </a:xfrm>
                              <a:prstGeom prst="ellipse">
                                <a:avLst/>
                              </a:prstGeom>
                              <a:noFill/>
                              <a:ln w="12700" cap="flat" cmpd="sng" algn="ctr">
                                <a:solidFill>
                                  <a:srgbClr val="156082">
                                    <a:shade val="15000"/>
                                  </a:srgbClr>
                                </a:solidFill>
                                <a:prstDash val="solid"/>
                                <a:miter lim="800000"/>
                              </a:ln>
                              <a:effectLst/>
                            </wps:spPr>
                            <wps:txbx>
                              <w:txbxContent>
                                <w:p w14:paraId="0DC5D7E7">
                                  <w:pPr>
                                    <w:jc w:val="center"/>
                                  </w:pPr>
                                </w:p>
                                <w:p w14:paraId="79F86319">
                                  <w:pPr>
                                    <w:jc w:val="center"/>
                                  </w:pPr>
                                </w:p>
                                <w:p w14:paraId="48FEC066">
                                  <w:pPr>
                                    <w:jc w:val="center"/>
                                  </w:pPr>
                                </w:p>
                                <w:p w14:paraId="7027EEE1">
                                  <w:pPr>
                                    <w:jc w:val="center"/>
                                  </w:pPr>
                                </w:p>
                                <w:p w14:paraId="4704282C">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Oval 12" o:spid="_x0000_s1026" o:spt="3" type="#_x0000_t3" style="position:absolute;left:0pt;margin-left:159.7pt;margin-top:6.9pt;height:164.5pt;width:190.5pt;z-index:251666432;v-text-anchor:middle;mso-width-relative:page;mso-height-relative:page;" filled="f" stroked="t" coordsize="21600,21600" o:gfxdata="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AAAAABkcnMvUEsBAhQAFAAAAAgAh07iQGKIOyPZAAAACgEAAA8AAAAAAAAA&#10;AQAgAAAAIgAAAGRycy9kb3ducmV2LnhtbFBLAQIUABQAAAAIAIdO4kA3ldvTggIAABAFAAAOAAAA&#10;AAAAAAEAIAAAACgBAABkcnMvZTJvRG9jLnhtbFBLBQYAAAAABgAGAFkBAAAcBgAAAAA=&#10;">
                      <v:fill on="f" focussize="0,0"/>
                      <v:stroke weight="1pt" color="#042433" miterlimit="8" joinstyle="miter"/>
                      <v:imagedata o:title=""/>
                      <o:lock v:ext="edit" aspectratio="f"/>
                      <v:textbox>
                        <w:txbxContent>
                          <w:p w14:paraId="0DC5D7E7">
                            <w:pPr>
                              <w:jc w:val="center"/>
                            </w:pPr>
                          </w:p>
                          <w:p w14:paraId="79F86319">
                            <w:pPr>
                              <w:jc w:val="center"/>
                            </w:pPr>
                          </w:p>
                          <w:p w14:paraId="48FEC066">
                            <w:pPr>
                              <w:jc w:val="center"/>
                            </w:pPr>
                          </w:p>
                          <w:p w14:paraId="7027EEE1">
                            <w:pPr>
                              <w:jc w:val="center"/>
                            </w:pPr>
                          </w:p>
                          <w:p w14:paraId="4704282C">
                            <w:pPr>
                              <w:jc w:val="center"/>
                            </w:pPr>
                          </w:p>
                        </w:txbxContent>
                      </v:textbox>
                    </v:shape>
                  </w:pict>
                </mc:Fallback>
              </mc:AlternateContent>
            </w:r>
            <w:r>
              <w:t xml:space="preserve">                                                                                                                                      </w:t>
            </w:r>
          </w:p>
          <w:p w14:paraId="7EA65A1A">
            <w:pPr>
              <w:spacing w:after="0" w:line="360" w:lineRule="auto"/>
              <w:jc w:val="both"/>
            </w:pPr>
            <w:r>
              <mc:AlternateContent>
                <mc:Choice Requires="wps">
                  <w:drawing>
                    <wp:anchor distT="0" distB="0" distL="114300" distR="114300" simplePos="0" relativeHeight="251667456" behindDoc="0" locked="0" layoutInCell="1" allowOverlap="1">
                      <wp:simplePos x="0" y="0"/>
                      <wp:positionH relativeFrom="column">
                        <wp:posOffset>4373880</wp:posOffset>
                      </wp:positionH>
                      <wp:positionV relativeFrom="paragraph">
                        <wp:posOffset>190500</wp:posOffset>
                      </wp:positionV>
                      <wp:extent cx="1828800" cy="18288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14:paraId="7EAE7241">
                                  <w:pPr>
                                    <w:spacing w:after="0" w:line="360" w:lineRule="auto"/>
                                    <w:ind w:left="110" w:hanging="110" w:hangingChars="50"/>
                                    <w:jc w:val="both"/>
                                    <w:rPr>
                                      <w:b/>
                                      <w:bCs/>
                                    </w:rPr>
                                  </w:pPr>
                                  <w:r>
                                    <w:rPr>
                                      <w:b/>
                                      <w:bCs/>
                                    </w:rPr>
                                    <w:t>Employer’s Perspective</w:t>
                                  </w:r>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anchor>
                  </w:drawing>
                </mc:Choice>
                <mc:Fallback>
                  <w:pict>
                    <v:shape id="_x0000_s1026" o:spid="_x0000_s1026" o:spt="202" type="#_x0000_t202" style="position:absolute;left:0pt;margin-left:344.4pt;margin-top:15pt;height:144pt;width:144pt;mso-wrap-distance-bottom:0pt;mso-wrap-distance-left:9pt;mso-wrap-distance-right:9pt;mso-wrap-distance-top:0pt;z-index:251667456;mso-width-relative:page;mso-height-relative:page;" fillcolor="#FFFFFF [3201]" filled="t" stroked="f" coordsize="21600,21600" o:gfxdata="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">
                      <v:fill on="t" focussize="0,0"/>
                      <v:stroke on="f" weight="0.5pt"/>
                      <v:imagedata o:title=""/>
                      <o:lock v:ext="edit" aspectratio="f"/>
                      <v:textbox style="mso-fit-shape-to-text:t;">
                        <w:txbxContent>
                          <w:p w14:paraId="7EAE7241">
                            <w:pPr>
                              <w:spacing w:after="0" w:line="360" w:lineRule="auto"/>
                              <w:ind w:left="110" w:hanging="110" w:hangingChars="50"/>
                              <w:jc w:val="both"/>
                              <w:rPr>
                                <w:b/>
                                <w:bCs/>
                              </w:rPr>
                            </w:pPr>
                            <w:r>
                              <w:rPr>
                                <w:b/>
                                <w:bCs/>
                              </w:rPr>
                              <w:t>Employer’s Perspective</w:t>
                            </w:r>
                          </w:p>
                        </w:txbxContent>
                      </v:textbox>
                      <w10:wrap type="square"/>
                    </v:shape>
                  </w:pict>
                </mc:Fallback>
              </mc:AlternateContent>
            </w:r>
            <w:r>
              <w:rPr>
                <w14:ligatures w14:val="standardContextual"/>
              </w:rPr>
              <w:drawing>
                <wp:anchor distT="0" distB="0" distL="114300" distR="114300" simplePos="0" relativeHeight="251660288" behindDoc="0" locked="0" layoutInCell="1" allowOverlap="1">
                  <wp:simplePos x="0" y="0"/>
                  <wp:positionH relativeFrom="column">
                    <wp:posOffset>1261110</wp:posOffset>
                  </wp:positionH>
                  <wp:positionV relativeFrom="paragraph">
                    <wp:posOffset>74930</wp:posOffset>
                  </wp:positionV>
                  <wp:extent cx="635" cy="635"/>
                  <wp:effectExtent l="0" t="0" r="0" b="0"/>
                  <wp:wrapNone/>
                  <wp:docPr id="1037098721" name="Ink 5"/>
                  <wp:cNvGraphicFramePr/>
                  <a:graphic xmlns:a="http://schemas.openxmlformats.org/drawingml/2006/main">
                    <a:graphicData uri="http://schemas.openxmlformats.org/drawingml/2006/picture">
                      <pic:pic xmlns:pic="http://schemas.openxmlformats.org/drawingml/2006/picture">
                        <pic:nvPicPr>
                          <pic:cNvPr id="1037098721" name="Ink 5"/>
                          <pic:cNvPicPr/>
                        </pic:nvPicPr>
                        <pic:blipFill>
                          <a:blip r:embed="rId7"/>
                          <a:stretch>
                            <a:fillRect/>
                          </a:stretch>
                        </pic:blipFill>
                        <pic:spPr>
                          <a:xfrm>
                            <a:off x="0" y="0"/>
                            <a:ext cx="12600" cy="75600"/>
                          </a:xfrm>
                          <a:prstGeom prst="rect">
                            <a:avLst/>
                          </a:prstGeom>
                        </pic:spPr>
                      </pic:pic>
                    </a:graphicData>
                  </a:graphic>
                </wp:anchor>
              </w:drawing>
            </w:r>
            <w:r>
              <w:rPr>
                <w14:ligatures w14:val="standardContextual"/>
              </w:rPr>
              <w:drawing>
                <wp:anchor distT="0" distB="0" distL="114300" distR="114300" simplePos="0" relativeHeight="251659264" behindDoc="0" locked="0" layoutInCell="1" allowOverlap="1">
                  <wp:simplePos x="0" y="0"/>
                  <wp:positionH relativeFrom="column">
                    <wp:posOffset>899160</wp:posOffset>
                  </wp:positionH>
                  <wp:positionV relativeFrom="paragraph">
                    <wp:posOffset>233680</wp:posOffset>
                  </wp:positionV>
                  <wp:extent cx="635" cy="635"/>
                  <wp:effectExtent l="0" t="0" r="0" b="0"/>
                  <wp:wrapNone/>
                  <wp:docPr id="1391206243" name="Ink 4"/>
                  <wp:cNvGraphicFramePr/>
                  <a:graphic xmlns:a="http://schemas.openxmlformats.org/drawingml/2006/main">
                    <a:graphicData uri="http://schemas.openxmlformats.org/drawingml/2006/picture">
                      <pic:pic xmlns:pic="http://schemas.openxmlformats.org/drawingml/2006/picture">
                        <pic:nvPicPr>
                          <pic:cNvPr id="1391206243" name="Ink 4"/>
                          <pic:cNvPicPr/>
                        </pic:nvPicPr>
                        <pic:blipFill>
                          <a:blip r:embed="rId8"/>
                          <a:stretch>
                            <a:fillRect/>
                          </a:stretch>
                        </pic:blipFill>
                        <pic:spPr>
                          <a:xfrm>
                            <a:off x="0" y="0"/>
                            <a:ext cx="18000" cy="108000"/>
                          </a:xfrm>
                          <a:prstGeom prst="rect">
                            <a:avLst/>
                          </a:prstGeom>
                        </pic:spPr>
                      </pic:pic>
                    </a:graphicData>
                  </a:graphic>
                </wp:anchor>
              </w:drawing>
            </w:r>
          </w:p>
          <w:p w14:paraId="4EDB8344">
            <w:pPr>
              <w:spacing w:after="0" w:line="360" w:lineRule="auto"/>
              <w:jc w:val="both"/>
            </w:pPr>
          </w:p>
          <w:p w14:paraId="5647B03A">
            <w:pPr>
              <w:spacing w:after="0" w:line="360" w:lineRule="auto"/>
              <w:jc w:val="both"/>
              <w:rPr>
                <w:b/>
                <w:bCs/>
              </w:rPr>
            </w:pPr>
            <w:r>
              <w:rPr>
                <w:b/>
                <w:bCs/>
                <w14:ligatures w14:val="standardContextual"/>
              </w:rPr>
              <mc:AlternateContent>
                <mc:Choice Requires="wps">
                  <w:drawing>
                    <wp:anchor distT="0" distB="0" distL="114300" distR="114300" simplePos="0" relativeHeight="251664384" behindDoc="0" locked="0" layoutInCell="1" allowOverlap="1">
                      <wp:simplePos x="0" y="0"/>
                      <wp:positionH relativeFrom="column">
                        <wp:posOffset>845185</wp:posOffset>
                      </wp:positionH>
                      <wp:positionV relativeFrom="paragraph">
                        <wp:posOffset>27940</wp:posOffset>
                      </wp:positionV>
                      <wp:extent cx="2584450" cy="2089150"/>
                      <wp:effectExtent l="0" t="0" r="25400" b="25400"/>
                      <wp:wrapNone/>
                      <wp:docPr id="1350215761" name="Oval 12"/>
                      <wp:cNvGraphicFramePr/>
                      <a:graphic xmlns:a="http://schemas.openxmlformats.org/drawingml/2006/main">
                        <a:graphicData uri="http://schemas.microsoft.com/office/word/2010/wordprocessingShape">
                          <wps:wsp>
                            <wps:cNvSpPr/>
                            <wps:spPr>
                              <a:xfrm>
                                <a:off x="0" y="0"/>
                                <a:ext cx="2584450" cy="2089150"/>
                              </a:xfrm>
                              <a:prstGeom prst="ellipse">
                                <a:avLst/>
                              </a:prstGeom>
                              <a:no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Oval 12" o:spid="_x0000_s1026" o:spt="3" type="#_x0000_t3" style="position:absolute;left:0pt;margin-left:66.55pt;margin-top:2.2pt;height:164.5pt;width:203.5pt;z-index:251664384;v-text-anchor:middle;mso-width-relative:page;mso-height-relative:page;" filled="f" stroked="t" coordsize="21600,21600" o:gfxdata="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">
                      <v:fill on="f" focussize="0,0"/>
                      <v:stroke weight="1pt" color="#042433" miterlimit="8" joinstyle="miter"/>
                      <v:imagedata o:title=""/>
                      <o:lock v:ext="edit" aspectratio="f"/>
                    </v:shape>
                  </w:pict>
                </mc:Fallback>
              </mc:AlternateContent>
            </w:r>
            <w:r>
              <w:rPr>
                <w:b/>
                <w:bCs/>
                <w14:ligatures w14:val="standardContextual"/>
              </w:rPr>
              <mc:AlternateContent>
                <mc:Choice Requires="wps">
                  <w:drawing>
                    <wp:anchor distT="0" distB="0" distL="114300" distR="114300" simplePos="0" relativeHeight="251665408" behindDoc="0" locked="0" layoutInCell="1" allowOverlap="1">
                      <wp:simplePos x="0" y="0"/>
                      <wp:positionH relativeFrom="column">
                        <wp:posOffset>2393950</wp:posOffset>
                      </wp:positionH>
                      <wp:positionV relativeFrom="paragraph">
                        <wp:posOffset>99695</wp:posOffset>
                      </wp:positionV>
                      <wp:extent cx="2419350" cy="2089150"/>
                      <wp:effectExtent l="0" t="0" r="19050" b="25400"/>
                      <wp:wrapNone/>
                      <wp:docPr id="64648699" name="Oval 12"/>
                      <wp:cNvGraphicFramePr/>
                      <a:graphic xmlns:a="http://schemas.openxmlformats.org/drawingml/2006/main">
                        <a:graphicData uri="http://schemas.microsoft.com/office/word/2010/wordprocessingShape">
                          <wps:wsp>
                            <wps:cNvSpPr/>
                            <wps:spPr>
                              <a:xfrm>
                                <a:off x="0" y="0"/>
                                <a:ext cx="2419350" cy="2089150"/>
                              </a:xfrm>
                              <a:prstGeom prst="ellipse">
                                <a:avLst/>
                              </a:prstGeom>
                              <a:no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Oval 12" o:spid="_x0000_s1026" o:spt="3" type="#_x0000_t3" style="position:absolute;left:0pt;margin-left:188.5pt;margin-top:7.85pt;height:164.5pt;width:190.5pt;z-index:251665408;v-text-anchor:middle;mso-width-relative:page;mso-height-relative:page;" filled="f" stroked="t" coordsize="21600,21600" o:gfxdata="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">
                      <v:fill on="f" focussize="0,0"/>
                      <v:stroke weight="1pt" color="#042433" miterlimit="8" joinstyle="miter"/>
                      <v:imagedata o:title=""/>
                      <o:lock v:ext="edit" aspectratio="f"/>
                    </v:shape>
                  </w:pict>
                </mc:Fallback>
              </mc:AlternateContent>
            </w:r>
            <w:r>
              <w:rPr>
                <w:b/>
                <w:bCs/>
              </w:rPr>
              <w:t>Learner’s Perspective</w:t>
            </w:r>
          </w:p>
          <w:p w14:paraId="174089D3">
            <w:pPr>
              <w:spacing w:after="0" w:line="360" w:lineRule="auto"/>
              <w:jc w:val="both"/>
            </w:pPr>
          </w:p>
          <w:p w14:paraId="21F41495">
            <w:pPr>
              <w:spacing w:after="0" w:line="360" w:lineRule="auto"/>
              <w:jc w:val="both"/>
            </w:pPr>
            <w:r>
              <w:rPr>
                <w14:ligatures w14:val="standardContextual"/>
              </w:rPr>
              <w:drawing>
                <wp:anchor distT="0" distB="0" distL="114300" distR="114300" simplePos="0" relativeHeight="251661312" behindDoc="0" locked="0" layoutInCell="1" allowOverlap="1">
                  <wp:simplePos x="0" y="0"/>
                  <wp:positionH relativeFrom="column">
                    <wp:posOffset>2722245</wp:posOffset>
                  </wp:positionH>
                  <wp:positionV relativeFrom="paragraph">
                    <wp:posOffset>73660</wp:posOffset>
                  </wp:positionV>
                  <wp:extent cx="635" cy="635"/>
                  <wp:effectExtent l="0" t="0" r="0" b="0"/>
                  <wp:wrapNone/>
                  <wp:docPr id="932075268" name="Ink 8"/>
                  <wp:cNvGraphicFramePr/>
                  <a:graphic xmlns:a="http://schemas.openxmlformats.org/drawingml/2006/main">
                    <a:graphicData uri="http://schemas.openxmlformats.org/drawingml/2006/picture">
                      <pic:pic xmlns:pic="http://schemas.openxmlformats.org/drawingml/2006/picture">
                        <pic:nvPicPr>
                          <pic:cNvPr id="932075268" name="Ink 8"/>
                          <pic:cNvPicPr/>
                        </pic:nvPicPr>
                        <pic:blipFill>
                          <a:blip r:embed="rId7"/>
                          <a:stretch>
                            <a:fillRect/>
                          </a:stretch>
                        </pic:blipFill>
                        <pic:spPr>
                          <a:xfrm>
                            <a:off x="0" y="0"/>
                            <a:ext cx="12600" cy="75600"/>
                          </a:xfrm>
                          <a:prstGeom prst="rect">
                            <a:avLst/>
                          </a:prstGeom>
                        </pic:spPr>
                      </pic:pic>
                    </a:graphicData>
                  </a:graphic>
                </wp:anchor>
              </w:drawing>
            </w:r>
          </w:p>
          <w:p w14:paraId="2BC6630F">
            <w:pPr>
              <w:spacing w:after="0" w:line="360" w:lineRule="auto"/>
              <w:jc w:val="both"/>
            </w:pPr>
          </w:p>
          <w:p w14:paraId="74D30280">
            <w:pPr>
              <w:spacing w:after="0" w:line="360" w:lineRule="auto"/>
              <w:jc w:val="both"/>
            </w:pPr>
          </w:p>
          <w:p w14:paraId="5E13D059">
            <w:pPr>
              <w:spacing w:after="0" w:line="360" w:lineRule="auto"/>
              <w:jc w:val="both"/>
            </w:pPr>
          </w:p>
          <w:p w14:paraId="392CDD3E">
            <w:pPr>
              <w:spacing w:after="0" w:line="360" w:lineRule="auto"/>
              <w:jc w:val="both"/>
            </w:pPr>
          </w:p>
          <w:p w14:paraId="0930777B">
            <w:pPr>
              <w:spacing w:after="0" w:line="360" w:lineRule="auto"/>
              <w:jc w:val="both"/>
            </w:pPr>
          </w:p>
          <w:p w14:paraId="23646900">
            <w:pPr>
              <w:spacing w:after="0" w:line="360" w:lineRule="auto"/>
              <w:ind w:left="3740" w:hanging="3740" w:hangingChars="1700"/>
              <w:jc w:val="both"/>
              <w:rPr>
                <w:b/>
                <w:bCs/>
              </w:rPr>
            </w:pPr>
            <w:r>
              <w:t xml:space="preserve">                                                                                                                                                               </w:t>
            </w:r>
            <w:r>
              <w:rPr>
                <w:b/>
                <w:bCs/>
              </w:rPr>
              <w:t>Institutional Perspective</w:t>
            </w:r>
          </w:p>
          <w:p w14:paraId="5E1CEB22">
            <w:pPr>
              <w:spacing w:after="0" w:line="360" w:lineRule="auto"/>
              <w:jc w:val="both"/>
            </w:pPr>
          </w:p>
          <w:p w14:paraId="167551CB">
            <w:pPr>
              <w:spacing w:after="0" w:line="360" w:lineRule="auto"/>
              <w:jc w:val="both"/>
              <w:rPr>
                <w:b/>
                <w:bCs/>
              </w:rPr>
            </w:pPr>
            <w:r>
              <w:rPr>
                <w:b/>
                <w:bCs/>
              </w:rPr>
              <w:t>Dynamic 21</w:t>
            </w:r>
            <w:r>
              <w:rPr>
                <w:b/>
                <w:bCs/>
                <w:vertAlign w:val="superscript"/>
              </w:rPr>
              <w:t>st</w:t>
            </w:r>
            <w:r>
              <w:rPr>
                <w:b/>
                <w:bCs/>
              </w:rPr>
              <w:t xml:space="preserve"> century workplace with growing skills gap</w:t>
            </w:r>
          </w:p>
        </w:tc>
      </w:tr>
    </w:tbl>
    <w:p w14:paraId="0FA4C87A">
      <w:pPr>
        <w:spacing w:after="0" w:line="360" w:lineRule="auto"/>
        <w:jc w:val="both"/>
      </w:pPr>
    </w:p>
    <w:p w14:paraId="3FAB9B2E">
      <w:pPr>
        <w:spacing w:after="0" w:line="360" w:lineRule="auto"/>
        <w:jc w:val="both"/>
        <w:rPr>
          <w:b/>
          <w:bCs/>
        </w:rPr>
      </w:pPr>
      <w:r>
        <w:rPr>
          <w:b/>
          <w:bCs/>
        </w:rPr>
        <w:t>Figure 2: Conceptual Framework (Self-Developed).</w:t>
      </w:r>
    </w:p>
    <w:p w14:paraId="356D09A8">
      <w:pPr>
        <w:pStyle w:val="2"/>
      </w:pPr>
      <w:bookmarkStart w:id="12" w:name="_Toc208438501"/>
      <w:r>
        <w:t>Methodology (or Research Design)</w:t>
      </w:r>
      <w:bookmarkEnd w:id="12"/>
      <w:r>
        <w:br w:type="textWrapping"/>
      </w:r>
    </w:p>
    <w:p w14:paraId="074330DC">
      <w:pPr>
        <w:spacing w:after="0" w:line="360" w:lineRule="auto"/>
        <w:jc w:val="both"/>
        <w:rPr>
          <w:rFonts w:cs="Arial"/>
        </w:rPr>
      </w:pPr>
      <w:r>
        <w:rPr>
          <w:rFonts w:cs="Arial"/>
        </w:rPr>
        <w:t xml:space="preserve">There are various research methods, but the adoption of the most appropriate method is guided by the data type used in the study (Thomas, 2017). Research methods are usually categorised into three major types namely - qualitative, quantitative, multi or mixed methods (Saunders, et al 2019). The qualitative research method undertakes research inquiry in non-numerical (textual data) forms such as interviewing respondents. The quantitative research method in contrast, focuses on research inquiry that involve numbers, application of mathematical approaches, and statistics. In this wise, the research findings are analysed and results presented in numerical format </w:t>
      </w:r>
      <w:sdt>
        <w:sdtPr>
          <w:rPr>
            <w:highlight w:val="white"/>
          </w:rPr>
          <w:alias w:val="Citation"/>
          <w:tag w:val="{&quot;referencesIds&quot;:[&quot;doc:63ca44953bc673054e8d6d49&quot;],&quot;referencesOptions&quot;:{&quot;doc:63ca44953bc673054e8d6d49&quot;:{&quot;author&quot;:true,&quot;year&quot;:true,&quot;pageReplace&quot;:&quot;&quot;,&quot;prefix&quot;:&quot;&quot;,&quot;suffix&quot;:&quot;&quot;}},&quot;hasBrokenReferences&quot;:false,&quot;hasManualEdits&quot;:false,&quot;citationType&quot;:&quot;inline&quot;,&quot;id&quot;:1701353070,&quot;citationText&quot;:&quot;&lt;span style=\&quot;font-family:Times New Roman;font-size:16px;color:#000000\&quot;&gt;(Sekaran and Bougie, 2016)&lt;/span&gt;&quot;}"/>
          <w:id w:val="1701353070"/>
          <w:placeholder>
            <w:docPart w:val="818DBC07A7DC4C5593967B30B8E9DF30"/>
          </w:placeholder>
        </w:sdtPr>
        <w:sdtEndPr>
          <w:rPr>
            <w:highlight w:val="white"/>
          </w:rPr>
        </w:sdtEndPr>
        <w:sdtContent>
          <w:r>
            <w:rPr>
              <w:rFonts w:eastAsia="Times New Roman" w:cs="Arial"/>
              <w:color w:val="000000"/>
            </w:rPr>
            <w:t>(Sekaran and Bougie, 2016)</w:t>
          </w:r>
        </w:sdtContent>
      </w:sdt>
      <w:r>
        <w:rPr>
          <w:rFonts w:cs="Arial"/>
        </w:rPr>
        <w:t xml:space="preserve">. </w:t>
      </w:r>
    </w:p>
    <w:p w14:paraId="6142DE58">
      <w:pPr>
        <w:spacing w:after="0" w:line="360" w:lineRule="auto"/>
        <w:jc w:val="both"/>
        <w:rPr>
          <w:rFonts w:cs="Arial"/>
        </w:rPr>
      </w:pPr>
    </w:p>
    <w:p w14:paraId="05AF54C6">
      <w:pPr>
        <w:spacing w:after="0" w:line="360" w:lineRule="auto"/>
        <w:jc w:val="both"/>
        <w:rPr>
          <w:rFonts w:cs="Arial"/>
        </w:rPr>
      </w:pPr>
    </w:p>
    <w:p w14:paraId="425AC744">
      <w:pPr>
        <w:spacing w:after="0" w:line="360" w:lineRule="auto"/>
        <w:jc w:val="both"/>
        <w:rPr>
          <w:rFonts w:cs="Arial"/>
        </w:rPr>
      </w:pPr>
      <w:r>
        <w:rPr>
          <w:rFonts w:cs="Arial"/>
        </w:rPr>
        <w:t>The research aims to deploy qualitative research method. Semi – structured interviews with some prepared questionnaire in which professionals will be asked questions on their views, challenges and opportunities experienced or anticipated in acquiring micro credentials will be deployed. The other leg of qualitative research aims to conduct a case study analysis as documented to analyse the views of policy makers, HEIs and institutions involve in micro-credentials policy documents, designs and implementation as initiated to enhance learning and achieve the desired targets. The qualitative research method – case study approach aims to covers case study and consideration of employers (industry reports), Department of Education (policy documents, white papers, etc) and consideration of top HEIs design and implementations of micro-credentials education and life-long learning.</w:t>
      </w:r>
    </w:p>
    <w:p w14:paraId="2F9B5CD0">
      <w:pPr>
        <w:spacing w:after="0" w:line="360" w:lineRule="auto"/>
        <w:jc w:val="both"/>
      </w:pPr>
      <w:r>
        <w:t>The research design is set such that the research problem guides in the designing of the interview questions, interpreting and analysing data collected (Thakur, 2021). The research design also addresses the aggregate approaches deployed by the researcher by integrating several components of the research in a comprehensible and rational way to achieve the research objectives. In management context, research design methods could be descriptive, exploratory and experimental. These can be applied in qualitative and quantitative research settings (</w:t>
      </w:r>
      <w:r>
        <w:rPr>
          <w:highlight w:val="white"/>
        </w:rPr>
        <w:t>Kedir, 2022</w:t>
      </w:r>
      <w:r>
        <w:t>). The descriptive design method focuses on defining or understanding the human element, a phenomenon, activity, or event. Methods that relate to a process that facilitates deriving specific results from a hypothesis statement are referred to as experimental design method. The exploratory design method is often deployed to gain insight and novel understanding in ascertaining the relationship among the variables as established in the research study. This study aims to use the exploratory design method to gain novel insight on challenges and potentials associated with micro-credentials.  This research design suggests presenting a structured approach for gathering and incorporating data collected on the phenomenon being investigated. The research design is in alignment with the study in furthering theoretical knowledge and practical contributions with managerial implications as it relates to the phenomenon being studied.</w:t>
      </w:r>
    </w:p>
    <w:p w14:paraId="76445A9F"/>
    <w:p w14:paraId="37557568">
      <w:pPr>
        <w:pStyle w:val="2"/>
      </w:pPr>
      <w:r>
        <w:t xml:space="preserve"> </w:t>
      </w:r>
      <w:bookmarkStart w:id="13" w:name="_Toc208438502"/>
      <w:r>
        <w:t>Research Philosophy and Research Approach</w:t>
      </w:r>
      <w:bookmarkEnd w:id="13"/>
    </w:p>
    <w:p w14:paraId="6485E322">
      <w:pPr>
        <w:spacing w:line="360" w:lineRule="auto"/>
        <w:jc w:val="both"/>
      </w:pPr>
      <w:r>
        <w:t>Research philosophy refers to a belief about the method through which data in a field of inquiry can be collected and/or utilised. In business management discipline, there are four (4) research philosophy types. These are positivism, pragmatism, interpretivism and realism (Saunders et al, 2019). The positivism research philosophy focuses on causal relative or theory explanation to understand the social world in an objective way. The pragmatism philosophy centres on the problems and finding out what will work the best (</w:t>
      </w:r>
      <w:r>
        <w:rPr>
          <w:highlight w:val="white"/>
        </w:rPr>
        <w:t>Sapkota</w:t>
      </w:r>
      <w:r>
        <w:t>, 2019). The interpretivism philosophy focuses on the interest of the researcher and rolling out novel models/theories. The realism philosophy is concern with the assumptions of the scientific approach (</w:t>
      </w:r>
      <w:r>
        <w:rPr>
          <w:highlight w:val="white"/>
        </w:rPr>
        <w:t>Mauthner, 2020</w:t>
      </w:r>
      <w:r>
        <w:t xml:space="preserve">). Owing to the peculiarities and aim of the study, the pragmatism research philosophy is selected, as it supports the research aims and objectives. </w:t>
      </w:r>
    </w:p>
    <w:p w14:paraId="7F676CB5">
      <w:pPr>
        <w:spacing w:line="360" w:lineRule="auto"/>
        <w:jc w:val="both"/>
      </w:pPr>
      <w:r>
        <w:t xml:space="preserve">The deductive research approach is adopted in this study. This is because it starts with consideration of relevant theories, this is followed by design of </w:t>
      </w:r>
      <w:r>
        <w:br w:type="textWrapping"/>
      </w:r>
      <w:r>
        <w:t>a research strategy to test the theory.</w:t>
      </w:r>
    </w:p>
    <w:p w14:paraId="3DC26865">
      <w:pPr>
        <w:ind w:left="1440"/>
        <w:rPr>
          <w:b/>
          <w:bCs/>
        </w:rPr>
      </w:pPr>
    </w:p>
    <w:p w14:paraId="662BC248">
      <w:pPr>
        <w:pStyle w:val="2"/>
      </w:pPr>
      <w:bookmarkStart w:id="14" w:name="_Toc208438503"/>
      <w:r>
        <w:t>Types of Investigation</w:t>
      </w:r>
      <w:bookmarkEnd w:id="14"/>
    </w:p>
    <w:p w14:paraId="37C92AF5">
      <w:pPr>
        <w:spacing w:after="0" w:line="360" w:lineRule="auto"/>
      </w:pPr>
      <w:r>
        <w:t xml:space="preserve">The study makes use of both primary and secondary investigation types. Primary investigation refers to primary means of research inquiry by addressing the research questions to the relevant participants. This helps in generating novel and evolving insights as it relates to the topic under scrutiny. Secondary investigation refers to scrutinizing the existing literature on the topic under investigation. These investigation types help to develop a robust investigation and understanding through consideration of existing/documented relevant views/perspectives and data collected and as (will be) analysed by the researcher herself.  </w:t>
      </w:r>
    </w:p>
    <w:p w14:paraId="3B81DAF0">
      <w:pPr>
        <w:pStyle w:val="2"/>
      </w:pPr>
      <w:bookmarkStart w:id="15" w:name="_Toc208438504"/>
      <w:r>
        <w:t>Data Collection Method(s)</w:t>
      </w:r>
      <w:bookmarkEnd w:id="15"/>
    </w:p>
    <w:p w14:paraId="7FB8EC2B">
      <w:pPr>
        <w:spacing w:after="0" w:line="360" w:lineRule="auto"/>
        <w:jc w:val="both"/>
      </w:pPr>
      <w:r>
        <w:t>In the context of challenges and opportunities in micro-credentials, this study aims to collect primary data through semi – structured interviews prepared and distributed to the relevant respondents in order to gather primary data (Mazhar et al. 2021). This method ensures that the data collected are relevant and current and are in alignment with the research problem, aims and objectives of the study. Likewise, relevant industry reports, policy documents of government of UK and European Union (EU) and HEIs in the UK are considered vital for case study analysis in this study.</w:t>
      </w:r>
    </w:p>
    <w:p w14:paraId="74493CA8">
      <w:pPr>
        <w:pStyle w:val="2"/>
      </w:pPr>
      <w:bookmarkStart w:id="16" w:name="_Toc208438505"/>
      <w:r>
        <w:t>Sampling Plan</w:t>
      </w:r>
      <w:bookmarkEnd w:id="16"/>
    </w:p>
    <w:p w14:paraId="38A8EFCB">
      <w:pPr>
        <w:spacing w:after="0" w:line="360" w:lineRule="auto"/>
        <w:jc w:val="both"/>
      </w:pPr>
      <w:r>
        <w:t xml:space="preserve">This study intends to collect data from relevant stakeholders - employees, employers and institutions associated with micro-credential. The study sample is put at thirty (30) participants – employees/professional learners and/or when saturation point is reach. Relevant documents on micro-credentials – industry reports (employers) and on relevant institutions (i.e. Department of Education UK, EU &amp; HEIs) in the past five (5) years will be case studied. </w:t>
      </w:r>
    </w:p>
    <w:p w14:paraId="440414D7">
      <w:pPr>
        <w:spacing w:after="0" w:line="360" w:lineRule="auto"/>
        <w:jc w:val="both"/>
      </w:pPr>
    </w:p>
    <w:p w14:paraId="6BA04AA1">
      <w:pPr>
        <w:pStyle w:val="2"/>
      </w:pPr>
      <w:bookmarkStart w:id="17" w:name="_Toc208438506"/>
      <w:r>
        <w:t>Data Sources</w:t>
      </w:r>
      <w:bookmarkEnd w:id="17"/>
    </w:p>
    <w:p w14:paraId="7F5BEA1C">
      <w:pPr>
        <w:jc w:val="both"/>
      </w:pPr>
      <w:r>
        <w:t>Data sources are both primary and secondary sources. Primary sources are the research respondents – professional learners. These are the people who volunteered to participate in the research by providing their views as expressed during the individual semi-structured interviews completed anonymously. This data is sourced and collected directly from respondents by the research through the relevant research data collection tools. Secondary data sources are the reviewed literature such as peer-reviewed journals, industry report, government white paper on/or related to the topic under investigation. These documents including industry reports such as from Deloitte, McKinsey, Statista, etc., are case studied and analysed.</w:t>
      </w:r>
    </w:p>
    <w:p w14:paraId="04313C78">
      <w:pPr>
        <w:pStyle w:val="2"/>
      </w:pPr>
      <w:bookmarkStart w:id="18" w:name="_Toc208438507"/>
      <w:r>
        <w:t>Data Analysis Plan</w:t>
      </w:r>
      <w:bookmarkEnd w:id="18"/>
    </w:p>
    <w:p w14:paraId="6FE98AA7">
      <w:pPr>
        <w:jc w:val="both"/>
      </w:pPr>
      <w:r>
        <w:t xml:space="preserve">The primary data collected will be thematically analysed first. This will be followed by case study of relevant documents on micro-credentials as it relates to policy documents, course design and implementation and desired benefits from the micro-credentials. The thematically analysed data will thereafter be compared with the analysed case studied to identify areas of alignments and challenges. Insights from the data analysed will form basis for practical implications of study and area of future research.  </w:t>
      </w:r>
    </w:p>
    <w:p w14:paraId="6D79184F">
      <w:pPr>
        <w:pStyle w:val="2"/>
      </w:pPr>
      <w:bookmarkStart w:id="19" w:name="_Toc208438508"/>
      <w:r>
        <w:t>Timescale &amp; Ethical Compliance</w:t>
      </w:r>
      <w:bookmarkEnd w:id="19"/>
    </w:p>
    <w:p w14:paraId="59A6816A">
      <w:pPr>
        <w:spacing w:after="0" w:line="360" w:lineRule="auto"/>
        <w:jc w:val="both"/>
        <w:rPr>
          <w:rFonts w:cs="Arial"/>
          <w:color w:val="000000"/>
        </w:rPr>
      </w:pPr>
      <w:r>
        <w:rPr>
          <w:rFonts w:cs="Arial"/>
          <w:color w:val="000000"/>
        </w:rPr>
        <w:t xml:space="preserve">In this study, I as the researcher will comply with all University of Portsmouth’s policies as set out in the ethical committee's requirements of the School of Management. In addition, I will initially prepare questionnaire for various stakeholders - graduates, employers and institutions (Universities). The questionnaire will be such that it helps proffer answers to the research questions. The questionnaire will have an introductory section stating the aim of the study, its relevance to all stakeholders. As a researcher, I will reassure participants of respect and adherence to respondents' privacy and anonymity. Respondents will not be asked to provide any personal information for the study, and the questionnaire for semi-structured interview will be designed such that it focuses on the study aims &amp; objectives, and research questions. The information will be collected will be recoded, typed, analysed and saved in a password-protected computer. As regards the case study aspect, relevant documents will be analysed with the study aims &amp; objectives, and research questions being the focus of the analysis. The researcher will ensure to interpret, analyse collected data protecting the integrity and ensuring fairness in reporting of data. The collected data will be used solely for the purpose it was collected i.e., present study and later discarded after 5 years of data collection.  </w:t>
      </w:r>
    </w:p>
    <w:p w14:paraId="63BF9CF1">
      <w:pPr>
        <w:pStyle w:val="2"/>
      </w:pPr>
      <w:bookmarkStart w:id="20" w:name="_Toc208438509"/>
      <w:r>
        <w:t>Timeline</w:t>
      </w:r>
      <w:bookmarkEnd w:id="20"/>
    </w:p>
    <w:p w14:paraId="48F4B6CC">
      <w:pPr>
        <w:spacing w:after="0" w:line="360" w:lineRule="auto"/>
        <w:jc w:val="both"/>
        <w:rPr>
          <w:rFonts w:cs="Arial"/>
        </w:rPr>
      </w:pPr>
      <w:r>
        <w:rPr>
          <w:rFonts w:cs="Arial"/>
        </w:rPr>
        <w:t xml:space="preserve"> The following Gantt chart indicates the distribution of tasks with set timeline.</w:t>
      </w:r>
    </w:p>
    <w:tbl>
      <w:tblPr>
        <w:tblStyle w:val="12"/>
        <w:tblW w:w="5660" w:type="pct"/>
        <w:tblInd w:w="-85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1923"/>
        <w:gridCol w:w="1655"/>
        <w:gridCol w:w="1079"/>
        <w:gridCol w:w="831"/>
        <w:gridCol w:w="831"/>
        <w:gridCol w:w="372"/>
        <w:gridCol w:w="703"/>
        <w:gridCol w:w="718"/>
        <w:gridCol w:w="704"/>
        <w:gridCol w:w="1646"/>
      </w:tblGrid>
      <w:tr w14:paraId="6B0D711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307" w:hRule="atLeast"/>
        </w:trPr>
        <w:tc>
          <w:tcPr>
            <w:tcW w:w="958" w:type="pct"/>
            <w:vMerge w:val="restart"/>
            <w:tcBorders>
              <w:top w:val="single" w:color="000000" w:sz="4" w:space="0"/>
              <w:left w:val="single" w:color="000000" w:sz="4" w:space="0"/>
              <w:bottom w:val="single" w:color="000000" w:sz="4" w:space="0"/>
              <w:right w:val="single" w:color="000000" w:sz="4" w:space="0"/>
            </w:tcBorders>
          </w:tcPr>
          <w:p w14:paraId="6F158381">
            <w:pPr>
              <w:spacing w:line="240" w:lineRule="auto"/>
              <w:rPr>
                <w:rFonts w:eastAsia="Calibri" w:cs="Arial"/>
                <w:b/>
                <w:color w:val="000000"/>
                <w:sz w:val="24"/>
                <w:szCs w:val="24"/>
              </w:rPr>
            </w:pPr>
            <w:r>
              <w:rPr>
                <w:rFonts w:eastAsia="Calibri" w:cs="Arial"/>
                <w:b/>
                <w:color w:val="000000"/>
                <w:sz w:val="24"/>
                <w:szCs w:val="24"/>
              </w:rPr>
              <w:t>Task</w:t>
            </w:r>
          </w:p>
        </w:tc>
        <w:tc>
          <w:tcPr>
            <w:tcW w:w="751" w:type="pct"/>
            <w:vMerge w:val="restart"/>
            <w:tcBorders>
              <w:top w:val="single" w:color="000000" w:sz="4" w:space="0"/>
              <w:left w:val="single" w:color="000000" w:sz="4" w:space="0"/>
              <w:bottom w:val="single" w:color="000000" w:sz="4" w:space="0"/>
              <w:right w:val="single" w:color="000000" w:sz="4" w:space="0"/>
            </w:tcBorders>
            <w:shd w:val="clear" w:color="auto" w:fill="D9D9D9"/>
          </w:tcPr>
          <w:p w14:paraId="2762CC13">
            <w:pPr>
              <w:spacing w:line="240" w:lineRule="auto"/>
              <w:jc w:val="center"/>
              <w:rPr>
                <w:rFonts w:eastAsia="Calibri" w:cs="Arial"/>
                <w:b/>
                <w:color w:val="000000"/>
                <w:sz w:val="24"/>
                <w:szCs w:val="24"/>
              </w:rPr>
            </w:pPr>
            <w:r>
              <w:rPr>
                <w:rFonts w:eastAsia="Calibri" w:cs="Arial"/>
                <w:b/>
                <w:color w:val="000000"/>
                <w:sz w:val="24"/>
                <w:szCs w:val="24"/>
              </w:rPr>
              <w:t>“Pre-Dissertation”</w:t>
            </w:r>
          </w:p>
          <w:p w14:paraId="143BB113">
            <w:pPr>
              <w:spacing w:line="240" w:lineRule="auto"/>
              <w:jc w:val="center"/>
              <w:rPr>
                <w:rFonts w:eastAsia="Calibri" w:cs="Arial"/>
                <w:b/>
                <w:color w:val="000000"/>
                <w:sz w:val="24"/>
                <w:szCs w:val="24"/>
              </w:rPr>
            </w:pPr>
          </w:p>
        </w:tc>
        <w:tc>
          <w:tcPr>
            <w:tcW w:w="353" w:type="pct"/>
            <w:vMerge w:val="restart"/>
            <w:tcBorders>
              <w:top w:val="single" w:color="000000" w:sz="4" w:space="0"/>
              <w:left w:val="single" w:color="000000" w:sz="4" w:space="0"/>
              <w:bottom w:val="single" w:color="000000" w:sz="4" w:space="0"/>
              <w:right w:val="single" w:color="000000" w:sz="4" w:space="0"/>
            </w:tcBorders>
          </w:tcPr>
          <w:p w14:paraId="5104D3E8">
            <w:pPr>
              <w:spacing w:line="240" w:lineRule="auto"/>
              <w:rPr>
                <w:rFonts w:eastAsia="Calibri" w:cs="Arial"/>
                <w:b/>
                <w:color w:val="000000"/>
                <w:sz w:val="24"/>
                <w:szCs w:val="24"/>
              </w:rPr>
            </w:pPr>
            <w:r>
              <w:rPr>
                <w:rFonts w:eastAsia="Calibri" w:cs="Arial"/>
                <w:b/>
                <w:color w:val="000000"/>
                <w:sz w:val="24"/>
                <w:szCs w:val="24"/>
              </w:rPr>
              <w:t>August -October 2025</w:t>
            </w:r>
          </w:p>
        </w:tc>
        <w:tc>
          <w:tcPr>
            <w:tcW w:w="375" w:type="pct"/>
            <w:vMerge w:val="restart"/>
            <w:tcBorders>
              <w:top w:val="single" w:color="000000" w:sz="4" w:space="0"/>
              <w:left w:val="single" w:color="000000" w:sz="4" w:space="0"/>
              <w:bottom w:val="single" w:color="000000" w:sz="4" w:space="0"/>
              <w:right w:val="single" w:color="000000" w:sz="4" w:space="0"/>
            </w:tcBorders>
          </w:tcPr>
          <w:p w14:paraId="4142595A">
            <w:pPr>
              <w:spacing w:line="240" w:lineRule="auto"/>
              <w:jc w:val="center"/>
              <w:rPr>
                <w:rFonts w:eastAsia="Calibri" w:cs="Arial"/>
                <w:b/>
                <w:color w:val="000000"/>
                <w:sz w:val="24"/>
                <w:szCs w:val="24"/>
              </w:rPr>
            </w:pPr>
            <w:r>
              <w:rPr>
                <w:rFonts w:eastAsia="Calibri" w:cs="Arial"/>
                <w:b/>
                <w:color w:val="000000"/>
                <w:sz w:val="24"/>
                <w:szCs w:val="24"/>
              </w:rPr>
              <w:t>Nov. -Jan. 2026</w:t>
            </w:r>
          </w:p>
        </w:tc>
        <w:tc>
          <w:tcPr>
            <w:tcW w:w="388" w:type="pct"/>
            <w:vMerge w:val="restart"/>
            <w:tcBorders>
              <w:top w:val="single" w:color="000000" w:sz="4" w:space="0"/>
              <w:left w:val="single" w:color="000000" w:sz="4" w:space="0"/>
              <w:bottom w:val="single" w:color="000000" w:sz="4" w:space="0"/>
              <w:right w:val="single" w:color="000000" w:sz="4" w:space="0"/>
            </w:tcBorders>
          </w:tcPr>
          <w:p w14:paraId="296AA504">
            <w:pPr>
              <w:spacing w:line="240" w:lineRule="auto"/>
              <w:jc w:val="center"/>
              <w:rPr>
                <w:rFonts w:eastAsia="Calibri" w:cs="Arial"/>
                <w:b/>
                <w:color w:val="000000"/>
                <w:sz w:val="24"/>
                <w:szCs w:val="24"/>
              </w:rPr>
            </w:pPr>
            <w:r>
              <w:rPr>
                <w:rFonts w:eastAsia="Calibri" w:cs="Arial"/>
                <w:b/>
                <w:color w:val="000000"/>
                <w:sz w:val="24"/>
                <w:szCs w:val="24"/>
              </w:rPr>
              <w:t>Feb -April 2026</w:t>
            </w:r>
          </w:p>
        </w:tc>
        <w:tc>
          <w:tcPr>
            <w:tcW w:w="592" w:type="pct"/>
            <w:gridSpan w:val="2"/>
            <w:vMerge w:val="restart"/>
            <w:tcBorders>
              <w:top w:val="single" w:color="000000" w:sz="4" w:space="0"/>
              <w:left w:val="single" w:color="000000" w:sz="4" w:space="0"/>
              <w:right w:val="single" w:color="000000" w:sz="4" w:space="0"/>
            </w:tcBorders>
          </w:tcPr>
          <w:p w14:paraId="7B4963B0">
            <w:pPr>
              <w:spacing w:line="240" w:lineRule="auto"/>
              <w:jc w:val="center"/>
              <w:rPr>
                <w:rFonts w:eastAsia="Calibri" w:cs="Arial"/>
                <w:b/>
                <w:color w:val="000000"/>
                <w:sz w:val="24"/>
                <w:szCs w:val="24"/>
              </w:rPr>
            </w:pPr>
            <w:r>
              <w:rPr>
                <w:rFonts w:eastAsia="Calibri" w:cs="Arial"/>
                <w:b/>
                <w:color w:val="000000"/>
                <w:sz w:val="24"/>
                <w:szCs w:val="24"/>
              </w:rPr>
              <w:t>May -July</w:t>
            </w:r>
          </w:p>
          <w:p w14:paraId="498263F4">
            <w:pPr>
              <w:spacing w:line="240" w:lineRule="auto"/>
              <w:jc w:val="center"/>
              <w:rPr>
                <w:rFonts w:eastAsia="Calibri" w:cs="Arial"/>
                <w:b/>
                <w:color w:val="000000"/>
                <w:sz w:val="24"/>
                <w:szCs w:val="24"/>
              </w:rPr>
            </w:pPr>
            <w:r>
              <w:rPr>
                <w:rFonts w:eastAsia="Calibri" w:cs="Arial"/>
                <w:b/>
                <w:color w:val="000000"/>
                <w:sz w:val="24"/>
                <w:szCs w:val="24"/>
              </w:rPr>
              <w:t>2026</w:t>
            </w:r>
          </w:p>
        </w:tc>
        <w:tc>
          <w:tcPr>
            <w:tcW w:w="757" w:type="pct"/>
            <w:gridSpan w:val="2"/>
            <w:tcBorders>
              <w:top w:val="single" w:color="000000" w:sz="4" w:space="0"/>
              <w:left w:val="single" w:color="000000" w:sz="4" w:space="0"/>
              <w:bottom w:val="single" w:color="000000" w:sz="4" w:space="0"/>
              <w:right w:val="single" w:color="000000" w:sz="4" w:space="0"/>
            </w:tcBorders>
            <w:shd w:val="clear" w:color="auto" w:fill="D9D9D9"/>
          </w:tcPr>
          <w:p w14:paraId="2A415BC9">
            <w:pPr>
              <w:spacing w:line="240" w:lineRule="auto"/>
              <w:jc w:val="center"/>
              <w:rPr>
                <w:rFonts w:eastAsia="Calibri" w:cs="Arial"/>
                <w:b/>
                <w:color w:val="000000"/>
                <w:sz w:val="24"/>
                <w:szCs w:val="24"/>
              </w:rPr>
            </w:pPr>
            <w:r>
              <w:rPr>
                <w:rFonts w:eastAsia="Calibri" w:cs="Arial"/>
                <w:b/>
                <w:color w:val="000000"/>
                <w:sz w:val="24"/>
                <w:szCs w:val="24"/>
              </w:rPr>
              <w:t xml:space="preserve">August – October 2026. </w:t>
            </w:r>
          </w:p>
          <w:p w14:paraId="286B0730">
            <w:pPr>
              <w:spacing w:line="240" w:lineRule="auto"/>
              <w:jc w:val="center"/>
              <w:rPr>
                <w:rFonts w:eastAsia="Calibri" w:cs="Arial"/>
                <w:b/>
                <w:color w:val="000000"/>
                <w:sz w:val="24"/>
                <w:szCs w:val="24"/>
              </w:rPr>
            </w:pPr>
          </w:p>
        </w:tc>
        <w:tc>
          <w:tcPr>
            <w:tcW w:w="825" w:type="pct"/>
            <w:vMerge w:val="restart"/>
            <w:tcBorders>
              <w:top w:val="single" w:color="000000" w:sz="4" w:space="0"/>
              <w:left w:val="single" w:color="000000" w:sz="4" w:space="0"/>
              <w:bottom w:val="single" w:color="000000" w:sz="4" w:space="0"/>
              <w:right w:val="single" w:color="000000" w:sz="4" w:space="0"/>
            </w:tcBorders>
            <w:shd w:val="clear" w:color="auto" w:fill="D9D9D9"/>
          </w:tcPr>
          <w:p w14:paraId="2CFF75C2">
            <w:pPr>
              <w:spacing w:line="240" w:lineRule="auto"/>
              <w:jc w:val="center"/>
              <w:rPr>
                <w:rFonts w:eastAsia="Calibri" w:cs="Arial"/>
                <w:b/>
                <w:color w:val="000000"/>
                <w:sz w:val="24"/>
                <w:szCs w:val="24"/>
              </w:rPr>
            </w:pPr>
            <w:r>
              <w:rPr>
                <w:rFonts w:eastAsia="Calibri" w:cs="Arial"/>
                <w:b/>
                <w:color w:val="000000"/>
                <w:sz w:val="24"/>
                <w:szCs w:val="24"/>
              </w:rPr>
              <w:t>Post- Dissertation</w:t>
            </w:r>
          </w:p>
          <w:p w14:paraId="5F556B97">
            <w:pPr>
              <w:spacing w:line="240" w:lineRule="auto"/>
              <w:jc w:val="center"/>
              <w:rPr>
                <w:rFonts w:eastAsia="Calibri" w:cs="Arial"/>
                <w:b/>
                <w:color w:val="000000"/>
                <w:sz w:val="24"/>
                <w:szCs w:val="24"/>
              </w:rPr>
            </w:pPr>
            <w:r>
              <w:rPr>
                <w:rFonts w:eastAsia="Calibri" w:cs="Arial"/>
                <w:b/>
                <w:color w:val="000000"/>
                <w:sz w:val="24"/>
                <w:szCs w:val="24"/>
              </w:rPr>
              <w:t>Nov. 2027 - Jan 2028</w:t>
            </w:r>
          </w:p>
        </w:tc>
      </w:tr>
      <w:tr w14:paraId="6822FEC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50" w:hRule="atLeast"/>
        </w:trPr>
        <w:tc>
          <w:tcPr>
            <w:tcW w:w="0" w:type="auto"/>
            <w:vMerge w:val="continue"/>
            <w:tcBorders>
              <w:top w:val="single" w:color="000000" w:sz="4" w:space="0"/>
              <w:left w:val="single" w:color="000000" w:sz="4" w:space="0"/>
              <w:bottom w:val="single" w:color="000000" w:sz="4" w:space="0"/>
              <w:right w:val="single" w:color="000000" w:sz="4" w:space="0"/>
            </w:tcBorders>
            <w:vAlign w:val="center"/>
          </w:tcPr>
          <w:p w14:paraId="7DB7AAFC">
            <w:pPr>
              <w:spacing w:line="240" w:lineRule="auto"/>
              <w:rPr>
                <w:rFonts w:eastAsia="Calibri" w:cs="Arial"/>
                <w:b/>
                <w:color w:val="000000"/>
                <w:sz w:val="24"/>
                <w:szCs w:val="24"/>
              </w:rPr>
            </w:pPr>
          </w:p>
        </w:tc>
        <w:tc>
          <w:tcPr>
            <w:tcW w:w="751" w:type="pct"/>
            <w:vMerge w:val="continue"/>
            <w:tcBorders>
              <w:top w:val="single" w:color="000000" w:sz="4" w:space="0"/>
              <w:left w:val="single" w:color="000000" w:sz="4" w:space="0"/>
              <w:bottom w:val="single" w:color="000000" w:sz="4" w:space="0"/>
              <w:right w:val="single" w:color="000000" w:sz="4" w:space="0"/>
            </w:tcBorders>
            <w:vAlign w:val="center"/>
          </w:tcPr>
          <w:p w14:paraId="0A2771AC">
            <w:pPr>
              <w:spacing w:line="240" w:lineRule="auto"/>
              <w:rPr>
                <w:rFonts w:eastAsia="Calibri" w:cs="Arial"/>
                <w:b/>
                <w:color w:val="000000"/>
                <w:sz w:val="24"/>
                <w:szCs w:val="24"/>
              </w:rPr>
            </w:pPr>
          </w:p>
        </w:tc>
        <w:tc>
          <w:tcPr>
            <w:tcW w:w="353" w:type="pct"/>
            <w:vMerge w:val="continue"/>
            <w:tcBorders>
              <w:top w:val="single" w:color="000000" w:sz="4" w:space="0"/>
              <w:left w:val="single" w:color="000000" w:sz="4" w:space="0"/>
              <w:bottom w:val="single" w:color="000000" w:sz="4" w:space="0"/>
              <w:right w:val="single" w:color="000000" w:sz="4" w:space="0"/>
            </w:tcBorders>
            <w:vAlign w:val="center"/>
          </w:tcPr>
          <w:p w14:paraId="26408B28">
            <w:pPr>
              <w:spacing w:line="240" w:lineRule="auto"/>
              <w:rPr>
                <w:rFonts w:eastAsia="Calibri" w:cs="Arial"/>
                <w:b/>
                <w:color w:val="000000"/>
                <w:sz w:val="24"/>
                <w:szCs w:val="24"/>
              </w:rPr>
            </w:pPr>
          </w:p>
        </w:tc>
        <w:tc>
          <w:tcPr>
            <w:tcW w:w="0" w:type="auto"/>
            <w:vMerge w:val="continue"/>
            <w:tcBorders>
              <w:top w:val="single" w:color="000000" w:sz="4" w:space="0"/>
              <w:left w:val="single" w:color="000000" w:sz="4" w:space="0"/>
              <w:bottom w:val="single" w:color="000000" w:sz="4" w:space="0"/>
              <w:right w:val="single" w:color="000000" w:sz="4" w:space="0"/>
            </w:tcBorders>
            <w:vAlign w:val="center"/>
          </w:tcPr>
          <w:p w14:paraId="152755CD">
            <w:pPr>
              <w:spacing w:line="240" w:lineRule="auto"/>
              <w:rPr>
                <w:rFonts w:eastAsia="Calibri" w:cs="Arial"/>
                <w:b/>
                <w:color w:val="000000"/>
                <w:sz w:val="24"/>
                <w:szCs w:val="24"/>
              </w:rPr>
            </w:pPr>
          </w:p>
        </w:tc>
        <w:tc>
          <w:tcPr>
            <w:tcW w:w="0" w:type="auto"/>
            <w:vMerge w:val="continue"/>
            <w:tcBorders>
              <w:top w:val="single" w:color="000000" w:sz="4" w:space="0"/>
              <w:left w:val="single" w:color="000000" w:sz="4" w:space="0"/>
              <w:bottom w:val="single" w:color="000000" w:sz="4" w:space="0"/>
              <w:right w:val="single" w:color="000000" w:sz="4" w:space="0"/>
            </w:tcBorders>
            <w:vAlign w:val="center"/>
          </w:tcPr>
          <w:p w14:paraId="21134BE7">
            <w:pPr>
              <w:spacing w:line="240" w:lineRule="auto"/>
              <w:rPr>
                <w:rFonts w:eastAsia="Calibri" w:cs="Arial"/>
                <w:b/>
                <w:color w:val="000000"/>
                <w:sz w:val="24"/>
                <w:szCs w:val="24"/>
              </w:rPr>
            </w:pPr>
          </w:p>
        </w:tc>
        <w:tc>
          <w:tcPr>
            <w:tcW w:w="0" w:type="auto"/>
            <w:gridSpan w:val="2"/>
            <w:vMerge w:val="continue"/>
            <w:tcBorders>
              <w:left w:val="single" w:color="000000" w:sz="4" w:space="0"/>
              <w:bottom w:val="single" w:color="000000" w:sz="4" w:space="0"/>
              <w:right w:val="single" w:color="000000" w:sz="4" w:space="0"/>
            </w:tcBorders>
            <w:vAlign w:val="center"/>
          </w:tcPr>
          <w:p w14:paraId="7C5399C2">
            <w:pPr>
              <w:spacing w:line="240" w:lineRule="auto"/>
              <w:rPr>
                <w:rFonts w:eastAsia="Calibri" w:cs="Arial"/>
                <w:b/>
                <w:color w:val="000000"/>
                <w:sz w:val="24"/>
                <w:szCs w:val="24"/>
              </w:rPr>
            </w:pPr>
          </w:p>
        </w:tc>
        <w:tc>
          <w:tcPr>
            <w:tcW w:w="757" w:type="pct"/>
            <w:gridSpan w:val="2"/>
            <w:tcBorders>
              <w:top w:val="single" w:color="000000" w:sz="4" w:space="0"/>
              <w:left w:val="single" w:color="000000" w:sz="4" w:space="0"/>
              <w:bottom w:val="single" w:color="000000" w:sz="4" w:space="0"/>
              <w:right w:val="single" w:color="000000" w:sz="4" w:space="0"/>
            </w:tcBorders>
            <w:shd w:val="clear" w:color="auto" w:fill="D9D9D9"/>
          </w:tcPr>
          <w:p w14:paraId="2E3E9433">
            <w:pPr>
              <w:spacing w:line="240" w:lineRule="auto"/>
              <w:jc w:val="center"/>
              <w:rPr>
                <w:rFonts w:eastAsia="Calibri" w:cs="Arial"/>
                <w:b/>
                <w:color w:val="000000"/>
                <w:sz w:val="24"/>
                <w:szCs w:val="24"/>
              </w:rPr>
            </w:pPr>
          </w:p>
        </w:tc>
        <w:tc>
          <w:tcPr>
            <w:tcW w:w="825" w:type="pct"/>
            <w:vMerge w:val="continue"/>
            <w:tcBorders>
              <w:top w:val="single" w:color="000000" w:sz="4" w:space="0"/>
              <w:left w:val="single" w:color="000000" w:sz="4" w:space="0"/>
              <w:bottom w:val="single" w:color="000000" w:sz="4" w:space="0"/>
              <w:right w:val="single" w:color="000000" w:sz="4" w:space="0"/>
            </w:tcBorders>
            <w:vAlign w:val="center"/>
          </w:tcPr>
          <w:p w14:paraId="31C83195">
            <w:pPr>
              <w:spacing w:line="240" w:lineRule="auto"/>
              <w:rPr>
                <w:rFonts w:eastAsia="Calibri" w:cs="Arial"/>
                <w:b/>
                <w:color w:val="000000"/>
                <w:sz w:val="24"/>
                <w:szCs w:val="24"/>
              </w:rPr>
            </w:pPr>
          </w:p>
        </w:tc>
      </w:tr>
      <w:tr w14:paraId="17BE78A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867" w:hRule="atLeast"/>
        </w:trPr>
        <w:tc>
          <w:tcPr>
            <w:tcW w:w="958" w:type="pct"/>
            <w:tcBorders>
              <w:top w:val="single" w:color="000000" w:sz="4" w:space="0"/>
              <w:left w:val="single" w:color="000000" w:sz="4" w:space="0"/>
              <w:bottom w:val="single" w:color="000000" w:sz="4" w:space="0"/>
              <w:right w:val="single" w:color="000000" w:sz="4" w:space="0"/>
            </w:tcBorders>
          </w:tcPr>
          <w:p w14:paraId="2195672C">
            <w:pPr>
              <w:spacing w:line="240" w:lineRule="auto"/>
              <w:rPr>
                <w:rFonts w:eastAsia="Calibri" w:cs="Arial"/>
                <w:b/>
                <w:i/>
                <w:sz w:val="24"/>
                <w:szCs w:val="24"/>
              </w:rPr>
            </w:pPr>
            <w:r>
              <w:rPr>
                <w:rFonts w:eastAsia="Calibri" w:cs="Arial"/>
                <w:b/>
                <w:i/>
                <w:sz w:val="24"/>
                <w:szCs w:val="24"/>
              </w:rPr>
              <w:t>“Research proposal writing and submission (initial literature review, aim and objectives)”</w:t>
            </w:r>
          </w:p>
        </w:tc>
        <w:tc>
          <w:tcPr>
            <w:tcW w:w="751" w:type="pct"/>
            <w:tcBorders>
              <w:top w:val="single" w:color="000000" w:sz="4" w:space="0"/>
              <w:left w:val="single" w:color="000000" w:sz="4" w:space="0"/>
              <w:bottom w:val="single" w:color="000000" w:sz="4" w:space="0"/>
              <w:right w:val="single" w:color="000000" w:sz="4" w:space="0"/>
            </w:tcBorders>
            <w:shd w:val="clear" w:color="auto" w:fill="366091"/>
          </w:tcPr>
          <w:p w14:paraId="7BA3CA03">
            <w:pPr>
              <w:spacing w:line="240" w:lineRule="auto"/>
              <w:rPr>
                <w:rFonts w:eastAsia="Calibri" w:cs="Arial"/>
                <w:b/>
                <w:i/>
                <w:color w:val="C0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5589DCC9">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24E7E310">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tcPr>
          <w:p w14:paraId="6EFEA0B2">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3967BC3C">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5BAD0F1B">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19295953">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625488D0">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60116E39">
            <w:pPr>
              <w:spacing w:line="240" w:lineRule="auto"/>
              <w:rPr>
                <w:rFonts w:eastAsia="Calibri" w:cs="Arial"/>
                <w:b/>
                <w:i/>
                <w:color w:val="FF0000"/>
                <w:sz w:val="24"/>
                <w:szCs w:val="24"/>
              </w:rPr>
            </w:pPr>
          </w:p>
        </w:tc>
      </w:tr>
      <w:tr w14:paraId="2A209B4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01280A8C">
            <w:pPr>
              <w:spacing w:line="240" w:lineRule="auto"/>
              <w:rPr>
                <w:rFonts w:eastAsia="Calibri" w:cs="Arial"/>
                <w:b/>
                <w:i/>
                <w:sz w:val="24"/>
                <w:szCs w:val="24"/>
              </w:rPr>
            </w:pPr>
            <w:r>
              <w:rPr>
                <w:rFonts w:eastAsia="Calibri" w:cs="Arial"/>
                <w:b/>
                <w:i/>
                <w:sz w:val="24"/>
                <w:szCs w:val="24"/>
              </w:rPr>
              <w:t>“Research proposal revised after feedback received.</w:t>
            </w:r>
          </w:p>
        </w:tc>
        <w:tc>
          <w:tcPr>
            <w:tcW w:w="751" w:type="pct"/>
            <w:tcBorders>
              <w:top w:val="single" w:color="000000" w:sz="4" w:space="0"/>
              <w:left w:val="single" w:color="000000" w:sz="4" w:space="0"/>
              <w:bottom w:val="single" w:color="000000" w:sz="4" w:space="0"/>
              <w:right w:val="single" w:color="000000" w:sz="4" w:space="0"/>
            </w:tcBorders>
            <w:shd w:val="clear" w:color="auto" w:fill="0F4761" w:themeFill="accent1" w:themeFillShade="BF"/>
          </w:tcPr>
          <w:p w14:paraId="782948D7">
            <w:pPr>
              <w:spacing w:line="240" w:lineRule="auto"/>
              <w:rPr>
                <w:rFonts w:eastAsia="Calibri" w:cs="Arial"/>
                <w:b/>
                <w:i/>
                <w:color w:val="C0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62DC51D9">
            <w:pPr>
              <w:spacing w:line="240" w:lineRule="auto"/>
              <w:rPr>
                <w:rFonts w:eastAsia="Calibri" w:cs="Arial"/>
                <w:b/>
                <w:i/>
                <w:color w:val="FF0000"/>
                <w:sz w:val="24"/>
                <w:szCs w:val="24"/>
              </w:rPr>
            </w:pPr>
          </w:p>
          <w:p w14:paraId="393CCCDF">
            <w:pPr>
              <w:spacing w:line="240" w:lineRule="auto"/>
              <w:rPr>
                <w:rFonts w:eastAsia="Calibri" w:cs="Arial"/>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6C8C5516">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tcPr>
          <w:p w14:paraId="5EA9112B">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17049948">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26791FE5">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0FC96BA3">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3D32FEB8">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68629CA7">
            <w:pPr>
              <w:spacing w:line="240" w:lineRule="auto"/>
              <w:rPr>
                <w:rFonts w:eastAsia="Calibri" w:cs="Arial"/>
                <w:b/>
                <w:i/>
                <w:color w:val="FF0000"/>
                <w:sz w:val="24"/>
                <w:szCs w:val="24"/>
              </w:rPr>
            </w:pPr>
          </w:p>
        </w:tc>
      </w:tr>
      <w:tr w14:paraId="79FB2A6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3FF16F6C">
            <w:pPr>
              <w:spacing w:line="240" w:lineRule="auto"/>
              <w:rPr>
                <w:rFonts w:eastAsia="Calibri" w:cs="Arial"/>
                <w:b/>
                <w:i/>
                <w:sz w:val="24"/>
                <w:szCs w:val="24"/>
              </w:rPr>
            </w:pPr>
            <w:r>
              <w:rPr>
                <w:rFonts w:eastAsia="Calibri" w:cs="Arial"/>
                <w:b/>
                <w:i/>
                <w:sz w:val="24"/>
                <w:szCs w:val="24"/>
              </w:rPr>
              <w:t>“Introduction chapter with Revised aim and objectives”</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2C4C5568">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shd w:val="clear" w:color="auto" w:fill="366091"/>
          </w:tcPr>
          <w:p w14:paraId="07754217">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38750E86">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tcPr>
          <w:p w14:paraId="7DBAFDEC">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09AC3F5F">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3007E413">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39C56819">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65374D96">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15A870C6">
            <w:pPr>
              <w:spacing w:line="240" w:lineRule="auto"/>
              <w:rPr>
                <w:rFonts w:eastAsia="Calibri" w:cs="Arial"/>
                <w:b/>
                <w:i/>
                <w:color w:val="FF0000"/>
                <w:sz w:val="24"/>
                <w:szCs w:val="24"/>
              </w:rPr>
            </w:pPr>
          </w:p>
        </w:tc>
      </w:tr>
      <w:tr w14:paraId="178E388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c>
          <w:tcPr>
            <w:tcW w:w="958" w:type="pct"/>
            <w:tcBorders>
              <w:top w:val="single" w:color="000000" w:sz="4" w:space="0"/>
              <w:left w:val="single" w:color="000000" w:sz="4" w:space="0"/>
              <w:bottom w:val="single" w:color="000000" w:sz="4" w:space="0"/>
              <w:right w:val="single" w:color="000000" w:sz="4" w:space="0"/>
            </w:tcBorders>
          </w:tcPr>
          <w:p w14:paraId="3395ABE6">
            <w:pPr>
              <w:spacing w:line="240" w:lineRule="auto"/>
              <w:rPr>
                <w:rFonts w:eastAsia="Calibri" w:cs="Arial"/>
                <w:b/>
                <w:i/>
                <w:sz w:val="24"/>
                <w:szCs w:val="24"/>
              </w:rPr>
            </w:pPr>
            <w:r>
              <w:rPr>
                <w:rFonts w:eastAsia="Calibri" w:cs="Arial"/>
                <w:b/>
                <w:i/>
                <w:sz w:val="24"/>
                <w:szCs w:val="24"/>
              </w:rPr>
              <w:t>Draft Literature Review Chapter</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0FF05652">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122C515F">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366091"/>
          </w:tcPr>
          <w:p w14:paraId="493A6B39">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shd w:val="clear" w:color="auto" w:fill="FFFFFF" w:themeFill="background1"/>
          </w:tcPr>
          <w:p w14:paraId="61304F02">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1553EFBF">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50213B11">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8D8D8" w:themeFill="background1" w:themeFillShade="D9"/>
          </w:tcPr>
          <w:p w14:paraId="25E3DC5C">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8D8D8" w:themeFill="background1" w:themeFillShade="D9"/>
          </w:tcPr>
          <w:p w14:paraId="31897F74">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02EB4A4E">
            <w:pPr>
              <w:spacing w:line="240" w:lineRule="auto"/>
              <w:rPr>
                <w:rFonts w:eastAsia="Calibri" w:cs="Arial"/>
                <w:b/>
                <w:i/>
                <w:color w:val="FF0000"/>
                <w:sz w:val="24"/>
                <w:szCs w:val="24"/>
              </w:rPr>
            </w:pPr>
          </w:p>
        </w:tc>
      </w:tr>
      <w:tr w14:paraId="4642279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461C4521">
            <w:pPr>
              <w:spacing w:line="240" w:lineRule="auto"/>
              <w:rPr>
                <w:rFonts w:eastAsia="Calibri" w:cs="Arial"/>
                <w:b/>
                <w:i/>
                <w:sz w:val="24"/>
                <w:szCs w:val="24"/>
              </w:rPr>
            </w:pPr>
            <w:r>
              <w:rPr>
                <w:rFonts w:eastAsia="Calibri" w:cs="Arial"/>
                <w:b/>
                <w:i/>
                <w:sz w:val="24"/>
                <w:szCs w:val="24"/>
              </w:rPr>
              <w:t>Draft Methodology Chapter</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4594CD8B">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789E1D11">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366091"/>
          </w:tcPr>
          <w:p w14:paraId="64CE11A1">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shd w:val="clear" w:color="auto" w:fill="366091"/>
          </w:tcPr>
          <w:p w14:paraId="50874273">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700D245E">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43392E3F">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03B009B9">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1371A1BA">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095613CC">
            <w:pPr>
              <w:spacing w:line="240" w:lineRule="auto"/>
              <w:rPr>
                <w:rFonts w:eastAsia="Calibri" w:cs="Arial"/>
                <w:b/>
                <w:i/>
                <w:color w:val="FF0000"/>
                <w:sz w:val="24"/>
                <w:szCs w:val="24"/>
              </w:rPr>
            </w:pPr>
          </w:p>
        </w:tc>
      </w:tr>
      <w:tr w14:paraId="1499CA5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c>
          <w:tcPr>
            <w:tcW w:w="958" w:type="pct"/>
            <w:tcBorders>
              <w:top w:val="single" w:color="000000" w:sz="4" w:space="0"/>
              <w:left w:val="single" w:color="000000" w:sz="4" w:space="0"/>
              <w:bottom w:val="single" w:color="000000" w:sz="4" w:space="0"/>
              <w:right w:val="single" w:color="000000" w:sz="4" w:space="0"/>
            </w:tcBorders>
          </w:tcPr>
          <w:p w14:paraId="72F4B0D3">
            <w:pPr>
              <w:spacing w:line="240" w:lineRule="auto"/>
              <w:rPr>
                <w:rFonts w:eastAsia="Calibri" w:cs="Arial"/>
                <w:b/>
                <w:i/>
                <w:sz w:val="24"/>
                <w:szCs w:val="24"/>
              </w:rPr>
            </w:pPr>
            <w:r>
              <w:rPr>
                <w:rFonts w:eastAsia="Calibri" w:cs="Arial"/>
                <w:b/>
                <w:i/>
                <w:sz w:val="24"/>
                <w:szCs w:val="24"/>
              </w:rPr>
              <w:t>Design of Data Instrument and Primary Data Collection</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303095F9">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52F64D18">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4DF8712D">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shd w:val="clear" w:color="auto" w:fill="366091"/>
          </w:tcPr>
          <w:p w14:paraId="4F1AB4EC">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4E9B98F3">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42478C9A">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4DE9C01E">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1B7C2661">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04D904CC">
            <w:pPr>
              <w:spacing w:line="240" w:lineRule="auto"/>
              <w:rPr>
                <w:rFonts w:eastAsia="Calibri" w:cs="Arial"/>
                <w:b/>
                <w:i/>
                <w:color w:val="FF0000"/>
                <w:sz w:val="24"/>
                <w:szCs w:val="24"/>
              </w:rPr>
            </w:pPr>
          </w:p>
        </w:tc>
      </w:tr>
      <w:tr w14:paraId="718F5C3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c>
          <w:tcPr>
            <w:tcW w:w="958" w:type="pct"/>
            <w:tcBorders>
              <w:top w:val="single" w:color="000000" w:sz="4" w:space="0"/>
              <w:left w:val="single" w:color="000000" w:sz="4" w:space="0"/>
              <w:bottom w:val="single" w:color="000000" w:sz="4" w:space="0"/>
              <w:right w:val="single" w:color="000000" w:sz="4" w:space="0"/>
            </w:tcBorders>
          </w:tcPr>
          <w:p w14:paraId="6AF56431">
            <w:pPr>
              <w:spacing w:line="240" w:lineRule="auto"/>
              <w:rPr>
                <w:rFonts w:eastAsia="Calibri" w:cs="Arial"/>
                <w:b/>
                <w:i/>
                <w:sz w:val="24"/>
                <w:szCs w:val="24"/>
              </w:rPr>
            </w:pPr>
            <w:r>
              <w:rPr>
                <w:rFonts w:eastAsia="Calibri" w:cs="Arial"/>
                <w:b/>
                <w:i/>
                <w:sz w:val="24"/>
                <w:szCs w:val="24"/>
              </w:rPr>
              <w:t>Research Findings and Data Analysis</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6311A927">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37933906">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25FF7EB0">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shd w:val="clear" w:color="auto" w:fill="366091"/>
          </w:tcPr>
          <w:p w14:paraId="55ABE1CE">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shd w:val="clear" w:color="auto" w:fill="366091"/>
          </w:tcPr>
          <w:p w14:paraId="3E027AB2">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366091"/>
          </w:tcPr>
          <w:p w14:paraId="0029D6DC">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60246161">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6EB8AD90">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3DE7680C">
            <w:pPr>
              <w:spacing w:line="240" w:lineRule="auto"/>
              <w:rPr>
                <w:rFonts w:eastAsia="Calibri" w:cs="Arial"/>
                <w:b/>
                <w:i/>
                <w:color w:val="FF0000"/>
                <w:sz w:val="24"/>
                <w:szCs w:val="24"/>
              </w:rPr>
            </w:pPr>
          </w:p>
        </w:tc>
      </w:tr>
      <w:tr w14:paraId="40F5B68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c>
          <w:tcPr>
            <w:tcW w:w="958" w:type="pct"/>
            <w:tcBorders>
              <w:top w:val="single" w:color="000000" w:sz="4" w:space="0"/>
              <w:left w:val="single" w:color="000000" w:sz="4" w:space="0"/>
              <w:bottom w:val="single" w:color="000000" w:sz="4" w:space="0"/>
              <w:right w:val="single" w:color="000000" w:sz="4" w:space="0"/>
            </w:tcBorders>
          </w:tcPr>
          <w:p w14:paraId="23D18B3D">
            <w:pPr>
              <w:spacing w:line="240" w:lineRule="auto"/>
              <w:rPr>
                <w:rFonts w:eastAsia="Calibri" w:cs="Arial"/>
                <w:b/>
                <w:i/>
                <w:sz w:val="24"/>
                <w:szCs w:val="24"/>
              </w:rPr>
            </w:pPr>
            <w:r>
              <w:rPr>
                <w:rFonts w:eastAsia="Calibri" w:cs="Arial"/>
                <w:b/>
                <w:i/>
                <w:sz w:val="24"/>
                <w:szCs w:val="24"/>
              </w:rPr>
              <w:t>Discussion</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38D7744F">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3C95C9AD">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5966B68E">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tcPr>
          <w:p w14:paraId="54765514">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shd w:val="clear" w:color="auto" w:fill="366091"/>
          </w:tcPr>
          <w:p w14:paraId="5AAAC4E5">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366091"/>
          </w:tcPr>
          <w:p w14:paraId="64505CDB">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7A072B53">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00161354">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69F040E0">
            <w:pPr>
              <w:spacing w:line="240" w:lineRule="auto"/>
              <w:rPr>
                <w:rFonts w:eastAsia="Calibri" w:cs="Arial"/>
                <w:b/>
                <w:i/>
                <w:color w:val="FF0000"/>
                <w:sz w:val="24"/>
                <w:szCs w:val="24"/>
              </w:rPr>
            </w:pPr>
          </w:p>
        </w:tc>
      </w:tr>
      <w:tr w14:paraId="2E6D18A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2D6848C3">
            <w:pPr>
              <w:spacing w:line="240" w:lineRule="auto"/>
              <w:rPr>
                <w:rFonts w:eastAsia="Calibri" w:cs="Arial"/>
                <w:b/>
                <w:i/>
                <w:sz w:val="24"/>
                <w:szCs w:val="24"/>
              </w:rPr>
            </w:pPr>
            <w:r>
              <w:rPr>
                <w:rFonts w:eastAsia="Calibri" w:cs="Arial"/>
                <w:b/>
                <w:i/>
                <w:sz w:val="24"/>
                <w:szCs w:val="24"/>
              </w:rPr>
              <w:t>Conclusion</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14BC3403">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13242265">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6C484538">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tcPr>
          <w:p w14:paraId="2B946EF4">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787158FC">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366091"/>
          </w:tcPr>
          <w:p w14:paraId="2F6FAD4A">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6A57BF88">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435BA178">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2D4E4300">
            <w:pPr>
              <w:spacing w:line="240" w:lineRule="auto"/>
              <w:rPr>
                <w:rFonts w:eastAsia="Calibri" w:cs="Arial"/>
                <w:b/>
                <w:i/>
                <w:color w:val="FF0000"/>
                <w:sz w:val="24"/>
                <w:szCs w:val="24"/>
              </w:rPr>
            </w:pPr>
          </w:p>
        </w:tc>
      </w:tr>
      <w:tr w14:paraId="7FBFF8C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2A57038D">
            <w:pPr>
              <w:spacing w:line="240" w:lineRule="auto"/>
              <w:rPr>
                <w:rFonts w:eastAsia="Calibri" w:cs="Arial"/>
                <w:b/>
                <w:i/>
                <w:sz w:val="24"/>
                <w:szCs w:val="24"/>
              </w:rPr>
            </w:pPr>
            <w:r>
              <w:rPr>
                <w:rFonts w:eastAsia="Calibri" w:cs="Arial"/>
                <w:b/>
                <w:i/>
                <w:sz w:val="24"/>
                <w:szCs w:val="24"/>
              </w:rPr>
              <w:t>“Thesis Draft Completed and submitted</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673005FF">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3862F64E">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478FF30A">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tcPr>
          <w:p w14:paraId="786BA544">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54B00B5A">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366091"/>
          </w:tcPr>
          <w:p w14:paraId="00B05A09">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087AB2AF">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6625ABE1">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4E3FC6F1">
            <w:pPr>
              <w:spacing w:line="240" w:lineRule="auto"/>
              <w:rPr>
                <w:rFonts w:eastAsia="Calibri" w:cs="Arial"/>
                <w:b/>
                <w:i/>
                <w:color w:val="FF0000"/>
                <w:sz w:val="24"/>
                <w:szCs w:val="24"/>
              </w:rPr>
            </w:pPr>
          </w:p>
        </w:tc>
      </w:tr>
      <w:tr w14:paraId="43C01ED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02B87D82">
            <w:pPr>
              <w:spacing w:line="240" w:lineRule="auto"/>
              <w:rPr>
                <w:rFonts w:eastAsia="Calibri" w:cs="Arial"/>
                <w:b/>
                <w:i/>
                <w:sz w:val="24"/>
                <w:szCs w:val="24"/>
              </w:rPr>
            </w:pPr>
            <w:r>
              <w:rPr>
                <w:rFonts w:eastAsia="Calibri" w:cs="Arial"/>
                <w:b/>
                <w:i/>
                <w:sz w:val="24"/>
                <w:szCs w:val="24"/>
              </w:rPr>
              <w:t>Revisions</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7AB39E25">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57C6DAF1">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02CA36E2">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tcPr>
          <w:p w14:paraId="22A81BB9">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263C54B7">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738AA60D">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366091"/>
          </w:tcPr>
          <w:p w14:paraId="29113C0E">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366091"/>
          </w:tcPr>
          <w:p w14:paraId="1539BE54">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63475CCD">
            <w:pPr>
              <w:spacing w:line="240" w:lineRule="auto"/>
              <w:rPr>
                <w:rFonts w:eastAsia="Calibri" w:cs="Arial"/>
                <w:b/>
                <w:i/>
                <w:color w:val="FF0000"/>
                <w:sz w:val="24"/>
                <w:szCs w:val="24"/>
              </w:rPr>
            </w:pPr>
          </w:p>
        </w:tc>
      </w:tr>
      <w:tr w14:paraId="54E6163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3C6B9C9C">
            <w:pPr>
              <w:spacing w:line="240" w:lineRule="auto"/>
              <w:rPr>
                <w:rFonts w:eastAsia="Calibri" w:cs="Arial"/>
                <w:b/>
                <w:i/>
                <w:sz w:val="24"/>
                <w:szCs w:val="24"/>
              </w:rPr>
            </w:pPr>
            <w:r>
              <w:rPr>
                <w:rFonts w:eastAsia="Calibri" w:cs="Arial"/>
                <w:b/>
                <w:i/>
                <w:sz w:val="24"/>
                <w:szCs w:val="24"/>
              </w:rPr>
              <w:t xml:space="preserve">Printing and Binding, </w:t>
            </w:r>
          </w:p>
          <w:p w14:paraId="0763CE3D">
            <w:pPr>
              <w:spacing w:line="240" w:lineRule="auto"/>
              <w:rPr>
                <w:rFonts w:eastAsia="Calibri" w:cs="Arial"/>
                <w:b/>
                <w:i/>
                <w:sz w:val="24"/>
                <w:szCs w:val="24"/>
              </w:rPr>
            </w:pPr>
            <w:r>
              <w:rPr>
                <w:rFonts w:eastAsia="Calibri" w:cs="Arial"/>
                <w:b/>
                <w:i/>
                <w:sz w:val="24"/>
                <w:szCs w:val="24"/>
              </w:rPr>
              <w:t>Viva Preparations</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1AEBAB2A">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5E123C27">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7C9A9276">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tcPr>
          <w:p w14:paraId="50F1A117">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60BDE2AB">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6FADA8DD">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743411F4">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366091"/>
          </w:tcPr>
          <w:p w14:paraId="0CA1BE98">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341997EC">
            <w:pPr>
              <w:spacing w:line="240" w:lineRule="auto"/>
              <w:rPr>
                <w:rFonts w:eastAsia="Calibri" w:cs="Arial"/>
                <w:b/>
                <w:i/>
                <w:color w:val="FF0000"/>
                <w:sz w:val="24"/>
                <w:szCs w:val="24"/>
              </w:rPr>
            </w:pPr>
          </w:p>
        </w:tc>
      </w:tr>
      <w:tr w14:paraId="3D04847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19F03CBD">
            <w:pPr>
              <w:spacing w:line="240" w:lineRule="auto"/>
              <w:rPr>
                <w:rFonts w:eastAsia="Calibri" w:cs="Arial"/>
                <w:b/>
                <w:i/>
                <w:sz w:val="24"/>
                <w:szCs w:val="24"/>
              </w:rPr>
            </w:pPr>
            <w:r>
              <w:rPr>
                <w:rFonts w:eastAsia="Calibri" w:cs="Arial"/>
                <w:b/>
                <w:i/>
                <w:sz w:val="24"/>
                <w:szCs w:val="24"/>
              </w:rPr>
              <w:t xml:space="preserve">Viva </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3056EDF0">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11F2CA69">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2A4BD6CB">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tcPr>
          <w:p w14:paraId="3A7BE983">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3EBA102B">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030B29B3">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5E4B76F7">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101FD1C1">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366091"/>
          </w:tcPr>
          <w:p w14:paraId="2FBE926F">
            <w:pPr>
              <w:spacing w:line="240" w:lineRule="auto"/>
              <w:rPr>
                <w:rFonts w:eastAsia="Calibri" w:cs="Arial"/>
                <w:b/>
                <w:i/>
                <w:color w:val="FF0000"/>
                <w:sz w:val="24"/>
                <w:szCs w:val="24"/>
              </w:rPr>
            </w:pPr>
          </w:p>
        </w:tc>
      </w:tr>
    </w:tbl>
    <w:p w14:paraId="7159ADE7">
      <w:pPr>
        <w:spacing w:after="273"/>
        <w:rPr>
          <w:rFonts w:cs="Arial"/>
          <w:sz w:val="24"/>
          <w:szCs w:val="24"/>
        </w:rPr>
      </w:pPr>
      <w:r>
        <w:rPr>
          <w:rFonts w:cs="Arial"/>
          <w:b/>
          <w:sz w:val="24"/>
          <w:szCs w:val="24"/>
        </w:rPr>
        <w:t xml:space="preserve"> </w:t>
      </w:r>
    </w:p>
    <w:p w14:paraId="1871625E">
      <w:pPr>
        <w:pStyle w:val="2"/>
      </w:pPr>
      <w:bookmarkStart w:id="21" w:name="_Toc208438510"/>
      <w:r>
        <w:t>Contribution of the Study (or Pathways to Impact)</w:t>
      </w:r>
      <w:bookmarkEnd w:id="21"/>
    </w:p>
    <w:p w14:paraId="50D775E8">
      <w:pPr>
        <w:spacing w:after="0" w:line="360" w:lineRule="auto"/>
        <w:jc w:val="both"/>
        <w:rPr>
          <w:rFonts w:cs="Arial"/>
          <w:color w:val="000000"/>
        </w:rPr>
      </w:pPr>
      <w:r>
        <w:rPr>
          <w:rFonts w:cs="Arial"/>
          <w:color w:val="000000"/>
        </w:rPr>
        <w:t xml:space="preserve">The findings of the study will provide plausible insights on how to manage challenges of micro-credentials for the benefits of all stakeholders. Insights from all stakeholders – professional learners, employers, Department of Education and HEIs will be documented as contribution of the study and/or suggested future pathways for the benefit of all stakeholders and society at large. </w:t>
      </w:r>
    </w:p>
    <w:p w14:paraId="74D3233D">
      <w:pPr>
        <w:spacing w:after="0" w:line="360" w:lineRule="auto"/>
        <w:jc w:val="both"/>
        <w:rPr>
          <w:rFonts w:cs="Arial"/>
          <w:color w:val="000000"/>
        </w:rPr>
      </w:pPr>
    </w:p>
    <w:p w14:paraId="62FBD2D2">
      <w:pPr>
        <w:pStyle w:val="2"/>
      </w:pPr>
      <w:bookmarkStart w:id="22" w:name="_Toc208438511"/>
      <w:r>
        <w:t>Ensuring Maximum Engagement and Realising Benefits</w:t>
      </w:r>
      <w:bookmarkEnd w:id="22"/>
    </w:p>
    <w:p w14:paraId="71D39F46">
      <w:pPr>
        <w:jc w:val="both"/>
      </w:pPr>
      <w:r>
        <w:t xml:space="preserve"> It is expected that research findings and outcomes will be enabling insights that foster  </w:t>
      </w:r>
    </w:p>
    <w:p w14:paraId="5E922A3A">
      <w:pPr>
        <w:jc w:val="both"/>
      </w:pPr>
      <w:r>
        <w:t xml:space="preserve"> alignment among various stakeholders which leads to better training of learners, </w:t>
      </w:r>
    </w:p>
    <w:p w14:paraId="286ADF32">
      <w:pPr>
        <w:jc w:val="both"/>
      </w:pPr>
      <w:r>
        <w:t xml:space="preserve"> industry related professionals and improvement in policy making and implementation for the good of all stakeholders.</w:t>
      </w:r>
    </w:p>
    <w:p w14:paraId="270138C3">
      <w:r>
        <w:t xml:space="preserve">                 </w:t>
      </w:r>
    </w:p>
    <w:p w14:paraId="74EB6222">
      <w:pPr>
        <w:pStyle w:val="2"/>
      </w:pPr>
      <w:bookmarkStart w:id="23" w:name="_Toc208438512"/>
      <w:r>
        <w:t>Collaboration for Maximum Impact</w:t>
      </w:r>
      <w:bookmarkEnd w:id="23"/>
    </w:p>
    <w:p w14:paraId="0520B5A1">
      <w:pPr>
        <w:spacing w:after="0" w:line="360" w:lineRule="auto"/>
        <w:jc w:val="both"/>
      </w:pPr>
      <w:r>
        <w:rPr>
          <w:rFonts w:cs="Arial"/>
          <w:color w:val="000000"/>
        </w:rPr>
        <w:t>It is expected that research findings will add to the body of knowledge (theoretical, practical and policy implications) on micro credentials including discussion of emerging trends with a view of harnessing the emerging opportunities for various stakeholders.</w:t>
      </w:r>
    </w:p>
    <w:p w14:paraId="52E49DF4">
      <w:pPr>
        <w:ind w:left="1440"/>
      </w:pPr>
    </w:p>
    <w:p w14:paraId="278C89E3">
      <w:pPr>
        <w:ind w:left="720"/>
        <w:rPr>
          <w:b/>
          <w:bCs/>
        </w:rPr>
      </w:pPr>
    </w:p>
    <w:p w14:paraId="559280B0">
      <w:pPr>
        <w:ind w:left="720"/>
        <w:rPr>
          <w:b/>
          <w:bCs/>
        </w:rPr>
      </w:pPr>
    </w:p>
    <w:p w14:paraId="705FB4C1">
      <w:pPr>
        <w:ind w:left="720"/>
        <w:rPr>
          <w:b/>
          <w:bCs/>
        </w:rPr>
      </w:pPr>
    </w:p>
    <w:p w14:paraId="22A641A2">
      <w:pPr>
        <w:ind w:left="720"/>
        <w:rPr>
          <w:b/>
          <w:bCs/>
        </w:rPr>
      </w:pPr>
    </w:p>
    <w:p w14:paraId="5F309E85">
      <w:pPr>
        <w:pStyle w:val="2"/>
      </w:pPr>
      <w:bookmarkStart w:id="24" w:name="_Toc208438513"/>
      <w:r>
        <w:t>References:</w:t>
      </w:r>
      <w:bookmarkEnd w:id="24"/>
    </w:p>
    <w:p w14:paraId="673E36C5">
      <w:pPr>
        <w:jc w:val="both"/>
      </w:pPr>
      <w:r>
        <w:t xml:space="preserve">Ahmat, N., H., C., Bashir, M., A., A., Razali, A., R., and Kasolang, S., (2021). Micro-Credentials in Higher Education Institutions: Challenges and Opportunities, </w:t>
      </w:r>
      <w:r>
        <w:rPr>
          <w:i/>
          <w:iCs/>
        </w:rPr>
        <w:t xml:space="preserve">Asian Journal of University Education </w:t>
      </w:r>
      <w:r>
        <w:t>(AJUE), Vol. 17 (3).</w:t>
      </w:r>
    </w:p>
    <w:p w14:paraId="58C81754">
      <w:r>
        <w:t xml:space="preserve">Alias, A. K. (2020). Developing Micro-Credentials for Universiti Sains Malaysia. Available @: </w:t>
      </w:r>
      <w:r>
        <w:fldChar w:fldCharType="begin"/>
      </w:r>
      <w:r>
        <w:instrText xml:space="preserve"> HYPERLINK "https://f.hubspotusercontent00.net/hubfs/696603/OpenCreds%20-%20Malaysia/Openlearning_Symposium%20Deck%20-%20Prof%20Karim.pdf" </w:instrText>
      </w:r>
      <w:r>
        <w:fldChar w:fldCharType="separate"/>
      </w:r>
      <w:r>
        <w:rPr>
          <w:rStyle w:val="15"/>
        </w:rPr>
        <w:t>https://f.hubspotusercontent00.net/hubfs/696603/OpenCreds%20-%20Malaysia/Openlearning_Symposium%20Deck%20-%20Prof%20Karim.pdf</w:t>
      </w:r>
      <w:r>
        <w:rPr>
          <w:rStyle w:val="15"/>
        </w:rPr>
        <w:fldChar w:fldCharType="end"/>
      </w:r>
      <w:r>
        <w:t xml:space="preserve">.,  (Accessed on: 12/08/2025). </w:t>
      </w:r>
    </w:p>
    <w:p w14:paraId="0F33E3B6">
      <w:r>
        <w:t>Brown, M., Mhichíl, N., Beirne, E., &amp; Mac Lochlainn, C. (2021). The global micro-credential land</w:t>
      </w:r>
      <w:r>
        <w:softHyphen/>
      </w:r>
      <w:r>
        <w:t xml:space="preserve">scape: Charting a new credential ecology for lifelong learning. </w:t>
      </w:r>
      <w:r>
        <w:rPr>
          <w:i/>
          <w:iCs/>
        </w:rPr>
        <w:t>Journal of Learning for Development</w:t>
      </w:r>
      <w:r>
        <w:t xml:space="preserve">, </w:t>
      </w:r>
      <w:r>
        <w:rPr>
          <w:i/>
          <w:iCs/>
        </w:rPr>
        <w:t>8</w:t>
      </w:r>
      <w:r>
        <w:t xml:space="preserve">(2), 228–254. </w:t>
      </w:r>
      <w:r>
        <w:fldChar w:fldCharType="begin"/>
      </w:r>
      <w:r>
        <w:instrText xml:space="preserve"> HYPERLINK "https://doi.org/10.56059/jl4d.v8i2.525" </w:instrText>
      </w:r>
      <w:r>
        <w:fldChar w:fldCharType="separate"/>
      </w:r>
      <w:r>
        <w:rPr>
          <w:rStyle w:val="15"/>
        </w:rPr>
        <w:t>https://doi.org/10.56059/jl4d.v8i2.525</w:t>
      </w:r>
      <w:r>
        <w:rPr>
          <w:rStyle w:val="15"/>
        </w:rPr>
        <w:fldChar w:fldCharType="end"/>
      </w:r>
      <w:r>
        <w:t xml:space="preserve"> , (Accessed on: 31/08/2025). </w:t>
      </w:r>
    </w:p>
    <w:p w14:paraId="54B369B3">
      <w:r>
        <w:t xml:space="preserve">Brugueraa, C., Pagésa, C., Petersa, M., and Fitó, A., (2025). Micro-Credentials and Soft Skills in Online Education: </w:t>
      </w:r>
      <w:r>
        <w:rPr>
          <w:i/>
          <w:iCs/>
        </w:rPr>
        <w:t>The Employers’ Perspective, Distance Education</w:t>
      </w:r>
      <w:r>
        <w:t>, Vol. 46(1), 56–76</w:t>
      </w:r>
    </w:p>
    <w:p w14:paraId="01EAD4CB">
      <w:pPr>
        <w:spacing w:after="0" w:line="240" w:lineRule="auto"/>
        <w:jc w:val="both"/>
        <w:rPr>
          <w:rFonts w:cs="Arial"/>
        </w:rPr>
      </w:pPr>
      <w:r>
        <w:rPr>
          <w:rFonts w:cs="Arial"/>
        </w:rPr>
        <w:t xml:space="preserve">Carnevale, A., P., Fasules, M., L., and Campbell, K., P., (2020). Workforce Basics: The Competencies Employers Wants, Georgetown University Center on Education and Workforce, 1 -72, available @: </w:t>
      </w:r>
      <w:r>
        <w:fldChar w:fldCharType="begin"/>
      </w:r>
      <w:r>
        <w:instrText xml:space="preserve"> HYPERLINK "https://cew.georgetown.edu/cew-reports/competencies/" </w:instrText>
      </w:r>
      <w:r>
        <w:fldChar w:fldCharType="separate"/>
      </w:r>
      <w:r>
        <w:rPr>
          <w:rStyle w:val="15"/>
          <w:rFonts w:cs="Arial"/>
        </w:rPr>
        <w:t>https://cew.georgetown.edu/cew-reports/competencies/</w:t>
      </w:r>
      <w:r>
        <w:rPr>
          <w:rStyle w:val="15"/>
          <w:rFonts w:cs="Arial"/>
        </w:rPr>
        <w:fldChar w:fldCharType="end"/>
      </w:r>
      <w:r>
        <w:rPr>
          <w:rStyle w:val="15"/>
          <w:rFonts w:cs="Arial"/>
        </w:rPr>
        <w:t xml:space="preserve">, </w:t>
      </w:r>
      <w:r>
        <w:rPr>
          <w:rFonts w:cs="Arial"/>
        </w:rPr>
        <w:t>(Accessed on: 18/08/2025).</w:t>
      </w:r>
    </w:p>
    <w:p w14:paraId="28F21E47">
      <w:pPr>
        <w:spacing w:after="0" w:line="240" w:lineRule="auto"/>
        <w:jc w:val="both"/>
        <w:rPr>
          <w:rFonts w:cs="Arial"/>
        </w:rPr>
      </w:pPr>
      <w:bookmarkStart w:id="25" w:name="_Hlk127009311"/>
    </w:p>
    <w:p w14:paraId="6B805BEA">
      <w:pPr>
        <w:spacing w:after="0" w:line="240" w:lineRule="auto"/>
        <w:jc w:val="both"/>
        <w:rPr>
          <w:rFonts w:cs="Arial"/>
        </w:rPr>
      </w:pPr>
      <w:r>
        <w:rPr>
          <w:rFonts w:cs="Arial"/>
        </w:rPr>
        <w:t xml:space="preserve">Council of Europe (2005). </w:t>
      </w:r>
      <w:bookmarkEnd w:id="25"/>
      <w:r>
        <w:rPr>
          <w:rFonts w:cs="Arial"/>
        </w:rPr>
        <w:t xml:space="preserve">“Standards and Guidelines for Quality Assurance in the European Higher Education Area.” Available @: https://pjp-eu.coe.int/bih-higher-education /images/2005_ehea_qa_standards%26guidelines_eng.pdf, (Accessed on: 10/08/2025). </w:t>
      </w:r>
    </w:p>
    <w:p w14:paraId="365313D9">
      <w:pPr>
        <w:spacing w:after="0"/>
        <w:jc w:val="both"/>
        <w:rPr>
          <w:rFonts w:cs="Arial"/>
        </w:rPr>
      </w:pPr>
    </w:p>
    <w:p w14:paraId="2C2D3EC7">
      <w:pPr>
        <w:spacing w:after="0"/>
        <w:jc w:val="both"/>
        <w:rPr>
          <w:rFonts w:cs="Arial"/>
        </w:rPr>
      </w:pPr>
      <w:r>
        <w:rPr>
          <w:rFonts w:cs="Arial"/>
        </w:rPr>
        <w:t xml:space="preserve">Cranfield, D. (2011). Knowledge Management and Higher Education: A UK Case Study Using Grounded Theory (Doctoral dissertation) Available @: </w:t>
      </w:r>
      <w:r>
        <w:fldChar w:fldCharType="begin"/>
      </w:r>
      <w:r>
        <w:instrText xml:space="preserve"> HYPERLINK "http://eprints.soton.ac.uk/" </w:instrText>
      </w:r>
      <w:r>
        <w:fldChar w:fldCharType="separate"/>
      </w:r>
      <w:r>
        <w:rPr>
          <w:rStyle w:val="15"/>
          <w:rFonts w:cs="Arial"/>
        </w:rPr>
        <w:t>http://eprints.soton.ac.uk/</w:t>
      </w:r>
      <w:r>
        <w:rPr>
          <w:rStyle w:val="15"/>
          <w:rFonts w:cs="Arial"/>
        </w:rPr>
        <w:fldChar w:fldCharType="end"/>
      </w:r>
      <w:r>
        <w:rPr>
          <w:rFonts w:cs="Arial"/>
        </w:rPr>
        <w:t>, (Accessed on: 11/08/2025).</w:t>
      </w:r>
    </w:p>
    <w:p w14:paraId="5ECE350D">
      <w:pPr>
        <w:spacing w:after="0" w:line="240" w:lineRule="auto"/>
        <w:jc w:val="both"/>
        <w:rPr>
          <w:rFonts w:cs="Arial"/>
        </w:rPr>
      </w:pPr>
    </w:p>
    <w:p w14:paraId="27D62EFB">
      <w:pPr>
        <w:jc w:val="both"/>
      </w:pPr>
      <w:r>
        <w:t>Department of Education Skills and Employment (2021), “National Micro-Credentials Framework”, available at: https://www.dese.gov.au/higher-education-publications/resources/nationalmicrocredentials-framework?utm_source5sendgrid.com&amp;utm_medium5email&amp;utm_campaign5website</w:t>
      </w:r>
    </w:p>
    <w:p w14:paraId="5ED5254E">
      <w:pPr>
        <w:spacing w:after="0" w:line="240" w:lineRule="auto"/>
        <w:jc w:val="both"/>
        <w:rPr>
          <w:rFonts w:cs="Arial"/>
        </w:rPr>
      </w:pPr>
      <w:r>
        <w:rPr>
          <w:rFonts w:cs="Arial"/>
        </w:rPr>
        <w:t xml:space="preserve">Dinan-Thompson, M., Bajema, A., Cowden, G. (2021). Investigating Learning and Teaching Frameworks and Credentialing for Professional Learning in Higher Education, available @: </w:t>
      </w:r>
      <w:r>
        <w:fldChar w:fldCharType="begin"/>
      </w:r>
      <w:r>
        <w:instrText xml:space="preserve"> HYPERLINK "https://www.caullt.edu.au/wp-content/uploads/2022/02/Literature-Review-CAULLT-project-final-5.pdf" </w:instrText>
      </w:r>
      <w:r>
        <w:fldChar w:fldCharType="separate"/>
      </w:r>
      <w:r>
        <w:rPr>
          <w:rStyle w:val="15"/>
          <w:rFonts w:cs="Arial"/>
        </w:rPr>
        <w:t>https://www.caullt.edu.au/wp-content/uploads/2022/02/Literature-Review-CAULLT-project-final-5.pdf</w:t>
      </w:r>
      <w:r>
        <w:rPr>
          <w:rStyle w:val="15"/>
          <w:rFonts w:cs="Arial"/>
        </w:rPr>
        <w:fldChar w:fldCharType="end"/>
      </w:r>
      <w:r>
        <w:rPr>
          <w:rFonts w:cs="Arial"/>
        </w:rPr>
        <w:t>, (Accessed on 22/08/2025).</w:t>
      </w:r>
    </w:p>
    <w:p w14:paraId="3204FE2C">
      <w:pPr>
        <w:autoSpaceDE w:val="0"/>
        <w:autoSpaceDN w:val="0"/>
        <w:adjustRightInd w:val="0"/>
        <w:spacing w:after="0" w:line="240" w:lineRule="auto"/>
        <w:jc w:val="both"/>
        <w:rPr>
          <w:rFonts w:cs="Arial"/>
          <w:color w:val="131413"/>
        </w:rPr>
      </w:pPr>
    </w:p>
    <w:p w14:paraId="0497B9DA">
      <w:pPr>
        <w:autoSpaceDE w:val="0"/>
        <w:autoSpaceDN w:val="0"/>
        <w:adjustRightInd w:val="0"/>
        <w:spacing w:after="0" w:line="240" w:lineRule="auto"/>
        <w:jc w:val="both"/>
        <w:rPr>
          <w:rFonts w:cs="Arial"/>
          <w:color w:val="0000FF"/>
        </w:rPr>
      </w:pPr>
      <w:r>
        <w:rPr>
          <w:rFonts w:cs="Arial"/>
          <w:color w:val="131413"/>
        </w:rPr>
        <w:t xml:space="preserve">D’Orio, Wayne (2019). What’s in a Microcredential? EducationDive, Available @: </w:t>
      </w:r>
      <w:r>
        <w:fldChar w:fldCharType="begin"/>
      </w:r>
      <w:r>
        <w:instrText xml:space="preserve"> HYPERLINK "https://www.educationdive" </w:instrText>
      </w:r>
      <w:r>
        <w:fldChar w:fldCharType="separate"/>
      </w:r>
      <w:r>
        <w:rPr>
          <w:rStyle w:val="15"/>
          <w:rFonts w:cs="Arial"/>
        </w:rPr>
        <w:t>https://www.educationdive</w:t>
      </w:r>
      <w:r>
        <w:rPr>
          <w:rStyle w:val="15"/>
          <w:rFonts w:cs="Arial"/>
        </w:rPr>
        <w:fldChar w:fldCharType="end"/>
      </w:r>
      <w:r>
        <w:rPr>
          <w:rFonts w:cs="Arial"/>
          <w:color w:val="0000FF"/>
        </w:rPr>
        <w:t>.</w:t>
      </w:r>
    </w:p>
    <w:p w14:paraId="4BC187D5">
      <w:pPr>
        <w:autoSpaceDE w:val="0"/>
        <w:autoSpaceDN w:val="0"/>
        <w:adjustRightInd w:val="0"/>
        <w:spacing w:after="0" w:line="240" w:lineRule="auto"/>
        <w:jc w:val="both"/>
        <w:rPr>
          <w:rFonts w:cs="Arial"/>
          <w:color w:val="131413"/>
        </w:rPr>
      </w:pPr>
      <w:r>
        <w:rPr>
          <w:rFonts w:cs="Arial"/>
          <w:color w:val="0000FF"/>
        </w:rPr>
        <w:t xml:space="preserve">com/news/whats-in-a-microcredential/556606/ </w:t>
      </w:r>
      <w:r>
        <w:rPr>
          <w:rFonts w:cs="Arial"/>
          <w:color w:val="131413"/>
        </w:rPr>
        <w:t>(Accessed on: 24/08/2025).</w:t>
      </w:r>
    </w:p>
    <w:p w14:paraId="5A84D397">
      <w:pPr>
        <w:spacing w:after="0" w:line="240" w:lineRule="auto"/>
        <w:jc w:val="both"/>
        <w:rPr>
          <w:rFonts w:cs="Arial"/>
        </w:rPr>
      </w:pPr>
    </w:p>
    <w:p w14:paraId="34B62032">
      <w:pPr>
        <w:jc w:val="both"/>
      </w:pPr>
      <w:r>
        <w:t>European Commission (2020), “A European Approach to Micro-Credentials,” available at: https://education.ec.europa.eu/sites/default/files/document-library-docs/European,</w:t>
      </w:r>
    </w:p>
    <w:p w14:paraId="49FDFDEC">
      <w:pPr>
        <w:spacing w:after="0" w:line="240" w:lineRule="auto"/>
        <w:jc w:val="both"/>
        <w:rPr>
          <w:rFonts w:cs="Arial"/>
        </w:rPr>
      </w:pPr>
      <w:r>
        <w:rPr>
          <w:rFonts w:cs="Arial"/>
        </w:rPr>
        <w:t>European Commission. (2021). ”European Skills Agenda.” Available @: https://ec. europa.eu/social/main.jsp?catId=1223, (Accessed on 17/08/2025).</w:t>
      </w:r>
    </w:p>
    <w:p w14:paraId="300325D2">
      <w:pPr>
        <w:spacing w:after="0" w:line="240" w:lineRule="auto"/>
        <w:jc w:val="both"/>
        <w:rPr>
          <w:rFonts w:cs="Arial"/>
        </w:rPr>
      </w:pPr>
    </w:p>
    <w:p w14:paraId="03CEB006">
      <w:pPr>
        <w:spacing w:after="0" w:line="240" w:lineRule="auto"/>
        <w:jc w:val="both"/>
        <w:rPr>
          <w:rFonts w:cs="Arial"/>
        </w:rPr>
      </w:pPr>
      <w:r>
        <w:rPr>
          <w:rFonts w:cs="Arial"/>
        </w:rPr>
        <w:t xml:space="preserve">European MOOC Consortium (2020). EMC Common Micro-credential Framework. European MOOC Consortium, 1 -13, available @: </w:t>
      </w:r>
      <w:r>
        <w:fldChar w:fldCharType="begin"/>
      </w:r>
      <w:r>
        <w:instrText xml:space="preserve"> HYPERLINK "https://emc.eadtu.eu/images/EMC_Common_Microcredential_Framework_pdf" </w:instrText>
      </w:r>
      <w:r>
        <w:fldChar w:fldCharType="separate"/>
      </w:r>
      <w:r>
        <w:rPr>
          <w:rStyle w:val="15"/>
          <w:rFonts w:cs="Arial"/>
        </w:rPr>
        <w:t>https://emc.eadtu.eu/images/EMC_Common_Microcredential_Framework_pdf</w:t>
      </w:r>
      <w:r>
        <w:rPr>
          <w:rStyle w:val="15"/>
          <w:rFonts w:cs="Arial"/>
        </w:rPr>
        <w:fldChar w:fldCharType="end"/>
      </w:r>
      <w:r>
        <w:rPr>
          <w:rStyle w:val="15"/>
          <w:rFonts w:cs="Arial"/>
        </w:rPr>
        <w:t xml:space="preserve">, </w:t>
      </w:r>
      <w:r>
        <w:rPr>
          <w:rFonts w:cs="Arial"/>
        </w:rPr>
        <w:t>(Accessed on 05/09/2025).</w:t>
      </w:r>
    </w:p>
    <w:p w14:paraId="2B439BA4">
      <w:pPr>
        <w:autoSpaceDE w:val="0"/>
        <w:autoSpaceDN w:val="0"/>
        <w:adjustRightInd w:val="0"/>
        <w:spacing w:after="0" w:line="240" w:lineRule="auto"/>
        <w:jc w:val="both"/>
        <w:rPr>
          <w:rFonts w:cs="Arial"/>
          <w:color w:val="131413"/>
        </w:rPr>
      </w:pPr>
    </w:p>
    <w:p w14:paraId="5BB6A4AA">
      <w:pPr>
        <w:autoSpaceDE w:val="0"/>
        <w:autoSpaceDN w:val="0"/>
        <w:adjustRightInd w:val="0"/>
        <w:spacing w:after="0" w:line="240" w:lineRule="auto"/>
        <w:jc w:val="both"/>
        <w:rPr>
          <w:rFonts w:cs="Arial"/>
          <w:color w:val="131413"/>
        </w:rPr>
      </w:pPr>
      <w:r>
        <w:rPr>
          <w:rFonts w:cs="Arial"/>
          <w:color w:val="131413"/>
        </w:rPr>
        <w:t xml:space="preserve">Fain, P. (2020). Overlap in Labor Market Returns for Diplomas and Degrees. Inside Higher Education, 17, February. Available @: </w:t>
      </w:r>
      <w:r>
        <w:fldChar w:fldCharType="begin"/>
      </w:r>
      <w:r>
        <w:instrText xml:space="preserve"> HYPERLINK "https://www.insidehighered.com/quicktakes/2020/02/27/overlap-labor-market-returnsdiplomas-and-degrees" </w:instrText>
      </w:r>
      <w:r>
        <w:fldChar w:fldCharType="separate"/>
      </w:r>
      <w:r>
        <w:rPr>
          <w:rStyle w:val="15"/>
          <w:rFonts w:cs="Arial"/>
        </w:rPr>
        <w:t>https://www.insidehighered.com/quicktakes/2020/02/27/overlap-labor-market-returnsdiplomas-and-degrees</w:t>
      </w:r>
      <w:r>
        <w:rPr>
          <w:rStyle w:val="15"/>
          <w:rFonts w:cs="Arial"/>
        </w:rPr>
        <w:fldChar w:fldCharType="end"/>
      </w:r>
      <w:r>
        <w:rPr>
          <w:rFonts w:cs="Arial"/>
          <w:color w:val="131413"/>
        </w:rPr>
        <w:t xml:space="preserve"> (Accessed 19/08/2025).</w:t>
      </w:r>
    </w:p>
    <w:p w14:paraId="08D7EF8B">
      <w:pPr>
        <w:autoSpaceDE w:val="0"/>
        <w:autoSpaceDN w:val="0"/>
        <w:adjustRightInd w:val="0"/>
        <w:spacing w:after="0" w:line="240" w:lineRule="auto"/>
        <w:jc w:val="both"/>
        <w:rPr>
          <w:rFonts w:cs="Arial"/>
        </w:rPr>
      </w:pPr>
    </w:p>
    <w:p w14:paraId="5F0D5C8B">
      <w:pPr>
        <w:autoSpaceDE w:val="0"/>
        <w:autoSpaceDN w:val="0"/>
        <w:adjustRightInd w:val="0"/>
        <w:spacing w:after="0" w:line="240" w:lineRule="auto"/>
        <w:jc w:val="both"/>
        <w:rPr>
          <w:rFonts w:cs="Arial"/>
          <w:color w:val="131413"/>
        </w:rPr>
      </w:pPr>
      <w:r>
        <w:rPr>
          <w:rFonts w:cs="Arial"/>
        </w:rPr>
        <w:t>Freeman, R. E. (1984). Strategic management: A stakeholder approach. Boston: Pitman.</w:t>
      </w:r>
    </w:p>
    <w:p w14:paraId="1EA4316A">
      <w:pPr>
        <w:autoSpaceDE w:val="0"/>
        <w:autoSpaceDN w:val="0"/>
        <w:adjustRightInd w:val="0"/>
        <w:spacing w:after="0" w:line="240" w:lineRule="auto"/>
        <w:jc w:val="both"/>
        <w:rPr>
          <w:rFonts w:cs="Arial"/>
          <w:color w:val="131413"/>
        </w:rPr>
      </w:pPr>
    </w:p>
    <w:p w14:paraId="1C087F16">
      <w:pPr>
        <w:jc w:val="both"/>
      </w:pPr>
      <w:r>
        <w:t>Gallagher, S.R. (2018), Educational Credentials Come of Age: A Survey on the Use and Value of Educational Credentials in Hiring, Center for the Future of Higher Education and Talent Strategy, Northeastern University, Boston.</w:t>
      </w:r>
    </w:p>
    <w:p w14:paraId="0D001EBA">
      <w:pPr>
        <w:jc w:val="both"/>
      </w:pPr>
      <w:r>
        <w:t>Gauthier, T. (2020), “The Value of Micro-credentials: The Employer’s Perspective”, The Journal of Competency-Based Education, Vol. 5 No. 2, pp. 1-6, doi: 10.1002/cbe2.1209.</w:t>
      </w:r>
    </w:p>
    <w:p w14:paraId="58A76DBB">
      <w:pPr>
        <w:autoSpaceDE w:val="0"/>
        <w:autoSpaceDN w:val="0"/>
        <w:adjustRightInd w:val="0"/>
        <w:spacing w:after="0" w:line="240" w:lineRule="auto"/>
        <w:jc w:val="both"/>
        <w:rPr>
          <w:rFonts w:cs="Arial"/>
          <w:color w:val="131413"/>
        </w:rPr>
      </w:pPr>
      <w:r>
        <w:rPr>
          <w:rFonts w:cs="Arial"/>
          <w:color w:val="131413"/>
        </w:rPr>
        <w:t>Glassdoor Team (2020). 15 More Companies that No Longer Require a Degree—Apply Now. Glassdoor.</w:t>
      </w:r>
    </w:p>
    <w:p w14:paraId="2A298690">
      <w:pPr>
        <w:autoSpaceDE w:val="0"/>
        <w:autoSpaceDN w:val="0"/>
        <w:adjustRightInd w:val="0"/>
        <w:spacing w:after="0" w:line="240" w:lineRule="auto"/>
        <w:jc w:val="both"/>
        <w:rPr>
          <w:rFonts w:cs="Arial"/>
        </w:rPr>
      </w:pPr>
      <w:r>
        <w:fldChar w:fldCharType="begin"/>
      </w:r>
      <w:r>
        <w:instrText xml:space="preserve"> HYPERLINK "https://www.glassdoor.com/blog/no-degree-required/" </w:instrText>
      </w:r>
      <w:r>
        <w:fldChar w:fldCharType="separate"/>
      </w:r>
      <w:r>
        <w:rPr>
          <w:rStyle w:val="15"/>
          <w:rFonts w:cs="Arial"/>
        </w:rPr>
        <w:t>https://www.glassdoor.com/blog/no-degree-required/</w:t>
      </w:r>
      <w:r>
        <w:rPr>
          <w:rStyle w:val="15"/>
          <w:rFonts w:cs="Arial"/>
        </w:rPr>
        <w:fldChar w:fldCharType="end"/>
      </w:r>
      <w:r>
        <w:rPr>
          <w:rFonts w:cs="Arial"/>
          <w:color w:val="131413"/>
        </w:rPr>
        <w:t xml:space="preserve"> (Accessed 20/08/2025).</w:t>
      </w:r>
    </w:p>
    <w:p w14:paraId="161BFDCF">
      <w:pPr>
        <w:autoSpaceDE w:val="0"/>
        <w:autoSpaceDN w:val="0"/>
        <w:adjustRightInd w:val="0"/>
        <w:spacing w:after="0" w:line="240" w:lineRule="auto"/>
        <w:jc w:val="both"/>
        <w:rPr>
          <w:rFonts w:cs="Arial"/>
        </w:rPr>
      </w:pPr>
    </w:p>
    <w:p w14:paraId="4AE4AA37">
      <w:pPr>
        <w:autoSpaceDE w:val="0"/>
        <w:autoSpaceDN w:val="0"/>
        <w:adjustRightInd w:val="0"/>
        <w:spacing w:after="0" w:line="240" w:lineRule="auto"/>
        <w:jc w:val="both"/>
        <w:rPr>
          <w:rFonts w:cs="Arial"/>
        </w:rPr>
      </w:pPr>
      <w:r>
        <w:rPr>
          <w:rFonts w:cs="Arial"/>
        </w:rPr>
        <w:t>Golding, T., and Rossade, K., (2022). Making Microcredentials Count. In: Innovating Higher Education Conference 2022, 19-21 Oct 2022, Athens.</w:t>
      </w:r>
    </w:p>
    <w:p w14:paraId="4162ECC7">
      <w:pPr>
        <w:autoSpaceDE w:val="0"/>
        <w:autoSpaceDN w:val="0"/>
        <w:adjustRightInd w:val="0"/>
        <w:spacing w:after="0" w:line="240" w:lineRule="auto"/>
        <w:jc w:val="both"/>
        <w:rPr>
          <w:rFonts w:cs="Arial"/>
          <w:color w:val="131413"/>
        </w:rPr>
      </w:pPr>
    </w:p>
    <w:p w14:paraId="0B225E3F">
      <w:pPr>
        <w:autoSpaceDE w:val="0"/>
        <w:autoSpaceDN w:val="0"/>
        <w:adjustRightInd w:val="0"/>
        <w:spacing w:after="0" w:line="240" w:lineRule="auto"/>
        <w:jc w:val="both"/>
        <w:rPr>
          <w:rFonts w:cs="Arial"/>
          <w:color w:val="131413"/>
        </w:rPr>
      </w:pPr>
      <w:r>
        <w:rPr>
          <w:rFonts w:cs="Arial"/>
          <w:color w:val="131413"/>
        </w:rPr>
        <w:t xml:space="preserve">Grugulis, I., &amp; Vincent, S. (2009). Whose Skill is it Anyway?: ‘Soft’ Skills and Polarization. Work, Employment and Society, 23(4), 597–615. Available @: </w:t>
      </w:r>
      <w:r>
        <w:fldChar w:fldCharType="begin"/>
      </w:r>
      <w:r>
        <w:instrText xml:space="preserve"> HYPERLINK "https://doi.org/10.1177/0950017009344862" </w:instrText>
      </w:r>
      <w:r>
        <w:fldChar w:fldCharType="separate"/>
      </w:r>
      <w:r>
        <w:rPr>
          <w:rStyle w:val="15"/>
          <w:rFonts w:cs="Arial"/>
        </w:rPr>
        <w:t>https://doi.org/10.1177/0950017009344862</w:t>
      </w:r>
      <w:r>
        <w:rPr>
          <w:rStyle w:val="15"/>
          <w:rFonts w:cs="Arial"/>
        </w:rPr>
        <w:fldChar w:fldCharType="end"/>
      </w:r>
      <w:r>
        <w:rPr>
          <w:rFonts w:cs="Arial"/>
          <w:color w:val="131413"/>
        </w:rPr>
        <w:t>, (Accessed on 20/08/2025).</w:t>
      </w:r>
    </w:p>
    <w:p w14:paraId="40864318">
      <w:pPr>
        <w:autoSpaceDE w:val="0"/>
        <w:autoSpaceDN w:val="0"/>
        <w:adjustRightInd w:val="0"/>
        <w:spacing w:after="0" w:line="240" w:lineRule="auto"/>
        <w:jc w:val="both"/>
        <w:rPr>
          <w:rFonts w:cs="Arial"/>
          <w:color w:val="131413"/>
        </w:rPr>
      </w:pPr>
    </w:p>
    <w:p w14:paraId="79C8D000">
      <w:pPr>
        <w:autoSpaceDE w:val="0"/>
        <w:autoSpaceDN w:val="0"/>
        <w:adjustRightInd w:val="0"/>
        <w:spacing w:after="0" w:line="240" w:lineRule="auto"/>
        <w:jc w:val="both"/>
        <w:rPr>
          <w:rFonts w:cs="Arial"/>
          <w:color w:val="131413"/>
        </w:rPr>
      </w:pPr>
      <w:r>
        <w:rPr>
          <w:rFonts w:cs="Arial"/>
          <w:color w:val="131413"/>
        </w:rPr>
        <w:t>Kasriel, S. (2018). The Future of Work Won’t be About College Degrees, It will be About Job Skills. CNBC, 8</w:t>
      </w:r>
    </w:p>
    <w:p w14:paraId="27E07980">
      <w:pPr>
        <w:autoSpaceDE w:val="0"/>
        <w:autoSpaceDN w:val="0"/>
        <w:adjustRightInd w:val="0"/>
        <w:spacing w:after="0" w:line="240" w:lineRule="auto"/>
        <w:jc w:val="both"/>
        <w:rPr>
          <w:rFonts w:cs="Arial"/>
        </w:rPr>
      </w:pPr>
      <w:r>
        <w:rPr>
          <w:rFonts w:cs="Arial"/>
          <w:color w:val="131413"/>
        </w:rPr>
        <w:t xml:space="preserve">November. Available @: </w:t>
      </w:r>
      <w:r>
        <w:rPr>
          <w:rFonts w:cs="Arial"/>
          <w:color w:val="0000FF"/>
        </w:rPr>
        <w:t>https://www.cnbc.com/2018/10/31/the-future-of-work-wont-be-about-degrees-it-will-beabout-skills.html</w:t>
      </w:r>
      <w:r>
        <w:rPr>
          <w:rFonts w:cs="Arial"/>
          <w:color w:val="131413"/>
        </w:rPr>
        <w:t xml:space="preserve"> (Accessed 20/08/2025).</w:t>
      </w:r>
    </w:p>
    <w:p w14:paraId="69A1F3BF">
      <w:pPr>
        <w:autoSpaceDE w:val="0"/>
        <w:autoSpaceDN w:val="0"/>
        <w:adjustRightInd w:val="0"/>
        <w:spacing w:after="0" w:line="240" w:lineRule="auto"/>
        <w:jc w:val="both"/>
        <w:rPr>
          <w:rFonts w:cs="Arial"/>
        </w:rPr>
      </w:pPr>
    </w:p>
    <w:p w14:paraId="0510D4D6">
      <w:pPr>
        <w:autoSpaceDE w:val="0"/>
        <w:autoSpaceDN w:val="0"/>
        <w:adjustRightInd w:val="0"/>
        <w:spacing w:after="0" w:line="240" w:lineRule="auto"/>
        <w:jc w:val="both"/>
        <w:rPr>
          <w:rFonts w:cs="Arial"/>
        </w:rPr>
      </w:pPr>
      <w:r>
        <w:rPr>
          <w:rFonts w:cs="Arial"/>
        </w:rPr>
        <w:t>Kato, S. and Gyorfi, R. (2023), “Micro-credentials for lifelong learning and employability: uses and possibilities”, OECD, Education Policies and Perspectives, No. 66, OECD Publishing, Paris.</w:t>
      </w:r>
    </w:p>
    <w:p w14:paraId="71C1BF2D">
      <w:pPr>
        <w:autoSpaceDE w:val="0"/>
        <w:autoSpaceDN w:val="0"/>
        <w:adjustRightInd w:val="0"/>
        <w:spacing w:after="0" w:line="240" w:lineRule="auto"/>
        <w:jc w:val="both"/>
        <w:rPr>
          <w:rFonts w:cs="Arial"/>
        </w:rPr>
      </w:pPr>
    </w:p>
    <w:p w14:paraId="30D00C59">
      <w:pPr>
        <w:autoSpaceDE w:val="0"/>
        <w:autoSpaceDN w:val="0"/>
        <w:adjustRightInd w:val="0"/>
        <w:spacing w:after="0" w:line="240" w:lineRule="auto"/>
        <w:jc w:val="both"/>
        <w:rPr>
          <w:rFonts w:cs="Arial"/>
        </w:rPr>
      </w:pPr>
      <w:r>
        <w:rPr>
          <w:rFonts w:cs="Arial"/>
        </w:rPr>
        <w:t xml:space="preserve">Kušić, S., Vrcelj, S., and Zovko, A., (2022). Micro-Credentials – Improvement or Fragmentation in Higher Education?, Available @: </w:t>
      </w:r>
      <w:r>
        <w:fldChar w:fldCharType="begin"/>
      </w:r>
      <w:r>
        <w:instrText xml:space="preserve"> HYPERLINK "https://doi.org/10.36315/2022v2end033" </w:instrText>
      </w:r>
      <w:r>
        <w:fldChar w:fldCharType="separate"/>
      </w:r>
      <w:r>
        <w:rPr>
          <w:rStyle w:val="15"/>
          <w:rFonts w:cs="Arial"/>
        </w:rPr>
        <w:t>https://doi.org/10.36315/2022v2end033</w:t>
      </w:r>
      <w:r>
        <w:rPr>
          <w:rStyle w:val="15"/>
          <w:rFonts w:cs="Arial"/>
        </w:rPr>
        <w:fldChar w:fldCharType="end"/>
      </w:r>
      <w:r>
        <w:rPr>
          <w:rFonts w:cs="Arial"/>
        </w:rPr>
        <w:t xml:space="preserve"> , (Accessed 03/09/2025). </w:t>
      </w:r>
    </w:p>
    <w:p w14:paraId="3876747F">
      <w:pPr>
        <w:autoSpaceDE w:val="0"/>
        <w:autoSpaceDN w:val="0"/>
        <w:adjustRightInd w:val="0"/>
        <w:spacing w:after="0" w:line="240" w:lineRule="auto"/>
        <w:jc w:val="both"/>
        <w:rPr>
          <w:color w:val="222222"/>
        </w:rPr>
      </w:pPr>
    </w:p>
    <w:p w14:paraId="335FEE86">
      <w:pPr>
        <w:jc w:val="both"/>
      </w:pPr>
      <w:r>
        <w:t xml:space="preserve">Malaysian Qualification Agency </w:t>
      </w:r>
      <w:bookmarkStart w:id="26" w:name="_Hlk208393043"/>
      <w:r>
        <w:t xml:space="preserve">(MQA). (2019). </w:t>
      </w:r>
      <w:bookmarkEnd w:id="26"/>
      <w:r>
        <w:rPr>
          <w:i/>
          <w:iCs/>
        </w:rPr>
        <w:t>Guideline on Micro-Credential</w:t>
      </w:r>
      <w:r>
        <w:t xml:space="preserve">. https://www2.mqa.gov.my/QAD/garispanduan/Guideline on Micro-credential 10 Mei.pdf., (Accessed 20/08/2025). </w:t>
      </w:r>
    </w:p>
    <w:p w14:paraId="024E61FA">
      <w:pPr>
        <w:autoSpaceDE w:val="0"/>
        <w:autoSpaceDN w:val="0"/>
        <w:adjustRightInd w:val="0"/>
        <w:spacing w:after="0" w:line="240" w:lineRule="auto"/>
        <w:jc w:val="both"/>
        <w:rPr>
          <w:color w:val="222222"/>
        </w:rPr>
      </w:pPr>
      <w:r>
        <w:rPr>
          <w:color w:val="222222"/>
        </w:rPr>
        <w:t xml:space="preserve">Mazhar, S.A., Anjum, R., Anwar, A.I. and Khan, A.A., 2021. Methods of data collection: A fundamental tool of research. </w:t>
      </w:r>
      <w:r>
        <w:rPr>
          <w:i/>
          <w:color w:val="222222"/>
        </w:rPr>
        <w:t>Journal of Integrated Community Health</w:t>
      </w:r>
      <w:r>
        <w:rPr>
          <w:color w:val="222222"/>
        </w:rPr>
        <w:t xml:space="preserve">, </w:t>
      </w:r>
      <w:r>
        <w:rPr>
          <w:i/>
          <w:color w:val="222222"/>
        </w:rPr>
        <w:t>10</w:t>
      </w:r>
      <w:r>
        <w:rPr>
          <w:color w:val="222222"/>
        </w:rPr>
        <w:t>(1), pp.6-10.</w:t>
      </w:r>
    </w:p>
    <w:p w14:paraId="14115863">
      <w:pPr>
        <w:spacing w:after="0" w:line="240" w:lineRule="auto"/>
        <w:jc w:val="both"/>
        <w:rPr>
          <w:rFonts w:cs="Arial"/>
        </w:rPr>
      </w:pPr>
    </w:p>
    <w:p w14:paraId="78789A04">
      <w:pPr>
        <w:spacing w:after="0" w:line="240" w:lineRule="auto"/>
        <w:jc w:val="both"/>
        <w:rPr>
          <w:rFonts w:cs="Arial"/>
        </w:rPr>
      </w:pPr>
      <w:r>
        <w:rPr>
          <w:rFonts w:cs="Arial"/>
        </w:rPr>
        <w:t xml:space="preserve">McGreal, R., Mackintosh, W., Cox, G., and Olcott, D., (2022). Bridging the Gap: Micro-Credentials for Development: UNESCO Chairs Policy Brief Form-Under the III World Higher education Conference (WHEC 2021) Type: Collective X, International Review of Research in Open and Distributed Learning, Vol., 23 (3), 288 -302, </w:t>
      </w:r>
      <w:r>
        <w:fldChar w:fldCharType="begin"/>
      </w:r>
      <w:r>
        <w:instrText xml:space="preserve"> HYPERLINK "https://doi.org/10.19173/irrodl.v23i3.6696" </w:instrText>
      </w:r>
      <w:r>
        <w:fldChar w:fldCharType="separate"/>
      </w:r>
      <w:r>
        <w:rPr>
          <w:rStyle w:val="15"/>
          <w:rFonts w:cs="Arial"/>
        </w:rPr>
        <w:t>https://doi.org/10.19173/irrodl.v23i3.6696</w:t>
      </w:r>
      <w:r>
        <w:rPr>
          <w:rStyle w:val="15"/>
          <w:rFonts w:cs="Arial"/>
        </w:rPr>
        <w:fldChar w:fldCharType="end"/>
      </w:r>
      <w:r>
        <w:rPr>
          <w:rFonts w:cs="Arial"/>
        </w:rPr>
        <w:t>, (Accessed on 25/08/2025).</w:t>
      </w:r>
    </w:p>
    <w:p w14:paraId="45B98A4F">
      <w:pPr>
        <w:spacing w:after="0" w:line="240" w:lineRule="auto"/>
        <w:jc w:val="both"/>
        <w:rPr>
          <w:rFonts w:cs="Arial"/>
        </w:rPr>
      </w:pPr>
    </w:p>
    <w:p w14:paraId="79FBC01A">
      <w:pPr>
        <w:spacing w:after="0" w:line="240" w:lineRule="auto"/>
        <w:jc w:val="both"/>
        <w:rPr>
          <w:rFonts w:cs="Arial"/>
        </w:rPr>
      </w:pPr>
      <w:r>
        <w:rPr>
          <w:rFonts w:cs="Arial"/>
        </w:rPr>
        <w:t>McGreal, R., and Olcott, D. Jr. (2022). A Strategic Reset: Micro-Credentials for Higher Education Leaders, Smart Learning Environments, Vol. 9 (9) available @:  </w:t>
      </w:r>
      <w:r>
        <w:fldChar w:fldCharType="begin"/>
      </w:r>
      <w:r>
        <w:instrText xml:space="preserve"> HYPERLINK "https://doi.org/10.1186/s40561-022-00190-1" </w:instrText>
      </w:r>
      <w:r>
        <w:fldChar w:fldCharType="separate"/>
      </w:r>
      <w:r>
        <w:rPr>
          <w:rStyle w:val="15"/>
          <w:rFonts w:cs="Arial"/>
        </w:rPr>
        <w:t>https://doi.org/10.1186/s40561-022-00190-1</w:t>
      </w:r>
      <w:r>
        <w:rPr>
          <w:rStyle w:val="15"/>
          <w:rFonts w:cs="Arial"/>
        </w:rPr>
        <w:fldChar w:fldCharType="end"/>
      </w:r>
      <w:r>
        <w:rPr>
          <w:rFonts w:cs="Arial"/>
        </w:rPr>
        <w:t>, (Accessed on 15/08/2025).</w:t>
      </w:r>
    </w:p>
    <w:p w14:paraId="4A05A99E">
      <w:pPr>
        <w:spacing w:after="0" w:line="240" w:lineRule="auto"/>
        <w:jc w:val="both"/>
        <w:rPr>
          <w:rFonts w:cs="Arial"/>
        </w:rPr>
      </w:pPr>
    </w:p>
    <w:p w14:paraId="5648FC1F">
      <w:pPr>
        <w:jc w:val="both"/>
      </w:pPr>
      <w:r>
        <w:t xml:space="preserve">MicroHE (2019). Challenges and Opportunities of Micro-Credentials in Europe. </w:t>
      </w:r>
      <w:r>
        <w:fldChar w:fldCharType="begin"/>
      </w:r>
      <w:r>
        <w:instrText xml:space="preserve"> HYPERLINK "https://microcredentials.eu/wp-content/uploads/sites/20/2019/12/WP3-Interviews-with-Key-Stakeholders-Decision-Makers-Overall-Summary-Report.pdf" </w:instrText>
      </w:r>
      <w:r>
        <w:fldChar w:fldCharType="separate"/>
      </w:r>
      <w:r>
        <w:rPr>
          <w:rStyle w:val="15"/>
        </w:rPr>
        <w:t>https://microcredentials.eu/wp-content/uploads/sites/20/2019/12/WP3-Interviews-with-Key-Stakeholders-Decision-Makers-Overall-Summary-Report.pdf</w:t>
      </w:r>
      <w:r>
        <w:rPr>
          <w:rStyle w:val="15"/>
        </w:rPr>
        <w:fldChar w:fldCharType="end"/>
      </w:r>
      <w:r>
        <w:t>. (Accessed 26/08/2025).</w:t>
      </w:r>
    </w:p>
    <w:p w14:paraId="48FD166A">
      <w:pPr>
        <w:spacing w:after="0" w:line="240" w:lineRule="auto"/>
        <w:jc w:val="both"/>
        <w:rPr>
          <w:rFonts w:cs="Arial"/>
        </w:rPr>
      </w:pPr>
      <w:r>
        <w:rPr>
          <w:rFonts w:cs="Arial"/>
        </w:rPr>
        <w:t>Milian, R. P. (2021). “Back to Basics? Facilitating the Recognition of Micro-Credentials in Ontario PSEs.” Journal of Innovation in Polytechnic Education 3 (1): 37–46.</w:t>
      </w:r>
    </w:p>
    <w:p w14:paraId="3051C297">
      <w:pPr>
        <w:spacing w:after="0" w:line="240" w:lineRule="auto"/>
        <w:jc w:val="both"/>
        <w:rPr>
          <w:rFonts w:cs="Arial"/>
        </w:rPr>
      </w:pPr>
    </w:p>
    <w:p w14:paraId="4BA2EBC7">
      <w:pPr>
        <w:spacing w:after="0" w:line="240" w:lineRule="auto"/>
        <w:jc w:val="both"/>
        <w:rPr>
          <w:rFonts w:cs="Arial"/>
        </w:rPr>
      </w:pPr>
      <w:r>
        <w:rPr>
          <w:rFonts w:cs="Arial"/>
        </w:rPr>
        <w:t xml:space="preserve">New Zealand Qualifications Authority (2020), “Guidelines for applying for approval of a training scheme or a micro-credential”, available at: </w:t>
      </w:r>
      <w:r>
        <w:fldChar w:fldCharType="begin"/>
      </w:r>
      <w:r>
        <w:instrText xml:space="preserve"> HYPERLINK "https://www.nzqa.govt.nz/asset" </w:instrText>
      </w:r>
      <w:r>
        <w:fldChar w:fldCharType="separate"/>
      </w:r>
      <w:r>
        <w:rPr>
          <w:rStyle w:val="15"/>
          <w:rFonts w:cs="Arial"/>
        </w:rPr>
        <w:t>https://www.nzqa.govt.nz/asset</w:t>
      </w:r>
      <w:r>
        <w:rPr>
          <w:rStyle w:val="15"/>
          <w:rFonts w:cs="Arial"/>
        </w:rPr>
        <w:fldChar w:fldCharType="end"/>
      </w:r>
      <w:r>
        <w:rPr>
          <w:rFonts w:cs="Arial"/>
        </w:rPr>
        <w:t xml:space="preserve"> , (Accessed 29/08/2025).</w:t>
      </w:r>
    </w:p>
    <w:p w14:paraId="443C11BA">
      <w:pPr>
        <w:spacing w:after="0" w:line="240" w:lineRule="auto"/>
        <w:jc w:val="both"/>
        <w:rPr>
          <w:rFonts w:cs="Arial"/>
        </w:rPr>
      </w:pPr>
    </w:p>
    <w:p w14:paraId="4F80DDA4">
      <w:pPr>
        <w:spacing w:after="0" w:line="240" w:lineRule="auto"/>
        <w:jc w:val="both"/>
        <w:rPr>
          <w:rFonts w:cs="Arial"/>
        </w:rPr>
      </w:pPr>
      <w:r>
        <w:rPr>
          <w:rFonts w:cs="Arial"/>
        </w:rPr>
        <w:t xml:space="preserve">O’Grady, N., (2019). The European MOOC Consortium (EMC) Launches a Common Micro credential Framework (CMF) to Create Portable Credentials for Lifelong Learners, available @: </w:t>
      </w:r>
      <w:r>
        <w:fldChar w:fldCharType="begin"/>
      </w:r>
      <w:r>
        <w:instrText xml:space="preserve"> HYPERLINK "https://www.futurelearn.com/info/press-release/the-european-mooc-consortium-emc-launches-a-common-microcred" </w:instrText>
      </w:r>
      <w:r>
        <w:fldChar w:fldCharType="separate"/>
      </w:r>
      <w:r>
        <w:rPr>
          <w:rStyle w:val="15"/>
          <w:rFonts w:cs="Arial"/>
        </w:rPr>
        <w:t>https://www.futurelearn.com/info/press-release/the-european-mooc-consortium-emc-launches-a-common-microcred</w:t>
      </w:r>
      <w:r>
        <w:rPr>
          <w:rStyle w:val="15"/>
          <w:rFonts w:cs="Arial"/>
        </w:rPr>
        <w:fldChar w:fldCharType="end"/>
      </w:r>
      <w:r>
        <w:rPr>
          <w:rFonts w:cs="Arial"/>
        </w:rPr>
        <w:t>, (Accessed on 05/09/2025).</w:t>
      </w:r>
    </w:p>
    <w:p w14:paraId="1DC3CAF3">
      <w:pPr>
        <w:spacing w:after="0" w:line="240" w:lineRule="auto"/>
        <w:jc w:val="both"/>
        <w:rPr>
          <w:rFonts w:cs="Arial"/>
        </w:rPr>
      </w:pPr>
    </w:p>
    <w:p w14:paraId="7B4D951B">
      <w:pPr>
        <w:jc w:val="both"/>
      </w:pPr>
      <w:r>
        <w:t>Oliver, B. (2019), Making Micro-credentials Work for Learners, Employers, and Providers, Deakin University, Melbourne, available at: http://dteach.deakin.edu.au/microcredentials.</w:t>
      </w:r>
    </w:p>
    <w:p w14:paraId="6A5E1BED">
      <w:pPr>
        <w:spacing w:after="0" w:line="240" w:lineRule="auto"/>
        <w:jc w:val="both"/>
        <w:rPr>
          <w:rFonts w:cs="Arial"/>
        </w:rPr>
      </w:pPr>
      <w:r>
        <w:rPr>
          <w:rFonts w:cs="Arial"/>
        </w:rPr>
        <w:t xml:space="preserve">Peller-Semmens, C., (2021). Stackable Credentials: A Flexible Pathway to Lifelong Learning, iNSENDi. Available @: </w:t>
      </w:r>
      <w:r>
        <w:fldChar w:fldCharType="begin"/>
      </w:r>
      <w:r>
        <w:instrText xml:space="preserve"> HYPERLINK "https://www.insendi.com/blog/stackable-credentials-a-flexible-pathway-to-lifelong-learning" </w:instrText>
      </w:r>
      <w:r>
        <w:fldChar w:fldCharType="separate"/>
      </w:r>
      <w:r>
        <w:rPr>
          <w:rStyle w:val="15"/>
          <w:rFonts w:cs="Arial"/>
        </w:rPr>
        <w:t>https://www.insendi.com/blog/stackable-credentials-a-flexible-pathway-to-lifelong-learning</w:t>
      </w:r>
      <w:r>
        <w:rPr>
          <w:rStyle w:val="15"/>
          <w:rFonts w:cs="Arial"/>
        </w:rPr>
        <w:fldChar w:fldCharType="end"/>
      </w:r>
      <w:r>
        <w:rPr>
          <w:rFonts w:cs="Arial"/>
        </w:rPr>
        <w:t>, (Accessed on 06/09/2025).</w:t>
      </w:r>
    </w:p>
    <w:p w14:paraId="37623B53">
      <w:pPr>
        <w:spacing w:after="0" w:line="240" w:lineRule="auto"/>
        <w:jc w:val="both"/>
        <w:rPr>
          <w:rFonts w:cs="Arial"/>
        </w:rPr>
      </w:pPr>
    </w:p>
    <w:p w14:paraId="4E8AAC07">
      <w:pPr>
        <w:spacing w:after="0" w:line="240" w:lineRule="auto"/>
        <w:jc w:val="both"/>
        <w:rPr>
          <w:rFonts w:cs="Arial"/>
        </w:rPr>
      </w:pPr>
      <w:r>
        <w:rPr>
          <w:rFonts w:cs="Arial"/>
        </w:rPr>
        <w:t>Pirkkalainen, H., Sood, I., Napoles, C., P., Kukkonen, A., and Camilleri, A., (2022): How Might Micro-Credentials Influence Institutions and Empower Learners in Higher Education? Educational Research, DOI: 10.1080/00131881.2022.2157302</w:t>
      </w:r>
    </w:p>
    <w:p w14:paraId="38F67052">
      <w:pPr>
        <w:autoSpaceDE w:val="0"/>
        <w:autoSpaceDN w:val="0"/>
        <w:adjustRightInd w:val="0"/>
        <w:spacing w:after="0" w:line="240" w:lineRule="auto"/>
        <w:jc w:val="both"/>
        <w:rPr>
          <w:rFonts w:cs="Arial"/>
          <w:color w:val="131413"/>
        </w:rPr>
      </w:pPr>
    </w:p>
    <w:p w14:paraId="613FC338">
      <w:pPr>
        <w:autoSpaceDE w:val="0"/>
        <w:autoSpaceDN w:val="0"/>
        <w:adjustRightInd w:val="0"/>
        <w:spacing w:after="0" w:line="240" w:lineRule="auto"/>
        <w:jc w:val="both"/>
        <w:rPr>
          <w:rFonts w:cs="Arial"/>
          <w:color w:val="131413"/>
        </w:rPr>
      </w:pPr>
      <w:r>
        <w:rPr>
          <w:rFonts w:cs="Arial"/>
          <w:color w:val="131413"/>
        </w:rPr>
        <w:t xml:space="preserve">Redden, E. (2020). 41% of Recent Grads Work in Jobs not Requiring a Degree. Inside Higher Education, 18 February. Available @: </w:t>
      </w:r>
      <w:r>
        <w:fldChar w:fldCharType="begin"/>
      </w:r>
      <w:r>
        <w:instrText xml:space="preserve"> HYPERLINK "https://www.insidehighered.com/quicktakes/2020/02/18/41-recent-grads-work-jobs-notrequiring-degree" </w:instrText>
      </w:r>
      <w:r>
        <w:fldChar w:fldCharType="separate"/>
      </w:r>
      <w:r>
        <w:rPr>
          <w:rStyle w:val="15"/>
          <w:rFonts w:cs="Arial"/>
        </w:rPr>
        <w:t>https://www.insidehighered.com/quicktakes/2020/02/18/41-recent-grads-work-jobs-notrequiring-degree</w:t>
      </w:r>
      <w:r>
        <w:rPr>
          <w:rStyle w:val="15"/>
          <w:rFonts w:cs="Arial"/>
        </w:rPr>
        <w:fldChar w:fldCharType="end"/>
      </w:r>
      <w:r>
        <w:rPr>
          <w:rFonts w:cs="Arial"/>
          <w:color w:val="131413"/>
        </w:rPr>
        <w:t xml:space="preserve"> (Accessed 19/08/2025). </w:t>
      </w:r>
    </w:p>
    <w:p w14:paraId="6631157B">
      <w:pPr>
        <w:autoSpaceDE w:val="0"/>
        <w:autoSpaceDN w:val="0"/>
        <w:adjustRightInd w:val="0"/>
        <w:spacing w:after="0" w:line="240" w:lineRule="auto"/>
        <w:jc w:val="both"/>
        <w:rPr>
          <w:color w:val="000000"/>
          <w:highlight w:val="white"/>
        </w:rPr>
      </w:pPr>
    </w:p>
    <w:p w14:paraId="0411FD3C">
      <w:pPr>
        <w:autoSpaceDE w:val="0"/>
        <w:autoSpaceDN w:val="0"/>
        <w:adjustRightInd w:val="0"/>
        <w:spacing w:after="0" w:line="240" w:lineRule="auto"/>
        <w:jc w:val="both"/>
        <w:rPr>
          <w:color w:val="000000"/>
          <w:highlight w:val="white"/>
        </w:rPr>
      </w:pPr>
    </w:p>
    <w:p w14:paraId="412C8957">
      <w:pPr>
        <w:jc w:val="both"/>
      </w:pPr>
      <w:r>
        <w:t xml:space="preserve">Sankey, M.D. and Selvaratnam, R.M. (2021), “An integrative literature review of the implementation of microcredentials in higher education: implications for practice in Australasia”, </w:t>
      </w:r>
      <w:r>
        <w:rPr>
          <w:i/>
          <w:iCs/>
        </w:rPr>
        <w:t>The Journal of Teaching and Learning for Graduate Employability</w:t>
      </w:r>
      <w:r>
        <w:t>, Vol. 12, pp. 1-17, doi: 10.21153/jtlge2021vol12no1art942.</w:t>
      </w:r>
    </w:p>
    <w:p w14:paraId="649D9E54">
      <w:pPr>
        <w:autoSpaceDE w:val="0"/>
        <w:autoSpaceDN w:val="0"/>
        <w:adjustRightInd w:val="0"/>
        <w:spacing w:after="0" w:line="240" w:lineRule="auto"/>
        <w:jc w:val="both"/>
        <w:rPr>
          <w:color w:val="000000"/>
          <w:highlight w:val="white"/>
        </w:rPr>
      </w:pPr>
      <w:r>
        <w:rPr>
          <w:color w:val="000000"/>
          <w:highlight w:val="white"/>
        </w:rPr>
        <w:t xml:space="preserve">Sapkota, M. (2019). Research Philosophy in Development Studies: An Inquiry from Qualitative Design. 1. 137-150. 10.3126/rnjds.v2i1.25278. </w:t>
      </w:r>
    </w:p>
    <w:p w14:paraId="0DCFE08C">
      <w:pPr>
        <w:pStyle w:val="16"/>
        <w:spacing w:before="0" w:beforeAutospacing="0" w:after="0" w:afterAutospacing="0"/>
        <w:jc w:val="both"/>
        <w:rPr>
          <w:rFonts w:cs="Arial" w:asciiTheme="minorHAnsi" w:hAnsiTheme="minorHAnsi"/>
          <w:color w:val="000000"/>
          <w:sz w:val="22"/>
          <w:szCs w:val="22"/>
        </w:rPr>
      </w:pPr>
    </w:p>
    <w:p w14:paraId="7AE62124">
      <w:pPr>
        <w:pStyle w:val="16"/>
        <w:spacing w:before="0" w:beforeAutospacing="0" w:after="0" w:afterAutospacing="0"/>
        <w:jc w:val="both"/>
        <w:rPr>
          <w:rFonts w:cs="Arial" w:asciiTheme="minorHAnsi" w:hAnsiTheme="minorHAnsi"/>
          <w:color w:val="000000"/>
          <w:sz w:val="22"/>
          <w:szCs w:val="22"/>
        </w:rPr>
      </w:pPr>
      <w:r>
        <w:rPr>
          <w:rFonts w:cs="Arial" w:asciiTheme="minorHAnsi" w:hAnsiTheme="minorHAnsi"/>
          <w:color w:val="000000"/>
          <w:sz w:val="22"/>
          <w:szCs w:val="22"/>
        </w:rPr>
        <w:t xml:space="preserve">Saunders, M., Lewis, P. and Thornhill, A. (2019) </w:t>
      </w:r>
      <w:r>
        <w:rPr>
          <w:rFonts w:cs="Arial" w:asciiTheme="minorHAnsi" w:hAnsiTheme="minorHAnsi"/>
          <w:i/>
          <w:iCs/>
          <w:color w:val="000000"/>
          <w:sz w:val="22"/>
          <w:szCs w:val="22"/>
        </w:rPr>
        <w:t xml:space="preserve">Research Methods for Business Students. </w:t>
      </w:r>
      <w:r>
        <w:rPr>
          <w:rFonts w:cs="Arial" w:asciiTheme="minorHAnsi" w:hAnsiTheme="minorHAnsi"/>
          <w:color w:val="000000"/>
          <w:sz w:val="22"/>
          <w:szCs w:val="22"/>
        </w:rPr>
        <w:t>8th ed. Harlow, England: Pearson.</w:t>
      </w:r>
    </w:p>
    <w:p w14:paraId="69924A73">
      <w:pPr>
        <w:pStyle w:val="16"/>
        <w:spacing w:before="0" w:beforeAutospacing="0" w:after="0" w:afterAutospacing="0"/>
        <w:jc w:val="both"/>
        <w:rPr>
          <w:rFonts w:cs="Arial" w:asciiTheme="minorHAnsi" w:hAnsiTheme="minorHAnsi"/>
          <w:color w:val="000000"/>
          <w:sz w:val="22"/>
          <w:szCs w:val="22"/>
        </w:rPr>
      </w:pPr>
    </w:p>
    <w:p w14:paraId="2C3F1F08">
      <w:pPr>
        <w:pStyle w:val="16"/>
        <w:spacing w:before="0" w:beforeAutospacing="0" w:after="0" w:afterAutospacing="0"/>
        <w:jc w:val="both"/>
        <w:rPr>
          <w:rFonts w:cs="Arial" w:asciiTheme="minorHAnsi" w:hAnsiTheme="minorHAnsi"/>
          <w:color w:val="000000"/>
          <w:sz w:val="22"/>
          <w:szCs w:val="22"/>
        </w:rPr>
      </w:pPr>
      <w:r>
        <w:rPr>
          <w:rFonts w:cs="Arial" w:asciiTheme="minorHAnsi" w:hAnsiTheme="minorHAnsi"/>
          <w:color w:val="000000"/>
          <w:sz w:val="22"/>
          <w:szCs w:val="22"/>
        </w:rPr>
        <w:t xml:space="preserve">Sekaran, U. and Bougie, R. (2016) </w:t>
      </w:r>
      <w:r>
        <w:rPr>
          <w:rFonts w:cs="Arial" w:asciiTheme="minorHAnsi" w:hAnsiTheme="minorHAnsi"/>
          <w:i/>
          <w:iCs/>
          <w:color w:val="000000"/>
          <w:sz w:val="22"/>
          <w:szCs w:val="22"/>
        </w:rPr>
        <w:t xml:space="preserve">Research Methods for Business: A Skill Building Approach. </w:t>
      </w:r>
      <w:r>
        <w:rPr>
          <w:rFonts w:cs="Arial" w:asciiTheme="minorHAnsi" w:hAnsiTheme="minorHAnsi"/>
          <w:color w:val="000000"/>
          <w:sz w:val="22"/>
          <w:szCs w:val="22"/>
        </w:rPr>
        <w:t>John Wiley &amp; Sons.</w:t>
      </w:r>
    </w:p>
    <w:p w14:paraId="0C96360C">
      <w:pPr>
        <w:pStyle w:val="16"/>
        <w:spacing w:before="0" w:beforeAutospacing="0" w:after="0" w:afterAutospacing="0"/>
        <w:jc w:val="both"/>
        <w:rPr>
          <w:rFonts w:cs="Arial" w:asciiTheme="minorHAnsi" w:hAnsiTheme="minorHAnsi"/>
          <w:color w:val="131413"/>
          <w:sz w:val="22"/>
          <w:szCs w:val="22"/>
        </w:rPr>
      </w:pPr>
    </w:p>
    <w:p w14:paraId="79A4306A">
      <w:pPr>
        <w:pStyle w:val="16"/>
        <w:spacing w:before="0" w:beforeAutospacing="0" w:after="0" w:afterAutospacing="0"/>
        <w:jc w:val="both"/>
        <w:rPr>
          <w:rFonts w:cs="Arial" w:asciiTheme="minorHAnsi" w:hAnsiTheme="minorHAnsi"/>
          <w:color w:val="131413"/>
          <w:sz w:val="22"/>
          <w:szCs w:val="22"/>
        </w:rPr>
      </w:pPr>
      <w:r>
        <w:rPr>
          <w:rFonts w:cs="Arial" w:asciiTheme="minorHAnsi" w:hAnsiTheme="minorHAnsi"/>
          <w:color w:val="131413"/>
          <w:sz w:val="22"/>
          <w:szCs w:val="22"/>
        </w:rPr>
        <w:t xml:space="preserve">Selingo, J., J., (2017). The Future of the Degree: How Colleges Can Survive the New Credential Economy. </w:t>
      </w:r>
    </w:p>
    <w:p w14:paraId="2AE24C58">
      <w:pPr>
        <w:pStyle w:val="16"/>
        <w:spacing w:before="0" w:beforeAutospacing="0" w:after="0" w:afterAutospacing="0"/>
        <w:jc w:val="both"/>
        <w:rPr>
          <w:rFonts w:cs="Arial" w:asciiTheme="minorHAnsi" w:hAnsiTheme="minorHAnsi"/>
          <w:color w:val="131413"/>
          <w:sz w:val="22"/>
          <w:szCs w:val="22"/>
        </w:rPr>
      </w:pPr>
    </w:p>
    <w:p w14:paraId="46978CEE">
      <w:pPr>
        <w:jc w:val="both"/>
      </w:pPr>
      <w:r>
        <w:t>Shanahan, B., W., and Organ, J., (2022). Harnessing the Benefits of Micro Credentials for Industry 4.0 and 5.0: Skills Training and Lifelong Learning, IFAC Papers Online, 55-39 (2022) 82–87</w:t>
      </w:r>
    </w:p>
    <w:p w14:paraId="3F0672CF">
      <w:pPr>
        <w:pStyle w:val="16"/>
        <w:spacing w:before="0" w:beforeAutospacing="0" w:after="0" w:afterAutospacing="0"/>
        <w:jc w:val="both"/>
        <w:rPr>
          <w:rFonts w:cs="Arial" w:asciiTheme="minorHAnsi" w:hAnsiTheme="minorHAnsi"/>
          <w:color w:val="131413"/>
          <w:sz w:val="22"/>
          <w:szCs w:val="22"/>
        </w:rPr>
      </w:pPr>
      <w:r>
        <w:rPr>
          <w:rFonts w:cs="Arial" w:asciiTheme="minorHAnsi" w:hAnsiTheme="minorHAnsi"/>
          <w:color w:val="131413"/>
          <w:sz w:val="22"/>
          <w:szCs w:val="22"/>
        </w:rPr>
        <w:t xml:space="preserve">The Chronicle of Higher Education, August. Available @: </w:t>
      </w:r>
      <w:r>
        <w:rPr>
          <w:rFonts w:cs="Arial" w:asciiTheme="minorHAnsi" w:hAnsiTheme="minorHAnsi"/>
          <w:color w:val="0000FF"/>
          <w:sz w:val="22"/>
          <w:szCs w:val="22"/>
        </w:rPr>
        <w:t>https://www.pearson.com/content/dam/one-dot-com/one-dotcom/us/en/files/The-Future-Of-the-Degree-2017.pdf</w:t>
      </w:r>
      <w:r>
        <w:rPr>
          <w:rFonts w:cs="Arial" w:asciiTheme="minorHAnsi" w:hAnsiTheme="minorHAnsi"/>
          <w:color w:val="131413"/>
          <w:sz w:val="22"/>
          <w:szCs w:val="22"/>
        </w:rPr>
        <w:t xml:space="preserve"> (Accessed 19/08/2025).</w:t>
      </w:r>
    </w:p>
    <w:p w14:paraId="756F3BB3">
      <w:pPr>
        <w:spacing w:after="0" w:line="240" w:lineRule="auto"/>
        <w:rPr>
          <w:rFonts w:cs="Arial"/>
        </w:rPr>
      </w:pPr>
    </w:p>
    <w:p w14:paraId="47522D53">
      <w:pPr>
        <w:spacing w:after="0" w:line="240" w:lineRule="auto"/>
        <w:rPr>
          <w:rFonts w:cs="Arial"/>
        </w:rPr>
      </w:pPr>
      <w:r>
        <w:rPr>
          <w:rFonts w:cs="Arial"/>
        </w:rPr>
        <w:t>Sharma, H., Jain, V., Mogaji, E., Babbilid, A.S. (2024), Blended Learning and Augmented Employability: A Multi-Stakeholder Perspective of the Micro-Credentialing Ecosystem in Higher Education, International Journal of Educational Management, 38(4), 1021-1044.</w:t>
      </w:r>
    </w:p>
    <w:p w14:paraId="36A1A730">
      <w:pPr>
        <w:autoSpaceDE w:val="0"/>
        <w:autoSpaceDN w:val="0"/>
        <w:adjustRightInd w:val="0"/>
        <w:spacing w:after="0" w:line="240" w:lineRule="auto"/>
        <w:jc w:val="both"/>
        <w:rPr>
          <w:rFonts w:cs="Arial"/>
        </w:rPr>
      </w:pPr>
    </w:p>
    <w:p w14:paraId="7297B4B3">
      <w:pPr>
        <w:autoSpaceDE w:val="0"/>
        <w:autoSpaceDN w:val="0"/>
        <w:adjustRightInd w:val="0"/>
        <w:spacing w:after="0" w:line="240" w:lineRule="auto"/>
        <w:jc w:val="both"/>
        <w:rPr>
          <w:rFonts w:cs="Arial"/>
        </w:rPr>
      </w:pPr>
      <w:r>
        <w:rPr>
          <w:rFonts w:cs="Arial"/>
        </w:rPr>
        <w:t>Sokhanvar, Z., Salehi, K. &amp; Sokhanvar, F. (2021). Advantages of Authentic Assessment for Improving the Learning Experience and Employability Skills of Higher Education Students: A Systematic Literature</w:t>
      </w:r>
    </w:p>
    <w:p w14:paraId="40FC362E">
      <w:pPr>
        <w:autoSpaceDE w:val="0"/>
        <w:autoSpaceDN w:val="0"/>
        <w:adjustRightInd w:val="0"/>
        <w:spacing w:after="0" w:line="240" w:lineRule="auto"/>
        <w:jc w:val="both"/>
        <w:rPr>
          <w:rFonts w:cs="Arial"/>
        </w:rPr>
      </w:pPr>
      <w:r>
        <w:rPr>
          <w:rFonts w:cs="Arial"/>
        </w:rPr>
        <w:t xml:space="preserve">Review. </w:t>
      </w:r>
      <w:r>
        <w:rPr>
          <w:rFonts w:eastAsia="TimesNewRoman,Italic" w:cs="Arial"/>
          <w:i/>
          <w:iCs/>
        </w:rPr>
        <w:t xml:space="preserve">Studies in Educational Evaluation, 70, 2021, Available @: </w:t>
      </w:r>
      <w:r>
        <w:fldChar w:fldCharType="begin"/>
      </w:r>
      <w:r>
        <w:instrText xml:space="preserve"> HYPERLINK "https://doi.org/10.1016/j.stueduc.2021.101030" </w:instrText>
      </w:r>
      <w:r>
        <w:fldChar w:fldCharType="separate"/>
      </w:r>
      <w:r>
        <w:rPr>
          <w:rStyle w:val="15"/>
          <w:rFonts w:cs="Arial"/>
        </w:rPr>
        <w:t>https://doi.org/10.1016/j.stueduc.2021.101030</w:t>
      </w:r>
      <w:r>
        <w:rPr>
          <w:rStyle w:val="15"/>
          <w:rFonts w:cs="Arial"/>
        </w:rPr>
        <w:fldChar w:fldCharType="end"/>
      </w:r>
      <w:r>
        <w:rPr>
          <w:rFonts w:cs="Arial"/>
        </w:rPr>
        <w:t>, (Accessed on 11/08/2025).</w:t>
      </w:r>
    </w:p>
    <w:p w14:paraId="26B765FE">
      <w:pPr>
        <w:autoSpaceDE w:val="0"/>
        <w:autoSpaceDN w:val="0"/>
        <w:adjustRightInd w:val="0"/>
        <w:spacing w:after="0" w:line="240" w:lineRule="auto"/>
        <w:jc w:val="both"/>
        <w:rPr>
          <w:rFonts w:cs="Arial"/>
          <w:color w:val="000000"/>
        </w:rPr>
      </w:pPr>
    </w:p>
    <w:p w14:paraId="64D08E99">
      <w:pPr>
        <w:autoSpaceDE w:val="0"/>
        <w:autoSpaceDN w:val="0"/>
        <w:adjustRightInd w:val="0"/>
        <w:spacing w:after="0" w:line="240" w:lineRule="auto"/>
        <w:jc w:val="both"/>
        <w:rPr>
          <w:rFonts w:cs="Arial"/>
          <w:color w:val="000000"/>
        </w:rPr>
      </w:pPr>
      <w:r>
        <w:rPr>
          <w:rFonts w:cs="Arial"/>
          <w:color w:val="000000"/>
        </w:rPr>
        <w:t>Templier M., and Paré G. (2015). A Framework for Guiding and Evaluating Literature Reviews. Communications of the Association for Information Systems. 2015;37(6):112–137.</w:t>
      </w:r>
    </w:p>
    <w:p w14:paraId="2FFB6ECE">
      <w:pPr>
        <w:autoSpaceDE w:val="0"/>
        <w:autoSpaceDN w:val="0"/>
        <w:adjustRightInd w:val="0"/>
        <w:spacing w:after="0" w:line="240" w:lineRule="auto"/>
        <w:jc w:val="both"/>
        <w:rPr>
          <w:rFonts w:cs="Arial"/>
          <w:color w:val="000000"/>
        </w:rPr>
      </w:pPr>
    </w:p>
    <w:p w14:paraId="5BD6ABE7">
      <w:pPr>
        <w:autoSpaceDE w:val="0"/>
        <w:autoSpaceDN w:val="0"/>
        <w:adjustRightInd w:val="0"/>
        <w:spacing w:after="0" w:line="240" w:lineRule="auto"/>
        <w:jc w:val="both"/>
        <w:rPr>
          <w:rFonts w:cs="Arial"/>
          <w:color w:val="131413"/>
        </w:rPr>
      </w:pPr>
      <w:r>
        <w:rPr>
          <w:rFonts w:cs="Arial"/>
          <w:color w:val="000000"/>
        </w:rPr>
        <w:t xml:space="preserve">Thomas, G. (2017) </w:t>
      </w:r>
      <w:r>
        <w:rPr>
          <w:rFonts w:cs="Arial"/>
          <w:i/>
          <w:iCs/>
          <w:color w:val="000000"/>
        </w:rPr>
        <w:t xml:space="preserve">How to do your Research Project: A Guide for Students. </w:t>
      </w:r>
      <w:r>
        <w:rPr>
          <w:rFonts w:cs="Arial"/>
          <w:color w:val="000000"/>
        </w:rPr>
        <w:t xml:space="preserve">Sage. </w:t>
      </w:r>
      <w:r>
        <w:rPr>
          <w:rFonts w:cs="Arial"/>
          <w:color w:val="131413"/>
        </w:rPr>
        <w:t xml:space="preserve">Wilhelm, W.J., Logan, J., Smith, S.M., and Szul, L.F. (2002). Meeting the Demand: Teaching ‘Soft’ Skills. Little Rock, AK: Delta Pi Epsilon Society. Available @: </w:t>
      </w:r>
      <w:r>
        <w:fldChar w:fldCharType="begin"/>
      </w:r>
      <w:r>
        <w:instrText xml:space="preserve"> HYPERLINK "https://files.eric.ed.gov/fulltext/ED477252.pdf" </w:instrText>
      </w:r>
      <w:r>
        <w:fldChar w:fldCharType="separate"/>
      </w:r>
      <w:r>
        <w:rPr>
          <w:rStyle w:val="15"/>
          <w:rFonts w:cs="Arial"/>
        </w:rPr>
        <w:t>https://files.eric.ed.gov/fulltext/ED477252.pdf</w:t>
      </w:r>
      <w:r>
        <w:rPr>
          <w:rStyle w:val="15"/>
          <w:rFonts w:cs="Arial"/>
        </w:rPr>
        <w:fldChar w:fldCharType="end"/>
      </w:r>
      <w:r>
        <w:rPr>
          <w:rFonts w:cs="Arial"/>
          <w:color w:val="131413"/>
        </w:rPr>
        <w:t xml:space="preserve"> (Accessed: 19/08/2025).</w:t>
      </w:r>
    </w:p>
    <w:p w14:paraId="558D994E">
      <w:pPr>
        <w:rPr>
          <w:rFonts w:cs="Arial"/>
        </w:rPr>
      </w:pPr>
    </w:p>
    <w:p w14:paraId="343F1DC1">
      <w:pPr>
        <w:rPr>
          <w:rFonts w:cs="Arial"/>
        </w:rPr>
      </w:pPr>
      <w:r>
        <w:rPr>
          <w:rFonts w:cs="Arial"/>
        </w:rPr>
        <w:t xml:space="preserve">Waligo, V., M., Clarke, J., and Hawkins, R., (2013) - Implementing Sustainable Tourism - A Multi-Stakeholder Involvement Management Framework, </w:t>
      </w:r>
      <w:r>
        <w:rPr>
          <w:rFonts w:cs="Arial"/>
          <w:i/>
          <w:iCs/>
        </w:rPr>
        <w:t>Tourism Management</w:t>
      </w:r>
      <w:r>
        <w:rPr>
          <w:rFonts w:cs="Arial"/>
        </w:rPr>
        <w:t>, Vol. 36, 342 – 353</w:t>
      </w:r>
    </w:p>
    <w:p w14:paraId="74653579">
      <w:r>
        <w:t xml:space="preserve">Young, S., Deller, F. and McCallum, K.E. (2021), “Innovation in Post-Secondary Education”, in Public Policy Forum, Ottawa, available at: </w:t>
      </w:r>
      <w:r>
        <w:fldChar w:fldCharType="begin"/>
      </w:r>
      <w:r>
        <w:instrText xml:space="preserve"> HYPERLINK "https://fscccf.ca/research/innovation-in-post-secondary-education" </w:instrText>
      </w:r>
      <w:r>
        <w:fldChar w:fldCharType="separate"/>
      </w:r>
      <w:r>
        <w:rPr>
          <w:rStyle w:val="15"/>
        </w:rPr>
        <w:t>https://fscccf.ca/research/innovation-in-post-secondary-education</w:t>
      </w:r>
      <w:r>
        <w:rPr>
          <w:rStyle w:val="15"/>
        </w:rPr>
        <w:fldChar w:fldCharType="end"/>
      </w:r>
      <w:r>
        <w:t xml:space="preserve"> (Accessed: 25/08/2025)</w:t>
      </w:r>
    </w:p>
    <w:p w14:paraId="69C16448">
      <w:pPr>
        <w:rPr>
          <w:sz w:val="20"/>
          <w:szCs w:val="20"/>
        </w:rPr>
      </w:pPr>
    </w:p>
    <w:p w14:paraId="3B310BC7">
      <w:pPr>
        <w:ind w:left="720"/>
        <w:rPr>
          <w:b/>
          <w:bCs/>
        </w:rPr>
      </w:pPr>
    </w:p>
    <w:p w14:paraId="639DA12A">
      <w:pPr>
        <w:ind w:left="720"/>
        <w:rPr>
          <w:b/>
          <w:bCs/>
        </w:rPr>
      </w:pPr>
    </w:p>
    <w:p w14:paraId="313CBA3A">
      <w:pPr>
        <w:ind w:left="720"/>
        <w:rPr>
          <w:b/>
          <w:bCs/>
        </w:rPr>
      </w:pPr>
    </w:p>
    <w:p w14:paraId="01C1011D">
      <w:pPr>
        <w:ind w:left="720"/>
        <w:rPr>
          <w:b/>
          <w:bCs/>
        </w:rPr>
      </w:pPr>
    </w:p>
    <w:p w14:paraId="6454784B">
      <w:pPr>
        <w:ind w:left="720"/>
        <w:rPr>
          <w:b/>
          <w:bCs/>
        </w:rPr>
      </w:pPr>
    </w:p>
    <w:p w14:paraId="1797CF62">
      <w:pPr>
        <w:ind w:left="720"/>
        <w:rPr>
          <w:b/>
          <w:bCs/>
        </w:rPr>
      </w:pPr>
    </w:p>
    <w:p w14:paraId="35FBAFEE">
      <w:pPr>
        <w:ind w:left="720"/>
        <w:rPr>
          <w:b/>
          <w:bCs/>
        </w:rPr>
      </w:pPr>
    </w:p>
    <w:p w14:paraId="13990253">
      <w:pPr>
        <w:ind w:left="720"/>
        <w:rPr>
          <w:b/>
          <w:bCs/>
          <w:sz w:val="28"/>
          <w:szCs w:val="28"/>
        </w:rPr>
      </w:pPr>
    </w:p>
    <w:p w14:paraId="6FFADADA">
      <w:pPr>
        <w:ind w:left="720"/>
        <w:rPr>
          <w:b/>
          <w:bCs/>
          <w:sz w:val="28"/>
          <w:szCs w:val="28"/>
        </w:rPr>
      </w:pPr>
    </w:p>
    <w:p w14:paraId="05AADFF3">
      <w:pPr>
        <w:ind w:left="720"/>
        <w:rPr>
          <w:b/>
          <w:bCs/>
          <w:sz w:val="28"/>
          <w:szCs w:val="28"/>
        </w:rPr>
      </w:pPr>
    </w:p>
    <w:p w14:paraId="075E1F68">
      <w:pPr>
        <w:ind w:left="720"/>
        <w:rPr>
          <w:b/>
          <w:bCs/>
          <w:sz w:val="28"/>
          <w:szCs w:val="28"/>
        </w:rPr>
      </w:pPr>
    </w:p>
    <w:p w14:paraId="40E7A01D">
      <w:pPr>
        <w:ind w:left="720"/>
        <w:rPr>
          <w:b/>
          <w:bCs/>
          <w:sz w:val="28"/>
          <w:szCs w:val="28"/>
        </w:rPr>
      </w:pPr>
    </w:p>
    <w:p w14:paraId="10F64F61">
      <w:pPr>
        <w:ind w:left="720"/>
        <w:rPr>
          <w:b/>
          <w:bCs/>
          <w:sz w:val="28"/>
          <w:szCs w:val="28"/>
        </w:rPr>
      </w:pPr>
    </w:p>
    <w:p w14:paraId="545003B8">
      <w:pPr>
        <w:ind w:left="720"/>
        <w:rPr>
          <w:b/>
          <w:bCs/>
          <w:sz w:val="28"/>
          <w:szCs w:val="28"/>
        </w:rPr>
      </w:pPr>
    </w:p>
    <w:p w14:paraId="1CAB8EA0">
      <w:pPr>
        <w:ind w:left="720"/>
        <w:rPr>
          <w:b/>
          <w:bCs/>
          <w:sz w:val="28"/>
          <w:szCs w:val="28"/>
        </w:rPr>
      </w:pPr>
    </w:p>
    <w:p w14:paraId="7C8B4F5C">
      <w:pPr>
        <w:ind w:left="720"/>
        <w:rPr>
          <w:b/>
          <w:bCs/>
          <w:sz w:val="28"/>
          <w:szCs w:val="28"/>
        </w:rPr>
      </w:pPr>
    </w:p>
    <w:p w14:paraId="07708851">
      <w:pPr>
        <w:ind w:left="720"/>
        <w:rPr>
          <w:b/>
          <w:bCs/>
          <w:sz w:val="28"/>
          <w:szCs w:val="28"/>
        </w:rPr>
      </w:pPr>
    </w:p>
    <w:p w14:paraId="032A43B3">
      <w:pPr>
        <w:ind w:left="720"/>
        <w:rPr>
          <w:b/>
          <w:bCs/>
          <w:sz w:val="28"/>
          <w:szCs w:val="28"/>
        </w:rPr>
      </w:pPr>
    </w:p>
    <w:p w14:paraId="0773ED51">
      <w:pPr>
        <w:pStyle w:val="2"/>
      </w:pPr>
      <w:bookmarkStart w:id="27" w:name="_Toc208438514"/>
    </w:p>
    <w:p w14:paraId="0563F441">
      <w:pPr>
        <w:pStyle w:val="2"/>
      </w:pPr>
      <w:r>
        <w:t>Appendix A</w:t>
      </w:r>
      <w:bookmarkEnd w:id="27"/>
    </w:p>
    <w:p w14:paraId="669E1215">
      <w:pPr>
        <w:spacing w:before="100" w:beforeAutospacing="1" w:after="100" w:afterAutospacing="1" w:line="240" w:lineRule="auto"/>
        <w:outlineLvl w:val="0"/>
        <w:rPr>
          <w:rFonts w:eastAsia="Times New Roman" w:cs="Times New Roman"/>
          <w:b/>
          <w:bCs/>
          <w:kern w:val="36"/>
          <w:sz w:val="32"/>
          <w:szCs w:val="32"/>
        </w:rPr>
      </w:pPr>
      <w:bookmarkStart w:id="28" w:name="_Toc208438515"/>
      <w:r>
        <w:rPr>
          <w:rFonts w:eastAsia="Times New Roman" w:cs="Times New Roman"/>
          <w:b/>
          <w:bCs/>
          <w:kern w:val="36"/>
          <w:sz w:val="32"/>
          <w:szCs w:val="32"/>
        </w:rPr>
        <w:t>Literature Review Method</w:t>
      </w:r>
    </w:p>
    <w:bookmarkEnd w:id="28"/>
    <w:p w14:paraId="59288E37">
      <w:pPr>
        <w:spacing w:before="100" w:beforeAutospacing="1" w:after="100" w:afterAutospacing="1" w:line="240" w:lineRule="auto"/>
        <w:jc w:val="both"/>
        <w:outlineLvl w:val="1"/>
        <w:rPr>
          <w:rFonts w:cs="Arial"/>
          <w:color w:val="000000"/>
          <w:sz w:val="20"/>
          <w:szCs w:val="20"/>
        </w:rPr>
      </w:pPr>
      <w:bookmarkStart w:id="29" w:name="_Toc208438518"/>
      <w:r>
        <w:t xml:space="preserve">For this research proposal, I followed </w:t>
      </w:r>
      <w:r>
        <w:rPr>
          <w:rFonts w:cs="Arial"/>
          <w:color w:val="000000"/>
          <w:sz w:val="20"/>
          <w:szCs w:val="20"/>
        </w:rPr>
        <w:t>Templier and (2015) guidelines of literature review. This has six (6) steps namely:</w:t>
      </w:r>
    </w:p>
    <w:p w14:paraId="03E4BE15">
      <w:pPr>
        <w:numPr>
          <w:ilvl w:val="0"/>
          <w:numId w:val="3"/>
        </w:numPr>
        <w:spacing w:before="100" w:beforeAutospacing="1" w:after="100" w:afterAutospacing="1" w:line="240" w:lineRule="auto"/>
        <w:jc w:val="both"/>
        <w:outlineLvl w:val="1"/>
      </w:pPr>
      <w:r>
        <w:t>Formulating the research question(s) and objective(s),</w:t>
      </w:r>
    </w:p>
    <w:p w14:paraId="795CE6E5">
      <w:pPr>
        <w:numPr>
          <w:ilvl w:val="0"/>
          <w:numId w:val="3"/>
        </w:numPr>
        <w:spacing w:before="100" w:beforeAutospacing="1" w:after="100" w:afterAutospacing="1" w:line="240" w:lineRule="auto"/>
        <w:jc w:val="both"/>
        <w:outlineLvl w:val="1"/>
      </w:pPr>
      <w:r>
        <w:t>Searching the extant literature,</w:t>
      </w:r>
    </w:p>
    <w:p w14:paraId="7C12D307">
      <w:pPr>
        <w:numPr>
          <w:ilvl w:val="0"/>
          <w:numId w:val="3"/>
        </w:numPr>
        <w:spacing w:before="100" w:beforeAutospacing="1" w:after="100" w:afterAutospacing="1" w:line="240" w:lineRule="auto"/>
        <w:jc w:val="both"/>
        <w:outlineLvl w:val="1"/>
      </w:pPr>
      <w:r>
        <w:t>Screening for inclusion,</w:t>
      </w:r>
    </w:p>
    <w:p w14:paraId="7936ACD9">
      <w:pPr>
        <w:numPr>
          <w:ilvl w:val="0"/>
          <w:numId w:val="3"/>
        </w:numPr>
        <w:spacing w:before="100" w:beforeAutospacing="1" w:after="100" w:afterAutospacing="1" w:line="240" w:lineRule="auto"/>
        <w:jc w:val="both"/>
        <w:outlineLvl w:val="1"/>
      </w:pPr>
      <w:r>
        <w:t>Assessing the quality of primary studies,</w:t>
      </w:r>
    </w:p>
    <w:p w14:paraId="41920408">
      <w:pPr>
        <w:numPr>
          <w:ilvl w:val="0"/>
          <w:numId w:val="3"/>
        </w:numPr>
        <w:spacing w:before="100" w:beforeAutospacing="1" w:after="100" w:afterAutospacing="1" w:line="240" w:lineRule="auto"/>
        <w:jc w:val="both"/>
        <w:outlineLvl w:val="1"/>
      </w:pPr>
      <w:r>
        <w:t>Extracting data, and</w:t>
      </w:r>
    </w:p>
    <w:p w14:paraId="19B182D9">
      <w:pPr>
        <w:numPr>
          <w:ilvl w:val="0"/>
          <w:numId w:val="3"/>
        </w:numPr>
        <w:spacing w:before="100" w:beforeAutospacing="1" w:after="100" w:afterAutospacing="1" w:line="240" w:lineRule="auto"/>
        <w:jc w:val="both"/>
        <w:outlineLvl w:val="1"/>
      </w:pPr>
      <w:r>
        <w:t>Analyzing and data synthesis.</w:t>
      </w:r>
    </w:p>
    <w:p w14:paraId="49F56D70">
      <w:pPr>
        <w:spacing w:before="100" w:beforeAutospacing="1" w:after="100" w:afterAutospacing="1" w:line="240" w:lineRule="auto"/>
        <w:jc w:val="both"/>
        <w:outlineLvl w:val="1"/>
        <w:rPr>
          <w:b/>
          <w:bCs/>
        </w:rPr>
      </w:pPr>
      <w:r>
        <w:rPr>
          <w:b/>
          <w:bCs/>
        </w:rPr>
        <w:t>Formulating the Research Aims, Objective(s) and Question(s):</w:t>
      </w:r>
    </w:p>
    <w:p w14:paraId="67743AC6">
      <w:pPr>
        <w:spacing w:before="100" w:beforeAutospacing="1" w:after="100" w:afterAutospacing="1" w:line="240" w:lineRule="auto"/>
        <w:jc w:val="both"/>
        <w:outlineLvl w:val="1"/>
      </w:pPr>
      <w:r>
        <w:t>Here I justified the rationale for the research, and this leads to review and formulation of the research main objectives. This helps to identify, define and understand key concepts, linkages and synthesis of relevant concepts. Under this category (i.e., formulation of research aims, objectives and questions), I was able to develop and articulate the research questions. This constitutes essential component that guides the reviewed literature and formulation of research methodology.</w:t>
      </w:r>
    </w:p>
    <w:p w14:paraId="70FFBD01">
      <w:pPr>
        <w:spacing w:before="100" w:beforeAutospacing="1" w:after="100" w:afterAutospacing="1" w:line="240" w:lineRule="auto"/>
        <w:jc w:val="both"/>
        <w:outlineLvl w:val="1"/>
        <w:rPr>
          <w:b/>
          <w:bCs/>
        </w:rPr>
      </w:pPr>
      <w:r>
        <w:rPr>
          <w:b/>
          <w:bCs/>
        </w:rPr>
        <w:t>Searching the Extant Literature:</w:t>
      </w:r>
    </w:p>
    <w:p w14:paraId="1E02D1F7">
      <w:pPr>
        <w:spacing w:before="100" w:beforeAutospacing="1" w:after="100" w:afterAutospacing="1" w:line="240" w:lineRule="auto"/>
        <w:jc w:val="both"/>
        <w:outlineLvl w:val="1"/>
      </w:pPr>
      <w:r>
        <w:t>This step I followed involves searching the relevant literature and deciding on the suitability of sourced materials as fit for purpose. A detailed search revealed both published, peered-reviewed and unpublished works (working paper, theses, etc.,). I focused more on the use of peered-reviewed journals that reflect thinking in the area of research.</w:t>
      </w:r>
    </w:p>
    <w:p w14:paraId="6D3DBB48">
      <w:r>
        <w:br w:type="page"/>
      </w:r>
    </w:p>
    <w:p w14:paraId="7446AF17">
      <w:pPr>
        <w:spacing w:before="100" w:beforeAutospacing="1" w:after="100" w:afterAutospacing="1" w:line="240" w:lineRule="auto"/>
        <w:jc w:val="both"/>
        <w:outlineLvl w:val="1"/>
      </w:pPr>
    </w:p>
    <w:p w14:paraId="56B801F6">
      <w:pPr>
        <w:spacing w:before="100" w:beforeAutospacing="1" w:after="100" w:afterAutospacing="1" w:line="240" w:lineRule="auto"/>
        <w:jc w:val="both"/>
        <w:outlineLvl w:val="1"/>
        <w:rPr>
          <w:b/>
          <w:bCs/>
        </w:rPr>
      </w:pPr>
      <w:r>
        <w:rPr>
          <w:b/>
          <w:bCs/>
        </w:rPr>
        <w:t>Screening for Inclusion:</w:t>
      </w:r>
    </w:p>
    <w:p w14:paraId="6C3016E7">
      <w:pPr>
        <w:spacing w:before="100" w:beforeAutospacing="1" w:after="100" w:afterAutospacing="1" w:line="240" w:lineRule="auto"/>
        <w:jc w:val="both"/>
        <w:outlineLvl w:val="1"/>
      </w:pPr>
      <w:r>
        <w:t xml:space="preserve">I focused more on the evaluation of the applicability of the sourced materials identified whilst searching the extant literature. The materials are screened for relevance, and I formed rules for including and excluding certain studies.  </w:t>
      </w:r>
    </w:p>
    <w:p w14:paraId="0BEB8246">
      <w:pPr>
        <w:spacing w:before="100" w:beforeAutospacing="1" w:after="100" w:afterAutospacing="1" w:line="240" w:lineRule="auto"/>
        <w:jc w:val="both"/>
        <w:outlineLvl w:val="1"/>
        <w:rPr>
          <w:b/>
          <w:bCs/>
        </w:rPr>
      </w:pPr>
      <w:r>
        <w:rPr>
          <w:b/>
          <w:bCs/>
        </w:rPr>
        <w:t>Assessing the Quality of Primary Studies:</w:t>
      </w:r>
    </w:p>
    <w:p w14:paraId="64F16FB3">
      <w:pPr>
        <w:spacing w:before="100" w:beforeAutospacing="1" w:after="100" w:afterAutospacing="1" w:line="240" w:lineRule="auto"/>
        <w:jc w:val="both"/>
        <w:outlineLvl w:val="1"/>
      </w:pPr>
      <w:r>
        <w:t>I assessed the research design and methodology and the scientific robustness of the selected studies. I also explored insights into how data are analysed and data interpretation of findings. I also examined how the selected studies addressed the possibility of research biases and optimising research reliability and validity.</w:t>
      </w:r>
    </w:p>
    <w:p w14:paraId="1D570FAE">
      <w:pPr>
        <w:spacing w:before="100" w:beforeAutospacing="1" w:after="100" w:afterAutospacing="1" w:line="240" w:lineRule="auto"/>
        <w:outlineLvl w:val="1"/>
        <w:rPr>
          <w:b/>
          <w:bCs/>
        </w:rPr>
      </w:pPr>
      <w:r>
        <w:rPr>
          <w:b/>
          <w:bCs/>
        </w:rPr>
        <w:t>Extracting Data:</w:t>
      </w:r>
    </w:p>
    <w:p w14:paraId="30013E09">
      <w:pPr>
        <w:spacing w:before="100" w:beforeAutospacing="1" w:after="100" w:afterAutospacing="1" w:line="240" w:lineRule="auto"/>
        <w:outlineLvl w:val="1"/>
      </w:pPr>
      <w:r>
        <w:t>The sourced materials used was guided set research question. Only those relevant to micro-credentials, challenges and opportunities from single (learner/employer/institution) perspective and handful multi-perspectives studies on micro-credentials.</w:t>
      </w:r>
      <w:r>
        <w:rPr>
          <w:i/>
          <w:iCs/>
        </w:rPr>
        <w:br w:type="textWrapping"/>
      </w:r>
    </w:p>
    <w:p w14:paraId="3AB59F1C">
      <w:pPr>
        <w:spacing w:before="100" w:beforeAutospacing="1" w:after="100" w:afterAutospacing="1" w:line="240" w:lineRule="auto"/>
        <w:outlineLvl w:val="1"/>
        <w:rPr>
          <w:b/>
          <w:bCs/>
        </w:rPr>
      </w:pPr>
      <w:r>
        <w:rPr>
          <w:b/>
          <w:bCs/>
        </w:rPr>
        <w:t>Analyzing and Data Synthesis:</w:t>
      </w:r>
    </w:p>
    <w:p w14:paraId="64A5C5B8">
      <w:pPr>
        <w:spacing w:before="100" w:beforeAutospacing="1" w:after="100" w:afterAutospacing="1" w:line="240" w:lineRule="auto"/>
        <w:jc w:val="both"/>
        <w:outlineLvl w:val="1"/>
      </w:pPr>
      <w:r>
        <w:t>Under this step, I collate, summarise, organise, relate and compare extracted evidence from various studies. The extracted views, discussion were then organised and presented in meaningful and aggregate manner evidence that show the current knowledge and contributions of the reviewed literature and research/knowledge gaps as reveal therein as well.</w:t>
      </w:r>
    </w:p>
    <w:p w14:paraId="469F07CC">
      <w:pPr>
        <w:spacing w:before="100" w:beforeAutospacing="1" w:after="100" w:afterAutospacing="1" w:line="240" w:lineRule="auto"/>
        <w:jc w:val="both"/>
        <w:outlineLvl w:val="1"/>
      </w:pPr>
      <w:r>
        <w:t xml:space="preserve">Overall, I deployed </w:t>
      </w:r>
      <w:r>
        <w:rPr>
          <w:b/>
          <w:bCs/>
        </w:rPr>
        <w:t>descriptive literature review type</w:t>
      </w:r>
      <w:r>
        <w:t xml:space="preserve"> and mapping to ascertain the level of discussion on micro-credentials including the documented analysis of opportunities and challenges confronting it. I extracted from previous studies the aforementioned characteristics (i.e., challenges and opportunities) including trends, practices, policies and implementation from various stakeholders – learners, employers and relevant institutions.</w:t>
      </w:r>
    </w:p>
    <w:p w14:paraId="5DFB02C9">
      <w:pPr>
        <w:spacing w:before="100" w:beforeAutospacing="1" w:after="100" w:afterAutospacing="1" w:line="240" w:lineRule="auto"/>
        <w:jc w:val="both"/>
        <w:outlineLvl w:val="1"/>
      </w:pPr>
      <w:r>
        <w:t>Keywords searches include micro-credentials, challenges and opportunities with micro-credentials, learners’ perspective, employers’ perspective, institutional perspective.</w:t>
      </w:r>
    </w:p>
    <w:p w14:paraId="01A6C585">
      <w:r>
        <w:t>The databases I used in completing this task include Google Scholar, ProQuest. EBSCOhost and the university database.</w:t>
      </w:r>
    </w:p>
    <w:p w14:paraId="75F43363">
      <w:pPr>
        <w:spacing w:before="100" w:beforeAutospacing="1" w:after="100" w:afterAutospacing="1" w:line="240" w:lineRule="auto"/>
        <w:jc w:val="both"/>
        <w:outlineLvl w:val="1"/>
      </w:pPr>
    </w:p>
    <w:bookmarkEnd w:id="29"/>
    <w:p w14:paraId="34646663"/>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imSun"/>
    <w:panose1 w:val="00000000000000000000"/>
    <w:charset w:val="86"/>
    <w:family w:val="swiss"/>
    <w:pitch w:val="default"/>
    <w:sig w:usb0="00000000" w:usb1="00000000" w:usb2="00000000" w:usb3="00000000" w:csb0="0000019F" w:csb1="00000000"/>
  </w:font>
  <w:font w:name="Aptos">
    <w:altName w:val="Tiresias PCfont"/>
    <w:panose1 w:val="00000000000000000000"/>
    <w:charset w:val="00"/>
    <w:family w:val="auto"/>
    <w:pitch w:val="default"/>
    <w:sig w:usb0="00000000" w:usb1="00000000" w:usb2="00000000" w:usb3="00000000" w:csb0="00000000" w:csb1="00000000"/>
  </w:font>
  <w:font w:name="Aptos Display">
    <w:altName w:val="Tiresias PCfont"/>
    <w:panose1 w:val="00000000000000000000"/>
    <w:charset w:val="00"/>
    <w:family w:val="swiss"/>
    <w:pitch w:val="default"/>
    <w:sig w:usb0="00000000" w:usb1="00000000" w:usb2="00000000" w:usb3="00000000" w:csb0="0000019F" w:csb1="00000000"/>
  </w:font>
  <w:font w:name="等线 Light">
    <w:altName w:val="Tiresias PCfont"/>
    <w:panose1 w:val="00000000000000000000"/>
    <w:charset w:val="00"/>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TimesNewRoman,Italic">
    <w:altName w:val="Yu Gothic"/>
    <w:panose1 w:val="00000000000000000000"/>
    <w:charset w:val="80"/>
    <w:family w:val="auto"/>
    <w:pitch w:val="default"/>
    <w:sig w:usb0="00000000" w:usb1="00000000" w:usb2="00000010" w:usb3="00000000" w:csb0="00020000" w:csb1="00000000"/>
  </w:font>
  <w:font w:name="Tiresias PCfont">
    <w:panose1 w:val="02000400000000000000"/>
    <w:charset w:val="00"/>
    <w:family w:val="auto"/>
    <w:pitch w:val="default"/>
    <w:sig w:usb0="80000007" w:usb1="00000000" w:usb2="00000000" w:usb3="00000000" w:csb0="20000001" w:csb1="00000000"/>
  </w:font>
  <w:font w:name="Microsoft YaHei">
    <w:panose1 w:val="020B0503020204020204"/>
    <w:charset w:val="86"/>
    <w:family w:val="auto"/>
    <w:pitch w:val="default"/>
    <w:sig w:usb0="80000287" w:usb1="2ACF3C50" w:usb2="00000016" w:usb3="00000000" w:csb0="0004001F" w:csb1="00000000"/>
  </w:font>
  <w:font w:name="Yu Gothic">
    <w:panose1 w:val="020B0400000000000000"/>
    <w:charset w:val="80"/>
    <w:family w:val="auto"/>
    <w:pitch w:val="default"/>
    <w:sig w:usb0="E00002FF" w:usb1="2AC7FDFF" w:usb2="00000016" w:usb3="00000000" w:csb0="2002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B481F0E"/>
    <w:multiLevelType w:val="multilevel"/>
    <w:tmpl w:val="2B481F0E"/>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1">
    <w:nsid w:val="3A0C2469"/>
    <w:multiLevelType w:val="multilevel"/>
    <w:tmpl w:val="3A0C2469"/>
    <w:lvl w:ilvl="0" w:tentative="0">
      <w:start w:val="1"/>
      <w:numFmt w:val="lowerRoman"/>
      <w:lvlText w:val="%1."/>
      <w:lvlJc w:val="right"/>
      <w:pPr>
        <w:ind w:left="720" w:hanging="360"/>
      </w:pPr>
      <w:rPr>
        <w:rFonts w:ascii="Arial" w:hAnsi="Arial" w:cs="Arial" w:eastAsiaTheme="minorHAnsi"/>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5A1B090A"/>
    <w:multiLevelType w:val="multilevel"/>
    <w:tmpl w:val="5A1B090A"/>
    <w:lvl w:ilvl="0" w:tentative="0">
      <w:start w:val="1"/>
      <w:numFmt w:val="lowerLetter"/>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1714"/>
    <w:rsid w:val="00002584"/>
    <w:rsid w:val="00006BB3"/>
    <w:rsid w:val="00014181"/>
    <w:rsid w:val="00045AC2"/>
    <w:rsid w:val="0006382C"/>
    <w:rsid w:val="000660EA"/>
    <w:rsid w:val="00075DB4"/>
    <w:rsid w:val="0008073E"/>
    <w:rsid w:val="00080FB9"/>
    <w:rsid w:val="00092288"/>
    <w:rsid w:val="000A10D1"/>
    <w:rsid w:val="000A14EC"/>
    <w:rsid w:val="000B74C3"/>
    <w:rsid w:val="000C059D"/>
    <w:rsid w:val="000E6A74"/>
    <w:rsid w:val="000F0B3C"/>
    <w:rsid w:val="0011461A"/>
    <w:rsid w:val="00115D74"/>
    <w:rsid w:val="00117514"/>
    <w:rsid w:val="00142453"/>
    <w:rsid w:val="001503C7"/>
    <w:rsid w:val="0017523D"/>
    <w:rsid w:val="00176CF0"/>
    <w:rsid w:val="00180374"/>
    <w:rsid w:val="001B2CBE"/>
    <w:rsid w:val="001B7E15"/>
    <w:rsid w:val="001C2678"/>
    <w:rsid w:val="00202D1B"/>
    <w:rsid w:val="00205B57"/>
    <w:rsid w:val="00241CAD"/>
    <w:rsid w:val="002562FC"/>
    <w:rsid w:val="002B7789"/>
    <w:rsid w:val="002C7495"/>
    <w:rsid w:val="002D7EA7"/>
    <w:rsid w:val="002E1207"/>
    <w:rsid w:val="002F3BFC"/>
    <w:rsid w:val="00315A69"/>
    <w:rsid w:val="0032504D"/>
    <w:rsid w:val="00327A99"/>
    <w:rsid w:val="00344DC6"/>
    <w:rsid w:val="003758B4"/>
    <w:rsid w:val="00393AAD"/>
    <w:rsid w:val="003E5063"/>
    <w:rsid w:val="003F3658"/>
    <w:rsid w:val="0043067C"/>
    <w:rsid w:val="004315B7"/>
    <w:rsid w:val="004824B4"/>
    <w:rsid w:val="00484218"/>
    <w:rsid w:val="0049035D"/>
    <w:rsid w:val="0049712F"/>
    <w:rsid w:val="004B1E4A"/>
    <w:rsid w:val="004C2B0D"/>
    <w:rsid w:val="004E3808"/>
    <w:rsid w:val="005068C4"/>
    <w:rsid w:val="00523791"/>
    <w:rsid w:val="0054015F"/>
    <w:rsid w:val="00540868"/>
    <w:rsid w:val="0057268A"/>
    <w:rsid w:val="0057572C"/>
    <w:rsid w:val="005800A6"/>
    <w:rsid w:val="00585453"/>
    <w:rsid w:val="00586391"/>
    <w:rsid w:val="005911C4"/>
    <w:rsid w:val="005A3220"/>
    <w:rsid w:val="005A4CFB"/>
    <w:rsid w:val="005B1568"/>
    <w:rsid w:val="005D1714"/>
    <w:rsid w:val="005D2713"/>
    <w:rsid w:val="00613101"/>
    <w:rsid w:val="00614E4C"/>
    <w:rsid w:val="006411B2"/>
    <w:rsid w:val="00641546"/>
    <w:rsid w:val="0066590A"/>
    <w:rsid w:val="0066721B"/>
    <w:rsid w:val="00690D56"/>
    <w:rsid w:val="006B1062"/>
    <w:rsid w:val="006B4F49"/>
    <w:rsid w:val="006E66E0"/>
    <w:rsid w:val="0071084D"/>
    <w:rsid w:val="00715C64"/>
    <w:rsid w:val="007246D3"/>
    <w:rsid w:val="00746DCA"/>
    <w:rsid w:val="007615D3"/>
    <w:rsid w:val="007834A0"/>
    <w:rsid w:val="007976F4"/>
    <w:rsid w:val="007B7469"/>
    <w:rsid w:val="007D2623"/>
    <w:rsid w:val="007E3031"/>
    <w:rsid w:val="007E353F"/>
    <w:rsid w:val="007F5ABC"/>
    <w:rsid w:val="00820B98"/>
    <w:rsid w:val="00835403"/>
    <w:rsid w:val="00846CC8"/>
    <w:rsid w:val="008625D3"/>
    <w:rsid w:val="008710F4"/>
    <w:rsid w:val="00880552"/>
    <w:rsid w:val="00884D9C"/>
    <w:rsid w:val="008B4DB5"/>
    <w:rsid w:val="008F4230"/>
    <w:rsid w:val="008F660B"/>
    <w:rsid w:val="008F7B22"/>
    <w:rsid w:val="00921998"/>
    <w:rsid w:val="0092515E"/>
    <w:rsid w:val="0094478A"/>
    <w:rsid w:val="00945C90"/>
    <w:rsid w:val="00966DE3"/>
    <w:rsid w:val="00986A45"/>
    <w:rsid w:val="009C5F54"/>
    <w:rsid w:val="009D4636"/>
    <w:rsid w:val="00A05292"/>
    <w:rsid w:val="00A077D1"/>
    <w:rsid w:val="00A3617F"/>
    <w:rsid w:val="00A51D31"/>
    <w:rsid w:val="00AA2ADD"/>
    <w:rsid w:val="00AB4551"/>
    <w:rsid w:val="00AC4D39"/>
    <w:rsid w:val="00AF4A94"/>
    <w:rsid w:val="00B05D73"/>
    <w:rsid w:val="00B107C8"/>
    <w:rsid w:val="00B1085A"/>
    <w:rsid w:val="00B21274"/>
    <w:rsid w:val="00B4103F"/>
    <w:rsid w:val="00B60BDA"/>
    <w:rsid w:val="00B95230"/>
    <w:rsid w:val="00B97DBA"/>
    <w:rsid w:val="00BB1C2A"/>
    <w:rsid w:val="00C0406B"/>
    <w:rsid w:val="00C20E99"/>
    <w:rsid w:val="00C22E4A"/>
    <w:rsid w:val="00C5305D"/>
    <w:rsid w:val="00C80413"/>
    <w:rsid w:val="00C85876"/>
    <w:rsid w:val="00C92D32"/>
    <w:rsid w:val="00CA78CF"/>
    <w:rsid w:val="00CB5C03"/>
    <w:rsid w:val="00CB6145"/>
    <w:rsid w:val="00CC0546"/>
    <w:rsid w:val="00CC33DC"/>
    <w:rsid w:val="00CE1235"/>
    <w:rsid w:val="00CF20BA"/>
    <w:rsid w:val="00D34E06"/>
    <w:rsid w:val="00D61ED0"/>
    <w:rsid w:val="00D71259"/>
    <w:rsid w:val="00D802D7"/>
    <w:rsid w:val="00DC6905"/>
    <w:rsid w:val="00DD206F"/>
    <w:rsid w:val="00DD69F0"/>
    <w:rsid w:val="00E21DC3"/>
    <w:rsid w:val="00E30708"/>
    <w:rsid w:val="00E34573"/>
    <w:rsid w:val="00E42A72"/>
    <w:rsid w:val="00E45219"/>
    <w:rsid w:val="00E53BA3"/>
    <w:rsid w:val="00E53C56"/>
    <w:rsid w:val="00E938EC"/>
    <w:rsid w:val="00EA7C10"/>
    <w:rsid w:val="00EB2F5F"/>
    <w:rsid w:val="00EB331A"/>
    <w:rsid w:val="00EC0187"/>
    <w:rsid w:val="00EE4F62"/>
    <w:rsid w:val="00F2467D"/>
    <w:rsid w:val="00F3128A"/>
    <w:rsid w:val="00F315DB"/>
    <w:rsid w:val="00F448DC"/>
    <w:rsid w:val="00F4653E"/>
    <w:rsid w:val="00F66D40"/>
    <w:rsid w:val="00F726BF"/>
    <w:rsid w:val="00FC563C"/>
    <w:rsid w:val="00FD40BA"/>
    <w:rsid w:val="00FD41E2"/>
    <w:rsid w:val="00FD59C5"/>
    <w:rsid w:val="00FF2284"/>
    <w:rsid w:val="0C4108D3"/>
    <w:rsid w:val="10CD5CD1"/>
    <w:rsid w:val="30BE7609"/>
    <w:rsid w:val="368557C7"/>
    <w:rsid w:val="44674FD6"/>
    <w:rsid w:val="5C9D192F"/>
    <w:rsid w:val="636E08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22"/>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3"/>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4"/>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5"/>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6"/>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7"/>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8"/>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9"/>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0"/>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character" w:styleId="13">
    <w:name w:val="annotation reference"/>
    <w:basedOn w:val="11"/>
    <w:semiHidden/>
    <w:unhideWhenUsed/>
    <w:qFormat/>
    <w:uiPriority w:val="99"/>
    <w:rPr>
      <w:sz w:val="16"/>
      <w:szCs w:val="16"/>
    </w:rPr>
  </w:style>
  <w:style w:type="paragraph" w:styleId="14">
    <w:name w:val="annotation text"/>
    <w:basedOn w:val="1"/>
    <w:link w:val="40"/>
    <w:unhideWhenUsed/>
    <w:qFormat/>
    <w:uiPriority w:val="99"/>
    <w:pPr>
      <w:spacing w:before="200" w:after="0" w:line="240" w:lineRule="auto"/>
      <w:jc w:val="both"/>
    </w:pPr>
    <w:rPr>
      <w:rFonts w:ascii="Times New Roman" w:hAnsi="Times New Roman" w:eastAsia="Times New Roman" w:cs="Times New Roman"/>
      <w:sz w:val="20"/>
      <w:szCs w:val="20"/>
      <w:lang w:eastAsia="en-IN"/>
    </w:rPr>
  </w:style>
  <w:style w:type="character" w:styleId="15">
    <w:name w:val="Hyperlink"/>
    <w:basedOn w:val="11"/>
    <w:unhideWhenUsed/>
    <w:qFormat/>
    <w:uiPriority w:val="99"/>
    <w:rPr>
      <w:color w:val="467886" w:themeColor="hyperlink"/>
      <w:u w:val="single"/>
      <w14:textFill>
        <w14:solidFill>
          <w14:schemeClr w14:val="hlink"/>
        </w14:solidFill>
      </w14:textFill>
    </w:rPr>
  </w:style>
  <w:style w:type="paragraph" w:styleId="16">
    <w:name w:val="Normal (Web)"/>
    <w:basedOn w:val="1"/>
    <w:unhideWhenUsed/>
    <w:qFormat/>
    <w:uiPriority w:val="99"/>
    <w:pPr>
      <w:spacing w:before="100" w:beforeAutospacing="1" w:after="100" w:afterAutospacing="1" w:line="240" w:lineRule="auto"/>
    </w:pPr>
    <w:rPr>
      <w:rFonts w:ascii="Times New Roman" w:hAnsi="Times New Roman" w:cs="Times New Roman" w:eastAsiaTheme="minorEastAsia"/>
      <w:sz w:val="24"/>
      <w:szCs w:val="24"/>
      <w:lang w:eastAsia="en-GB"/>
    </w:rPr>
  </w:style>
  <w:style w:type="paragraph" w:styleId="17">
    <w:name w:val="Subtitle"/>
    <w:basedOn w:val="1"/>
    <w:next w:val="1"/>
    <w:link w:val="32"/>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18">
    <w:name w:val="Table Grid"/>
    <w:basedOn w:val="12"/>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9">
    <w:name w:val="Title"/>
    <w:basedOn w:val="1"/>
    <w:next w:val="1"/>
    <w:link w:val="31"/>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20">
    <w:name w:val="toc 1"/>
    <w:basedOn w:val="1"/>
    <w:next w:val="1"/>
    <w:autoRedefine/>
    <w:unhideWhenUsed/>
    <w:qFormat/>
    <w:uiPriority w:val="39"/>
    <w:pPr>
      <w:spacing w:after="100"/>
    </w:pPr>
  </w:style>
  <w:style w:type="paragraph" w:styleId="21">
    <w:name w:val="toc 2"/>
    <w:basedOn w:val="1"/>
    <w:next w:val="1"/>
    <w:autoRedefine/>
    <w:unhideWhenUsed/>
    <w:qFormat/>
    <w:uiPriority w:val="39"/>
    <w:pPr>
      <w:spacing w:after="100"/>
      <w:ind w:left="220"/>
    </w:pPr>
  </w:style>
  <w:style w:type="character" w:customStyle="1" w:styleId="22">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23">
    <w:name w:val="Heading 2 Char"/>
    <w:basedOn w:val="11"/>
    <w:link w:val="3"/>
    <w:qFormat/>
    <w:uiPriority w:val="9"/>
    <w:rPr>
      <w:rFonts w:asciiTheme="majorHAnsi" w:hAnsiTheme="majorHAnsi" w:eastAsiaTheme="majorEastAsia" w:cstheme="majorBidi"/>
      <w:color w:val="104862" w:themeColor="accent1" w:themeShade="BF"/>
      <w:sz w:val="32"/>
      <w:szCs w:val="32"/>
    </w:rPr>
  </w:style>
  <w:style w:type="character" w:customStyle="1" w:styleId="24">
    <w:name w:val="Heading 3 Char"/>
    <w:basedOn w:val="11"/>
    <w:link w:val="4"/>
    <w:semiHidden/>
    <w:qFormat/>
    <w:uiPriority w:val="9"/>
    <w:rPr>
      <w:rFonts w:eastAsiaTheme="majorEastAsia" w:cstheme="majorBidi"/>
      <w:color w:val="104862" w:themeColor="accent1" w:themeShade="BF"/>
      <w:sz w:val="28"/>
      <w:szCs w:val="28"/>
    </w:rPr>
  </w:style>
  <w:style w:type="character" w:customStyle="1" w:styleId="25">
    <w:name w:val="Heading 4 Char"/>
    <w:basedOn w:val="11"/>
    <w:link w:val="5"/>
    <w:semiHidden/>
    <w:qFormat/>
    <w:uiPriority w:val="9"/>
    <w:rPr>
      <w:rFonts w:eastAsiaTheme="majorEastAsia" w:cstheme="majorBidi"/>
      <w:i/>
      <w:iCs/>
      <w:color w:val="104862" w:themeColor="accent1" w:themeShade="BF"/>
    </w:rPr>
  </w:style>
  <w:style w:type="character" w:customStyle="1" w:styleId="26">
    <w:name w:val="Heading 5 Char"/>
    <w:basedOn w:val="11"/>
    <w:link w:val="6"/>
    <w:semiHidden/>
    <w:qFormat/>
    <w:uiPriority w:val="9"/>
    <w:rPr>
      <w:rFonts w:eastAsiaTheme="majorEastAsia" w:cstheme="majorBidi"/>
      <w:color w:val="104862" w:themeColor="accent1" w:themeShade="BF"/>
    </w:rPr>
  </w:style>
  <w:style w:type="character" w:customStyle="1" w:styleId="27">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8">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9">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0">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1">
    <w:name w:val="Title Char"/>
    <w:basedOn w:val="11"/>
    <w:link w:val="19"/>
    <w:qFormat/>
    <w:uiPriority w:val="10"/>
    <w:rPr>
      <w:rFonts w:asciiTheme="majorHAnsi" w:hAnsiTheme="majorHAnsi" w:eastAsiaTheme="majorEastAsia" w:cstheme="majorBidi"/>
      <w:spacing w:val="-10"/>
      <w:kern w:val="28"/>
      <w:sz w:val="56"/>
      <w:szCs w:val="56"/>
    </w:rPr>
  </w:style>
  <w:style w:type="character" w:customStyle="1" w:styleId="32">
    <w:name w:val="Subtitle Char"/>
    <w:basedOn w:val="11"/>
    <w:link w:val="17"/>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3">
    <w:name w:val="Quote"/>
    <w:basedOn w:val="1"/>
    <w:next w:val="1"/>
    <w:link w:val="34"/>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4">
    <w:name w:val="Quote Char"/>
    <w:basedOn w:val="11"/>
    <w:link w:val="33"/>
    <w:qFormat/>
    <w:uiPriority w:val="29"/>
    <w:rPr>
      <w:i/>
      <w:iCs/>
      <w:color w:val="404040" w:themeColor="text1" w:themeTint="BF"/>
      <w14:textFill>
        <w14:solidFill>
          <w14:schemeClr w14:val="tx1">
            <w14:lumMod w14:val="75000"/>
            <w14:lumOff w14:val="25000"/>
          </w14:schemeClr>
        </w14:solidFill>
      </w14:textFill>
    </w:rPr>
  </w:style>
  <w:style w:type="paragraph" w:styleId="35">
    <w:name w:val="List Paragraph"/>
    <w:basedOn w:val="1"/>
    <w:qFormat/>
    <w:uiPriority w:val="34"/>
    <w:pPr>
      <w:ind w:left="720"/>
      <w:contextualSpacing/>
    </w:pPr>
  </w:style>
  <w:style w:type="character" w:customStyle="1" w:styleId="36">
    <w:name w:val="Intense Emphasis1"/>
    <w:basedOn w:val="11"/>
    <w:qFormat/>
    <w:uiPriority w:val="21"/>
    <w:rPr>
      <w:i/>
      <w:iCs/>
      <w:color w:val="104862" w:themeColor="accent1" w:themeShade="BF"/>
    </w:rPr>
  </w:style>
  <w:style w:type="paragraph" w:styleId="37">
    <w:name w:val="Intense Quote"/>
    <w:basedOn w:val="1"/>
    <w:next w:val="1"/>
    <w:link w:val="38"/>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8">
    <w:name w:val="Intense Quote Char"/>
    <w:basedOn w:val="11"/>
    <w:link w:val="37"/>
    <w:qFormat/>
    <w:uiPriority w:val="30"/>
    <w:rPr>
      <w:i/>
      <w:iCs/>
      <w:color w:val="104862" w:themeColor="accent1" w:themeShade="BF"/>
    </w:rPr>
  </w:style>
  <w:style w:type="character" w:customStyle="1" w:styleId="39">
    <w:name w:val="Intense Reference1"/>
    <w:basedOn w:val="11"/>
    <w:qFormat/>
    <w:uiPriority w:val="32"/>
    <w:rPr>
      <w:b/>
      <w:bCs/>
      <w:smallCaps/>
      <w:color w:val="104862" w:themeColor="accent1" w:themeShade="BF"/>
      <w:spacing w:val="5"/>
    </w:rPr>
  </w:style>
  <w:style w:type="character" w:customStyle="1" w:styleId="40">
    <w:name w:val="Comment Text Char"/>
    <w:basedOn w:val="11"/>
    <w:link w:val="14"/>
    <w:qFormat/>
    <w:uiPriority w:val="99"/>
    <w:rPr>
      <w:rFonts w:ascii="Times New Roman" w:hAnsi="Times New Roman" w:eastAsia="Times New Roman" w:cs="Times New Roman"/>
      <w:kern w:val="0"/>
      <w:sz w:val="20"/>
      <w:szCs w:val="20"/>
      <w:lang w:eastAsia="en-IN"/>
      <w14:ligatures w14:val="none"/>
    </w:rPr>
  </w:style>
  <w:style w:type="character" w:customStyle="1" w:styleId="41">
    <w:name w:val="Unresolved Mention1"/>
    <w:basedOn w:val="11"/>
    <w:semiHidden/>
    <w:unhideWhenUsed/>
    <w:qFormat/>
    <w:uiPriority w:val="99"/>
    <w:rPr>
      <w:color w:val="605E5C"/>
      <w:shd w:val="clear" w:color="auto" w:fill="E1DFDD"/>
    </w:rPr>
  </w:style>
  <w:style w:type="paragraph" w:customStyle="1" w:styleId="42">
    <w:name w:val="TOC Heading1"/>
    <w:basedOn w:val="2"/>
    <w:next w:val="1"/>
    <w:unhideWhenUsed/>
    <w:qFormat/>
    <w:uiPriority w:val="39"/>
    <w:pPr>
      <w:spacing w:before="240" w:after="0"/>
      <w:outlineLvl w:val="9"/>
    </w:pPr>
    <w:rPr>
      <w:sz w:val="32"/>
      <w:szCs w:val="32"/>
      <w:lang w:val="en-U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glossaryDocument" Target="glossary/document.xml"/><Relationship Id="rId12" Type="http://schemas.openxmlformats.org/officeDocument/2006/relationships/fontTable" Target="fontTable.xml"/><Relationship Id="rId11" Type="http://schemas.openxmlformats.org/officeDocument/2006/relationships/customXml" Target="../customXml/item2.xml"/><Relationship Id="rId10" Type="http://schemas.openxmlformats.org/officeDocument/2006/relationships/numbering" Target="numbering.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818DBC07A7DC4C5593967B30B8E9DF30"/>
        <w:style w:val=""/>
        <w:category>
          <w:name w:val="General"/>
          <w:gallery w:val="placeholder"/>
        </w:category>
        <w:types>
          <w:type w:val="bbPlcHdr"/>
        </w:types>
        <w:behaviors>
          <w:behavior w:val="content"/>
        </w:behaviors>
        <w:description w:val=""/>
        <w:guid w:val="{945C3977-56A2-4759-A128-C604DE31C408}"/>
      </w:docPartPr>
      <w:docPartBody>
        <w:p w14:paraId="69DD9D24">
          <w:pPr>
            <w:pStyle w:val="5"/>
          </w:pPr>
          <w:r>
            <w:rPr>
              <w:rStyle w:val="4"/>
            </w:rPr>
            <w:t>Formatting...</w:t>
          </w:r>
        </w:p>
      </w:docPartBody>
    </w:docPart>
  </w:docParts>
</w:glossaryDocument>
</file>

<file path=word/glossary/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Tiresias PCfont"/>
    <w:panose1 w:val="00000000000000000000"/>
    <w:charset w:val="00"/>
    <w:family w:val="swiss"/>
    <w:pitch w:val="default"/>
    <w:sig w:usb0="00000000" w:usb1="00000000" w:usb2="00000000" w:usb3="00000000" w:csb0="0000019F" w:csb1="00000000"/>
  </w:font>
  <w:font w:name="等线">
    <w:altName w:val="Microsoft YaHei"/>
    <w:panose1 w:val="00000000000000000000"/>
    <w:charset w:val="86"/>
    <w:family w:val="auto"/>
    <w:pitch w:val="default"/>
    <w:sig w:usb0="00000000" w:usb1="00000000" w:usb2="00000000" w:usb3="00000000" w:csb0="00000000" w:csb1="00000000"/>
  </w:font>
</w:fonts>
</file>

<file path=word/glossary/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5454"/>
    <w:rsid w:val="000A321B"/>
    <w:rsid w:val="004B262D"/>
    <w:rsid w:val="004F2B5C"/>
    <w:rsid w:val="005911C4"/>
    <w:rsid w:val="007557FA"/>
    <w:rsid w:val="009A5454"/>
    <w:rsid w:val="00B107C8"/>
    <w:rsid w:val="00B825A7"/>
    <w:rsid w:val="00C645EB"/>
    <w:rsid w:val="00D01A5C"/>
    <w:rsid w:val="00DC6905"/>
    <w:rsid w:val="00FD2DF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iPriority="1" w:name="Default Paragraph Font"/>
    <w:lsdException w:qFormat="1" w:uiPriority="99" w:name="Normal Table"/>
    <w:lsdException w:qFormat="1" w:unhideWhenUsed="0" w:uiPriority="99" w:name="Placeholder Text"/>
  </w:latentStyles>
  <w:style w:type="paragraph" w:default="1" w:styleId="1">
    <w:name w:val="Normal"/>
    <w:qFormat/>
    <w:uiPriority w:val="0"/>
    <w:pPr>
      <w:spacing w:after="160" w:line="278" w:lineRule="auto"/>
    </w:pPr>
    <w:rPr>
      <w:rFonts w:asciiTheme="minorHAnsi" w:hAnsiTheme="minorHAnsi" w:eastAsiaTheme="minorEastAsia" w:cstheme="minorBidi"/>
      <w:kern w:val="2"/>
      <w:sz w:val="24"/>
      <w:szCs w:val="24"/>
      <w:lang w:val="en-GB" w:eastAsia="en-GB" w:bidi="ar-SA"/>
      <w14:ligatures w14:val="standardContextual"/>
    </w:rPr>
  </w:style>
  <w:style w:type="character" w:default="1" w:styleId="2">
    <w:name w:val="Default Paragraph Font"/>
    <w:semiHidden/>
    <w:unhideWhenUsed/>
    <w:qFormat/>
    <w:uiPriority w:val="1"/>
  </w:style>
  <w:style w:type="table" w:default="1" w:styleId="3">
    <w:name w:val="Normal Table"/>
    <w:semiHidden/>
    <w:unhideWhenUsed/>
    <w:qFormat/>
    <w:uiPriority w:val="99"/>
    <w:tblPr>
      <w:tblCellMar>
        <w:top w:w="0" w:type="dxa"/>
        <w:left w:w="108" w:type="dxa"/>
        <w:bottom w:w="0" w:type="dxa"/>
        <w:right w:w="108" w:type="dxa"/>
      </w:tblCellMar>
    </w:tblPr>
  </w:style>
  <w:style w:type="character" w:styleId="4">
    <w:name w:val="Placeholder Text"/>
    <w:basedOn w:val="2"/>
    <w:semiHidden/>
    <w:qFormat/>
    <w:uiPriority w:val="99"/>
    <w:rPr>
      <w:color w:val="808080"/>
    </w:rPr>
  </w:style>
  <w:style w:type="paragraph" w:customStyle="1" w:styleId="5">
    <w:name w:val="818DBC07A7DC4C5593967B30B8E9DF30"/>
    <w:uiPriority w:val="0"/>
    <w:pPr>
      <w:spacing w:after="160" w:line="278" w:lineRule="auto"/>
    </w:pPr>
    <w:rPr>
      <w:rFonts w:asciiTheme="minorHAnsi" w:hAnsiTheme="minorHAnsi" w:eastAsiaTheme="minorEastAsia" w:cstheme="minorBidi"/>
      <w:kern w:val="2"/>
      <w:sz w:val="24"/>
      <w:szCs w:val="24"/>
      <w:lang w:val="en-GB" w:eastAsia="en-GB" w:bidi="ar-SA"/>
      <w14:ligatures w14:val="standardContextual"/>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1CA8698-B33B-45D7-8DB1-579A1210EFD8}">
  <ds:schemaRefs/>
</ds:datastoreItem>
</file>

<file path=docProps/app.xml><?xml version="1.0" encoding="utf-8"?>
<Properties xmlns="http://schemas.openxmlformats.org/officeDocument/2006/extended-properties" xmlns:vt="http://schemas.openxmlformats.org/officeDocument/2006/docPropsVTypes">
  <Template>Normal</Template>
  <Pages>25</Pages>
  <Words>6965</Words>
  <Characters>39705</Characters>
  <Lines>330</Lines>
  <Paragraphs>93</Paragraphs>
  <TotalTime>72</TotalTime>
  <ScaleCrop>false</ScaleCrop>
  <LinksUpToDate>false</LinksUpToDate>
  <CharactersWithSpaces>46577</CharactersWithSpaces>
  <Application>WPS Office_12.2.0.22549_F1E327BC-269C-435d-A152-05C5408002CA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2025-09-16T01:00:00Z</dcterms:created>
  <dc:creator>Adegbite, Oluwaseun</dc:creator>
  <cp:lastModifiedBy>AyAnfeoluwa Adeg</cp:lastModifiedBy>
  <dcterms:modified xsi:type="dcterms:W3CDTF">2025-09-16T10:26:26Z</dcterms:modified>
  <cp:revision>13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2057-12.2.0.22549</vt:lpwstr>
  </property>
  <property fmtid="{D5CDD505-2E9C-101B-9397-08002B2CF9AE}" pid="3" name="ICV">
    <vt:lpwstr>9F827087BAC94B74AA80076C1BE1D018_13</vt:lpwstr>
  </property>
</Properties>
</file>