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0756731">
      <w:pPr>
        <w:jc w:val="center"/>
        <w:rPr>
          <w:b/>
          <w:bCs/>
          <w:sz w:val="32"/>
          <w:szCs w:val="32"/>
        </w:rPr>
      </w:pPr>
      <w:r>
        <w:drawing>
          <wp:anchor distT="0" distB="0" distL="114300" distR="114300" simplePos="0" relativeHeight="251659264" behindDoc="0" locked="0" layoutInCell="1" allowOverlap="1">
            <wp:simplePos x="0" y="0"/>
            <wp:positionH relativeFrom="column">
              <wp:posOffset>1771015</wp:posOffset>
            </wp:positionH>
            <wp:positionV relativeFrom="paragraph">
              <wp:posOffset>-203835</wp:posOffset>
            </wp:positionV>
            <wp:extent cx="2309495" cy="831215"/>
            <wp:effectExtent l="0" t="0" r="14605" b="0"/>
            <wp:wrapSquare wrapText="bothSides"/>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referRelativeResize="0"/>
                  </pic:nvPicPr>
                  <pic:blipFill>
                    <a:blip r:embed="rId8"/>
                    <a:srcRect/>
                    <a:stretch>
                      <a:fillRect/>
                    </a:stretch>
                  </pic:blipFill>
                  <pic:spPr>
                    <a:xfrm>
                      <a:off x="0" y="0"/>
                      <a:ext cx="2309495" cy="831215"/>
                    </a:xfrm>
                    <a:prstGeom prst="rect">
                      <a:avLst/>
                    </a:prstGeom>
                  </pic:spPr>
                </pic:pic>
              </a:graphicData>
            </a:graphic>
          </wp:anchor>
        </w:drawing>
      </w:r>
    </w:p>
    <w:p w14:paraId="31F80259">
      <w:pPr>
        <w:rPr>
          <w:b/>
          <w:bCs/>
          <w:sz w:val="32"/>
          <w:szCs w:val="32"/>
        </w:rPr>
      </w:pPr>
      <w:bookmarkStart w:id="51" w:name="_GoBack"/>
      <w:bookmarkEnd w:id="51"/>
    </w:p>
    <w:p w14:paraId="127ED51F">
      <w:pPr>
        <w:jc w:val="center"/>
        <w:rPr>
          <w:b/>
          <w:bCs/>
          <w:sz w:val="32"/>
          <w:szCs w:val="32"/>
        </w:rPr>
      </w:pPr>
    </w:p>
    <w:p w14:paraId="15E6AA26">
      <w:pPr>
        <w:jc w:val="both"/>
        <w:rPr>
          <w:b/>
          <w:bCs/>
          <w:sz w:val="32"/>
          <w:szCs w:val="32"/>
        </w:rPr>
      </w:pPr>
    </w:p>
    <w:p w14:paraId="4D1A257B">
      <w:pPr>
        <w:rPr>
          <w:b/>
          <w:bCs/>
          <w:sz w:val="32"/>
          <w:szCs w:val="32"/>
        </w:rPr>
      </w:pPr>
    </w:p>
    <w:p w14:paraId="7F1CC9EE">
      <w:pPr>
        <w:spacing w:after="240"/>
        <w:jc w:val="center"/>
        <w:rPr>
          <w:b/>
          <w:bCs/>
          <w:sz w:val="32"/>
          <w:szCs w:val="32"/>
        </w:rPr>
      </w:pPr>
      <w:r>
        <w:rPr>
          <w:b/>
          <w:bCs/>
          <w:sz w:val="32"/>
          <w:szCs w:val="32"/>
        </w:rPr>
        <w:t>IMPLEMENTATION OF A SOLAR ENERGY SYSTEM FOR A COMMERCIAL/INDUSTRIAL FACILITY</w:t>
      </w:r>
    </w:p>
    <w:p w14:paraId="0E7B9F08">
      <w:pPr>
        <w:spacing w:after="240"/>
        <w:jc w:val="center"/>
        <w:rPr>
          <w:b/>
          <w:bCs/>
          <w:sz w:val="32"/>
          <w:szCs w:val="32"/>
        </w:rPr>
      </w:pPr>
      <w:r>
        <w:rPr>
          <w:b/>
          <w:bCs/>
          <w:sz w:val="32"/>
          <w:szCs w:val="32"/>
        </w:rPr>
        <w:t>PROGRAMME: MSC ENGINEERING PROJECT MANAGEMENT</w:t>
      </w:r>
    </w:p>
    <w:p w14:paraId="3790BB37">
      <w:pPr>
        <w:spacing w:after="240"/>
        <w:jc w:val="center"/>
        <w:rPr>
          <w:b/>
          <w:bCs/>
          <w:sz w:val="32"/>
          <w:szCs w:val="32"/>
        </w:rPr>
      </w:pPr>
      <w:r>
        <w:rPr>
          <w:b/>
          <w:bCs/>
          <w:sz w:val="32"/>
          <w:szCs w:val="32"/>
        </w:rPr>
        <w:t>MODULE: PROJECT MANAGEMENT</w:t>
      </w:r>
    </w:p>
    <w:p w14:paraId="466B077E">
      <w:pPr>
        <w:spacing w:after="240"/>
        <w:jc w:val="center"/>
        <w:rPr>
          <w:b/>
          <w:bCs/>
          <w:sz w:val="32"/>
          <w:szCs w:val="32"/>
        </w:rPr>
      </w:pPr>
      <w:r>
        <w:rPr>
          <w:b/>
          <w:bCs/>
          <w:sz w:val="32"/>
          <w:szCs w:val="32"/>
        </w:rPr>
        <w:t>MODULE CODE: ACHA7025</w:t>
      </w:r>
    </w:p>
    <w:p w14:paraId="130B56CD">
      <w:pPr>
        <w:spacing w:after="240"/>
        <w:jc w:val="center"/>
        <w:rPr>
          <w:b/>
          <w:bCs/>
          <w:sz w:val="32"/>
          <w:szCs w:val="32"/>
        </w:rPr>
      </w:pPr>
      <w:r>
        <w:rPr>
          <w:b/>
          <w:bCs/>
          <w:sz w:val="32"/>
          <w:szCs w:val="32"/>
        </w:rPr>
        <w:t>ASSIGNMENT TITLE: APPLYING PROJECT MANAGEMENT TECHNIQUES</w:t>
      </w:r>
    </w:p>
    <w:p w14:paraId="1031DA83">
      <w:pPr>
        <w:spacing w:after="240"/>
        <w:jc w:val="center"/>
        <w:rPr>
          <w:b/>
          <w:bCs/>
          <w:sz w:val="32"/>
          <w:szCs w:val="32"/>
        </w:rPr>
      </w:pPr>
    </w:p>
    <w:p w14:paraId="350DAAC6">
      <w:pPr>
        <w:spacing w:after="240"/>
        <w:jc w:val="center"/>
        <w:rPr>
          <w:rFonts w:hint="default"/>
          <w:b/>
          <w:bCs/>
          <w:sz w:val="32"/>
          <w:szCs w:val="32"/>
          <w:lang w:val="en-GB"/>
        </w:rPr>
      </w:pPr>
      <w:r>
        <w:rPr>
          <w:b/>
          <w:bCs/>
          <w:sz w:val="32"/>
          <w:szCs w:val="32"/>
        </w:rPr>
        <w:t>STUDENT NAME:</w:t>
      </w:r>
      <w:r>
        <w:rPr>
          <w:rFonts w:hint="default"/>
          <w:b/>
          <w:bCs/>
          <w:sz w:val="32"/>
          <w:szCs w:val="32"/>
          <w:lang w:val="en-GB"/>
        </w:rPr>
        <w:t xml:space="preserve"> Aminur Islam Tonmoy</w:t>
      </w:r>
    </w:p>
    <w:p w14:paraId="685D3F86">
      <w:pPr>
        <w:spacing w:after="240"/>
        <w:jc w:val="center"/>
        <w:rPr>
          <w:b/>
          <w:bCs/>
          <w:sz w:val="32"/>
          <w:szCs w:val="32"/>
        </w:rPr>
      </w:pPr>
      <w:r>
        <w:rPr>
          <w:b/>
          <w:bCs/>
          <w:sz w:val="32"/>
          <w:szCs w:val="32"/>
        </w:rPr>
        <w:t xml:space="preserve">STUDENT ID </w:t>
      </w:r>
      <w:r>
        <w:rPr>
          <w:rFonts w:hint="default"/>
          <w:b/>
          <w:bCs/>
          <w:sz w:val="32"/>
          <w:szCs w:val="32"/>
          <w:lang w:val="en-GB"/>
        </w:rPr>
        <w:t>:  2522779</w:t>
      </w:r>
      <w:r>
        <w:br w:type="page"/>
      </w:r>
    </w:p>
    <w:sdt>
      <w:sdtPr>
        <w:rPr>
          <w:rFonts w:ascii="Times New Roman" w:hAnsi="Times New Roman" w:eastAsia="Times New Roman" w:cs="Times New Roman"/>
          <w:b/>
          <w:bCs/>
          <w:color w:val="000000" w:themeColor="text1"/>
          <w:sz w:val="28"/>
          <w:szCs w:val="28"/>
          <w:lang w:val="en-GB" w:eastAsia="en-IN"/>
          <w14:textFill>
            <w14:solidFill>
              <w14:schemeClr w14:val="tx1"/>
            </w14:solidFill>
          </w14:textFill>
        </w:rPr>
        <w:id w:val="919910579"/>
        <w:docPartObj>
          <w:docPartGallery w:val="Table of Contents"/>
          <w:docPartUnique/>
        </w:docPartObj>
      </w:sdtPr>
      <w:sdtEndPr>
        <w:rPr>
          <w:rFonts w:ascii="Times New Roman" w:hAnsi="Times New Roman" w:eastAsia="Times New Roman" w:cs="Times New Roman"/>
          <w:b/>
          <w:bCs/>
          <w:color w:val="000000" w:themeColor="text1"/>
          <w:sz w:val="24"/>
          <w:szCs w:val="24"/>
          <w:lang w:val="en-GB" w:eastAsia="en-IN"/>
          <w14:textFill>
            <w14:solidFill>
              <w14:schemeClr w14:val="tx1"/>
            </w14:solidFill>
          </w14:textFill>
        </w:rPr>
      </w:sdtEndPr>
      <w:sdtContent>
        <w:p w14:paraId="17B26000">
          <w:pPr>
            <w:pStyle w:val="30"/>
            <w:spacing w:line="360" w:lineRule="auto"/>
            <w:jc w:val="center"/>
            <w:rPr>
              <w:rFonts w:ascii="Times New Roman" w:hAnsi="Times New Roman" w:cs="Times New Roman"/>
              <w:b/>
              <w:bCs/>
              <w:color w:val="000000" w:themeColor="text1"/>
              <w:sz w:val="28"/>
              <w:szCs w:val="28"/>
              <w14:textFill>
                <w14:solidFill>
                  <w14:schemeClr w14:val="tx1"/>
                </w14:solidFill>
              </w14:textFill>
            </w:rPr>
          </w:pPr>
          <w:bookmarkStart w:id="0" w:name="_hqm0mc6znrto" w:colFirst="0" w:colLast="0"/>
          <w:bookmarkEnd w:id="0"/>
          <w:r>
            <w:rPr>
              <w:rFonts w:ascii="Times New Roman" w:hAnsi="Times New Roman" w:cs="Times New Roman"/>
              <w:b/>
              <w:bCs/>
              <w:color w:val="000000" w:themeColor="text1"/>
              <w:sz w:val="28"/>
              <w:szCs w:val="28"/>
              <w14:textFill>
                <w14:solidFill>
                  <w14:schemeClr w14:val="tx1"/>
                </w14:solidFill>
              </w14:textFill>
            </w:rPr>
            <w:t>Table of Contents</w:t>
          </w:r>
        </w:p>
        <w:p w14:paraId="52284B7C">
          <w:pPr>
            <w:pStyle w:val="13"/>
            <w:tabs>
              <w:tab w:val="right" w:leader="dot" w:pos="9019"/>
            </w:tabs>
            <w:rPr>
              <w:rFonts w:asciiTheme="minorHAnsi" w:hAnsiTheme="minorHAnsi" w:eastAsiaTheme="minorEastAsia" w:cstheme="minorBidi"/>
              <w:kern w:val="2"/>
              <w:lang w:val="en-IN"/>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r>
            <w:fldChar w:fldCharType="begin"/>
          </w:r>
          <w:r>
            <w:instrText xml:space="preserve"> HYPERLINK \l "_Toc237386532" </w:instrText>
          </w:r>
          <w:r>
            <w:fldChar w:fldCharType="separate"/>
          </w:r>
          <w:r>
            <w:rPr>
              <w:rStyle w:val="10"/>
            </w:rPr>
            <w:t>1. Introduction</w:t>
          </w:r>
          <w:r>
            <w:tab/>
          </w:r>
          <w:r>
            <w:fldChar w:fldCharType="begin"/>
          </w:r>
          <w:r>
            <w:instrText xml:space="preserve"> PAGEREF _Toc237386532 \h </w:instrText>
          </w:r>
          <w:r>
            <w:fldChar w:fldCharType="separate"/>
          </w:r>
          <w:r>
            <w:t>4</w:t>
          </w:r>
          <w:r>
            <w:fldChar w:fldCharType="end"/>
          </w:r>
          <w:r>
            <w:fldChar w:fldCharType="end"/>
          </w:r>
        </w:p>
        <w:p w14:paraId="6EE4B227">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"_Toc237386533" </w:instrText>
          </w:r>
          <w:r>
            <w:fldChar w:fldCharType="separate"/>
          </w:r>
          <w:r>
            <w:rPr>
              <w:rStyle w:val="10"/>
            </w:rPr>
            <w:t>1.1 Background</w:t>
          </w:r>
          <w:r>
            <w:tab/>
          </w:r>
          <w:r>
            <w:fldChar w:fldCharType="begin"/>
          </w:r>
          <w:r>
            <w:instrText xml:space="preserve"> PAGEREF _Toc237386533 \h </w:instrText>
          </w:r>
          <w:r>
            <w:fldChar w:fldCharType="separate"/>
          </w:r>
          <w:r>
            <w:t>4</w:t>
          </w:r>
          <w:r>
            <w:fldChar w:fldCharType="end"/>
          </w:r>
          <w:r>
            <w:fldChar w:fldCharType="end"/>
          </w:r>
        </w:p>
        <w:p w14:paraId="569387C4">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"_Toc237386534" </w:instrText>
          </w:r>
          <w:r>
            <w:fldChar w:fldCharType="separate"/>
          </w:r>
          <w:r>
            <w:rPr>
              <w:rStyle w:val="10"/>
            </w:rPr>
            <w:t>1.2 Business Problem</w:t>
          </w:r>
          <w:r>
            <w:tab/>
          </w:r>
          <w:r>
            <w:fldChar w:fldCharType="begin"/>
          </w:r>
          <w:r>
            <w:instrText xml:space="preserve"> PAGEREF _Toc237386534 \h </w:instrText>
          </w:r>
          <w:r>
            <w:fldChar w:fldCharType="separate"/>
          </w:r>
          <w:r>
            <w:t>4</w:t>
          </w:r>
          <w:r>
            <w:fldChar w:fldCharType="end"/>
          </w:r>
          <w:r>
            <w:fldChar w:fldCharType="end"/>
          </w:r>
        </w:p>
        <w:p w14:paraId="74CC3EF2">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"_Toc237386535" </w:instrText>
          </w:r>
          <w:r>
            <w:fldChar w:fldCharType="separate"/>
          </w:r>
          <w:r>
            <w:rPr>
              <w:rStyle w:val="10"/>
            </w:rPr>
            <w:t>1.3 Project Rationale</w:t>
          </w:r>
          <w:r>
            <w:tab/>
          </w:r>
          <w:r>
            <w:fldChar w:fldCharType="begin"/>
          </w:r>
          <w:r>
            <w:instrText xml:space="preserve"> PAGEREF _Toc237386535 \h </w:instrText>
          </w:r>
          <w:r>
            <w:fldChar w:fldCharType="separate"/>
          </w:r>
          <w:r>
            <w:t>4</w:t>
          </w:r>
          <w:r>
            <w:fldChar w:fldCharType="end"/>
          </w:r>
          <w:r>
            <w:fldChar w:fldCharType="end"/>
          </w:r>
        </w:p>
        <w:p w14:paraId="5A97B476">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"_Toc237386536" </w:instrText>
          </w:r>
          <w:r>
            <w:fldChar w:fldCharType="separate"/>
          </w:r>
          <w:r>
            <w:rPr>
              <w:rStyle w:val="10"/>
            </w:rPr>
            <w:t>1.4 Aim of the Project</w:t>
          </w:r>
          <w:r>
            <w:tab/>
          </w:r>
          <w:r>
            <w:fldChar w:fldCharType="begin"/>
          </w:r>
          <w:r>
            <w:instrText xml:space="preserve"> PAGEREF _Toc237386536 \h </w:instrText>
          </w:r>
          <w:r>
            <w:fldChar w:fldCharType="separate"/>
          </w:r>
          <w:r>
            <w:t>4</w:t>
          </w:r>
          <w:r>
            <w:fldChar w:fldCharType="end"/>
          </w:r>
          <w:r>
            <w:fldChar w:fldCharType="end"/>
          </w:r>
        </w:p>
        <w:p w14:paraId="08F2F819">
          <w:pPr>
            <w:pStyle w:val="13"/>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"_Toc237386537" </w:instrText>
          </w:r>
          <w:r>
            <w:fldChar w:fldCharType="separate"/>
          </w:r>
          <w:r>
            <w:rPr>
              <w:rStyle w:val="10"/>
            </w:rPr>
            <w:t>2. Network Diagram, Gantt Chart and Critical Path of the project</w:t>
          </w:r>
          <w:r>
            <w:tab/>
          </w:r>
          <w:r>
            <w:fldChar w:fldCharType="begin"/>
          </w:r>
          <w:r>
            <w:instrText xml:space="preserve"> PAGEREF _Toc237386537 \h </w:instrText>
          </w:r>
          <w:r>
            <w:fldChar w:fldCharType="separate"/>
          </w:r>
          <w:r>
            <w:t>4</w:t>
          </w:r>
          <w:r>
            <w:fldChar w:fldCharType="end"/>
          </w:r>
          <w:r>
            <w:fldChar w:fldCharType="end"/>
          </w:r>
        </w:p>
        <w:p w14:paraId="6C2499C4">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"_Toc237386538" </w:instrText>
          </w:r>
          <w:r>
            <w:fldChar w:fldCharType="separate"/>
          </w:r>
          <w:r>
            <w:rPr>
              <w:rStyle w:val="10"/>
            </w:rPr>
            <w:t>2.1 Network Diagram and Critical Path Analysis</w:t>
          </w:r>
          <w:r>
            <w:tab/>
          </w:r>
          <w:r>
            <w:fldChar w:fldCharType="begin"/>
          </w:r>
          <w:r>
            <w:instrText xml:space="preserve"> PAGEREF _Toc237386538 \h </w:instrText>
          </w:r>
          <w:r>
            <w:fldChar w:fldCharType="separate"/>
          </w:r>
          <w:r>
            <w:t>4</w:t>
          </w:r>
          <w:r>
            <w:fldChar w:fldCharType="end"/>
          </w:r>
          <w:r>
            <w:fldChar w:fldCharType="end"/>
          </w:r>
        </w:p>
        <w:p w14:paraId="532BE75E">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"_Toc237386539" </w:instrText>
          </w:r>
          <w:r>
            <w:fldChar w:fldCharType="separate"/>
          </w:r>
          <w:r>
            <w:rPr>
              <w:rStyle w:val="10"/>
            </w:rPr>
            <w:t>2.2 Gantt Chart</w:t>
          </w:r>
          <w:r>
            <w:tab/>
          </w:r>
          <w:r>
            <w:fldChar w:fldCharType="begin"/>
          </w:r>
          <w:r>
            <w:instrText xml:space="preserve"> PAGEREF _Toc237386539 \h </w:instrText>
          </w:r>
          <w:r>
            <w:fldChar w:fldCharType="separate"/>
          </w:r>
          <w:r>
            <w:t>8</w:t>
          </w:r>
          <w:r>
            <w:fldChar w:fldCharType="end"/>
          </w:r>
          <w:r>
            <w:fldChar w:fldCharType="end"/>
          </w:r>
        </w:p>
        <w:p w14:paraId="5657E208">
          <w:pPr>
            <w:pStyle w:val="13"/>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"_Toc237386540" </w:instrText>
          </w:r>
          <w:r>
            <w:fldChar w:fldCharType="separate"/>
          </w:r>
          <w:r>
            <w:rPr>
              <w:rStyle w:val="10"/>
            </w:rPr>
            <w:t>3. Role of Communication in Project Management</w:t>
          </w:r>
          <w:r>
            <w:tab/>
          </w:r>
          <w:r>
            <w:fldChar w:fldCharType="begin"/>
          </w:r>
          <w:r>
            <w:instrText xml:space="preserve"> PAGEREF _Toc237386540 \h </w:instrText>
          </w:r>
          <w:r>
            <w:fldChar w:fldCharType="separate"/>
          </w:r>
          <w:r>
            <w:t>9</w:t>
          </w:r>
          <w:r>
            <w:fldChar w:fldCharType="end"/>
          </w:r>
          <w:r>
            <w:fldChar w:fldCharType="end"/>
          </w:r>
        </w:p>
        <w:p w14:paraId="0487216E">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"_Toc237386541" </w:instrText>
          </w:r>
          <w:r>
            <w:fldChar w:fldCharType="separate"/>
          </w:r>
          <w:r>
            <w:rPr>
              <w:rStyle w:val="10"/>
            </w:rPr>
            <w:t>3.1 Project Stakeholders and Communication Requirements</w:t>
          </w:r>
          <w:r>
            <w:tab/>
          </w:r>
          <w:r>
            <w:fldChar w:fldCharType="begin"/>
          </w:r>
          <w:r>
            <w:instrText xml:space="preserve"> PAGEREF _Toc237386541 \h </w:instrText>
          </w:r>
          <w:r>
            <w:fldChar w:fldCharType="separate"/>
          </w:r>
          <w:r>
            <w:t>9</w:t>
          </w:r>
          <w:r>
            <w:fldChar w:fldCharType="end"/>
          </w:r>
          <w:r>
            <w:fldChar w:fldCharType="end"/>
          </w:r>
        </w:p>
        <w:p w14:paraId="4F1A283D">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"_Toc237386542" </w:instrText>
          </w:r>
          <w:r>
            <w:fldChar w:fldCharType="separate"/>
          </w:r>
          <w:r>
            <w:rPr>
              <w:rStyle w:val="10"/>
            </w:rPr>
            <w:t>3.2 Communication Methods and Responsibilities</w:t>
          </w:r>
          <w:r>
            <w:tab/>
          </w:r>
          <w:r>
            <w:fldChar w:fldCharType="begin"/>
          </w:r>
          <w:r>
            <w:instrText xml:space="preserve"> PAGEREF _Toc237386542 \h </w:instrText>
          </w:r>
          <w:r>
            <w:fldChar w:fldCharType="separate"/>
          </w:r>
          <w:r>
            <w:t>9</w:t>
          </w:r>
          <w:r>
            <w:fldChar w:fldCharType="end"/>
          </w:r>
          <w:r>
            <w:fldChar w:fldCharType="end"/>
          </w:r>
        </w:p>
        <w:p w14:paraId="39869D9A">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"_Toc237386543" </w:instrText>
          </w:r>
          <w:r>
            <w:fldChar w:fldCharType="separate"/>
          </w:r>
          <w:r>
            <w:rPr>
              <w:rStyle w:val="10"/>
            </w:rPr>
            <w:t>3.3 Communication Challenges</w:t>
          </w:r>
          <w:r>
            <w:tab/>
          </w:r>
          <w:r>
            <w:fldChar w:fldCharType="begin"/>
          </w:r>
          <w:r>
            <w:instrText xml:space="preserve"> PAGEREF _Toc237386543 \h </w:instrText>
          </w:r>
          <w:r>
            <w:fldChar w:fldCharType="separate"/>
          </w:r>
          <w:r>
            <w:t>10</w:t>
          </w:r>
          <w:r>
            <w:fldChar w:fldCharType="end"/>
          </w:r>
          <w:r>
            <w:fldChar w:fldCharType="end"/>
          </w:r>
        </w:p>
        <w:p w14:paraId="7C58F6EE">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"_Toc237386544" </w:instrText>
          </w:r>
          <w:r>
            <w:fldChar w:fldCharType="separate"/>
          </w:r>
          <w:r>
            <w:rPr>
              <w:rStyle w:val="10"/>
            </w:rPr>
            <w:t>3.4 Improving Communication and Project Performance</w:t>
          </w:r>
          <w:r>
            <w:tab/>
          </w:r>
          <w:r>
            <w:fldChar w:fldCharType="begin"/>
          </w:r>
          <w:r>
            <w:instrText xml:space="preserve"> PAGEREF _Toc237386544 \h </w:instrText>
          </w:r>
          <w:r>
            <w:fldChar w:fldCharType="separate"/>
          </w:r>
          <w:r>
            <w:t>10</w:t>
          </w:r>
          <w:r>
            <w:fldChar w:fldCharType="end"/>
          </w:r>
          <w:r>
            <w:fldChar w:fldCharType="end"/>
          </w:r>
        </w:p>
        <w:p w14:paraId="7C060E6E">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"_Toc237386545" </w:instrText>
          </w:r>
          <w:r>
            <w:fldChar w:fldCharType="separate"/>
          </w:r>
          <w:r>
            <w:rPr>
              <w:rStyle w:val="10"/>
            </w:rPr>
            <w:t>3.5 PESTLE Analysis</w:t>
          </w:r>
          <w:r>
            <w:tab/>
          </w:r>
          <w:r>
            <w:fldChar w:fldCharType="begin"/>
          </w:r>
          <w:r>
            <w:instrText xml:space="preserve"> PAGEREF _Toc237386545 \h </w:instrText>
          </w:r>
          <w:r>
            <w:fldChar w:fldCharType="separate"/>
          </w:r>
          <w:r>
            <w:t>11</w:t>
          </w:r>
          <w:r>
            <w:fldChar w:fldCharType="end"/>
          </w:r>
          <w:r>
            <w:fldChar w:fldCharType="end"/>
          </w:r>
        </w:p>
        <w:p w14:paraId="0F64897A">
          <w:pPr>
            <w:pStyle w:val="13"/>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"_Toc237386546" </w:instrText>
          </w:r>
          <w:r>
            <w:fldChar w:fldCharType="separate"/>
          </w:r>
          <w:r>
            <w:rPr>
              <w:rStyle w:val="10"/>
            </w:rPr>
            <w:t>4. PERT Analysis and Risk Management</w:t>
          </w:r>
          <w:r>
            <w:tab/>
          </w:r>
          <w:r>
            <w:fldChar w:fldCharType="begin"/>
          </w:r>
          <w:r>
            <w:instrText xml:space="preserve"> PAGEREF _Toc237386546 \h </w:instrText>
          </w:r>
          <w:r>
            <w:fldChar w:fldCharType="separate"/>
          </w:r>
          <w:r>
            <w:t>11</w:t>
          </w:r>
          <w:r>
            <w:fldChar w:fldCharType="end"/>
          </w:r>
          <w:r>
            <w:fldChar w:fldCharType="end"/>
          </w:r>
        </w:p>
        <w:p w14:paraId="1EFAB602">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"_Toc237386547" </w:instrText>
          </w:r>
          <w:r>
            <w:fldChar w:fldCharType="separate"/>
          </w:r>
          <w:r>
            <w:rPr>
              <w:rStyle w:val="10"/>
            </w:rPr>
            <w:t>4.1 PERT Analysis</w:t>
          </w:r>
          <w:r>
            <w:tab/>
          </w:r>
          <w:r>
            <w:fldChar w:fldCharType="begin"/>
          </w:r>
          <w:r>
            <w:instrText xml:space="preserve"> PAGEREF _Toc237386547 \h </w:instrText>
          </w:r>
          <w:r>
            <w:fldChar w:fldCharType="separate"/>
          </w:r>
          <w:r>
            <w:t>11</w:t>
          </w:r>
          <w:r>
            <w:fldChar w:fldCharType="end"/>
          </w:r>
          <w:r>
            <w:fldChar w:fldCharType="end"/>
          </w:r>
        </w:p>
        <w:p w14:paraId="13253668">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"_Toc237386548" </w:instrText>
          </w:r>
          <w:r>
            <w:fldChar w:fldCharType="separate"/>
          </w:r>
          <w:r>
            <w:rPr>
              <w:rStyle w:val="10"/>
            </w:rPr>
            <w:t>4.2 Project Risk Identification and Assessment</w:t>
          </w:r>
          <w:r>
            <w:tab/>
          </w:r>
          <w:r>
            <w:fldChar w:fldCharType="begin"/>
          </w:r>
          <w:r>
            <w:instrText xml:space="preserve"> PAGEREF _Toc237386548 \h </w:instrText>
          </w:r>
          <w:r>
            <w:fldChar w:fldCharType="separate"/>
          </w:r>
          <w:r>
            <w:t>12</w:t>
          </w:r>
          <w:r>
            <w:fldChar w:fldCharType="end"/>
          </w:r>
          <w:r>
            <w:fldChar w:fldCharType="end"/>
          </w:r>
        </w:p>
        <w:p w14:paraId="15A4F8CB">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"_Toc237386549" </w:instrText>
          </w:r>
          <w:r>
            <w:fldChar w:fldCharType="separate"/>
          </w:r>
          <w:r>
            <w:rPr>
              <w:rStyle w:val="10"/>
            </w:rPr>
            <w:t>4.3 Risk Impact on the Project and Business</w:t>
          </w:r>
          <w:r>
            <w:tab/>
          </w:r>
          <w:r>
            <w:fldChar w:fldCharType="begin"/>
          </w:r>
          <w:r>
            <w:instrText xml:space="preserve"> PAGEREF _Toc237386549 \h </w:instrText>
          </w:r>
          <w:r>
            <w:fldChar w:fldCharType="separate"/>
          </w:r>
          <w:r>
            <w:t>13</w:t>
          </w:r>
          <w:r>
            <w:fldChar w:fldCharType="end"/>
          </w:r>
          <w:r>
            <w:fldChar w:fldCharType="end"/>
          </w:r>
        </w:p>
        <w:p w14:paraId="74E94262">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"_Toc237386550" </w:instrText>
          </w:r>
          <w:r>
            <w:fldChar w:fldCharType="separate"/>
          </w:r>
          <w:r>
            <w:rPr>
              <w:rStyle w:val="10"/>
            </w:rPr>
            <w:t>4.4 Risk Mitigation and Management Techniques</w:t>
          </w:r>
          <w:r>
            <w:tab/>
          </w:r>
          <w:r>
            <w:fldChar w:fldCharType="begin"/>
          </w:r>
          <w:r>
            <w:instrText xml:space="preserve"> PAGEREF _Toc237386550 \h </w:instrText>
          </w:r>
          <w:r>
            <w:fldChar w:fldCharType="separate"/>
          </w:r>
          <w:r>
            <w:t>13</w:t>
          </w:r>
          <w:r>
            <w:fldChar w:fldCharType="end"/>
          </w:r>
          <w:r>
            <w:fldChar w:fldCharType="end"/>
          </w:r>
        </w:p>
        <w:p w14:paraId="33A4A41C">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"_Toc237386551" </w:instrText>
          </w:r>
          <w:r>
            <w:fldChar w:fldCharType="separate"/>
          </w:r>
          <w:r>
            <w:rPr>
              <w:rStyle w:val="10"/>
            </w:rPr>
            <w:t>4.5 SWOT Analysis</w:t>
          </w:r>
          <w:r>
            <w:tab/>
          </w:r>
          <w:r>
            <w:fldChar w:fldCharType="begin"/>
          </w:r>
          <w:r>
            <w:instrText xml:space="preserve"> PAGEREF _Toc237386551 \h </w:instrText>
          </w:r>
          <w:r>
            <w:fldChar w:fldCharType="separate"/>
          </w:r>
          <w:r>
            <w:t>15</w:t>
          </w:r>
          <w:r>
            <w:fldChar w:fldCharType="end"/>
          </w:r>
          <w:r>
            <w:fldChar w:fldCharType="end"/>
          </w:r>
        </w:p>
        <w:p w14:paraId="4E389F69">
          <w:pPr>
            <w:pStyle w:val="13"/>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"_Toc237386552" </w:instrText>
          </w:r>
          <w:r>
            <w:fldChar w:fldCharType="separate"/>
          </w:r>
          <w:r>
            <w:rPr>
              <w:rStyle w:val="10"/>
            </w:rPr>
            <w:t>5. Costs of Individual Activities and Total Project Cost</w:t>
          </w:r>
          <w:r>
            <w:tab/>
          </w:r>
          <w:r>
            <w:fldChar w:fldCharType="begin"/>
          </w:r>
          <w:r>
            <w:instrText xml:space="preserve"> PAGEREF _Toc237386552 \h </w:instrText>
          </w:r>
          <w:r>
            <w:fldChar w:fldCharType="separate"/>
          </w:r>
          <w:r>
            <w:t>15</w:t>
          </w:r>
          <w:r>
            <w:fldChar w:fldCharType="end"/>
          </w:r>
          <w:r>
            <w:fldChar w:fldCharType="end"/>
          </w:r>
        </w:p>
        <w:p w14:paraId="6D4865CB">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"_Toc237386553" </w:instrText>
          </w:r>
          <w:r>
            <w:fldChar w:fldCharType="separate"/>
          </w:r>
          <w:r>
            <w:rPr>
              <w:rStyle w:val="10"/>
            </w:rPr>
            <w:t>5.1 Project Resource Requirements</w:t>
          </w:r>
          <w:r>
            <w:tab/>
          </w:r>
          <w:r>
            <w:fldChar w:fldCharType="begin"/>
          </w:r>
          <w:r>
            <w:instrText xml:space="preserve"> PAGEREF _Toc237386553 \h </w:instrText>
          </w:r>
          <w:r>
            <w:fldChar w:fldCharType="separate"/>
          </w:r>
          <w:r>
            <w:t>15</w:t>
          </w:r>
          <w:r>
            <w:fldChar w:fldCharType="end"/>
          </w:r>
          <w:r>
            <w:fldChar w:fldCharType="end"/>
          </w:r>
        </w:p>
        <w:p w14:paraId="0D76171B">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"_Toc237386554" </w:instrText>
          </w:r>
          <w:r>
            <w:fldChar w:fldCharType="separate"/>
          </w:r>
          <w:r>
            <w:rPr>
              <w:rStyle w:val="10"/>
            </w:rPr>
            <w:t>5.2 Individual Activity Costs</w:t>
          </w:r>
          <w:r>
            <w:tab/>
          </w:r>
          <w:r>
            <w:fldChar w:fldCharType="begin"/>
          </w:r>
          <w:r>
            <w:instrText xml:space="preserve"> PAGEREF _Toc237386554 \h </w:instrText>
          </w:r>
          <w:r>
            <w:fldChar w:fldCharType="separate"/>
          </w:r>
          <w:r>
            <w:t>16</w:t>
          </w:r>
          <w:r>
            <w:fldChar w:fldCharType="end"/>
          </w:r>
          <w:r>
            <w:fldChar w:fldCharType="end"/>
          </w:r>
        </w:p>
        <w:p w14:paraId="0661321E">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"_Toc237386555" </w:instrText>
          </w:r>
          <w:r>
            <w:fldChar w:fldCharType="separate"/>
          </w:r>
          <w:r>
            <w:rPr>
              <w:rStyle w:val="10"/>
            </w:rPr>
            <w:t>5.3 Total Project Cost</w:t>
          </w:r>
          <w:r>
            <w:tab/>
          </w:r>
          <w:r>
            <w:fldChar w:fldCharType="begin"/>
          </w:r>
          <w:r>
            <w:instrText xml:space="preserve"> PAGEREF _Toc237386555 \h </w:instrText>
          </w:r>
          <w:r>
            <w:fldChar w:fldCharType="separate"/>
          </w:r>
          <w:r>
            <w:t>17</w:t>
          </w:r>
          <w:r>
            <w:fldChar w:fldCharType="end"/>
          </w:r>
          <w:r>
            <w:fldChar w:fldCharType="end"/>
          </w:r>
        </w:p>
        <w:p w14:paraId="59CC4B11">
          <w:pPr>
            <w:pStyle w:val="13"/>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"_Toc237386556" </w:instrText>
          </w:r>
          <w:r>
            <w:fldChar w:fldCharType="separate"/>
          </w:r>
          <w:r>
            <w:rPr>
              <w:rStyle w:val="10"/>
            </w:rPr>
            <w:t>6. Application of Crash Costing Techniques</w:t>
          </w:r>
          <w:r>
            <w:tab/>
          </w:r>
          <w:r>
            <w:fldChar w:fldCharType="begin"/>
          </w:r>
          <w:r>
            <w:instrText xml:space="preserve"> PAGEREF _Toc237386556 \h </w:instrText>
          </w:r>
          <w:r>
            <w:fldChar w:fldCharType="separate"/>
          </w:r>
          <w:r>
            <w:t>18</w:t>
          </w:r>
          <w:r>
            <w:fldChar w:fldCharType="end"/>
          </w:r>
          <w:r>
            <w:fldChar w:fldCharType="end"/>
          </w:r>
        </w:p>
        <w:p w14:paraId="0D689E6D">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"_Toc237386557" </w:instrText>
          </w:r>
          <w:r>
            <w:fldChar w:fldCharType="separate"/>
          </w:r>
          <w:r>
            <w:rPr>
              <w:rStyle w:val="10"/>
            </w:rPr>
            <w:t>6.1 Identification of Activities for Crash Costing</w:t>
          </w:r>
          <w:r>
            <w:tab/>
          </w:r>
          <w:r>
            <w:fldChar w:fldCharType="begin"/>
          </w:r>
          <w:r>
            <w:instrText xml:space="preserve"> PAGEREF _Toc237386557 \h </w:instrText>
          </w:r>
          <w:r>
            <w:fldChar w:fldCharType="separate"/>
          </w:r>
          <w:r>
            <w:t>18</w:t>
          </w:r>
          <w:r>
            <w:fldChar w:fldCharType="end"/>
          </w:r>
          <w:r>
            <w:fldChar w:fldCharType="end"/>
          </w:r>
        </w:p>
        <w:p w14:paraId="01926783">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"_Toc237386558" </w:instrText>
          </w:r>
          <w:r>
            <w:fldChar w:fldCharType="separate"/>
          </w:r>
          <w:r>
            <w:rPr>
              <w:rStyle w:val="10"/>
            </w:rPr>
            <w:t>6.2 Normal and Crash Duration and Costs</w:t>
          </w:r>
          <w:r>
            <w:tab/>
          </w:r>
          <w:r>
            <w:fldChar w:fldCharType="begin"/>
          </w:r>
          <w:r>
            <w:instrText xml:space="preserve"> PAGEREF _Toc237386558 \h </w:instrText>
          </w:r>
          <w:r>
            <w:fldChar w:fldCharType="separate"/>
          </w:r>
          <w:r>
            <w:t>19</w:t>
          </w:r>
          <w:r>
            <w:fldChar w:fldCharType="end"/>
          </w:r>
          <w:r>
            <w:fldChar w:fldCharType="end"/>
          </w:r>
        </w:p>
        <w:p w14:paraId="6899AAA2">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"_Toc237386559" </w:instrText>
          </w:r>
          <w:r>
            <w:fldChar w:fldCharType="separate"/>
          </w:r>
          <w:r>
            <w:rPr>
              <w:rStyle w:val="10"/>
            </w:rPr>
            <w:t>6.3 Seven-Day Project Duration Reduction</w:t>
          </w:r>
          <w:r>
            <w:tab/>
          </w:r>
          <w:r>
            <w:fldChar w:fldCharType="begin"/>
          </w:r>
          <w:r>
            <w:instrText xml:space="preserve"> PAGEREF _Toc237386559 \h </w:instrText>
          </w:r>
          <w:r>
            <w:fldChar w:fldCharType="separate"/>
          </w:r>
          <w:r>
            <w:t>20</w:t>
          </w:r>
          <w:r>
            <w:fldChar w:fldCharType="end"/>
          </w:r>
          <w:r>
            <w:fldChar w:fldCharType="end"/>
          </w:r>
        </w:p>
        <w:p w14:paraId="6A3402D5">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"_Toc237386560" </w:instrText>
          </w:r>
          <w:r>
            <w:fldChar w:fldCharType="separate"/>
          </w:r>
          <w:r>
            <w:rPr>
              <w:rStyle w:val="10"/>
            </w:rPr>
            <w:t>6.4 Revised Project Schedule and Critical Path</w:t>
          </w:r>
          <w:r>
            <w:tab/>
          </w:r>
          <w:r>
            <w:fldChar w:fldCharType="begin"/>
          </w:r>
          <w:r>
            <w:instrText xml:space="preserve"> PAGEREF _Toc237386560 \h </w:instrText>
          </w:r>
          <w:r>
            <w:fldChar w:fldCharType="separate"/>
          </w:r>
          <w:r>
            <w:t>21</w:t>
          </w:r>
          <w:r>
            <w:fldChar w:fldCharType="end"/>
          </w:r>
          <w:r>
            <w:fldChar w:fldCharType="end"/>
          </w:r>
        </w:p>
        <w:p w14:paraId="685DA5F4">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"_Toc237386561" </w:instrText>
          </w:r>
          <w:r>
            <w:fldChar w:fldCharType="separate"/>
          </w:r>
          <w:r>
            <w:rPr>
              <w:rStyle w:val="10"/>
            </w:rPr>
            <w:t>6.5 Final Project Cost</w:t>
          </w:r>
          <w:r>
            <w:tab/>
          </w:r>
          <w:r>
            <w:fldChar w:fldCharType="begin"/>
          </w:r>
          <w:r>
            <w:instrText xml:space="preserve"> PAGEREF _Toc237386561 \h </w:instrText>
          </w:r>
          <w:r>
            <w:fldChar w:fldCharType="separate"/>
          </w:r>
          <w:r>
            <w:t>22</w:t>
          </w:r>
          <w:r>
            <w:fldChar w:fldCharType="end"/>
          </w:r>
          <w:r>
            <w:fldChar w:fldCharType="end"/>
          </w:r>
        </w:p>
        <w:p w14:paraId="6BB47627">
          <w:pPr>
            <w:pStyle w:val="13"/>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"_Toc237386562" </w:instrText>
          </w:r>
          <w:r>
            <w:fldChar w:fldCharType="separate"/>
          </w:r>
          <w:r>
            <w:rPr>
              <w:rStyle w:val="10"/>
            </w:rPr>
            <w:t>7. Project Handover Issues</w:t>
          </w:r>
          <w:r>
            <w:tab/>
          </w:r>
          <w:r>
            <w:fldChar w:fldCharType="begin"/>
          </w:r>
          <w:r>
            <w:instrText xml:space="preserve"> PAGEREF _Toc237386562 \h </w:instrText>
          </w:r>
          <w:r>
            <w:fldChar w:fldCharType="separate"/>
          </w:r>
          <w:r>
            <w:t>22</w:t>
          </w:r>
          <w:r>
            <w:fldChar w:fldCharType="end"/>
          </w:r>
          <w:r>
            <w:fldChar w:fldCharType="end"/>
          </w:r>
        </w:p>
        <w:p w14:paraId="0525A152">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"_Toc237386563" </w:instrText>
          </w:r>
          <w:r>
            <w:fldChar w:fldCharType="separate"/>
          </w:r>
          <w:r>
            <w:rPr>
              <w:rStyle w:val="10"/>
            </w:rPr>
            <w:t>7.1 Handover to the Client</w:t>
          </w:r>
          <w:r>
            <w:tab/>
          </w:r>
          <w:r>
            <w:fldChar w:fldCharType="begin"/>
          </w:r>
          <w:r>
            <w:instrText xml:space="preserve"> PAGEREF _Toc237386563 \h </w:instrText>
          </w:r>
          <w:r>
            <w:fldChar w:fldCharType="separate"/>
          </w:r>
          <w:r>
            <w:t>22</w:t>
          </w:r>
          <w:r>
            <w:fldChar w:fldCharType="end"/>
          </w:r>
          <w:r>
            <w:fldChar w:fldCharType="end"/>
          </w:r>
        </w:p>
        <w:p w14:paraId="0FAA70AD">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"_Toc237386564" </w:instrText>
          </w:r>
          <w:r>
            <w:fldChar w:fldCharType="separate"/>
          </w:r>
          <w:r>
            <w:rPr>
              <w:rStyle w:val="10"/>
            </w:rPr>
            <w:t>7.2 Testing, Commissioning and Documentation</w:t>
          </w:r>
          <w:r>
            <w:tab/>
          </w:r>
          <w:r>
            <w:fldChar w:fldCharType="begin"/>
          </w:r>
          <w:r>
            <w:instrText xml:space="preserve"> PAGEREF _Toc237386564 \h </w:instrText>
          </w:r>
          <w:r>
            <w:fldChar w:fldCharType="separate"/>
          </w:r>
          <w:r>
            <w:t>22</w:t>
          </w:r>
          <w:r>
            <w:fldChar w:fldCharType="end"/>
          </w:r>
          <w:r>
            <w:fldChar w:fldCharType="end"/>
          </w:r>
        </w:p>
        <w:p w14:paraId="18B164EE">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"_Toc237386565" </w:instrText>
          </w:r>
          <w:r>
            <w:fldChar w:fldCharType="separate"/>
          </w:r>
          <w:r>
            <w:rPr>
              <w:rStyle w:val="10"/>
            </w:rPr>
            <w:t>7.3 Client Acceptance and Sign-Off</w:t>
          </w:r>
          <w:r>
            <w:tab/>
          </w:r>
          <w:r>
            <w:fldChar w:fldCharType="begin"/>
          </w:r>
          <w:r>
            <w:instrText xml:space="preserve"> PAGEREF _Toc237386565 \h </w:instrText>
          </w:r>
          <w:r>
            <w:fldChar w:fldCharType="separate"/>
          </w:r>
          <w:r>
            <w:t>22</w:t>
          </w:r>
          <w:r>
            <w:fldChar w:fldCharType="end"/>
          </w:r>
          <w:r>
            <w:fldChar w:fldCharType="end"/>
          </w:r>
        </w:p>
        <w:p w14:paraId="6879CE42">
          <w:pPr>
            <w:pStyle w:val="14"/>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"_Toc237386566" </w:instrText>
          </w:r>
          <w:r>
            <w:fldChar w:fldCharType="separate"/>
          </w:r>
          <w:r>
            <w:rPr>
              <w:rStyle w:val="10"/>
            </w:rPr>
            <w:t>7.4 Handover Issues and Client Considerations</w:t>
          </w:r>
          <w:r>
            <w:tab/>
          </w:r>
          <w:r>
            <w:fldChar w:fldCharType="begin"/>
          </w:r>
          <w:r>
            <w:instrText xml:space="preserve"> PAGEREF _Toc237386566 \h </w:instrText>
          </w:r>
          <w:r>
            <w:fldChar w:fldCharType="separate"/>
          </w:r>
          <w:r>
            <w:t>23</w:t>
          </w:r>
          <w:r>
            <w:fldChar w:fldCharType="end"/>
          </w:r>
          <w:r>
            <w:fldChar w:fldCharType="end"/>
          </w:r>
        </w:p>
        <w:p w14:paraId="23EAA4FA">
          <w:pPr>
            <w:pStyle w:val="13"/>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"_Toc237386567" </w:instrText>
          </w:r>
          <w:r>
            <w:fldChar w:fldCharType="separate"/>
          </w:r>
          <w:r>
            <w:rPr>
              <w:rStyle w:val="10"/>
            </w:rPr>
            <w:t>8. Conclusions</w:t>
          </w:r>
          <w:r>
            <w:tab/>
          </w:r>
          <w:r>
            <w:fldChar w:fldCharType="begin"/>
          </w:r>
          <w:r>
            <w:instrText xml:space="preserve"> PAGEREF _Toc237386567 \h </w:instrText>
          </w:r>
          <w:r>
            <w:fldChar w:fldCharType="separate"/>
          </w:r>
          <w:r>
            <w:t>23</w:t>
          </w:r>
          <w:r>
            <w:fldChar w:fldCharType="end"/>
          </w:r>
          <w:r>
            <w:fldChar w:fldCharType="end"/>
          </w:r>
        </w:p>
        <w:p w14:paraId="7BC7CCFB">
          <w:pPr>
            <w:pStyle w:val="13"/>
            <w:tabs>
              <w:tab w:val="right" w:leader="dot" w:pos="9019"/>
            </w:tabs>
            <w:rPr>
              <w:rFonts w:asciiTheme="minorHAnsi" w:hAnsiTheme="minorHAnsi" w:eastAsiaTheme="minorEastAsia" w:cstheme="minorBidi"/>
              <w:kern w:val="2"/>
              <w:lang w:val="en-IN"/>
              <w14:ligatures w14:val="standardContextual"/>
            </w:rPr>
          </w:pPr>
          <w:r>
            <w:fldChar w:fldCharType="begin"/>
          </w:r>
          <w:r>
            <w:instrText xml:space="preserve"> HYPERLINK \l "_Toc237386568" </w:instrText>
          </w:r>
          <w:r>
            <w:fldChar w:fldCharType="separate"/>
          </w:r>
          <w:r>
            <w:rPr>
              <w:rStyle w:val="10"/>
            </w:rPr>
            <w:t>References</w:t>
          </w:r>
          <w:r>
            <w:tab/>
          </w:r>
          <w:r>
            <w:fldChar w:fldCharType="begin"/>
          </w:r>
          <w:r>
            <w:instrText xml:space="preserve"> PAGEREF _Toc237386568 \h </w:instrText>
          </w:r>
          <w:r>
            <w:fldChar w:fldCharType="separate"/>
          </w:r>
          <w:r>
            <w:t>24</w:t>
          </w:r>
          <w:r>
            <w:fldChar w:fldCharType="end"/>
          </w:r>
          <w:r>
            <w:fldChar w:fldCharType="end"/>
          </w:r>
        </w:p>
        <w:p w14:paraId="3119A695">
          <w:r>
            <w:rPr>
              <w:b/>
              <w:bCs/>
              <w:color w:val="000000" w:themeColor="text1"/>
              <w14:textFill>
                <w14:solidFill>
                  <w14:schemeClr w14:val="tx1"/>
                </w14:solidFill>
              </w14:textFill>
            </w:rPr>
            <w:fldChar w:fldCharType="end"/>
          </w:r>
        </w:p>
      </w:sdtContent>
    </w:sdt>
    <w:p w14:paraId="5C5AF076">
      <w:pPr>
        <w:keepNext/>
        <w:keepLines/>
        <w:pBdr>
          <w:top w:val="none" w:color="auto" w:sz="0" w:space="0"/>
          <w:left w:val="none" w:color="auto" w:sz="0" w:space="0"/>
          <w:bottom w:val="none" w:color="auto" w:sz="0" w:space="0"/>
          <w:right w:val="none" w:color="auto" w:sz="0" w:space="0"/>
          <w:between w:val="none" w:color="auto" w:sz="0" w:space="0"/>
        </w:pBdr>
        <w:rPr>
          <w:color w:val="000000"/>
        </w:rPr>
      </w:pPr>
    </w:p>
    <w:p w14:paraId="27C7D794">
      <w:pPr>
        <w:rPr>
          <w:b/>
          <w:bCs/>
          <w:sz w:val="28"/>
          <w:szCs w:val="28"/>
        </w:rPr>
      </w:pPr>
      <w:r>
        <w:br w:type="page"/>
      </w:r>
    </w:p>
    <w:p w14:paraId="38A61425">
      <w:pPr>
        <w:pStyle w:val="2"/>
      </w:pPr>
      <w:bookmarkStart w:id="1" w:name="_Toc237386532"/>
      <w:r>
        <w:t>1. Introduction</w:t>
      </w:r>
      <w:bookmarkEnd w:id="1"/>
    </w:p>
    <w:p w14:paraId="565F9EF0">
      <w:pPr>
        <w:pStyle w:val="3"/>
      </w:pPr>
      <w:bookmarkStart w:id="2" w:name="_Toc237386533"/>
      <w:r>
        <w:t>1.1 Background</w:t>
      </w:r>
      <w:bookmarkEnd w:id="2"/>
    </w:p>
    <w:p w14:paraId="2D6152AD">
      <w:r>
        <w:t xml:space="preserve">The proposed project is a 1 MWp rooftop solar PV (photovoltaic) system to be installed on a medium-sized commercial/industrial (CI) building with about 5,000 m² of usable roof space. The rooftop PV installation is well suited for industrial facilities, as the rooftop can host PV generation equipment without requiring additional land (Leewiraphan </w:t>
      </w:r>
      <w:r>
        <w:rPr>
          <w:i/>
          <w:iCs/>
        </w:rPr>
        <w:t>et al.</w:t>
      </w:r>
      <w:r>
        <w:t xml:space="preserve"> 2024). </w:t>
      </w:r>
    </w:p>
    <w:p w14:paraId="09AD897F">
      <w:pPr>
        <w:pStyle w:val="3"/>
      </w:pPr>
      <w:bookmarkStart w:id="3" w:name="_Toc237386534"/>
      <w:r>
        <w:t>1.2 Business Problem</w:t>
      </w:r>
      <w:bookmarkEnd w:id="3"/>
    </w:p>
    <w:p w14:paraId="61808E06">
      <w:r>
        <w:t xml:space="preserve">Current facilities are heavily dependent on grid electricity for daytime production, lighting, ventilation and auxiliary loads. The planning assumption of 1.6 GWh per year electricity demand is high exposure to changes in electricity prices and to operating cost pressures. There is also a low level of on-site renewable generation, which hinders efforts to achieve lower operational carbon emissions (Inayat </w:t>
      </w:r>
      <w:r>
        <w:rPr>
          <w:i/>
          <w:iCs/>
        </w:rPr>
        <w:t>et al.</w:t>
      </w:r>
      <w:r>
        <w:t xml:space="preserve"> 2023). </w:t>
      </w:r>
    </w:p>
    <w:p w14:paraId="1BD5618F">
      <w:pPr>
        <w:pStyle w:val="3"/>
      </w:pPr>
      <w:bookmarkStart w:id="4" w:name="_Toc237386535"/>
      <w:r>
        <w:t>1.3 Project Rationale</w:t>
      </w:r>
      <w:bookmarkEnd w:id="4"/>
    </w:p>
    <w:p w14:paraId="640C7B92">
      <w:r>
        <w:t xml:space="preserve">The estimated annual generation potential for a 1 MWp PV installation is about 1.4 GWh, depending on solar irradiation, losses and operating conditions (Rolobessy </w:t>
      </w:r>
      <w:r>
        <w:rPr>
          <w:i/>
          <w:iCs/>
        </w:rPr>
        <w:t>et al.</w:t>
      </w:r>
      <w:r>
        <w:t xml:space="preserve"> 2025). The project is thus combined with energy cost reduction, renewable electricity generation and carbon-performance improvement, with a structured engineering project-management approach and in maintaining operational continuity.</w:t>
      </w:r>
    </w:p>
    <w:p w14:paraId="4DED7AF6">
      <w:pPr>
        <w:pStyle w:val="3"/>
      </w:pPr>
      <w:bookmarkStart w:id="5" w:name="_2sz17d8nuoz3" w:colFirst="0" w:colLast="0"/>
      <w:bookmarkEnd w:id="5"/>
      <w:bookmarkStart w:id="6" w:name="_Toc237386536"/>
      <w:r>
        <w:t>1.4 Aim of the Project</w:t>
      </w:r>
      <w:bookmarkEnd w:id="6"/>
    </w:p>
    <w:p w14:paraId="2A9310ED">
      <w:r>
        <w:t>The project aims to apply project management techniques to effectively plan, schedule, resource, cost, monitor and control the implementation of a 1 MWp rooftop Solar PV system, while managing project risks, communication, time–cost trade-offs and stakeholder requirements to achieve successful project completion within the agreed schedule and budget.</w:t>
      </w:r>
    </w:p>
    <w:p w14:paraId="66FD1A9A">
      <w:pPr>
        <w:pStyle w:val="2"/>
      </w:pPr>
      <w:bookmarkStart w:id="7" w:name="_Toc237386537"/>
      <w:r>
        <w:t>2. Network Diagram, Gantt Chart and Critical Path of the project</w:t>
      </w:r>
      <w:bookmarkEnd w:id="7"/>
    </w:p>
    <w:p w14:paraId="16F2833A">
      <w:pPr>
        <w:pStyle w:val="3"/>
      </w:pPr>
      <w:bookmarkStart w:id="8" w:name="_Toc237386538"/>
      <w:r>
        <w:t>2.1 Network Diagram and Critical Path Analysis</w:t>
      </w:r>
      <w:bookmarkEnd w:id="8"/>
    </w:p>
    <w:p w14:paraId="70A11685">
      <w:pPr>
        <w:jc w:val="center"/>
        <w:rPr>
          <w:b/>
          <w:bCs/>
        </w:rPr>
      </w:pPr>
      <w:r>
        <w:rPr>
          <w:b/>
          <w:bCs/>
        </w:rPr>
        <w:t>Table 1: Project Activities, Resources, Durations and Costs</w:t>
      </w:r>
    </w:p>
    <w:tbl>
      <w:tblPr>
        <w:tblStyle w:val="16"/>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3569"/>
        <w:gridCol w:w="2852"/>
        <w:gridCol w:w="1707"/>
        <w:gridCol w:w="1101"/>
      </w:tblGrid>
      <w:tr w14:paraId="24F4C63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1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6EE9CCF9">
            <w:pPr>
              <w:jc w:val="center"/>
            </w:pPr>
            <w:r>
              <w:rPr>
                <w:b/>
                <w:bCs/>
              </w:rPr>
              <w:t>Activity</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1A695296">
            <w:pPr>
              <w:jc w:val="center"/>
            </w:pPr>
            <w:r>
              <w:rPr>
                <w:b/>
                <w:bCs/>
              </w:rPr>
              <w:t>Resources</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55920E25">
            <w:pPr>
              <w:jc w:val="center"/>
            </w:pPr>
            <w:r>
              <w:rPr>
                <w:b/>
                <w:bCs/>
              </w:rPr>
              <w:t>Duration (days)</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5F35907C">
            <w:pPr>
              <w:jc w:val="center"/>
            </w:pPr>
            <w:r>
              <w:rPr>
                <w:b/>
                <w:bCs/>
              </w:rPr>
              <w:t>Cost (£)</w:t>
            </w:r>
          </w:p>
        </w:tc>
      </w:tr>
      <w:tr w14:paraId="688EFDF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D658F76">
            <w:r>
              <w:t>Project approval</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1C3D8D64">
            <w:r>
              <w:t>PM, Admin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06601E9">
            <w:r>
              <w:t>3</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6463ED2F">
            <w:r>
              <w:t>3,000</w:t>
            </w:r>
          </w:p>
        </w:tc>
      </w:tr>
      <w:tr w14:paraId="6C4B884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0B2B9F0">
            <w:r>
              <w:t>Site survey</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7393FCA8">
            <w:r>
              <w:t>Survey team</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F50BC62">
            <w:r>
              <w:t>5</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2757BF1D">
            <w:r>
              <w:t>4,000</w:t>
            </w:r>
          </w:p>
        </w:tc>
      </w:tr>
      <w:tr w14:paraId="0DAC527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28B74C2E">
            <w:r>
              <w:t>Structural assessment</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1AF25276">
            <w:r>
              <w:t>Structural engineer</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D5232DC">
            <w:r>
              <w:t>4</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35761264">
            <w:r>
              <w:t>5,000</w:t>
            </w:r>
          </w:p>
        </w:tc>
      </w:tr>
      <w:tr w14:paraId="23B0BCF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26E41AF6">
            <w:r>
              <w:t>Electrical load analysis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17EB1BA6">
            <w:r>
              <w:t>Electrical engineer</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31905F56">
            <w:r>
              <w:t>4</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AA62A48">
            <w:r>
              <w:t>4,500</w:t>
            </w:r>
          </w:p>
        </w:tc>
      </w:tr>
      <w:tr w14:paraId="6872ED5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4E4D002E">
            <w:r>
              <w:t>Detailed PV and electrical design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7B0CB901">
            <w:r>
              <w:t>Design engineers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32224277">
            <w:r>
              <w:t>8</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675CA6AB">
            <w:r>
              <w:t>12,000</w:t>
            </w:r>
          </w:p>
        </w:tc>
      </w:tr>
      <w:tr w14:paraId="5900260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1C085982">
            <w:r>
              <w:t>Utility approval and permits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75E9278">
            <w:r>
              <w:t>PM, Utility liaison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225A896">
            <w:r>
              <w:t>12</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9C155AB">
            <w:r>
              <w:t>6,000</w:t>
            </w:r>
          </w:p>
        </w:tc>
      </w:tr>
      <w:tr w14:paraId="12F2B8B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75C0FC57">
            <w:r>
              <w:t>Procurement of PV modules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79D8F38">
            <w:r>
              <w:t>Procurement team</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428C0354">
            <w:r>
              <w:t>15</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106878E6">
            <w:r>
              <w:t>420,000</w:t>
            </w:r>
          </w:p>
        </w:tc>
      </w:tr>
      <w:tr w14:paraId="3FA4525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4A42D6E">
            <w:r>
              <w:t>Procurement of inverters and BOS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296F813F">
            <w:r>
              <w:t>Procurement team</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35BE0EC7">
            <w:r>
              <w:t>12</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749A74E">
            <w:r>
              <w:t>110,000</w:t>
            </w:r>
          </w:p>
        </w:tc>
      </w:tr>
      <w:tr w14:paraId="7467E64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1DF6FEB7">
            <w:r>
              <w:t>Delivery and inspection of materials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27966DAD">
            <w:r>
              <w:t>Logistics, QA</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0FA4C5B">
            <w:r>
              <w:t>5</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2D5015FA">
            <w:r>
              <w:t>8,000</w:t>
            </w:r>
          </w:p>
        </w:tc>
      </w:tr>
      <w:tr w14:paraId="2ACDB12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0F9C5B9">
            <w:r>
              <w:t>Mounting structure installation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19233056">
            <w:r>
              <w:t>Installation crew</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76021CD2">
            <w:r>
              <w:t>10</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4A188C5D">
            <w:r>
              <w:t>75,000</w:t>
            </w:r>
          </w:p>
        </w:tc>
      </w:tr>
      <w:tr w14:paraId="43A409B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301268E2">
            <w:r>
              <w:t>PV module installation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4D4E6AA9">
            <w:r>
              <w:t>PV technicians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45EB6F3">
            <w:r>
              <w:t>10</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09D7526">
            <w:r>
              <w:t>60,000</w:t>
            </w:r>
          </w:p>
        </w:tc>
      </w:tr>
      <w:tr w14:paraId="6B16A46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715CCA9">
            <w:r>
              <w:t>Inverter installation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6A5929B0">
            <w:r>
              <w:t>Electrical technicians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79A12AE9">
            <w:r>
              <w:t>5</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36F83504">
            <w:r>
              <w:t>25,000</w:t>
            </w:r>
          </w:p>
        </w:tc>
      </w:tr>
      <w:tr w14:paraId="55AB2AA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EAE0E55">
            <w:r>
              <w:t>DC/AC cabling and earthing</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668CA17">
            <w:r>
              <w:t>Electrical crew</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D1DADD3">
            <w:r>
              <w:t>7</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46A2267C">
            <w:r>
              <w:t>35,000</w:t>
            </w:r>
          </w:p>
        </w:tc>
      </w:tr>
      <w:tr w14:paraId="39D284E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22912191">
            <w:r>
              <w:t>Testing and commissioning</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34C16EAD">
            <w:r>
              <w:t>Commissioning engineers</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7BBFA2C2">
            <w:r>
              <w:t>3</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01D3EA5C">
            <w:r>
              <w:t>15,000</w:t>
            </w:r>
          </w:p>
        </w:tc>
      </w:tr>
      <w:tr w14:paraId="35396EB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C4104E2">
            <w:r>
              <w:t>Grid synchronization</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45652BB7">
            <w:r>
              <w:t>Utility + commissioning team</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554AEE9C">
            <w:r>
              <w:t>2</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36B0BC6D">
            <w:r>
              <w:t>5,000</w:t>
            </w:r>
          </w:p>
        </w:tc>
      </w:tr>
      <w:tr w14:paraId="0AB7777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77589F57">
            <w:r>
              <w:t>Training, documentation and handover</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1DE5D667">
            <w:r>
              <w:t>PM, O&amp;M team</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155EE265">
            <w:r>
              <w:t>2</w:t>
            </w:r>
          </w:p>
        </w:tc>
        <w:tc>
          <w:tcPr>
            <w:tcW w:w="0" w:type="auto"/>
            <w:tcBorders>
              <w:top w:val="single" w:color="000000" w:sz="8" w:space="0"/>
              <w:left w:val="single" w:color="000000" w:sz="8" w:space="0"/>
              <w:bottom w:val="single" w:color="000000" w:sz="8" w:space="0"/>
              <w:right w:val="single" w:color="000000" w:sz="8" w:space="0"/>
            </w:tcBorders>
            <w:shd w:val="clear" w:color="auto" w:fill="auto"/>
            <w:tcMar>
              <w:top w:w="100" w:type="dxa"/>
              <w:left w:w="100" w:type="dxa"/>
              <w:bottom w:w="100" w:type="dxa"/>
              <w:right w:w="100" w:type="dxa"/>
            </w:tcMar>
          </w:tcPr>
          <w:p w14:paraId="74200046">
            <w:r>
              <w:t>7,000</w:t>
            </w:r>
          </w:p>
        </w:tc>
      </w:tr>
      <w:tr w14:paraId="6579A50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3B6FCC34">
            <w:pPr>
              <w:rPr>
                <w:b/>
                <w:bCs/>
              </w:rPr>
            </w:pPr>
            <w:r>
              <w:rPr>
                <w:b/>
                <w:bCs/>
              </w:rPr>
              <w:t>Total</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4AF9BFE8">
            <w:pPr>
              <w:rPr>
                <w:b/>
                <w:bCs/>
              </w:rPr>
            </w:pP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6A43F907">
            <w:pPr>
              <w:rPr>
                <w:b/>
                <w:bCs/>
              </w:rPr>
            </w:pPr>
            <w:r>
              <w:rPr>
                <w:b/>
                <w:bCs/>
              </w:rPr>
              <w:t>74</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4CB561E6">
            <w:pPr>
              <w:rPr>
                <w:b/>
                <w:bCs/>
              </w:rPr>
            </w:pPr>
            <w:r>
              <w:rPr>
                <w:b/>
                <w:bCs/>
              </w:rPr>
              <w:t>£794,500</w:t>
            </w:r>
          </w:p>
        </w:tc>
      </w:tr>
    </w:tbl>
    <w:p w14:paraId="377327B2">
      <w:pPr>
        <w:spacing w:before="200"/>
      </w:pPr>
      <w:r>
        <w:t xml:space="preserve">There is a list of the planned activities, resource needs, time periods required, and costs in Table 1 above that need to be incurred. Costs related to labour, engineering, procurement, installation, testing, and handover have all been considered. The table has also provided the baseline cost of the entire project (Jing </w:t>
      </w:r>
      <w:r>
        <w:rPr>
          <w:i/>
          <w:iCs/>
        </w:rPr>
        <w:t>et al</w:t>
      </w:r>
      <w:r>
        <w:t xml:space="preserve">. 2025). The sequencing of activities for the project includes engineering, procurement, construction, testing, and handover of the 1 MWp rooftop solar photovoltaic (PV) system. </w:t>
      </w:r>
    </w:p>
    <w:p w14:paraId="06BCA350">
      <w:pPr>
        <w:spacing w:before="200"/>
      </w:pPr>
      <w:r>
        <w:t>The activities of project approval, stakeholder approval, site survey, structural survey, and electrical load study precede the design activities. The activities of detailed PV &amp; electrical design take up to 8 days, utility approval 12 days, PV procurement 15 days, inverter procurement 12 days, delivery 5 days, structure erection 10 days, module erection 10 days, cabling &amp; earthing 7 days, commissioning 3 days, synchronization 2 days, and handover 2 days, summing up to 74 days.</w:t>
      </w:r>
    </w:p>
    <w:p w14:paraId="0DD1D629">
      <w:pPr>
        <w:jc w:val="center"/>
      </w:pPr>
      <w:r>
        <w:drawing>
          <wp:inline distT="114300" distB="114300" distL="114300" distR="114300">
            <wp:extent cx="5730875" cy="16129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9"/>
                    <a:srcRect/>
                    <a:stretch>
                      <a:fillRect/>
                    </a:stretch>
                  </pic:blipFill>
                  <pic:spPr>
                    <a:xfrm>
                      <a:off x="0" y="0"/>
                      <a:ext cx="5731200" cy="1612900"/>
                    </a:xfrm>
                    <a:prstGeom prst="rect">
                      <a:avLst/>
                    </a:prstGeom>
                    <a:ln w="12700">
                      <a:solidFill>
                        <a:srgbClr val="000000"/>
                      </a:solidFill>
                      <a:prstDash val="solid"/>
                    </a:ln>
                  </pic:spPr>
                </pic:pic>
              </a:graphicData>
            </a:graphic>
          </wp:inline>
        </w:drawing>
      </w:r>
    </w:p>
    <w:p w14:paraId="461188CF">
      <w:pPr>
        <w:jc w:val="center"/>
        <w:rPr>
          <w:b/>
          <w:bCs/>
        </w:rPr>
      </w:pPr>
      <w:r>
        <w:rPr>
          <w:b/>
          <w:bCs/>
        </w:rPr>
        <w:t>Figure 1: Network Diagram with Activity Structure</w:t>
      </w:r>
    </w:p>
    <w:p w14:paraId="29BA4398">
      <w:r>
        <w:t xml:space="preserve">The logical sequence of activities within the rooftop solar PV installation project along with their dependencies is shown in Figure 1 above (Rahman </w:t>
      </w:r>
      <w:r>
        <w:rPr>
          <w:i/>
          <w:iCs/>
        </w:rPr>
        <w:t>et al</w:t>
      </w:r>
      <w:r>
        <w:t>. 2025). The activities of engineering, design, procurement, installation, testing, and handing over have been related with each other based on the technical precedence requirements.</w:t>
      </w:r>
    </w:p>
    <w:p w14:paraId="7975577C"/>
    <w:p w14:paraId="69BFE240">
      <w:pPr>
        <w:jc w:val="center"/>
      </w:pPr>
      <w:r>
        <w:drawing>
          <wp:inline distT="114300" distB="114300" distL="114300" distR="114300">
            <wp:extent cx="5730875" cy="1612900"/>
            <wp:effectExtent l="12700" t="12700" r="12700" b="12700"/>
            <wp:docPr id="8" name="image7.png"/>
            <wp:cNvGraphicFramePr/>
            <a:graphic xmlns:a="http://schemas.openxmlformats.org/drawingml/2006/main">
              <a:graphicData uri="http://schemas.openxmlformats.org/drawingml/2006/picture">
                <pic:pic xmlns:pic="http://schemas.openxmlformats.org/drawingml/2006/picture">
                  <pic:nvPicPr>
                    <pic:cNvPr id="8" name="image7.png"/>
                    <pic:cNvPicPr preferRelativeResize="0"/>
                  </pic:nvPicPr>
                  <pic:blipFill>
                    <a:blip r:embed="rId10"/>
                    <a:srcRect/>
                    <a:stretch>
                      <a:fillRect/>
                    </a:stretch>
                  </pic:blipFill>
                  <pic:spPr>
                    <a:xfrm>
                      <a:off x="0" y="0"/>
                      <a:ext cx="5731200" cy="1612900"/>
                    </a:xfrm>
                    <a:prstGeom prst="rect">
                      <a:avLst/>
                    </a:prstGeom>
                    <a:ln w="12700">
                      <a:solidFill>
                        <a:srgbClr val="000000"/>
                      </a:solidFill>
                      <a:prstDash val="solid"/>
                    </a:ln>
                  </pic:spPr>
                </pic:pic>
              </a:graphicData>
            </a:graphic>
          </wp:inline>
        </w:drawing>
      </w:r>
    </w:p>
    <w:p w14:paraId="0157AEC2">
      <w:pPr>
        <w:jc w:val="center"/>
        <w:rPr>
          <w:b/>
          <w:bCs/>
        </w:rPr>
      </w:pPr>
      <w:r>
        <w:rPr>
          <w:b/>
          <w:bCs/>
        </w:rPr>
        <w:t>Figure 2: Network Diagram with Event Times</w:t>
      </w:r>
    </w:p>
    <w:p w14:paraId="1BD80579">
      <w:r>
        <w:t>The network diagram with the durations of activities and times of events is presented in Figure 2 for schedule calculations. Earliest start and completion dependencies have been considered for determining the course of work on each activity.</w:t>
      </w:r>
    </w:p>
    <w:p w14:paraId="4956A0E4">
      <w:pPr>
        <w:jc w:val="center"/>
      </w:pPr>
      <w:r>
        <w:drawing>
          <wp:inline distT="114300" distB="114300" distL="114300" distR="114300">
            <wp:extent cx="5730875" cy="1612900"/>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referRelativeResize="0"/>
                  </pic:nvPicPr>
                  <pic:blipFill>
                    <a:blip r:embed="rId11"/>
                    <a:srcRect/>
                    <a:stretch>
                      <a:fillRect/>
                    </a:stretch>
                  </pic:blipFill>
                  <pic:spPr>
                    <a:xfrm>
                      <a:off x="0" y="0"/>
                      <a:ext cx="5731200" cy="1612900"/>
                    </a:xfrm>
                    <a:prstGeom prst="rect">
                      <a:avLst/>
                    </a:prstGeom>
                    <a:ln w="12700">
                      <a:solidFill>
                        <a:srgbClr val="000000"/>
                      </a:solidFill>
                      <a:prstDash val="solid"/>
                    </a:ln>
                  </pic:spPr>
                </pic:pic>
              </a:graphicData>
            </a:graphic>
          </wp:inline>
        </w:drawing>
      </w:r>
    </w:p>
    <w:p w14:paraId="1B671712">
      <w:pPr>
        <w:jc w:val="center"/>
        <w:rPr>
          <w:b/>
          <w:bCs/>
        </w:rPr>
      </w:pPr>
      <w:r>
        <w:rPr>
          <w:b/>
          <w:bCs/>
        </w:rPr>
        <w:t>Figure 3: Network Diagram with Critical Path</w:t>
      </w:r>
    </w:p>
    <w:p w14:paraId="5CECCD3A">
      <w:r>
        <w:t xml:space="preserve">Figure 3 shows the critical path using highlighted activities that have zero float and directly affect the project completion. The sequence of procurement of PV modules, installation work, electrical connections, commissioning, grid synchronization, and handing over has been established (Manolache </w:t>
      </w:r>
      <w:r>
        <w:rPr>
          <w:i/>
          <w:iCs/>
        </w:rPr>
        <w:t>et al</w:t>
      </w:r>
      <w:r>
        <w:t>. 2025). The critical path analysis has helped determine the process involved in the whole project execution. The path to be followed has been approval, survey, structure analysis, designing, procurement, delivering, mounting installation, module installation, cabling, commissioning, synchronizing, and handing over. There has been zero float in these processes, which has resulted in 74 days' duration.</w:t>
      </w:r>
    </w:p>
    <w:p w14:paraId="038A130D">
      <w:pPr>
        <w:pStyle w:val="3"/>
      </w:pPr>
      <w:bookmarkStart w:id="9" w:name="_t5p4t51k130g" w:colFirst="0" w:colLast="0"/>
      <w:bookmarkEnd w:id="9"/>
      <w:bookmarkStart w:id="10" w:name="_Toc237386539"/>
      <w:r>
        <w:t>2.2 Gantt Chart</w:t>
      </w:r>
      <w:bookmarkEnd w:id="10"/>
    </w:p>
    <w:tbl>
      <w:tblPr>
        <w:tblStyle w:val="17"/>
        <w:tblW w:w="0" w:type="auto"/>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9045"/>
      </w:tblGrid>
      <w:tr w14:paraId="7D7B31B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tcMar>
              <w:top w:w="100" w:type="dxa"/>
              <w:left w:w="100" w:type="dxa"/>
              <w:bottom w:w="100" w:type="dxa"/>
              <w:right w:w="100" w:type="dxa"/>
            </w:tcMar>
          </w:tcPr>
          <w:p w14:paraId="63097931">
            <w:pPr>
              <w:jc w:val="center"/>
            </w:pPr>
            <w:r>
              <w:drawing>
                <wp:inline distT="114300" distB="114300" distL="114300" distR="114300">
                  <wp:extent cx="5550535" cy="3782060"/>
                  <wp:effectExtent l="19050" t="19050" r="12065" b="2794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referRelativeResize="0"/>
                        </pic:nvPicPr>
                        <pic:blipFill>
                          <a:blip r:embed="rId12"/>
                          <a:srcRect/>
                          <a:stretch>
                            <a:fillRect/>
                          </a:stretch>
                        </pic:blipFill>
                        <pic:spPr>
                          <a:xfrm>
                            <a:off x="0" y="0"/>
                            <a:ext cx="5550535" cy="3782060"/>
                          </a:xfrm>
                          <a:prstGeom prst="rect">
                            <a:avLst/>
                          </a:prstGeom>
                          <a:ln w="12700">
                            <a:solidFill>
                              <a:srgbClr val="000000"/>
                            </a:solidFill>
                            <a:prstDash val="solid"/>
                          </a:ln>
                        </pic:spPr>
                      </pic:pic>
                    </a:graphicData>
                  </a:graphic>
                </wp:inline>
              </w:drawing>
            </w:r>
          </w:p>
        </w:tc>
      </w:tr>
      <w:tr w14:paraId="101E2F9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0" w:type="auto"/>
            <w:tcMar>
              <w:top w:w="100" w:type="dxa"/>
              <w:left w:w="100" w:type="dxa"/>
              <w:bottom w:w="100" w:type="dxa"/>
              <w:right w:w="100" w:type="dxa"/>
            </w:tcMar>
          </w:tcPr>
          <w:p w14:paraId="7A2FA01B">
            <w:pPr>
              <w:jc w:val="center"/>
            </w:pPr>
            <w:r>
              <w:drawing>
                <wp:inline distT="114300" distB="114300" distL="114300" distR="114300">
                  <wp:extent cx="5591175" cy="3441700"/>
                  <wp:effectExtent l="12700" t="12700" r="12700" b="12700"/>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referRelativeResize="0"/>
                        </pic:nvPicPr>
                        <pic:blipFill>
                          <a:blip r:embed="rId13"/>
                          <a:srcRect/>
                          <a:stretch>
                            <a:fillRect/>
                          </a:stretch>
                        </pic:blipFill>
                        <pic:spPr>
                          <a:xfrm>
                            <a:off x="0" y="0"/>
                            <a:ext cx="5591175" cy="3441700"/>
                          </a:xfrm>
                          <a:prstGeom prst="rect">
                            <a:avLst/>
                          </a:prstGeom>
                          <a:ln w="12700">
                            <a:solidFill>
                              <a:srgbClr val="000000"/>
                            </a:solidFill>
                            <a:prstDash val="solid"/>
                          </a:ln>
                        </pic:spPr>
                      </pic:pic>
                    </a:graphicData>
                  </a:graphic>
                </wp:inline>
              </w:drawing>
            </w:r>
          </w:p>
        </w:tc>
      </w:tr>
    </w:tbl>
    <w:p w14:paraId="71153AA0">
      <w:pPr>
        <w:jc w:val="center"/>
        <w:rPr>
          <w:b/>
          <w:bCs/>
        </w:rPr>
      </w:pPr>
      <w:r>
        <w:rPr>
          <w:b/>
          <w:bCs/>
        </w:rPr>
        <w:t>Figure 4: Gantt Chart</w:t>
      </w:r>
    </w:p>
    <w:p w14:paraId="56770CDA">
      <w:r>
        <w:t xml:space="preserve">Figure 4 illustrates the project schedule for the 1 MWp rooftop solar PV installation. Critical activities are shown in red, while non-critical activities are shown in blue (El-Khozondar </w:t>
      </w:r>
      <w:r>
        <w:rPr>
          <w:i/>
          <w:iCs/>
        </w:rPr>
        <w:t>et al</w:t>
      </w:r>
      <w:r>
        <w:t>. 2025). The chart presents task sequencing, overlaps, dependencies, and schedule progression from project initiation through commissioning and handover, confirming a total duration of 74 days.</w:t>
      </w:r>
    </w:p>
    <w:p w14:paraId="3034E36F">
      <w:pPr>
        <w:pStyle w:val="2"/>
      </w:pPr>
      <w:bookmarkStart w:id="11" w:name="_Toc237386540"/>
      <w:r>
        <w:t>3. Role of Communication in Project Management</w:t>
      </w:r>
      <w:bookmarkEnd w:id="11"/>
    </w:p>
    <w:p w14:paraId="7805E3CD">
      <w:pPr>
        <w:pStyle w:val="3"/>
      </w:pPr>
      <w:bookmarkStart w:id="12" w:name="_Toc237386541"/>
      <w:r>
        <w:t>3.1 Project Stakeholders and Communication Requirements</w:t>
      </w:r>
      <w:bookmarkEnd w:id="12"/>
    </w:p>
    <w:p w14:paraId="15011E72">
      <w:r>
        <w:t xml:space="preserve">Communication management has been key in ensuring that engineering, procurement, construction, utility approval, commissioning, and handover activities are effectively coordinated in the 1 MWp Rooftop Solar PV Project (Swanson </w:t>
      </w:r>
      <w:r>
        <w:rPr>
          <w:i/>
          <w:iCs/>
        </w:rPr>
        <w:t>et al</w:t>
      </w:r>
      <w:r>
        <w:t xml:space="preserve">. 2025). </w:t>
      </w:r>
    </w:p>
    <w:p w14:paraId="66F9AF56">
      <w:pPr>
        <w:jc w:val="center"/>
        <w:rPr>
          <w:b/>
          <w:bCs/>
        </w:rPr>
      </w:pPr>
      <w:r>
        <w:rPr>
          <w:b/>
          <w:bCs/>
        </w:rPr>
        <w:t>Table 2: Stakeholder Matrix</w:t>
      </w:r>
    </w:p>
    <w:tbl>
      <w:tblPr>
        <w:tblStyle w:val="18"/>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840"/>
        <w:gridCol w:w="3440"/>
        <w:gridCol w:w="3046"/>
      </w:tblGrid>
      <w:tr w14:paraId="7DCEDF0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13C871BA">
            <w:pPr>
              <w:jc w:val="center"/>
            </w:pPr>
            <w:r>
              <w:rPr>
                <w:b/>
                <w:bCs/>
              </w:rPr>
              <w:t>Power / Interest</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0BBFAD3D">
            <w:pPr>
              <w:jc w:val="center"/>
            </w:pPr>
            <w:r>
              <w:rPr>
                <w:b/>
                <w:bCs/>
              </w:rPr>
              <w:t>Low Interest</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5365A745">
            <w:pPr>
              <w:jc w:val="center"/>
            </w:pPr>
            <w:r>
              <w:rPr>
                <w:b/>
                <w:bCs/>
              </w:rPr>
              <w:t>High Interest</w:t>
            </w:r>
          </w:p>
        </w:tc>
      </w:tr>
      <w:tr w14:paraId="11CBD65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044FDF86">
            <w:r>
              <w:rPr>
                <w:b/>
                <w:bCs/>
              </w:rPr>
              <w:t>High Power</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073EDD71">
            <w:pPr>
              <w:rPr>
                <w:b/>
                <w:bCs/>
              </w:rPr>
            </w:pPr>
            <w:r>
              <w:rPr>
                <w:b/>
                <w:bCs/>
              </w:rPr>
              <w:t>Keep Satisfied</w:t>
            </w:r>
          </w:p>
          <w:p w14:paraId="11C1EFA7">
            <w:pPr>
              <w:numPr>
                <w:ilvl w:val="0"/>
                <w:numId w:val="1"/>
              </w:numPr>
            </w:pPr>
            <w:r>
              <w:t>Utility authority</w:t>
            </w:r>
          </w:p>
          <w:p w14:paraId="5813849A">
            <w:pPr>
              <w:numPr>
                <w:ilvl w:val="0"/>
                <w:numId w:val="1"/>
              </w:numPr>
            </w:pPr>
            <w:r>
              <w:t>Local regulatory authority</w:t>
            </w:r>
          </w:p>
          <w:p w14:paraId="7FD2E4DA">
            <w:pPr>
              <w:numPr>
                <w:ilvl w:val="0"/>
                <w:numId w:val="1"/>
              </w:numPr>
            </w:pPr>
            <w:r>
              <w:t>Insurance provider</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58A28863">
            <w:pPr>
              <w:rPr>
                <w:b/>
                <w:bCs/>
              </w:rPr>
            </w:pPr>
            <w:r>
              <w:rPr>
                <w:b/>
                <w:bCs/>
              </w:rPr>
              <w:t>Manage Closely</w:t>
            </w:r>
          </w:p>
          <w:p w14:paraId="6E572E48">
            <w:pPr>
              <w:numPr>
                <w:ilvl w:val="0"/>
                <w:numId w:val="2"/>
              </w:numPr>
            </w:pPr>
            <w:r>
              <w:t>Facility owner/client</w:t>
            </w:r>
          </w:p>
          <w:p w14:paraId="219764B6">
            <w:pPr>
              <w:numPr>
                <w:ilvl w:val="0"/>
                <w:numId w:val="2"/>
              </w:numPr>
            </w:pPr>
            <w:r>
              <w:t>Project manager</w:t>
            </w:r>
          </w:p>
          <w:p w14:paraId="47FF6AF7">
            <w:pPr>
              <w:numPr>
                <w:ilvl w:val="0"/>
                <w:numId w:val="2"/>
              </w:numPr>
            </w:pPr>
            <w:r>
              <w:t>EPC contractor</w:t>
            </w:r>
          </w:p>
          <w:p w14:paraId="2CB75F32">
            <w:pPr>
              <w:numPr>
                <w:ilvl w:val="0"/>
                <w:numId w:val="2"/>
              </w:numPr>
            </w:pPr>
            <w:r>
              <w:t>Finance sponsor</w:t>
            </w:r>
          </w:p>
        </w:tc>
      </w:tr>
      <w:tr w14:paraId="6B4A82D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53EB4F0D">
            <w:r>
              <w:rPr>
                <w:b/>
                <w:bCs/>
              </w:rPr>
              <w:t>Low Power</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05449871">
            <w:pPr>
              <w:rPr>
                <w:b/>
                <w:bCs/>
              </w:rPr>
            </w:pPr>
            <w:r>
              <w:rPr>
                <w:b/>
                <w:bCs/>
              </w:rPr>
              <w:t>Monitor</w:t>
            </w:r>
          </w:p>
          <w:p w14:paraId="3398DE0D">
            <w:pPr>
              <w:numPr>
                <w:ilvl w:val="0"/>
                <w:numId w:val="3"/>
              </w:numPr>
            </w:pPr>
            <w:r>
              <w:t>Local community</w:t>
            </w:r>
          </w:p>
          <w:p w14:paraId="0A8B58A4">
            <w:pPr>
              <w:numPr>
                <w:ilvl w:val="0"/>
                <w:numId w:val="3"/>
              </w:numPr>
            </w:pPr>
            <w:r>
              <w:t>Media</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1ED43CBC">
            <w:pPr>
              <w:rPr>
                <w:b/>
                <w:bCs/>
              </w:rPr>
            </w:pPr>
            <w:r>
              <w:rPr>
                <w:b/>
                <w:bCs/>
              </w:rPr>
              <w:t>Keep Informed</w:t>
            </w:r>
          </w:p>
          <w:p w14:paraId="4F2AB1C4">
            <w:pPr>
              <w:numPr>
                <w:ilvl w:val="0"/>
                <w:numId w:val="4"/>
              </w:numPr>
            </w:pPr>
            <w:r>
              <w:t>Operations staff</w:t>
            </w:r>
          </w:p>
          <w:p w14:paraId="33F29242">
            <w:pPr>
              <w:numPr>
                <w:ilvl w:val="0"/>
                <w:numId w:val="4"/>
              </w:numPr>
            </w:pPr>
            <w:r>
              <w:t>Maintenance team</w:t>
            </w:r>
          </w:p>
          <w:p w14:paraId="7BE1B096">
            <w:pPr>
              <w:numPr>
                <w:ilvl w:val="0"/>
                <w:numId w:val="4"/>
              </w:numPr>
            </w:pPr>
            <w:r>
              <w:t>Equipment suppliers</w:t>
            </w:r>
          </w:p>
          <w:p w14:paraId="1C4056B1">
            <w:pPr>
              <w:numPr>
                <w:ilvl w:val="0"/>
                <w:numId w:val="4"/>
              </w:numPr>
            </w:pPr>
            <w:r>
              <w:t>Installation workforce</w:t>
            </w:r>
          </w:p>
        </w:tc>
      </w:tr>
    </w:tbl>
    <w:p w14:paraId="79E7DC9B">
      <w:r>
        <w:t>The stakeholders in the process have been the facility owner, project manager, EPC contractor, design consultants, procurement department, utility authority, safety officer, installation contractors, suppliers, and operations.</w:t>
      </w:r>
    </w:p>
    <w:p w14:paraId="248B4BD4">
      <w:pPr>
        <w:pStyle w:val="3"/>
        <w:spacing w:before="200"/>
      </w:pPr>
      <w:bookmarkStart w:id="13" w:name="_Toc237386542"/>
      <w:r>
        <w:t>3.2 Communication Methods and Responsibilities</w:t>
      </w:r>
      <w:bookmarkEnd w:id="13"/>
    </w:p>
    <w:p w14:paraId="0EE8BB17">
      <w:r>
        <w:t>Formal communication has taken place through progress reports, design review meetings, procurement coordination meetings, utility submission logs, safety briefings, inspection reports, commissioning checklists, and handover documents. Communication for the entire project has been coordinated by the project manager, and reporting to stakeholders has been carried out. Technical modifications have been provided by the design consultants, supplier communication has been monitored by the procurement staff, construction progress has been tracked by site engineers, and testing and synchronization communications have been made by commissioning engineers.</w:t>
      </w:r>
    </w:p>
    <w:p w14:paraId="115E283E">
      <w:pPr>
        <w:pStyle w:val="3"/>
      </w:pPr>
      <w:bookmarkStart w:id="14" w:name="_Toc237386543"/>
      <w:r>
        <w:t>3.3 Communication Challenges</w:t>
      </w:r>
      <w:bookmarkEnd w:id="14"/>
    </w:p>
    <w:p w14:paraId="643A7F8E">
      <w:r>
        <w:t xml:space="preserve">Communication problems include modifications to the design, uncertainties related to delivery by suppliers, delays in the utilities approvals process, problems with versioning of technical documentation, and coordination problems between different contractors. </w:t>
      </w:r>
    </w:p>
    <w:p w14:paraId="333C4ACC">
      <w:pPr>
        <w:jc w:val="center"/>
      </w:pPr>
      <w:r>
        <w:drawing>
          <wp:inline distT="114300" distB="114300" distL="114300" distR="114300">
            <wp:extent cx="5730875" cy="41275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6" name="image11.png"/>
                    <pic:cNvPicPr preferRelativeResize="0"/>
                  </pic:nvPicPr>
                  <pic:blipFill>
                    <a:blip r:embed="rId14"/>
                    <a:srcRect/>
                    <a:stretch>
                      <a:fillRect/>
                    </a:stretch>
                  </pic:blipFill>
                  <pic:spPr>
                    <a:xfrm>
                      <a:off x="0" y="0"/>
                      <a:ext cx="5731200" cy="4127500"/>
                    </a:xfrm>
                    <a:prstGeom prst="rect">
                      <a:avLst/>
                    </a:prstGeom>
                  </pic:spPr>
                </pic:pic>
              </a:graphicData>
            </a:graphic>
          </wp:inline>
        </w:drawing>
      </w:r>
    </w:p>
    <w:p w14:paraId="2B0E3047">
      <w:pPr>
        <w:jc w:val="center"/>
        <w:rPr>
          <w:b/>
          <w:bCs/>
        </w:rPr>
      </w:pPr>
      <w:r>
        <w:rPr>
          <w:b/>
          <w:bCs/>
        </w:rPr>
        <w:t>Figure 5: Impact of Communication Management</w:t>
      </w:r>
    </w:p>
    <w:p w14:paraId="5A5EE829">
      <w:r>
        <w:t>Insufficient flow of information has added more risks of rework, installation problems, schedule slippages, and higher costs. The activities related to interfaces with utilities have involved precise technical documentation and prompt response to comments.</w:t>
      </w:r>
    </w:p>
    <w:p w14:paraId="05FD5AF8">
      <w:pPr>
        <w:pStyle w:val="3"/>
      </w:pPr>
      <w:bookmarkStart w:id="15" w:name="_Toc237386544"/>
      <w:r>
        <w:t>3.4 Improving Communication and Project Performance</w:t>
      </w:r>
      <w:bookmarkEnd w:id="15"/>
    </w:p>
    <w:p w14:paraId="6397890D">
      <w:r>
        <w:t>Enhanced communication performance has necessitated a communication management plan, document control procedure, digitization of documents, meeting action logs, delegation of responsibilities, and escalation procedures. Repeated stakeholder reporting, use of standardized templates for reporting, revision tracking, and scheduling information have helped in reducing ambiguity and making decisions quickly. Improved communication has facilitated better coordination, avoidance of rework, safety compliance, and completion of the rooftop solar PV project on time.</w:t>
      </w:r>
    </w:p>
    <w:p w14:paraId="477190F6">
      <w:pPr>
        <w:pStyle w:val="3"/>
      </w:pPr>
      <w:bookmarkStart w:id="16" w:name="_e60v3xiix3ly" w:colFirst="0" w:colLast="0"/>
      <w:bookmarkEnd w:id="16"/>
      <w:bookmarkStart w:id="17" w:name="_Toc237386545"/>
      <w:r>
        <w:t>3.5 PESTLE Analysis</w:t>
      </w:r>
      <w:bookmarkEnd w:id="17"/>
    </w:p>
    <w:p w14:paraId="6AD31404">
      <w:pPr>
        <w:jc w:val="center"/>
        <w:rPr>
          <w:b/>
          <w:bCs/>
        </w:rPr>
      </w:pPr>
      <w:r>
        <w:rPr>
          <w:b/>
          <w:bCs/>
        </w:rPr>
        <w:t>Table 3: PESTLE Analysis</w:t>
      </w:r>
    </w:p>
    <w:tbl>
      <w:tblPr>
        <w:tblStyle w:val="19"/>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747"/>
        <w:gridCol w:w="5865"/>
      </w:tblGrid>
      <w:tr w14:paraId="6A993A2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1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3EB3D7D0">
            <w:pPr>
              <w:jc w:val="center"/>
            </w:pPr>
            <w:r>
              <w:rPr>
                <w:b/>
                <w:bCs/>
              </w:rPr>
              <w:t>Factor</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146B11DE">
            <w:pPr>
              <w:jc w:val="center"/>
            </w:pPr>
            <w:r>
              <w:rPr>
                <w:b/>
                <w:bCs/>
              </w:rPr>
              <w:t>Project-specific impact</w:t>
            </w:r>
          </w:p>
        </w:tc>
      </w:tr>
      <w:tr w14:paraId="484FFE3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3"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1359C9F6">
            <w:r>
              <w:rPr>
                <w:b/>
                <w:bCs/>
              </w:rPr>
              <w:t>Political</w:t>
            </w:r>
          </w:p>
        </w:tc>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76A58E46">
            <w:r>
              <w:t>Renewable-energy policy and utility regulation.</w:t>
            </w:r>
          </w:p>
        </w:tc>
      </w:tr>
      <w:tr w14:paraId="549EFDA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4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3FD7E496">
            <w:r>
              <w:rPr>
                <w:b/>
                <w:bCs/>
              </w:rPr>
              <w:t>Economic</w:t>
            </w:r>
          </w:p>
        </w:tc>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58692436">
            <w:r>
              <w:t>Electricity tariffs, inflation, financing, exchange rates.</w:t>
            </w:r>
          </w:p>
        </w:tc>
      </w:tr>
      <w:tr w14:paraId="5DFA29D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6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7276389F">
            <w:r>
              <w:rPr>
                <w:b/>
                <w:bCs/>
              </w:rPr>
              <w:t>Social</w:t>
            </w:r>
          </w:p>
        </w:tc>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3C67321C">
            <w:r>
              <w:t>Sustainability expectations and stakeholder acceptance.</w:t>
            </w:r>
          </w:p>
        </w:tc>
      </w:tr>
      <w:tr w14:paraId="3870E0D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8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612537B6">
            <w:r>
              <w:rPr>
                <w:b/>
                <w:bCs/>
              </w:rPr>
              <w:t>Technological</w:t>
            </w:r>
          </w:p>
        </w:tc>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6BD729F1">
            <w:r>
              <w:t>PV efficiency, inverter performance, monitoring systems.</w:t>
            </w:r>
          </w:p>
        </w:tc>
      </w:tr>
      <w:tr w14:paraId="121EF94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5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5D6D5285">
            <w:r>
              <w:rPr>
                <w:b/>
                <w:bCs/>
              </w:rPr>
              <w:t>Legal</w:t>
            </w:r>
          </w:p>
        </w:tc>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460392AE">
            <w:r>
              <w:t>Safety standards, grid compliance, contract obligations.</w:t>
            </w:r>
          </w:p>
        </w:tc>
      </w:tr>
      <w:tr w14:paraId="00729CF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25"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494EBB84">
            <w:r>
              <w:rPr>
                <w:b/>
                <w:bCs/>
              </w:rPr>
              <w:t>Environmental</w:t>
            </w:r>
          </w:p>
        </w:tc>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6C7C87CC">
            <w:r>
              <w:t>Carbon reduction, waste management, weather constraints.</w:t>
            </w:r>
          </w:p>
        </w:tc>
      </w:tr>
    </w:tbl>
    <w:p w14:paraId="47FB7888">
      <w:pPr>
        <w:spacing w:before="200"/>
      </w:pPr>
      <w:r>
        <w:t xml:space="preserve">Table 3 shows an analysis of external forces affecting the installation of the rooftop photovoltaic project based on politics, economy, society, technology, law, and environment aspects (Ratib </w:t>
      </w:r>
      <w:r>
        <w:rPr>
          <w:i/>
          <w:iCs/>
        </w:rPr>
        <w:t>et al</w:t>
      </w:r>
      <w:r>
        <w:t xml:space="preserve">. 2025). </w:t>
      </w:r>
    </w:p>
    <w:p w14:paraId="154BCEFA">
      <w:pPr>
        <w:pStyle w:val="2"/>
      </w:pPr>
      <w:bookmarkStart w:id="18" w:name="_Toc237386546"/>
      <w:r>
        <w:t>4. PERT Analysis and Risk Management</w:t>
      </w:r>
      <w:bookmarkEnd w:id="18"/>
    </w:p>
    <w:p w14:paraId="18501C66">
      <w:pPr>
        <w:pStyle w:val="3"/>
      </w:pPr>
      <w:bookmarkStart w:id="19" w:name="_Toc237386547"/>
      <w:r>
        <w:t>4.1 PERT Analysis</w:t>
      </w:r>
      <w:bookmarkEnd w:id="19"/>
    </w:p>
    <w:p w14:paraId="545E24C8">
      <w:r>
        <w:rPr>
          <w:rFonts w:eastAsia="Cardo"/>
        </w:rPr>
        <w:t xml:space="preserve">PERT offers a probabilistic estimate for the duration of solar PV activities that still have significant uncertainty. Optimistic (O), most-likely (M) and pessimistic (P) estimates are used in the analysis for activities like structural assessment, system design, equipment procurement, grid approval and commissioning. Expected duration follows TE = (O + 4M + P)/6, while variance follows σ² = [(P − O)/6]². For instance, an activity that has O = 10 days, M = 15 days and P = 25 days has an expected duration of 15.83 days with a variance of 6.25 days squared (Rolobessy </w:t>
      </w:r>
      <w:r>
        <w:rPr>
          <w:i/>
          <w:iCs/>
        </w:rPr>
        <w:t>et al.</w:t>
      </w:r>
      <w:r>
        <w:t xml:space="preserve"> 2025). </w:t>
      </w:r>
    </w:p>
    <w:p w14:paraId="3AB6018C">
      <w:pPr>
        <w:jc w:val="center"/>
      </w:pPr>
      <w:r>
        <w:drawing>
          <wp:inline distT="114300" distB="114300" distL="114300" distR="114300">
            <wp:extent cx="5730875" cy="2336800"/>
            <wp:effectExtent l="12700" t="12700" r="12700" b="12700"/>
            <wp:docPr id="4" name="image8.png"/>
            <wp:cNvGraphicFramePr/>
            <a:graphic xmlns:a="http://schemas.openxmlformats.org/drawingml/2006/main">
              <a:graphicData uri="http://schemas.openxmlformats.org/drawingml/2006/picture">
                <pic:pic xmlns:pic="http://schemas.openxmlformats.org/drawingml/2006/picture">
                  <pic:nvPicPr>
                    <pic:cNvPr id="4" name="image8.png"/>
                    <pic:cNvPicPr preferRelativeResize="0"/>
                  </pic:nvPicPr>
                  <pic:blipFill>
                    <a:blip r:embed="rId15"/>
                    <a:srcRect/>
                    <a:stretch>
                      <a:fillRect/>
                    </a:stretch>
                  </pic:blipFill>
                  <pic:spPr>
                    <a:xfrm>
                      <a:off x="0" y="0"/>
                      <a:ext cx="5731200" cy="2336800"/>
                    </a:xfrm>
                    <a:prstGeom prst="rect">
                      <a:avLst/>
                    </a:prstGeom>
                    <a:ln w="12700">
                      <a:solidFill>
                        <a:srgbClr val="000000"/>
                      </a:solidFill>
                      <a:prstDash val="solid"/>
                    </a:ln>
                  </pic:spPr>
                </pic:pic>
              </a:graphicData>
            </a:graphic>
          </wp:inline>
        </w:drawing>
      </w:r>
    </w:p>
    <w:p w14:paraId="7366191E">
      <w:pPr>
        <w:jc w:val="center"/>
        <w:rPr>
          <w:b/>
          <w:bCs/>
        </w:rPr>
      </w:pPr>
      <w:r>
        <w:rPr>
          <w:b/>
          <w:bCs/>
        </w:rPr>
        <w:t xml:space="preserve">Figure 6: PERT Framework </w:t>
      </w:r>
    </w:p>
    <w:p w14:paraId="2EDE9C1F">
      <w:r>
        <w:t>The relationship between 3-point estimation and expected duration, variance, and schedule-risk interpretation is all included in the framework. When there is more uncertainty in procurement, approval and commissioning, schedule control is needed to better manage the delays that can occur in dependent installation activities. PERT is therefore complementary to the deterministic network analysis, as it takes into account the uncertainty in the duration, but not the fixed duration of each activity in the network.</w:t>
      </w:r>
    </w:p>
    <w:p w14:paraId="2D180D6E">
      <w:pPr>
        <w:pStyle w:val="3"/>
      </w:pPr>
      <w:bookmarkStart w:id="20" w:name="_Toc237386548"/>
      <w:r>
        <w:t>4.2 Project Risk Identification and Assessment</w:t>
      </w:r>
      <w:bookmarkEnd w:id="20"/>
    </w:p>
    <w:p w14:paraId="0EC80955">
      <w:pPr>
        <w:jc w:val="center"/>
      </w:pPr>
      <w:r>
        <w:rPr>
          <w:b/>
          <w:bCs/>
        </w:rPr>
        <w:t>Table 2: Risk Register</w:t>
      </w:r>
    </w:p>
    <w:tbl>
      <w:tblPr>
        <w:tblStyle w:val="20"/>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494"/>
        <w:gridCol w:w="3759"/>
        <w:gridCol w:w="1361"/>
        <w:gridCol w:w="934"/>
        <w:gridCol w:w="1300"/>
        <w:gridCol w:w="1014"/>
      </w:tblGrid>
      <w:tr w14:paraId="20F257D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3C78D8"/>
            <w:tcMar>
              <w:top w:w="100" w:type="dxa"/>
              <w:left w:w="100" w:type="dxa"/>
              <w:bottom w:w="100" w:type="dxa"/>
              <w:right w:w="100" w:type="dxa"/>
            </w:tcMar>
          </w:tcPr>
          <w:p w14:paraId="2B1AC996">
            <w:pPr>
              <w:jc w:val="center"/>
            </w:pPr>
            <w:r>
              <w:rPr>
                <w:b/>
                <w:bCs/>
              </w:rPr>
              <w:t>ID</w:t>
            </w:r>
          </w:p>
        </w:tc>
        <w:tc>
          <w:tcPr>
            <w:tcW w:w="0" w:type="auto"/>
            <w:tcBorders>
              <w:top w:val="single" w:color="000000" w:sz="8" w:space="0"/>
              <w:left w:val="single" w:color="000000" w:sz="8" w:space="0"/>
              <w:bottom w:val="single" w:color="000000" w:sz="8" w:space="0"/>
              <w:right w:val="single" w:color="000000" w:sz="8" w:space="0"/>
            </w:tcBorders>
            <w:shd w:val="clear" w:color="auto" w:fill="3C78D8"/>
            <w:tcMar>
              <w:top w:w="100" w:type="dxa"/>
              <w:left w:w="100" w:type="dxa"/>
              <w:bottom w:w="100" w:type="dxa"/>
              <w:right w:w="100" w:type="dxa"/>
            </w:tcMar>
          </w:tcPr>
          <w:p w14:paraId="3DB452D0">
            <w:pPr>
              <w:jc w:val="center"/>
            </w:pPr>
            <w:r>
              <w:rPr>
                <w:b/>
                <w:bCs/>
              </w:rPr>
              <w:t>Project Risk</w:t>
            </w:r>
          </w:p>
        </w:tc>
        <w:tc>
          <w:tcPr>
            <w:tcW w:w="0" w:type="auto"/>
            <w:tcBorders>
              <w:top w:val="single" w:color="000000" w:sz="8" w:space="0"/>
              <w:left w:val="single" w:color="000000" w:sz="8" w:space="0"/>
              <w:bottom w:val="single" w:color="000000" w:sz="8" w:space="0"/>
              <w:right w:val="single" w:color="000000" w:sz="8" w:space="0"/>
            </w:tcBorders>
            <w:shd w:val="clear" w:color="auto" w:fill="3C78D8"/>
            <w:tcMar>
              <w:top w:w="100" w:type="dxa"/>
              <w:left w:w="100" w:type="dxa"/>
              <w:bottom w:w="100" w:type="dxa"/>
              <w:right w:w="100" w:type="dxa"/>
            </w:tcMar>
          </w:tcPr>
          <w:p w14:paraId="49D9CECD">
            <w:pPr>
              <w:jc w:val="center"/>
            </w:pPr>
            <w:r>
              <w:rPr>
                <w:b/>
                <w:bCs/>
              </w:rPr>
              <w:t>Probability</w:t>
            </w:r>
          </w:p>
        </w:tc>
        <w:tc>
          <w:tcPr>
            <w:tcW w:w="0" w:type="auto"/>
            <w:tcBorders>
              <w:top w:val="single" w:color="000000" w:sz="8" w:space="0"/>
              <w:left w:val="single" w:color="000000" w:sz="8" w:space="0"/>
              <w:bottom w:val="single" w:color="000000" w:sz="8" w:space="0"/>
              <w:right w:val="single" w:color="000000" w:sz="8" w:space="0"/>
            </w:tcBorders>
            <w:shd w:val="clear" w:color="auto" w:fill="3C78D8"/>
            <w:tcMar>
              <w:top w:w="100" w:type="dxa"/>
              <w:left w:w="100" w:type="dxa"/>
              <w:bottom w:w="100" w:type="dxa"/>
              <w:right w:w="100" w:type="dxa"/>
            </w:tcMar>
          </w:tcPr>
          <w:p w14:paraId="43DF7520">
            <w:pPr>
              <w:jc w:val="center"/>
            </w:pPr>
            <w:r>
              <w:rPr>
                <w:b/>
                <w:bCs/>
              </w:rPr>
              <w:t>Impact</w:t>
            </w:r>
          </w:p>
        </w:tc>
        <w:tc>
          <w:tcPr>
            <w:tcW w:w="0" w:type="auto"/>
            <w:tcBorders>
              <w:top w:val="single" w:color="000000" w:sz="8" w:space="0"/>
              <w:left w:val="single" w:color="000000" w:sz="8" w:space="0"/>
              <w:bottom w:val="single" w:color="000000" w:sz="8" w:space="0"/>
              <w:right w:val="single" w:color="000000" w:sz="8" w:space="0"/>
            </w:tcBorders>
            <w:shd w:val="clear" w:color="auto" w:fill="3C78D8"/>
            <w:tcMar>
              <w:top w:w="100" w:type="dxa"/>
              <w:left w:w="100" w:type="dxa"/>
              <w:bottom w:w="100" w:type="dxa"/>
              <w:right w:w="100" w:type="dxa"/>
            </w:tcMar>
          </w:tcPr>
          <w:p w14:paraId="6E9D209E">
            <w:pPr>
              <w:jc w:val="center"/>
            </w:pPr>
            <w:r>
              <w:rPr>
                <w:b/>
                <w:bCs/>
              </w:rPr>
              <w:t>Risk Score</w:t>
            </w:r>
          </w:p>
        </w:tc>
        <w:tc>
          <w:tcPr>
            <w:tcW w:w="0" w:type="auto"/>
            <w:tcBorders>
              <w:top w:val="single" w:color="000000" w:sz="8" w:space="0"/>
              <w:left w:val="single" w:color="000000" w:sz="8" w:space="0"/>
              <w:bottom w:val="single" w:color="000000" w:sz="8" w:space="0"/>
              <w:right w:val="single" w:color="000000" w:sz="8" w:space="0"/>
            </w:tcBorders>
            <w:shd w:val="clear" w:color="auto" w:fill="3C78D8"/>
            <w:tcMar>
              <w:top w:w="100" w:type="dxa"/>
              <w:left w:w="100" w:type="dxa"/>
              <w:bottom w:w="100" w:type="dxa"/>
              <w:right w:w="100" w:type="dxa"/>
            </w:tcMar>
          </w:tcPr>
          <w:p w14:paraId="1CF93EFE">
            <w:pPr>
              <w:jc w:val="center"/>
            </w:pPr>
            <w:r>
              <w:rPr>
                <w:b/>
                <w:bCs/>
              </w:rPr>
              <w:t>Priority</w:t>
            </w:r>
          </w:p>
        </w:tc>
      </w:tr>
      <w:tr w14:paraId="005EC1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0C20841D">
            <w:pPr>
              <w:rPr>
                <w:b/>
                <w:bCs/>
              </w:rPr>
            </w:pPr>
            <w:r>
              <w:rPr>
                <w:b/>
                <w:bCs/>
              </w:rPr>
              <w:t>R1</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5678F811">
            <w:pPr>
              <w:rPr>
                <w:b/>
                <w:bCs/>
              </w:rPr>
            </w:pPr>
            <w:r>
              <w:rPr>
                <w:b/>
                <w:bCs/>
              </w:rPr>
              <w:t>Equipment delivery delay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9D19278">
            <w: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7ECEDD1">
            <w: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76C5E3D">
            <w:r>
              <w:t>20</w:t>
            </w:r>
          </w:p>
        </w:tc>
        <w:tc>
          <w:tcPr>
            <w:tcW w:w="0" w:type="auto"/>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736838FA">
            <w:r>
              <w:t>High</w:t>
            </w:r>
          </w:p>
        </w:tc>
      </w:tr>
      <w:tr w14:paraId="794FC6F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4E30A269">
            <w:pPr>
              <w:rPr>
                <w:b/>
                <w:bCs/>
              </w:rPr>
            </w:pPr>
            <w:r>
              <w:rPr>
                <w:b/>
                <w:bCs/>
              </w:rPr>
              <w:t>R2</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3AD3681E">
            <w:pPr>
              <w:rPr>
                <w:b/>
                <w:bCs/>
              </w:rPr>
            </w:pPr>
            <w:r>
              <w:rPr>
                <w:b/>
                <w:bCs/>
              </w:rPr>
              <w:t>Roof structural inadequacy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B4E242F">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FCEFE62">
            <w: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301D13E">
            <w:r>
              <w:t>15</w:t>
            </w:r>
          </w:p>
        </w:tc>
        <w:tc>
          <w:tcPr>
            <w:tcW w:w="0" w:type="auto"/>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17C4F09F">
            <w:r>
              <w:t>High</w:t>
            </w:r>
          </w:p>
        </w:tc>
      </w:tr>
      <w:tr w14:paraId="5D61E24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049115AD">
            <w:pPr>
              <w:rPr>
                <w:b/>
                <w:bCs/>
              </w:rPr>
            </w:pPr>
            <w:r>
              <w:rPr>
                <w:b/>
                <w:bCs/>
              </w:rPr>
              <w:t>R3</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4CF951CF">
            <w:pPr>
              <w:rPr>
                <w:b/>
                <w:bCs/>
              </w:rPr>
            </w:pPr>
            <w:r>
              <w:rPr>
                <w:b/>
                <w:bCs/>
              </w:rPr>
              <w:t>Grid connection delay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3C44260">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B331DFC">
            <w: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31246D5">
            <w:r>
              <w:t>15</w:t>
            </w:r>
          </w:p>
        </w:tc>
        <w:tc>
          <w:tcPr>
            <w:tcW w:w="0" w:type="auto"/>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0F341DA4">
            <w:r>
              <w:t>High</w:t>
            </w:r>
          </w:p>
        </w:tc>
      </w:tr>
      <w:tr w14:paraId="370BB4D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0F31FB56">
            <w:pPr>
              <w:rPr>
                <w:b/>
                <w:bCs/>
              </w:rPr>
            </w:pPr>
            <w:r>
              <w:rPr>
                <w:b/>
                <w:bCs/>
              </w:rPr>
              <w:t>R4</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0B83C14D">
            <w:pPr>
              <w:rPr>
                <w:b/>
                <w:bCs/>
              </w:rPr>
            </w:pPr>
            <w:r>
              <w:rPr>
                <w:b/>
                <w:bCs/>
              </w:rPr>
              <w:t>Adverse weather</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89B5D25">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B513ACB">
            <w: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6495C3B">
            <w:r>
              <w:t>12</w:t>
            </w:r>
          </w:p>
        </w:tc>
        <w:tc>
          <w:tcPr>
            <w:tcW w:w="0" w:type="auto"/>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57641F25">
            <w:r>
              <w:t>High</w:t>
            </w:r>
          </w:p>
        </w:tc>
      </w:tr>
      <w:tr w14:paraId="651CAE6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57268E1A">
            <w:pPr>
              <w:rPr>
                <w:b/>
                <w:bCs/>
              </w:rPr>
            </w:pPr>
            <w:r>
              <w:rPr>
                <w:b/>
                <w:bCs/>
              </w:rPr>
              <w:t>R5</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7D265308">
            <w:pPr>
              <w:rPr>
                <w:b/>
                <w:bCs/>
              </w:rPr>
            </w:pPr>
            <w:r>
              <w:rPr>
                <w:b/>
                <w:bCs/>
              </w:rPr>
              <w:t>Installation safety incident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24C6712">
            <w:r>
              <w:t>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81AFF79">
            <w: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EC787F2">
            <w:r>
              <w:t>10</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17B7113A">
            <w:r>
              <w:t>Medium</w:t>
            </w:r>
          </w:p>
        </w:tc>
      </w:tr>
      <w:tr w14:paraId="0E11B17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185B27BE">
            <w:pPr>
              <w:rPr>
                <w:b/>
                <w:bCs/>
              </w:rPr>
            </w:pPr>
            <w:r>
              <w:rPr>
                <w:b/>
                <w:bCs/>
              </w:rPr>
              <w:t>R6</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7C106FB3">
            <w:pPr>
              <w:rPr>
                <w:b/>
                <w:bCs/>
              </w:rPr>
            </w:pPr>
            <w:r>
              <w:rPr>
                <w:b/>
                <w:bCs/>
              </w:rPr>
              <w:t>Design error/rework</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D9A1167">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A9A5B22">
            <w: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EA70277">
            <w:r>
              <w:t>12</w:t>
            </w:r>
          </w:p>
        </w:tc>
        <w:tc>
          <w:tcPr>
            <w:tcW w:w="0" w:type="auto"/>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78166445">
            <w:r>
              <w:t>High</w:t>
            </w:r>
          </w:p>
        </w:tc>
      </w:tr>
      <w:tr w14:paraId="70FC15F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57D2DD27">
            <w:pPr>
              <w:rPr>
                <w:b/>
                <w:bCs/>
              </w:rPr>
            </w:pPr>
            <w:r>
              <w:rPr>
                <w:b/>
                <w:bCs/>
              </w:rPr>
              <w:t>R7</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4F7B0BB7">
            <w:pPr>
              <w:rPr>
                <w:b/>
                <w:bCs/>
              </w:rPr>
            </w:pPr>
            <w:r>
              <w:rPr>
                <w:b/>
                <w:bCs/>
              </w:rPr>
              <w:t>Equipment price escalation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E7D508F">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888590F">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1CD8FDB">
            <w:r>
              <w:t>9</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5614A49E">
            <w:r>
              <w:t>Medium</w:t>
            </w:r>
          </w:p>
        </w:tc>
      </w:tr>
      <w:tr w14:paraId="483CF3C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11E48DE3">
            <w:r>
              <w:t>R8</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0824046D">
            <w:r>
              <w:t>PV system performance below target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8CA7D99">
            <w:r>
              <w:t>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B4132AB">
            <w: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F41AD07">
            <w:r>
              <w:t>8</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2597B664">
            <w:r>
              <w:t>Medium</w:t>
            </w:r>
          </w:p>
        </w:tc>
      </w:tr>
    </w:tbl>
    <w:p w14:paraId="656187F0">
      <w:r>
        <w:t xml:space="preserve">The risks are prioritised in the register based on measurable probabilities and consequences rather than descriptive listing of the risks. High scores indicate events that must be acted on early in terms of ownership and planning for response. The risk register uses a 1–5 risk probability and a 1–5 risk impact, resulting in a risk score (Probability x Impact). The probability of equipment delivery delay is 4, and the impact is 5, giving it a score of 20, making it one of the highest rated exposures (Leewiraphan </w:t>
      </w:r>
      <w:r>
        <w:rPr>
          <w:i/>
          <w:iCs/>
        </w:rPr>
        <w:t>et al.</w:t>
      </w:r>
      <w:r>
        <w:t xml:space="preserve"> 2024).</w:t>
      </w:r>
    </w:p>
    <w:p w14:paraId="69A8F02E">
      <w:pPr>
        <w:pStyle w:val="3"/>
      </w:pPr>
      <w:bookmarkStart w:id="21" w:name="_Toc237386549"/>
      <w:r>
        <w:t>4.3 Risk Impact on the Project and Business</w:t>
      </w:r>
      <w:bookmarkEnd w:id="21"/>
    </w:p>
    <w:p w14:paraId="1113076E">
      <w:pPr>
        <w:jc w:val="center"/>
      </w:pPr>
      <w:r>
        <w:rPr>
          <w:b/>
          <w:bCs/>
        </w:rPr>
        <w:t>Table 3: Risk Matrix</w:t>
      </w:r>
    </w:p>
    <w:tbl>
      <w:tblPr>
        <w:tblStyle w:val="21"/>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2280"/>
        <w:gridCol w:w="1540"/>
        <w:gridCol w:w="974"/>
        <w:gridCol w:w="1520"/>
        <w:gridCol w:w="1027"/>
        <w:gridCol w:w="1594"/>
      </w:tblGrid>
      <w:tr w14:paraId="3A35EE5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5818E"/>
            <w:tcMar>
              <w:top w:w="100" w:type="dxa"/>
              <w:left w:w="100" w:type="dxa"/>
              <w:bottom w:w="100" w:type="dxa"/>
              <w:right w:w="100" w:type="dxa"/>
            </w:tcMar>
          </w:tcPr>
          <w:p w14:paraId="2210BDF6">
            <w:pPr>
              <w:jc w:val="center"/>
            </w:pPr>
            <w:r>
              <w:rPr>
                <w:b/>
                <w:bCs/>
              </w:rPr>
              <w:t>Probability \ Impact</w:t>
            </w:r>
          </w:p>
        </w:tc>
        <w:tc>
          <w:tcPr>
            <w:tcW w:w="0" w:type="auto"/>
            <w:tcBorders>
              <w:top w:val="single" w:color="000000" w:sz="8" w:space="0"/>
              <w:left w:val="single" w:color="000000" w:sz="8" w:space="0"/>
              <w:bottom w:val="single" w:color="000000" w:sz="8" w:space="0"/>
              <w:right w:val="single" w:color="000000" w:sz="8" w:space="0"/>
            </w:tcBorders>
            <w:shd w:val="clear" w:color="auto" w:fill="45818E"/>
            <w:tcMar>
              <w:top w:w="100" w:type="dxa"/>
              <w:left w:w="100" w:type="dxa"/>
              <w:bottom w:w="100" w:type="dxa"/>
              <w:right w:w="100" w:type="dxa"/>
            </w:tcMar>
          </w:tcPr>
          <w:p w14:paraId="77544647">
            <w:pPr>
              <w:jc w:val="center"/>
            </w:pPr>
            <w:r>
              <w:rPr>
                <w:b/>
                <w:bCs/>
              </w:rPr>
              <w:t>1 - Very Low</w:t>
            </w:r>
          </w:p>
        </w:tc>
        <w:tc>
          <w:tcPr>
            <w:tcW w:w="0" w:type="auto"/>
            <w:tcBorders>
              <w:top w:val="single" w:color="000000" w:sz="8" w:space="0"/>
              <w:left w:val="single" w:color="000000" w:sz="8" w:space="0"/>
              <w:bottom w:val="single" w:color="000000" w:sz="8" w:space="0"/>
              <w:right w:val="single" w:color="000000" w:sz="8" w:space="0"/>
            </w:tcBorders>
            <w:shd w:val="clear" w:color="auto" w:fill="45818E"/>
            <w:tcMar>
              <w:top w:w="100" w:type="dxa"/>
              <w:left w:w="100" w:type="dxa"/>
              <w:bottom w:w="100" w:type="dxa"/>
              <w:right w:w="100" w:type="dxa"/>
            </w:tcMar>
          </w:tcPr>
          <w:p w14:paraId="77190FAB">
            <w:pPr>
              <w:jc w:val="center"/>
            </w:pPr>
            <w:r>
              <w:rPr>
                <w:b/>
                <w:bCs/>
              </w:rPr>
              <w:t>2 - Low</w:t>
            </w:r>
          </w:p>
        </w:tc>
        <w:tc>
          <w:tcPr>
            <w:tcW w:w="0" w:type="auto"/>
            <w:tcBorders>
              <w:top w:val="single" w:color="000000" w:sz="8" w:space="0"/>
              <w:left w:val="single" w:color="000000" w:sz="8" w:space="0"/>
              <w:bottom w:val="single" w:color="000000" w:sz="8" w:space="0"/>
              <w:right w:val="single" w:color="000000" w:sz="8" w:space="0"/>
            </w:tcBorders>
            <w:shd w:val="clear" w:color="auto" w:fill="45818E"/>
            <w:tcMar>
              <w:top w:w="100" w:type="dxa"/>
              <w:left w:w="100" w:type="dxa"/>
              <w:bottom w:w="100" w:type="dxa"/>
              <w:right w:w="100" w:type="dxa"/>
            </w:tcMar>
          </w:tcPr>
          <w:p w14:paraId="177B1952">
            <w:pPr>
              <w:jc w:val="center"/>
            </w:pPr>
            <w:r>
              <w:rPr>
                <w:b/>
                <w:bCs/>
              </w:rPr>
              <w:t>3 - Moderate</w:t>
            </w:r>
          </w:p>
        </w:tc>
        <w:tc>
          <w:tcPr>
            <w:tcW w:w="0" w:type="auto"/>
            <w:tcBorders>
              <w:top w:val="single" w:color="000000" w:sz="8" w:space="0"/>
              <w:left w:val="single" w:color="000000" w:sz="8" w:space="0"/>
              <w:bottom w:val="single" w:color="000000" w:sz="8" w:space="0"/>
              <w:right w:val="single" w:color="000000" w:sz="8" w:space="0"/>
            </w:tcBorders>
            <w:shd w:val="clear" w:color="auto" w:fill="45818E"/>
            <w:tcMar>
              <w:top w:w="100" w:type="dxa"/>
              <w:left w:w="100" w:type="dxa"/>
              <w:bottom w:w="100" w:type="dxa"/>
              <w:right w:w="100" w:type="dxa"/>
            </w:tcMar>
          </w:tcPr>
          <w:p w14:paraId="68871E8D">
            <w:pPr>
              <w:jc w:val="center"/>
            </w:pPr>
            <w:r>
              <w:rPr>
                <w:b/>
                <w:bCs/>
              </w:rPr>
              <w:t>4 - High</w:t>
            </w:r>
          </w:p>
        </w:tc>
        <w:tc>
          <w:tcPr>
            <w:tcW w:w="0" w:type="auto"/>
            <w:tcBorders>
              <w:top w:val="single" w:color="000000" w:sz="8" w:space="0"/>
              <w:left w:val="single" w:color="000000" w:sz="8" w:space="0"/>
              <w:bottom w:val="single" w:color="000000" w:sz="8" w:space="0"/>
              <w:right w:val="single" w:color="000000" w:sz="8" w:space="0"/>
            </w:tcBorders>
            <w:shd w:val="clear" w:color="auto" w:fill="45818E"/>
            <w:tcMar>
              <w:top w:w="100" w:type="dxa"/>
              <w:left w:w="100" w:type="dxa"/>
              <w:bottom w:w="100" w:type="dxa"/>
              <w:right w:w="100" w:type="dxa"/>
            </w:tcMar>
          </w:tcPr>
          <w:p w14:paraId="22ABF72B">
            <w:pPr>
              <w:jc w:val="center"/>
            </w:pPr>
            <w:r>
              <w:rPr>
                <w:b/>
                <w:bCs/>
              </w:rPr>
              <w:t>5 - Very High</w:t>
            </w:r>
          </w:p>
        </w:tc>
      </w:tr>
      <w:tr w14:paraId="03A59DD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E69138"/>
            <w:tcMar>
              <w:top w:w="100" w:type="dxa"/>
              <w:left w:w="100" w:type="dxa"/>
              <w:bottom w:w="100" w:type="dxa"/>
              <w:right w:w="100" w:type="dxa"/>
            </w:tcMar>
          </w:tcPr>
          <w:p w14:paraId="4205182F">
            <w:r>
              <w:rPr>
                <w:b/>
                <w:bCs/>
              </w:rPr>
              <w:t>5 - Almost Certain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87D8CBA">
            <w: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38CAA9D">
            <w:r>
              <w:t>10</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67A2A38">
            <w:r>
              <w:t>15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7B27060">
            <w:r>
              <w:t>20</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38DD808">
            <w:r>
              <w:t>25</w:t>
            </w:r>
          </w:p>
        </w:tc>
      </w:tr>
      <w:tr w14:paraId="6DCA9B8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E69138"/>
            <w:tcMar>
              <w:top w:w="100" w:type="dxa"/>
              <w:left w:w="100" w:type="dxa"/>
              <w:bottom w:w="100" w:type="dxa"/>
              <w:right w:w="100" w:type="dxa"/>
            </w:tcMar>
          </w:tcPr>
          <w:p w14:paraId="03A559BD">
            <w:r>
              <w:rPr>
                <w:b/>
                <w:bCs/>
              </w:rPr>
              <w:t>4 - Likely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9705B35">
            <w: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667FF41">
            <w:r>
              <w:t>8</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EB85C52">
            <w:r>
              <w:t>12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1BA8B5B">
            <w:r>
              <w:t>16</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C810C89">
            <w:r>
              <w:t>20</w:t>
            </w:r>
          </w:p>
        </w:tc>
      </w:tr>
      <w:tr w14:paraId="159ECA1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E69138"/>
            <w:tcMar>
              <w:top w:w="100" w:type="dxa"/>
              <w:left w:w="100" w:type="dxa"/>
              <w:bottom w:w="100" w:type="dxa"/>
              <w:right w:w="100" w:type="dxa"/>
            </w:tcMar>
          </w:tcPr>
          <w:p w14:paraId="10BCF631">
            <w:r>
              <w:rPr>
                <w:b/>
                <w:bCs/>
              </w:rPr>
              <w:t>3 - Possible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3D642F">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A392343">
            <w:r>
              <w:t>6</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D0A800F">
            <w:r>
              <w:t>9</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6DF7433">
            <w:r>
              <w:t>12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5799D92">
            <w:r>
              <w:t>15</w:t>
            </w:r>
          </w:p>
        </w:tc>
      </w:tr>
      <w:tr w14:paraId="6DFDBE7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E69138"/>
            <w:tcMar>
              <w:top w:w="100" w:type="dxa"/>
              <w:left w:w="100" w:type="dxa"/>
              <w:bottom w:w="100" w:type="dxa"/>
              <w:right w:w="100" w:type="dxa"/>
            </w:tcMar>
          </w:tcPr>
          <w:p w14:paraId="07BBF5AE">
            <w:r>
              <w:rPr>
                <w:b/>
                <w:bCs/>
              </w:rPr>
              <w:t>2 - Unlikely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CCCA75">
            <w:r>
              <w:t>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B7FD7D3">
            <w: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2879404">
            <w:r>
              <w:t>6</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646398A">
            <w:r>
              <w:t>8</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F1A460A">
            <w:r>
              <w:t>10</w:t>
            </w:r>
          </w:p>
        </w:tc>
      </w:tr>
      <w:tr w14:paraId="2F43587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E69138"/>
            <w:tcMar>
              <w:top w:w="100" w:type="dxa"/>
              <w:left w:w="100" w:type="dxa"/>
              <w:bottom w:w="100" w:type="dxa"/>
              <w:right w:w="100" w:type="dxa"/>
            </w:tcMar>
          </w:tcPr>
          <w:p w14:paraId="3A814E26">
            <w:r>
              <w:rPr>
                <w:b/>
                <w:bCs/>
              </w:rPr>
              <w:t>1 - Rare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D9FDD27">
            <w:r>
              <w:t>1</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8F3D05F">
            <w:r>
              <w:t>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C8DB6FC">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3B1BFA7">
            <w: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5126F45">
            <w:r>
              <w:t>5</w:t>
            </w:r>
          </w:p>
        </w:tc>
      </w:tr>
    </w:tbl>
    <w:p w14:paraId="64C97D72">
      <w:r>
        <w:t xml:space="preserve">The matrix translates the probability and impact ratings into priority; and risk with a high level of exposure will receive higher priority for managing. Scores of 16–25 represent very high exposure, while scores of 10–15 indicate high exposure. A delay in grid connection can delay commissioning and revenue benefits, and structural deficiencies can lead to redesign and extra engineering costs and delay in installation (Ramasamy </w:t>
      </w:r>
      <w:r>
        <w:rPr>
          <w:i/>
          <w:iCs/>
        </w:rPr>
        <w:t>et al.</w:t>
      </w:r>
      <w:r>
        <w:t xml:space="preserve"> 2023). </w:t>
      </w:r>
    </w:p>
    <w:p w14:paraId="20DE5987">
      <w:pPr>
        <w:pStyle w:val="3"/>
      </w:pPr>
      <w:bookmarkStart w:id="22" w:name="_Toc237386550"/>
      <w:r>
        <w:t>4.4 Risk Mitigation and Management Techniques</w:t>
      </w:r>
      <w:bookmarkEnd w:id="22"/>
    </w:p>
    <w:p w14:paraId="0D1D6517">
      <w:r>
        <w:t xml:space="preserve">Mitigation measures address the predominant causes in addition to consequences. Early structural surveys minimise the risk of redesign, procurement of equipment minimises the risk of equipment delays, and coordination of the grid in early stages minimises exposure to the uncertainty of approval (Zhang </w:t>
      </w:r>
      <w:r>
        <w:rPr>
          <w:i/>
          <w:iCs/>
        </w:rPr>
        <w:t>et al.</w:t>
      </w:r>
      <w:r>
        <w:t xml:space="preserve"> 2023). Design verification eliminates technical rework, method statement, PPE and site supervision control installation technical exposure. Continuous monitoring with risk ownership and periodic review.</w:t>
      </w:r>
    </w:p>
    <w:p w14:paraId="2B9A2E0F"/>
    <w:p w14:paraId="3BBBDD0D">
      <w:pPr>
        <w:jc w:val="center"/>
      </w:pPr>
      <w:r>
        <w:rPr>
          <w:b/>
          <w:bCs/>
        </w:rPr>
        <w:t xml:space="preserve">Table 4: Risk Mitigation </w:t>
      </w:r>
    </w:p>
    <w:tbl>
      <w:tblPr>
        <w:tblStyle w:val="22"/>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2458"/>
        <w:gridCol w:w="4780"/>
        <w:gridCol w:w="1991"/>
      </w:tblGrid>
      <w:tr w14:paraId="5B64393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CC4125"/>
            <w:tcMar>
              <w:top w:w="100" w:type="dxa"/>
              <w:left w:w="100" w:type="dxa"/>
              <w:bottom w:w="100" w:type="dxa"/>
              <w:right w:w="100" w:type="dxa"/>
            </w:tcMar>
          </w:tcPr>
          <w:p w14:paraId="311C1051">
            <w:pPr>
              <w:jc w:val="center"/>
            </w:pPr>
            <w:r>
              <w:rPr>
                <w:b/>
                <w:bCs/>
              </w:rPr>
              <w:t>Risk</w:t>
            </w:r>
          </w:p>
        </w:tc>
        <w:tc>
          <w:tcPr>
            <w:tcW w:w="0" w:type="auto"/>
            <w:tcBorders>
              <w:top w:val="single" w:color="000000" w:sz="8" w:space="0"/>
              <w:left w:val="single" w:color="000000" w:sz="8" w:space="0"/>
              <w:bottom w:val="single" w:color="000000" w:sz="8" w:space="0"/>
              <w:right w:val="single" w:color="000000" w:sz="8" w:space="0"/>
            </w:tcBorders>
            <w:shd w:val="clear" w:color="auto" w:fill="CC4125"/>
            <w:tcMar>
              <w:top w:w="100" w:type="dxa"/>
              <w:left w:w="100" w:type="dxa"/>
              <w:bottom w:w="100" w:type="dxa"/>
              <w:right w:w="100" w:type="dxa"/>
            </w:tcMar>
          </w:tcPr>
          <w:p w14:paraId="1CAAD00A">
            <w:pPr>
              <w:jc w:val="center"/>
            </w:pPr>
            <w:r>
              <w:rPr>
                <w:b/>
                <w:bCs/>
              </w:rPr>
              <w:t>Mitigation/Response</w:t>
            </w:r>
          </w:p>
        </w:tc>
        <w:tc>
          <w:tcPr>
            <w:tcW w:w="0" w:type="auto"/>
            <w:tcBorders>
              <w:top w:val="single" w:color="000000" w:sz="8" w:space="0"/>
              <w:left w:val="single" w:color="000000" w:sz="8" w:space="0"/>
              <w:bottom w:val="single" w:color="000000" w:sz="8" w:space="0"/>
              <w:right w:val="single" w:color="000000" w:sz="8" w:space="0"/>
            </w:tcBorders>
            <w:shd w:val="clear" w:color="auto" w:fill="CC4125"/>
            <w:tcMar>
              <w:top w:w="100" w:type="dxa"/>
              <w:left w:w="100" w:type="dxa"/>
              <w:bottom w:w="100" w:type="dxa"/>
              <w:right w:w="100" w:type="dxa"/>
            </w:tcMar>
          </w:tcPr>
          <w:p w14:paraId="5FFBD697">
            <w:pPr>
              <w:jc w:val="center"/>
            </w:pPr>
            <w:r>
              <w:rPr>
                <w:b/>
                <w:bCs/>
              </w:rPr>
              <w:t>Responsible Role</w:t>
            </w:r>
          </w:p>
        </w:tc>
      </w:tr>
      <w:tr w14:paraId="5D9C199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93C47D"/>
            <w:tcMar>
              <w:top w:w="100" w:type="dxa"/>
              <w:left w:w="100" w:type="dxa"/>
              <w:bottom w:w="100" w:type="dxa"/>
              <w:right w:w="100" w:type="dxa"/>
            </w:tcMar>
          </w:tcPr>
          <w:p w14:paraId="2EF3F56F">
            <w:pPr>
              <w:rPr>
                <w:b/>
                <w:bCs/>
              </w:rPr>
            </w:pPr>
            <w:r>
              <w:rPr>
                <w:b/>
                <w:bCs/>
              </w:rPr>
              <w:t>Equipment delivery delay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01B5FDD">
            <w:r>
              <w:t>Early procurement, approved suppliers and delivery monitoring</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5399880">
            <w:r>
              <w:t>Procurement Manager</w:t>
            </w:r>
          </w:p>
        </w:tc>
      </w:tr>
      <w:tr w14:paraId="6654E4F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93C47D"/>
            <w:tcMar>
              <w:top w:w="100" w:type="dxa"/>
              <w:left w:w="100" w:type="dxa"/>
              <w:bottom w:w="100" w:type="dxa"/>
              <w:right w:w="100" w:type="dxa"/>
            </w:tcMar>
          </w:tcPr>
          <w:p w14:paraId="488EFE23">
            <w:pPr>
              <w:rPr>
                <w:b/>
                <w:bCs/>
              </w:rPr>
            </w:pPr>
            <w:r>
              <w:rPr>
                <w:b/>
                <w:bCs/>
              </w:rPr>
              <w:t>Roof structural inadequacy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0B872B6">
            <w:r>
              <w:t>Early structural survey and engineering verification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157C78">
            <w:r>
              <w:t>Structural Engineer</w:t>
            </w:r>
          </w:p>
        </w:tc>
      </w:tr>
      <w:tr w14:paraId="573B8DB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93C47D"/>
            <w:tcMar>
              <w:top w:w="100" w:type="dxa"/>
              <w:left w:w="100" w:type="dxa"/>
              <w:bottom w:w="100" w:type="dxa"/>
              <w:right w:w="100" w:type="dxa"/>
            </w:tcMar>
          </w:tcPr>
          <w:p w14:paraId="61E04AEA">
            <w:pPr>
              <w:rPr>
                <w:b/>
                <w:bCs/>
              </w:rPr>
            </w:pPr>
            <w:r>
              <w:rPr>
                <w:b/>
                <w:bCs/>
              </w:rPr>
              <w:t>Grid connection delay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4A6F0E2">
            <w:r>
              <w:t>Early application and continuous utility coordination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374144C">
            <w:r>
              <w:t>Electrical Engineer</w:t>
            </w:r>
          </w:p>
        </w:tc>
      </w:tr>
      <w:tr w14:paraId="37E83B1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93C47D"/>
            <w:tcMar>
              <w:top w:w="100" w:type="dxa"/>
              <w:left w:w="100" w:type="dxa"/>
              <w:bottom w:w="100" w:type="dxa"/>
              <w:right w:w="100" w:type="dxa"/>
            </w:tcMar>
          </w:tcPr>
          <w:p w14:paraId="22B9553E">
            <w:pPr>
              <w:rPr>
                <w:b/>
                <w:bCs/>
              </w:rPr>
            </w:pPr>
            <w:r>
              <w:rPr>
                <w:b/>
                <w:bCs/>
              </w:rPr>
              <w:t>Adverse weather</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B07ED3C">
            <w:r>
              <w:t>Weather-based scheduling and contingency time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A24FC1A">
            <w:r>
              <w:t>Project Manager</w:t>
            </w:r>
          </w:p>
        </w:tc>
      </w:tr>
      <w:tr w14:paraId="092E6C9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93C47D"/>
            <w:tcMar>
              <w:top w:w="100" w:type="dxa"/>
              <w:left w:w="100" w:type="dxa"/>
              <w:bottom w:w="100" w:type="dxa"/>
              <w:right w:w="100" w:type="dxa"/>
            </w:tcMar>
          </w:tcPr>
          <w:p w14:paraId="63301D20">
            <w:pPr>
              <w:rPr>
                <w:b/>
                <w:bCs/>
              </w:rPr>
            </w:pPr>
            <w:r>
              <w:rPr>
                <w:b/>
                <w:bCs/>
              </w:rPr>
              <w:t>Safety incident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DA35CF">
            <w:r>
              <w:t>RAMS, PPE, toolbox talks and site supervision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4F103B">
            <w:r>
              <w:t>H&amp;S Manager</w:t>
            </w:r>
          </w:p>
        </w:tc>
      </w:tr>
      <w:tr w14:paraId="0BA6D10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93C47D"/>
            <w:tcMar>
              <w:top w:w="100" w:type="dxa"/>
              <w:left w:w="100" w:type="dxa"/>
              <w:bottom w:w="100" w:type="dxa"/>
              <w:right w:w="100" w:type="dxa"/>
            </w:tcMar>
          </w:tcPr>
          <w:p w14:paraId="5508CFCB">
            <w:pPr>
              <w:rPr>
                <w:b/>
                <w:bCs/>
              </w:rPr>
            </w:pPr>
            <w:r>
              <w:rPr>
                <w:b/>
                <w:bCs/>
              </w:rPr>
              <w:t>Design error/rework</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E189103">
            <w:r>
              <w:t>Independent design review and technical verification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F7FFA02">
            <w:r>
              <w:t>Design Engineer</w:t>
            </w:r>
          </w:p>
        </w:tc>
      </w:tr>
      <w:tr w14:paraId="188B614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93C47D"/>
            <w:tcMar>
              <w:top w:w="100" w:type="dxa"/>
              <w:left w:w="100" w:type="dxa"/>
              <w:bottom w:w="100" w:type="dxa"/>
              <w:right w:w="100" w:type="dxa"/>
            </w:tcMar>
          </w:tcPr>
          <w:p w14:paraId="19ACE8A2">
            <w:pPr>
              <w:rPr>
                <w:b/>
                <w:bCs/>
              </w:rPr>
            </w:pPr>
            <w:r>
              <w:rPr>
                <w:b/>
                <w:bCs/>
              </w:rPr>
              <w:t>Price escalation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655D74">
            <w:r>
              <w:t>Fixed-price quotations and early procurement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0BEF35F">
            <w:r>
              <w:t>Project Manager</w:t>
            </w:r>
          </w:p>
        </w:tc>
      </w:tr>
      <w:tr w14:paraId="5D967A5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93C47D"/>
            <w:tcMar>
              <w:top w:w="100" w:type="dxa"/>
              <w:left w:w="100" w:type="dxa"/>
              <w:bottom w:w="100" w:type="dxa"/>
              <w:right w:w="100" w:type="dxa"/>
            </w:tcMar>
          </w:tcPr>
          <w:p w14:paraId="361E90A5">
            <w:pPr>
              <w:rPr>
                <w:b/>
                <w:bCs/>
              </w:rPr>
            </w:pPr>
            <w:r>
              <w:rPr>
                <w:b/>
                <w:bCs/>
              </w:rPr>
              <w:t>Low PV performance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D9FCCDA">
            <w:r>
              <w:t>Performance testing, monitoring and commissioning</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682A8E8">
            <w:r>
              <w:t>PV Engineer</w:t>
            </w:r>
          </w:p>
        </w:tc>
      </w:tr>
    </w:tbl>
    <w:p w14:paraId="70E11075">
      <w:r>
        <w:t>The mitigation table links each of the identified risks to a response and a responsible project role, providing a direct link from risk assessment to project control.</w:t>
      </w:r>
    </w:p>
    <w:p w14:paraId="05414E12">
      <w:pPr>
        <w:pStyle w:val="3"/>
      </w:pPr>
      <w:bookmarkStart w:id="23" w:name="_7z632irkrn57" w:colFirst="0" w:colLast="0"/>
      <w:bookmarkEnd w:id="23"/>
      <w:bookmarkStart w:id="24" w:name="_Toc237386551"/>
      <w:r>
        <w:t>4.5 SWOT Analysis</w:t>
      </w:r>
      <w:bookmarkEnd w:id="24"/>
    </w:p>
    <w:p w14:paraId="355CBBDE">
      <w:pPr>
        <w:jc w:val="center"/>
      </w:pPr>
      <w:r>
        <w:drawing>
          <wp:inline distT="114300" distB="114300" distL="114300" distR="114300">
            <wp:extent cx="5730875" cy="3670300"/>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referRelativeResize="0"/>
                  </pic:nvPicPr>
                  <pic:blipFill>
                    <a:blip r:embed="rId16"/>
                    <a:srcRect/>
                    <a:stretch>
                      <a:fillRect/>
                    </a:stretch>
                  </pic:blipFill>
                  <pic:spPr>
                    <a:xfrm>
                      <a:off x="0" y="0"/>
                      <a:ext cx="5731200" cy="3670300"/>
                    </a:xfrm>
                    <a:prstGeom prst="rect">
                      <a:avLst/>
                    </a:prstGeom>
                    <a:ln w="12700">
                      <a:solidFill>
                        <a:srgbClr val="000000"/>
                      </a:solidFill>
                      <a:prstDash val="solid"/>
                    </a:ln>
                  </pic:spPr>
                </pic:pic>
              </a:graphicData>
            </a:graphic>
          </wp:inline>
        </w:drawing>
      </w:r>
    </w:p>
    <w:p w14:paraId="419FF762">
      <w:pPr>
        <w:jc w:val="center"/>
        <w:rPr>
          <w:b/>
          <w:bCs/>
        </w:rPr>
      </w:pPr>
      <w:r>
        <w:rPr>
          <w:b/>
          <w:bCs/>
        </w:rPr>
        <w:t>Figure 7: SWOT Analysis of the 1 MWp Rooftop Solar PV Project</w:t>
      </w:r>
    </w:p>
    <w:p w14:paraId="30E24C3C">
      <w:r>
        <w:t xml:space="preserve">The use of SWOT analysis has been an attempt made to analyse the internal and external factors affecting a proposed project which is to be implemented, which is 1 MWp rooftop solar photovoltaic. Analysis helps to make strategic decisions regarding project cost, performance and sustainability (Shaikh </w:t>
      </w:r>
      <w:r>
        <w:rPr>
          <w:i/>
          <w:iCs/>
        </w:rPr>
        <w:t>et al.</w:t>
      </w:r>
      <w:r>
        <w:t xml:space="preserve"> 2022).</w:t>
      </w:r>
    </w:p>
    <w:p w14:paraId="6037A972">
      <w:pPr>
        <w:pStyle w:val="2"/>
      </w:pPr>
      <w:bookmarkStart w:id="25" w:name="_Toc237386552"/>
      <w:r>
        <w:t>5. Costs of Individual Activities and Total Project Cost</w:t>
      </w:r>
      <w:bookmarkEnd w:id="25"/>
    </w:p>
    <w:p w14:paraId="526C75BF">
      <w:pPr>
        <w:pStyle w:val="3"/>
      </w:pPr>
      <w:bookmarkStart w:id="26" w:name="_Toc237386553"/>
      <w:r>
        <w:t>5.1 Project Resource Requirements</w:t>
      </w:r>
      <w:bookmarkEnd w:id="26"/>
    </w:p>
    <w:p w14:paraId="25EDF97A">
      <w:pPr>
        <w:jc w:val="center"/>
      </w:pPr>
      <w:r>
        <w:rPr>
          <w:b/>
          <w:bCs/>
        </w:rPr>
        <w:t>Table 5: Project Resource Requirements</w:t>
      </w:r>
    </w:p>
    <w:tbl>
      <w:tblPr>
        <w:tblStyle w:val="23"/>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2221"/>
        <w:gridCol w:w="3592"/>
        <w:gridCol w:w="3416"/>
      </w:tblGrid>
      <w:tr w14:paraId="6942845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C27BA0"/>
            <w:tcMar>
              <w:top w:w="100" w:type="dxa"/>
              <w:left w:w="100" w:type="dxa"/>
              <w:bottom w:w="100" w:type="dxa"/>
              <w:right w:w="100" w:type="dxa"/>
            </w:tcMar>
          </w:tcPr>
          <w:p w14:paraId="35889609">
            <w:pPr>
              <w:jc w:val="center"/>
            </w:pPr>
            <w:r>
              <w:rPr>
                <w:b/>
                <w:bCs/>
              </w:rPr>
              <w:t>Resource Category</w:t>
            </w:r>
          </w:p>
        </w:tc>
        <w:tc>
          <w:tcPr>
            <w:tcW w:w="0" w:type="auto"/>
            <w:tcBorders>
              <w:top w:val="single" w:color="000000" w:sz="8" w:space="0"/>
              <w:left w:val="single" w:color="000000" w:sz="8" w:space="0"/>
              <w:bottom w:val="single" w:color="000000" w:sz="8" w:space="0"/>
              <w:right w:val="single" w:color="000000" w:sz="8" w:space="0"/>
            </w:tcBorders>
            <w:shd w:val="clear" w:color="auto" w:fill="C27BA0"/>
            <w:tcMar>
              <w:top w:w="100" w:type="dxa"/>
              <w:left w:w="100" w:type="dxa"/>
              <w:bottom w:w="100" w:type="dxa"/>
              <w:right w:w="100" w:type="dxa"/>
            </w:tcMar>
          </w:tcPr>
          <w:p w14:paraId="53F0B381">
            <w:pPr>
              <w:jc w:val="center"/>
            </w:pPr>
            <w:r>
              <w:rPr>
                <w:b/>
                <w:bCs/>
              </w:rPr>
              <w:t>Main Resources</w:t>
            </w:r>
          </w:p>
        </w:tc>
        <w:tc>
          <w:tcPr>
            <w:tcW w:w="0" w:type="auto"/>
            <w:tcBorders>
              <w:top w:val="single" w:color="000000" w:sz="8" w:space="0"/>
              <w:left w:val="single" w:color="000000" w:sz="8" w:space="0"/>
              <w:bottom w:val="single" w:color="000000" w:sz="8" w:space="0"/>
              <w:right w:val="single" w:color="000000" w:sz="8" w:space="0"/>
            </w:tcBorders>
            <w:shd w:val="clear" w:color="auto" w:fill="C27BA0"/>
            <w:tcMar>
              <w:top w:w="100" w:type="dxa"/>
              <w:left w:w="100" w:type="dxa"/>
              <w:bottom w:w="100" w:type="dxa"/>
              <w:right w:w="100" w:type="dxa"/>
            </w:tcMar>
          </w:tcPr>
          <w:p w14:paraId="54234CB4">
            <w:pPr>
              <w:jc w:val="center"/>
            </w:pPr>
            <w:r>
              <w:rPr>
                <w:b/>
                <w:bCs/>
              </w:rPr>
              <w:t>Related Activities</w:t>
            </w:r>
          </w:p>
        </w:tc>
      </w:tr>
      <w:tr w14:paraId="245F18E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76A5AF"/>
            <w:tcMar>
              <w:top w:w="100" w:type="dxa"/>
              <w:left w:w="100" w:type="dxa"/>
              <w:bottom w:w="100" w:type="dxa"/>
              <w:right w:w="100" w:type="dxa"/>
            </w:tcMar>
          </w:tcPr>
          <w:p w14:paraId="37DC97A3">
            <w:pPr>
              <w:rPr>
                <w:b/>
                <w:bCs/>
              </w:rPr>
            </w:pPr>
            <w:r>
              <w:rPr>
                <w:b/>
                <w:bCs/>
              </w:rPr>
              <w:t>Project Management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4B2165E">
            <w:r>
              <w:t>Project Manager, Admin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F10D8EE">
            <w:r>
              <w:t>Approval, permits, handover</w:t>
            </w:r>
          </w:p>
        </w:tc>
      </w:tr>
      <w:tr w14:paraId="5587836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76A5AF"/>
            <w:tcMar>
              <w:top w:w="100" w:type="dxa"/>
              <w:left w:w="100" w:type="dxa"/>
              <w:bottom w:w="100" w:type="dxa"/>
              <w:right w:w="100" w:type="dxa"/>
            </w:tcMar>
          </w:tcPr>
          <w:p w14:paraId="6F4BF63D">
            <w:pPr>
              <w:rPr>
                <w:b/>
                <w:bCs/>
              </w:rPr>
            </w:pPr>
            <w:r>
              <w:rPr>
                <w:b/>
                <w:bCs/>
              </w:rPr>
              <w:t>Engineering</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328090">
            <w:r>
              <w:t>Structural &amp; Electrical Engineers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7AFEA3">
            <w:r>
              <w:t>Surveys, load analysis, design</w:t>
            </w:r>
          </w:p>
        </w:tc>
      </w:tr>
      <w:tr w14:paraId="1F72928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76A5AF"/>
            <w:tcMar>
              <w:top w:w="100" w:type="dxa"/>
              <w:left w:w="100" w:type="dxa"/>
              <w:bottom w:w="100" w:type="dxa"/>
              <w:right w:w="100" w:type="dxa"/>
            </w:tcMar>
          </w:tcPr>
          <w:p w14:paraId="4AC85471">
            <w:pPr>
              <w:rPr>
                <w:b/>
                <w:bCs/>
              </w:rPr>
            </w:pPr>
            <w:r>
              <w:rPr>
                <w:b/>
                <w:bCs/>
              </w:rPr>
              <w:t>Procurement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25C46F9">
            <w:r>
              <w:t>Procurement Team</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91B82B8">
            <w:r>
              <w:t>PV modules, inverters and BOS</w:t>
            </w:r>
          </w:p>
        </w:tc>
      </w:tr>
      <w:tr w14:paraId="00E0AC9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76A5AF"/>
            <w:tcMar>
              <w:top w:w="100" w:type="dxa"/>
              <w:left w:w="100" w:type="dxa"/>
              <w:bottom w:w="100" w:type="dxa"/>
              <w:right w:w="100" w:type="dxa"/>
            </w:tcMar>
          </w:tcPr>
          <w:p w14:paraId="096C330B">
            <w:pPr>
              <w:rPr>
                <w:b/>
                <w:bCs/>
              </w:rPr>
            </w:pPr>
            <w:r>
              <w:rPr>
                <w:b/>
                <w:bCs/>
              </w:rPr>
              <w:t>Logistics &amp; QA</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6EED2FD">
            <w:r>
              <w:t>Logistics and QA Team</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320EAE8">
            <w:r>
              <w:t>Delivery and inspection</w:t>
            </w:r>
          </w:p>
        </w:tc>
      </w:tr>
      <w:tr w14:paraId="0186F48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76A5AF"/>
            <w:tcMar>
              <w:top w:w="100" w:type="dxa"/>
              <w:left w:w="100" w:type="dxa"/>
              <w:bottom w:w="100" w:type="dxa"/>
              <w:right w:w="100" w:type="dxa"/>
            </w:tcMar>
          </w:tcPr>
          <w:p w14:paraId="4648C177">
            <w:pPr>
              <w:rPr>
                <w:b/>
                <w:bCs/>
              </w:rPr>
            </w:pPr>
            <w:r>
              <w:rPr>
                <w:b/>
                <w:bCs/>
              </w:rPr>
              <w:t>Installation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032D210">
            <w:r>
              <w:t>Installation Crew, PV Technicians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8B1A154">
            <w:r>
              <w:t>Mounting and PV installation</w:t>
            </w:r>
          </w:p>
        </w:tc>
      </w:tr>
      <w:tr w14:paraId="07E5B28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76A5AF"/>
            <w:tcMar>
              <w:top w:w="100" w:type="dxa"/>
              <w:left w:w="100" w:type="dxa"/>
              <w:bottom w:w="100" w:type="dxa"/>
              <w:right w:w="100" w:type="dxa"/>
            </w:tcMar>
          </w:tcPr>
          <w:p w14:paraId="31608151">
            <w:pPr>
              <w:rPr>
                <w:b/>
                <w:bCs/>
              </w:rPr>
            </w:pPr>
            <w:r>
              <w:rPr>
                <w:b/>
                <w:bCs/>
              </w:rPr>
              <w:t>Electrical</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E4DCDD4">
            <w:r>
              <w:t>Electrical Technicians/Crew</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9DE1558">
            <w:r>
              <w:t>Inverters, cabling and earthing</w:t>
            </w:r>
          </w:p>
        </w:tc>
      </w:tr>
      <w:tr w14:paraId="4EA4B1C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76A5AF"/>
            <w:tcMar>
              <w:top w:w="100" w:type="dxa"/>
              <w:left w:w="100" w:type="dxa"/>
              <w:bottom w:w="100" w:type="dxa"/>
              <w:right w:w="100" w:type="dxa"/>
            </w:tcMar>
          </w:tcPr>
          <w:p w14:paraId="11FEAB8E">
            <w:pPr>
              <w:rPr>
                <w:b/>
                <w:bCs/>
              </w:rPr>
            </w:pPr>
            <w:r>
              <w:rPr>
                <w:b/>
                <w:bCs/>
              </w:rPr>
              <w:t>Commissioning</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2081723">
            <w:r>
              <w:t>Commissioning Engineers, Utility Team</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B6C8E87">
            <w:r>
              <w:t>Testing and grid synchronisation</w:t>
            </w:r>
          </w:p>
        </w:tc>
      </w:tr>
      <w:tr w14:paraId="7492252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76A5AF"/>
            <w:tcMar>
              <w:top w:w="100" w:type="dxa"/>
              <w:left w:w="100" w:type="dxa"/>
              <w:bottom w:w="100" w:type="dxa"/>
              <w:right w:w="100" w:type="dxa"/>
            </w:tcMar>
          </w:tcPr>
          <w:p w14:paraId="1F44E5E1">
            <w:pPr>
              <w:rPr>
                <w:b/>
                <w:bCs/>
              </w:rPr>
            </w:pPr>
            <w:r>
              <w:rPr>
                <w:b/>
                <w:bCs/>
              </w:rPr>
              <w:t>O&amp;M</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133A043">
            <w:r>
              <w:t>PM, O&amp;M Team</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497F4AC">
            <w:r>
              <w:t>Training, documentation and handover</w:t>
            </w:r>
          </w:p>
        </w:tc>
      </w:tr>
    </w:tbl>
    <w:p w14:paraId="25A82BA0">
      <w:r>
        <w:t xml:space="preserve">The above table shows that managerial and engineering and specialist technical resources will be needed for the project. Procurement is the most substantial resource expenditure due to the cost of PV modules and inverter / BOS equipment. The resource planning for the rooftop Solar PV project includes project management, engineering, procurement, logistics, installation, commissioning and handing over the project (Zhang </w:t>
      </w:r>
      <w:r>
        <w:rPr>
          <w:i/>
          <w:iCs/>
        </w:rPr>
        <w:t>et al.</w:t>
      </w:r>
      <w:r>
        <w:t xml:space="preserve"> 2023).</w:t>
      </w:r>
    </w:p>
    <w:p w14:paraId="3F9E66AD">
      <w:pPr>
        <w:pStyle w:val="3"/>
      </w:pPr>
      <w:bookmarkStart w:id="27" w:name="_Toc237386554"/>
      <w:r>
        <w:t>5.2 Individual Activity Costs</w:t>
      </w:r>
      <w:bookmarkEnd w:id="27"/>
    </w:p>
    <w:p w14:paraId="3AD5D49D">
      <w:pPr>
        <w:jc w:val="center"/>
        <w:rPr>
          <w:b/>
          <w:bCs/>
        </w:rPr>
      </w:pPr>
      <w:r>
        <w:rPr>
          <w:b/>
          <w:bCs/>
        </w:rPr>
        <w:t>Table 6: Activity Cost Table</w:t>
      </w:r>
    </w:p>
    <w:tbl>
      <w:tblPr>
        <w:tblStyle w:val="24"/>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4241"/>
        <w:gridCol w:w="1821"/>
        <w:gridCol w:w="1007"/>
      </w:tblGrid>
      <w:tr w14:paraId="18D8EB0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384A55BD">
            <w:pPr>
              <w:jc w:val="center"/>
            </w:pPr>
            <w:r>
              <w:rPr>
                <w:b/>
                <w:bCs/>
              </w:rPr>
              <w:t>Activity</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16C8112C">
            <w:pPr>
              <w:jc w:val="center"/>
            </w:pPr>
            <w:r>
              <w:rPr>
                <w:b/>
                <w:bCs/>
              </w:rPr>
              <w:t>Duration (days)</w:t>
            </w:r>
          </w:p>
        </w:tc>
        <w:tc>
          <w:tcPr>
            <w:tcW w:w="0" w:type="auto"/>
            <w:tcBorders>
              <w:top w:val="single" w:color="000000" w:sz="8" w:space="0"/>
              <w:left w:val="single" w:color="000000" w:sz="8" w:space="0"/>
              <w:bottom w:val="single" w:color="000000" w:sz="8" w:space="0"/>
              <w:right w:val="single" w:color="000000" w:sz="8" w:space="0"/>
            </w:tcBorders>
            <w:shd w:val="clear" w:color="auto" w:fill="8E7CC3"/>
            <w:tcMar>
              <w:top w:w="100" w:type="dxa"/>
              <w:left w:w="100" w:type="dxa"/>
              <w:bottom w:w="100" w:type="dxa"/>
              <w:right w:w="100" w:type="dxa"/>
            </w:tcMar>
          </w:tcPr>
          <w:p w14:paraId="144792D6">
            <w:pPr>
              <w:jc w:val="center"/>
            </w:pPr>
            <w:r>
              <w:rPr>
                <w:b/>
                <w:bCs/>
              </w:rPr>
              <w:t>Cost (£)</w:t>
            </w:r>
          </w:p>
        </w:tc>
      </w:tr>
      <w:tr w14:paraId="02CD216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54BCD909">
            <w:pPr>
              <w:rPr>
                <w:b/>
                <w:bCs/>
              </w:rPr>
            </w:pPr>
            <w:r>
              <w:rPr>
                <w:b/>
                <w:bCs/>
              </w:rPr>
              <w:t xml:space="preserve">Project approval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BDF0D47">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70D42EB">
            <w:r>
              <w:t>3,000</w:t>
            </w:r>
          </w:p>
        </w:tc>
      </w:tr>
      <w:tr w14:paraId="2868AD4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1286C203">
            <w:pPr>
              <w:rPr>
                <w:b/>
                <w:bCs/>
              </w:rPr>
            </w:pPr>
            <w:r>
              <w:rPr>
                <w:b/>
                <w:bCs/>
              </w:rPr>
              <w:t>Site survey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6CDA7E9">
            <w: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AAF76AE">
            <w:r>
              <w:t>4,000</w:t>
            </w:r>
          </w:p>
        </w:tc>
      </w:tr>
      <w:tr w14:paraId="204651D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52CD56BC">
            <w:pPr>
              <w:rPr>
                <w:b/>
                <w:bCs/>
              </w:rPr>
            </w:pPr>
            <w:r>
              <w:rPr>
                <w:b/>
                <w:bCs/>
              </w:rPr>
              <w:t>Structural assessment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A855C7D">
            <w: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939FA5B">
            <w:r>
              <w:t>5,000</w:t>
            </w:r>
          </w:p>
        </w:tc>
      </w:tr>
      <w:tr w14:paraId="25BA11D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44BDBA2F">
            <w:pPr>
              <w:rPr>
                <w:b/>
                <w:bCs/>
              </w:rPr>
            </w:pPr>
            <w:r>
              <w:rPr>
                <w:b/>
                <w:bCs/>
              </w:rPr>
              <w:t>Electrical load analysis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D9C6F32">
            <w: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562AE00">
            <w:r>
              <w:t>4,500</w:t>
            </w:r>
          </w:p>
        </w:tc>
      </w:tr>
      <w:tr w14:paraId="0AF1754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6E4C1948">
            <w:pPr>
              <w:rPr>
                <w:b/>
                <w:bCs/>
              </w:rPr>
            </w:pPr>
            <w:r>
              <w:rPr>
                <w:b/>
                <w:bCs/>
              </w:rPr>
              <w:t>Detailed PV and electrical design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872E2BA">
            <w:r>
              <w:t>8</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A70F846">
            <w:r>
              <w:t>12,000</w:t>
            </w:r>
          </w:p>
        </w:tc>
      </w:tr>
      <w:tr w14:paraId="489B166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6C2C7164">
            <w:pPr>
              <w:rPr>
                <w:b/>
                <w:bCs/>
              </w:rPr>
            </w:pPr>
            <w:r>
              <w:rPr>
                <w:b/>
                <w:bCs/>
              </w:rPr>
              <w:t>Utility approval and permits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06F24F">
            <w:r>
              <w:t>12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58A603F">
            <w:r>
              <w:t>6,000</w:t>
            </w:r>
          </w:p>
        </w:tc>
      </w:tr>
      <w:tr w14:paraId="4D7019F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00B803EE">
            <w:pPr>
              <w:rPr>
                <w:b/>
                <w:bCs/>
              </w:rPr>
            </w:pPr>
            <w:r>
              <w:rPr>
                <w:b/>
                <w:bCs/>
              </w:rPr>
              <w:t>Procurement of PV modules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E7B7B02">
            <w:r>
              <w:t>15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22AC262">
            <w:r>
              <w:t>420,000</w:t>
            </w:r>
          </w:p>
        </w:tc>
      </w:tr>
      <w:tr w14:paraId="2EF03B3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60A0A0D2">
            <w:pPr>
              <w:rPr>
                <w:b/>
                <w:bCs/>
              </w:rPr>
            </w:pPr>
            <w:r>
              <w:rPr>
                <w:b/>
                <w:bCs/>
              </w:rPr>
              <w:t>Procurement of inverters and BOS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D4689CF">
            <w:r>
              <w:t>12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62184CB">
            <w:r>
              <w:t>110,000</w:t>
            </w:r>
          </w:p>
        </w:tc>
      </w:tr>
      <w:tr w14:paraId="39312E4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511D3E51">
            <w:pPr>
              <w:rPr>
                <w:b/>
                <w:bCs/>
              </w:rPr>
            </w:pPr>
            <w:r>
              <w:rPr>
                <w:b/>
                <w:bCs/>
              </w:rPr>
              <w:t>Delivery and inspection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9EC9B3D">
            <w: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50C6FFE">
            <w:r>
              <w:t>8,000</w:t>
            </w:r>
          </w:p>
        </w:tc>
      </w:tr>
      <w:tr w14:paraId="6AD74B7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2EC92CD1">
            <w:pPr>
              <w:rPr>
                <w:b/>
                <w:bCs/>
              </w:rPr>
            </w:pPr>
            <w:r>
              <w:rPr>
                <w:b/>
                <w:bCs/>
              </w:rPr>
              <w:t>Mounting structure installation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6C90B4A">
            <w:r>
              <w:t>10</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C30D05">
            <w:r>
              <w:t>75,000</w:t>
            </w:r>
          </w:p>
        </w:tc>
      </w:tr>
      <w:tr w14:paraId="459C723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6076D51E">
            <w:pPr>
              <w:rPr>
                <w:b/>
                <w:bCs/>
              </w:rPr>
            </w:pPr>
            <w:r>
              <w:rPr>
                <w:b/>
                <w:bCs/>
              </w:rPr>
              <w:t>PV module installation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9DAC56D">
            <w:r>
              <w:t>10</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8D4C528">
            <w:r>
              <w:t>60,000</w:t>
            </w:r>
          </w:p>
        </w:tc>
      </w:tr>
      <w:tr w14:paraId="34EED3C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1DD663ED">
            <w:pPr>
              <w:rPr>
                <w:b/>
                <w:bCs/>
              </w:rPr>
            </w:pPr>
            <w:r>
              <w:rPr>
                <w:b/>
                <w:bCs/>
              </w:rPr>
              <w:t>Inverter installation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4C43A90">
            <w: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7077A62">
            <w:r>
              <w:t>25,000</w:t>
            </w:r>
          </w:p>
        </w:tc>
      </w:tr>
      <w:tr w14:paraId="0C2A1D5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49401CEA">
            <w:pPr>
              <w:rPr>
                <w:b/>
                <w:bCs/>
              </w:rPr>
            </w:pPr>
            <w:r>
              <w:rPr>
                <w:b/>
                <w:bCs/>
              </w:rPr>
              <w:t>DC/AC cabling and earthing</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BA214C0">
            <w:r>
              <w:t>7</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02D820">
            <w:r>
              <w:t>35,000</w:t>
            </w:r>
          </w:p>
        </w:tc>
      </w:tr>
      <w:tr w14:paraId="05AF8F4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46B37029">
            <w:pPr>
              <w:rPr>
                <w:b/>
                <w:bCs/>
              </w:rPr>
            </w:pPr>
            <w:r>
              <w:rPr>
                <w:b/>
                <w:bCs/>
              </w:rPr>
              <w:t>Testing and commissioning</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CE2B686">
            <w: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812685">
            <w:r>
              <w:t>15,000</w:t>
            </w:r>
          </w:p>
        </w:tc>
      </w:tr>
      <w:tr w14:paraId="214A976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3B17DA1A">
            <w:pPr>
              <w:rPr>
                <w:b/>
                <w:bCs/>
              </w:rPr>
            </w:pPr>
            <w:r>
              <w:rPr>
                <w:b/>
                <w:bCs/>
              </w:rPr>
              <w:t>Grid synchronisation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D16EC57">
            <w:r>
              <w:t>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37597BB">
            <w:r>
              <w:t>5,000</w:t>
            </w:r>
          </w:p>
        </w:tc>
      </w:tr>
      <w:tr w14:paraId="72AF5E2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459F4CA5">
            <w:pPr>
              <w:rPr>
                <w:b/>
                <w:bCs/>
              </w:rPr>
            </w:pPr>
            <w:r>
              <w:rPr>
                <w:b/>
                <w:bCs/>
              </w:rPr>
              <w:t>Training, documentation and handover</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B4C23F2">
            <w:r>
              <w:t>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30BB1C4">
            <w:r>
              <w:t>7,000</w:t>
            </w:r>
          </w:p>
        </w:tc>
      </w:tr>
      <w:tr w14:paraId="15E700B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4CBCEA79">
            <w:r>
              <w:rPr>
                <w:b/>
                <w:bCs/>
              </w:rPr>
              <w:t>Total</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67BF3C2">
            <w:r>
              <w:rPr>
                <w:b/>
                <w:bCs/>
              </w:rPr>
              <w:t>70</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C431E1C">
            <w:r>
              <w:rPr>
                <w:b/>
                <w:bCs/>
              </w:rPr>
              <w:t>794,500</w:t>
            </w:r>
          </w:p>
        </w:tc>
      </w:tr>
    </w:tbl>
    <w:p w14:paraId="5A12956A">
      <w:r>
        <w:t xml:space="preserve">The financial baseline for the project is set in the above-presented table. The highest cost in the individual cost breakdown is the PV module at £420,000, followed by the inverter and BOS at £110,000. A further £135,000 is spent on mounting structure and PV installation, emphasising the main cost drivers of procurement and installation (Oyakhilome and Koffa, 2026). </w:t>
      </w:r>
    </w:p>
    <w:p w14:paraId="15FADACD">
      <w:pPr>
        <w:pStyle w:val="3"/>
      </w:pPr>
      <w:bookmarkStart w:id="28" w:name="_Toc237386555"/>
      <w:r>
        <w:t>5.3 Total Project Cost</w:t>
      </w:r>
      <w:bookmarkEnd w:id="28"/>
    </w:p>
    <w:p w14:paraId="53A8B566">
      <w:r>
        <w:t>The total budget of all 16 activities equals £794,500 as a baseline project cost. Procurement accounts for £530,000 (66.7%), while installation activities account for £195,000 (24.5%). A further £69,500 (8.8%) will be used for project management, engineering, logistics, commissioning and grid synchronisation and handover tasks. The £794,500 baseline is used for the subsequent crash-costing analysis and the additional cost to bring the project duration down by seven days.</w:t>
      </w:r>
    </w:p>
    <w:p w14:paraId="37A7A966"/>
    <w:p w14:paraId="2F7DD4AA"/>
    <w:p w14:paraId="5C7F0F24"/>
    <w:p w14:paraId="03909B6D"/>
    <w:p w14:paraId="24332902"/>
    <w:p w14:paraId="0A43FC79">
      <w:pPr>
        <w:pStyle w:val="2"/>
      </w:pPr>
      <w:bookmarkStart w:id="29" w:name="_Toc237386556"/>
      <w:r>
        <w:t>6. Application of Crash Costing Techniques</w:t>
      </w:r>
      <w:bookmarkEnd w:id="29"/>
    </w:p>
    <w:p w14:paraId="6D396F71">
      <w:pPr>
        <w:pStyle w:val="3"/>
      </w:pPr>
      <w:bookmarkStart w:id="30" w:name="_Toc237386557"/>
      <w:r>
        <w:t>6.1 Identification of Activities for Crash Costing</w:t>
      </w:r>
      <w:bookmarkEnd w:id="30"/>
    </w:p>
    <w:p w14:paraId="5F1159A7">
      <w:pPr>
        <w:jc w:val="center"/>
      </w:pPr>
      <w:r>
        <w:rPr>
          <w:b/>
          <w:bCs/>
        </w:rPr>
        <w:t>Table 7: Activities Selected for Crash Costing</w:t>
      </w:r>
    </w:p>
    <w:tbl>
      <w:tblPr>
        <w:tblStyle w:val="25"/>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014"/>
        <w:gridCol w:w="3071"/>
        <w:gridCol w:w="1648"/>
        <w:gridCol w:w="1552"/>
        <w:gridCol w:w="1944"/>
      </w:tblGrid>
      <w:tr w14:paraId="7D6E034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C9DAF8"/>
            <w:tcMar>
              <w:top w:w="100" w:type="dxa"/>
              <w:left w:w="100" w:type="dxa"/>
              <w:bottom w:w="100" w:type="dxa"/>
              <w:right w:w="100" w:type="dxa"/>
            </w:tcMar>
          </w:tcPr>
          <w:p w14:paraId="37A9508F">
            <w:pPr>
              <w:spacing w:line="240" w:lineRule="auto"/>
              <w:rPr>
                <w:b/>
                <w:bCs/>
              </w:rPr>
            </w:pPr>
            <w:r>
              <w:rPr>
                <w:b/>
                <w:bCs/>
              </w:rPr>
              <w:t>Activity</w:t>
            </w:r>
          </w:p>
        </w:tc>
        <w:tc>
          <w:tcPr>
            <w:tcW w:w="0" w:type="auto"/>
            <w:tcBorders>
              <w:top w:val="single" w:color="000000" w:sz="8" w:space="0"/>
              <w:left w:val="single" w:color="000000" w:sz="8" w:space="0"/>
              <w:bottom w:val="single" w:color="000000" w:sz="8" w:space="0"/>
              <w:right w:val="single" w:color="000000" w:sz="8" w:space="0"/>
            </w:tcBorders>
            <w:shd w:val="clear" w:color="auto" w:fill="C9DAF8"/>
            <w:tcMar>
              <w:top w:w="100" w:type="dxa"/>
              <w:left w:w="100" w:type="dxa"/>
              <w:bottom w:w="100" w:type="dxa"/>
              <w:right w:w="100" w:type="dxa"/>
            </w:tcMar>
          </w:tcPr>
          <w:p w14:paraId="75843F35">
            <w:pPr>
              <w:spacing w:line="240" w:lineRule="auto"/>
              <w:rPr>
                <w:b/>
                <w:bCs/>
              </w:rPr>
            </w:pPr>
            <w:r>
              <w:rPr>
                <w:b/>
                <w:bCs/>
              </w:rPr>
              <w:t>Description</w:t>
            </w:r>
          </w:p>
        </w:tc>
        <w:tc>
          <w:tcPr>
            <w:tcW w:w="0" w:type="auto"/>
            <w:tcBorders>
              <w:top w:val="single" w:color="000000" w:sz="8" w:space="0"/>
              <w:left w:val="single" w:color="000000" w:sz="8" w:space="0"/>
              <w:bottom w:val="single" w:color="000000" w:sz="8" w:space="0"/>
              <w:right w:val="single" w:color="000000" w:sz="8" w:space="0"/>
            </w:tcBorders>
            <w:shd w:val="clear" w:color="auto" w:fill="C9DAF8"/>
            <w:tcMar>
              <w:top w:w="100" w:type="dxa"/>
              <w:left w:w="100" w:type="dxa"/>
              <w:bottom w:w="100" w:type="dxa"/>
              <w:right w:w="100" w:type="dxa"/>
            </w:tcMar>
          </w:tcPr>
          <w:p w14:paraId="6D79DC79">
            <w:pPr>
              <w:spacing w:line="240" w:lineRule="auto"/>
              <w:rPr>
                <w:b/>
                <w:bCs/>
              </w:rPr>
            </w:pPr>
            <w:r>
              <w:rPr>
                <w:b/>
                <w:bCs/>
              </w:rPr>
              <w:t>Normal Duration</w:t>
            </w:r>
          </w:p>
        </w:tc>
        <w:tc>
          <w:tcPr>
            <w:tcW w:w="0" w:type="auto"/>
            <w:tcBorders>
              <w:top w:val="single" w:color="000000" w:sz="8" w:space="0"/>
              <w:left w:val="single" w:color="000000" w:sz="8" w:space="0"/>
              <w:bottom w:val="single" w:color="000000" w:sz="8" w:space="0"/>
              <w:right w:val="single" w:color="000000" w:sz="8" w:space="0"/>
            </w:tcBorders>
            <w:shd w:val="clear" w:color="auto" w:fill="C9DAF8"/>
            <w:tcMar>
              <w:top w:w="100" w:type="dxa"/>
              <w:left w:w="100" w:type="dxa"/>
              <w:bottom w:w="100" w:type="dxa"/>
              <w:right w:w="100" w:type="dxa"/>
            </w:tcMar>
          </w:tcPr>
          <w:p w14:paraId="770BF07C">
            <w:pPr>
              <w:spacing w:line="240" w:lineRule="auto"/>
              <w:rPr>
                <w:b/>
                <w:bCs/>
              </w:rPr>
            </w:pPr>
            <w:r>
              <w:rPr>
                <w:b/>
                <w:bCs/>
              </w:rPr>
              <w:t>Crash Duration</w:t>
            </w:r>
          </w:p>
        </w:tc>
        <w:tc>
          <w:tcPr>
            <w:tcW w:w="0" w:type="auto"/>
            <w:tcBorders>
              <w:top w:val="single" w:color="000000" w:sz="8" w:space="0"/>
              <w:left w:val="single" w:color="000000" w:sz="8" w:space="0"/>
              <w:bottom w:val="single" w:color="000000" w:sz="8" w:space="0"/>
              <w:right w:val="single" w:color="000000" w:sz="8" w:space="0"/>
            </w:tcBorders>
            <w:shd w:val="clear" w:color="auto" w:fill="C9DAF8"/>
            <w:tcMar>
              <w:top w:w="100" w:type="dxa"/>
              <w:left w:w="100" w:type="dxa"/>
              <w:bottom w:w="100" w:type="dxa"/>
              <w:right w:w="100" w:type="dxa"/>
            </w:tcMar>
          </w:tcPr>
          <w:p w14:paraId="2015BFDB">
            <w:pPr>
              <w:spacing w:line="240" w:lineRule="auto"/>
              <w:rPr>
                <w:b/>
                <w:bCs/>
              </w:rPr>
            </w:pPr>
            <w:r>
              <w:rPr>
                <w:b/>
                <w:bCs/>
              </w:rPr>
              <w:t>Maximum Reduction</w:t>
            </w:r>
          </w:p>
        </w:tc>
      </w:tr>
      <w:tr w14:paraId="1EBE7D4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081C3DF">
            <w:pPr>
              <w:spacing w:line="240" w:lineRule="auto"/>
            </w:pPr>
            <w:r>
              <w:t>A</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D43F14B">
            <w:pPr>
              <w:spacing w:line="240" w:lineRule="auto"/>
            </w:pPr>
            <w:r>
              <w:t xml:space="preserve">Project approval </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28C9554">
            <w:pPr>
              <w:spacing w:line="240" w:lineRule="auto"/>
            </w:pPr>
            <w:r>
              <w:t>3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664976A4">
            <w:pPr>
              <w:spacing w:line="240" w:lineRule="auto"/>
            </w:pPr>
            <w:r>
              <w:t>3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2B595FD7">
            <w:pPr>
              <w:spacing w:line="240" w:lineRule="auto"/>
            </w:pPr>
            <w:r>
              <w:t>0 days</w:t>
            </w:r>
          </w:p>
        </w:tc>
      </w:tr>
      <w:tr w14:paraId="5191031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CD88275">
            <w:pPr>
              <w:spacing w:line="240" w:lineRule="auto"/>
            </w:pPr>
            <w:r>
              <w:t>B</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6911736E">
            <w:pPr>
              <w:spacing w:line="240" w:lineRule="auto"/>
            </w:pPr>
            <w:r>
              <w:t>Site survey</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5D863440">
            <w:pPr>
              <w:spacing w:line="240" w:lineRule="auto"/>
            </w:pPr>
            <w:r>
              <w:t>5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08F6DAB">
            <w:pPr>
              <w:spacing w:line="240" w:lineRule="auto"/>
            </w:pPr>
            <w:r>
              <w:t>5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196EFA9C">
            <w:pPr>
              <w:spacing w:line="240" w:lineRule="auto"/>
            </w:pPr>
            <w:r>
              <w:t>0 day</w:t>
            </w:r>
          </w:p>
        </w:tc>
      </w:tr>
      <w:tr w14:paraId="3300D01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32FAB0F">
            <w:pPr>
              <w:spacing w:line="240" w:lineRule="auto"/>
            </w:pPr>
            <w:r>
              <w:t>C</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16C2349F">
            <w:pPr>
              <w:spacing w:line="240" w:lineRule="auto"/>
            </w:pPr>
            <w:r>
              <w:t>Structural assessment</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336966E5">
            <w:pPr>
              <w:spacing w:line="240" w:lineRule="auto"/>
            </w:pPr>
            <w:r>
              <w:t>4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6D9D1C55">
            <w:pPr>
              <w:spacing w:line="240" w:lineRule="auto"/>
            </w:pPr>
            <w:r>
              <w:t>4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3F54CB1C">
            <w:pPr>
              <w:spacing w:line="240" w:lineRule="auto"/>
            </w:pPr>
            <w:r>
              <w:t>0 days</w:t>
            </w:r>
          </w:p>
        </w:tc>
      </w:tr>
      <w:tr w14:paraId="59EB560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13C7AF8">
            <w:pPr>
              <w:spacing w:line="240" w:lineRule="auto"/>
            </w:pPr>
            <w:r>
              <w:t>D</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84649CB">
            <w:pPr>
              <w:spacing w:line="240" w:lineRule="auto"/>
            </w:pPr>
            <w:r>
              <w:t>Electrical load analysis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B89D872">
            <w:pPr>
              <w:spacing w:line="240" w:lineRule="auto"/>
            </w:pPr>
            <w:r>
              <w:t>4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241763E">
            <w:pPr>
              <w:spacing w:line="240" w:lineRule="auto"/>
            </w:pPr>
            <w:r>
              <w:t>4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2461E06C">
            <w:pPr>
              <w:spacing w:line="240" w:lineRule="auto"/>
            </w:pPr>
            <w:r>
              <w:t>0 days</w:t>
            </w:r>
          </w:p>
        </w:tc>
      </w:tr>
      <w:tr w14:paraId="281A502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3450C76D">
            <w:pPr>
              <w:spacing w:line="240" w:lineRule="auto"/>
            </w:pPr>
            <w:r>
              <w:t>E</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19FF7BDD">
            <w:pPr>
              <w:spacing w:line="240" w:lineRule="auto"/>
            </w:pPr>
            <w:r>
              <w:t>Detailed PV and electrical design</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793F89E6">
            <w:pPr>
              <w:spacing w:line="240" w:lineRule="auto"/>
            </w:pPr>
            <w:r>
              <w:t>8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159A3ABD">
            <w:pPr>
              <w:spacing w:line="240" w:lineRule="auto"/>
            </w:pPr>
            <w:r>
              <w:t>7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58CC13A4">
            <w:pPr>
              <w:spacing w:line="240" w:lineRule="auto"/>
            </w:pPr>
            <w:r>
              <w:t>1 day</w:t>
            </w:r>
          </w:p>
        </w:tc>
      </w:tr>
      <w:tr w14:paraId="32F46DE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148185EB">
            <w:pPr>
              <w:spacing w:line="240" w:lineRule="auto"/>
            </w:pPr>
            <w:r>
              <w:t>F</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7FB401E">
            <w:pPr>
              <w:spacing w:line="240" w:lineRule="auto"/>
            </w:pPr>
            <w:r>
              <w:t>Utility approval and permits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CD79E23">
            <w:pPr>
              <w:spacing w:line="240" w:lineRule="auto"/>
            </w:pPr>
            <w:r>
              <w:t>12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6DA5305">
            <w:pPr>
              <w:spacing w:line="240" w:lineRule="auto"/>
            </w:pPr>
            <w:r>
              <w:t>12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0AFCA65">
            <w:pPr>
              <w:spacing w:line="240" w:lineRule="auto"/>
            </w:pPr>
            <w:r>
              <w:t>0 days</w:t>
            </w:r>
          </w:p>
        </w:tc>
      </w:tr>
      <w:tr w14:paraId="3EC4A33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66289E90">
            <w:pPr>
              <w:spacing w:line="240" w:lineRule="auto"/>
            </w:pPr>
            <w:r>
              <w:t>G</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3F57F93E">
            <w:pPr>
              <w:spacing w:line="240" w:lineRule="auto"/>
            </w:pPr>
            <w:r>
              <w:t>PV module procurement</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2D018DD3">
            <w:pPr>
              <w:spacing w:line="240" w:lineRule="auto"/>
            </w:pPr>
            <w:r>
              <w:t>15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2FAAAA60">
            <w:pPr>
              <w:spacing w:line="240" w:lineRule="auto"/>
            </w:pPr>
            <w:r>
              <w:t>13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4156ECBB">
            <w:pPr>
              <w:spacing w:line="240" w:lineRule="auto"/>
            </w:pPr>
            <w:r>
              <w:t>2 days</w:t>
            </w:r>
          </w:p>
        </w:tc>
      </w:tr>
      <w:tr w14:paraId="5C34AA2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18B55FCD">
            <w:pPr>
              <w:spacing w:line="240" w:lineRule="auto"/>
            </w:pPr>
            <w:r>
              <w:t>H</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128FC84">
            <w:pPr>
              <w:spacing w:line="240" w:lineRule="auto"/>
            </w:pPr>
            <w:r>
              <w:t>Procurement of inverters and BOS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1C6BFA8B">
            <w:pPr>
              <w:spacing w:line="240" w:lineRule="auto"/>
            </w:pPr>
            <w:r>
              <w:t>12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75776EE0">
            <w:pPr>
              <w:spacing w:line="240" w:lineRule="auto"/>
            </w:pPr>
            <w:r>
              <w:t>12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1E57E8D">
            <w:pPr>
              <w:spacing w:line="240" w:lineRule="auto"/>
            </w:pPr>
            <w:r>
              <w:t>0 days</w:t>
            </w:r>
          </w:p>
        </w:tc>
      </w:tr>
      <w:tr w14:paraId="71D41A3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6B6FBC0F">
            <w:pPr>
              <w:spacing w:line="240" w:lineRule="auto"/>
            </w:pPr>
            <w:r>
              <w:t>I</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388E76E6">
            <w:pPr>
              <w:spacing w:line="240" w:lineRule="auto"/>
            </w:pPr>
            <w:r>
              <w:t>Delivery and inspection of materials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4C741B50">
            <w:pPr>
              <w:spacing w:line="240" w:lineRule="auto"/>
            </w:pPr>
            <w:r>
              <w:t>5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1D48AA06">
            <w:pPr>
              <w:spacing w:line="240" w:lineRule="auto"/>
            </w:pPr>
            <w:r>
              <w:t>4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07AF797B">
            <w:pPr>
              <w:spacing w:line="240" w:lineRule="auto"/>
            </w:pPr>
            <w:r>
              <w:t>1 day</w:t>
            </w:r>
          </w:p>
        </w:tc>
      </w:tr>
      <w:tr w14:paraId="10E7892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70FF2C43">
            <w:pPr>
              <w:spacing w:line="240" w:lineRule="auto"/>
            </w:pPr>
            <w:r>
              <w:t>J</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0851F6A9">
            <w:pPr>
              <w:spacing w:line="240" w:lineRule="auto"/>
            </w:pPr>
            <w:r>
              <w:t>Mounting structure installation</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4B706FA9">
            <w:pPr>
              <w:spacing w:line="240" w:lineRule="auto"/>
            </w:pPr>
            <w:r>
              <w:t>10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33787E10">
            <w:pPr>
              <w:spacing w:line="240" w:lineRule="auto"/>
            </w:pPr>
            <w:r>
              <w:t>8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3088F338">
            <w:pPr>
              <w:spacing w:line="240" w:lineRule="auto"/>
            </w:pPr>
            <w:r>
              <w:t>2 days</w:t>
            </w:r>
          </w:p>
        </w:tc>
      </w:tr>
      <w:tr w14:paraId="0F5C020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1D8586E5">
            <w:pPr>
              <w:spacing w:line="240" w:lineRule="auto"/>
            </w:pPr>
            <w:r>
              <w:t>K</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2694BDFC">
            <w:pPr>
              <w:spacing w:line="240" w:lineRule="auto"/>
            </w:pPr>
            <w:r>
              <w:t>PV module installation</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33492844">
            <w:pPr>
              <w:spacing w:line="240" w:lineRule="auto"/>
            </w:pPr>
            <w:r>
              <w:t>10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189A89A1">
            <w:pPr>
              <w:spacing w:line="240" w:lineRule="auto"/>
            </w:pPr>
            <w:r>
              <w:t>10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7B9E9F8E">
            <w:pPr>
              <w:spacing w:line="240" w:lineRule="auto"/>
            </w:pPr>
            <w:r>
              <w:t>0 days</w:t>
            </w:r>
          </w:p>
        </w:tc>
      </w:tr>
      <w:tr w14:paraId="461D539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57C66856">
            <w:pPr>
              <w:spacing w:line="240" w:lineRule="auto"/>
            </w:pPr>
            <w:r>
              <w:t>L</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719D8202">
            <w:pPr>
              <w:spacing w:line="240" w:lineRule="auto"/>
            </w:pPr>
            <w:r>
              <w:t>Inverter installation</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2916D9A">
            <w:pPr>
              <w:spacing w:line="240" w:lineRule="auto"/>
            </w:pPr>
            <w:r>
              <w:t>5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602695EB">
            <w:pPr>
              <w:spacing w:line="240" w:lineRule="auto"/>
            </w:pPr>
            <w:r>
              <w:t>5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3524491">
            <w:pPr>
              <w:spacing w:line="240" w:lineRule="auto"/>
            </w:pPr>
            <w:r>
              <w:t>0 days</w:t>
            </w:r>
          </w:p>
        </w:tc>
      </w:tr>
      <w:tr w14:paraId="45C30DF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6E1D2E7B">
            <w:pPr>
              <w:spacing w:line="240" w:lineRule="auto"/>
            </w:pPr>
            <w:r>
              <w:t>M</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708D2854">
            <w:pPr>
              <w:spacing w:line="240" w:lineRule="auto"/>
            </w:pPr>
            <w:r>
              <w:t>DC/AC cabling and earthing</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72512443">
            <w:pPr>
              <w:spacing w:line="240" w:lineRule="auto"/>
            </w:pPr>
            <w:r>
              <w:t>7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2DE90106">
            <w:pPr>
              <w:spacing w:line="240" w:lineRule="auto"/>
            </w:pPr>
            <w:r>
              <w:t>6 days</w:t>
            </w:r>
          </w:p>
        </w:tc>
        <w:tc>
          <w:tcPr>
            <w:tcW w:w="0" w:type="auto"/>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5ED8FF32">
            <w:pPr>
              <w:spacing w:line="240" w:lineRule="auto"/>
            </w:pPr>
            <w:r>
              <w:t>1 day</w:t>
            </w:r>
          </w:p>
        </w:tc>
      </w:tr>
      <w:tr w14:paraId="3ED5426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66FB6650">
            <w:pPr>
              <w:spacing w:line="240" w:lineRule="auto"/>
            </w:pPr>
            <w:r>
              <w:t>N</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559103FF">
            <w:pPr>
              <w:spacing w:line="240" w:lineRule="auto"/>
            </w:pPr>
            <w:r>
              <w:t>Testing and commissioning</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37532DEC">
            <w:pPr>
              <w:spacing w:line="240" w:lineRule="auto"/>
            </w:pPr>
            <w:r>
              <w:t>3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D1579E0">
            <w:pPr>
              <w:spacing w:line="240" w:lineRule="auto"/>
            </w:pPr>
            <w:r>
              <w:t>3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BF13043">
            <w:pPr>
              <w:spacing w:line="240" w:lineRule="auto"/>
            </w:pPr>
            <w:r>
              <w:t>0 days</w:t>
            </w:r>
          </w:p>
        </w:tc>
      </w:tr>
      <w:tr w14:paraId="14BDBC2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1661F909">
            <w:pPr>
              <w:spacing w:line="240" w:lineRule="auto"/>
            </w:pPr>
            <w:r>
              <w:t>O</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79B92E7">
            <w:pPr>
              <w:spacing w:line="240" w:lineRule="auto"/>
            </w:pPr>
            <w:r>
              <w:t>Grid synchronization</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365F9072">
            <w:pPr>
              <w:spacing w:line="240" w:lineRule="auto"/>
            </w:pPr>
            <w:r>
              <w:t>2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0B3527CE">
            <w:pPr>
              <w:spacing w:line="240" w:lineRule="auto"/>
            </w:pPr>
            <w:r>
              <w:t>2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1144BAC4">
            <w:pPr>
              <w:spacing w:line="240" w:lineRule="auto"/>
            </w:pPr>
            <w:r>
              <w:t>0 days</w:t>
            </w:r>
          </w:p>
        </w:tc>
      </w:tr>
      <w:tr w14:paraId="7AEA6D9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4DE73067">
            <w:pPr>
              <w:spacing w:line="240" w:lineRule="auto"/>
            </w:pPr>
            <w:r>
              <w:t>P</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3938C745">
            <w:pPr>
              <w:spacing w:line="240" w:lineRule="auto"/>
            </w:pPr>
            <w:r>
              <w:t>Training, documentation and handover</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52417277">
            <w:pPr>
              <w:spacing w:line="240" w:lineRule="auto"/>
            </w:pPr>
            <w:r>
              <w:t>2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33D11540">
            <w:pPr>
              <w:spacing w:line="240" w:lineRule="auto"/>
            </w:pPr>
            <w:r>
              <w:t>2 days</w:t>
            </w:r>
          </w:p>
        </w:tc>
        <w:tc>
          <w:tcPr>
            <w:tcW w:w="0" w:type="auto"/>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7728FFCE">
            <w:pPr>
              <w:spacing w:line="240" w:lineRule="auto"/>
            </w:pPr>
            <w:r>
              <w:t>0 days</w:t>
            </w:r>
          </w:p>
        </w:tc>
      </w:tr>
    </w:tbl>
    <w:p w14:paraId="0E7ACEC4">
      <w:r>
        <w:t>Identified six activities for achieving the required 7-day reduction from all the activities. The activities that require authorities have stayed the same. The total time reduction has resulted in a project completion time from 70 to 63 days.</w:t>
      </w:r>
    </w:p>
    <w:p w14:paraId="185ADC65">
      <w:pPr>
        <w:pStyle w:val="3"/>
      </w:pPr>
      <w:bookmarkStart w:id="31" w:name="_Toc237386558"/>
      <w:r>
        <w:t>6.2 Normal and Crash Duration and Costs</w:t>
      </w:r>
      <w:bookmarkEnd w:id="31"/>
    </w:p>
    <w:p w14:paraId="70C5C217">
      <w:pPr>
        <w:jc w:val="center"/>
      </w:pPr>
      <w:r>
        <w:rPr>
          <w:b/>
          <w:bCs/>
        </w:rPr>
        <w:t>Table 8: Normal and Crash Duration and Cost</w:t>
      </w:r>
    </w:p>
    <w:tbl>
      <w:tblPr>
        <w:tblStyle w:val="26"/>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014"/>
        <w:gridCol w:w="1580"/>
        <w:gridCol w:w="1536"/>
        <w:gridCol w:w="1233"/>
        <w:gridCol w:w="1183"/>
        <w:gridCol w:w="1359"/>
        <w:gridCol w:w="1324"/>
      </w:tblGrid>
      <w:tr w14:paraId="174F46B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6DB3DD6B">
            <w:pPr>
              <w:jc w:val="center"/>
            </w:pPr>
            <w:r>
              <w:rPr>
                <w:b/>
                <w:bCs/>
              </w:rPr>
              <w:t>Activity</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284255D2">
            <w:pPr>
              <w:jc w:val="center"/>
            </w:pPr>
            <w:r>
              <w:rPr>
                <w:b/>
                <w:bCs/>
              </w:rPr>
              <w:t>Normal Duration (Days)</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13E32E30">
            <w:pPr>
              <w:jc w:val="center"/>
            </w:pPr>
            <w:r>
              <w:rPr>
                <w:b/>
                <w:bCs/>
              </w:rPr>
              <w:t>Crash Duration (Days)</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0D6F9333">
            <w:pPr>
              <w:jc w:val="center"/>
            </w:pPr>
            <w:r>
              <w:rPr>
                <w:b/>
                <w:bCs/>
              </w:rPr>
              <w:t>Normal Cost (£)</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0C6EC201">
            <w:pPr>
              <w:jc w:val="center"/>
            </w:pPr>
            <w:r>
              <w:rPr>
                <w:b/>
                <w:bCs/>
              </w:rPr>
              <w:t>Crash Cost (£)</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101555DE">
            <w:pPr>
              <w:jc w:val="center"/>
            </w:pPr>
            <w:r>
              <w:rPr>
                <w:b/>
                <w:bCs/>
              </w:rPr>
              <w:t>Crash Increase (£)</w:t>
            </w:r>
          </w:p>
        </w:tc>
        <w:tc>
          <w:tcPr>
            <w:tcW w:w="0" w:type="auto"/>
            <w:tcBorders>
              <w:top w:val="single" w:color="000000" w:sz="8" w:space="0"/>
              <w:left w:val="single" w:color="000000" w:sz="8" w:space="0"/>
              <w:bottom w:val="single" w:color="000000" w:sz="8" w:space="0"/>
              <w:right w:val="single" w:color="000000" w:sz="8" w:space="0"/>
            </w:tcBorders>
            <w:shd w:val="clear" w:color="auto" w:fill="4A86E8"/>
            <w:tcMar>
              <w:top w:w="100" w:type="dxa"/>
              <w:left w:w="100" w:type="dxa"/>
              <w:bottom w:w="100" w:type="dxa"/>
              <w:right w:w="100" w:type="dxa"/>
            </w:tcMar>
          </w:tcPr>
          <w:p w14:paraId="1D8BCD4A">
            <w:pPr>
              <w:jc w:val="center"/>
            </w:pPr>
            <w:r>
              <w:rPr>
                <w:b/>
                <w:bCs/>
              </w:rPr>
              <w:t>Crash Cost per Day (£)</w:t>
            </w:r>
          </w:p>
        </w:tc>
      </w:tr>
      <w:tr w14:paraId="3D50901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7594C46">
            <w:r>
              <w:rPr>
                <w:b/>
                <w:bCs/>
              </w:rPr>
              <w:t>A–B</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17CFF931">
            <w:r>
              <w:t>5</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0978586">
            <w:r>
              <w:t>4</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6FEA2C69">
            <w:r>
              <w:t>4,000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05B6A3F8">
            <w:r>
              <w:t>5,000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4ABD2341">
            <w:r>
              <w:t>1,000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4FE5D5D">
            <w:r>
              <w:t>1,000</w:t>
            </w:r>
          </w:p>
        </w:tc>
      </w:tr>
      <w:tr w14:paraId="16BA55D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6B41A31">
            <w:r>
              <w:rPr>
                <w:b/>
                <w:bCs/>
              </w:rPr>
              <w:t>B–E</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65DBC37">
            <w:r>
              <w:t>8</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650A71D4">
            <w:r>
              <w:t>6</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CBDC8C7">
            <w:r>
              <w:t>12,000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77CC504F">
            <w:r>
              <w:t>16,000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7431D49E">
            <w:r>
              <w:t>4,000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36B69D39">
            <w:r>
              <w:t>2,000</w:t>
            </w:r>
          </w:p>
        </w:tc>
      </w:tr>
      <w:tr w14:paraId="7CBB013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057D0E67">
            <w:r>
              <w:rPr>
                <w:b/>
                <w:bCs/>
              </w:rPr>
              <w:t>E–G</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99E3659">
            <w:r>
              <w:t>15</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3597BF43">
            <w:r>
              <w:t>12</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19913965">
            <w:r>
              <w:t>420,000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7353992D">
            <w:r>
              <w:t>435,000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69284A1B">
            <w:r>
              <w:t>15,000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49AFEA44">
            <w:r>
              <w:t>5,000</w:t>
            </w:r>
          </w:p>
        </w:tc>
      </w:tr>
      <w:tr w14:paraId="7FDF248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D2AF5B3">
            <w:r>
              <w:rPr>
                <w:b/>
                <w:bCs/>
              </w:rPr>
              <w:t>G–I</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64208F98">
            <w:r>
              <w:t>5</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031A391">
            <w:r>
              <w:t>4</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1B5CDA5A">
            <w:r>
              <w:t>8,000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4317F04">
            <w:r>
              <w:t>9,500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09E2B1DF">
            <w:r>
              <w:t>1,500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8CE5D53">
            <w:r>
              <w:t>1,500</w:t>
            </w:r>
          </w:p>
        </w:tc>
      </w:tr>
      <w:tr w14:paraId="329412D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E890DAF">
            <w:r>
              <w:rPr>
                <w:b/>
                <w:bCs/>
              </w:rPr>
              <w:t>I–J</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ADEC6B8">
            <w:r>
              <w:t>10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F7A5A02">
            <w:r>
              <w:t>8</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03DBDE6A">
            <w:r>
              <w:t>75,000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4F03A43">
            <w:r>
              <w:t>81,000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EF7E732">
            <w:r>
              <w:t>6,000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776D2E3F">
            <w:r>
              <w:t>3,000</w:t>
            </w:r>
          </w:p>
        </w:tc>
      </w:tr>
      <w:tr w14:paraId="3747116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75A45204">
            <w:r>
              <w:rPr>
                <w:b/>
                <w:bCs/>
              </w:rPr>
              <w:t>J–K</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3BEB6A53">
            <w:r>
              <w:t>10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15ACA31">
            <w:r>
              <w:t>9</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30BA40D">
            <w:r>
              <w:t>60,000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10A14FEE">
            <w:r>
              <w:t>64,000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178422B3">
            <w:r>
              <w:t>4,000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4333DA36">
            <w:r>
              <w:t>4,000</w:t>
            </w:r>
          </w:p>
        </w:tc>
      </w:tr>
      <w:tr w14:paraId="46EB73B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3C735058">
            <w:r>
              <w:rPr>
                <w:b/>
                <w:bCs/>
              </w:rPr>
              <w:t>K–M</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EDE1517">
            <w:r>
              <w:t>7</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18DBD405">
            <w:r>
              <w:t>6</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4461944A">
            <w:r>
              <w:t>35,000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6E82B7DE">
            <w:r>
              <w:t>39,000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7D4A973">
            <w:r>
              <w:t>4,000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475668A">
            <w:r>
              <w:t>4,000</w:t>
            </w:r>
          </w:p>
        </w:tc>
      </w:tr>
      <w:tr w14:paraId="1B78F46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1C39E3B">
            <w:r>
              <w:rPr>
                <w:b/>
                <w:bCs/>
              </w:rPr>
              <w:t>M–N</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589A1A58">
            <w:r>
              <w:t>3</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AF184CD">
            <w:r>
              <w:t>2</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0E80765B">
            <w:r>
              <w:t>15,000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71493847">
            <w:r>
              <w:t>17,000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100F6FA">
            <w:r>
              <w:t>2,000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3D0F9FF9">
            <w:r>
              <w:t>2,000</w:t>
            </w:r>
          </w:p>
        </w:tc>
      </w:tr>
      <w:tr w14:paraId="7B35680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0A456200">
            <w:r>
              <w:rPr>
                <w:b/>
                <w:bCs/>
              </w:rPr>
              <w:t>N–O</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2CD4529">
            <w:r>
              <w:t>2</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37E30159">
            <w:r>
              <w:t>1</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1AB789CD">
            <w:r>
              <w:t>5,000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0E2E487B">
            <w:r>
              <w:t>7,000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09F4358">
            <w:r>
              <w:t>2,000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18E74456">
            <w:r>
              <w:t>2,000</w:t>
            </w:r>
          </w:p>
        </w:tc>
      </w:tr>
      <w:tr w14:paraId="5489BD3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4AE433F3">
            <w:r>
              <w:rPr>
                <w:b/>
                <w:bCs/>
              </w:rPr>
              <w:t>O–P</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FA9CAAB">
            <w:r>
              <w:t>2</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1FD0D059">
            <w:r>
              <w:t>1</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8D5B216">
            <w:r>
              <w:t>7,000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91DC1F9">
            <w:r>
              <w:t>9,000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75A727F9">
            <w:r>
              <w:t>2,000</w:t>
            </w:r>
          </w:p>
        </w:tc>
        <w:tc>
          <w:tcPr>
            <w:tcW w:w="0" w:type="auto"/>
            <w:tcBorders>
              <w:top w:val="single" w:color="000000" w:sz="8" w:space="0"/>
              <w:left w:val="single" w:color="000000" w:sz="8" w:space="0"/>
              <w:bottom w:val="single" w:color="000000" w:sz="8" w:space="0"/>
              <w:right w:val="single" w:color="000000" w:sz="8" w:space="0"/>
            </w:tcBorders>
            <w:shd w:val="clear" w:color="auto" w:fill="D9D2E9"/>
            <w:tcMar>
              <w:top w:w="100" w:type="dxa"/>
              <w:left w:w="100" w:type="dxa"/>
              <w:bottom w:w="100" w:type="dxa"/>
              <w:right w:w="100" w:type="dxa"/>
            </w:tcMar>
          </w:tcPr>
          <w:p w14:paraId="28B57657">
            <w:r>
              <w:t>2,000</w:t>
            </w:r>
          </w:p>
        </w:tc>
      </w:tr>
    </w:tbl>
    <w:p w14:paraId="432E0B54">
      <w:r>
        <w:t xml:space="preserve">Compared normal conditions to crash conditions for all activities project sequence. Additional expenditure and time saved are used for crash cost/per day. It is shown that A–B can be seen to be the absolute minimum cost at £1,000 per day, and E–G the absolute maximum at £5,000 per day to aid economic activity selection (Kantianis, 2023). </w:t>
      </w:r>
    </w:p>
    <w:p w14:paraId="58756F81">
      <w:pPr>
        <w:pStyle w:val="3"/>
      </w:pPr>
      <w:bookmarkStart w:id="32" w:name="_Toc237386559"/>
      <w:r>
        <w:t>6.3 Seven-Day Project Duration Reduction</w:t>
      </w:r>
      <w:bookmarkEnd w:id="32"/>
    </w:p>
    <w:p w14:paraId="2C438779">
      <w:pPr>
        <w:jc w:val="center"/>
        <w:rPr>
          <w:b/>
          <w:bCs/>
        </w:rPr>
      </w:pPr>
      <w:r>
        <w:rPr>
          <w:b/>
          <w:bCs/>
        </w:rPr>
        <w:t>Table 9: Seven-Day Project Duration Reduction</w:t>
      </w:r>
    </w:p>
    <w:tbl>
      <w:tblPr>
        <w:tblStyle w:val="27"/>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100" w:type="dxa"/>
          <w:left w:w="100" w:type="dxa"/>
          <w:bottom w:w="100" w:type="dxa"/>
          <w:right w:w="100" w:type="dxa"/>
        </w:tblCellMar>
      </w:tblPr>
      <w:tblGrid>
        <w:gridCol w:w="1014"/>
        <w:gridCol w:w="1791"/>
        <w:gridCol w:w="1395"/>
        <w:gridCol w:w="1369"/>
        <w:gridCol w:w="1077"/>
        <w:gridCol w:w="1145"/>
        <w:gridCol w:w="1438"/>
      </w:tblGrid>
      <w:tr w14:paraId="7174550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A4C2F4"/>
            <w:tcMar>
              <w:top w:w="100" w:type="dxa"/>
              <w:left w:w="100" w:type="dxa"/>
              <w:bottom w:w="100" w:type="dxa"/>
              <w:right w:w="100" w:type="dxa"/>
            </w:tcMar>
          </w:tcPr>
          <w:p w14:paraId="35B0FE1B">
            <w:pPr>
              <w:spacing w:line="240" w:lineRule="auto"/>
              <w:rPr>
                <w:b/>
                <w:bCs/>
              </w:rPr>
            </w:pPr>
            <w:r>
              <w:rPr>
                <w:b/>
                <w:bCs/>
              </w:rPr>
              <w:t>Activity</w:t>
            </w:r>
          </w:p>
        </w:tc>
        <w:tc>
          <w:tcPr>
            <w:tcW w:w="0" w:type="auto"/>
            <w:tcBorders>
              <w:top w:val="single" w:color="000000" w:sz="8" w:space="0"/>
              <w:left w:val="single" w:color="000000" w:sz="8" w:space="0"/>
              <w:bottom w:val="single" w:color="000000" w:sz="8" w:space="0"/>
              <w:right w:val="single" w:color="000000" w:sz="8" w:space="0"/>
            </w:tcBorders>
            <w:shd w:val="clear" w:color="auto" w:fill="A4C2F4"/>
            <w:tcMar>
              <w:top w:w="100" w:type="dxa"/>
              <w:left w:w="100" w:type="dxa"/>
              <w:bottom w:w="100" w:type="dxa"/>
              <w:right w:w="100" w:type="dxa"/>
            </w:tcMar>
          </w:tcPr>
          <w:p w14:paraId="621120C8">
            <w:pPr>
              <w:spacing w:line="240" w:lineRule="auto"/>
              <w:rPr>
                <w:b/>
                <w:bCs/>
              </w:rPr>
            </w:pPr>
            <w:r>
              <w:rPr>
                <w:b/>
                <w:bCs/>
              </w:rPr>
              <w:t>Description</w:t>
            </w:r>
          </w:p>
        </w:tc>
        <w:tc>
          <w:tcPr>
            <w:tcW w:w="0" w:type="auto"/>
            <w:tcBorders>
              <w:top w:val="single" w:color="000000" w:sz="8" w:space="0"/>
              <w:left w:val="single" w:color="000000" w:sz="8" w:space="0"/>
              <w:bottom w:val="single" w:color="000000" w:sz="8" w:space="0"/>
              <w:right w:val="single" w:color="000000" w:sz="8" w:space="0"/>
            </w:tcBorders>
            <w:shd w:val="clear" w:color="auto" w:fill="A4C2F4"/>
            <w:tcMar>
              <w:top w:w="100" w:type="dxa"/>
              <w:left w:w="100" w:type="dxa"/>
              <w:bottom w:w="100" w:type="dxa"/>
              <w:right w:w="100" w:type="dxa"/>
            </w:tcMar>
          </w:tcPr>
          <w:p w14:paraId="462383BB">
            <w:pPr>
              <w:spacing w:line="240" w:lineRule="auto"/>
              <w:rPr>
                <w:b/>
                <w:bCs/>
              </w:rPr>
            </w:pPr>
            <w:r>
              <w:rPr>
                <w:b/>
                <w:bCs/>
              </w:rPr>
              <w:t>Normal Duration (Days)</w:t>
            </w:r>
          </w:p>
        </w:tc>
        <w:tc>
          <w:tcPr>
            <w:tcW w:w="0" w:type="auto"/>
            <w:tcBorders>
              <w:top w:val="single" w:color="000000" w:sz="8" w:space="0"/>
              <w:left w:val="single" w:color="000000" w:sz="8" w:space="0"/>
              <w:bottom w:val="single" w:color="000000" w:sz="8" w:space="0"/>
              <w:right w:val="single" w:color="000000" w:sz="8" w:space="0"/>
            </w:tcBorders>
            <w:shd w:val="clear" w:color="auto" w:fill="A4C2F4"/>
            <w:tcMar>
              <w:top w:w="100" w:type="dxa"/>
              <w:left w:w="100" w:type="dxa"/>
              <w:bottom w:w="100" w:type="dxa"/>
              <w:right w:w="100" w:type="dxa"/>
            </w:tcMar>
          </w:tcPr>
          <w:p w14:paraId="5B816610">
            <w:pPr>
              <w:spacing w:line="240" w:lineRule="auto"/>
              <w:rPr>
                <w:b/>
                <w:bCs/>
              </w:rPr>
            </w:pPr>
            <w:r>
              <w:rPr>
                <w:b/>
                <w:bCs/>
              </w:rPr>
              <w:t>Crash Duration (Days)</w:t>
            </w:r>
          </w:p>
        </w:tc>
        <w:tc>
          <w:tcPr>
            <w:tcW w:w="0" w:type="auto"/>
            <w:tcBorders>
              <w:top w:val="single" w:color="000000" w:sz="8" w:space="0"/>
              <w:left w:val="single" w:color="000000" w:sz="8" w:space="0"/>
              <w:bottom w:val="single" w:color="000000" w:sz="8" w:space="0"/>
              <w:right w:val="single" w:color="000000" w:sz="8" w:space="0"/>
            </w:tcBorders>
            <w:shd w:val="clear" w:color="auto" w:fill="A4C2F4"/>
            <w:tcMar>
              <w:top w:w="100" w:type="dxa"/>
              <w:left w:w="100" w:type="dxa"/>
              <w:bottom w:w="100" w:type="dxa"/>
              <w:right w:w="100" w:type="dxa"/>
            </w:tcMar>
          </w:tcPr>
          <w:p w14:paraId="0E355872">
            <w:pPr>
              <w:spacing w:line="240" w:lineRule="auto"/>
              <w:rPr>
                <w:b/>
                <w:bCs/>
              </w:rPr>
            </w:pPr>
            <w:r>
              <w:rPr>
                <w:b/>
                <w:bCs/>
              </w:rPr>
              <w:t>Time Saved (Days)</w:t>
            </w:r>
          </w:p>
        </w:tc>
        <w:tc>
          <w:tcPr>
            <w:tcW w:w="0" w:type="auto"/>
            <w:tcBorders>
              <w:top w:val="single" w:color="000000" w:sz="8" w:space="0"/>
              <w:left w:val="single" w:color="000000" w:sz="8" w:space="0"/>
              <w:bottom w:val="single" w:color="000000" w:sz="8" w:space="0"/>
              <w:right w:val="single" w:color="000000" w:sz="8" w:space="0"/>
            </w:tcBorders>
            <w:shd w:val="clear" w:color="auto" w:fill="A4C2F4"/>
            <w:tcMar>
              <w:top w:w="100" w:type="dxa"/>
              <w:left w:w="100" w:type="dxa"/>
              <w:bottom w:w="100" w:type="dxa"/>
              <w:right w:w="100" w:type="dxa"/>
            </w:tcMar>
          </w:tcPr>
          <w:p w14:paraId="2F8EBEB8">
            <w:pPr>
              <w:spacing w:line="240" w:lineRule="auto"/>
              <w:rPr>
                <w:b/>
                <w:bCs/>
              </w:rPr>
            </w:pPr>
            <w:r>
              <w:rPr>
                <w:b/>
                <w:bCs/>
              </w:rPr>
              <w:t>Crash Cost per Day (£)</w:t>
            </w:r>
          </w:p>
        </w:tc>
        <w:tc>
          <w:tcPr>
            <w:tcW w:w="0" w:type="auto"/>
            <w:tcBorders>
              <w:top w:val="single" w:color="000000" w:sz="8" w:space="0"/>
              <w:left w:val="single" w:color="000000" w:sz="8" w:space="0"/>
              <w:bottom w:val="single" w:color="000000" w:sz="8" w:space="0"/>
              <w:right w:val="single" w:color="000000" w:sz="8" w:space="0"/>
            </w:tcBorders>
            <w:shd w:val="clear" w:color="auto" w:fill="A4C2F4"/>
            <w:tcMar>
              <w:top w:w="100" w:type="dxa"/>
              <w:left w:w="100" w:type="dxa"/>
              <w:bottom w:w="100" w:type="dxa"/>
              <w:right w:w="100" w:type="dxa"/>
            </w:tcMar>
          </w:tcPr>
          <w:p w14:paraId="12376041">
            <w:pPr>
              <w:spacing w:line="240" w:lineRule="auto"/>
              <w:rPr>
                <w:b/>
                <w:bCs/>
              </w:rPr>
            </w:pPr>
            <w:r>
              <w:rPr>
                <w:b/>
                <w:bCs/>
              </w:rPr>
              <w:t>Additional Cost (£)</w:t>
            </w:r>
          </w:p>
        </w:tc>
      </w:tr>
      <w:tr w14:paraId="6CEC7F5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16F00A2D">
            <w:pPr>
              <w:spacing w:line="240" w:lineRule="auto"/>
            </w:pPr>
            <w:r>
              <w:t>E</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11C31F37">
            <w:pPr>
              <w:spacing w:line="240" w:lineRule="auto"/>
            </w:pPr>
            <w:r>
              <w:t>Detailed PV and electrical design</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059143AC">
            <w:pPr>
              <w:spacing w:line="240" w:lineRule="auto"/>
            </w:pPr>
            <w:r>
              <w:t>8</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30DDC3ED">
            <w:pPr>
              <w:spacing w:line="240" w:lineRule="auto"/>
            </w:pPr>
            <w:r>
              <w:t>7</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46B2158B">
            <w:pPr>
              <w:spacing w:line="240" w:lineRule="auto"/>
            </w:pPr>
            <w:r>
              <w:t>1</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38F1430C">
            <w:pPr>
              <w:spacing w:line="240" w:lineRule="auto"/>
            </w:pPr>
            <w:r>
              <w:t>2,000</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1AA5FD20">
            <w:pPr>
              <w:spacing w:line="240" w:lineRule="auto"/>
            </w:pPr>
            <w:r>
              <w:t>2,000</w:t>
            </w:r>
          </w:p>
        </w:tc>
      </w:tr>
      <w:tr w14:paraId="3E16721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47DD9707">
            <w:pPr>
              <w:spacing w:line="240" w:lineRule="auto"/>
            </w:pPr>
            <w:r>
              <w:t>G</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1AF7B565">
            <w:pPr>
              <w:spacing w:line="240" w:lineRule="auto"/>
            </w:pPr>
            <w:r>
              <w:t>PV module procurement</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2BF6B2F8">
            <w:pPr>
              <w:spacing w:line="240" w:lineRule="auto"/>
            </w:pPr>
            <w:r>
              <w:t>15</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323C8E50">
            <w:pPr>
              <w:spacing w:line="240" w:lineRule="auto"/>
            </w:pPr>
            <w:r>
              <w:t>13</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582C7212">
            <w:pPr>
              <w:spacing w:line="240" w:lineRule="auto"/>
            </w:pPr>
            <w:r>
              <w:t>2</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3C2102AB">
            <w:pPr>
              <w:spacing w:line="240" w:lineRule="auto"/>
            </w:pPr>
            <w:r>
              <w:t>5,000</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597023B3">
            <w:pPr>
              <w:spacing w:line="240" w:lineRule="auto"/>
            </w:pPr>
            <w:r>
              <w:t>10,000</w:t>
            </w:r>
          </w:p>
        </w:tc>
      </w:tr>
      <w:tr w14:paraId="44301D6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7E2434BF">
            <w:pPr>
              <w:spacing w:line="240" w:lineRule="auto"/>
            </w:pPr>
            <w:r>
              <w:t>I</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4E087367">
            <w:pPr>
              <w:spacing w:line="240" w:lineRule="auto"/>
            </w:pPr>
            <w:r>
              <w:t>Delivery and inspection of materials</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3540258A">
            <w:pPr>
              <w:spacing w:line="240" w:lineRule="auto"/>
            </w:pPr>
            <w:r>
              <w:t>5</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78ECE0EB">
            <w:pPr>
              <w:spacing w:line="240" w:lineRule="auto"/>
            </w:pPr>
            <w:r>
              <w:t>4</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327D83A5">
            <w:pPr>
              <w:spacing w:line="240" w:lineRule="auto"/>
            </w:pPr>
            <w:r>
              <w:t>1</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1430168E">
            <w:pPr>
              <w:spacing w:line="240" w:lineRule="auto"/>
            </w:pPr>
            <w:r>
              <w:t>1,500</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13DDEF40">
            <w:pPr>
              <w:spacing w:line="240" w:lineRule="auto"/>
            </w:pPr>
            <w:r>
              <w:t>1,500</w:t>
            </w:r>
          </w:p>
        </w:tc>
      </w:tr>
      <w:tr w14:paraId="66E51F6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04E5BAC3">
            <w:pPr>
              <w:spacing w:line="240" w:lineRule="auto"/>
            </w:pPr>
            <w:r>
              <w:t>J</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7C3A8E59">
            <w:pPr>
              <w:spacing w:line="240" w:lineRule="auto"/>
            </w:pPr>
            <w:r>
              <w:t>Mounting structure installation</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6D73DF6B">
            <w:pPr>
              <w:spacing w:line="240" w:lineRule="auto"/>
            </w:pPr>
            <w:r>
              <w:t>10</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114F0C14">
            <w:pPr>
              <w:spacing w:line="240" w:lineRule="auto"/>
            </w:pPr>
            <w:r>
              <w:t>8</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208F06A7">
            <w:pPr>
              <w:spacing w:line="240" w:lineRule="auto"/>
            </w:pPr>
            <w:r>
              <w:t>2</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29FEEEAA">
            <w:pPr>
              <w:spacing w:line="240" w:lineRule="auto"/>
            </w:pPr>
            <w:r>
              <w:t>3,000</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3416B9DD">
            <w:pPr>
              <w:spacing w:line="240" w:lineRule="auto"/>
            </w:pPr>
            <w:r>
              <w:t>6,000</w:t>
            </w:r>
          </w:p>
        </w:tc>
      </w:tr>
      <w:tr w14:paraId="38C3665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7EF2EDF6">
            <w:pPr>
              <w:spacing w:line="240" w:lineRule="auto"/>
            </w:pPr>
            <w:r>
              <w:t>M</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489FE902">
            <w:pPr>
              <w:spacing w:line="240" w:lineRule="auto"/>
            </w:pPr>
            <w:r>
              <w:t>DC/AC cabling and earthing</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39BAC845">
            <w:pPr>
              <w:spacing w:line="240" w:lineRule="auto"/>
            </w:pPr>
            <w:r>
              <w:t>7</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4DA1D10A">
            <w:pPr>
              <w:spacing w:line="240" w:lineRule="auto"/>
            </w:pPr>
            <w:r>
              <w:t>6</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53DD3B88">
            <w:pPr>
              <w:spacing w:line="240" w:lineRule="auto"/>
            </w:pPr>
            <w:r>
              <w:t>1</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6941B482">
            <w:pPr>
              <w:spacing w:line="240" w:lineRule="auto"/>
            </w:pPr>
            <w:r>
              <w:t>4,000</w:t>
            </w:r>
          </w:p>
        </w:tc>
        <w:tc>
          <w:tcPr>
            <w:tcW w:w="0" w:type="auto"/>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18B6D2D8">
            <w:pPr>
              <w:spacing w:line="240" w:lineRule="auto"/>
            </w:pPr>
            <w:r>
              <w:t>4,000</w:t>
            </w:r>
          </w:p>
        </w:tc>
      </w:tr>
      <w:tr w14:paraId="7CA72DE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jc w:val="center"/>
        </w:trPr>
        <w:tc>
          <w:tcPr>
            <w:tcW w:w="0" w:type="auto"/>
            <w:tcBorders>
              <w:top w:val="single" w:color="000000" w:sz="8" w:space="0"/>
              <w:left w:val="single" w:color="000000" w:sz="8" w:space="0"/>
              <w:bottom w:val="single" w:color="000000" w:sz="8" w:space="0"/>
              <w:right w:val="single" w:color="000000" w:sz="8" w:space="0"/>
            </w:tcBorders>
            <w:shd w:val="clear" w:color="auto" w:fill="F4CCCC"/>
            <w:tcMar>
              <w:top w:w="100" w:type="dxa"/>
              <w:left w:w="100" w:type="dxa"/>
              <w:bottom w:w="100" w:type="dxa"/>
              <w:right w:w="100" w:type="dxa"/>
            </w:tcMar>
          </w:tcPr>
          <w:p w14:paraId="3B3AB29C">
            <w:pPr>
              <w:spacing w:line="240" w:lineRule="auto"/>
              <w:rPr>
                <w:b/>
                <w:bCs/>
              </w:rPr>
            </w:pPr>
            <w:r>
              <w:rPr>
                <w:b/>
                <w:bCs/>
              </w:rPr>
              <w:t>Total</w:t>
            </w:r>
          </w:p>
        </w:tc>
        <w:tc>
          <w:tcPr>
            <w:tcW w:w="0" w:type="auto"/>
            <w:tcBorders>
              <w:top w:val="single" w:color="000000" w:sz="8" w:space="0"/>
              <w:left w:val="single" w:color="000000" w:sz="8" w:space="0"/>
              <w:bottom w:val="single" w:color="000000" w:sz="8" w:space="0"/>
              <w:right w:val="single" w:color="000000" w:sz="8" w:space="0"/>
            </w:tcBorders>
            <w:shd w:val="clear" w:color="auto" w:fill="F4CCCC"/>
            <w:tcMar>
              <w:top w:w="100" w:type="dxa"/>
              <w:left w:w="100" w:type="dxa"/>
              <w:bottom w:w="100" w:type="dxa"/>
              <w:right w:w="100" w:type="dxa"/>
            </w:tcMar>
          </w:tcPr>
          <w:p w14:paraId="55E2E6AF">
            <w:pPr>
              <w:spacing w:line="240" w:lineRule="auto"/>
              <w:rPr>
                <w:b/>
                <w:bCs/>
              </w:rPr>
            </w:pPr>
            <w:r>
              <w:rPr>
                <w:b/>
                <w:bCs/>
              </w:rPr>
              <w:t>Required project reduction</w:t>
            </w:r>
          </w:p>
        </w:tc>
        <w:tc>
          <w:tcPr>
            <w:tcW w:w="0" w:type="auto"/>
            <w:tcBorders>
              <w:top w:val="single" w:color="000000" w:sz="8" w:space="0"/>
              <w:left w:val="single" w:color="000000" w:sz="8" w:space="0"/>
              <w:bottom w:val="single" w:color="000000" w:sz="8" w:space="0"/>
              <w:right w:val="single" w:color="000000" w:sz="8" w:space="0"/>
            </w:tcBorders>
            <w:shd w:val="clear" w:color="auto" w:fill="F4CCCC"/>
            <w:tcMar>
              <w:top w:w="100" w:type="dxa"/>
              <w:left w:w="100" w:type="dxa"/>
              <w:bottom w:w="100" w:type="dxa"/>
              <w:right w:w="100" w:type="dxa"/>
            </w:tcMar>
          </w:tcPr>
          <w:p w14:paraId="7CB8A382">
            <w:pPr>
              <w:spacing w:line="240" w:lineRule="auto"/>
              <w:rPr>
                <w:b/>
                <w:bCs/>
              </w:rPr>
            </w:pPr>
            <w:r>
              <w:rPr>
                <w:b/>
                <w:bCs/>
              </w:rPr>
              <w:t>50 days</w:t>
            </w:r>
          </w:p>
        </w:tc>
        <w:tc>
          <w:tcPr>
            <w:tcW w:w="0" w:type="auto"/>
            <w:tcBorders>
              <w:top w:val="single" w:color="000000" w:sz="8" w:space="0"/>
              <w:left w:val="single" w:color="000000" w:sz="8" w:space="0"/>
              <w:bottom w:val="single" w:color="000000" w:sz="8" w:space="0"/>
              <w:right w:val="single" w:color="000000" w:sz="8" w:space="0"/>
            </w:tcBorders>
            <w:shd w:val="clear" w:color="auto" w:fill="F4CCCC"/>
            <w:tcMar>
              <w:top w:w="100" w:type="dxa"/>
              <w:left w:w="100" w:type="dxa"/>
              <w:bottom w:w="100" w:type="dxa"/>
              <w:right w:w="100" w:type="dxa"/>
            </w:tcMar>
          </w:tcPr>
          <w:p w14:paraId="5265AD8F">
            <w:pPr>
              <w:spacing w:line="240" w:lineRule="auto"/>
              <w:rPr>
                <w:b/>
                <w:bCs/>
              </w:rPr>
            </w:pPr>
            <w:r>
              <w:rPr>
                <w:b/>
                <w:bCs/>
              </w:rPr>
              <w:t>42 days</w:t>
            </w:r>
          </w:p>
        </w:tc>
        <w:tc>
          <w:tcPr>
            <w:tcW w:w="0" w:type="auto"/>
            <w:tcBorders>
              <w:top w:val="single" w:color="000000" w:sz="8" w:space="0"/>
              <w:left w:val="single" w:color="000000" w:sz="8" w:space="0"/>
              <w:bottom w:val="single" w:color="000000" w:sz="8" w:space="0"/>
              <w:right w:val="single" w:color="000000" w:sz="8" w:space="0"/>
            </w:tcBorders>
            <w:shd w:val="clear" w:color="auto" w:fill="F4CCCC"/>
            <w:tcMar>
              <w:top w:w="100" w:type="dxa"/>
              <w:left w:w="100" w:type="dxa"/>
              <w:bottom w:w="100" w:type="dxa"/>
              <w:right w:w="100" w:type="dxa"/>
            </w:tcMar>
          </w:tcPr>
          <w:p w14:paraId="21C02031">
            <w:pPr>
              <w:spacing w:line="240" w:lineRule="auto"/>
              <w:rPr>
                <w:b/>
                <w:bCs/>
              </w:rPr>
            </w:pPr>
            <w:r>
              <w:rPr>
                <w:b/>
                <w:bCs/>
              </w:rPr>
              <w:t>7 days</w:t>
            </w:r>
          </w:p>
        </w:tc>
        <w:tc>
          <w:tcPr>
            <w:tcW w:w="0" w:type="auto"/>
            <w:tcBorders>
              <w:top w:val="single" w:color="000000" w:sz="8" w:space="0"/>
              <w:left w:val="single" w:color="000000" w:sz="8" w:space="0"/>
              <w:bottom w:val="single" w:color="000000" w:sz="8" w:space="0"/>
              <w:right w:val="single" w:color="000000" w:sz="8" w:space="0"/>
            </w:tcBorders>
            <w:shd w:val="clear" w:color="auto" w:fill="F4CCCC"/>
            <w:tcMar>
              <w:top w:w="100" w:type="dxa"/>
              <w:left w:w="100" w:type="dxa"/>
              <w:bottom w:w="100" w:type="dxa"/>
              <w:right w:w="100" w:type="dxa"/>
            </w:tcMar>
          </w:tcPr>
          <w:p w14:paraId="629FB816">
            <w:pPr>
              <w:spacing w:line="240" w:lineRule="auto"/>
              <w:rPr>
                <w:b/>
                <w:bCs/>
              </w:rPr>
            </w:pPr>
            <w:r>
              <w:rPr>
                <w:b/>
                <w:bCs/>
              </w:rPr>
              <w:t>15,500</w:t>
            </w:r>
          </w:p>
        </w:tc>
        <w:tc>
          <w:tcPr>
            <w:tcW w:w="0" w:type="auto"/>
            <w:tcBorders>
              <w:top w:val="single" w:color="000000" w:sz="8" w:space="0"/>
              <w:left w:val="single" w:color="000000" w:sz="8" w:space="0"/>
              <w:bottom w:val="single" w:color="000000" w:sz="8" w:space="0"/>
              <w:right w:val="single" w:color="000000" w:sz="8" w:space="0"/>
            </w:tcBorders>
            <w:shd w:val="clear" w:color="auto" w:fill="F4CCCC"/>
            <w:tcMar>
              <w:top w:w="100" w:type="dxa"/>
              <w:left w:w="100" w:type="dxa"/>
              <w:bottom w:w="100" w:type="dxa"/>
              <w:right w:w="100" w:type="dxa"/>
            </w:tcMar>
          </w:tcPr>
          <w:p w14:paraId="24661E5A">
            <w:pPr>
              <w:spacing w:line="240" w:lineRule="auto"/>
              <w:rPr>
                <w:b/>
                <w:bCs/>
              </w:rPr>
            </w:pPr>
            <w:r>
              <w:rPr>
                <w:b/>
                <w:bCs/>
              </w:rPr>
              <w:t>24,500</w:t>
            </w:r>
          </w:p>
        </w:tc>
      </w:tr>
    </w:tbl>
    <w:p w14:paraId="34999EA9">
      <w:r>
        <w:t>A seven-day crash programme for the selected activities is shown. The reductions are for site survey, design, procurement, delivery, mounting and installation, and cabling. 7-day reduction has decreased the baseline from 70 days to 63 days, with an expected extra crash expenditure of £24,500.</w:t>
      </w:r>
    </w:p>
    <w:p w14:paraId="046890D7">
      <w:pPr>
        <w:pStyle w:val="3"/>
      </w:pPr>
      <w:bookmarkStart w:id="33" w:name="_Toc237386560"/>
      <w:r>
        <w:t>6.4 Revised Project Schedule and Critical Path</w:t>
      </w:r>
      <w:bookmarkEnd w:id="33"/>
    </w:p>
    <w:tbl>
      <w:tblPr>
        <w:tblStyle w:val="28"/>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9029"/>
      </w:tblGrid>
      <w:tr w14:paraId="3D9A367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029" w:type="dxa"/>
            <w:tcMar>
              <w:top w:w="100" w:type="dxa"/>
              <w:left w:w="100" w:type="dxa"/>
              <w:bottom w:w="100" w:type="dxa"/>
              <w:right w:w="100" w:type="dxa"/>
            </w:tcMar>
          </w:tcPr>
          <w:p w14:paraId="3A893A9C">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pPr>
            <w:r>
              <w:drawing>
                <wp:inline distT="114300" distB="114300" distL="114300" distR="114300">
                  <wp:extent cx="5591175" cy="4140200"/>
                  <wp:effectExtent l="12700" t="12700" r="12700" b="12700"/>
                  <wp:docPr id="2" name="image10.png"/>
                  <wp:cNvGraphicFramePr/>
                  <a:graphic xmlns:a="http://schemas.openxmlformats.org/drawingml/2006/main">
                    <a:graphicData uri="http://schemas.openxmlformats.org/drawingml/2006/picture">
                      <pic:pic xmlns:pic="http://schemas.openxmlformats.org/drawingml/2006/picture">
                        <pic:nvPicPr>
                          <pic:cNvPr id="2" name="image10.png"/>
                          <pic:cNvPicPr preferRelativeResize="0"/>
                        </pic:nvPicPr>
                        <pic:blipFill>
                          <a:blip r:embed="rId17"/>
                          <a:srcRect/>
                          <a:stretch>
                            <a:fillRect/>
                          </a:stretch>
                        </pic:blipFill>
                        <pic:spPr>
                          <a:xfrm>
                            <a:off x="0" y="0"/>
                            <a:ext cx="5591175" cy="4140200"/>
                          </a:xfrm>
                          <a:prstGeom prst="rect">
                            <a:avLst/>
                          </a:prstGeom>
                          <a:ln w="12700">
                            <a:solidFill>
                              <a:srgbClr val="000000"/>
                            </a:solidFill>
                            <a:prstDash val="solid"/>
                          </a:ln>
                        </pic:spPr>
                      </pic:pic>
                    </a:graphicData>
                  </a:graphic>
                </wp:inline>
              </w:drawing>
            </w:r>
          </w:p>
        </w:tc>
      </w:tr>
      <w:tr w14:paraId="1E56BAE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029" w:type="dxa"/>
            <w:tcMar>
              <w:top w:w="100" w:type="dxa"/>
              <w:left w:w="100" w:type="dxa"/>
              <w:bottom w:w="100" w:type="dxa"/>
              <w:right w:w="100" w:type="dxa"/>
            </w:tcMar>
          </w:tcPr>
          <w:p w14:paraId="6028F548">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pPr>
            <w:r>
              <w:drawing>
                <wp:inline distT="114300" distB="114300" distL="114300" distR="114300">
                  <wp:extent cx="5591175" cy="3098800"/>
                  <wp:effectExtent l="12700" t="12700" r="12700" b="12700"/>
                  <wp:docPr id="11" name="image2.png"/>
                  <wp:cNvGraphicFramePr/>
                  <a:graphic xmlns:a="http://schemas.openxmlformats.org/drawingml/2006/main">
                    <a:graphicData uri="http://schemas.openxmlformats.org/drawingml/2006/picture">
                      <pic:pic xmlns:pic="http://schemas.openxmlformats.org/drawingml/2006/picture">
                        <pic:nvPicPr>
                          <pic:cNvPr id="11" name="image2.png"/>
                          <pic:cNvPicPr preferRelativeResize="0"/>
                        </pic:nvPicPr>
                        <pic:blipFill>
                          <a:blip r:embed="rId18"/>
                          <a:srcRect/>
                          <a:stretch>
                            <a:fillRect/>
                          </a:stretch>
                        </pic:blipFill>
                        <pic:spPr>
                          <a:xfrm>
                            <a:off x="0" y="0"/>
                            <a:ext cx="5591175" cy="3098800"/>
                          </a:xfrm>
                          <a:prstGeom prst="rect">
                            <a:avLst/>
                          </a:prstGeom>
                          <a:ln w="12700">
                            <a:solidFill>
                              <a:srgbClr val="000000"/>
                            </a:solidFill>
                            <a:prstDash val="solid"/>
                          </a:ln>
                        </pic:spPr>
                      </pic:pic>
                    </a:graphicData>
                  </a:graphic>
                </wp:inline>
              </w:drawing>
            </w:r>
          </w:p>
        </w:tc>
      </w:tr>
    </w:tbl>
    <w:p w14:paraId="004BF68D">
      <w:pPr>
        <w:jc w:val="center"/>
        <w:rPr>
          <w:b/>
          <w:bCs/>
        </w:rPr>
      </w:pPr>
      <w:r>
        <w:rPr>
          <w:b/>
          <w:bCs/>
        </w:rPr>
        <w:t>Figure 8: Revised Gantt Chart and Critical Path for the Solar PV Project</w:t>
      </w:r>
    </w:p>
    <w:p w14:paraId="7D3E2429">
      <w:r>
        <w:t>The Gantt chart shows activity durations, start and end dates, previous activities and activities in parallel. The project sequencing has been accomplished with the revised schedule showing speeded-up procurement, installation and electrical works, so that the project duration has been reduced by seven days from 70 to 63 days.</w:t>
      </w:r>
    </w:p>
    <w:p w14:paraId="53FE27CA">
      <w:pPr>
        <w:pStyle w:val="3"/>
      </w:pPr>
      <w:bookmarkStart w:id="34" w:name="_Toc237386561"/>
      <w:r>
        <w:t>6.5 Final Project Cost</w:t>
      </w:r>
      <w:bookmarkEnd w:id="34"/>
    </w:p>
    <w:p w14:paraId="0FDC30EF">
      <w:pPr>
        <w:jc w:val="center"/>
        <w:rPr>
          <w:b/>
          <w:bCs/>
        </w:rPr>
      </w:pPr>
      <w:r>
        <w:rPr>
          <w:b/>
          <w:bCs/>
        </w:rPr>
        <w:t xml:space="preserve">Table 10: Final Project Cost </w:t>
      </w:r>
    </w:p>
    <w:tbl>
      <w:tblPr>
        <w:tblStyle w:val="29"/>
        <w:tblW w:w="904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4755"/>
        <w:gridCol w:w="4290"/>
      </w:tblGrid>
      <w:tr w14:paraId="1DFE549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4755" w:type="dxa"/>
            <w:tcBorders>
              <w:top w:val="single" w:color="000000" w:sz="8" w:space="0"/>
              <w:left w:val="single" w:color="000000" w:sz="8" w:space="0"/>
              <w:bottom w:val="single" w:color="000000" w:sz="8" w:space="0"/>
              <w:right w:val="single" w:color="000000" w:sz="8" w:space="0"/>
            </w:tcBorders>
            <w:shd w:val="clear" w:color="auto" w:fill="38761D"/>
            <w:tcMar>
              <w:top w:w="100" w:type="dxa"/>
              <w:left w:w="100" w:type="dxa"/>
              <w:bottom w:w="100" w:type="dxa"/>
              <w:right w:w="100" w:type="dxa"/>
            </w:tcMar>
          </w:tcPr>
          <w:p w14:paraId="0D4DED43">
            <w:pPr>
              <w:spacing w:line="240" w:lineRule="auto"/>
              <w:rPr>
                <w:b/>
                <w:bCs/>
              </w:rPr>
            </w:pPr>
            <w:r>
              <w:rPr>
                <w:b/>
                <w:bCs/>
              </w:rPr>
              <w:t>Cost Component</w:t>
            </w:r>
          </w:p>
        </w:tc>
        <w:tc>
          <w:tcPr>
            <w:tcW w:w="4290" w:type="dxa"/>
            <w:tcBorders>
              <w:top w:val="single" w:color="000000" w:sz="8" w:space="0"/>
              <w:left w:val="single" w:color="000000" w:sz="8" w:space="0"/>
              <w:bottom w:val="single" w:color="000000" w:sz="8" w:space="0"/>
              <w:right w:val="single" w:color="000000" w:sz="8" w:space="0"/>
            </w:tcBorders>
            <w:shd w:val="clear" w:color="auto" w:fill="38761D"/>
            <w:tcMar>
              <w:top w:w="100" w:type="dxa"/>
              <w:left w:w="100" w:type="dxa"/>
              <w:bottom w:w="100" w:type="dxa"/>
              <w:right w:w="100" w:type="dxa"/>
            </w:tcMar>
          </w:tcPr>
          <w:p w14:paraId="0193CBCE">
            <w:pPr>
              <w:spacing w:line="240" w:lineRule="auto"/>
              <w:rPr>
                <w:b/>
                <w:bCs/>
              </w:rPr>
            </w:pPr>
            <w:r>
              <w:rPr>
                <w:b/>
                <w:bCs/>
              </w:rPr>
              <w:t>Amount (£)</w:t>
            </w:r>
          </w:p>
        </w:tc>
      </w:tr>
      <w:tr w14:paraId="7372574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4755" w:type="dxa"/>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4100B60C">
            <w:pPr>
              <w:spacing w:line="240" w:lineRule="auto"/>
            </w:pPr>
            <w:r>
              <w:t>Normal project cost</w:t>
            </w:r>
          </w:p>
        </w:tc>
        <w:tc>
          <w:tcPr>
            <w:tcW w:w="4290" w:type="dxa"/>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5354B360">
            <w:pPr>
              <w:spacing w:line="240" w:lineRule="auto"/>
              <w:rPr>
                <w:b/>
                <w:bCs/>
              </w:rPr>
            </w:pPr>
            <w:r>
              <w:rPr>
                <w:b/>
                <w:bCs/>
              </w:rPr>
              <w:t>794,500</w:t>
            </w:r>
          </w:p>
        </w:tc>
      </w:tr>
      <w:tr w14:paraId="1CF52AF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4755" w:type="dxa"/>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048AD367">
            <w:pPr>
              <w:spacing w:line="240" w:lineRule="auto"/>
            </w:pPr>
            <w:r>
              <w:t>Additional crash cost</w:t>
            </w:r>
          </w:p>
        </w:tc>
        <w:tc>
          <w:tcPr>
            <w:tcW w:w="4290" w:type="dxa"/>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5CDCC818">
            <w:pPr>
              <w:spacing w:line="240" w:lineRule="auto"/>
              <w:rPr>
                <w:b/>
                <w:bCs/>
              </w:rPr>
            </w:pPr>
            <w:r>
              <w:rPr>
                <w:b/>
                <w:bCs/>
              </w:rPr>
              <w:t>29,000</w:t>
            </w:r>
          </w:p>
        </w:tc>
      </w:tr>
      <w:tr w14:paraId="4DDC14C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80" w:hRule="atLeast"/>
        </w:trPr>
        <w:tc>
          <w:tcPr>
            <w:tcW w:w="4755" w:type="dxa"/>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047E354D">
            <w:pPr>
              <w:spacing w:line="240" w:lineRule="auto"/>
            </w:pPr>
            <w:r>
              <w:t>Final project cost</w:t>
            </w:r>
          </w:p>
        </w:tc>
        <w:tc>
          <w:tcPr>
            <w:tcW w:w="4290" w:type="dxa"/>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78CF9034">
            <w:pPr>
              <w:spacing w:line="240" w:lineRule="auto"/>
              <w:rPr>
                <w:b/>
                <w:bCs/>
              </w:rPr>
            </w:pPr>
            <w:r>
              <w:rPr>
                <w:b/>
                <w:bCs/>
              </w:rPr>
              <w:t>823,500</w:t>
            </w:r>
          </w:p>
        </w:tc>
      </w:tr>
    </w:tbl>
    <w:p w14:paraId="0F16C455">
      <w:r>
        <w:t>The cost of the project has risen by £ 29,000, that is 3.65% of the normal project cost, and the time for completion has been shortened by 10%.</w:t>
      </w:r>
    </w:p>
    <w:p w14:paraId="7776ABC5">
      <w:pPr>
        <w:pStyle w:val="2"/>
      </w:pPr>
      <w:bookmarkStart w:id="35" w:name="_Toc237386562"/>
      <w:r>
        <w:t>7. Project Handover Issues</w:t>
      </w:r>
      <w:bookmarkEnd w:id="35"/>
    </w:p>
    <w:p w14:paraId="1EA89BEE">
      <w:pPr>
        <w:pStyle w:val="3"/>
      </w:pPr>
      <w:bookmarkStart w:id="36" w:name="_ckdyla15qhg" w:colFirst="0" w:colLast="0"/>
      <w:bookmarkEnd w:id="36"/>
      <w:bookmarkStart w:id="37" w:name="_Toc237386563"/>
      <w:r>
        <w:t>7.1 Handover to the Client</w:t>
      </w:r>
      <w:bookmarkEnd w:id="37"/>
    </w:p>
    <w:p w14:paraId="4572BA93">
      <w:r>
        <w:t xml:space="preserve">The completed PV system has been handed over to the client after installation and commissioning activities have been completed. The project team has transferred operational responsibilities to the facility management or O&amp;M team. Training has also been provided regarding system monitoring, routine inspections, emergency procedures and basic fault identification (Balfour and Morris, 2024). </w:t>
      </w:r>
    </w:p>
    <w:p w14:paraId="5D6C6D52">
      <w:pPr>
        <w:pStyle w:val="3"/>
      </w:pPr>
      <w:bookmarkStart w:id="38" w:name="_fioehgsk6c7y" w:colFirst="0" w:colLast="0"/>
      <w:bookmarkEnd w:id="38"/>
      <w:bookmarkStart w:id="39" w:name="_Toc237386564"/>
      <w:r>
        <w:t>7.2 Testing, Commissioning and Documentation</w:t>
      </w:r>
      <w:bookmarkEnd w:id="39"/>
    </w:p>
    <w:p w14:paraId="23AACD6A">
      <w:r>
        <w:t xml:space="preserve">Tests and commissioning have been completed before delivery to ensure the PV operation has been in line with the approved design and safety inclusions. Electrical continuity, insulation resistance, protection device and inverter operations and connection to the grid have been tested. The performance verification has also been achieved to detect any defects (Manohar </w:t>
      </w:r>
      <w:r>
        <w:rPr>
          <w:i/>
          <w:iCs/>
        </w:rPr>
        <w:t>et al.</w:t>
      </w:r>
      <w:r>
        <w:t xml:space="preserve"> 2025). Future troubleshooting, maintenance, and warranty claims are aided with this level of documentation.</w:t>
      </w:r>
    </w:p>
    <w:p w14:paraId="6A972130">
      <w:pPr>
        <w:pStyle w:val="3"/>
      </w:pPr>
      <w:bookmarkStart w:id="40" w:name="_6gfbvbsyn9bu" w:colFirst="0" w:colLast="0"/>
      <w:bookmarkEnd w:id="40"/>
      <w:bookmarkStart w:id="41" w:name="_Toc237386565"/>
      <w:r>
        <w:t>7.3 Client Acceptance and Sign-Off</w:t>
      </w:r>
      <w:bookmarkEnd w:id="41"/>
    </w:p>
    <w:p w14:paraId="42E12BCB">
      <w:r>
        <w:t xml:space="preserve">Documentation and successful testing/commissioning have resulted in client acceptance. The project manager came back with the completed and relevant documents for review. All known faults or unfinished tasks have been captured and followed up to final sign-off. The acceptance process has provided the verifier that the PV system installed complies with all the technical, safety and contractual requirements agreed (Lino and Parente, 2024). </w:t>
      </w:r>
    </w:p>
    <w:p w14:paraId="5359E02A">
      <w:pPr>
        <w:pStyle w:val="3"/>
      </w:pPr>
      <w:bookmarkStart w:id="42" w:name="_n0lpt21tcb4" w:colFirst="0" w:colLast="0"/>
      <w:bookmarkEnd w:id="42"/>
      <w:bookmarkStart w:id="43" w:name="_Toc237386566"/>
      <w:r>
        <w:t>7.4 Handover Issues and Client Considerations</w:t>
      </w:r>
      <w:bookmarkEnd w:id="43"/>
    </w:p>
    <w:p w14:paraId="39F987CC">
      <w:r>
        <w:t>Issues thought of during handover include incompleteness of documentation, unfulfilled defects, unclear maintenance responsibilities, unclear conditions of which the client is not aware, and the monitoring system as a warranty. Final acceptance may be delayed if the greens are not approved or not considered as 'performing'. Clear responsibilities for operation and maintenance have therefore been formalised, and training and documentation completed before closure (Minaie and Sanati-Mehrizy, 2025). The handover process has, at the end of the day, enabled a proper knowledge transfer.</w:t>
      </w:r>
    </w:p>
    <w:p w14:paraId="34DB5D19">
      <w:pPr>
        <w:pStyle w:val="2"/>
      </w:pPr>
      <w:bookmarkStart w:id="44" w:name="_Toc237386567"/>
      <w:r>
        <w:t>8. Conclusions</w:t>
      </w:r>
      <w:bookmarkEnd w:id="44"/>
    </w:p>
    <w:p w14:paraId="3E5EA463">
      <w:r>
        <w:t>Structured planning, scheduling, cost management, communication and risk-management techniques have helped promote the proposed 1 MWp rooftop solar PV system, and this has been supported by the project management analysis. The network and critical path analysis have identified an established baseline duration of 70 days, and the crash costing has shown the potential for doing so by selectively accelerating activities to 63 days. The cost of the normal project has been estimated at £794,500, and further money is needed to speed up the schedule. Uncertainties in the schedule listed by PERT and risk analysis have been identified as key areas of concern, whilst effective communication, testing and handover processes have successfully enabled completion of projects and readiness to operate.</w:t>
      </w:r>
      <w:bookmarkStart w:id="45" w:name="_rkqsniiju2us" w:colFirst="0" w:colLast="0"/>
      <w:bookmarkEnd w:id="45"/>
      <w:r>
        <w:br w:type="page"/>
      </w:r>
    </w:p>
    <w:p w14:paraId="4FD55064">
      <w:pPr>
        <w:pStyle w:val="2"/>
      </w:pPr>
      <w:bookmarkStart w:id="46" w:name="_Toc237386568"/>
      <w:r>
        <w:t>References</w:t>
      </w:r>
      <w:bookmarkEnd w:id="46"/>
    </w:p>
    <w:p w14:paraId="0A355704">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Balfour, J.R. and Morris, R.W., 2024. </w:t>
      </w:r>
      <w:r>
        <w:rPr>
          <w:i/>
          <w:iCs/>
          <w:color w:val="000000" w:themeColor="text1"/>
          <w14:textFill>
            <w14:solidFill>
              <w14:schemeClr w14:val="tx1"/>
            </w14:solidFill>
          </w14:textFill>
        </w:rPr>
        <w:t>Photovoltaic (PV) System Delivery as Reliable Energy Infrastructure</w:t>
      </w:r>
      <w:r>
        <w:rPr>
          <w:color w:val="000000" w:themeColor="text1"/>
          <w14:textFill>
            <w14:solidFill>
              <w14:schemeClr w14:val="tx1"/>
            </w14:solidFill>
          </w14:textFill>
        </w:rPr>
        <w:t xml:space="preserve">. John Wiley &amp; Sons. </w:t>
      </w:r>
      <w:r>
        <w:rPr>
          <w:color w:val="0000FF"/>
        </w:rPr>
        <w:fldChar w:fldCharType="begin"/>
      </w:r>
      <w:r>
        <w:rPr>
          <w:color w:val="0000FF"/>
        </w:rPr>
        <w:instrText xml:space="preserve"> HYPERLINK "https://books.google.com/books?hl=en&amp;lr=&amp;id=vX_9EAAAQBAJ&amp;oi=fnd&amp;pg=PP23&amp;dq=Project+Handover+Issues+in+for+project+like+IMPLEMENTATION+OF+A+SOLAR+ENERGY+SYSTEM+FOR+A+COMMERCIAL/INDUSTRIAL+FACILITY+&amp;ots=8fdgnlGMUu&amp;sig=7TrDuqKp7SPXe21AEK0eXwnydNw" \h </w:instrText>
      </w:r>
      <w:r>
        <w:rPr>
          <w:color w:val="0000FF"/>
        </w:rPr>
        <w:fldChar w:fldCharType="separate"/>
      </w:r>
      <w:r>
        <w:rPr>
          <w:color w:val="0000FF"/>
          <w:u w:val="single"/>
        </w:rPr>
        <w:t>https://books.google.com/books?hl=en&amp;lr=&amp;id=vX_9EAAAQBAJ&amp;oi=fnd&amp;pg=PP23&amp;dq=Project+Handover+Issues+in+for+project+like+IMPLEMENTATION+OF+A+SOLAR+ENERGY+SYSTEM+FOR+A+COMMERCIAL/INDUSTRIAL+FACILITY+&amp;ots=8fdgnlGMUu&amp;sig=7TrDuqKp7SPXe21AEK0eXwnydNw</w:t>
      </w:r>
      <w:r>
        <w:rPr>
          <w:color w:val="0000FF"/>
          <w:u w:val="single"/>
        </w:rPr>
        <w:fldChar w:fldCharType="end"/>
      </w:r>
    </w:p>
    <w:p w14:paraId="3B57D8A5">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El-Khozondar, H., El-Khozondar, R., Nassar, Y., Asfour, A., Albardawil, M., El-Zesty, M., Shaheen, S., Elmnifi, M., Khaleel, M., Alkhazmi, A. and Ali, A., 2025. Economic and environmental implications of solar energy street lighting in urban regions: A case study. Wadi Alshatti University Journal of Pure and Applied Sciences, pp.142-151. </w:t>
      </w:r>
      <w:r>
        <w:rPr>
          <w:color w:val="0000FF"/>
        </w:rPr>
        <w:fldChar w:fldCharType="begin"/>
      </w:r>
      <w:r>
        <w:rPr>
          <w:color w:val="0000FF"/>
        </w:rPr>
        <w:instrText xml:space="preserve"> HYPERLINK "https://scholar.archive.org/work/oa24r5mwozbuvoxjpd64fg72yq/access/wayback/https://waujpas.com/index.php/journal/article/download/172/115" \h </w:instrText>
      </w:r>
      <w:r>
        <w:rPr>
          <w:color w:val="0000FF"/>
        </w:rPr>
        <w:fldChar w:fldCharType="separate"/>
      </w:r>
      <w:r>
        <w:rPr>
          <w:color w:val="0000FF"/>
          <w:u w:val="single"/>
        </w:rPr>
        <w:t>https://scholar.archive.org/work/oa24r5mwozbuvoxjpd64fg72yq/access/wayback/https://waujpas.com/index.php/journal/article/download/172/115</w:t>
      </w:r>
      <w:r>
        <w:rPr>
          <w:color w:val="0000FF"/>
          <w:u w:val="single"/>
        </w:rPr>
        <w:fldChar w:fldCharType="end"/>
      </w:r>
    </w:p>
    <w:p w14:paraId="341F0184">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Inayat, S.M., Zaidia, S.M.R., Ahmeda, H., Ahmeda, D., Azama, M.K. and Arfeenb, Z.A., 2023. Risk assessment and mitigation strategy of large-scale solar photovoltaic systems in Pakistan. International Journal of Industrial Engineering and Management, 14(2), pp.105-121. </w:t>
      </w:r>
      <w:r>
        <w:rPr>
          <w:color w:val="0000FF"/>
        </w:rPr>
        <w:fldChar w:fldCharType="begin"/>
      </w:r>
      <w:r>
        <w:rPr>
          <w:color w:val="0000FF"/>
        </w:rPr>
        <w:instrText xml:space="preserve"> HYPERLINK "https://ijiemjournal.uns.ac.rs/images/journal/volume14/IJIEM_327.pdf" \h </w:instrText>
      </w:r>
      <w:r>
        <w:rPr>
          <w:color w:val="0000FF"/>
        </w:rPr>
        <w:fldChar w:fldCharType="separate"/>
      </w:r>
      <w:r>
        <w:rPr>
          <w:color w:val="0000FF"/>
          <w:u w:val="single"/>
        </w:rPr>
        <w:t>https://ijiemjournal.uns.ac.rs/images/journal/volume14/IJIEM_327.pdf</w:t>
      </w:r>
      <w:r>
        <w:rPr>
          <w:color w:val="0000FF"/>
          <w:u w:val="single"/>
        </w:rPr>
        <w:fldChar w:fldCharType="end"/>
      </w:r>
    </w:p>
    <w:p w14:paraId="2489FB0C">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Jing, Z., Wang, Q., Fan, C.M., Yang, X.F., Tang, P.Y. and Li, B., 2025. ZnIn2S4-based heterostructure photocatalysts for solar energy conversion: a comprehensive review. Journal of Materials Chemistry A, 13(24), pp.18253-18282. </w:t>
      </w:r>
      <w:r>
        <w:rPr>
          <w:color w:val="0000FF"/>
        </w:rPr>
        <w:fldChar w:fldCharType="begin"/>
      </w:r>
      <w:r>
        <w:rPr>
          <w:color w:val="0000FF"/>
        </w:rPr>
        <w:instrText xml:space="preserve"> HYPERLINK "https://pubs.rsc.org/ta/article-pdf/13/24/18253/10721764/d5ta02501j.pdf" \h </w:instrText>
      </w:r>
      <w:r>
        <w:rPr>
          <w:color w:val="0000FF"/>
        </w:rPr>
        <w:fldChar w:fldCharType="separate"/>
      </w:r>
      <w:r>
        <w:rPr>
          <w:color w:val="0000FF"/>
          <w:u w:val="single"/>
        </w:rPr>
        <w:t>https://pubs.rsc.org/ta/article-pdf/13/24/18253/10721764/d5ta02501j.pdf</w:t>
      </w:r>
      <w:r>
        <w:rPr>
          <w:color w:val="0000FF"/>
          <w:u w:val="single"/>
        </w:rPr>
        <w:fldChar w:fldCharType="end"/>
      </w:r>
    </w:p>
    <w:p w14:paraId="5C70C9E2">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Kantianis, D., 2023. Construction project crashing with uncertain correlated normal and crash task durations and costs: An integrated stochastic practical approach. </w:t>
      </w:r>
      <w:r>
        <w:rPr>
          <w:i/>
          <w:iCs/>
          <w:color w:val="000000" w:themeColor="text1"/>
          <w14:textFill>
            <w14:solidFill>
              <w14:schemeClr w14:val="tx1"/>
            </w14:solidFill>
          </w14:textFill>
        </w:rPr>
        <w:t>European Project Management Journal</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13</w:t>
      </w:r>
      <w:r>
        <w:rPr>
          <w:color w:val="000000" w:themeColor="text1"/>
          <w14:textFill>
            <w14:solidFill>
              <w14:schemeClr w14:val="tx1"/>
            </w14:solidFill>
          </w14:textFill>
        </w:rPr>
        <w:t xml:space="preserve">(1), pp.3-22. </w:t>
      </w:r>
      <w:r>
        <w:fldChar w:fldCharType="begin"/>
      </w:r>
      <w:r>
        <w:instrText xml:space="preserve"> HYPERLINK "https://www.researchgate.net/profile/Dimitrios-D-Kantianis-2/publication/370207414_Construction_Project_Crashing_with_Uncertain_Correlated_Normal_and_Crash_Task_Durations_and_Costs_An_Integrated_Stochastic_Practical_Approach/links/647dd57779a7223765134e3a/Construction-Project-Crashing-with-Uncertain-Correlated-Normal-and-Crash-Task-Durations-and-Costs-An-Integrated-Stochastic-Practical-Approach.pdf" \h </w:instrText>
      </w:r>
      <w:r>
        <w:fldChar w:fldCharType="separate"/>
      </w:r>
      <w:r>
        <w:rPr>
          <w:color w:val="0000FF"/>
          <w:u w:val="single"/>
        </w:rPr>
        <w:t>https://www.researchgate.net/profile/Dimitrios-D-Kantianis-2/publication/370207414_Construction_Project_Crashing_with_Uncertain_Correlated_Normal_and_Crash_Task_Durations_and_Costs_An_Integrated_Stochastic_Practical_Approach/links/647dd57779a7223765134e3a/Construction-Project-Crashing-with-Uncertain-Correlated-Normal-and-Crash-Task-Durations-and-Costs-An-Integrated-Stochastic-Practical-Approach.pdf</w:t>
      </w:r>
      <w:r>
        <w:rPr>
          <w:color w:val="000000" w:themeColor="text1"/>
          <w:u w:val="single"/>
          <w14:textFill>
            <w14:solidFill>
              <w14:schemeClr w14:val="tx1"/>
            </w14:solidFill>
          </w14:textFill>
        </w:rPr>
        <w:fldChar w:fldCharType="end"/>
      </w:r>
    </w:p>
    <w:p w14:paraId="6DFDCABA">
      <w:pPr>
        <w:spacing w:before="240"/>
        <w:rPr>
          <w:color w:val="000000" w:themeColor="text1"/>
          <w14:textFill>
            <w14:solidFill>
              <w14:schemeClr w14:val="tx1"/>
            </w14:solidFill>
          </w14:textFill>
        </w:rPr>
      </w:pPr>
      <w:r>
        <w:rPr>
          <w:color w:val="000000" w:themeColor="text1"/>
          <w14:textFill>
            <w14:solidFill>
              <w14:schemeClr w14:val="tx1"/>
            </w14:solidFill>
          </w14:textFill>
        </w:rPr>
        <w:t>Leewiraphan, C., Ketjoy, N. and Thanarak, P., 2024. An assessment of the economic viability of delivering solar PV rooftop as a service to strengthen business investment in the residential and commercial sectors. International Journal of Energy Economics and Policy, 14(2), pp.226-233.</w:t>
      </w:r>
      <w:r>
        <w:rPr>
          <w:color w:val="0000FF"/>
        </w:rPr>
        <w:t xml:space="preserve"> </w:t>
      </w:r>
      <w:r>
        <w:rPr>
          <w:color w:val="0000FF"/>
        </w:rPr>
        <w:fldChar w:fldCharType="begin"/>
      </w:r>
      <w:r>
        <w:rPr>
          <w:color w:val="0000FF"/>
        </w:rPr>
        <w:instrText xml:space="preserve"> HYPERLINK "https://savearchive.zbw.eu/bitstream/11159/653374/1/1884022065_0.pdf" \h </w:instrText>
      </w:r>
      <w:r>
        <w:rPr>
          <w:color w:val="0000FF"/>
        </w:rPr>
        <w:fldChar w:fldCharType="separate"/>
      </w:r>
      <w:r>
        <w:rPr>
          <w:color w:val="0000FF"/>
          <w:u w:val="single"/>
        </w:rPr>
        <w:t>https://savearchive.zbw.eu/bitstream/11159/653374/1/1884022065_0.pdf</w:t>
      </w:r>
      <w:r>
        <w:rPr>
          <w:color w:val="0000FF"/>
          <w:u w:val="single"/>
        </w:rPr>
        <w:fldChar w:fldCharType="end"/>
      </w:r>
    </w:p>
    <w:p w14:paraId="3C57236D">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Lino, J.C.B. and Parente, M.A., 2024. Efficient Planning and Execution of Solar Panels using BIM 4D with Line of Balance schedule. </w:t>
      </w:r>
      <w:r>
        <w:rPr>
          <w:color w:val="0000FF"/>
        </w:rPr>
        <w:fldChar w:fldCharType="begin"/>
      </w:r>
      <w:r>
        <w:rPr>
          <w:color w:val="0000FF"/>
        </w:rPr>
        <w:instrText xml:space="preserve"> HYPERLINK "https://bimaplus.org/wp-content/uploads/2024/10/25-2024-FelipedeOliveiraLeite.pdf" \h </w:instrText>
      </w:r>
      <w:r>
        <w:rPr>
          <w:color w:val="0000FF"/>
        </w:rPr>
        <w:fldChar w:fldCharType="separate"/>
      </w:r>
      <w:r>
        <w:rPr>
          <w:color w:val="0000FF"/>
          <w:u w:val="single"/>
        </w:rPr>
        <w:t>https://bimaplus.org/wp-content/uploads/2024/10/25-2024-FelipedeOliveiraLeite.pdf</w:t>
      </w:r>
      <w:r>
        <w:rPr>
          <w:color w:val="0000FF"/>
          <w:u w:val="single"/>
        </w:rPr>
        <w:fldChar w:fldCharType="end"/>
      </w:r>
    </w:p>
    <w:p w14:paraId="75F6EF20">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Manohar, N., Chaurasia, M.A., Mozar, S. and Juang, C.F., 2025. Renewable Energy Technologies (RET)—Society and Government Perspective. In </w:t>
      </w:r>
      <w:r>
        <w:rPr>
          <w:i/>
          <w:iCs/>
          <w:color w:val="000000" w:themeColor="text1"/>
          <w14:textFill>
            <w14:solidFill>
              <w14:schemeClr w14:val="tx1"/>
            </w14:solidFill>
          </w14:textFill>
        </w:rPr>
        <w:t>Machine Learning Applications in Renewable Energy</w:t>
      </w:r>
      <w:r>
        <w:rPr>
          <w:color w:val="000000" w:themeColor="text1"/>
          <w14:textFill>
            <w14:solidFill>
              <w14:schemeClr w14:val="tx1"/>
            </w14:solidFill>
          </w14:textFill>
        </w:rPr>
        <w:t xml:space="preserve"> (pp. 1-46). Singapore: Springer Nature Singapore. </w:t>
      </w:r>
      <w:r>
        <w:rPr>
          <w:color w:val="0000FF"/>
        </w:rPr>
        <w:fldChar w:fldCharType="begin"/>
      </w:r>
      <w:r>
        <w:rPr>
          <w:color w:val="0000FF"/>
        </w:rPr>
        <w:instrText xml:space="preserve"> HYPERLINK "https://link.springer.com/chapter/10.1007/978-981-97-9939-8_1" \h </w:instrText>
      </w:r>
      <w:r>
        <w:rPr>
          <w:color w:val="0000FF"/>
        </w:rPr>
        <w:fldChar w:fldCharType="separate"/>
      </w:r>
      <w:r>
        <w:rPr>
          <w:color w:val="0000FF"/>
          <w:u w:val="single"/>
        </w:rPr>
        <w:t>https://link.springer.com/chapter/10.1007/978-981-97-9939-8_1</w:t>
      </w:r>
      <w:r>
        <w:rPr>
          <w:color w:val="0000FF"/>
          <w:u w:val="single"/>
        </w:rPr>
        <w:fldChar w:fldCharType="end"/>
      </w:r>
    </w:p>
    <w:p w14:paraId="1D40995C">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Manolache, M., Manolache, A.I. and Andrei, G., 2025. Floating solar energy systems: A review of economic feasibility and cross-sector integration with marine renewable energy, aquaculture and hydrogen. Journal of Marine Science and Engineering, 13(8), p.1404. </w:t>
      </w:r>
      <w:r>
        <w:rPr>
          <w:color w:val="0000FF"/>
        </w:rPr>
        <w:fldChar w:fldCharType="begin"/>
      </w:r>
      <w:r>
        <w:rPr>
          <w:color w:val="0000FF"/>
        </w:rPr>
        <w:instrText xml:space="preserve"> HYPERLINK "https://www.mdpi.com/2077-1312/13/8/1404" \h </w:instrText>
      </w:r>
      <w:r>
        <w:rPr>
          <w:color w:val="0000FF"/>
        </w:rPr>
        <w:fldChar w:fldCharType="separate"/>
      </w:r>
      <w:r>
        <w:rPr>
          <w:color w:val="0000FF"/>
          <w:u w:val="single"/>
        </w:rPr>
        <w:t>https://www.mdpi.com/2077-1312/13/8/1404</w:t>
      </w:r>
      <w:r>
        <w:rPr>
          <w:color w:val="0000FF"/>
          <w:u w:val="single"/>
        </w:rPr>
        <w:fldChar w:fldCharType="end"/>
      </w:r>
    </w:p>
    <w:p w14:paraId="52482647">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Minaie, A. and Sanati-Mehrizy, R., 2025, June. Renewable Energy Integration in Electrical Engineering Programs. In </w:t>
      </w:r>
      <w:r>
        <w:rPr>
          <w:i/>
          <w:iCs/>
          <w:color w:val="000000" w:themeColor="text1"/>
          <w14:textFill>
            <w14:solidFill>
              <w14:schemeClr w14:val="tx1"/>
            </w14:solidFill>
          </w14:textFill>
        </w:rPr>
        <w:t>2025 ASEE Annual Conference &amp; Exposition</w:t>
      </w:r>
      <w:r>
        <w:rPr>
          <w:color w:val="000000" w:themeColor="text1"/>
          <w14:textFill>
            <w14:solidFill>
              <w14:schemeClr w14:val="tx1"/>
            </w14:solidFill>
          </w14:textFill>
        </w:rPr>
        <w:t xml:space="preserve">. </w:t>
      </w:r>
      <w:r>
        <w:rPr>
          <w:color w:val="0000FF"/>
        </w:rPr>
        <w:fldChar w:fldCharType="begin"/>
      </w:r>
      <w:r>
        <w:rPr>
          <w:color w:val="0000FF"/>
        </w:rPr>
        <w:instrText xml:space="preserve"> HYPERLINK "https://peer.asee.org/57128.pdf" \h </w:instrText>
      </w:r>
      <w:r>
        <w:rPr>
          <w:color w:val="0000FF"/>
        </w:rPr>
        <w:fldChar w:fldCharType="separate"/>
      </w:r>
      <w:r>
        <w:rPr>
          <w:color w:val="0000FF"/>
          <w:u w:val="single"/>
        </w:rPr>
        <w:t>https://peer.asee.org/57128.pdf</w:t>
      </w:r>
      <w:r>
        <w:rPr>
          <w:color w:val="0000FF"/>
          <w:u w:val="single"/>
        </w:rPr>
        <w:fldChar w:fldCharType="end"/>
      </w:r>
    </w:p>
    <w:p w14:paraId="34F1530D">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Oyakhilome, S.O. and Koffa, D.J., 2026. Advanced Control Strategies for Power-to-X Systems: Enhancing Green Hydrogen Production from Variable Renewable Energy Sources. </w:t>
      </w:r>
      <w:r>
        <w:rPr>
          <w:i/>
          <w:iCs/>
          <w:color w:val="000000" w:themeColor="text1"/>
          <w14:textFill>
            <w14:solidFill>
              <w14:schemeClr w14:val="tx1"/>
            </w14:solidFill>
          </w14:textFill>
        </w:rPr>
        <w:t>ARID ZONE JOURNAL OF ENGINEERING, TECHNOLOGY AND ENVIRONMENT</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22</w:t>
      </w:r>
      <w:r>
        <w:rPr>
          <w:color w:val="000000" w:themeColor="text1"/>
          <w14:textFill>
            <w14:solidFill>
              <w14:schemeClr w14:val="tx1"/>
            </w14:solidFill>
          </w14:textFill>
        </w:rPr>
        <w:t xml:space="preserve">(2), pp.316-327. </w:t>
      </w:r>
      <w:r>
        <w:rPr>
          <w:color w:val="0000FF"/>
        </w:rPr>
        <w:fldChar w:fldCharType="begin"/>
      </w:r>
      <w:r>
        <w:rPr>
          <w:color w:val="0000FF"/>
        </w:rPr>
        <w:instrText xml:space="preserve"> HYPERLINK "https://azojete.com.ng/index.php/azojete/article/download/1296/699" \h </w:instrText>
      </w:r>
      <w:r>
        <w:rPr>
          <w:color w:val="0000FF"/>
        </w:rPr>
        <w:fldChar w:fldCharType="separate"/>
      </w:r>
      <w:r>
        <w:rPr>
          <w:color w:val="0000FF"/>
          <w:u w:val="single"/>
        </w:rPr>
        <w:t>https://azojete.com.ng/index.php/azojete/article/download/1296/699</w:t>
      </w:r>
      <w:r>
        <w:rPr>
          <w:color w:val="0000FF"/>
          <w:u w:val="single"/>
        </w:rPr>
        <w:fldChar w:fldCharType="end"/>
      </w:r>
      <w:r>
        <w:rPr>
          <w:color w:val="0000FF"/>
        </w:rPr>
        <w:t xml:space="preserve"> </w:t>
      </w:r>
    </w:p>
    <w:p w14:paraId="290BEAB9">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Rahman, A.A.M., Islam, M.T., Moniruzzaman, M., Alsaif, H., Maash, A.A. and Soliman, M.S., 2025. A highly absorptive ultra-wideband nanoscale metamaterial absorber for solar energy harvesting from ultraviolet to Infrared spectrum. Ain Shams Engineering Journal, 16(2), p.103229. </w:t>
      </w:r>
      <w:r>
        <w:rPr>
          <w:color w:val="0000FF"/>
        </w:rPr>
        <w:fldChar w:fldCharType="begin"/>
      </w:r>
      <w:r>
        <w:rPr>
          <w:color w:val="0000FF"/>
        </w:rPr>
        <w:instrText xml:space="preserve"> HYPERLINK "https://www.sciencedirect.com/science/article/pii/S2090447924006105" \h </w:instrText>
      </w:r>
      <w:r>
        <w:rPr>
          <w:color w:val="0000FF"/>
        </w:rPr>
        <w:fldChar w:fldCharType="separate"/>
      </w:r>
      <w:r>
        <w:rPr>
          <w:color w:val="0000FF"/>
          <w:u w:val="single"/>
        </w:rPr>
        <w:t>https://www.sciencedirect.com/science/article/pii/S2090447924006105</w:t>
      </w:r>
      <w:r>
        <w:rPr>
          <w:color w:val="0000FF"/>
          <w:u w:val="single"/>
        </w:rPr>
        <w:fldChar w:fldCharType="end"/>
      </w:r>
    </w:p>
    <w:p w14:paraId="49387C3F">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Ramasamy, V., Zuboy, J., Woodhouse, M., O'Shaughnessy, E., Feldman, D., Desai, J., Walker, A., Margolis, R. and Basore, P., 2023. US solar photovoltaic system and energy storage cost benchmarks, with minimum sustainable price analysis: Q1 2023 (No. NREL/TP--7A40-87303). National Renewable Energy Laboratory (NREL), Golden, CO (United States). </w:t>
      </w:r>
      <w:r>
        <w:rPr>
          <w:color w:val="0000FF"/>
        </w:rPr>
        <w:fldChar w:fldCharType="begin"/>
      </w:r>
      <w:r>
        <w:rPr>
          <w:color w:val="0000FF"/>
        </w:rPr>
        <w:instrText xml:space="preserve"> HYPERLINK "http://large.stanford.edu/courses/2025/ph240/sha1/docs/nrel-tp-7a40-87303.pdf" \h </w:instrText>
      </w:r>
      <w:r>
        <w:rPr>
          <w:color w:val="0000FF"/>
        </w:rPr>
        <w:fldChar w:fldCharType="separate"/>
      </w:r>
      <w:r>
        <w:rPr>
          <w:color w:val="0000FF"/>
          <w:u w:val="single"/>
        </w:rPr>
        <w:t>http://large.stanford.edu/courses/2025/ph240/sha1/docs/nrel-tp-7a40-87303.pdf</w:t>
      </w:r>
      <w:r>
        <w:rPr>
          <w:color w:val="0000FF"/>
          <w:u w:val="single"/>
        </w:rPr>
        <w:fldChar w:fldCharType="end"/>
      </w:r>
    </w:p>
    <w:p w14:paraId="170349D7">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Ratib, M.K., Muttaqi, K.M., Islam, M.R., Sutanto, D. and Agalgaonkar, A.P., 2025. Large-scale production of green hydrogen from solar energy in Australia: Operation and control of a multi-unit PEM electrolyser system. International Journal of Hydrogen Energy, 98, pp.873-886. </w:t>
      </w:r>
      <w:r>
        <w:rPr>
          <w:color w:val="0000FF"/>
        </w:rPr>
        <w:fldChar w:fldCharType="begin"/>
      </w:r>
      <w:r>
        <w:rPr>
          <w:color w:val="0000FF"/>
        </w:rPr>
        <w:instrText xml:space="preserve"> HYPERLINK "https://www.sciencedirect.com/science/article/pii/S0360319924044872" \h </w:instrText>
      </w:r>
      <w:r>
        <w:rPr>
          <w:color w:val="0000FF"/>
        </w:rPr>
        <w:fldChar w:fldCharType="separate"/>
      </w:r>
      <w:r>
        <w:rPr>
          <w:color w:val="0000FF"/>
          <w:u w:val="single"/>
        </w:rPr>
        <w:t>https://www.sciencedirect.com/science/article/pii/S0360319924044872</w:t>
      </w:r>
      <w:r>
        <w:rPr>
          <w:color w:val="0000FF"/>
          <w:u w:val="single"/>
        </w:rPr>
        <w:fldChar w:fldCharType="end"/>
      </w:r>
    </w:p>
    <w:p w14:paraId="7434857C">
      <w:pPr>
        <w:spacing w:before="240"/>
        <w:rPr>
          <w:color w:val="000000" w:themeColor="text1"/>
          <w14:textFill>
            <w14:solidFill>
              <w14:schemeClr w14:val="tx1"/>
            </w14:solidFill>
          </w14:textFill>
        </w:rPr>
      </w:pPr>
      <w:r>
        <w:rPr>
          <w:color w:val="000000" w:themeColor="text1"/>
          <w14:textFill>
            <w14:solidFill>
              <w14:schemeClr w14:val="tx1"/>
            </w14:solidFill>
          </w14:textFill>
        </w:rPr>
        <w:t xml:space="preserve">Rolobessy, A.R.P., Djakfar, L. and Negara, K.P., 2025. ASSESSMENT OF SCHEDULE UNCERTAINTY AND RISK MITIGATION IN ACCELERATED BRIDGE CONSTRUCTION USING PERT. Jurnal Pensil: Pendidikan Teknik Sipil, 14(3), pp.440-455. </w:t>
      </w:r>
      <w:r>
        <w:rPr>
          <w:color w:val="0000FF"/>
        </w:rPr>
        <w:fldChar w:fldCharType="begin"/>
      </w:r>
      <w:r>
        <w:rPr>
          <w:color w:val="0000FF"/>
        </w:rPr>
        <w:instrText xml:space="preserve"> HYPERLINK "https://journal.unj.ac.id/unj/index.php/jpensil/article/download/59011/21247" \h </w:instrText>
      </w:r>
      <w:r>
        <w:rPr>
          <w:color w:val="0000FF"/>
        </w:rPr>
        <w:fldChar w:fldCharType="separate"/>
      </w:r>
      <w:r>
        <w:rPr>
          <w:color w:val="0000FF"/>
          <w:u w:val="single"/>
        </w:rPr>
        <w:t>https://journal.unj.ac.id/unj/index.php/jpensil/article/download/59011/21247</w:t>
      </w:r>
      <w:r>
        <w:rPr>
          <w:color w:val="0000FF"/>
          <w:u w:val="single"/>
        </w:rPr>
        <w:fldChar w:fldCharType="end"/>
      </w:r>
    </w:p>
    <w:p w14:paraId="1DF1D1B9">
      <w:pPr>
        <w:spacing w:before="240"/>
      </w:pPr>
      <w:r>
        <w:rPr>
          <w:color w:val="000000" w:themeColor="text1"/>
          <w14:textFill>
            <w14:solidFill>
              <w14:schemeClr w14:val="tx1"/>
            </w14:solidFill>
          </w14:textFill>
        </w:rPr>
        <w:t xml:space="preserve">Shaikh, A., Hameed Shaikh, P., Kumar, L., Husain Mirjat, N., Ahmed Memon, Z., El Haj Assad, M., Alayi, R. and Eskandarpoor, B., 2022. A SWOT analysis for a roadmap towards sustainable electric power generation. </w:t>
      </w:r>
      <w:r>
        <w:rPr>
          <w:i/>
          <w:iCs/>
          <w:color w:val="000000" w:themeColor="text1"/>
          <w14:textFill>
            <w14:solidFill>
              <w14:schemeClr w14:val="tx1"/>
            </w14:solidFill>
          </w14:textFill>
        </w:rPr>
        <w:t>International Transactions on Electrical Energy Systems</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2022</w:t>
      </w:r>
      <w:r>
        <w:rPr>
          <w:color w:val="000000" w:themeColor="text1"/>
          <w14:textFill>
            <w14:solidFill>
              <w14:schemeClr w14:val="tx1"/>
            </w14:solidFill>
          </w14:textFill>
        </w:rPr>
        <w:t xml:space="preserve">(1), p.1743570. </w:t>
      </w:r>
      <w:r>
        <w:rPr>
          <w:color w:val="0000FF"/>
        </w:rPr>
        <w:fldChar w:fldCharType="begin"/>
      </w:r>
      <w:r>
        <w:rPr>
          <w:color w:val="0000FF"/>
        </w:rPr>
        <w:instrText xml:space="preserve"> HYPERLINK "https://onlinelibrary.wiley.com/doi/pdf/10.1155/2022/1743570" \h </w:instrText>
      </w:r>
      <w:r>
        <w:rPr>
          <w:color w:val="0000FF"/>
        </w:rPr>
        <w:fldChar w:fldCharType="separate"/>
      </w:r>
      <w:r>
        <w:rPr>
          <w:color w:val="0000FF"/>
          <w:u w:val="single"/>
        </w:rPr>
        <w:t>https://onlinelibrary.wiley.com/doi/pdf/10.1155/2022/1743570</w:t>
      </w:r>
      <w:r>
        <w:rPr>
          <w:color w:val="0000FF"/>
          <w:u w:val="single"/>
        </w:rPr>
        <w:fldChar w:fldCharType="end"/>
      </w:r>
    </w:p>
    <w:p w14:paraId="61075A6E">
      <w:pPr>
        <w:spacing w:before="240"/>
        <w:rPr>
          <w:color w:val="000000" w:themeColor="text1"/>
          <w14:textFill>
            <w14:solidFill>
              <w14:schemeClr w14:val="tx1"/>
            </w14:solidFill>
          </w14:textFill>
        </w:rPr>
      </w:pPr>
      <w:r>
        <w:rPr>
          <w:color w:val="000000" w:themeColor="text1"/>
          <w14:textFill>
            <w14:solidFill>
              <w14:schemeClr w14:val="tx1"/>
            </w14:solidFill>
          </w14:textFill>
        </w:rPr>
        <w:t>Swanson, T., Seay-Fleming, C., Gerlak, A.K. and Barron-Gafford, G.A., 2025. “Enough is enough, we like our farms”: the role of landscape ideology in shaping perceptions of solar energy and agrivoltaics in the rural American Southwest. Journal of Rural Studies, 114, p.103572.</w:t>
      </w:r>
      <w:r>
        <w:rPr>
          <w:color w:val="0000FF"/>
        </w:rPr>
        <w:t xml:space="preserve"> </w:t>
      </w:r>
      <w:r>
        <w:rPr>
          <w:color w:val="0000FF"/>
        </w:rPr>
        <w:fldChar w:fldCharType="begin"/>
      </w:r>
      <w:r>
        <w:rPr>
          <w:color w:val="0000FF"/>
        </w:rPr>
        <w:instrText xml:space="preserve"> HYPERLINK "https://www.sciencedirect.com/science/article/am/pii/S0743016725000129" \h </w:instrText>
      </w:r>
      <w:r>
        <w:rPr>
          <w:color w:val="0000FF"/>
        </w:rPr>
        <w:fldChar w:fldCharType="separate"/>
      </w:r>
      <w:r>
        <w:rPr>
          <w:color w:val="0000FF"/>
          <w:u w:val="single"/>
        </w:rPr>
        <w:t>https://www.sciencedirect.com/science/article/am/pii/S0743016725000129</w:t>
      </w:r>
      <w:r>
        <w:rPr>
          <w:color w:val="0000FF"/>
          <w:u w:val="single"/>
        </w:rPr>
        <w:fldChar w:fldCharType="end"/>
      </w:r>
    </w:p>
    <w:p w14:paraId="42799DFE">
      <w:pPr>
        <w:spacing w:before="240"/>
        <w:rPr>
          <w:color w:val="0000FF"/>
        </w:rPr>
      </w:pPr>
      <w:r>
        <w:rPr>
          <w:color w:val="000000" w:themeColor="text1"/>
          <w14:textFill>
            <w14:solidFill>
              <w14:schemeClr w14:val="tx1"/>
            </w14:solidFill>
          </w14:textFill>
        </w:rPr>
        <w:t xml:space="preserve">Zhang, Z., Chen, M., Zhong, T., Zhu, R., Qian, Z., Zhang, F., Yang, Y., Zhang, K., Santi, P., </w:t>
      </w:r>
      <w:r>
        <w:rPr>
          <w:color w:val="0000FF"/>
        </w:rPr>
        <w:fldChar w:fldCharType="begin"/>
      </w:r>
      <w:r>
        <w:rPr>
          <w:color w:val="0000FF"/>
        </w:rPr>
        <w:instrText xml:space="preserve"> HYPERLINK "https://www.nature.com/articles/s41467-023-38079-3.pdf" \h </w:instrText>
      </w:r>
      <w:r>
        <w:rPr>
          <w:color w:val="0000FF"/>
        </w:rPr>
        <w:fldChar w:fldCharType="separate"/>
      </w:r>
      <w:r>
        <w:rPr>
          <w:color w:val="0000FF"/>
          <w:u w:val="single"/>
        </w:rPr>
        <w:t>https://www.nature.com/articles/s41467-023-38079-3.pdf</w:t>
      </w:r>
      <w:r>
        <w:rPr>
          <w:color w:val="0000FF"/>
          <w:u w:val="single"/>
        </w:rPr>
        <w:fldChar w:fldCharType="end"/>
      </w:r>
    </w:p>
    <w:p w14:paraId="6991C770">
      <w:pPr>
        <w:spacing w:before="240"/>
        <w:rPr>
          <w:color w:val="0000FF"/>
        </w:rPr>
      </w:pPr>
      <w:r>
        <w:rPr>
          <w:color w:val="000000" w:themeColor="text1"/>
          <w14:textFill>
            <w14:solidFill>
              <w14:schemeClr w14:val="tx1"/>
            </w14:solidFill>
          </w14:textFill>
        </w:rPr>
        <w:t xml:space="preserve">Wang, K. and Pu, Y., 2023. Carbon mitigation potential afforded by rooftop photovoltaic in China. Nature Communications, 14(1), p.2347. </w:t>
      </w:r>
      <w:bookmarkStart w:id="47" w:name="_ttvo1bwpghqw" w:colFirst="0" w:colLast="0"/>
      <w:bookmarkEnd w:id="47"/>
      <w:bookmarkStart w:id="48" w:name="_h1u71t9m23qm" w:colFirst="0" w:colLast="0"/>
      <w:bookmarkEnd w:id="48"/>
      <w:bookmarkStart w:id="49" w:name="_dnn30lvqrdkj" w:colFirst="0" w:colLast="0"/>
      <w:bookmarkEnd w:id="49"/>
      <w:bookmarkStart w:id="50" w:name="_aol6wshno31w" w:colFirst="0" w:colLast="0"/>
      <w:bookmarkEnd w:id="50"/>
    </w:p>
    <w:p w14:paraId="189CF360"/>
    <w:p w14:paraId="58315BA0">
      <w:pPr>
        <w:jc w:val="center"/>
        <w:rPr>
          <w:b/>
          <w:bCs/>
          <w:sz w:val="32"/>
          <w:szCs w:val="32"/>
        </w:rPr>
      </w:pPr>
    </w:p>
    <w:p w14:paraId="7894FA57">
      <w:pPr>
        <w:jc w:val="center"/>
        <w:rPr>
          <w:b/>
          <w:bCs/>
          <w:sz w:val="32"/>
          <w:szCs w:val="32"/>
        </w:rPr>
      </w:pPr>
    </w:p>
    <w:sectPr>
      <w:footerReference r:id="rId6" w:type="first"/>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9E8B25F5-AD06-4C40-9556-88601EB08283}"/>
  </w:font>
  <w:font w:name="Arial">
    <w:panose1 w:val="020B0604020202020204"/>
    <w:charset w:val="00"/>
    <w:family w:val="swiss"/>
    <w:pitch w:val="default"/>
    <w:sig w:usb0="E0002EFF" w:usb1="C000785B" w:usb2="00000009" w:usb3="00000000" w:csb0="400001FF" w:csb1="FFFF0000"/>
    <w:embedRegular r:id="rId2" w:fontKey="{E56062F0-1A0B-4E9A-9C24-906DF1E191EC}"/>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4B99F1F8-EEBC-4314-9DFD-C56568631954}"/>
  </w:font>
  <w:font w:name="Wingdings">
    <w:panose1 w:val="05000000000000000000"/>
    <w:charset w:val="02"/>
    <w:family w:val="auto"/>
    <w:pitch w:val="default"/>
    <w:sig w:usb0="00000000" w:usb1="00000000" w:usb2="00000000" w:usb3="00000000" w:csb0="80000000" w:csb1="00000000"/>
    <w:embedRegular r:id="rId4" w:fontKey="{FEFC961E-8193-49D2-9928-7B8B04C15274}"/>
  </w:font>
  <w:font w:name="Calibri">
    <w:panose1 w:val="020F0502020204030204"/>
    <w:charset w:val="00"/>
    <w:family w:val="swiss"/>
    <w:pitch w:val="default"/>
    <w:sig w:usb0="E4002EFF" w:usb1="C200247B" w:usb2="00000009" w:usb3="00000000" w:csb0="200001FF" w:csb1="00000000"/>
    <w:embedRegular r:id="rId5" w:fontKey="{0DD565B9-45BA-4B6F-9316-4534A2F3A100}"/>
  </w:font>
  <w:font w:name="等线">
    <w:altName w:val="Arial Unicode MS"/>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07F740C6-D1D2-4664-AA35-3D54DCF626F8}"/>
  </w:font>
  <w:font w:name="Cardo">
    <w:altName w:val="Segoe Print"/>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embedRegular r:id="rId7" w:fontKey="{2B9C7AE0-26FB-4BB4-8CE8-07F5F34EF2CD}"/>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719B776">
    <w:pPr>
      <w:jc w:val="right"/>
      <w:rPr>
        <w:sz w:val="20"/>
        <w:szCs w:val="20"/>
      </w:rPr>
    </w:pPr>
    <w:r>
      <w:rPr>
        <w:sz w:val="20"/>
        <w:szCs w:val="20"/>
      </w:rPr>
      <w:fldChar w:fldCharType="begin"/>
    </w:r>
    <w:r>
      <w:rPr>
        <w:sz w:val="20"/>
        <w:szCs w:val="20"/>
      </w:rPr>
      <w:instrText xml:space="preserve">PAGE</w:instrText>
    </w:r>
    <w:r>
      <w:rPr>
        <w:sz w:val="20"/>
        <w:szCs w:val="20"/>
      </w:rPr>
      <w:fldChar w:fldCharType="separate"/>
    </w:r>
    <w:r>
      <w:rPr>
        <w:sz w:val="20"/>
        <w:szCs w:val="20"/>
      </w:rPr>
      <w:t>2</w:t>
    </w:r>
    <w:r>
      <w:rPr>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5F485D7">
    <w:pP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DD7279"/>
    <w:multiLevelType w:val="multilevel"/>
    <w:tmpl w:val="0ADD7279"/>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1CE06D0D"/>
    <w:multiLevelType w:val="multilevel"/>
    <w:tmpl w:val="1CE06D0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50797E96"/>
    <w:multiLevelType w:val="multilevel"/>
    <w:tmpl w:val="50797E96"/>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5E373B79"/>
    <w:multiLevelType w:val="multilevel"/>
    <w:tmpl w:val="5E373B79"/>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3E91"/>
    <w:rsid w:val="00124AE1"/>
    <w:rsid w:val="00225391"/>
    <w:rsid w:val="003A3E91"/>
    <w:rsid w:val="003C4961"/>
    <w:rsid w:val="003E085B"/>
    <w:rsid w:val="00425B8A"/>
    <w:rsid w:val="0052610D"/>
    <w:rsid w:val="0054043F"/>
    <w:rsid w:val="005815C8"/>
    <w:rsid w:val="00604F5E"/>
    <w:rsid w:val="0094737C"/>
    <w:rsid w:val="00BE6709"/>
    <w:rsid w:val="00C33831"/>
    <w:rsid w:val="00CC5A09"/>
    <w:rsid w:val="00D37EC3"/>
    <w:rsid w:val="00D9024D"/>
    <w:rsid w:val="00DC13B3"/>
    <w:rsid w:val="00F66B2F"/>
    <w:rsid w:val="00F821F3"/>
    <w:rsid w:val="171352C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sz w:val="26"/>
      <w:szCs w:val="26"/>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Hyperlink"/>
    <w:basedOn w:val="8"/>
    <w:unhideWhenUsed/>
    <w:qFormat/>
    <w:uiPriority w:val="99"/>
    <w:rPr>
      <w:color w:val="0000FF" w:themeColor="hyperlink"/>
      <w:u w:val="single"/>
      <w14:textFill>
        <w14:solidFill>
          <w14:schemeClr w14:val="hlink"/>
        </w14:solidFill>
      </w14:textFill>
    </w:rPr>
  </w:style>
  <w:style w:type="paragraph" w:styleId="11">
    <w:name w:val="Subtitle"/>
    <w:basedOn w:val="1"/>
    <w:next w:val="1"/>
    <w:qFormat/>
    <w:uiPriority w:val="11"/>
    <w:pPr>
      <w:keepNext/>
      <w:keepLines/>
      <w:spacing w:after="320"/>
    </w:pPr>
    <w:rPr>
      <w:rFonts w:ascii="Arial" w:hAnsi="Arial" w:eastAsia="Arial" w:cs="Arial"/>
      <w:color w:val="666666"/>
      <w:sz w:val="30"/>
      <w:szCs w:val="30"/>
    </w:rPr>
  </w:style>
  <w:style w:type="paragraph" w:styleId="12">
    <w:name w:val="Title"/>
    <w:basedOn w:val="1"/>
    <w:next w:val="1"/>
    <w:qFormat/>
    <w:uiPriority w:val="10"/>
    <w:pPr>
      <w:keepNext/>
      <w:keepLines/>
      <w:spacing w:after="60"/>
    </w:pPr>
    <w:rPr>
      <w:sz w:val="52"/>
      <w:szCs w:val="52"/>
    </w:rPr>
  </w:style>
  <w:style w:type="paragraph" w:styleId="13">
    <w:name w:val="toc 1"/>
    <w:basedOn w:val="1"/>
    <w:next w:val="1"/>
    <w:autoRedefine/>
    <w:unhideWhenUsed/>
    <w:qFormat/>
    <w:uiPriority w:val="39"/>
    <w:pPr>
      <w:spacing w:after="100"/>
    </w:pPr>
  </w:style>
  <w:style w:type="paragraph" w:styleId="14">
    <w:name w:val="toc 2"/>
    <w:basedOn w:val="1"/>
    <w:next w:val="1"/>
    <w:autoRedefine/>
    <w:unhideWhenUsed/>
    <w:qFormat/>
    <w:uiPriority w:val="39"/>
    <w:pPr>
      <w:spacing w:after="100"/>
      <w:ind w:left="240"/>
    </w:pPr>
  </w:style>
  <w:style w:type="table" w:customStyle="1" w:styleId="15">
    <w:name w:val="TableNormal"/>
    <w:qFormat/>
    <w:uiPriority w:val="0"/>
    <w:tblPr>
      <w:tblCellMar>
        <w:top w:w="100" w:type="dxa"/>
        <w:left w:w="100" w:type="dxa"/>
        <w:bottom w:w="100" w:type="dxa"/>
        <w:right w:w="100" w:type="dxa"/>
      </w:tblCellMar>
    </w:tblPr>
  </w:style>
  <w:style w:type="table" w:customStyle="1" w:styleId="16">
    <w:name w:val="_Style 12"/>
    <w:basedOn w:val="15"/>
    <w:qFormat/>
    <w:uiPriority w:val="0"/>
  </w:style>
  <w:style w:type="table" w:customStyle="1" w:styleId="17">
    <w:name w:val="_Style 13"/>
    <w:basedOn w:val="15"/>
    <w:qFormat/>
    <w:uiPriority w:val="0"/>
  </w:style>
  <w:style w:type="table" w:customStyle="1" w:styleId="18">
    <w:name w:val="_Style 14"/>
    <w:basedOn w:val="15"/>
    <w:qFormat/>
    <w:uiPriority w:val="0"/>
  </w:style>
  <w:style w:type="table" w:customStyle="1" w:styleId="19">
    <w:name w:val="_Style 15"/>
    <w:basedOn w:val="15"/>
    <w:qFormat/>
    <w:uiPriority w:val="0"/>
  </w:style>
  <w:style w:type="table" w:customStyle="1" w:styleId="20">
    <w:name w:val="_Style 16"/>
    <w:basedOn w:val="15"/>
    <w:qFormat/>
    <w:uiPriority w:val="0"/>
  </w:style>
  <w:style w:type="table" w:customStyle="1" w:styleId="21">
    <w:name w:val="_Style 17"/>
    <w:basedOn w:val="15"/>
    <w:qFormat/>
    <w:uiPriority w:val="0"/>
  </w:style>
  <w:style w:type="table" w:customStyle="1" w:styleId="22">
    <w:name w:val="_Style 18"/>
    <w:basedOn w:val="15"/>
    <w:qFormat/>
    <w:uiPriority w:val="0"/>
  </w:style>
  <w:style w:type="table" w:customStyle="1" w:styleId="23">
    <w:name w:val="_Style 19"/>
    <w:basedOn w:val="15"/>
    <w:qFormat/>
    <w:uiPriority w:val="0"/>
  </w:style>
  <w:style w:type="table" w:customStyle="1" w:styleId="24">
    <w:name w:val="_Style 20"/>
    <w:basedOn w:val="15"/>
    <w:qFormat/>
    <w:uiPriority w:val="0"/>
  </w:style>
  <w:style w:type="table" w:customStyle="1" w:styleId="25">
    <w:name w:val="_Style 21"/>
    <w:basedOn w:val="15"/>
    <w:qFormat/>
    <w:uiPriority w:val="0"/>
  </w:style>
  <w:style w:type="table" w:customStyle="1" w:styleId="26">
    <w:name w:val="_Style 22"/>
    <w:basedOn w:val="15"/>
    <w:qFormat/>
    <w:uiPriority w:val="0"/>
  </w:style>
  <w:style w:type="table" w:customStyle="1" w:styleId="27">
    <w:name w:val="_Style 23"/>
    <w:basedOn w:val="15"/>
    <w:qFormat/>
    <w:uiPriority w:val="0"/>
  </w:style>
  <w:style w:type="table" w:customStyle="1" w:styleId="28">
    <w:name w:val="_Style 24"/>
    <w:basedOn w:val="15"/>
    <w:qFormat/>
    <w:uiPriority w:val="0"/>
  </w:style>
  <w:style w:type="table" w:customStyle="1" w:styleId="29">
    <w:name w:val="_Style 25"/>
    <w:basedOn w:val="15"/>
    <w:qFormat/>
    <w:uiPriority w:val="0"/>
  </w:style>
  <w:style w:type="paragraph" w:customStyle="1" w:styleId="30">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bCs w:val="0"/>
      <w:color w:val="376092" w:themeColor="accent1" w:themeShade="BF"/>
      <w:sz w:val="32"/>
      <w:szCs w:val="32"/>
      <w:lang w:val="en-US" w:eastAsia="en-US"/>
    </w:rPr>
  </w:style>
  <w:style w:type="paragraph" w:customStyle="1" w:styleId="31">
    <w:name w:val="Revision"/>
    <w:hidden/>
    <w:semiHidden/>
    <w:qFormat/>
    <w:uiPriority w:val="99"/>
    <w:pPr>
      <w:spacing w:line="240" w:lineRule="auto"/>
      <w:jc w:val="left"/>
    </w:pPr>
    <w:rPr>
      <w:rFonts w:ascii="Times New Roman" w:hAnsi="Times New Roman" w:eastAsia="Times New Roman" w:cs="Times New Roman"/>
      <w:sz w:val="24"/>
      <w:szCs w:val="24"/>
      <w:lang w:val="en-GB" w:eastAsia="en-I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image" Target="media/image11.png"/><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5B80FA-A3BC-45CB-8EBD-483280C343FC}">
  <ds:schemaRefs/>
</ds:datastoreItem>
</file>

<file path=docProps/app.xml><?xml version="1.0" encoding="utf-8"?>
<Properties xmlns="http://schemas.openxmlformats.org/officeDocument/2006/extended-properties" xmlns:vt="http://schemas.openxmlformats.org/officeDocument/2006/docPropsVTypes">
  <Template>Normal.dotm</Template>
  <Pages>26</Pages>
  <Words>4328</Words>
  <Characters>26698</Characters>
  <Lines>253</Lines>
  <Paragraphs>71</Paragraphs>
  <TotalTime>6</TotalTime>
  <ScaleCrop>false</ScaleCrop>
  <LinksUpToDate>false</LinksUpToDate>
  <CharactersWithSpaces>30437</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2026-08-11T18:31:00Z</dcterms:created>
  <dcterms:modified xsi:type="dcterms:W3CDTF">2026-08-16T10:05:27Z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eyJoZGlkIjoiNjQ0OGQzYTY3NWZjMzBmY2Y5NmQzNWM2ZjMyZWExNmEiLCJ1c2VySWQiOiI1Njc2NDE0NjA1NjUifQ==</vt:lpwstr>
  </property>
  <property fmtid="{D5CDD505-2E9C-101B-9397-08002B2CF9AE}" pid="3" name="KSOProductBuildVer">
    <vt:lpwstr>1033-12.1.0.28032</vt:lpwstr>
  </property>
  <property fmtid="{D5CDD505-2E9C-101B-9397-08002B2CF9AE}" pid="4" name="ICV">
    <vt:lpwstr>04C50C879F2143799938CB198A5B6012_13</vt:lpwstr>
  </property>
</Properties>
</file>