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sz w:val="54"/>
          <w:szCs w:val="54"/>
        </w:rPr>
      </w:pPr>
      <w:r>
        <w:rPr>
          <w:b w:val="1"/>
          <w:bCs w:val="1"/>
          <w:sz w:val="54"/>
          <w:szCs w:val="54"/>
          <w:rtl w:val="0"/>
          <w:lang w:val="en-US"/>
        </w:rPr>
        <w:t>Criminal Law</w:t>
      </w:r>
    </w:p>
    <w:p>
      <w:pPr>
        <w:pStyle w:val="Body"/>
        <w:spacing w:after="160" w:line="259" w:lineRule="auto"/>
        <w:jc w:val="left"/>
      </w:pPr>
      <w:r>
        <w:rPr>
          <w:rFonts w:ascii="Arial Unicode MS" w:cs="Arial Unicode MS" w:hAnsi="Arial Unicode MS" w:eastAsia="Arial Unicode MS"/>
          <w:b w:val="0"/>
          <w:bCs w:val="0"/>
          <w:i w:val="0"/>
          <w:iCs w:val="0"/>
        </w:rPr>
        <w:br w:type="page"/>
      </w:r>
    </w:p>
    <w:p>
      <w:pPr>
        <w:pStyle w:val="TOC Heading"/>
        <w:jc w:val="center"/>
        <w:rPr>
          <w:rFonts w:ascii="Times New Roman" w:cs="Times New Roman" w:hAnsi="Times New Roman" w:eastAsia="Times New Roman"/>
          <w:b w:val="1"/>
          <w:bCs w:val="1"/>
        </w:rPr>
      </w:pPr>
      <w:r>
        <w:rPr>
          <w:rFonts w:ascii="Times New Roman" w:hAnsi="Times New Roman"/>
          <w:b w:val="1"/>
          <w:bCs w:val="1"/>
          <w:rtl w:val="0"/>
          <w:lang w:val="en-US"/>
        </w:rPr>
        <w:t>Table of Contents</w:t>
      </w:r>
    </w:p>
    <w:p>
      <w:pPr>
        <w:pStyle w:val="Body"/>
      </w:pPr>
      <w:r>
        <w:rPr>
          <w:b w:val="1"/>
          <w:bCs w:val="1"/>
        </w:rPr>
        <w:fldChar w:fldCharType="begin" w:fldLock="0"/>
      </w:r>
      <w:r>
        <w:rPr>
          <w:b w:val="1"/>
          <w:bCs w:val="1"/>
        </w:rPr>
        <w:instrText xml:space="preserve"> TOC \o 1-1 </w:instrText>
      </w:r>
      <w:r>
        <w:rPr>
          <w:b w:val="1"/>
          <w:bCs w:val="1"/>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2</w:t>
      </w:r>
      <w:r>
        <w:rPr/>
        <w:fldChar w:fldCharType="end" w:fldLock="0"/>
      </w:r>
    </w:p>
    <w:p>
      <w:pPr>
        <w:pStyle w:val="TOC 1"/>
      </w:pPr>
      <w:r>
        <w:rPr>
          <w:rFonts w:cs="Arial Unicode MS" w:eastAsia="Arial Unicode MS"/>
          <w:rtl w:val="0"/>
        </w:rPr>
        <w:t>Question 1 answer</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Question 2 answer</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Conclusion</w:t>
        <w:tab/>
      </w:r>
      <w:r>
        <w:rPr/>
        <w:fldChar w:fldCharType="begin" w:fldLock="0"/>
      </w:r>
      <w:r>
        <w:instrText xml:space="preserve"> PAGEREF _Toc3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Reference list</w:t>
        <w:tab/>
      </w:r>
      <w:r>
        <w:rPr/>
        <w:fldChar w:fldCharType="begin" w:fldLock="0"/>
      </w:r>
      <w:r>
        <w:instrText xml:space="preserve"> PAGEREF _Toc4 \h </w:instrText>
      </w:r>
      <w:r>
        <w:rPr/>
        <w:fldChar w:fldCharType="separate" w:fldLock="0"/>
      </w:r>
      <w:r>
        <w:rPr>
          <w:rFonts w:cs="Arial Unicode MS" w:eastAsia="Arial Unicode MS"/>
          <w:rtl w:val="0"/>
        </w:rPr>
        <w:t>9</w:t>
      </w:r>
      <w:r>
        <w:rPr/>
        <w:fldChar w:fldCharType="end" w:fldLock="0"/>
      </w:r>
    </w:p>
    <w:p>
      <w:pPr>
        <w:pStyle w:val="Body"/>
        <w:rPr>
          <w:rFonts w:ascii="Calibri" w:cs="Calibri" w:hAnsi="Calibri" w:eastAsia="Calibri"/>
          <w:sz w:val="22"/>
          <w:szCs w:val="22"/>
        </w:rPr>
      </w:pPr>
      <w:r>
        <w:rPr>
          <w:b w:val="1"/>
          <w:bCs w:val="1"/>
        </w:rPr>
        <w:fldChar w:fldCharType="end" w:fldLock="0"/>
      </w:r>
    </w:p>
    <w:p>
      <w:pPr>
        <w:pStyle w:val="Body"/>
      </w:pPr>
    </w:p>
    <w:p>
      <w:pPr>
        <w:pStyle w:val="Body"/>
        <w:spacing w:after="160" w:line="259" w:lineRule="auto"/>
        <w:jc w:val="left"/>
      </w:pPr>
      <w:r>
        <w:rPr>
          <w:rFonts w:ascii="Arial Unicode MS" w:cs="Arial Unicode MS" w:hAnsi="Arial Unicode MS" w:eastAsia="Arial Unicode MS"/>
          <w:b w:val="0"/>
          <w:bCs w:val="0"/>
          <w:i w:val="0"/>
          <w:iCs w:val="0"/>
        </w:rPr>
        <w:br w:type="page"/>
      </w:r>
    </w:p>
    <w:p>
      <w:pPr>
        <w:pStyle w:val="Heading"/>
      </w:pPr>
      <w:bookmarkStart w:name="_Toc" w:id="0"/>
      <w:r>
        <w:rPr>
          <w:rFonts w:cs="Arial Unicode MS" w:eastAsia="Arial Unicode MS"/>
          <w:rtl w:val="0"/>
          <w:lang w:val="fr-FR"/>
        </w:rPr>
        <w:t xml:space="preserve">Introduction </w:t>
      </w:r>
      <w:bookmarkEnd w:id="0"/>
    </w:p>
    <w:p>
      <w:pPr>
        <w:pStyle w:val="Body"/>
      </w:pPr>
      <w:r>
        <w:rPr>
          <w:rtl w:val="0"/>
          <w:lang w:val="en-US"/>
        </w:rPr>
        <w:t xml:space="preserve">There are two questions that will be answered in this report. The first question is about the plea of insanity and the factors related to the situation where the accused person is an insane person. There is a certain problem with the law of insanity is present. The burden of proof and the problem of criminals getting away with their crime is the main issue. For the second question, there is a case study given, and the case study will be evaluated. Within the evaluation, the actus reus and mens rea will be discussed to determine the concluded liability of the parties of the case. </w:t>
      </w:r>
    </w:p>
    <w:p>
      <w:pPr>
        <w:pStyle w:val="Body"/>
        <w:spacing w:after="160" w:line="259" w:lineRule="auto"/>
        <w:jc w:val="left"/>
      </w:pPr>
      <w:r>
        <w:rPr>
          <w:rFonts w:ascii="Arial Unicode MS" w:cs="Arial Unicode MS" w:hAnsi="Arial Unicode MS" w:eastAsia="Arial Unicode MS"/>
          <w:b w:val="0"/>
          <w:bCs w:val="0"/>
          <w:i w:val="0"/>
          <w:iCs w:val="0"/>
        </w:rPr>
        <w:br w:type="page"/>
      </w:r>
    </w:p>
    <w:p>
      <w:pPr>
        <w:pStyle w:val="Heading"/>
      </w:pPr>
      <w:bookmarkStart w:name="_Toc1" w:id="1"/>
      <w:r>
        <w:rPr>
          <w:rFonts w:cs="Arial Unicode MS" w:eastAsia="Arial Unicode MS"/>
          <w:rtl w:val="0"/>
          <w:lang w:val="en-US"/>
        </w:rPr>
        <w:t>Question 1 answer</w:t>
      </w:r>
      <w:bookmarkEnd w:id="1"/>
    </w:p>
    <w:p>
      <w:pPr>
        <w:pStyle w:val="Body"/>
        <w:rPr>
          <w:b w:val="1"/>
          <w:bCs w:val="1"/>
        </w:rPr>
      </w:pPr>
      <w:r>
        <w:rPr>
          <w:b w:val="1"/>
          <w:bCs w:val="1"/>
          <w:rtl w:val="0"/>
          <w:lang w:val="en-US"/>
        </w:rPr>
        <w:t xml:space="preserve">The factors related to being proven as a successful plea of insanity </w:t>
      </w:r>
    </w:p>
    <w:p>
      <w:pPr>
        <w:pStyle w:val="Body"/>
      </w:pPr>
      <w:r>
        <w:rPr>
          <w:rtl w:val="0"/>
          <w:lang w:val="en-US"/>
        </w:rPr>
        <w:t xml:space="preserve">The plea of insanity or the insanity defence refers to the defence of the criminal activity done by a person who was not in the right mind. It has been given in the criminal law that if a criminal activity is being done by an insane person, then the punishment of criminal law will not be imposed on that person. So, in criminal cases, if the acquis is mentally ill, then in defence of the criminal activity, the plea of insanity is being used. There are three factors present that will lead the case into the plea of insanity. In the following, those three factors are being identified. </w:t>
      </w:r>
    </w:p>
    <w:p>
      <w:pPr>
        <w:pStyle w:val="Body"/>
      </w:pPr>
      <w:r>
        <w:rPr>
          <w:rtl w:val="0"/>
          <w:lang w:val="en-US"/>
        </w:rPr>
        <w:t>According to the case of R v Johnson, the first factor in the plea of insanity is the person not knowing about what are they doing</w:t>
      </w:r>
      <w:r>
        <w:rPr>
          <w:rFonts w:ascii="Open Sans" w:cs="Open Sans" w:hAnsi="Open Sans" w:eastAsia="Open Sans"/>
          <w:outline w:val="0"/>
          <w:color w:val="000000"/>
          <w:sz w:val="20"/>
          <w:szCs w:val="20"/>
          <w:u w:color="000000"/>
          <w:shd w:val="clear" w:color="auto" w:fill="ffffff"/>
          <w:rtl w:val="0"/>
          <w14:textFill>
            <w14:solidFill>
              <w14:srgbClr w14:val="000000"/>
            </w14:solidFill>
          </w14:textFill>
        </w:rPr>
        <w:t xml:space="preserve"> </w:t>
      </w:r>
      <w:r>
        <w:rPr>
          <w:rtl w:val="0"/>
          <w:lang w:val="en-US"/>
        </w:rPr>
        <w:t xml:space="preserve">(Johnson, R. v [2007] EWCA Crim 1978 (09 July 2007), 2021). If a person is not being to identify what they are doing, then it will be used for the plea of insanity. </w:t>
      </w:r>
    </w:p>
    <w:p>
      <w:pPr>
        <w:pStyle w:val="Body"/>
      </w:pPr>
      <w:r>
        <w:rPr>
          <w:rtl w:val="0"/>
          <w:lang w:val="en-US"/>
        </w:rPr>
        <w:t>According to the case of R v, Windle the second factor for applying the plea of insanity is that the accused is not being able to identify the difference between right or wrong if the person is not able to identify the difference between right or wrong, then it will be considered for a plea of insanity</w:t>
      </w:r>
      <w:r>
        <w:rPr>
          <w:rFonts w:ascii="Open Sans" w:cs="Open Sans" w:hAnsi="Open Sans" w:eastAsia="Open Sans"/>
          <w:outline w:val="0"/>
          <w:color w:val="000000"/>
          <w:sz w:val="20"/>
          <w:szCs w:val="20"/>
          <w:u w:color="000000"/>
          <w:shd w:val="clear" w:color="auto" w:fill="ffffff"/>
          <w:rtl w:val="0"/>
          <w14:textFill>
            <w14:solidFill>
              <w14:srgbClr w14:val="000000"/>
            </w14:solidFill>
          </w14:textFill>
        </w:rPr>
        <w:t xml:space="preserve"> </w:t>
      </w:r>
      <w:r>
        <w:rPr>
          <w:rtl w:val="0"/>
          <w:lang w:val="en-US"/>
        </w:rPr>
        <w:t xml:space="preserve">(R v Windle, 2021). </w:t>
      </w:r>
    </w:p>
    <w:p>
      <w:pPr>
        <w:pStyle w:val="Body"/>
      </w:pPr>
      <w:r>
        <w:rPr>
          <w:rtl w:val="0"/>
          <w:lang w:val="en-US"/>
        </w:rPr>
        <w:t>The final factor for applying the plea of insanity has been identified in the case of R v Hennessy which is if the accused person is being acted based on uncontrollable pulses</w:t>
      </w:r>
      <w:r>
        <w:rPr>
          <w:rFonts w:ascii="Open Sans" w:cs="Open Sans" w:hAnsi="Open Sans" w:eastAsia="Open Sans"/>
          <w:outline w:val="0"/>
          <w:color w:val="000000"/>
          <w:sz w:val="20"/>
          <w:szCs w:val="20"/>
          <w:u w:color="000000"/>
          <w:shd w:val="clear" w:color="auto" w:fill="ffffff"/>
          <w:rtl w:val="0"/>
          <w14:textFill>
            <w14:solidFill>
              <w14:srgbClr w14:val="000000"/>
            </w14:solidFill>
          </w14:textFill>
        </w:rPr>
        <w:t xml:space="preserve"> </w:t>
      </w:r>
      <w:r>
        <w:rPr>
          <w:rtl w:val="0"/>
          <w:lang w:val="en-US"/>
        </w:rPr>
        <w:t xml:space="preserve">(R v Hennessy [1989] 1 W L R 287, 2021). If the accused have committed a crime where there is no control over the impulse of then the accused person can use the plea of insanity. </w:t>
      </w:r>
    </w:p>
    <w:p>
      <w:pPr>
        <w:pStyle w:val="Body"/>
      </w:pPr>
      <w:r>
        <w:rPr>
          <w:rtl w:val="0"/>
          <w:lang w:val="en-US"/>
        </w:rPr>
        <w:t xml:space="preserve">Those were the three factors that are required for applying the plea of insanity in the court of law. Without relating to any of these factors, the plea of insanity cannot be applied. </w:t>
      </w:r>
    </w:p>
    <w:p>
      <w:pPr>
        <w:pStyle w:val="Body"/>
        <w:rPr>
          <w:b w:val="1"/>
          <w:bCs w:val="1"/>
        </w:rPr>
      </w:pPr>
      <w:r>
        <w:rPr>
          <w:b w:val="1"/>
          <w:bCs w:val="1"/>
          <w:rtl w:val="0"/>
          <w:lang w:val="en-US"/>
        </w:rPr>
        <w:t xml:space="preserve">The role of medical evidence plays in defence  </w:t>
      </w:r>
    </w:p>
    <w:p>
      <w:pPr>
        <w:pStyle w:val="Body"/>
      </w:pPr>
      <w:r>
        <w:rPr>
          <w:rtl w:val="0"/>
          <w:lang w:val="en-US"/>
        </w:rPr>
        <w:t xml:space="preserve">The most important role in the insanity defence of the criminal is being played by the medical evidence. The evidence of three factors related to the plea of insanity in a case must have to collect from the medical. In the following, the role of medical evidence is being discussed based on the three factors crucial for a successful plea of insanity. </w:t>
      </w:r>
    </w:p>
    <w:p>
      <w:pPr>
        <w:pStyle w:val="Body"/>
      </w:pPr>
      <w:r>
        <w:rPr>
          <w:rtl w:val="0"/>
          <w:lang w:val="en-US"/>
        </w:rPr>
        <w:t xml:space="preserve">The medical evidence must have to be represented to make sure that the accused person had no control over his impulses. If there is no medical evidence be found, then the plea of insanity cannot be applied. </w:t>
      </w:r>
    </w:p>
    <w:p>
      <w:pPr>
        <w:pStyle w:val="Body"/>
      </w:pPr>
      <w:r>
        <w:rPr>
          <w:rtl w:val="0"/>
          <w:lang w:val="en-US"/>
        </w:rPr>
        <w:t>The medical evidence needs to be represented showing that the accused person cannot differentiate between right or wrong, or the medical evidence can show the past medical history of the person to prove that the person is insane.</w:t>
      </w:r>
    </w:p>
    <w:p>
      <w:pPr>
        <w:pStyle w:val="Body"/>
      </w:pPr>
      <w:r>
        <w:rPr>
          <w:rtl w:val="0"/>
          <w:lang w:val="en-US"/>
        </w:rPr>
        <w:t xml:space="preserve">Finally, medical documents and reports need to be presented showing that the accused person has no control or not aware of the criminal activity that they have performed. </w:t>
      </w:r>
    </w:p>
    <w:p>
      <w:pPr>
        <w:pStyle w:val="Body"/>
      </w:pPr>
      <w:r>
        <w:rPr>
          <w:rtl w:val="0"/>
          <w:lang w:val="en-US"/>
        </w:rPr>
        <w:t>Medical evidence is the main proof of applying the proof of the insanity of the accused (Jurkevi</w:t>
      </w:r>
      <w:r>
        <w:rPr>
          <w:rtl w:val="0"/>
        </w:rPr>
        <w:t>č</w:t>
      </w:r>
      <w:r>
        <w:rPr>
          <w:rtl w:val="0"/>
          <w:lang w:val="en-US"/>
        </w:rPr>
        <w:t xml:space="preserve">a and </w:t>
      </w:r>
      <w:r>
        <w:rPr>
          <w:rtl w:val="0"/>
        </w:rPr>
        <w:t>Š</w:t>
      </w:r>
      <w:r>
        <w:rPr>
          <w:rtl w:val="0"/>
          <w:lang w:val="en-US"/>
        </w:rPr>
        <w:t xml:space="preserve">mits, 2017). In a criminal case, if the accused party is not being able to show the medical evidence about their mentality, then the plea of insanity cannot be applied in the court of law. </w:t>
      </w:r>
    </w:p>
    <w:p>
      <w:pPr>
        <w:pStyle w:val="Body"/>
        <w:rPr>
          <w:b w:val="1"/>
          <w:bCs w:val="1"/>
        </w:rPr>
      </w:pPr>
      <w:r>
        <w:rPr>
          <w:b w:val="1"/>
          <w:bCs w:val="1"/>
          <w:rtl w:val="0"/>
          <w:lang w:val="en-US"/>
        </w:rPr>
        <w:t>Distinguishing insanity from automatism</w:t>
      </w:r>
    </w:p>
    <w:p>
      <w:pPr>
        <w:pStyle w:val="Body"/>
      </w:pPr>
      <w:r>
        <w:rPr>
          <w:rtl w:val="0"/>
          <w:lang w:val="en-US"/>
        </w:rPr>
        <w:t xml:space="preserve">There are two types of automatism present in criminal law. Those two are known as insane automatism or insanity and non-insane automatism. In the following, both of them are being differentiated. </w:t>
      </w:r>
    </w:p>
    <w:p>
      <w:pPr>
        <w:pStyle w:val="Body"/>
      </w:pPr>
      <w:r>
        <w:rPr>
          <w:rtl w:val="0"/>
          <w:lang w:val="en-US"/>
        </w:rPr>
        <w:t xml:space="preserve">The insane automatism states that in order to establish the insanity of the accused person, the evidence must have to be provided, which will prove that at the time of the criminal activity, the accused was not in the right mental condition. That he or she did not know the nature of their crime at the time of the offence. </w:t>
      </w:r>
    </w:p>
    <w:p>
      <w:pPr>
        <w:pStyle w:val="Body"/>
      </w:pPr>
      <w:r>
        <w:rPr>
          <w:rtl w:val="0"/>
          <w:lang w:val="en-US"/>
        </w:rPr>
        <w:t xml:space="preserve">On the other hand, the non-insane automatism states that it can be applied when the Actus reus is being done not voluntary by the accused (Nath, 2020). The accused has performed the criminal activity because of an external factor that can be indented and presented the proof in the court of law. </w:t>
      </w:r>
    </w:p>
    <w:p>
      <w:pPr>
        <w:pStyle w:val="Body"/>
      </w:pPr>
      <w:r>
        <w:rPr>
          <w:rtl w:val="0"/>
          <w:lang w:val="en-US"/>
        </w:rPr>
        <w:t xml:space="preserve">So, the main difference between insanity and automatism is that insanity is caused by an internal factor that the accused has not to control or not even aware and the automatism will accuse based on an external factor. </w:t>
      </w:r>
    </w:p>
    <w:p>
      <w:pPr>
        <w:pStyle w:val="Body"/>
        <w:rPr>
          <w:b w:val="1"/>
          <w:bCs w:val="1"/>
        </w:rPr>
      </w:pPr>
      <w:r>
        <w:rPr>
          <w:b w:val="1"/>
          <w:bCs w:val="1"/>
          <w:rtl w:val="0"/>
          <w:lang w:val="en-US"/>
        </w:rPr>
        <w:t>Identifying the current problems with the law of insanity</w:t>
      </w:r>
    </w:p>
    <w:p>
      <w:pPr>
        <w:pStyle w:val="Body"/>
      </w:pPr>
      <w:r>
        <w:rPr>
          <w:rtl w:val="0"/>
          <w:lang w:val="en-US"/>
        </w:rPr>
        <w:t xml:space="preserve">There is a certain problem with the law of insanity is present. The burden of proof and the problem of criminals getting away with their crime is the main issue. In the following, the problems of the law of insanity are being described. </w:t>
      </w:r>
    </w:p>
    <w:p>
      <w:pPr>
        <w:pStyle w:val="Body"/>
      </w:pPr>
      <w:r>
        <w:rPr>
          <w:rtl w:val="0"/>
          <w:lang w:val="en-US"/>
        </w:rPr>
        <w:t xml:space="preserve">First of all, the burden of proof will lie on the person who is unable to represent any proof during the criminal case. So, if a criminal with the </w:t>
      </w:r>
      <w:r>
        <w:rPr>
          <w:rtl w:val="0"/>
        </w:rPr>
        <w:t>‘</w:t>
      </w:r>
      <w:r>
        <w:rPr>
          <w:rtl w:val="0"/>
          <w:lang w:val="en-US"/>
        </w:rPr>
        <w:t>disease of the mind</w:t>
      </w:r>
      <w:r>
        <w:rPr>
          <w:rtl w:val="0"/>
        </w:rPr>
        <w:t xml:space="preserve">’ </w:t>
      </w:r>
      <w:r>
        <w:rPr>
          <w:rtl w:val="0"/>
          <w:lang w:val="en-US"/>
        </w:rPr>
        <w:t>is unable to represent any proof for him, then the burden of proof will be imposed on him (Jurkevi</w:t>
      </w:r>
      <w:r>
        <w:rPr>
          <w:rtl w:val="0"/>
        </w:rPr>
        <w:t>č</w:t>
      </w:r>
      <w:r>
        <w:rPr>
          <w:rtl w:val="0"/>
          <w:lang w:val="en-US"/>
        </w:rPr>
        <w:t xml:space="preserve">a and </w:t>
      </w:r>
      <w:r>
        <w:rPr>
          <w:rtl w:val="0"/>
        </w:rPr>
        <w:t>Š</w:t>
      </w:r>
      <w:r>
        <w:rPr>
          <w:rtl w:val="0"/>
          <w:lang w:val="en-US"/>
        </w:rPr>
        <w:t xml:space="preserve">mits, 2017). Here </w:t>
      </w:r>
      <w:r>
        <w:rPr>
          <w:rtl w:val="0"/>
        </w:rPr>
        <w:t>‘</w:t>
      </w:r>
      <w:r>
        <w:rPr>
          <w:rtl w:val="0"/>
          <w:lang w:val="en-US"/>
        </w:rPr>
        <w:t>disease of the mind</w:t>
      </w:r>
      <w:r>
        <w:rPr>
          <w:rtl w:val="0"/>
        </w:rPr>
        <w:t xml:space="preserve">’ </w:t>
      </w:r>
      <w:r>
        <w:rPr>
          <w:rtl w:val="0"/>
          <w:lang w:val="en-US"/>
        </w:rPr>
        <w:t>refers to the person who does not have a proper mindset.</w:t>
      </w:r>
    </w:p>
    <w:p>
      <w:pPr>
        <w:pStyle w:val="Body"/>
      </w:pPr>
      <w:r>
        <w:rPr>
          <w:rtl w:val="0"/>
          <w:lang w:val="en-US"/>
        </w:rPr>
        <w:t xml:space="preserve">The second issue with the law of insanity is that often criminals are somehow able to present medical evidence that suggests them that they are not in the right mind of </w:t>
      </w:r>
      <w:r>
        <w:rPr>
          <w:rtl w:val="0"/>
        </w:rPr>
        <w:t>‘</w:t>
      </w:r>
      <w:r>
        <w:rPr>
          <w:rtl w:val="0"/>
          <w:lang w:val="en-US"/>
        </w:rPr>
        <w:t>disease of the mind.</w:t>
      </w:r>
      <w:r>
        <w:rPr>
          <w:rtl w:val="0"/>
        </w:rPr>
        <w:t xml:space="preserve">’ </w:t>
      </w:r>
      <w:r>
        <w:rPr>
          <w:rtl w:val="0"/>
          <w:lang w:val="en-US"/>
        </w:rPr>
        <w:t xml:space="preserve">Because of that, they are able to get away with criminal activity. </w:t>
      </w:r>
    </w:p>
    <w:p>
      <w:pPr>
        <w:pStyle w:val="Body"/>
        <w:rPr>
          <w:b w:val="1"/>
          <w:bCs w:val="1"/>
        </w:rPr>
      </w:pPr>
      <w:r>
        <w:rPr>
          <w:b w:val="1"/>
          <w:bCs w:val="1"/>
          <w:rtl w:val="0"/>
          <w:lang w:val="en-US"/>
        </w:rPr>
        <w:t>The reforms in this area</w:t>
      </w:r>
    </w:p>
    <w:p>
      <w:pPr>
        <w:pStyle w:val="Body"/>
      </w:pPr>
      <w:r>
        <w:rPr>
          <w:rtl w:val="0"/>
          <w:lang w:val="en-US"/>
        </w:rPr>
        <w:t>The reforms in the English Criminal law is very slow because of the law passing system in the UK. There are still some factors that need to be reformed. But the English Criminal law has been reformed two times. In the following, those two times are being described.</w:t>
      </w:r>
    </w:p>
    <w:p>
      <w:pPr>
        <w:pStyle w:val="Body"/>
      </w:pPr>
      <w:r>
        <w:rPr>
          <w:rtl w:val="0"/>
          <w:lang w:val="en-US"/>
        </w:rPr>
        <w:t xml:space="preserve">Diminished responsibility s.2 Homicide Act (1957) is being introduced to maintain the judgement of the homicide cases. This reform has helped the judges to reduce the burden of proof. Because of this reform, the mentally ill person will surely get proper attention and justice about their activity. </w:t>
      </w:r>
    </w:p>
    <w:p>
      <w:pPr>
        <w:pStyle w:val="Body"/>
      </w:pPr>
      <w:r>
        <w:rPr>
          <w:rtl w:val="0"/>
          <w:lang w:val="en-US"/>
        </w:rPr>
        <w:t xml:space="preserve">Law Commission Draft Criminal Code (1989) is another reform that has helped to improve the decision on those criminal cases with a plea of insanity. </w:t>
      </w:r>
    </w:p>
    <w:p>
      <w:pPr>
        <w:pStyle w:val="Body"/>
        <w:spacing w:after="160" w:line="259" w:lineRule="auto"/>
        <w:jc w:val="left"/>
      </w:pPr>
      <w:r>
        <w:rPr>
          <w:rFonts w:ascii="Arial Unicode MS" w:cs="Arial Unicode MS" w:hAnsi="Arial Unicode MS" w:eastAsia="Arial Unicode MS"/>
          <w:b w:val="0"/>
          <w:bCs w:val="0"/>
          <w:i w:val="0"/>
          <w:iCs w:val="0"/>
        </w:rPr>
        <w:br w:type="page"/>
      </w:r>
    </w:p>
    <w:p>
      <w:pPr>
        <w:pStyle w:val="Heading"/>
      </w:pPr>
      <w:bookmarkStart w:name="_Toc2" w:id="2"/>
      <w:r>
        <w:rPr>
          <w:rFonts w:cs="Arial Unicode MS" w:eastAsia="Arial Unicode MS"/>
          <w:rtl w:val="0"/>
          <w:lang w:val="en-US"/>
        </w:rPr>
        <w:t xml:space="preserve">Question 2 answer </w:t>
      </w:r>
      <w:bookmarkEnd w:id="2"/>
    </w:p>
    <w:p>
      <w:pPr>
        <w:pStyle w:val="Body"/>
      </w:pPr>
      <w:r>
        <w:rPr>
          <w:rtl w:val="0"/>
          <w:lang w:val="en-US"/>
        </w:rPr>
        <w:t xml:space="preserve">In the given case study, there are several criminal activities that have been performed by Ali. First of all, the fight between Ali and Colin was a mistake of Ali. After that, the death of Lee was also caused by Ali, and finally, the death of Colin is also being performed by Ali. In all those cases, Ali is the criminal. </w:t>
      </w:r>
    </w:p>
    <w:p>
      <w:pPr>
        <w:pStyle w:val="Body"/>
      </w:pPr>
      <w:r>
        <w:rPr>
          <w:rtl w:val="0"/>
          <w:lang w:val="en-US"/>
        </w:rPr>
        <w:t>Actus Reus refers to the criminal activity which is voluntarily performed by a specific party. In the current case study, it can be said for the case of Ali. Ali has voluntarily performed the various criminal activities identified in the case. There are three elements present for the criminal activity to be in the category of actus reus. In the following, those elements are being described, and the relationship with Ali</w:t>
      </w:r>
      <w:r>
        <w:rPr>
          <w:rtl w:val="0"/>
        </w:rPr>
        <w:t>’</w:t>
      </w:r>
      <w:r>
        <w:rPr>
          <w:rtl w:val="0"/>
          <w:lang w:val="en-US"/>
        </w:rPr>
        <w:t xml:space="preserve">s situation is being discussed. </w:t>
      </w:r>
    </w:p>
    <w:p>
      <w:pPr>
        <w:pStyle w:val="Body"/>
      </w:pPr>
      <w:r>
        <w:rPr>
          <w:rtl w:val="0"/>
          <w:lang w:val="en-US"/>
        </w:rPr>
        <w:t>According to the case study of R v Woollin, the first element for the actus reus is the voluntary act of a criminal activity or not performing an activity voluntary. The three criminal activities identified for Ali was all of them a voluntary act</w:t>
      </w:r>
      <w:r>
        <w:rPr>
          <w:rFonts w:ascii="Open Sans" w:cs="Open Sans" w:hAnsi="Open Sans" w:eastAsia="Open Sans"/>
          <w:outline w:val="0"/>
          <w:color w:val="000000"/>
          <w:sz w:val="20"/>
          <w:szCs w:val="20"/>
          <w:u w:color="000000"/>
          <w:shd w:val="clear" w:color="auto" w:fill="ffffff"/>
          <w:rtl w:val="0"/>
          <w14:textFill>
            <w14:solidFill>
              <w14:srgbClr w14:val="000000"/>
            </w14:solidFill>
          </w14:textFill>
        </w:rPr>
        <w:t xml:space="preserve"> </w:t>
      </w:r>
      <w:r>
        <w:rPr>
          <w:rtl w:val="0"/>
          <w:lang w:val="en-US"/>
        </w:rPr>
        <w:t xml:space="preserve">(House of Lords - Regina v. Woollin, 2021). The fight with Colin in the bar was intentionally performed by Ali. Then I punched Ali in the face, which is also a voluntary act and finally, stabbing Colin was definitely a voluntary act of Ali. </w:t>
      </w:r>
    </w:p>
    <w:p>
      <w:pPr>
        <w:pStyle w:val="Body"/>
      </w:pPr>
      <w:r>
        <w:rPr>
          <w:rtl w:val="0"/>
          <w:lang w:val="en-US"/>
        </w:rPr>
        <w:t>According to another case of R v Larkin, the actus reus will have a cause in society. In the given case study, there are cause can be determined for all three of the crime of Ali</w:t>
      </w:r>
      <w:r>
        <w:rPr>
          <w:rFonts w:ascii="Open Sans" w:cs="Open Sans" w:hAnsi="Open Sans" w:eastAsia="Open Sans"/>
          <w:outline w:val="0"/>
          <w:color w:val="000000"/>
          <w:sz w:val="20"/>
          <w:szCs w:val="20"/>
          <w:u w:color="000000"/>
          <w:shd w:val="clear" w:color="auto" w:fill="ffffff"/>
          <w:rtl w:val="0"/>
          <w14:textFill>
            <w14:solidFill>
              <w14:srgbClr w14:val="000000"/>
            </w14:solidFill>
          </w14:textFill>
        </w:rPr>
        <w:t xml:space="preserve"> </w:t>
      </w:r>
      <w:r>
        <w:rPr>
          <w:rtl w:val="0"/>
          <w:lang w:val="en-US"/>
        </w:rPr>
        <w:t xml:space="preserve">(R v Larkin, 2021). The first fight with Colin has created a bad environment, the punching of Lee has caused a panic among the people, and the stabbing of Colin has killed him. </w:t>
      </w:r>
    </w:p>
    <w:p>
      <w:pPr>
        <w:pStyle w:val="Body"/>
      </w:pPr>
      <w:r>
        <w:rPr>
          <w:rtl w:val="0"/>
          <w:lang w:val="en-US"/>
        </w:rPr>
        <w:t xml:space="preserve">Finally, the third factor is that there will be social harm considering a criminal statute. In the case of Ali in his three crimes, there are three different social harm being performed. First of all, because of the fight in the bar, the environment of the bar is being hampered. There were various people present in the bar, and the people had experience violence. This is considered as social harm, and moving to the next crime where Lee ultimately had to die, there was social harm because of the physical damage of Lee and failed to keep him alive. Finally, the stabbing of Colin was very bad because in daylight in a public place the criminal activity is being performed. Which has created a lot of social harm to the people present there at that time (Erfani, 2007). People had to see a stabbed man dying. </w:t>
      </w:r>
    </w:p>
    <w:p>
      <w:pPr>
        <w:pStyle w:val="Body"/>
      </w:pPr>
      <w:r>
        <w:rPr>
          <w:rtl w:val="0"/>
          <w:lang w:val="en-US"/>
        </w:rPr>
        <w:t xml:space="preserve">So, considering the elements of actus reus, it can be said that the criminal activities of Ali are being considered as actus reus, and the judge of Ali will be based on actus reus. </w:t>
      </w:r>
    </w:p>
    <w:p>
      <w:pPr>
        <w:pStyle w:val="Body"/>
      </w:pPr>
      <w:r>
        <w:rPr>
          <w:rtl w:val="0"/>
          <w:lang w:val="en-US"/>
        </w:rPr>
        <w:t>There is another rule which is known as mens rea, and this refers to the crime</w:t>
      </w:r>
      <w:r>
        <w:rPr>
          <w:rtl w:val="0"/>
        </w:rPr>
        <w:t>’</w:t>
      </w:r>
      <w:r>
        <w:rPr>
          <w:rtl w:val="0"/>
          <w:lang w:val="en-US"/>
        </w:rPr>
        <w:t>s mental elements of the defendant</w:t>
      </w:r>
      <w:r>
        <w:rPr>
          <w:rtl w:val="0"/>
        </w:rPr>
        <w:t>’</w:t>
      </w:r>
      <w:r>
        <w:rPr>
          <w:rtl w:val="0"/>
          <w:lang w:val="en-US"/>
        </w:rPr>
        <w:t>s intent. Simply, mens rea is the mental intention of the criminal for their activity. They must have an intent to perform the criminal activity. In the following, the elements of mens rea are being discussed along with their presence in Ali</w:t>
      </w:r>
      <w:r>
        <w:rPr>
          <w:rtl w:val="0"/>
        </w:rPr>
        <w:t>’</w:t>
      </w:r>
      <w:r>
        <w:rPr>
          <w:rtl w:val="0"/>
          <w:lang w:val="pt-PT"/>
        </w:rPr>
        <w:t xml:space="preserve">s case. </w:t>
      </w:r>
    </w:p>
    <w:p>
      <w:pPr>
        <w:pStyle w:val="Body"/>
      </w:pPr>
      <w:r>
        <w:rPr>
          <w:rtl w:val="0"/>
          <w:lang w:val="en-US"/>
        </w:rPr>
        <w:t>According to the case of R v Venna the first mens rea is the intention to do a certain criminal activity. In the case of Ali, it was clear that all three of the crimes were intended. Ali means to do these crimes, and in proper mental intention, he performed those criminal activities</w:t>
      </w:r>
      <w:r>
        <w:rPr>
          <w:rFonts w:ascii="Open Sans" w:cs="Open Sans" w:hAnsi="Open Sans" w:eastAsia="Open Sans"/>
          <w:outline w:val="0"/>
          <w:color w:val="000000"/>
          <w:sz w:val="20"/>
          <w:szCs w:val="20"/>
          <w:u w:color="000000"/>
          <w:shd w:val="clear" w:color="auto" w:fill="ffffff"/>
          <w:rtl w:val="0"/>
          <w14:textFill>
            <w14:solidFill>
              <w14:srgbClr w14:val="000000"/>
            </w14:solidFill>
          </w14:textFill>
        </w:rPr>
        <w:t xml:space="preserve"> </w:t>
      </w:r>
      <w:r>
        <w:rPr>
          <w:rtl w:val="0"/>
          <w:lang w:val="en-US"/>
        </w:rPr>
        <w:t xml:space="preserve">(R v Venna, 2021). So, according to the first element of the mens rea in the criminal activities of Ali is present. </w:t>
      </w:r>
    </w:p>
    <w:p>
      <w:pPr>
        <w:pStyle w:val="Body"/>
      </w:pPr>
      <w:r>
        <w:rPr>
          <w:rtl w:val="0"/>
          <w:lang w:val="en-US"/>
        </w:rPr>
        <w:t>The second and final element of mens rea is the knowledge of the outcome of the criminal activity. This element is complex, and it is also not applied to all the criminal activities of Ali. Considering eth first criminal activity, the fight with Colin, it can be said that Ali did not know the outcome of that activity, so mens rea is not being present in this criminal activity. After that, hitting Lee so hard that it caused his death did also not fall under mens rea (Baron, 2019). Because Ali didn</w:t>
      </w:r>
      <w:r>
        <w:rPr>
          <w:rtl w:val="0"/>
        </w:rPr>
        <w:t>’</w:t>
      </w:r>
      <w:r>
        <w:rPr>
          <w:rtl w:val="0"/>
          <w:lang w:val="en-US"/>
        </w:rPr>
        <w:t xml:space="preserve">t know that through one punch, Lee could die. Finally, in the last crime, when Ali stabbed Colin, there was mens rea present because Ali knew through stabbing a person the death is a possible criminal activity. </w:t>
      </w:r>
    </w:p>
    <w:p>
      <w:pPr>
        <w:pStyle w:val="Body"/>
      </w:pPr>
      <w:r>
        <w:rPr>
          <w:rtl w:val="0"/>
          <w:lang w:val="en-US"/>
        </w:rPr>
        <w:t xml:space="preserve">To conclude the liability of the activities of Ali, it can be said that he will hold responsible for all three criminal activities. Through the discussion of actus reus and mens rea, it can be said that Ali will be held responsible for the death of Lee and Colin.  </w:t>
      </w:r>
    </w:p>
    <w:p>
      <w:pPr>
        <w:pStyle w:val="Body"/>
        <w:spacing w:after="160" w:line="259" w:lineRule="auto"/>
        <w:jc w:val="left"/>
      </w:pPr>
      <w:r>
        <w:rPr>
          <w:rFonts w:ascii="Arial Unicode MS" w:cs="Arial Unicode MS" w:hAnsi="Arial Unicode MS" w:eastAsia="Arial Unicode MS"/>
          <w:b w:val="0"/>
          <w:bCs w:val="0"/>
          <w:i w:val="0"/>
          <w:iCs w:val="0"/>
        </w:rPr>
        <w:br w:type="page"/>
      </w:r>
    </w:p>
    <w:p>
      <w:pPr>
        <w:pStyle w:val="Heading"/>
      </w:pPr>
      <w:bookmarkStart w:name="_Toc3" w:id="3"/>
      <w:r>
        <w:rPr>
          <w:rFonts w:cs="Arial Unicode MS" w:eastAsia="Arial Unicode MS"/>
          <w:rtl w:val="0"/>
          <w:lang w:val="fr-FR"/>
        </w:rPr>
        <w:t xml:space="preserve">Conclusion </w:t>
      </w:r>
      <w:bookmarkEnd w:id="3"/>
    </w:p>
    <w:p>
      <w:pPr>
        <w:pStyle w:val="Body"/>
      </w:pPr>
      <w:r>
        <w:rPr>
          <w:rtl w:val="0"/>
          <w:lang w:val="en-US"/>
        </w:rPr>
        <w:t xml:space="preserve">The most important role in the insanity defence of the criminal is being played by the medical evidence. The evidence of three factors related to the plea of insanity in a case must have to collect from the medical. The reforms in the English Criminal law is very slow because of the law passing system in the UK. There are still some factors that need to be reformed. But the English Criminal law has been reformed two times. For the second question, the final decision is that through the discussion of actus reus and mens rea, it can be said that Ali will be held responsible for the death of Lee and Colin.  </w:t>
      </w:r>
    </w:p>
    <w:p>
      <w:pPr>
        <w:pStyle w:val="Body"/>
        <w:spacing w:after="160" w:line="259" w:lineRule="auto"/>
        <w:jc w:val="left"/>
      </w:pPr>
      <w:r>
        <w:rPr>
          <w:rFonts w:ascii="Arial Unicode MS" w:cs="Arial Unicode MS" w:hAnsi="Arial Unicode MS" w:eastAsia="Arial Unicode MS"/>
          <w:b w:val="0"/>
          <w:bCs w:val="0"/>
          <w:i w:val="0"/>
          <w:iCs w:val="0"/>
        </w:rPr>
        <w:br w:type="page"/>
      </w:r>
    </w:p>
    <w:p>
      <w:pPr>
        <w:pStyle w:val="Heading"/>
      </w:pPr>
      <w:bookmarkStart w:name="_Toc4" w:id="4"/>
      <w:r>
        <w:rPr>
          <w:rFonts w:cs="Arial Unicode MS" w:eastAsia="Arial Unicode MS"/>
          <w:rtl w:val="0"/>
          <w:lang w:val="en-US"/>
        </w:rPr>
        <w:t>Reference list</w:t>
      </w:r>
      <w:bookmarkEnd w:id="4"/>
    </w:p>
    <w:p>
      <w:pPr>
        <w:pStyle w:val="List Paragraph"/>
        <w:numPr>
          <w:ilvl w:val="0"/>
          <w:numId w:val="2"/>
        </w:numPr>
        <w:bidi w:val="0"/>
        <w:ind w:right="0"/>
        <w:jc w:val="both"/>
        <w:rPr>
          <w:rtl w:val="0"/>
          <w:lang w:val="en-US"/>
        </w:rPr>
      </w:pPr>
      <w:r>
        <w:rPr>
          <w:rtl w:val="0"/>
          <w:lang w:val="en-US"/>
        </w:rPr>
        <w:t>Bailii.org. 2021.</w:t>
      </w:r>
      <w:r>
        <w:rPr>
          <w:rtl w:val="0"/>
          <w:lang w:val="en-US"/>
        </w:rPr>
        <w:t> </w:t>
      </w:r>
      <w:r>
        <w:rPr>
          <w:i w:val="1"/>
          <w:iCs w:val="1"/>
          <w:rtl w:val="0"/>
          <w:lang w:val="en-US"/>
        </w:rPr>
        <w:t>Johnson, R. v [2007] EWCA Crim 1978 (09 July 2007)</w:t>
      </w:r>
      <w:r>
        <w:rPr>
          <w:rtl w:val="0"/>
          <w:lang w:val="en-US"/>
        </w:rPr>
        <w:t>. [online] Available at: &lt;https://www.bailii.org/ew/cases/EWCA/Crim/2007/1978.html&gt; [Accessed 8 May 2021].</w:t>
      </w:r>
    </w:p>
    <w:p>
      <w:pPr>
        <w:pStyle w:val="List Paragraph"/>
        <w:numPr>
          <w:ilvl w:val="0"/>
          <w:numId w:val="2"/>
        </w:numPr>
        <w:bidi w:val="0"/>
        <w:ind w:right="0"/>
        <w:jc w:val="both"/>
        <w:rPr>
          <w:rtl w:val="0"/>
          <w:lang w:val="en-US"/>
        </w:rPr>
      </w:pPr>
      <w:r>
        <w:rPr>
          <w:rtl w:val="0"/>
          <w:lang w:val="en-US"/>
        </w:rPr>
        <w:t xml:space="preserve">Baron, M. (2019). Negligence, Mens Rea, and What We Want the Element of Mens Rea to Provide. </w:t>
      </w:r>
      <w:r>
        <w:rPr>
          <w:i w:val="1"/>
          <w:iCs w:val="1"/>
          <w:rtl w:val="0"/>
          <w:lang w:val="en-US"/>
        </w:rPr>
        <w:t>Criminal Law and Philosophy</w:t>
      </w:r>
      <w:r>
        <w:rPr>
          <w:rtl w:val="0"/>
          <w:lang w:val="en-US"/>
        </w:rPr>
        <w:t>.</w:t>
      </w:r>
    </w:p>
    <w:p>
      <w:pPr>
        <w:pStyle w:val="List Paragraph"/>
        <w:numPr>
          <w:ilvl w:val="0"/>
          <w:numId w:val="2"/>
        </w:numPr>
        <w:bidi w:val="0"/>
        <w:ind w:right="0"/>
        <w:jc w:val="both"/>
        <w:rPr>
          <w:rtl w:val="0"/>
          <w:lang w:val="en-US"/>
        </w:rPr>
      </w:pPr>
      <w:r>
        <w:rPr>
          <w:rtl w:val="0"/>
          <w:lang w:val="en-US"/>
        </w:rPr>
        <w:t>E-lawresources.co.uk. 2021.</w:t>
      </w:r>
      <w:r>
        <w:rPr>
          <w:rtl w:val="0"/>
          <w:lang w:val="en-US"/>
        </w:rPr>
        <w:t> </w:t>
      </w:r>
      <w:r>
        <w:rPr>
          <w:i w:val="1"/>
          <w:iCs w:val="1"/>
          <w:rtl w:val="0"/>
          <w:lang w:val="en-US"/>
        </w:rPr>
        <w:t>R v Larkin</w:t>
      </w:r>
      <w:r>
        <w:rPr>
          <w:rtl w:val="0"/>
          <w:lang w:val="en-US"/>
        </w:rPr>
        <w:t>. [online] Available at: &lt;http://www.e-lawresources.co.uk/R-v-Larkin.php&gt; [Accessed 8 May 2021].</w:t>
      </w:r>
    </w:p>
    <w:p>
      <w:pPr>
        <w:pStyle w:val="List Paragraph"/>
        <w:numPr>
          <w:ilvl w:val="0"/>
          <w:numId w:val="2"/>
        </w:numPr>
        <w:bidi w:val="0"/>
        <w:ind w:right="0"/>
        <w:jc w:val="both"/>
        <w:rPr>
          <w:rtl w:val="0"/>
          <w:lang w:val="en-US"/>
        </w:rPr>
      </w:pPr>
      <w:r>
        <w:rPr>
          <w:rtl w:val="0"/>
          <w:lang w:val="en-US"/>
        </w:rPr>
        <w:t>E-lawresources.co.uk. 2021.</w:t>
      </w:r>
      <w:r>
        <w:rPr>
          <w:rtl w:val="0"/>
          <w:lang w:val="en-US"/>
        </w:rPr>
        <w:t> </w:t>
      </w:r>
      <w:r>
        <w:rPr>
          <w:i w:val="1"/>
          <w:iCs w:val="1"/>
          <w:rtl w:val="0"/>
          <w:lang w:val="en-US"/>
        </w:rPr>
        <w:t>R v Venna</w:t>
      </w:r>
      <w:r>
        <w:rPr>
          <w:rtl w:val="0"/>
          <w:lang w:val="en-US"/>
        </w:rPr>
        <w:t>. [online] Available at: &lt;https://www.e-lawresources.co.uk/R-v-Venna.php&gt; [Accessed 8 May 2021].</w:t>
      </w:r>
    </w:p>
    <w:p>
      <w:pPr>
        <w:pStyle w:val="List Paragraph"/>
        <w:numPr>
          <w:ilvl w:val="0"/>
          <w:numId w:val="2"/>
        </w:numPr>
        <w:bidi w:val="0"/>
        <w:ind w:right="0"/>
        <w:jc w:val="both"/>
        <w:rPr>
          <w:rtl w:val="0"/>
          <w:lang w:val="en-US"/>
        </w:rPr>
      </w:pPr>
      <w:r>
        <w:rPr>
          <w:rtl w:val="0"/>
          <w:lang w:val="en-US"/>
        </w:rPr>
        <w:t>E-lawresources.co.uk. 2021.</w:t>
      </w:r>
      <w:r>
        <w:rPr>
          <w:rtl w:val="0"/>
          <w:lang w:val="en-US"/>
        </w:rPr>
        <w:t> </w:t>
      </w:r>
      <w:r>
        <w:rPr>
          <w:i w:val="1"/>
          <w:iCs w:val="1"/>
          <w:rtl w:val="0"/>
          <w:lang w:val="en-US"/>
        </w:rPr>
        <w:t>R v Windle</w:t>
      </w:r>
      <w:r>
        <w:rPr>
          <w:rtl w:val="0"/>
          <w:lang w:val="en-US"/>
        </w:rPr>
        <w:t>. [online] Available at: &lt;http://www.e-lawresources.co.uk/R-v-Windle.php&gt; [Accessed 8 May 2021].</w:t>
      </w:r>
    </w:p>
    <w:p>
      <w:pPr>
        <w:pStyle w:val="List Paragraph"/>
        <w:numPr>
          <w:ilvl w:val="0"/>
          <w:numId w:val="2"/>
        </w:numPr>
        <w:bidi w:val="0"/>
        <w:ind w:right="0"/>
        <w:jc w:val="both"/>
        <w:rPr>
          <w:rtl w:val="0"/>
          <w:lang w:val="en-US"/>
        </w:rPr>
      </w:pPr>
      <w:r>
        <w:rPr>
          <w:rtl w:val="0"/>
          <w:lang w:val="en-US"/>
        </w:rPr>
        <w:t xml:space="preserve">Erfani, F. (2007). The People Has Its Political Reason, of Which Political Theory Knows Nothing. </w:t>
      </w:r>
      <w:r>
        <w:rPr>
          <w:i w:val="1"/>
          <w:iCs w:val="1"/>
          <w:rtl w:val="0"/>
          <w:lang w:val="en-US"/>
        </w:rPr>
        <w:t>Expositions</w:t>
      </w:r>
      <w:r>
        <w:rPr>
          <w:rtl w:val="0"/>
          <w:lang w:val="en-US"/>
        </w:rPr>
        <w:t>, 1(1).</w:t>
      </w:r>
    </w:p>
    <w:p>
      <w:pPr>
        <w:pStyle w:val="List Paragraph"/>
        <w:numPr>
          <w:ilvl w:val="0"/>
          <w:numId w:val="2"/>
        </w:numPr>
        <w:bidi w:val="0"/>
        <w:ind w:right="0"/>
        <w:jc w:val="both"/>
        <w:rPr>
          <w:rtl w:val="0"/>
          <w:lang w:val="en-US"/>
        </w:rPr>
      </w:pPr>
      <w:r>
        <w:rPr>
          <w:rtl w:val="0"/>
          <w:lang w:val="en-US"/>
        </w:rPr>
        <w:t>Jurkevi</w:t>
      </w:r>
      <w:r>
        <w:rPr>
          <w:rtl w:val="0"/>
          <w:lang w:val="en-US"/>
        </w:rPr>
        <w:t>č</w:t>
      </w:r>
      <w:r>
        <w:rPr>
          <w:rtl w:val="0"/>
          <w:lang w:val="en-US"/>
        </w:rPr>
        <w:t xml:space="preserve">a, T. and </w:t>
      </w:r>
      <w:r>
        <w:rPr>
          <w:rtl w:val="0"/>
          <w:lang w:val="en-US"/>
        </w:rPr>
        <w:t>Š</w:t>
      </w:r>
      <w:r>
        <w:rPr>
          <w:rtl w:val="0"/>
          <w:lang w:val="en-US"/>
        </w:rPr>
        <w:t xml:space="preserve">mits, K. (2017). BURDEN OF PROOF: PROCEDURAL UNDERSTANDING OF STANDARD OF PROOF. </w:t>
      </w:r>
      <w:r>
        <w:rPr>
          <w:i w:val="1"/>
          <w:iCs w:val="1"/>
          <w:rtl w:val="0"/>
          <w:lang w:val="en-US"/>
        </w:rPr>
        <w:t>Administrative and Criminal Justice</w:t>
      </w:r>
      <w:r>
        <w:rPr>
          <w:rtl w:val="0"/>
          <w:lang w:val="en-US"/>
        </w:rPr>
        <w:t>, 3(80), p.44.</w:t>
      </w:r>
    </w:p>
    <w:p>
      <w:pPr>
        <w:pStyle w:val="List Paragraph"/>
        <w:numPr>
          <w:ilvl w:val="0"/>
          <w:numId w:val="2"/>
        </w:numPr>
        <w:bidi w:val="0"/>
        <w:ind w:right="0"/>
        <w:jc w:val="both"/>
        <w:rPr>
          <w:rtl w:val="0"/>
          <w:lang w:val="en-US"/>
        </w:rPr>
      </w:pPr>
      <w:r>
        <w:rPr>
          <w:rtl w:val="0"/>
          <w:lang w:val="en-US"/>
        </w:rPr>
        <w:t xml:space="preserve">Nath, G.V.M. (2020). Statement of Accused in a Criminal Case </w:t>
      </w:r>
      <w:r>
        <w:rPr>
          <w:rtl w:val="0"/>
          <w:lang w:val="en-US"/>
        </w:rPr>
        <w:t xml:space="preserve">– </w:t>
      </w:r>
      <w:r>
        <w:rPr>
          <w:rtl w:val="0"/>
          <w:lang w:val="en-US"/>
        </w:rPr>
        <w:t xml:space="preserve">Can Court Draw an Adverse Inference? </w:t>
      </w:r>
      <w:r>
        <w:rPr>
          <w:i w:val="1"/>
          <w:iCs w:val="1"/>
          <w:rtl w:val="0"/>
          <w:lang w:val="en-US"/>
        </w:rPr>
        <w:t>SSRN Electronic Journal</w:t>
      </w:r>
      <w:r>
        <w:rPr>
          <w:rtl w:val="0"/>
          <w:lang w:val="en-US"/>
        </w:rPr>
        <w:t>.</w:t>
      </w:r>
    </w:p>
    <w:p>
      <w:pPr>
        <w:pStyle w:val="List Paragraph"/>
        <w:numPr>
          <w:ilvl w:val="0"/>
          <w:numId w:val="2"/>
        </w:numPr>
        <w:bidi w:val="0"/>
        <w:ind w:right="0"/>
        <w:jc w:val="both"/>
        <w:rPr>
          <w:rtl w:val="0"/>
          <w:lang w:val="en-US"/>
        </w:rPr>
      </w:pPr>
      <w:r>
        <w:rPr>
          <w:rtl w:val="0"/>
          <w:lang w:val="en-US"/>
        </w:rPr>
        <w:t>Oxbridgenotes.co.uk. 2021.</w:t>
      </w:r>
      <w:r>
        <w:rPr>
          <w:rtl w:val="0"/>
          <w:lang w:val="en-US"/>
        </w:rPr>
        <w:t> </w:t>
      </w:r>
      <w:r>
        <w:rPr>
          <w:i w:val="1"/>
          <w:iCs w:val="1"/>
          <w:rtl w:val="0"/>
          <w:lang w:val="en-US"/>
        </w:rPr>
        <w:t>R v Hennessy [1989] 1 W L R 287</w:t>
      </w:r>
      <w:r>
        <w:rPr>
          <w:rtl w:val="0"/>
          <w:lang w:val="en-US"/>
        </w:rPr>
        <w:t>. [online] Available at: &lt;https://www.oxbridgenotes.co.uk/law_cases/r-v-hennessy&gt; [Accessed 8 May 2021].</w:t>
      </w:r>
    </w:p>
    <w:p>
      <w:pPr>
        <w:pStyle w:val="List Paragraph"/>
        <w:numPr>
          <w:ilvl w:val="0"/>
          <w:numId w:val="2"/>
        </w:numPr>
        <w:bidi w:val="0"/>
        <w:ind w:right="0"/>
        <w:jc w:val="both"/>
        <w:rPr>
          <w:rtl w:val="0"/>
          <w:lang w:val="en-US"/>
        </w:rPr>
      </w:pPr>
      <w:r>
        <w:rPr>
          <w:rtl w:val="0"/>
          <w:lang w:val="en-US"/>
        </w:rPr>
        <w:t>Publications.parliament.uk. 2021.</w:t>
      </w:r>
      <w:r>
        <w:rPr>
          <w:rtl w:val="0"/>
          <w:lang w:val="en-US"/>
        </w:rPr>
        <w:t> </w:t>
      </w:r>
      <w:r>
        <w:rPr>
          <w:i w:val="1"/>
          <w:iCs w:val="1"/>
          <w:rtl w:val="0"/>
          <w:lang w:val="en-US"/>
        </w:rPr>
        <w:t>House of Lords - Regina v. Woollin</w:t>
      </w:r>
      <w:r>
        <w:rPr>
          <w:rtl w:val="0"/>
          <w:lang w:val="en-US"/>
        </w:rPr>
        <w:t>. [online] Available at: &lt;https://publications.parliament.uk/pa/ld199798/ldjudgmt/jd980722/wool.htm&gt; [Accessed 8 May 2021].</w:t>
      </w:r>
    </w:p>
    <w:sectPr>
      <w:headerReference w:type="default" r:id="rId4"/>
      <w:headerReference w:type="first" r:id="rId5"/>
      <w:footerReference w:type="default" r:id="rId6"/>
      <w:footerReference w:type="first" r:id="rId7"/>
      <w:pgSz w:w="12240" w:h="15840" w:orient="portrait"/>
      <w:pgMar w:top="1440" w:right="1440" w:bottom="1440" w:left="1440" w:header="720" w:footer="720"/>
      <w:pgNumType w:start="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 w:name="Calibri">
    <w:charset w:val="00"/>
    <w:family w:val="roman"/>
    <w:pitch w:val="default"/>
  </w:font>
  <w:font w:name="Open San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Calibri Light" w:hAnsi="Calibri Light" w:eastAsia="Calibri Light"/>
      <w:b w:val="0"/>
      <w:bCs w:val="0"/>
      <w:i w:val="0"/>
      <w:iCs w:val="0"/>
      <w:caps w:val="0"/>
      <w:smallCaps w:val="0"/>
      <w:strike w:val="0"/>
      <w:dstrike w:val="0"/>
      <w:outline w:val="0"/>
      <w:color w:val="2f5496"/>
      <w:spacing w:val="0"/>
      <w:kern w:val="0"/>
      <w:position w:val="0"/>
      <w:sz w:val="32"/>
      <w:szCs w:val="32"/>
      <w:u w:val="none" w:color="2f5496"/>
      <w:vertAlign w:val="baseline"/>
      <w:lang w:val="en-US"/>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2060"/>
      <w:spacing w:val="0"/>
      <w:kern w:val="0"/>
      <w:position w:val="0"/>
      <w:sz w:val="32"/>
      <w:szCs w:val="32"/>
      <w:u w:val="none" w:color="002060"/>
      <w:vertAlign w:val="baseline"/>
      <w14:textOutline>
        <w14:noFill/>
      </w14:textOutline>
      <w14:textFill>
        <w14:solidFill>
          <w14:srgbClr w14:val="00206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360" w:lineRule="auto"/>
      <w:ind w:left="72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Fill>
        <w14:solidFill>
          <w14:srgbClr w14:val="000000"/>
        </w14:solidFill>
      </w14:textFill>
    </w:rPr>
  </w:style>
  <w:style w:type="numbering" w:styleId="Imported Style 1">
    <w:name w:val="Imported Style 1"/>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