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C8881" w14:textId="0D49FAF1" w:rsidR="5BD8D71D" w:rsidRDefault="5BD8D71D" w:rsidP="5BD8D71D">
      <w:pPr>
        <w:jc w:val="center"/>
      </w:pPr>
      <w:r w:rsidRPr="5BD8D71D">
        <w:rPr>
          <w:u w:val="single"/>
        </w:rPr>
        <w:t>Considering the impact of so-called ‘Hybrid Wars’ on constitutional developments, it was inevitable that ‘Total War’ between 1914-18 would lead to major political change in Europe. Discuss, with specific reference to events in both Germany and Russia.</w:t>
      </w:r>
    </w:p>
    <w:p w14:paraId="523B4648" w14:textId="7811E761" w:rsidR="5BD8D71D" w:rsidRDefault="5BD8D71D" w:rsidP="5BD8D71D">
      <w:pPr>
        <w:spacing w:line="360" w:lineRule="auto"/>
        <w:jc w:val="both"/>
      </w:pPr>
      <w:r>
        <w:t>The First World War shocked and changed the lives of thousands of people across the whole world; for many people the reason behind the start of the War had been down to the political environment and events that had occurred, years before. To begin the essay, it is important to understand what is meant by ‘Hybrid War’ and ‘Total War’. To have a ‘Hybrid War’ it means that there have been many different tactics used within the military power, it also means that it is a combination of nonmilitary and military actions.</w:t>
      </w:r>
      <w:r w:rsidRPr="5BD8D71D">
        <w:rPr>
          <w:rStyle w:val="FootnoteReference"/>
        </w:rPr>
        <w:footnoteReference w:id="1"/>
      </w:r>
      <w:r>
        <w:t xml:space="preserve"> The term ‘Total War’ means that is it unrestricted from the weapons, territory and the laws of war are not acknowledged nor followed.</w:t>
      </w:r>
      <w:r w:rsidRPr="5BD8D71D">
        <w:rPr>
          <w:rStyle w:val="FootnoteReference"/>
        </w:rPr>
        <w:footnoteReference w:id="2"/>
      </w:r>
      <w:r>
        <w:t xml:space="preserve"> This meant that the build-up of tension from ‘Hybrid Wars’ could have influenced the ‘Total War’ which during 1914-18 would have been the First World War. This essay will evaluate the political environment leading up to the First World War within both Germany and Russia, to determine whether the impact of ‘Total War’ changed the political system in both countries. Regarding the term ‘Hybrid War’ in this essay it will be referring to smaller disagreements and warfare that might have occurred before 1914, and the term ‘Total War’ will be referring to the First World War due to the large scale and disregard to the regular laws of war.</w:t>
      </w:r>
    </w:p>
    <w:p w14:paraId="1924E887" w14:textId="7D826197" w:rsidR="5BD8D71D" w:rsidRDefault="5BD8D71D" w:rsidP="5BD8D71D">
      <w:pPr>
        <w:spacing w:line="360" w:lineRule="auto"/>
        <w:jc w:val="both"/>
      </w:pPr>
      <w:r>
        <w:t xml:space="preserve">To begin the essay, it is important to research into the political system that Germany had before 1914, to understand how they had been involved in the First World War. Leading up to the war, Germany had been struggling to show the rest of the world that they were capable and could not assert themselves into a key role and taken seriously. </w:t>
      </w:r>
      <w:bookmarkStart w:id="0" w:name="_Int_ji04SzW7"/>
      <w:r>
        <w:t>This would have been a crucial factor to why they had been involved in the First World War and how people living within Germany might have been easily influenced into believing that war is a promising idea.</w:t>
      </w:r>
      <w:bookmarkEnd w:id="0"/>
      <w:r>
        <w:t xml:space="preserve"> Germany’s political system before the war had been a constitutional monarchy with a Kaiser who would have been voted in by males in power. The Kaiser who went into power before the First World War was Wilhelm II, who had been known for his eagerness to act without planning as well as wanting to prove himself to the other leaders, he had also been incredibly determined to turn Germany into a place that had great power and importance in the world.</w:t>
      </w:r>
      <w:r w:rsidRPr="5BD8D71D">
        <w:rPr>
          <w:rStyle w:val="FootnoteReference"/>
        </w:rPr>
        <w:footnoteReference w:id="3"/>
      </w:r>
      <w:r>
        <w:t xml:space="preserve"> Germany had been involved in various ‘Hybrid Wars’, one of the main wars that they fought in had been the Seven Years’ War through the Angelo-Prussia alliance during 1756-62. This war </w:t>
      </w:r>
      <w:proofErr w:type="gramStart"/>
      <w:r>
        <w:t>in particular had</w:t>
      </w:r>
      <w:proofErr w:type="gramEnd"/>
      <w:r>
        <w:t xml:space="preserve"> begun because of political arguments surrounding the French expansion throughout </w:t>
      </w:r>
      <w:r>
        <w:lastRenderedPageBreak/>
        <w:t>the world, which led to numerous countries being involved in the fighting.</w:t>
      </w:r>
      <w:r w:rsidRPr="5BD8D71D">
        <w:rPr>
          <w:rStyle w:val="FootnoteReference"/>
        </w:rPr>
        <w:footnoteReference w:id="4"/>
      </w:r>
      <w:r>
        <w:t xml:space="preserve">  Similar to Germany, Russia had been struggling to a great extent before the First World War had begun, this had been down to many different events that had taken place. </w:t>
      </w:r>
      <w:bookmarkStart w:id="1" w:name="_Int_WdZLeBbQ"/>
      <w:r>
        <w:t xml:space="preserve">The general population in Russia had begun to rebel and struggle with the political power and way that Russia had been run. In Russia, unlike Germany, they ran the country under the Tsar </w:t>
      </w:r>
      <w:bookmarkEnd w:id="1"/>
      <w:r>
        <w:t>monarch which meant that the Tsar had overseen all sovereigns and political decision making which is slightly opposite to the Germany Kaiser. However, the few years leading up to the First World War had implicated the how the Russian population had begun to struggle. This is mentioned in Alexander Kerensky’s book where he states, ‘One group shared the sovereign’s hatred of the constitution which had been granted in October 1905, under the pressure of the revolutionary movement, and insisted on a return to absolutism’.</w:t>
      </w:r>
      <w:r w:rsidRPr="5BD8D71D">
        <w:rPr>
          <w:rStyle w:val="FootnoteReference"/>
        </w:rPr>
        <w:footnoteReference w:id="5"/>
      </w:r>
      <w:r>
        <w:t xml:space="preserve"> This indicates that the population of people in Russia had been slightly uneasy and not impressed by the political system that had been in power before the war, and the people of Russia wanted to have a change to how the country had been managed. On the other hand, people who did not live in Russia could see the potential and the power that they could have over the coming years. It is mentioned that ‘in two or at most three years, Russia will be in a position to take the place in Europe to which she is rightly entitled’</w:t>
      </w:r>
      <w:r w:rsidRPr="5BD8D71D">
        <w:rPr>
          <w:rStyle w:val="FootnoteReference"/>
        </w:rPr>
        <w:footnoteReference w:id="6"/>
      </w:r>
      <w:r>
        <w:t xml:space="preserve"> which means that despite some leaders and the population doubting the power that Russia could potentially have, there had been people who did believe that they were going to be in control one day on the horizon. It also suggests that Russia would be rightfully entitled to the power and leadership that would eventually come in the not so far future. </w:t>
      </w:r>
    </w:p>
    <w:p w14:paraId="5CB3F8D7" w14:textId="63DCBE06" w:rsidR="5BD8D71D" w:rsidRDefault="5BD8D71D" w:rsidP="5BD8D71D">
      <w:pPr>
        <w:spacing w:line="360" w:lineRule="auto"/>
        <w:jc w:val="both"/>
      </w:pPr>
      <w:r>
        <w:t xml:space="preserve">Leading up the First World War, Germany and Russia had been involved in a couple of ‘Hybrid Wars’, these included the Napoleonic War in 1803 to 1815, Seven Years’ War in 1756 to 1763 and the Crimean War that occurred in 1853 to 1856. These wars </w:t>
      </w:r>
      <w:proofErr w:type="gramStart"/>
      <w:r>
        <w:t>in particular appear</w:t>
      </w:r>
      <w:proofErr w:type="gramEnd"/>
      <w:r>
        <w:t xml:space="preserve"> to have taken place within only a short time frame from each other, this is total would have made an impact on both different countries for various reasons. At the end of the Napoleonic Wars, Germany had been transformed and reorganised by Napoleon himself, this meant that Germany would have been made to accept the different change and be more of an independent country compared to how they had been unified before the war. The Seven Years’ War had also brought change to the German population and the </w:t>
      </w:r>
      <w:proofErr w:type="gramStart"/>
      <w:r>
        <w:t>country as a whole, this</w:t>
      </w:r>
      <w:proofErr w:type="gramEnd"/>
      <w:r>
        <w:t xml:space="preserve"> is because the end of the war had brought change to Europe altogether, meaning that Germany had been unified as this occurred before the Napoleonic War. Thirdly, although </w:t>
      </w:r>
      <w:r>
        <w:lastRenderedPageBreak/>
        <w:t>Germany had not been involved exclusively to the Crimean War, the threat of Russia had been taken away which indicates that Germany was now at ease as they did not need to worry about the power that Russia no longer contained. On the other hand, for Russia the Napoleonic War brought devastation the population because they lost over two hundred thousand men after Napoleon had invaded them. This would have made the people of Russia angry due to not being prepared and losing so many men to the battle. The Seven Years’ War made Russia become more powerful and it had given them the chance to prove what they could achieve for their people as well as the political standpoint, it left Russia being one of the most powerful countries on Europe. Finally, the Crimean War had brought the Russian Empire great discomposure because the war had taken significant power away from them. The war had also managed to impact the outlook and opinion’s that the general public and leaders of the world thought about Russia, people now saw Russia as weak and underestimated the power and influence they had on the rest of Europe.</w:t>
      </w:r>
      <w:r w:rsidRPr="5BD8D71D">
        <w:rPr>
          <w:rStyle w:val="FootnoteReference"/>
        </w:rPr>
        <w:footnoteReference w:id="7"/>
      </w:r>
    </w:p>
    <w:p w14:paraId="055DC0B5" w14:textId="7C0D5625" w:rsidR="5BD8D71D" w:rsidRDefault="5BD8D71D" w:rsidP="5BD8D71D">
      <w:pPr>
        <w:spacing w:line="360" w:lineRule="auto"/>
        <w:jc w:val="both"/>
      </w:pPr>
      <w:r>
        <w:t>After the end of ‘Total War’, being the First World War, there had been an incredible shift of political power and major change within both Russia and Germany despite both being on different sides of the war. Germany during the First World War had been on the enemy side which resulted in their political reform and important changing being more negative and influential. The importance of the disregard and non-compliant acts with the regular laws of warfare that Germany committed whilst being in the First World War, meant that at the end of the war, the countries that had been on the opposing side came together to meet and agree on the punishment that they would receive. This overall, brought a tremendous change to the political system that Germany had which would inevitably create great tensions throughout Germany towards the rest of the world, it would therefore be known as the Treaty of Versailles. When the various leaders from different countries had come together, one of the biggest political changes had been the request for Kaiser Wilhelm II to attend the meeting after requesting the Netherlands to bring him in. The request ordered by the Treaty of Versailles had been that the Kaiser would have to abdicate his position, after Kaiser Wilhelm II abdicated, Germany no longer functioned politically with a Kaiser and changed their system to the Weimar Republic.</w:t>
      </w:r>
      <w:r w:rsidRPr="5BD8D71D">
        <w:rPr>
          <w:rStyle w:val="FootnoteReference"/>
        </w:rPr>
        <w:footnoteReference w:id="8"/>
      </w:r>
      <w:r>
        <w:t xml:space="preserve"> Due to most of the decision making of Germany’s punishment being conducted whilst they had not been present, along with the new change of a different government and rules of how the country was going to be run, this had caused great change and upset throughout Germany. Russia had been involved in the First World War like Germany; however, they had been on the side that had been trying to stop the war from progressing. Russia had suffered tremendously after the First World War because of the </w:t>
      </w:r>
      <w:r>
        <w:lastRenderedPageBreak/>
        <w:t>change that had been occurring all over the world which had knock on effects to the Russian Republic. They had previously been run by a Tsar monarch, shortly after the First World War Vladimir Lenin had taken over control of the government which meant that Russia had now become the first communist country. This had occurred because there had been riots due to the lack of food, it is mentioned that ‘The riots grew, and troops were ordered out, instead of dispersing the crowds, the soldiers turned their rifles on the police’.</w:t>
      </w:r>
      <w:r w:rsidRPr="5BD8D71D">
        <w:rPr>
          <w:rStyle w:val="FootnoteReference"/>
        </w:rPr>
        <w:footnoteReference w:id="9"/>
      </w:r>
      <w:r>
        <w:t xml:space="preserve"> This suggests that the population in Russia had still been uneasy and unhappy with how the country had been run, which included services like the army which indicates how compelling the emotions that the public had.</w:t>
      </w:r>
    </w:p>
    <w:p w14:paraId="39A5433F" w14:textId="2A32AEB4" w:rsidR="5BD8D71D" w:rsidRDefault="5BD8D71D" w:rsidP="5BD8D71D">
      <w:pPr>
        <w:spacing w:line="360" w:lineRule="auto"/>
        <w:jc w:val="both"/>
      </w:pPr>
      <w:r>
        <w:t xml:space="preserve">In conclusion, the use of ‘Hybrid Wars’ created an atmosphere where tensions had been high which led to the ‘Total War’ happening and with it, bringing an incredible change to the political system particularly to Germany and Russia. Despite Germany and Russia being on different sides in the World War and having a different government and political ways of running the counties, they both had tremendous major changes happen within the political environment. For Germany, it had been inevitable that the smaller ‘Hybrid Wars’ which then led to ‘Total War’ would have made a difference to their political system and how the government ruled the country. Due to Germany originally having a Kaiser run their country and who made all the decisions, it meant that the transition to a Weimar Republic would have been portrayed as a great change at the time. This had been because the people of Germany had not always agreed with the Kaiser’s choices, which suggested that with the Weimar Republic the people of Germany would have an input into decision that could impact them. The ‘Total War’ which Germany had gotten involved in on the wrong side, indicated to other countries in Europe that the Kaiser could not think for the country and only to prove himself to the rest of the world, which resulted in a power and political shift in Germany to rectify this problem. The ‘Hybrid Wars’ that Russia had been part of before the ‘Total War’ had indicated that as a nation, they could really thrive and deserved to have more power than they already had. This led to the involvement of Russia being in the ‘Total War’ which meant that they managed to prove to the rest of Europe that they can be a great source of power and importance. The inevitable major political change that Russia had after ‘Total War’ had been the shift in power, they had gotten rid of the Tsar government and had one-person in charge. Overall, </w:t>
      </w:r>
      <w:proofErr w:type="gramStart"/>
      <w:r>
        <w:t>it is clear that the</w:t>
      </w:r>
      <w:proofErr w:type="gramEnd"/>
      <w:r>
        <w:t xml:space="preserve"> impact of having a World War would change the political systems in various countries all over Europe, particularly in Russia and Germany where their systems had already been struggling before the war took place.</w:t>
      </w:r>
    </w:p>
    <w:p w14:paraId="58190F01" w14:textId="228E8B44" w:rsidR="5BD8D71D" w:rsidRDefault="5BD8D71D" w:rsidP="5BD8D71D">
      <w:pPr>
        <w:spacing w:line="360" w:lineRule="auto"/>
        <w:jc w:val="both"/>
      </w:pPr>
    </w:p>
    <w:p w14:paraId="13751DC4" w14:textId="04E55469" w:rsidR="5BD8D71D" w:rsidRDefault="5BD8D71D" w:rsidP="5BD8D71D">
      <w:pPr>
        <w:spacing w:line="360" w:lineRule="auto"/>
        <w:jc w:val="both"/>
        <w:rPr>
          <w:u w:val="single"/>
        </w:rPr>
      </w:pPr>
    </w:p>
    <w:p w14:paraId="6A1A0842" w14:textId="3810BDC9" w:rsidR="5BD8D71D" w:rsidRDefault="5BD8D71D" w:rsidP="5BD8D71D">
      <w:pPr>
        <w:spacing w:line="360" w:lineRule="auto"/>
        <w:jc w:val="both"/>
        <w:rPr>
          <w:u w:val="single"/>
        </w:rPr>
      </w:pPr>
      <w:r w:rsidRPr="5BD8D71D">
        <w:rPr>
          <w:u w:val="single"/>
        </w:rPr>
        <w:t>Bibliography:</w:t>
      </w:r>
    </w:p>
    <w:p w14:paraId="33FA22B8" w14:textId="77777777" w:rsidR="005D567E" w:rsidRPr="005D567E" w:rsidRDefault="005D567E" w:rsidP="5BD8D71D">
      <w:pPr>
        <w:rPr>
          <w:rFonts w:eastAsiaTheme="minorEastAsia"/>
          <w:sz w:val="20"/>
          <w:szCs w:val="20"/>
        </w:rPr>
      </w:pPr>
      <w:proofErr w:type="spellStart"/>
      <w:r w:rsidRPr="005D567E">
        <w:rPr>
          <w:rFonts w:eastAsiaTheme="minorEastAsia"/>
          <w:sz w:val="20"/>
          <w:szCs w:val="20"/>
        </w:rPr>
        <w:t>Afflerback</w:t>
      </w:r>
      <w:proofErr w:type="spellEnd"/>
      <w:r w:rsidRPr="005D567E">
        <w:rPr>
          <w:rFonts w:eastAsiaTheme="minorEastAsia"/>
          <w:sz w:val="20"/>
          <w:szCs w:val="20"/>
        </w:rPr>
        <w:t xml:space="preserve">, Holger, ‘Wilhelm II as Supreme Warlord in the First World War’, </w:t>
      </w:r>
      <w:r w:rsidRPr="005D567E">
        <w:rPr>
          <w:rFonts w:eastAsiaTheme="minorEastAsia"/>
          <w:i/>
          <w:iCs/>
          <w:sz w:val="20"/>
          <w:szCs w:val="20"/>
        </w:rPr>
        <w:t>War in History,</w:t>
      </w:r>
      <w:r w:rsidRPr="005D567E">
        <w:rPr>
          <w:rFonts w:eastAsiaTheme="minorEastAsia"/>
          <w:sz w:val="20"/>
          <w:szCs w:val="20"/>
        </w:rPr>
        <w:t xml:space="preserve"> 5.4 (1998), 427-449 &lt;URL: https://www.jstor.org/stable/26014231&gt;.</w:t>
      </w:r>
    </w:p>
    <w:p w14:paraId="1E12C436" w14:textId="77777777" w:rsidR="005D567E" w:rsidRPr="005D567E" w:rsidRDefault="005D567E" w:rsidP="5BD8D71D">
      <w:pPr>
        <w:rPr>
          <w:rFonts w:eastAsiaTheme="minorEastAsia"/>
          <w:sz w:val="20"/>
          <w:szCs w:val="20"/>
        </w:rPr>
      </w:pPr>
      <w:r w:rsidRPr="005D567E">
        <w:rPr>
          <w:rFonts w:eastAsiaTheme="minorEastAsia"/>
          <w:sz w:val="20"/>
          <w:szCs w:val="20"/>
        </w:rPr>
        <w:t>Cambridge Dictionary,</w:t>
      </w:r>
      <w:r w:rsidRPr="005D567E">
        <w:rPr>
          <w:rFonts w:eastAsiaTheme="minorEastAsia"/>
          <w:i/>
          <w:iCs/>
          <w:sz w:val="20"/>
          <w:szCs w:val="20"/>
        </w:rPr>
        <w:t xml:space="preserve"> Hybrid Warfare </w:t>
      </w:r>
      <w:r w:rsidRPr="005D567E">
        <w:rPr>
          <w:rFonts w:eastAsiaTheme="minorEastAsia"/>
          <w:sz w:val="20"/>
          <w:szCs w:val="20"/>
        </w:rPr>
        <w:t>(2022) &lt;https://dictionary.cambridge.org/dictionary/english/hybrid-warfare&gt; [accessed 10 June 2022]</w:t>
      </w:r>
    </w:p>
    <w:p w14:paraId="50FE1D83" w14:textId="77777777" w:rsidR="005D567E" w:rsidRPr="005D567E" w:rsidRDefault="005D567E" w:rsidP="5BD8D71D">
      <w:pPr>
        <w:pStyle w:val="FootnoteText"/>
      </w:pPr>
      <w:r w:rsidRPr="005D567E">
        <w:t xml:space="preserve">Hans </w:t>
      </w:r>
      <w:proofErr w:type="spellStart"/>
      <w:r w:rsidRPr="005D567E">
        <w:t>Gatzke</w:t>
      </w:r>
      <w:proofErr w:type="spellEnd"/>
      <w:r w:rsidRPr="005D567E">
        <w:t xml:space="preserve">, ‘The Republic of Weimar’, </w:t>
      </w:r>
      <w:r w:rsidRPr="005D567E">
        <w:rPr>
          <w:i/>
          <w:iCs/>
        </w:rPr>
        <w:t>Current History</w:t>
      </w:r>
      <w:r w:rsidRPr="005D567E">
        <w:t>, 28.164 (1955), 217-222 &lt;URL: https://www.jstor.org/stable/45308821&gt;.</w:t>
      </w:r>
    </w:p>
    <w:p w14:paraId="0ED943C9" w14:textId="77777777" w:rsidR="005D567E" w:rsidRDefault="005D567E" w:rsidP="5BD8D71D">
      <w:pPr>
        <w:pStyle w:val="FootnoteText"/>
        <w:rPr>
          <w:rFonts w:eastAsiaTheme="minorEastAsia"/>
        </w:rPr>
      </w:pPr>
    </w:p>
    <w:p w14:paraId="3FBF18E2" w14:textId="6AFD34A3" w:rsidR="005D567E" w:rsidRPr="005D567E" w:rsidRDefault="005D567E" w:rsidP="5BD8D71D">
      <w:pPr>
        <w:pStyle w:val="FootnoteText"/>
        <w:rPr>
          <w:rFonts w:eastAsiaTheme="minorEastAsia"/>
        </w:rPr>
      </w:pPr>
      <w:r w:rsidRPr="005D567E">
        <w:rPr>
          <w:rFonts w:eastAsiaTheme="minorEastAsia"/>
        </w:rPr>
        <w:t xml:space="preserve">Kerensky, Alexander, ‘Russia on the Eve of World War I’, </w:t>
      </w:r>
      <w:r w:rsidRPr="005D567E">
        <w:rPr>
          <w:rFonts w:eastAsiaTheme="minorEastAsia"/>
          <w:i/>
          <w:iCs/>
        </w:rPr>
        <w:t>The Russian Review</w:t>
      </w:r>
      <w:r w:rsidRPr="005D567E">
        <w:rPr>
          <w:rFonts w:eastAsiaTheme="minorEastAsia"/>
        </w:rPr>
        <w:t>, 5.1 (1945), 10-30 &lt;URL: https://www.jstor.org/stable/125536&gt;.</w:t>
      </w:r>
    </w:p>
    <w:p w14:paraId="5F5A10A7" w14:textId="77777777" w:rsidR="005D567E" w:rsidRDefault="005D567E" w:rsidP="5BD8D71D">
      <w:pPr>
        <w:pStyle w:val="FootnoteText"/>
        <w:rPr>
          <w:rFonts w:eastAsiaTheme="minorEastAsia"/>
        </w:rPr>
      </w:pPr>
    </w:p>
    <w:p w14:paraId="212A7E54" w14:textId="400A1F28" w:rsidR="005D567E" w:rsidRPr="005D567E" w:rsidRDefault="005D567E" w:rsidP="5BD8D71D">
      <w:pPr>
        <w:pStyle w:val="FootnoteText"/>
        <w:rPr>
          <w:rFonts w:eastAsiaTheme="minorEastAsia"/>
        </w:rPr>
      </w:pPr>
      <w:r w:rsidRPr="005D567E">
        <w:rPr>
          <w:rFonts w:eastAsiaTheme="minorEastAsia"/>
        </w:rPr>
        <w:t xml:space="preserve">Mommsen, Wolfgang, ‘Kaiser Wilhelm II and German Politics’, </w:t>
      </w:r>
      <w:r w:rsidRPr="005D567E">
        <w:rPr>
          <w:rFonts w:eastAsiaTheme="minorEastAsia"/>
          <w:i/>
          <w:iCs/>
        </w:rPr>
        <w:t>Journal of Contemporary History</w:t>
      </w:r>
      <w:r w:rsidRPr="005D567E">
        <w:rPr>
          <w:rFonts w:eastAsiaTheme="minorEastAsia"/>
        </w:rPr>
        <w:t>, 25.3 (1990), 289-316 &lt;URL: https://www.jstor.org/stable/260734&gt;.</w:t>
      </w:r>
    </w:p>
    <w:p w14:paraId="67550719" w14:textId="77777777" w:rsidR="005D567E" w:rsidRDefault="005D567E" w:rsidP="5BD8D71D">
      <w:pPr>
        <w:pStyle w:val="FootnoteText"/>
        <w:rPr>
          <w:rFonts w:eastAsiaTheme="minorEastAsia"/>
        </w:rPr>
      </w:pPr>
    </w:p>
    <w:p w14:paraId="763D2964" w14:textId="1D3DCFAE" w:rsidR="005D567E" w:rsidRPr="005D567E" w:rsidRDefault="005D567E" w:rsidP="5BD8D71D">
      <w:pPr>
        <w:pStyle w:val="FootnoteText"/>
        <w:rPr>
          <w:rFonts w:eastAsiaTheme="minorEastAsia"/>
        </w:rPr>
      </w:pPr>
      <w:r w:rsidRPr="005D567E">
        <w:rPr>
          <w:rFonts w:eastAsiaTheme="minorEastAsia"/>
        </w:rPr>
        <w:t xml:space="preserve">Oxford Reference, </w:t>
      </w:r>
      <w:r w:rsidRPr="005D567E">
        <w:rPr>
          <w:rFonts w:eastAsiaTheme="minorEastAsia"/>
          <w:i/>
          <w:iCs/>
        </w:rPr>
        <w:t>Total War</w:t>
      </w:r>
      <w:r w:rsidRPr="005D567E">
        <w:rPr>
          <w:rFonts w:eastAsiaTheme="minorEastAsia"/>
        </w:rPr>
        <w:t xml:space="preserve"> (2022) &lt;https://www.oxfordreference.com/view/10.1093/oi/authority.20110803105038425&gt; [accessed 10 June 2022]</w:t>
      </w:r>
    </w:p>
    <w:p w14:paraId="096F927E" w14:textId="77777777" w:rsidR="005D567E" w:rsidRDefault="005D567E" w:rsidP="5BD8D71D">
      <w:pPr>
        <w:pStyle w:val="FootnoteText"/>
        <w:rPr>
          <w:rFonts w:eastAsiaTheme="minorEastAsia"/>
        </w:rPr>
      </w:pPr>
    </w:p>
    <w:p w14:paraId="2369C91B" w14:textId="43FE2F76" w:rsidR="005D567E" w:rsidRPr="005D567E" w:rsidRDefault="005D567E" w:rsidP="5BD8D71D">
      <w:pPr>
        <w:pStyle w:val="FootnoteText"/>
        <w:rPr>
          <w:rFonts w:eastAsiaTheme="minorEastAsia"/>
        </w:rPr>
      </w:pPr>
      <w:r w:rsidRPr="005D567E">
        <w:rPr>
          <w:rFonts w:eastAsiaTheme="minorEastAsia"/>
        </w:rPr>
        <w:t xml:space="preserve">Ropes, Arthur, ‘The Causes of the Seven Years’ War’, </w:t>
      </w:r>
      <w:r w:rsidRPr="005D567E">
        <w:rPr>
          <w:rFonts w:eastAsiaTheme="minorEastAsia"/>
          <w:i/>
          <w:iCs/>
        </w:rPr>
        <w:t>Transactions of the Royal Historical Society,</w:t>
      </w:r>
      <w:r w:rsidRPr="005D567E">
        <w:rPr>
          <w:rFonts w:eastAsiaTheme="minorEastAsia"/>
        </w:rPr>
        <w:t xml:space="preserve"> 4 (1889), 143-170 &lt;https://jstor.org/stable/3678265&gt;.</w:t>
      </w:r>
    </w:p>
    <w:p w14:paraId="5DA08E6F" w14:textId="77777777" w:rsidR="005D567E" w:rsidRDefault="005D567E" w:rsidP="5BD8D71D">
      <w:pPr>
        <w:pStyle w:val="FootnoteText"/>
      </w:pPr>
    </w:p>
    <w:p w14:paraId="2C54DA51" w14:textId="1853B056" w:rsidR="005D567E" w:rsidRPr="005D567E" w:rsidRDefault="005D567E" w:rsidP="5BD8D71D">
      <w:pPr>
        <w:pStyle w:val="FootnoteText"/>
      </w:pPr>
      <w:r w:rsidRPr="005D567E">
        <w:t xml:space="preserve">Sage Publications Inc, ‘Russia, 1917-1927', </w:t>
      </w:r>
      <w:r w:rsidRPr="005D567E">
        <w:rPr>
          <w:i/>
          <w:iCs/>
        </w:rPr>
        <w:t>Advocate of Peace through Justice</w:t>
      </w:r>
      <w:r w:rsidRPr="005D567E">
        <w:t>, 89.4 (1927), 207-208 &lt;URL: https://www.jstor.org/stable/20661552&gt;.</w:t>
      </w:r>
    </w:p>
    <w:p w14:paraId="55F0C614" w14:textId="77777777" w:rsidR="005D567E" w:rsidRDefault="005D567E" w:rsidP="5BD8D71D">
      <w:pPr>
        <w:rPr>
          <w:sz w:val="20"/>
          <w:szCs w:val="20"/>
        </w:rPr>
      </w:pPr>
    </w:p>
    <w:p w14:paraId="4E48102B" w14:textId="73852531" w:rsidR="005D567E" w:rsidRPr="005D567E" w:rsidRDefault="005D567E" w:rsidP="5BD8D71D">
      <w:pPr>
        <w:rPr>
          <w:sz w:val="20"/>
          <w:szCs w:val="20"/>
        </w:rPr>
      </w:pPr>
      <w:r w:rsidRPr="005D567E">
        <w:rPr>
          <w:sz w:val="20"/>
          <w:szCs w:val="20"/>
        </w:rPr>
        <w:t xml:space="preserve">Schmitt, Bernadotte, ‘The Diplomatic Preliminaries of the Crimean War’, </w:t>
      </w:r>
      <w:r w:rsidRPr="005D567E">
        <w:rPr>
          <w:i/>
          <w:iCs/>
          <w:sz w:val="20"/>
          <w:szCs w:val="20"/>
        </w:rPr>
        <w:t>The American Historical Review</w:t>
      </w:r>
      <w:r w:rsidRPr="005D567E">
        <w:rPr>
          <w:sz w:val="20"/>
          <w:szCs w:val="20"/>
        </w:rPr>
        <w:t>, 25.1 (1919), 36-67 &lt;URL: https://www.jstor.org/stable/1836373&gt;.</w:t>
      </w:r>
    </w:p>
    <w:p w14:paraId="3DA12B0C" w14:textId="77777777" w:rsidR="005D567E" w:rsidRPr="005D567E" w:rsidRDefault="005D567E" w:rsidP="5BD8D71D">
      <w:pPr>
        <w:spacing w:line="360" w:lineRule="auto"/>
        <w:jc w:val="both"/>
        <w:rPr>
          <w:rFonts w:eastAsiaTheme="minorEastAsia"/>
          <w:sz w:val="20"/>
          <w:szCs w:val="20"/>
        </w:rPr>
      </w:pPr>
      <w:proofErr w:type="spellStart"/>
      <w:r w:rsidRPr="005D567E">
        <w:rPr>
          <w:rFonts w:eastAsiaTheme="minorEastAsia"/>
          <w:sz w:val="20"/>
          <w:szCs w:val="20"/>
        </w:rPr>
        <w:t>Wohlforth</w:t>
      </w:r>
      <w:proofErr w:type="spellEnd"/>
      <w:r w:rsidRPr="005D567E">
        <w:rPr>
          <w:rFonts w:eastAsiaTheme="minorEastAsia"/>
          <w:sz w:val="20"/>
          <w:szCs w:val="20"/>
        </w:rPr>
        <w:t xml:space="preserve">, William, ‘The Perception of Power: Russia in the Pre-1914 Balance’, </w:t>
      </w:r>
      <w:r w:rsidRPr="005D567E">
        <w:rPr>
          <w:rFonts w:eastAsiaTheme="minorEastAsia"/>
          <w:i/>
          <w:iCs/>
          <w:sz w:val="20"/>
          <w:szCs w:val="20"/>
        </w:rPr>
        <w:t>World Politics</w:t>
      </w:r>
      <w:r w:rsidRPr="005D567E">
        <w:rPr>
          <w:rFonts w:eastAsiaTheme="minorEastAsia"/>
          <w:sz w:val="20"/>
          <w:szCs w:val="20"/>
        </w:rPr>
        <w:t>, 39.3 (1987), 353-381 &lt;URL: https://www.jstor.org/stable/2010224&gt;.</w:t>
      </w:r>
    </w:p>
    <w:sectPr w:rsidR="005D567E" w:rsidRPr="005D567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69FFE" w14:textId="77777777" w:rsidR="00FC2D02" w:rsidRDefault="00FC2D02">
      <w:pPr>
        <w:spacing w:after="0" w:line="240" w:lineRule="auto"/>
      </w:pPr>
      <w:r>
        <w:separator/>
      </w:r>
    </w:p>
  </w:endnote>
  <w:endnote w:type="continuationSeparator" w:id="0">
    <w:p w14:paraId="16483F55" w14:textId="77777777" w:rsidR="00FC2D02" w:rsidRDefault="00FC2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4A17C" w14:textId="77777777" w:rsidR="00FC2D02" w:rsidRDefault="00FC2D02">
      <w:pPr>
        <w:spacing w:after="0" w:line="240" w:lineRule="auto"/>
      </w:pPr>
      <w:r>
        <w:separator/>
      </w:r>
    </w:p>
  </w:footnote>
  <w:footnote w:type="continuationSeparator" w:id="0">
    <w:p w14:paraId="4257EBA0" w14:textId="77777777" w:rsidR="00FC2D02" w:rsidRDefault="00FC2D02">
      <w:pPr>
        <w:spacing w:after="0" w:line="240" w:lineRule="auto"/>
      </w:pPr>
      <w:r>
        <w:continuationSeparator/>
      </w:r>
    </w:p>
  </w:footnote>
  <w:footnote w:id="1">
    <w:p w14:paraId="7B3A1E95" w14:textId="3488D383" w:rsidR="5BD8D71D" w:rsidRPr="005D567E" w:rsidRDefault="5BD8D71D" w:rsidP="5BD8D71D">
      <w:pPr>
        <w:pStyle w:val="FootnoteText"/>
      </w:pPr>
      <w:r w:rsidRPr="5BD8D71D">
        <w:rPr>
          <w:rStyle w:val="FootnoteReference"/>
        </w:rPr>
        <w:footnoteRef/>
      </w:r>
      <w:r>
        <w:t xml:space="preserve"> </w:t>
      </w:r>
      <w:r w:rsidRPr="005D567E">
        <w:t>Cambridge Dictionary,</w:t>
      </w:r>
      <w:r w:rsidRPr="005D567E">
        <w:rPr>
          <w:i/>
          <w:iCs/>
        </w:rPr>
        <w:t xml:space="preserve"> Hybrid Warfare </w:t>
      </w:r>
      <w:r w:rsidRPr="005D567E">
        <w:t>(2022) &lt;https://dictionary.cambridge.org/dictionary/english/hybrid-warfare&gt; [accessed 10 June 2022]</w:t>
      </w:r>
    </w:p>
  </w:footnote>
  <w:footnote w:id="2">
    <w:p w14:paraId="5FD7B781" w14:textId="18C2112B" w:rsidR="5BD8D71D" w:rsidRPr="005D567E" w:rsidRDefault="5BD8D71D" w:rsidP="5BD8D71D">
      <w:pPr>
        <w:pStyle w:val="FootnoteText"/>
      </w:pPr>
      <w:r w:rsidRPr="005D567E">
        <w:rPr>
          <w:rStyle w:val="FootnoteReference"/>
        </w:rPr>
        <w:footnoteRef/>
      </w:r>
      <w:r w:rsidRPr="005D567E">
        <w:t xml:space="preserve"> Oxford Reference, </w:t>
      </w:r>
      <w:r w:rsidRPr="005D567E">
        <w:rPr>
          <w:i/>
          <w:iCs/>
        </w:rPr>
        <w:t>Total War</w:t>
      </w:r>
      <w:r w:rsidRPr="005D567E">
        <w:t xml:space="preserve"> (2022) &lt;https://www.oxfordreference.com/view/10.1093/oi/authority.20110803105038425&gt; [accessed 10 June 2022]</w:t>
      </w:r>
    </w:p>
  </w:footnote>
  <w:footnote w:id="3">
    <w:p w14:paraId="5ADCDDCD" w14:textId="7368B8A4" w:rsidR="5BD8D71D" w:rsidRDefault="5BD8D71D" w:rsidP="5BD8D71D">
      <w:pPr>
        <w:rPr>
          <w:i/>
          <w:iCs/>
        </w:rPr>
      </w:pPr>
      <w:r w:rsidRPr="005D567E">
        <w:rPr>
          <w:rStyle w:val="FootnoteReference"/>
          <w:sz w:val="20"/>
          <w:szCs w:val="20"/>
        </w:rPr>
        <w:footnoteRef/>
      </w:r>
      <w:r w:rsidRPr="005D567E">
        <w:rPr>
          <w:sz w:val="20"/>
          <w:szCs w:val="20"/>
        </w:rPr>
        <w:t xml:space="preserve"> Holger </w:t>
      </w:r>
      <w:proofErr w:type="spellStart"/>
      <w:r w:rsidRPr="005D567E">
        <w:rPr>
          <w:sz w:val="20"/>
          <w:szCs w:val="20"/>
        </w:rPr>
        <w:t>Afflerback</w:t>
      </w:r>
      <w:proofErr w:type="spellEnd"/>
      <w:r w:rsidRPr="005D567E">
        <w:rPr>
          <w:sz w:val="20"/>
          <w:szCs w:val="20"/>
        </w:rPr>
        <w:t xml:space="preserve">, ‘Wilhelm II as Supreme Warlord in the First World War’, </w:t>
      </w:r>
      <w:r w:rsidRPr="005D567E">
        <w:rPr>
          <w:i/>
          <w:iCs/>
          <w:sz w:val="20"/>
          <w:szCs w:val="20"/>
        </w:rPr>
        <w:t>War in History,</w:t>
      </w:r>
      <w:r w:rsidRPr="005D567E">
        <w:rPr>
          <w:sz w:val="20"/>
          <w:szCs w:val="20"/>
        </w:rPr>
        <w:t xml:space="preserve"> 5.4 (1998), 427-449 &lt;URL: https://www.jstor.org/stable/26014231&gt;.</w:t>
      </w:r>
    </w:p>
  </w:footnote>
  <w:footnote w:id="4">
    <w:p w14:paraId="04218961" w14:textId="7AA155BF" w:rsidR="5BD8D71D" w:rsidRDefault="5BD8D71D" w:rsidP="5BD8D71D">
      <w:pPr>
        <w:pStyle w:val="FootnoteText"/>
      </w:pPr>
      <w:r w:rsidRPr="5BD8D71D">
        <w:rPr>
          <w:rStyle w:val="FootnoteReference"/>
        </w:rPr>
        <w:footnoteRef/>
      </w:r>
      <w:r>
        <w:t xml:space="preserve"> Arthur Ropes, ‘The Causes of the Seven Years’ War’, </w:t>
      </w:r>
      <w:r w:rsidRPr="5BD8D71D">
        <w:rPr>
          <w:i/>
          <w:iCs/>
        </w:rPr>
        <w:t>Transactions of the Royal Historical Society,</w:t>
      </w:r>
      <w:r>
        <w:t xml:space="preserve"> 4 (1889), 143-170 &lt;URL: https://jstor.org/stable/3678265&gt;.</w:t>
      </w:r>
    </w:p>
  </w:footnote>
  <w:footnote w:id="5">
    <w:p w14:paraId="04AB50D5" w14:textId="1EB4B309" w:rsidR="5BD8D71D" w:rsidRDefault="5BD8D71D" w:rsidP="5BD8D71D">
      <w:pPr>
        <w:pStyle w:val="FootnoteText"/>
      </w:pPr>
      <w:r w:rsidRPr="5BD8D71D">
        <w:rPr>
          <w:rStyle w:val="FootnoteReference"/>
        </w:rPr>
        <w:footnoteRef/>
      </w:r>
      <w:r>
        <w:t xml:space="preserve"> Alexander Kerensky, ‘Russia on the Eve of World War I’, </w:t>
      </w:r>
      <w:r w:rsidRPr="5BD8D71D">
        <w:rPr>
          <w:i/>
          <w:iCs/>
        </w:rPr>
        <w:t>The Russian Review</w:t>
      </w:r>
      <w:r>
        <w:t>, 5.1 (1945), 10-30 &lt;URL: https://www.jstor.org/stable/125536&gt;.</w:t>
      </w:r>
    </w:p>
  </w:footnote>
  <w:footnote w:id="6">
    <w:p w14:paraId="09376733" w14:textId="109FE859" w:rsidR="5BD8D71D" w:rsidRDefault="5BD8D71D" w:rsidP="5BD8D71D">
      <w:pPr>
        <w:pStyle w:val="FootnoteText"/>
      </w:pPr>
      <w:r w:rsidRPr="5BD8D71D">
        <w:rPr>
          <w:rStyle w:val="FootnoteReference"/>
        </w:rPr>
        <w:footnoteRef/>
      </w:r>
      <w:r>
        <w:t xml:space="preserve"> William </w:t>
      </w:r>
      <w:proofErr w:type="spellStart"/>
      <w:r>
        <w:t>Wohlforth</w:t>
      </w:r>
      <w:proofErr w:type="spellEnd"/>
      <w:r>
        <w:t xml:space="preserve">, ‘The Perception of Power: Russia in the Pre-1914 Balance’, </w:t>
      </w:r>
      <w:r w:rsidRPr="5BD8D71D">
        <w:rPr>
          <w:i/>
          <w:iCs/>
        </w:rPr>
        <w:t>World Politics</w:t>
      </w:r>
      <w:r>
        <w:t>, 39.3 (1987), 353-381 &lt;URL: https://www.jstor.org/stable/2010224&gt;.</w:t>
      </w:r>
    </w:p>
  </w:footnote>
  <w:footnote w:id="7">
    <w:p w14:paraId="3E9EC8E3" w14:textId="63E968D3" w:rsidR="5BD8D71D" w:rsidRDefault="5BD8D71D" w:rsidP="5BD8D71D">
      <w:pPr>
        <w:pStyle w:val="FootnoteText"/>
      </w:pPr>
      <w:r w:rsidRPr="5BD8D71D">
        <w:rPr>
          <w:rStyle w:val="FootnoteReference"/>
        </w:rPr>
        <w:footnoteRef/>
      </w:r>
      <w:r>
        <w:t xml:space="preserve"> Bernadotte Schmitt, ‘The Diplomatic Preliminaries of the Crimean War’, </w:t>
      </w:r>
      <w:r w:rsidRPr="5BD8D71D">
        <w:rPr>
          <w:i/>
          <w:iCs/>
        </w:rPr>
        <w:t>The American Historical Review</w:t>
      </w:r>
      <w:r>
        <w:t>, 25.1 (1919), 36-67 &lt;URL: https://www.jstor.org/stable/1836373&gt;.</w:t>
      </w:r>
    </w:p>
  </w:footnote>
  <w:footnote w:id="8">
    <w:p w14:paraId="5A63ED22" w14:textId="19E475BE" w:rsidR="5BD8D71D" w:rsidRDefault="5BD8D71D" w:rsidP="5BD8D71D">
      <w:pPr>
        <w:pStyle w:val="FootnoteText"/>
      </w:pPr>
      <w:r w:rsidRPr="5BD8D71D">
        <w:rPr>
          <w:rStyle w:val="FootnoteReference"/>
        </w:rPr>
        <w:footnoteRef/>
      </w:r>
      <w:r>
        <w:t xml:space="preserve"> Hans </w:t>
      </w:r>
      <w:proofErr w:type="spellStart"/>
      <w:r>
        <w:t>Gatzke</w:t>
      </w:r>
      <w:proofErr w:type="spellEnd"/>
      <w:r>
        <w:t xml:space="preserve">, ‘The Republic of Weimar’, </w:t>
      </w:r>
      <w:r w:rsidRPr="5BD8D71D">
        <w:rPr>
          <w:i/>
          <w:iCs/>
        </w:rPr>
        <w:t>Current History</w:t>
      </w:r>
      <w:r>
        <w:t>, 28.164 (1955), 217-222 &lt;URL: https://www.jstor.org/stable/45308821&gt;.</w:t>
      </w:r>
    </w:p>
  </w:footnote>
  <w:footnote w:id="9">
    <w:p w14:paraId="77A5E380" w14:textId="27B2E6BA" w:rsidR="5BD8D71D" w:rsidRDefault="5BD8D71D" w:rsidP="5BD8D71D">
      <w:pPr>
        <w:pStyle w:val="FootnoteText"/>
      </w:pPr>
      <w:r w:rsidRPr="5BD8D71D">
        <w:rPr>
          <w:rStyle w:val="FootnoteReference"/>
        </w:rPr>
        <w:footnoteRef/>
      </w:r>
      <w:r>
        <w:t xml:space="preserve"> Sage Publications Inc, ‘Russia, 1917-1927', </w:t>
      </w:r>
      <w:r w:rsidRPr="5BD8D71D">
        <w:rPr>
          <w:i/>
          <w:iCs/>
        </w:rPr>
        <w:t>Advocate of Peace through Justice</w:t>
      </w:r>
      <w:r>
        <w:t>, 89.4 (1927), 207-208 &lt;URL: https://www.jstor.org/stable/20661552&gt;.</w:t>
      </w:r>
    </w:p>
  </w:footnote>
</w:footnotes>
</file>

<file path=word/intelligence2.xml><?xml version="1.0" encoding="utf-8"?>
<int2:intelligence xmlns:int2="http://schemas.microsoft.com/office/intelligence/2020/intelligence" xmlns:oel="http://schemas.microsoft.com/office/2019/extlst">
  <int2:observations>
    <int2:bookmark int2:bookmarkName="_Int_ji04SzW7" int2:invalidationBookmarkName="" int2:hashCode="Bk5o0YwslxINsx" int2:id="Tt2BqNfZ">
      <int2:state int2:value="Reviewed" int2:type="WordDesignerPullQuotesAnnotation"/>
    </int2:bookmark>
    <int2:bookmark int2:bookmarkName="_Int_WdZLeBbQ" int2:invalidationBookmarkName="" int2:hashCode="rLGIj6W2aGve3S" int2:id="y7Sjows3">
      <int2:state int2:value="Reviewed" int2:type="WordDesignerPullQuotes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116105"/>
    <w:rsid w:val="0001AA11"/>
    <w:rsid w:val="002B9CC8"/>
    <w:rsid w:val="005D567E"/>
    <w:rsid w:val="00930C06"/>
    <w:rsid w:val="00A6B8CD"/>
    <w:rsid w:val="00FC2D02"/>
    <w:rsid w:val="0156C8AE"/>
    <w:rsid w:val="015C2F57"/>
    <w:rsid w:val="01F6AC28"/>
    <w:rsid w:val="022EDC67"/>
    <w:rsid w:val="02ABBBF0"/>
    <w:rsid w:val="02F7FFB8"/>
    <w:rsid w:val="038B2C1C"/>
    <w:rsid w:val="058F4122"/>
    <w:rsid w:val="05A04928"/>
    <w:rsid w:val="05CA3455"/>
    <w:rsid w:val="06896B24"/>
    <w:rsid w:val="07C38355"/>
    <w:rsid w:val="08C6AF13"/>
    <w:rsid w:val="09A3957B"/>
    <w:rsid w:val="09BAA1B0"/>
    <w:rsid w:val="0AAD3012"/>
    <w:rsid w:val="0B567211"/>
    <w:rsid w:val="0BFE4FD5"/>
    <w:rsid w:val="0C070382"/>
    <w:rsid w:val="0C33C39B"/>
    <w:rsid w:val="0CDF844B"/>
    <w:rsid w:val="0CF24272"/>
    <w:rsid w:val="0D432C93"/>
    <w:rsid w:val="0E012505"/>
    <w:rsid w:val="0FB171C9"/>
    <w:rsid w:val="10258D16"/>
    <w:rsid w:val="1049AE18"/>
    <w:rsid w:val="10943FCB"/>
    <w:rsid w:val="10B04769"/>
    <w:rsid w:val="10BCDC97"/>
    <w:rsid w:val="10D1C0F8"/>
    <w:rsid w:val="1138C5C7"/>
    <w:rsid w:val="113A4DFA"/>
    <w:rsid w:val="1140A7BA"/>
    <w:rsid w:val="1200A9EF"/>
    <w:rsid w:val="124C17CA"/>
    <w:rsid w:val="132758BF"/>
    <w:rsid w:val="13344810"/>
    <w:rsid w:val="133C3B88"/>
    <w:rsid w:val="1353E3BF"/>
    <w:rsid w:val="13CBE08D"/>
    <w:rsid w:val="13E8BE18"/>
    <w:rsid w:val="13F1007F"/>
    <w:rsid w:val="140953FB"/>
    <w:rsid w:val="141392D3"/>
    <w:rsid w:val="14D80BE9"/>
    <w:rsid w:val="14F8FE39"/>
    <w:rsid w:val="154298F6"/>
    <w:rsid w:val="154E8891"/>
    <w:rsid w:val="1567B0EE"/>
    <w:rsid w:val="1583B88C"/>
    <w:rsid w:val="15847FAE"/>
    <w:rsid w:val="15CDB5C4"/>
    <w:rsid w:val="15DE5923"/>
    <w:rsid w:val="15E0581F"/>
    <w:rsid w:val="168EFCE5"/>
    <w:rsid w:val="17937275"/>
    <w:rsid w:val="18116105"/>
    <w:rsid w:val="182ACD46"/>
    <w:rsid w:val="183C3335"/>
    <w:rsid w:val="18A401F1"/>
    <w:rsid w:val="18E703F6"/>
    <w:rsid w:val="1915F9E5"/>
    <w:rsid w:val="1A4C1702"/>
    <w:rsid w:val="1A501216"/>
    <w:rsid w:val="1A5A8679"/>
    <w:rsid w:val="1A78A33E"/>
    <w:rsid w:val="1A7A93AF"/>
    <w:rsid w:val="1AE13040"/>
    <w:rsid w:val="1BD8FAA6"/>
    <w:rsid w:val="1BF3C132"/>
    <w:rsid w:val="1C174FA5"/>
    <w:rsid w:val="1C3CF748"/>
    <w:rsid w:val="1C4D9AA7"/>
    <w:rsid w:val="1D8F9193"/>
    <w:rsid w:val="1D8FA05E"/>
    <w:rsid w:val="1E02B3F9"/>
    <w:rsid w:val="1E18D102"/>
    <w:rsid w:val="1E535D06"/>
    <w:rsid w:val="1F6C130C"/>
    <w:rsid w:val="1F9E845A"/>
    <w:rsid w:val="1FB4A163"/>
    <w:rsid w:val="2024F0FB"/>
    <w:rsid w:val="20C74120"/>
    <w:rsid w:val="20D1986B"/>
    <w:rsid w:val="20E7E4C2"/>
    <w:rsid w:val="20F25A74"/>
    <w:rsid w:val="2110686B"/>
    <w:rsid w:val="21374967"/>
    <w:rsid w:val="213A54BB"/>
    <w:rsid w:val="215071C4"/>
    <w:rsid w:val="21C0C15C"/>
    <w:rsid w:val="21C2B229"/>
    <w:rsid w:val="22631181"/>
    <w:rsid w:val="2265985E"/>
    <w:rsid w:val="226D68CC"/>
    <w:rsid w:val="235E828A"/>
    <w:rsid w:val="23F6F45C"/>
    <w:rsid w:val="255FF920"/>
    <w:rsid w:val="259D3920"/>
    <w:rsid w:val="25C82247"/>
    <w:rsid w:val="267E17BD"/>
    <w:rsid w:val="26D5876E"/>
    <w:rsid w:val="27086A42"/>
    <w:rsid w:val="271FE124"/>
    <w:rsid w:val="2898C5AB"/>
    <w:rsid w:val="28DCAA50"/>
    <w:rsid w:val="29F07A09"/>
    <w:rsid w:val="2A5781E6"/>
    <w:rsid w:val="2A5DE3A2"/>
    <w:rsid w:val="2A70AA43"/>
    <w:rsid w:val="2A98A4FF"/>
    <w:rsid w:val="2AE61933"/>
    <w:rsid w:val="2B506C12"/>
    <w:rsid w:val="2B579D6A"/>
    <w:rsid w:val="2C0C7AA4"/>
    <w:rsid w:val="2C3CB608"/>
    <w:rsid w:val="2C4A9614"/>
    <w:rsid w:val="2CD58BA4"/>
    <w:rsid w:val="2D484589"/>
    <w:rsid w:val="2DA84B05"/>
    <w:rsid w:val="2E20C549"/>
    <w:rsid w:val="2EC8EA74"/>
    <w:rsid w:val="2FBC95AA"/>
    <w:rsid w:val="2FCFEB57"/>
    <w:rsid w:val="301C2054"/>
    <w:rsid w:val="30247186"/>
    <w:rsid w:val="30A2ABC7"/>
    <w:rsid w:val="30DD64EA"/>
    <w:rsid w:val="319B21F5"/>
    <w:rsid w:val="31D8A322"/>
    <w:rsid w:val="31F773D8"/>
    <w:rsid w:val="320126CB"/>
    <w:rsid w:val="328B7A1C"/>
    <w:rsid w:val="33078C19"/>
    <w:rsid w:val="337AA30D"/>
    <w:rsid w:val="341505AC"/>
    <w:rsid w:val="35D5FA19"/>
    <w:rsid w:val="3669DFDD"/>
    <w:rsid w:val="366E9318"/>
    <w:rsid w:val="36BFED49"/>
    <w:rsid w:val="37C1BDDA"/>
    <w:rsid w:val="37CF4C19"/>
    <w:rsid w:val="385BBDAA"/>
    <w:rsid w:val="392CB894"/>
    <w:rsid w:val="3953EC8A"/>
    <w:rsid w:val="396B1C7A"/>
    <w:rsid w:val="3976CD9D"/>
    <w:rsid w:val="39A43B9C"/>
    <w:rsid w:val="39C59842"/>
    <w:rsid w:val="3A4DFA56"/>
    <w:rsid w:val="3AB5FE6B"/>
    <w:rsid w:val="3B06ECDB"/>
    <w:rsid w:val="3B400BFD"/>
    <w:rsid w:val="3B728E8D"/>
    <w:rsid w:val="3B780A23"/>
    <w:rsid w:val="3B8772EE"/>
    <w:rsid w:val="3B8EE0B4"/>
    <w:rsid w:val="3BA80911"/>
    <w:rsid w:val="3CFAB227"/>
    <w:rsid w:val="3DA54672"/>
    <w:rsid w:val="3F24ECB6"/>
    <w:rsid w:val="3F3C02B7"/>
    <w:rsid w:val="3F69FD24"/>
    <w:rsid w:val="4085B35D"/>
    <w:rsid w:val="40A8C083"/>
    <w:rsid w:val="41703946"/>
    <w:rsid w:val="41A00AE8"/>
    <w:rsid w:val="43074EE2"/>
    <w:rsid w:val="43259D69"/>
    <w:rsid w:val="43647815"/>
    <w:rsid w:val="4369F3AB"/>
    <w:rsid w:val="437BE4A2"/>
    <w:rsid w:val="43E06145"/>
    <w:rsid w:val="441C757C"/>
    <w:rsid w:val="4427B0B6"/>
    <w:rsid w:val="44D7ABAA"/>
    <w:rsid w:val="457DB9D9"/>
    <w:rsid w:val="45841399"/>
    <w:rsid w:val="45955A03"/>
    <w:rsid w:val="460678C7"/>
    <w:rsid w:val="46194735"/>
    <w:rsid w:val="4628EA58"/>
    <w:rsid w:val="46737C0B"/>
    <w:rsid w:val="46AC08D0"/>
    <w:rsid w:val="46CC1606"/>
    <w:rsid w:val="46E670FE"/>
    <w:rsid w:val="47BBA35B"/>
    <w:rsid w:val="4882415F"/>
    <w:rsid w:val="495773BC"/>
    <w:rsid w:val="49DBBC0C"/>
    <w:rsid w:val="4A543650"/>
    <w:rsid w:val="4B750590"/>
    <w:rsid w:val="4B7F79F3"/>
    <w:rsid w:val="4B846E5B"/>
    <w:rsid w:val="4B9D96B8"/>
    <w:rsid w:val="4D231AC2"/>
    <w:rsid w:val="4D87438B"/>
    <w:rsid w:val="4D88CBBE"/>
    <w:rsid w:val="4DCE92FC"/>
    <w:rsid w:val="4E14C8D1"/>
    <w:rsid w:val="504876B3"/>
    <w:rsid w:val="5057D1BF"/>
    <w:rsid w:val="507107DB"/>
    <w:rsid w:val="510633BE"/>
    <w:rsid w:val="51B17B77"/>
    <w:rsid w:val="51F68BE5"/>
    <w:rsid w:val="520CD83C"/>
    <w:rsid w:val="527DA088"/>
    <w:rsid w:val="529D50E4"/>
    <w:rsid w:val="53925C46"/>
    <w:rsid w:val="55CE69A7"/>
    <w:rsid w:val="55D7ACA3"/>
    <w:rsid w:val="56061E08"/>
    <w:rsid w:val="56C22C9A"/>
    <w:rsid w:val="5700480A"/>
    <w:rsid w:val="58AA8074"/>
    <w:rsid w:val="58D0392A"/>
    <w:rsid w:val="5A6A71D7"/>
    <w:rsid w:val="5A6DB419"/>
    <w:rsid w:val="5AF47528"/>
    <w:rsid w:val="5B406129"/>
    <w:rsid w:val="5B9C8296"/>
    <w:rsid w:val="5BAC4C1D"/>
    <w:rsid w:val="5BD8D71D"/>
    <w:rsid w:val="5C75F3DD"/>
    <w:rsid w:val="5C988631"/>
    <w:rsid w:val="5CF42E1E"/>
    <w:rsid w:val="5D3852F7"/>
    <w:rsid w:val="5DECA44C"/>
    <w:rsid w:val="5E0704F3"/>
    <w:rsid w:val="5E112FED"/>
    <w:rsid w:val="5E2C15EA"/>
    <w:rsid w:val="5E50940F"/>
    <w:rsid w:val="5FAD004E"/>
    <w:rsid w:val="60155A7F"/>
    <w:rsid w:val="601BB43F"/>
    <w:rsid w:val="602BCEE0"/>
    <w:rsid w:val="60F1AA3B"/>
    <w:rsid w:val="610B1CB1"/>
    <w:rsid w:val="6133B97D"/>
    <w:rsid w:val="61489DDE"/>
    <w:rsid w:val="61B12AE0"/>
    <w:rsid w:val="62FF870D"/>
    <w:rsid w:val="647C3BBF"/>
    <w:rsid w:val="64E7436F"/>
    <w:rsid w:val="64E8CBA2"/>
    <w:rsid w:val="64EF2562"/>
    <w:rsid w:val="654B61A0"/>
    <w:rsid w:val="656FDB1F"/>
    <w:rsid w:val="663727CF"/>
    <w:rsid w:val="669F7CAD"/>
    <w:rsid w:val="674C3721"/>
    <w:rsid w:val="67B7DF62"/>
    <w:rsid w:val="6946B8E8"/>
    <w:rsid w:val="698CD6CB"/>
    <w:rsid w:val="69BC3CC5"/>
    <w:rsid w:val="6A8298BA"/>
    <w:rsid w:val="6ACECDB7"/>
    <w:rsid w:val="6ACEDC82"/>
    <w:rsid w:val="6B580D26"/>
    <w:rsid w:val="6C64FF77"/>
    <w:rsid w:val="6C7E59AA"/>
    <w:rsid w:val="6C8945E2"/>
    <w:rsid w:val="6CE4D923"/>
    <w:rsid w:val="6CF25554"/>
    <w:rsid w:val="6DE4EC7E"/>
    <w:rsid w:val="6E00CFD8"/>
    <w:rsid w:val="6E1A2A0B"/>
    <w:rsid w:val="6E2720E6"/>
    <w:rsid w:val="6E4A273A"/>
    <w:rsid w:val="6E8FADE8"/>
    <w:rsid w:val="6F5609DD"/>
    <w:rsid w:val="6F9CA039"/>
    <w:rsid w:val="6FB5FA6C"/>
    <w:rsid w:val="6FC899A0"/>
    <w:rsid w:val="70F1DA3E"/>
    <w:rsid w:val="715EC1A8"/>
    <w:rsid w:val="7166AF2E"/>
    <w:rsid w:val="719D06A0"/>
    <w:rsid w:val="71EF605D"/>
    <w:rsid w:val="726EEDA5"/>
    <w:rsid w:val="728895CB"/>
    <w:rsid w:val="72E2D700"/>
    <w:rsid w:val="72ED9B2E"/>
    <w:rsid w:val="738B30BE"/>
    <w:rsid w:val="740D25B2"/>
    <w:rsid w:val="74297B00"/>
    <w:rsid w:val="74542E02"/>
    <w:rsid w:val="75CD38E7"/>
    <w:rsid w:val="7679B744"/>
    <w:rsid w:val="76A90713"/>
    <w:rsid w:val="77690948"/>
    <w:rsid w:val="77AD5F8A"/>
    <w:rsid w:val="78E9AE33"/>
    <w:rsid w:val="79241EF4"/>
    <w:rsid w:val="79492FEB"/>
    <w:rsid w:val="798CD9E1"/>
    <w:rsid w:val="7A201553"/>
    <w:rsid w:val="7A44A0F4"/>
    <w:rsid w:val="7A633ED9"/>
    <w:rsid w:val="7A861A29"/>
    <w:rsid w:val="7AE5004C"/>
    <w:rsid w:val="7B00AF86"/>
    <w:rsid w:val="7B0D9174"/>
    <w:rsid w:val="7BFF0F3A"/>
    <w:rsid w:val="7C7321AB"/>
    <w:rsid w:val="7CA95416"/>
    <w:rsid w:val="7CC47AA3"/>
    <w:rsid w:val="7D1066A4"/>
    <w:rsid w:val="7D7C0126"/>
    <w:rsid w:val="7DBDBAEB"/>
    <w:rsid w:val="7E1CA10E"/>
    <w:rsid w:val="7E23B8A7"/>
    <w:rsid w:val="7E453236"/>
    <w:rsid w:val="7E80583A"/>
    <w:rsid w:val="7EBDBD04"/>
    <w:rsid w:val="7F106401"/>
    <w:rsid w:val="7F13DC65"/>
    <w:rsid w:val="7F598B4C"/>
    <w:rsid w:val="7FD420A9"/>
    <w:rsid w:val="7FE0F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16105"/>
  <w15:chartTrackingRefBased/>
  <w15:docId w15:val="{59D6D28B-D4E9-4495-92A6-3AA49007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1944</Words>
  <Characters>11083</Characters>
  <Application>Microsoft Office Word</Application>
  <DocSecurity>0</DocSecurity>
  <Lines>92</Lines>
  <Paragraphs>26</Paragraphs>
  <ScaleCrop>false</ScaleCrop>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Slingsby (1804649)</dc:creator>
  <cp:keywords/>
  <dc:description/>
  <cp:lastModifiedBy>Leila Slingsby</cp:lastModifiedBy>
  <cp:revision>2</cp:revision>
  <dcterms:created xsi:type="dcterms:W3CDTF">2022-06-12T09:37:00Z</dcterms:created>
  <dcterms:modified xsi:type="dcterms:W3CDTF">2022-06-12T09:37:00Z</dcterms:modified>
</cp:coreProperties>
</file>