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68140" w14:textId="5ED74227" w:rsidR="00AF3930" w:rsidRPr="008F7572" w:rsidRDefault="00ED2B81" w:rsidP="008F7572">
      <w:pPr>
        <w:spacing w:line="480" w:lineRule="auto"/>
        <w:jc w:val="center"/>
        <w:rPr>
          <w:sz w:val="28"/>
          <w:szCs w:val="28"/>
        </w:rPr>
      </w:pPr>
      <w:r w:rsidRPr="008F7572">
        <w:rPr>
          <w:sz w:val="28"/>
          <w:szCs w:val="28"/>
        </w:rPr>
        <w:t>Account of Sources</w:t>
      </w:r>
    </w:p>
    <w:p w14:paraId="7B913E3E" w14:textId="55341A4F" w:rsidR="00367BDA" w:rsidRPr="008F7572" w:rsidRDefault="00367BDA" w:rsidP="008F7572">
      <w:pPr>
        <w:spacing w:line="480" w:lineRule="auto"/>
        <w:jc w:val="both"/>
        <w:rPr>
          <w:sz w:val="24"/>
          <w:szCs w:val="24"/>
        </w:rPr>
      </w:pPr>
      <w:r w:rsidRPr="008F7572">
        <w:rPr>
          <w:sz w:val="24"/>
          <w:szCs w:val="24"/>
        </w:rPr>
        <w:t>Three accounts of Alexander the Great encountering Queen Talestris of the Amazons are used here to give an account of the interaction. The first was written by Quintus Curtius Rufus and dates around 1AD</w:t>
      </w:r>
      <w:r w:rsidR="00B933CF" w:rsidRPr="008F7572">
        <w:rPr>
          <w:sz w:val="24"/>
          <w:szCs w:val="24"/>
        </w:rPr>
        <w:t>.</w:t>
      </w:r>
      <w:r w:rsidR="00B933CF" w:rsidRPr="008F7572">
        <w:rPr>
          <w:rStyle w:val="FootnoteReference"/>
          <w:sz w:val="24"/>
          <w:szCs w:val="24"/>
        </w:rPr>
        <w:footnoteReference w:id="1"/>
      </w:r>
      <w:r w:rsidRPr="008F7572">
        <w:rPr>
          <w:sz w:val="24"/>
          <w:szCs w:val="24"/>
        </w:rPr>
        <w:t xml:space="preserve"> It</w:t>
      </w:r>
      <w:r w:rsidRPr="008F7572">
        <w:rPr>
          <w:sz w:val="24"/>
          <w:szCs w:val="24"/>
        </w:rPr>
        <w:t xml:space="preserve"> is a biography of </w:t>
      </w:r>
      <w:r w:rsidRPr="008F7572">
        <w:rPr>
          <w:sz w:val="24"/>
          <w:szCs w:val="24"/>
        </w:rPr>
        <w:t>Alexander</w:t>
      </w:r>
      <w:r w:rsidR="008F7572">
        <w:rPr>
          <w:sz w:val="24"/>
          <w:szCs w:val="24"/>
        </w:rPr>
        <w:t>'</w:t>
      </w:r>
      <w:r w:rsidRPr="008F7572">
        <w:rPr>
          <w:sz w:val="24"/>
          <w:szCs w:val="24"/>
        </w:rPr>
        <w:t>s</w:t>
      </w:r>
      <w:r w:rsidRPr="008F7572">
        <w:rPr>
          <w:sz w:val="24"/>
          <w:szCs w:val="24"/>
        </w:rPr>
        <w:t xml:space="preserve"> life </w:t>
      </w:r>
      <w:r w:rsidRPr="008F7572">
        <w:rPr>
          <w:sz w:val="24"/>
          <w:szCs w:val="24"/>
        </w:rPr>
        <w:t xml:space="preserve">originally </w:t>
      </w:r>
      <w:r w:rsidRPr="008F7572">
        <w:rPr>
          <w:sz w:val="24"/>
          <w:szCs w:val="24"/>
        </w:rPr>
        <w:t>written in Latin</w:t>
      </w:r>
      <w:r w:rsidR="00B933CF" w:rsidRPr="008F7572">
        <w:rPr>
          <w:sz w:val="24"/>
          <w:szCs w:val="24"/>
        </w:rPr>
        <w:t>.</w:t>
      </w:r>
      <w:r w:rsidR="00B933CF" w:rsidRPr="008F7572">
        <w:rPr>
          <w:rStyle w:val="FootnoteReference"/>
          <w:sz w:val="24"/>
          <w:szCs w:val="24"/>
        </w:rPr>
        <w:footnoteReference w:id="2"/>
      </w:r>
      <w:r w:rsidRPr="008F7572">
        <w:rPr>
          <w:sz w:val="24"/>
          <w:szCs w:val="24"/>
        </w:rPr>
        <w:t xml:space="preserve"> </w:t>
      </w:r>
      <w:r w:rsidRPr="008F7572">
        <w:rPr>
          <w:sz w:val="24"/>
          <w:szCs w:val="24"/>
        </w:rPr>
        <w:t xml:space="preserve">The second account is given by Walter of </w:t>
      </w:r>
      <w:r w:rsidRPr="008F7572">
        <w:rPr>
          <w:sz w:val="24"/>
          <w:szCs w:val="24"/>
        </w:rPr>
        <w:t>Châtillon</w:t>
      </w:r>
      <w:r w:rsidRPr="008F7572">
        <w:rPr>
          <w:sz w:val="24"/>
          <w:szCs w:val="24"/>
        </w:rPr>
        <w:t xml:space="preserve"> and is</w:t>
      </w:r>
      <w:r w:rsidR="0000692F" w:rsidRPr="008F7572">
        <w:rPr>
          <w:sz w:val="24"/>
          <w:szCs w:val="24"/>
        </w:rPr>
        <w:t xml:space="preserve"> about the life of Alexander</w:t>
      </w:r>
      <w:r w:rsidR="008F7572">
        <w:rPr>
          <w:sz w:val="24"/>
          <w:szCs w:val="24"/>
        </w:rPr>
        <w:t>,</w:t>
      </w:r>
      <w:r w:rsidR="0000692F" w:rsidRPr="008F7572">
        <w:rPr>
          <w:sz w:val="24"/>
          <w:szCs w:val="24"/>
        </w:rPr>
        <w:t xml:space="preserve"> written </w:t>
      </w:r>
      <w:r w:rsidR="006524D2" w:rsidRPr="008F7572">
        <w:rPr>
          <w:sz w:val="24"/>
          <w:szCs w:val="24"/>
        </w:rPr>
        <w:t>as</w:t>
      </w:r>
      <w:r w:rsidR="0000692F" w:rsidRPr="008F7572">
        <w:rPr>
          <w:sz w:val="24"/>
          <w:szCs w:val="24"/>
        </w:rPr>
        <w:t xml:space="preserve"> a </w:t>
      </w:r>
      <w:r w:rsidR="006524D2" w:rsidRPr="008F7572">
        <w:rPr>
          <w:sz w:val="24"/>
          <w:szCs w:val="24"/>
        </w:rPr>
        <w:t>ten-book</w:t>
      </w:r>
      <w:r w:rsidR="0000692F" w:rsidRPr="008F7572">
        <w:rPr>
          <w:sz w:val="24"/>
          <w:szCs w:val="24"/>
        </w:rPr>
        <w:t xml:space="preserve"> epic originally in Latin.</w:t>
      </w:r>
      <w:r w:rsidR="00B933CF" w:rsidRPr="008F7572">
        <w:rPr>
          <w:rStyle w:val="FootnoteReference"/>
          <w:sz w:val="24"/>
          <w:szCs w:val="24"/>
        </w:rPr>
        <w:footnoteReference w:id="3"/>
      </w:r>
      <w:r w:rsidR="0000692F" w:rsidRPr="008F7572">
        <w:rPr>
          <w:sz w:val="24"/>
          <w:szCs w:val="24"/>
        </w:rPr>
        <w:t xml:space="preserve"> </w:t>
      </w:r>
      <w:r w:rsidR="00B933CF" w:rsidRPr="008F7572">
        <w:rPr>
          <w:sz w:val="24"/>
          <w:szCs w:val="24"/>
        </w:rPr>
        <w:t>I</w:t>
      </w:r>
      <w:r w:rsidR="0000692F" w:rsidRPr="008F7572">
        <w:rPr>
          <w:sz w:val="24"/>
          <w:szCs w:val="24"/>
        </w:rPr>
        <w:t>t dates between 1171 and 1181</w:t>
      </w:r>
      <w:r w:rsidR="00B933CF" w:rsidRPr="008F7572">
        <w:rPr>
          <w:sz w:val="24"/>
          <w:szCs w:val="24"/>
        </w:rPr>
        <w:t>.</w:t>
      </w:r>
      <w:r w:rsidR="00B933CF" w:rsidRPr="008F7572">
        <w:rPr>
          <w:rStyle w:val="FootnoteReference"/>
          <w:sz w:val="24"/>
          <w:szCs w:val="24"/>
        </w:rPr>
        <w:footnoteReference w:id="4"/>
      </w:r>
      <w:r w:rsidR="0000692F" w:rsidRPr="008F7572">
        <w:rPr>
          <w:sz w:val="24"/>
          <w:szCs w:val="24"/>
        </w:rPr>
        <w:t xml:space="preserve"> The third is The Historia de Preliis, the history of </w:t>
      </w:r>
      <w:r w:rsidR="006524D2" w:rsidRPr="008F7572">
        <w:rPr>
          <w:sz w:val="24"/>
          <w:szCs w:val="24"/>
        </w:rPr>
        <w:t>Alexander</w:t>
      </w:r>
      <w:r w:rsidR="008F7572">
        <w:rPr>
          <w:sz w:val="24"/>
          <w:szCs w:val="24"/>
        </w:rPr>
        <w:t>'</w:t>
      </w:r>
      <w:r w:rsidR="006524D2" w:rsidRPr="008F7572">
        <w:rPr>
          <w:sz w:val="24"/>
          <w:szCs w:val="24"/>
        </w:rPr>
        <w:t>s</w:t>
      </w:r>
      <w:r w:rsidR="0000692F" w:rsidRPr="008F7572">
        <w:rPr>
          <w:sz w:val="24"/>
          <w:szCs w:val="24"/>
        </w:rPr>
        <w:t xml:space="preserve"> battles. The original was written in </w:t>
      </w:r>
      <w:r w:rsidR="008F7572">
        <w:rPr>
          <w:sz w:val="24"/>
          <w:szCs w:val="24"/>
        </w:rPr>
        <w:t>G</w:t>
      </w:r>
      <w:r w:rsidR="0000692F" w:rsidRPr="008F7572">
        <w:rPr>
          <w:sz w:val="24"/>
          <w:szCs w:val="24"/>
        </w:rPr>
        <w:t>reek around the 3</w:t>
      </w:r>
      <w:r w:rsidR="0000692F" w:rsidRPr="008F7572">
        <w:rPr>
          <w:sz w:val="24"/>
          <w:szCs w:val="24"/>
          <w:vertAlign w:val="superscript"/>
        </w:rPr>
        <w:t>rd</w:t>
      </w:r>
      <w:r w:rsidR="0000692F" w:rsidRPr="008F7572">
        <w:rPr>
          <w:sz w:val="24"/>
          <w:szCs w:val="24"/>
        </w:rPr>
        <w:t xml:space="preserve"> century AD</w:t>
      </w:r>
      <w:r w:rsidR="00B933CF" w:rsidRPr="008F7572">
        <w:rPr>
          <w:sz w:val="24"/>
          <w:szCs w:val="24"/>
        </w:rPr>
        <w:t>.</w:t>
      </w:r>
      <w:r w:rsidR="00B933CF" w:rsidRPr="008F7572">
        <w:rPr>
          <w:rStyle w:val="FootnoteReference"/>
          <w:sz w:val="24"/>
          <w:szCs w:val="24"/>
        </w:rPr>
        <w:footnoteReference w:id="5"/>
      </w:r>
      <w:r w:rsidR="0000692F" w:rsidRPr="008F7572">
        <w:rPr>
          <w:sz w:val="24"/>
          <w:szCs w:val="24"/>
        </w:rPr>
        <w:t xml:space="preserve"> </w:t>
      </w:r>
    </w:p>
    <w:p w14:paraId="317DEA39" w14:textId="6441EC8A" w:rsidR="0000692F" w:rsidRPr="008F7572" w:rsidRDefault="0000692F" w:rsidP="008F7572">
      <w:pPr>
        <w:spacing w:line="480" w:lineRule="auto"/>
        <w:jc w:val="both"/>
        <w:rPr>
          <w:sz w:val="24"/>
          <w:szCs w:val="24"/>
        </w:rPr>
      </w:pPr>
      <w:r w:rsidRPr="008F7572">
        <w:rPr>
          <w:sz w:val="24"/>
          <w:szCs w:val="24"/>
        </w:rPr>
        <w:t xml:space="preserve">The first two accounts </w:t>
      </w:r>
      <w:r w:rsidR="006524D2" w:rsidRPr="008F7572">
        <w:rPr>
          <w:sz w:val="24"/>
          <w:szCs w:val="24"/>
        </w:rPr>
        <w:t xml:space="preserve">of a physical meeting between Alexander and Talestris </w:t>
      </w:r>
      <w:r w:rsidRPr="008F7572">
        <w:rPr>
          <w:sz w:val="24"/>
          <w:szCs w:val="24"/>
        </w:rPr>
        <w:t>differ slightly but</w:t>
      </w:r>
      <w:r w:rsidR="008F7572">
        <w:rPr>
          <w:sz w:val="24"/>
          <w:szCs w:val="24"/>
        </w:rPr>
        <w:t>,</w:t>
      </w:r>
      <w:r w:rsidRPr="008F7572">
        <w:rPr>
          <w:sz w:val="24"/>
          <w:szCs w:val="24"/>
        </w:rPr>
        <w:t xml:space="preserve"> for the most part, are almost identical. This is probably because Walter used Curtius</w:t>
      </w:r>
      <w:r w:rsidR="008F7572">
        <w:rPr>
          <w:sz w:val="24"/>
          <w:szCs w:val="24"/>
        </w:rPr>
        <w:t>'</w:t>
      </w:r>
      <w:r w:rsidRPr="008F7572">
        <w:rPr>
          <w:sz w:val="24"/>
          <w:szCs w:val="24"/>
        </w:rPr>
        <w:t xml:space="preserve"> biography as a source when writing his epic and just changed some of the </w:t>
      </w:r>
      <w:r w:rsidR="006524D2" w:rsidRPr="008F7572">
        <w:rPr>
          <w:sz w:val="24"/>
          <w:szCs w:val="24"/>
        </w:rPr>
        <w:t>layout</w:t>
      </w:r>
      <w:r w:rsidRPr="008F7572">
        <w:rPr>
          <w:sz w:val="24"/>
          <w:szCs w:val="24"/>
        </w:rPr>
        <w:t xml:space="preserve"> and wording to make it fit in with the </w:t>
      </w:r>
      <w:r w:rsidR="006524D2" w:rsidRPr="008F7572">
        <w:rPr>
          <w:sz w:val="24"/>
          <w:szCs w:val="24"/>
        </w:rPr>
        <w:t>style of verse he was using.</w:t>
      </w:r>
      <w:r w:rsidR="00B933CF" w:rsidRPr="008F7572">
        <w:rPr>
          <w:rStyle w:val="FootnoteReference"/>
          <w:sz w:val="24"/>
          <w:szCs w:val="24"/>
        </w:rPr>
        <w:footnoteReference w:id="6"/>
      </w:r>
      <w:r w:rsidR="006524D2" w:rsidRPr="008F7572">
        <w:rPr>
          <w:sz w:val="24"/>
          <w:szCs w:val="24"/>
        </w:rPr>
        <w:t xml:space="preserve"> </w:t>
      </w:r>
      <w:r w:rsidR="00431B78" w:rsidRPr="008F7572">
        <w:rPr>
          <w:sz w:val="24"/>
          <w:szCs w:val="24"/>
        </w:rPr>
        <w:t>Curtius primarily used Cleitarchus as a source when he wrote his biography of Alexander.</w:t>
      </w:r>
      <w:r w:rsidR="00B933CF" w:rsidRPr="008F7572">
        <w:rPr>
          <w:rStyle w:val="FootnoteReference"/>
          <w:sz w:val="24"/>
          <w:szCs w:val="24"/>
        </w:rPr>
        <w:footnoteReference w:id="7"/>
      </w:r>
      <w:r w:rsidR="00431B78" w:rsidRPr="008F7572">
        <w:rPr>
          <w:sz w:val="24"/>
          <w:szCs w:val="24"/>
        </w:rPr>
        <w:t xml:space="preserve"> T</w:t>
      </w:r>
      <w:r w:rsidR="006524D2" w:rsidRPr="008F7572">
        <w:rPr>
          <w:sz w:val="24"/>
          <w:szCs w:val="24"/>
        </w:rPr>
        <w:t xml:space="preserve">he third account </w:t>
      </w:r>
      <w:r w:rsidR="00431B78" w:rsidRPr="008F7572">
        <w:rPr>
          <w:sz w:val="24"/>
          <w:szCs w:val="24"/>
        </w:rPr>
        <w:t>shows their encounter through a series of three letters between Alexander and Talestris, in which they never meet</w:t>
      </w:r>
      <w:r w:rsidR="008F7572">
        <w:rPr>
          <w:sz w:val="24"/>
          <w:szCs w:val="24"/>
        </w:rPr>
        <w:t>. T</w:t>
      </w:r>
      <w:r w:rsidR="00E014E4" w:rsidRPr="008F7572">
        <w:rPr>
          <w:sz w:val="24"/>
          <w:szCs w:val="24"/>
        </w:rPr>
        <w:t>he source does show some similar information</w:t>
      </w:r>
      <w:r w:rsidR="008F7572">
        <w:rPr>
          <w:sz w:val="24"/>
          <w:szCs w:val="24"/>
        </w:rPr>
        <w:t>,</w:t>
      </w:r>
      <w:r w:rsidR="00E014E4" w:rsidRPr="008F7572">
        <w:rPr>
          <w:sz w:val="24"/>
          <w:szCs w:val="24"/>
        </w:rPr>
        <w:t xml:space="preserve"> </w:t>
      </w:r>
      <w:r w:rsidR="008F7572">
        <w:rPr>
          <w:sz w:val="24"/>
          <w:szCs w:val="24"/>
        </w:rPr>
        <w:t>however</w:t>
      </w:r>
      <w:r w:rsidR="00E014E4" w:rsidRPr="008F7572">
        <w:rPr>
          <w:sz w:val="24"/>
          <w:szCs w:val="24"/>
        </w:rPr>
        <w:t xml:space="preserve">. </w:t>
      </w:r>
    </w:p>
    <w:p w14:paraId="297BD5E1" w14:textId="69A75F43" w:rsidR="00431B78" w:rsidRPr="008F7572" w:rsidRDefault="00594F55" w:rsidP="008F7572">
      <w:pPr>
        <w:spacing w:line="480" w:lineRule="auto"/>
        <w:jc w:val="both"/>
        <w:rPr>
          <w:sz w:val="24"/>
          <w:szCs w:val="24"/>
        </w:rPr>
      </w:pPr>
      <w:r w:rsidRPr="008F7572">
        <w:rPr>
          <w:sz w:val="24"/>
          <w:szCs w:val="24"/>
        </w:rPr>
        <w:t>The works by Walter and Curtius begin with the location of Alexander</w:t>
      </w:r>
      <w:r w:rsidR="008F7572">
        <w:rPr>
          <w:sz w:val="24"/>
          <w:szCs w:val="24"/>
        </w:rPr>
        <w:t>'</w:t>
      </w:r>
      <w:r w:rsidRPr="008F7572">
        <w:rPr>
          <w:sz w:val="24"/>
          <w:szCs w:val="24"/>
        </w:rPr>
        <w:t>s camp being at Hyrcania</w:t>
      </w:r>
      <w:r w:rsidR="008F7572">
        <w:rPr>
          <w:sz w:val="24"/>
          <w:szCs w:val="24"/>
        </w:rPr>
        <w:t>.</w:t>
      </w:r>
      <w:r w:rsidR="00A32326" w:rsidRPr="008F7572">
        <w:rPr>
          <w:rStyle w:val="FootnoteReference"/>
          <w:sz w:val="24"/>
          <w:szCs w:val="24"/>
        </w:rPr>
        <w:footnoteReference w:id="8"/>
      </w:r>
      <w:r w:rsidR="00A32326" w:rsidRPr="008F7572">
        <w:rPr>
          <w:sz w:val="24"/>
          <w:szCs w:val="24"/>
        </w:rPr>
        <w:t xml:space="preserve"> </w:t>
      </w:r>
      <w:r w:rsidR="008F7572">
        <w:rPr>
          <w:sz w:val="24"/>
          <w:szCs w:val="24"/>
        </w:rPr>
        <w:t>H</w:t>
      </w:r>
      <w:r w:rsidRPr="008F7572">
        <w:rPr>
          <w:sz w:val="24"/>
          <w:szCs w:val="24"/>
        </w:rPr>
        <w:t>owever</w:t>
      </w:r>
      <w:r w:rsidR="008F7572">
        <w:rPr>
          <w:sz w:val="24"/>
          <w:szCs w:val="24"/>
        </w:rPr>
        <w:t>,</w:t>
      </w:r>
      <w:r w:rsidRPr="008F7572">
        <w:rPr>
          <w:sz w:val="24"/>
          <w:szCs w:val="24"/>
        </w:rPr>
        <w:t xml:space="preserve"> the Historia de Preliis states the location of the Caspian Gates</w:t>
      </w:r>
      <w:r w:rsidR="00B933CF" w:rsidRPr="008F7572">
        <w:rPr>
          <w:sz w:val="24"/>
          <w:szCs w:val="24"/>
        </w:rPr>
        <w:t>.</w:t>
      </w:r>
      <w:r w:rsidR="00B933CF" w:rsidRPr="008F7572">
        <w:rPr>
          <w:rStyle w:val="FootnoteReference"/>
          <w:sz w:val="24"/>
          <w:szCs w:val="24"/>
        </w:rPr>
        <w:footnoteReference w:id="9"/>
      </w:r>
      <w:r w:rsidRPr="008F7572">
        <w:rPr>
          <w:sz w:val="24"/>
          <w:szCs w:val="24"/>
        </w:rPr>
        <w:t xml:space="preserve"> </w:t>
      </w:r>
      <w:r w:rsidR="00036BBF" w:rsidRPr="008F7572">
        <w:rPr>
          <w:sz w:val="24"/>
          <w:szCs w:val="24"/>
        </w:rPr>
        <w:t>Th</w:t>
      </w:r>
      <w:r w:rsidR="008F7572">
        <w:rPr>
          <w:sz w:val="24"/>
          <w:szCs w:val="24"/>
        </w:rPr>
        <w:t>ese are the</w:t>
      </w:r>
      <w:r w:rsidR="00036BBF" w:rsidRPr="008F7572">
        <w:rPr>
          <w:sz w:val="24"/>
          <w:szCs w:val="24"/>
        </w:rPr>
        <w:t xml:space="preserve"> same location as the Caspian Gates are at the border of Hyrcania.</w:t>
      </w:r>
      <w:r w:rsidR="00B933CF" w:rsidRPr="008F7572">
        <w:rPr>
          <w:rStyle w:val="FootnoteReference"/>
          <w:sz w:val="24"/>
          <w:szCs w:val="24"/>
        </w:rPr>
        <w:footnoteReference w:id="10"/>
      </w:r>
      <w:r w:rsidR="00036BBF" w:rsidRPr="008F7572">
        <w:rPr>
          <w:sz w:val="24"/>
          <w:szCs w:val="24"/>
        </w:rPr>
        <w:t xml:space="preserve"> </w:t>
      </w:r>
    </w:p>
    <w:p w14:paraId="062F4CE3" w14:textId="61BBAD75" w:rsidR="00E014E4" w:rsidRPr="008F7572" w:rsidRDefault="00036BBF" w:rsidP="008F7572">
      <w:pPr>
        <w:spacing w:line="480" w:lineRule="auto"/>
        <w:jc w:val="both"/>
        <w:rPr>
          <w:sz w:val="24"/>
          <w:szCs w:val="24"/>
        </w:rPr>
      </w:pPr>
      <w:r w:rsidRPr="008F7572">
        <w:rPr>
          <w:sz w:val="24"/>
          <w:szCs w:val="24"/>
        </w:rPr>
        <w:lastRenderedPageBreak/>
        <w:t>Walter and Curtius describe how Talestris came to Alexander</w:t>
      </w:r>
      <w:r w:rsidR="008F7572">
        <w:rPr>
          <w:sz w:val="24"/>
          <w:szCs w:val="24"/>
        </w:rPr>
        <w:t>'</w:t>
      </w:r>
      <w:r w:rsidRPr="008F7572">
        <w:rPr>
          <w:sz w:val="24"/>
          <w:szCs w:val="24"/>
        </w:rPr>
        <w:t>s camp to see the king</w:t>
      </w:r>
      <w:r w:rsidR="001332C4" w:rsidRPr="008F7572">
        <w:rPr>
          <w:sz w:val="24"/>
          <w:szCs w:val="24"/>
        </w:rPr>
        <w:t xml:space="preserve">. They </w:t>
      </w:r>
      <w:r w:rsidR="00312D97" w:rsidRPr="008F7572">
        <w:rPr>
          <w:sz w:val="24"/>
          <w:szCs w:val="24"/>
        </w:rPr>
        <w:t xml:space="preserve">talk about the way the Amazons dressed, with their seared breast revealed (seared for ease of javelin and bow use) </w:t>
      </w:r>
      <w:r w:rsidR="00ED3548" w:rsidRPr="008F7572">
        <w:rPr>
          <w:sz w:val="24"/>
          <w:szCs w:val="24"/>
        </w:rPr>
        <w:t>and clothing that does not go below the knee, almost identical</w:t>
      </w:r>
      <w:r w:rsidR="00E60EEF" w:rsidRPr="008F7572">
        <w:rPr>
          <w:sz w:val="24"/>
          <w:szCs w:val="24"/>
        </w:rPr>
        <w:t>ly</w:t>
      </w:r>
      <w:r w:rsidR="00ED3548" w:rsidRPr="008F7572">
        <w:rPr>
          <w:sz w:val="24"/>
          <w:szCs w:val="24"/>
        </w:rPr>
        <w:t>.</w:t>
      </w:r>
      <w:r w:rsidR="00A32326" w:rsidRPr="008F7572">
        <w:rPr>
          <w:rStyle w:val="FootnoteReference"/>
          <w:sz w:val="24"/>
          <w:szCs w:val="24"/>
        </w:rPr>
        <w:footnoteReference w:id="11"/>
      </w:r>
      <w:r w:rsidR="00ED3548" w:rsidRPr="008F7572">
        <w:rPr>
          <w:sz w:val="24"/>
          <w:szCs w:val="24"/>
        </w:rPr>
        <w:t xml:space="preserve"> </w:t>
      </w:r>
      <w:r w:rsidR="008F7572">
        <w:rPr>
          <w:sz w:val="24"/>
          <w:szCs w:val="24"/>
        </w:rPr>
        <w:t>The information says that the right breast is</w:t>
      </w:r>
      <w:r w:rsidR="00ED3548" w:rsidRPr="008F7572">
        <w:rPr>
          <w:sz w:val="24"/>
          <w:szCs w:val="24"/>
        </w:rPr>
        <w:t xml:space="preserve"> left intact for feeding female children.</w:t>
      </w:r>
      <w:r w:rsidR="007B3D60" w:rsidRPr="008F7572">
        <w:rPr>
          <w:rStyle w:val="FootnoteReference"/>
          <w:sz w:val="24"/>
          <w:szCs w:val="24"/>
        </w:rPr>
        <w:footnoteReference w:id="12"/>
      </w:r>
      <w:r w:rsidR="00ED3548" w:rsidRPr="008F7572">
        <w:rPr>
          <w:sz w:val="24"/>
          <w:szCs w:val="24"/>
        </w:rPr>
        <w:t xml:space="preserve"> The feeding of male children is not mentioned by Walter or Curtius</w:t>
      </w:r>
      <w:r w:rsidR="008F7572">
        <w:rPr>
          <w:sz w:val="24"/>
          <w:szCs w:val="24"/>
        </w:rPr>
        <w:t>,</w:t>
      </w:r>
      <w:r w:rsidR="00ED3548" w:rsidRPr="008F7572">
        <w:rPr>
          <w:sz w:val="24"/>
          <w:szCs w:val="24"/>
        </w:rPr>
        <w:t xml:space="preserve"> but the letter from Talestris in the Historia de Preliis states that male children remain with their mother for seven years and </w:t>
      </w:r>
      <w:r w:rsidR="008F7572">
        <w:rPr>
          <w:sz w:val="24"/>
          <w:szCs w:val="24"/>
        </w:rPr>
        <w:t xml:space="preserve">are </w:t>
      </w:r>
      <w:r w:rsidR="00ED3548" w:rsidRPr="008F7572">
        <w:rPr>
          <w:sz w:val="24"/>
          <w:szCs w:val="24"/>
        </w:rPr>
        <w:t>then</w:t>
      </w:r>
      <w:r w:rsidR="008F7572">
        <w:rPr>
          <w:sz w:val="24"/>
          <w:szCs w:val="24"/>
        </w:rPr>
        <w:t xml:space="preserve"> </w:t>
      </w:r>
      <w:r w:rsidR="00ED3548" w:rsidRPr="008F7572">
        <w:rPr>
          <w:sz w:val="24"/>
          <w:szCs w:val="24"/>
        </w:rPr>
        <w:t>returned to their fathers.</w:t>
      </w:r>
      <w:r w:rsidR="00B933CF" w:rsidRPr="008F7572">
        <w:rPr>
          <w:rStyle w:val="FootnoteReference"/>
          <w:sz w:val="24"/>
          <w:szCs w:val="24"/>
        </w:rPr>
        <w:footnoteReference w:id="13"/>
      </w:r>
      <w:r w:rsidR="00ED3548" w:rsidRPr="008F7572">
        <w:rPr>
          <w:sz w:val="24"/>
          <w:szCs w:val="24"/>
        </w:rPr>
        <w:t xml:space="preserve"> </w:t>
      </w:r>
    </w:p>
    <w:p w14:paraId="55336537" w14:textId="2AB99622" w:rsidR="00F41561" w:rsidRPr="008F7572" w:rsidRDefault="00F41561" w:rsidP="008F7572">
      <w:pPr>
        <w:spacing w:line="480" w:lineRule="auto"/>
        <w:jc w:val="both"/>
        <w:rPr>
          <w:sz w:val="24"/>
          <w:szCs w:val="24"/>
        </w:rPr>
      </w:pPr>
      <w:r w:rsidRPr="008F7572">
        <w:rPr>
          <w:sz w:val="24"/>
          <w:szCs w:val="24"/>
        </w:rPr>
        <w:t>Walter and Curtius</w:t>
      </w:r>
      <w:r w:rsidRPr="008F7572">
        <w:rPr>
          <w:sz w:val="24"/>
          <w:szCs w:val="24"/>
        </w:rPr>
        <w:t xml:space="preserve"> give the impression that Talestris was unimpressed with Alexander</w:t>
      </w:r>
      <w:r w:rsidR="008F7572">
        <w:rPr>
          <w:sz w:val="24"/>
          <w:szCs w:val="24"/>
        </w:rPr>
        <w:t>'</w:t>
      </w:r>
      <w:r w:rsidRPr="008F7572">
        <w:rPr>
          <w:sz w:val="24"/>
          <w:szCs w:val="24"/>
        </w:rPr>
        <w:t>s looks and expected more.</w:t>
      </w:r>
      <w:r w:rsidR="007B3D60" w:rsidRPr="008F7572">
        <w:rPr>
          <w:rStyle w:val="FootnoteReference"/>
          <w:sz w:val="24"/>
          <w:szCs w:val="24"/>
        </w:rPr>
        <w:footnoteReference w:id="14"/>
      </w:r>
      <w:r w:rsidRPr="008F7572">
        <w:rPr>
          <w:sz w:val="24"/>
          <w:szCs w:val="24"/>
        </w:rPr>
        <w:t xml:space="preserve"> It was Curtius that added this detail</w:t>
      </w:r>
      <w:r w:rsidR="007770DC" w:rsidRPr="008F7572">
        <w:rPr>
          <w:sz w:val="24"/>
          <w:szCs w:val="24"/>
        </w:rPr>
        <w:t>.</w:t>
      </w:r>
      <w:r w:rsidR="007770DC" w:rsidRPr="008F7572">
        <w:rPr>
          <w:rStyle w:val="FootnoteReference"/>
          <w:sz w:val="24"/>
          <w:szCs w:val="24"/>
        </w:rPr>
        <w:footnoteReference w:id="15"/>
      </w:r>
      <w:r w:rsidRPr="008F7572">
        <w:rPr>
          <w:sz w:val="24"/>
          <w:szCs w:val="24"/>
        </w:rPr>
        <w:t xml:space="preserve"> </w:t>
      </w:r>
      <w:r w:rsidR="00E60EEF" w:rsidRPr="008F7572">
        <w:rPr>
          <w:sz w:val="24"/>
          <w:szCs w:val="24"/>
        </w:rPr>
        <w:t>Alexander</w:t>
      </w:r>
      <w:r w:rsidR="008F7572">
        <w:rPr>
          <w:sz w:val="24"/>
          <w:szCs w:val="24"/>
        </w:rPr>
        <w:t>'</w:t>
      </w:r>
      <w:r w:rsidR="00E60EEF" w:rsidRPr="008F7572">
        <w:rPr>
          <w:sz w:val="24"/>
          <w:szCs w:val="24"/>
        </w:rPr>
        <w:t>s</w:t>
      </w:r>
      <w:r w:rsidRPr="008F7572">
        <w:rPr>
          <w:sz w:val="24"/>
          <w:szCs w:val="24"/>
        </w:rPr>
        <w:t xml:space="preserve"> appearance does not deter her from requesting he impregnate her, </w:t>
      </w:r>
      <w:r w:rsidRPr="008F7572">
        <w:rPr>
          <w:sz w:val="24"/>
          <w:szCs w:val="24"/>
        </w:rPr>
        <w:t xml:space="preserve">as </w:t>
      </w:r>
      <w:r w:rsidRPr="008F7572">
        <w:rPr>
          <w:sz w:val="24"/>
          <w:szCs w:val="24"/>
        </w:rPr>
        <w:t xml:space="preserve">she believes them each to be worthy </w:t>
      </w:r>
      <w:r w:rsidR="008F7572">
        <w:rPr>
          <w:sz w:val="24"/>
          <w:szCs w:val="24"/>
        </w:rPr>
        <w:t xml:space="preserve">of </w:t>
      </w:r>
      <w:r w:rsidRPr="008F7572">
        <w:rPr>
          <w:sz w:val="24"/>
          <w:szCs w:val="24"/>
        </w:rPr>
        <w:t>the others child.</w:t>
      </w:r>
      <w:r w:rsidR="000B1FB9" w:rsidRPr="008F7572">
        <w:rPr>
          <w:rStyle w:val="FootnoteReference"/>
          <w:sz w:val="24"/>
          <w:szCs w:val="24"/>
        </w:rPr>
        <w:footnoteReference w:id="16"/>
      </w:r>
      <w:r w:rsidRPr="008F7572">
        <w:rPr>
          <w:sz w:val="24"/>
          <w:szCs w:val="24"/>
        </w:rPr>
        <w:t xml:space="preserve"> </w:t>
      </w:r>
      <w:r w:rsidR="002F5C8E" w:rsidRPr="008F7572">
        <w:rPr>
          <w:sz w:val="24"/>
          <w:szCs w:val="24"/>
        </w:rPr>
        <w:t>Walter and Curtius say that if Talestris produces a male</w:t>
      </w:r>
      <w:r w:rsidR="008F7572">
        <w:rPr>
          <w:sz w:val="24"/>
          <w:szCs w:val="24"/>
        </w:rPr>
        <w:t>,</w:t>
      </w:r>
      <w:r w:rsidR="002F5C8E" w:rsidRPr="008F7572">
        <w:rPr>
          <w:sz w:val="24"/>
          <w:szCs w:val="24"/>
        </w:rPr>
        <w:t xml:space="preserve"> he will be returned to Alexander.</w:t>
      </w:r>
      <w:r w:rsidR="000B1FB9" w:rsidRPr="008F7572">
        <w:rPr>
          <w:rStyle w:val="FootnoteReference"/>
          <w:sz w:val="24"/>
          <w:szCs w:val="24"/>
        </w:rPr>
        <w:footnoteReference w:id="17"/>
      </w:r>
      <w:r w:rsidR="002F5C8E" w:rsidRPr="008F7572">
        <w:rPr>
          <w:sz w:val="24"/>
          <w:szCs w:val="24"/>
        </w:rPr>
        <w:t xml:space="preserve"> </w:t>
      </w:r>
    </w:p>
    <w:p w14:paraId="76E697CD" w14:textId="3D761BD3" w:rsidR="00F41561" w:rsidRPr="008F7572" w:rsidRDefault="001D03E0" w:rsidP="008F7572">
      <w:pPr>
        <w:spacing w:line="480" w:lineRule="auto"/>
        <w:jc w:val="both"/>
        <w:rPr>
          <w:sz w:val="24"/>
          <w:szCs w:val="24"/>
        </w:rPr>
      </w:pPr>
      <w:r w:rsidRPr="008F7572">
        <w:rPr>
          <w:sz w:val="24"/>
          <w:szCs w:val="24"/>
        </w:rPr>
        <w:t>In the works of Walter and Curtius,</w:t>
      </w:r>
      <w:r w:rsidR="00F41561" w:rsidRPr="008F7572">
        <w:rPr>
          <w:sz w:val="24"/>
          <w:szCs w:val="24"/>
        </w:rPr>
        <w:t xml:space="preserve"> Alexander ask</w:t>
      </w:r>
      <w:r w:rsidR="008F7572">
        <w:rPr>
          <w:sz w:val="24"/>
          <w:szCs w:val="24"/>
        </w:rPr>
        <w:t>s</w:t>
      </w:r>
      <w:r w:rsidR="00F41561" w:rsidRPr="008F7572">
        <w:rPr>
          <w:sz w:val="24"/>
          <w:szCs w:val="24"/>
        </w:rPr>
        <w:t xml:space="preserve"> Talestris if she would fight with him</w:t>
      </w:r>
      <w:r w:rsidR="008F7572">
        <w:rPr>
          <w:sz w:val="24"/>
          <w:szCs w:val="24"/>
        </w:rPr>
        <w:t>,</w:t>
      </w:r>
      <w:r w:rsidR="00F41561" w:rsidRPr="008F7572">
        <w:rPr>
          <w:sz w:val="24"/>
          <w:szCs w:val="24"/>
        </w:rPr>
        <w:t xml:space="preserve"> but she declines</w:t>
      </w:r>
      <w:r w:rsidR="008F7572">
        <w:rPr>
          <w:sz w:val="24"/>
          <w:szCs w:val="24"/>
        </w:rPr>
        <w:t>,</w:t>
      </w:r>
      <w:r w:rsidR="00F41561" w:rsidRPr="008F7572">
        <w:rPr>
          <w:sz w:val="24"/>
          <w:szCs w:val="24"/>
        </w:rPr>
        <w:t xml:space="preserve"> saying that she has left her land unguarded.</w:t>
      </w:r>
      <w:r w:rsidR="00D60732" w:rsidRPr="008F7572">
        <w:rPr>
          <w:rStyle w:val="FootnoteReference"/>
          <w:sz w:val="24"/>
          <w:szCs w:val="24"/>
        </w:rPr>
        <w:footnoteReference w:id="18"/>
      </w:r>
      <w:r w:rsidR="00F41561" w:rsidRPr="008F7572">
        <w:rPr>
          <w:sz w:val="24"/>
          <w:szCs w:val="24"/>
        </w:rPr>
        <w:t xml:space="preserve"> </w:t>
      </w:r>
      <w:r w:rsidR="008F7572">
        <w:rPr>
          <w:sz w:val="24"/>
          <w:szCs w:val="24"/>
        </w:rPr>
        <w:t>However, t</w:t>
      </w:r>
      <w:r w:rsidRPr="008F7572">
        <w:rPr>
          <w:sz w:val="24"/>
          <w:szCs w:val="24"/>
        </w:rPr>
        <w:t>he Historia de Preliis</w:t>
      </w:r>
      <w:r w:rsidR="00F41561" w:rsidRPr="008F7572">
        <w:rPr>
          <w:sz w:val="24"/>
          <w:szCs w:val="24"/>
        </w:rPr>
        <w:t xml:space="preserve"> contradicts this when she explicitly tells him that she leaves one hundred and fourteen thousand people to guard her land</w:t>
      </w:r>
      <w:r w:rsidR="00E60EEF" w:rsidRPr="008F7572">
        <w:rPr>
          <w:sz w:val="24"/>
          <w:szCs w:val="24"/>
        </w:rPr>
        <w:t xml:space="preserve"> when saying she will fight against him</w:t>
      </w:r>
      <w:r w:rsidR="007770DC" w:rsidRPr="008F7572">
        <w:rPr>
          <w:sz w:val="24"/>
          <w:szCs w:val="24"/>
        </w:rPr>
        <w:t>.</w:t>
      </w:r>
      <w:r w:rsidR="007770DC" w:rsidRPr="008F7572">
        <w:rPr>
          <w:rStyle w:val="FootnoteReference"/>
          <w:sz w:val="24"/>
          <w:szCs w:val="24"/>
        </w:rPr>
        <w:footnoteReference w:id="19"/>
      </w:r>
    </w:p>
    <w:p w14:paraId="4FF1962F" w14:textId="1297AE88" w:rsidR="00D60732" w:rsidRPr="008F7572" w:rsidRDefault="001D03E0" w:rsidP="008F7572">
      <w:pPr>
        <w:spacing w:line="480" w:lineRule="auto"/>
        <w:jc w:val="both"/>
        <w:rPr>
          <w:sz w:val="24"/>
          <w:szCs w:val="24"/>
        </w:rPr>
      </w:pPr>
      <w:r w:rsidRPr="008F7572">
        <w:rPr>
          <w:sz w:val="24"/>
          <w:szCs w:val="24"/>
        </w:rPr>
        <w:t>Talestris stays with Alexander for thirteen nights in an attempt to get pregnant by him</w:t>
      </w:r>
      <w:r w:rsidR="008F7572">
        <w:rPr>
          <w:sz w:val="24"/>
          <w:szCs w:val="24"/>
        </w:rPr>
        <w:t>,</w:t>
      </w:r>
      <w:r w:rsidRPr="008F7572">
        <w:rPr>
          <w:sz w:val="24"/>
          <w:szCs w:val="24"/>
        </w:rPr>
        <w:t xml:space="preserve"> and then </w:t>
      </w:r>
      <w:r w:rsidR="008F7572">
        <w:rPr>
          <w:sz w:val="24"/>
          <w:szCs w:val="24"/>
        </w:rPr>
        <w:t>she</w:t>
      </w:r>
      <w:r w:rsidRPr="008F7572">
        <w:rPr>
          <w:sz w:val="24"/>
          <w:szCs w:val="24"/>
        </w:rPr>
        <w:t xml:space="preserve"> goes home.</w:t>
      </w:r>
      <w:r w:rsidR="00D60732" w:rsidRPr="008F7572">
        <w:rPr>
          <w:rStyle w:val="FootnoteReference"/>
          <w:sz w:val="24"/>
          <w:szCs w:val="24"/>
        </w:rPr>
        <w:footnoteReference w:id="20"/>
      </w:r>
      <w:r w:rsidRPr="008F7572">
        <w:rPr>
          <w:sz w:val="24"/>
          <w:szCs w:val="24"/>
        </w:rPr>
        <w:t xml:space="preserve"> </w:t>
      </w:r>
      <w:r w:rsidR="00D60732" w:rsidRPr="008F7572">
        <w:rPr>
          <w:sz w:val="24"/>
          <w:szCs w:val="24"/>
        </w:rPr>
        <w:t>I</w:t>
      </w:r>
      <w:r w:rsidRPr="008F7572">
        <w:rPr>
          <w:sz w:val="24"/>
          <w:szCs w:val="24"/>
        </w:rPr>
        <w:t>n the Historia de Preliis</w:t>
      </w:r>
      <w:r w:rsidR="008F7572">
        <w:rPr>
          <w:sz w:val="24"/>
          <w:szCs w:val="24"/>
        </w:rPr>
        <w:t>,</w:t>
      </w:r>
      <w:r w:rsidRPr="008F7572">
        <w:rPr>
          <w:sz w:val="24"/>
          <w:szCs w:val="24"/>
        </w:rPr>
        <w:t xml:space="preserve"> they never meet. In both variants</w:t>
      </w:r>
      <w:r w:rsidR="008F7572">
        <w:rPr>
          <w:sz w:val="24"/>
          <w:szCs w:val="24"/>
        </w:rPr>
        <w:t>,</w:t>
      </w:r>
      <w:r w:rsidRPr="008F7572">
        <w:rPr>
          <w:sz w:val="24"/>
          <w:szCs w:val="24"/>
        </w:rPr>
        <w:t xml:space="preserve"> they part ways peacefully. </w:t>
      </w:r>
    </w:p>
    <w:p w14:paraId="64539E23" w14:textId="77777777" w:rsidR="00F41561" w:rsidRPr="008F7572" w:rsidRDefault="00F41561" w:rsidP="008F7572">
      <w:pPr>
        <w:spacing w:line="480" w:lineRule="auto"/>
        <w:jc w:val="both"/>
        <w:rPr>
          <w:sz w:val="24"/>
          <w:szCs w:val="24"/>
        </w:rPr>
      </w:pPr>
    </w:p>
    <w:p w14:paraId="35DBC236" w14:textId="7B9DC247" w:rsidR="00F41561" w:rsidRPr="008F7572" w:rsidRDefault="003D3A14" w:rsidP="008F7572">
      <w:pPr>
        <w:spacing w:line="480" w:lineRule="auto"/>
        <w:jc w:val="both"/>
        <w:rPr>
          <w:sz w:val="28"/>
          <w:szCs w:val="28"/>
        </w:rPr>
      </w:pPr>
      <w:r w:rsidRPr="008F7572">
        <w:rPr>
          <w:sz w:val="28"/>
          <w:szCs w:val="28"/>
        </w:rPr>
        <w:t>Bibliography</w:t>
      </w:r>
    </w:p>
    <w:p w14:paraId="6E330724" w14:textId="55E78D8B" w:rsidR="003D3A14" w:rsidRPr="008F7572" w:rsidRDefault="003D3A14" w:rsidP="008F7572">
      <w:pPr>
        <w:spacing w:line="480" w:lineRule="auto"/>
        <w:jc w:val="both"/>
        <w:rPr>
          <w:sz w:val="24"/>
          <w:szCs w:val="24"/>
        </w:rPr>
      </w:pPr>
      <w:r w:rsidRPr="008F7572">
        <w:rPr>
          <w:sz w:val="24"/>
          <w:szCs w:val="24"/>
        </w:rPr>
        <w:t>Baynham, E</w:t>
      </w:r>
      <w:r w:rsidR="00014C58" w:rsidRPr="008F7572">
        <w:rPr>
          <w:sz w:val="24"/>
          <w:szCs w:val="24"/>
        </w:rPr>
        <w:t>lizabeth</w:t>
      </w:r>
      <w:r w:rsidRPr="008F7572">
        <w:rPr>
          <w:sz w:val="24"/>
          <w:szCs w:val="24"/>
        </w:rPr>
        <w:t>., 2001. </w:t>
      </w:r>
      <w:r w:rsidRPr="008F7572">
        <w:rPr>
          <w:i/>
          <w:iCs/>
          <w:sz w:val="24"/>
          <w:szCs w:val="24"/>
        </w:rPr>
        <w:t>Alexander the Great</w:t>
      </w:r>
      <w:r w:rsidRPr="008F7572">
        <w:rPr>
          <w:sz w:val="24"/>
          <w:szCs w:val="24"/>
        </w:rPr>
        <w:t>. United States of America: The University of Michigan Press.</w:t>
      </w:r>
    </w:p>
    <w:p w14:paraId="2F2DE371" w14:textId="267386F0" w:rsidR="00AD30A0" w:rsidRPr="008F7572" w:rsidRDefault="00AD30A0" w:rsidP="008F7572">
      <w:pPr>
        <w:spacing w:line="480" w:lineRule="auto"/>
        <w:jc w:val="both"/>
        <w:rPr>
          <w:sz w:val="24"/>
          <w:szCs w:val="24"/>
        </w:rPr>
      </w:pPr>
      <w:r w:rsidRPr="008F7572">
        <w:rPr>
          <w:sz w:val="24"/>
          <w:szCs w:val="24"/>
        </w:rPr>
        <w:t>Baynham, E</w:t>
      </w:r>
      <w:r w:rsidRPr="008F7572">
        <w:rPr>
          <w:sz w:val="24"/>
          <w:szCs w:val="24"/>
        </w:rPr>
        <w:t>lizabeth</w:t>
      </w:r>
      <w:r w:rsidRPr="008F7572">
        <w:rPr>
          <w:sz w:val="24"/>
          <w:szCs w:val="24"/>
        </w:rPr>
        <w:t>., 2001. Alexander and the Amazons. </w:t>
      </w:r>
      <w:r w:rsidRPr="008F7572">
        <w:rPr>
          <w:i/>
          <w:iCs/>
          <w:sz w:val="24"/>
          <w:szCs w:val="24"/>
        </w:rPr>
        <w:t>The Classical Quarterly</w:t>
      </w:r>
      <w:r w:rsidRPr="008F7572">
        <w:rPr>
          <w:sz w:val="24"/>
          <w:szCs w:val="24"/>
        </w:rPr>
        <w:t>, 51(1), p.117.</w:t>
      </w:r>
    </w:p>
    <w:p w14:paraId="64139BE9" w14:textId="0AAA22D6" w:rsidR="00E014E4" w:rsidRPr="008F7572" w:rsidRDefault="00C73E64" w:rsidP="008F7572">
      <w:pPr>
        <w:spacing w:line="480" w:lineRule="auto"/>
        <w:jc w:val="both"/>
        <w:rPr>
          <w:sz w:val="24"/>
          <w:szCs w:val="24"/>
        </w:rPr>
      </w:pPr>
      <w:r w:rsidRPr="008F7572">
        <w:rPr>
          <w:sz w:val="24"/>
          <w:szCs w:val="24"/>
        </w:rPr>
        <w:t>Curtius Rufus, Q</w:t>
      </w:r>
      <w:r w:rsidR="001C6EBF" w:rsidRPr="008F7572">
        <w:rPr>
          <w:sz w:val="24"/>
          <w:szCs w:val="24"/>
        </w:rPr>
        <w:t>uintus</w:t>
      </w:r>
      <w:r w:rsidR="00922CC0" w:rsidRPr="008F7572">
        <w:rPr>
          <w:sz w:val="24"/>
          <w:szCs w:val="24"/>
        </w:rPr>
        <w:t>.</w:t>
      </w:r>
      <w:r w:rsidR="001C6EBF" w:rsidRPr="008F7572">
        <w:rPr>
          <w:sz w:val="24"/>
          <w:szCs w:val="24"/>
        </w:rPr>
        <w:t>,</w:t>
      </w:r>
      <w:r w:rsidRPr="008F7572">
        <w:rPr>
          <w:sz w:val="24"/>
          <w:szCs w:val="24"/>
        </w:rPr>
        <w:t> </w:t>
      </w:r>
      <w:r w:rsidRPr="008F7572">
        <w:rPr>
          <w:i/>
          <w:iCs/>
          <w:sz w:val="24"/>
          <w:szCs w:val="24"/>
        </w:rPr>
        <w:t>Quintus Curtius</w:t>
      </w:r>
      <w:r w:rsidRPr="008F7572">
        <w:rPr>
          <w:sz w:val="24"/>
          <w:szCs w:val="24"/>
        </w:rPr>
        <w:t xml:space="preserve">. </w:t>
      </w:r>
      <w:r w:rsidR="001C6EBF" w:rsidRPr="008F7572">
        <w:rPr>
          <w:sz w:val="24"/>
          <w:szCs w:val="24"/>
        </w:rPr>
        <w:t>Rolfe, J</w:t>
      </w:r>
      <w:r w:rsidR="00CE532F" w:rsidRPr="008F7572">
        <w:rPr>
          <w:sz w:val="24"/>
          <w:szCs w:val="24"/>
        </w:rPr>
        <w:t xml:space="preserve"> </w:t>
      </w:r>
      <w:r w:rsidR="001C6EBF" w:rsidRPr="008F7572">
        <w:rPr>
          <w:sz w:val="24"/>
          <w:szCs w:val="24"/>
        </w:rPr>
        <w:t xml:space="preserve">(trans.). </w:t>
      </w:r>
      <w:r w:rsidR="001C6EBF" w:rsidRPr="008F7572">
        <w:rPr>
          <w:sz w:val="24"/>
          <w:szCs w:val="24"/>
        </w:rPr>
        <w:t>1971</w:t>
      </w:r>
      <w:r w:rsidR="001C6EBF" w:rsidRPr="008F7572">
        <w:rPr>
          <w:sz w:val="24"/>
          <w:szCs w:val="24"/>
        </w:rPr>
        <w:t>.</w:t>
      </w:r>
      <w:r w:rsidR="00CE532F" w:rsidRPr="008F7572">
        <w:rPr>
          <w:sz w:val="24"/>
          <w:szCs w:val="24"/>
        </w:rPr>
        <w:t xml:space="preserve"> </w:t>
      </w:r>
      <w:r w:rsidRPr="008F7572">
        <w:rPr>
          <w:sz w:val="24"/>
          <w:szCs w:val="24"/>
        </w:rPr>
        <w:t>London: William Heinemann LTD.</w:t>
      </w:r>
    </w:p>
    <w:p w14:paraId="69130B1E" w14:textId="0C9D56A5" w:rsidR="00DD6E39" w:rsidRPr="008F7572" w:rsidRDefault="00DD6E39" w:rsidP="008F7572">
      <w:pPr>
        <w:spacing w:line="480" w:lineRule="auto"/>
        <w:jc w:val="both"/>
        <w:rPr>
          <w:sz w:val="24"/>
          <w:szCs w:val="24"/>
        </w:rPr>
      </w:pPr>
      <w:r w:rsidRPr="008F7572">
        <w:rPr>
          <w:sz w:val="24"/>
          <w:szCs w:val="24"/>
        </w:rPr>
        <w:t xml:space="preserve">Free Library of Philadelphia. </w:t>
      </w:r>
      <w:r w:rsidRPr="008F7572">
        <w:rPr>
          <w:i/>
          <w:iCs/>
          <w:sz w:val="24"/>
          <w:szCs w:val="24"/>
        </w:rPr>
        <w:t>Digital Collections</w:t>
      </w:r>
      <w:r w:rsidRPr="008F7572">
        <w:rPr>
          <w:sz w:val="24"/>
          <w:szCs w:val="24"/>
        </w:rPr>
        <w:t xml:space="preserve"> </w:t>
      </w:r>
      <w:r w:rsidRPr="008F7572">
        <w:rPr>
          <w:sz w:val="24"/>
          <w:szCs w:val="24"/>
        </w:rPr>
        <w:t>n.d. [online] Available at: &lt;https://libwww.freelibrary.org/digital/item/4951&gt; [Accessed 16 May 2022].</w:t>
      </w:r>
      <w:r w:rsidRPr="008F7572">
        <w:rPr>
          <w:sz w:val="24"/>
          <w:szCs w:val="24"/>
        </w:rPr>
        <w:t xml:space="preserve"> </w:t>
      </w:r>
    </w:p>
    <w:p w14:paraId="0B11A6B3" w14:textId="41AEC004" w:rsidR="009663B9" w:rsidRPr="008F7572" w:rsidRDefault="009663B9" w:rsidP="008F7572">
      <w:pPr>
        <w:spacing w:line="480" w:lineRule="auto"/>
        <w:jc w:val="both"/>
        <w:rPr>
          <w:sz w:val="24"/>
          <w:szCs w:val="24"/>
        </w:rPr>
      </w:pPr>
      <w:r w:rsidRPr="008F7572">
        <w:rPr>
          <w:sz w:val="24"/>
          <w:szCs w:val="24"/>
        </w:rPr>
        <w:t xml:space="preserve">Leo, Archipresbyter., </w:t>
      </w:r>
      <w:r w:rsidRPr="008F7572">
        <w:rPr>
          <w:i/>
          <w:iCs/>
          <w:sz w:val="24"/>
          <w:szCs w:val="24"/>
        </w:rPr>
        <w:t>The history of Alexander</w:t>
      </w:r>
      <w:r w:rsidR="008F7572">
        <w:rPr>
          <w:i/>
          <w:iCs/>
          <w:sz w:val="24"/>
          <w:szCs w:val="24"/>
        </w:rPr>
        <w:t>'</w:t>
      </w:r>
      <w:r w:rsidRPr="008F7572">
        <w:rPr>
          <w:i/>
          <w:iCs/>
          <w:sz w:val="24"/>
          <w:szCs w:val="24"/>
        </w:rPr>
        <w:t>s Battles (Historia de Preliis – The J</w:t>
      </w:r>
      <w:r w:rsidRPr="008F7572">
        <w:rPr>
          <w:i/>
          <w:iCs/>
          <w:sz w:val="24"/>
          <w:szCs w:val="24"/>
          <w:vertAlign w:val="superscript"/>
        </w:rPr>
        <w:t xml:space="preserve">1 </w:t>
      </w:r>
      <w:r w:rsidRPr="008F7572">
        <w:rPr>
          <w:i/>
          <w:iCs/>
          <w:sz w:val="24"/>
          <w:szCs w:val="24"/>
        </w:rPr>
        <w:t xml:space="preserve">Version). </w:t>
      </w:r>
      <w:r w:rsidRPr="008F7572">
        <w:rPr>
          <w:sz w:val="24"/>
          <w:szCs w:val="24"/>
        </w:rPr>
        <w:t>T. Pritchard (trans.). 1992.</w:t>
      </w:r>
      <w:r w:rsidR="00070818" w:rsidRPr="008F7572">
        <w:rPr>
          <w:sz w:val="24"/>
          <w:szCs w:val="24"/>
        </w:rPr>
        <w:t xml:space="preserve"> Belgium: Pontifical Institute of Mediaeval Studies.</w:t>
      </w:r>
    </w:p>
    <w:p w14:paraId="1983928A" w14:textId="299FBF6B" w:rsidR="00CA4D80" w:rsidRPr="008F7572" w:rsidRDefault="00CA4D80" w:rsidP="008F7572">
      <w:pPr>
        <w:spacing w:line="480" w:lineRule="auto"/>
        <w:jc w:val="both"/>
        <w:rPr>
          <w:sz w:val="24"/>
          <w:szCs w:val="24"/>
        </w:rPr>
      </w:pPr>
      <w:r w:rsidRPr="008F7572">
        <w:rPr>
          <w:sz w:val="24"/>
          <w:szCs w:val="24"/>
        </w:rPr>
        <w:t xml:space="preserve">Meserve, Margaret., 2008. </w:t>
      </w:r>
      <w:r w:rsidRPr="008F7572">
        <w:rPr>
          <w:i/>
          <w:iCs/>
          <w:sz w:val="24"/>
          <w:szCs w:val="24"/>
        </w:rPr>
        <w:t xml:space="preserve">Empires of Islam in Renaissance Historical Thought. </w:t>
      </w:r>
      <w:r w:rsidRPr="008F7572">
        <w:rPr>
          <w:sz w:val="24"/>
          <w:szCs w:val="24"/>
        </w:rPr>
        <w:t>Cambridge: Harvard University Press.</w:t>
      </w:r>
    </w:p>
    <w:p w14:paraId="6BE6936B" w14:textId="28B9867F" w:rsidR="00014C58" w:rsidRPr="008F7572" w:rsidRDefault="002F60DE" w:rsidP="008F7572">
      <w:pPr>
        <w:spacing w:line="480" w:lineRule="auto"/>
        <w:jc w:val="both"/>
        <w:rPr>
          <w:sz w:val="24"/>
          <w:szCs w:val="24"/>
        </w:rPr>
      </w:pPr>
      <w:r w:rsidRPr="008F7572">
        <w:rPr>
          <w:sz w:val="24"/>
          <w:szCs w:val="24"/>
        </w:rPr>
        <w:t>Walter of Châtillo</w:t>
      </w:r>
      <w:r w:rsidRPr="008F7572">
        <w:rPr>
          <w:sz w:val="24"/>
          <w:szCs w:val="24"/>
        </w:rPr>
        <w:t>n.</w:t>
      </w:r>
      <w:r w:rsidRPr="008F7572">
        <w:rPr>
          <w:i/>
          <w:iCs/>
          <w:sz w:val="24"/>
          <w:szCs w:val="24"/>
        </w:rPr>
        <w:t>,</w:t>
      </w:r>
      <w:r w:rsidRPr="008F7572">
        <w:rPr>
          <w:sz w:val="24"/>
          <w:szCs w:val="24"/>
        </w:rPr>
        <w:t xml:space="preserve"> </w:t>
      </w:r>
      <w:r w:rsidR="00014C58" w:rsidRPr="008F7572">
        <w:rPr>
          <w:i/>
          <w:iCs/>
          <w:sz w:val="24"/>
          <w:szCs w:val="24"/>
        </w:rPr>
        <w:t>The Alexandreis of Walter of C</w:t>
      </w:r>
      <w:r w:rsidR="00014C58" w:rsidRPr="008F7572">
        <w:rPr>
          <w:i/>
          <w:iCs/>
          <w:sz w:val="24"/>
          <w:szCs w:val="24"/>
        </w:rPr>
        <w:t>hâtillon</w:t>
      </w:r>
      <w:r w:rsidR="00014C58" w:rsidRPr="008F7572">
        <w:rPr>
          <w:i/>
          <w:iCs/>
          <w:sz w:val="24"/>
          <w:szCs w:val="24"/>
        </w:rPr>
        <w:t xml:space="preserve">. </w:t>
      </w:r>
      <w:r w:rsidRPr="008F7572">
        <w:rPr>
          <w:sz w:val="24"/>
          <w:szCs w:val="24"/>
        </w:rPr>
        <w:t>Townsend, D</w:t>
      </w:r>
      <w:r w:rsidRPr="008F7572">
        <w:rPr>
          <w:sz w:val="24"/>
          <w:szCs w:val="24"/>
        </w:rPr>
        <w:t xml:space="preserve">. (trans.). 1997. </w:t>
      </w:r>
      <w:r w:rsidR="00014C58" w:rsidRPr="008F7572">
        <w:rPr>
          <w:sz w:val="24"/>
          <w:szCs w:val="24"/>
        </w:rPr>
        <w:t>Philadelphia: University of Pennsylvania Press.</w:t>
      </w:r>
    </w:p>
    <w:p w14:paraId="56A72E44" w14:textId="6E9DD89B" w:rsidR="0049586D" w:rsidRPr="001F77B3" w:rsidRDefault="001F77B3" w:rsidP="008F7572">
      <w:pPr>
        <w:spacing w:line="480" w:lineRule="auto"/>
        <w:jc w:val="both"/>
        <w:rPr>
          <w:sz w:val="24"/>
          <w:szCs w:val="24"/>
        </w:rPr>
      </w:pPr>
      <w:r w:rsidRPr="008F7572">
        <w:rPr>
          <w:sz w:val="24"/>
          <w:szCs w:val="24"/>
        </w:rPr>
        <w:t xml:space="preserve">Walter of </w:t>
      </w:r>
      <w:r w:rsidRPr="008F7572">
        <w:rPr>
          <w:sz w:val="24"/>
          <w:szCs w:val="24"/>
        </w:rPr>
        <w:t>Châtillon</w:t>
      </w:r>
      <w:r w:rsidRPr="008F7572">
        <w:rPr>
          <w:sz w:val="24"/>
          <w:szCs w:val="24"/>
        </w:rPr>
        <w:t>.,</w:t>
      </w:r>
      <w:r w:rsidR="0049586D" w:rsidRPr="001F77B3">
        <w:rPr>
          <w:sz w:val="24"/>
          <w:szCs w:val="24"/>
        </w:rPr>
        <w:t xml:space="preserve"> </w:t>
      </w:r>
      <w:r w:rsidR="008F7572">
        <w:rPr>
          <w:sz w:val="24"/>
          <w:szCs w:val="24"/>
        </w:rPr>
        <w:t>"</w:t>
      </w:r>
      <w:r w:rsidR="0049586D" w:rsidRPr="001F77B3">
        <w:rPr>
          <w:sz w:val="24"/>
          <w:szCs w:val="24"/>
        </w:rPr>
        <w:t>Book Eight.</w:t>
      </w:r>
      <w:r w:rsidR="008F7572">
        <w:rPr>
          <w:sz w:val="24"/>
          <w:szCs w:val="24"/>
        </w:rPr>
        <w:t>"</w:t>
      </w:r>
      <w:r w:rsidR="0049586D" w:rsidRPr="001F77B3">
        <w:rPr>
          <w:sz w:val="24"/>
          <w:szCs w:val="24"/>
        </w:rPr>
        <w:t xml:space="preserve"> In </w:t>
      </w:r>
      <w:r w:rsidR="0049586D" w:rsidRPr="001F77B3">
        <w:rPr>
          <w:i/>
          <w:iCs/>
          <w:sz w:val="24"/>
          <w:szCs w:val="24"/>
        </w:rPr>
        <w:t xml:space="preserve">The </w:t>
      </w:r>
      <w:r w:rsidR="008F7572">
        <w:rPr>
          <w:i/>
          <w:iCs/>
          <w:sz w:val="24"/>
          <w:szCs w:val="24"/>
        </w:rPr>
        <w:t>"</w:t>
      </w:r>
      <w:r w:rsidR="0049586D" w:rsidRPr="001F77B3">
        <w:rPr>
          <w:i/>
          <w:iCs/>
          <w:sz w:val="24"/>
          <w:szCs w:val="24"/>
        </w:rPr>
        <w:t>Alexandreis</w:t>
      </w:r>
      <w:r w:rsidR="008F7572">
        <w:rPr>
          <w:i/>
          <w:iCs/>
          <w:sz w:val="24"/>
          <w:szCs w:val="24"/>
        </w:rPr>
        <w:t>"</w:t>
      </w:r>
      <w:r w:rsidR="0049586D" w:rsidRPr="001F77B3">
        <w:rPr>
          <w:i/>
          <w:iCs/>
          <w:sz w:val="24"/>
          <w:szCs w:val="24"/>
        </w:rPr>
        <w:t xml:space="preserve"> of Walter of </w:t>
      </w:r>
      <w:r w:rsidR="00E709A8" w:rsidRPr="008F7572">
        <w:rPr>
          <w:i/>
          <w:iCs/>
          <w:sz w:val="24"/>
          <w:szCs w:val="24"/>
        </w:rPr>
        <w:t>Châtillon</w:t>
      </w:r>
      <w:r w:rsidR="0049586D" w:rsidRPr="001F77B3">
        <w:rPr>
          <w:i/>
          <w:iCs/>
          <w:sz w:val="24"/>
          <w:szCs w:val="24"/>
        </w:rPr>
        <w:t>: A Twelfth-Century Epic</w:t>
      </w:r>
      <w:r w:rsidR="0049586D" w:rsidRPr="001F77B3">
        <w:rPr>
          <w:sz w:val="24"/>
          <w:szCs w:val="24"/>
        </w:rPr>
        <w:t>, Townsend.</w:t>
      </w:r>
      <w:r w:rsidR="00E709A8" w:rsidRPr="008F7572">
        <w:rPr>
          <w:sz w:val="24"/>
          <w:szCs w:val="24"/>
        </w:rPr>
        <w:t xml:space="preserve"> </w:t>
      </w:r>
      <w:r w:rsidR="0049586D" w:rsidRPr="008F7572">
        <w:rPr>
          <w:sz w:val="24"/>
          <w:szCs w:val="24"/>
        </w:rPr>
        <w:t xml:space="preserve">(trans.). </w:t>
      </w:r>
      <w:r w:rsidR="0049586D" w:rsidRPr="001F77B3">
        <w:rPr>
          <w:sz w:val="24"/>
          <w:szCs w:val="24"/>
        </w:rPr>
        <w:t xml:space="preserve">1996. University of Pennsylvania Press, </w:t>
      </w:r>
      <w:r w:rsidR="0049586D" w:rsidRPr="008F7572">
        <w:rPr>
          <w:sz w:val="24"/>
          <w:szCs w:val="24"/>
        </w:rPr>
        <w:t>p.</w:t>
      </w:r>
      <w:r w:rsidR="0049586D" w:rsidRPr="001F77B3">
        <w:rPr>
          <w:sz w:val="24"/>
          <w:szCs w:val="24"/>
        </w:rPr>
        <w:t>131</w:t>
      </w:r>
      <w:r w:rsidR="0049586D" w:rsidRPr="008F7572">
        <w:rPr>
          <w:sz w:val="24"/>
          <w:szCs w:val="24"/>
        </w:rPr>
        <w:t>-</w:t>
      </w:r>
      <w:r w:rsidR="0049586D" w:rsidRPr="001F77B3">
        <w:rPr>
          <w:sz w:val="24"/>
          <w:szCs w:val="24"/>
        </w:rPr>
        <w:t>48. http://www.jstor.org/stable/j.ctt18crxvp.14.</w:t>
      </w:r>
    </w:p>
    <w:p w14:paraId="5DD5DCE8" w14:textId="53E0F8FB" w:rsidR="002F60DE" w:rsidRPr="008F7572" w:rsidRDefault="002F60DE" w:rsidP="008F7572">
      <w:pPr>
        <w:spacing w:line="480" w:lineRule="auto"/>
        <w:jc w:val="both"/>
        <w:rPr>
          <w:sz w:val="24"/>
          <w:szCs w:val="24"/>
        </w:rPr>
      </w:pPr>
    </w:p>
    <w:sectPr w:rsidR="002F60DE" w:rsidRPr="008F757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1C8AE" w14:textId="77777777" w:rsidR="002F0DE7" w:rsidRDefault="002F0DE7" w:rsidP="00B933CF">
      <w:pPr>
        <w:spacing w:after="0" w:line="240" w:lineRule="auto"/>
      </w:pPr>
      <w:r>
        <w:separator/>
      </w:r>
    </w:p>
  </w:endnote>
  <w:endnote w:type="continuationSeparator" w:id="0">
    <w:p w14:paraId="594106AC" w14:textId="77777777" w:rsidR="002F0DE7" w:rsidRDefault="002F0DE7" w:rsidP="00B93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1FE0F" w14:textId="77777777" w:rsidR="001417D4" w:rsidRDefault="001417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A6740" w14:textId="77777777" w:rsidR="001417D4" w:rsidRDefault="001417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F37D9" w14:textId="77777777" w:rsidR="001417D4" w:rsidRDefault="001417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D396B" w14:textId="77777777" w:rsidR="002F0DE7" w:rsidRDefault="002F0DE7" w:rsidP="00B933CF">
      <w:pPr>
        <w:spacing w:after="0" w:line="240" w:lineRule="auto"/>
      </w:pPr>
      <w:r>
        <w:separator/>
      </w:r>
    </w:p>
  </w:footnote>
  <w:footnote w:type="continuationSeparator" w:id="0">
    <w:p w14:paraId="2CB0D3F5" w14:textId="77777777" w:rsidR="002F0DE7" w:rsidRDefault="002F0DE7" w:rsidP="00B933CF">
      <w:pPr>
        <w:spacing w:after="0" w:line="240" w:lineRule="auto"/>
      </w:pPr>
      <w:r>
        <w:continuationSeparator/>
      </w:r>
    </w:p>
  </w:footnote>
  <w:footnote w:id="1">
    <w:p w14:paraId="1DD99F1B" w14:textId="34A9CFF5" w:rsidR="00B933CF" w:rsidRPr="005F1C96" w:rsidRDefault="00B933CF">
      <w:pPr>
        <w:pStyle w:val="FootnoteText"/>
      </w:pPr>
      <w:r w:rsidRPr="005F1C96">
        <w:rPr>
          <w:rStyle w:val="FootnoteReference"/>
        </w:rPr>
        <w:footnoteRef/>
      </w:r>
      <w:r w:rsidRPr="005F1C96">
        <w:t xml:space="preserve"> </w:t>
      </w:r>
      <w:r w:rsidR="003D3A14" w:rsidRPr="005F1C96">
        <w:t>Baynham,</w:t>
      </w:r>
      <w:r w:rsidR="003D3A14" w:rsidRPr="005F1C96">
        <w:t xml:space="preserve"> </w:t>
      </w:r>
      <w:r w:rsidR="003D3A14" w:rsidRPr="005F1C96">
        <w:t>2001</w:t>
      </w:r>
      <w:r w:rsidR="005749F1" w:rsidRPr="005F1C96">
        <w:t>, p.8.</w:t>
      </w:r>
    </w:p>
  </w:footnote>
  <w:footnote w:id="2">
    <w:p w14:paraId="79E1F428" w14:textId="507FF5F2" w:rsidR="00B933CF" w:rsidRPr="005F1C96" w:rsidRDefault="00B933CF">
      <w:pPr>
        <w:pStyle w:val="FootnoteText"/>
      </w:pPr>
      <w:r w:rsidRPr="005F1C96">
        <w:rPr>
          <w:rStyle w:val="FootnoteReference"/>
        </w:rPr>
        <w:footnoteRef/>
      </w:r>
      <w:r w:rsidRPr="005F1C96">
        <w:t xml:space="preserve"> </w:t>
      </w:r>
      <w:r w:rsidR="00F042C9" w:rsidRPr="005F1C96">
        <w:t>Curtius and Rolfe, 1971</w:t>
      </w:r>
      <w:r w:rsidR="00F042C9" w:rsidRPr="005F1C96">
        <w:t>, p.ix.</w:t>
      </w:r>
    </w:p>
  </w:footnote>
  <w:footnote w:id="3">
    <w:p w14:paraId="568A247D" w14:textId="0B7092F9" w:rsidR="00B933CF" w:rsidRPr="005F1C96" w:rsidRDefault="00B933CF" w:rsidP="00D26D06">
      <w:pPr>
        <w:pStyle w:val="FootnoteText"/>
      </w:pPr>
      <w:r w:rsidRPr="005F1C96">
        <w:rPr>
          <w:rStyle w:val="FootnoteReference"/>
        </w:rPr>
        <w:footnoteRef/>
      </w:r>
      <w:r w:rsidRPr="005F1C96">
        <w:t xml:space="preserve"> </w:t>
      </w:r>
      <w:r w:rsidR="00014C58" w:rsidRPr="005F1C96">
        <w:t>Townsend, 1997, p.xi.</w:t>
      </w:r>
    </w:p>
  </w:footnote>
  <w:footnote w:id="4">
    <w:p w14:paraId="43570516" w14:textId="36EE1F86" w:rsidR="00B933CF" w:rsidRPr="005F1C96" w:rsidRDefault="00B933CF" w:rsidP="00D26D06">
      <w:pPr>
        <w:pStyle w:val="FootnoteText"/>
      </w:pPr>
      <w:r w:rsidRPr="005F1C96">
        <w:rPr>
          <w:rStyle w:val="FootnoteReference"/>
        </w:rPr>
        <w:footnoteRef/>
      </w:r>
      <w:r w:rsidRPr="005F1C96">
        <w:t xml:space="preserve"> </w:t>
      </w:r>
      <w:r w:rsidR="007D5E6C" w:rsidRPr="005F1C96">
        <w:t>Townsend, 1997, p</w:t>
      </w:r>
      <w:r w:rsidR="007D5E6C" w:rsidRPr="005F1C96">
        <w:t>.</w:t>
      </w:r>
      <w:r w:rsidRPr="005F1C96">
        <w:t>xv</w:t>
      </w:r>
      <w:r w:rsidR="007D5E6C" w:rsidRPr="005F1C96">
        <w:t>.</w:t>
      </w:r>
    </w:p>
  </w:footnote>
  <w:footnote w:id="5">
    <w:p w14:paraId="7BFC46F9" w14:textId="7DF6720E" w:rsidR="005F1C96" w:rsidRPr="005F1C96" w:rsidRDefault="00B933CF" w:rsidP="00D26D06">
      <w:pPr>
        <w:spacing w:line="240" w:lineRule="auto"/>
        <w:rPr>
          <w:sz w:val="20"/>
          <w:szCs w:val="20"/>
        </w:rPr>
      </w:pPr>
      <w:r w:rsidRPr="005F1C96">
        <w:rPr>
          <w:rStyle w:val="FootnoteReference"/>
          <w:sz w:val="20"/>
          <w:szCs w:val="20"/>
        </w:rPr>
        <w:footnoteRef/>
      </w:r>
      <w:r w:rsidRPr="005F1C96">
        <w:rPr>
          <w:sz w:val="20"/>
          <w:szCs w:val="20"/>
        </w:rPr>
        <w:t xml:space="preserve"> </w:t>
      </w:r>
      <w:r w:rsidR="00DD6E39" w:rsidRPr="005F1C96">
        <w:rPr>
          <w:sz w:val="20"/>
          <w:szCs w:val="20"/>
        </w:rPr>
        <w:t>Digital Collections, n</w:t>
      </w:r>
      <w:r w:rsidR="00D26D06">
        <w:rPr>
          <w:sz w:val="20"/>
          <w:szCs w:val="20"/>
        </w:rPr>
        <w:t>.d.</w:t>
      </w:r>
    </w:p>
  </w:footnote>
  <w:footnote w:id="6">
    <w:p w14:paraId="13BC259E" w14:textId="65B72FCE" w:rsidR="00B933CF" w:rsidRPr="005F1C96" w:rsidRDefault="00B933CF" w:rsidP="00D26D06">
      <w:pPr>
        <w:pStyle w:val="FootnoteText"/>
      </w:pPr>
      <w:r w:rsidRPr="005F1C96">
        <w:rPr>
          <w:rStyle w:val="FootnoteReference"/>
        </w:rPr>
        <w:footnoteRef/>
      </w:r>
      <w:r w:rsidRPr="005F1C96">
        <w:t xml:space="preserve"> </w:t>
      </w:r>
      <w:r w:rsidR="002F60DE">
        <w:t xml:space="preserve">Walter and </w:t>
      </w:r>
      <w:r w:rsidR="007D5E6C" w:rsidRPr="005F1C96">
        <w:t>Townsend, 1997, p.</w:t>
      </w:r>
      <w:r w:rsidRPr="005F1C96">
        <w:t>xvii</w:t>
      </w:r>
      <w:r w:rsidR="007D5E6C" w:rsidRPr="005F1C96">
        <w:t>.</w:t>
      </w:r>
    </w:p>
  </w:footnote>
  <w:footnote w:id="7">
    <w:p w14:paraId="56DF05D2" w14:textId="54A26CC8" w:rsidR="00B933CF" w:rsidRPr="005F1C96" w:rsidRDefault="00B933CF" w:rsidP="00D26D06">
      <w:pPr>
        <w:pStyle w:val="FootnoteText"/>
      </w:pPr>
      <w:r w:rsidRPr="005F1C96">
        <w:rPr>
          <w:rStyle w:val="FootnoteReference"/>
        </w:rPr>
        <w:footnoteRef/>
      </w:r>
      <w:r w:rsidR="00C73E64" w:rsidRPr="005F1C96">
        <w:t xml:space="preserve"> </w:t>
      </w:r>
      <w:r w:rsidR="00F042C9" w:rsidRPr="005F1C96">
        <w:t>Curtius and Rolfe, 1971, p.</w:t>
      </w:r>
      <w:r w:rsidR="00F042C9" w:rsidRPr="005F1C96">
        <w:t>24.</w:t>
      </w:r>
    </w:p>
  </w:footnote>
  <w:footnote w:id="8">
    <w:p w14:paraId="1DC4A754" w14:textId="3099152D" w:rsidR="00A32326" w:rsidRDefault="00A32326" w:rsidP="00D26D06">
      <w:pPr>
        <w:pStyle w:val="FootnoteText"/>
      </w:pPr>
      <w:r>
        <w:rPr>
          <w:rStyle w:val="FootnoteReference"/>
        </w:rPr>
        <w:footnoteRef/>
      </w:r>
      <w:r>
        <w:t xml:space="preserve"> </w:t>
      </w:r>
      <w:r w:rsidRPr="00A32326">
        <w:t>Walter and Townsend, 1996, p.</w:t>
      </w:r>
      <w:r>
        <w:t>131</w:t>
      </w:r>
      <w:r w:rsidRPr="00A32326">
        <w:t xml:space="preserve">. line </w:t>
      </w:r>
      <w:r>
        <w:t>5</w:t>
      </w:r>
      <w:r w:rsidR="008F7572">
        <w:t xml:space="preserve"> a</w:t>
      </w:r>
      <w:r>
        <w:t xml:space="preserve">nd </w:t>
      </w:r>
      <w:r w:rsidRPr="00A32326">
        <w:t>Curtius and Rolfe, 1971, p.</w:t>
      </w:r>
      <w:r>
        <w:t>47</w:t>
      </w:r>
      <w:r w:rsidRPr="00A32326">
        <w:t xml:space="preserve">. line </w:t>
      </w:r>
      <w:r>
        <w:t>24.</w:t>
      </w:r>
    </w:p>
  </w:footnote>
  <w:footnote w:id="9">
    <w:p w14:paraId="47EBFE43" w14:textId="7B573FD9" w:rsidR="00B933CF" w:rsidRPr="005F1C96" w:rsidRDefault="00B933CF">
      <w:pPr>
        <w:pStyle w:val="FootnoteText"/>
      </w:pPr>
      <w:r w:rsidRPr="005F1C96">
        <w:rPr>
          <w:rStyle w:val="FootnoteReference"/>
        </w:rPr>
        <w:footnoteRef/>
      </w:r>
      <w:r w:rsidRPr="005F1C96">
        <w:t xml:space="preserve"> </w:t>
      </w:r>
      <w:bookmarkStart w:id="0" w:name="_Hlk103623954"/>
      <w:r w:rsidR="00070818">
        <w:t>Leo and Pritchard, 1992, p.77</w:t>
      </w:r>
      <w:bookmarkEnd w:id="0"/>
      <w:r w:rsidR="008F7572">
        <w:t>.</w:t>
      </w:r>
    </w:p>
  </w:footnote>
  <w:footnote w:id="10">
    <w:p w14:paraId="12E47308" w14:textId="65CD8A13" w:rsidR="00B933CF" w:rsidRPr="005F1C96" w:rsidRDefault="00B933CF">
      <w:pPr>
        <w:pStyle w:val="FootnoteText"/>
      </w:pPr>
      <w:r w:rsidRPr="005F1C96">
        <w:rPr>
          <w:rStyle w:val="FootnoteReference"/>
        </w:rPr>
        <w:footnoteRef/>
      </w:r>
      <w:r w:rsidR="00CA4D80" w:rsidRPr="005F1C96">
        <w:t>Meserve, 2008, p249.</w:t>
      </w:r>
    </w:p>
  </w:footnote>
  <w:footnote w:id="11">
    <w:p w14:paraId="62C8A122" w14:textId="2FA5811F" w:rsidR="00A32326" w:rsidRDefault="00A32326">
      <w:pPr>
        <w:pStyle w:val="FootnoteText"/>
      </w:pPr>
      <w:r>
        <w:rPr>
          <w:rStyle w:val="FootnoteReference"/>
        </w:rPr>
        <w:footnoteRef/>
      </w:r>
      <w:r>
        <w:t xml:space="preserve"> </w:t>
      </w:r>
      <w:r w:rsidRPr="00A32326">
        <w:t>Walter and Townsend, 1996, p.</w:t>
      </w:r>
      <w:r>
        <w:t>13</w:t>
      </w:r>
      <w:r w:rsidR="007B3D60">
        <w:t>2</w:t>
      </w:r>
      <w:r w:rsidRPr="00A32326">
        <w:t>. line</w:t>
      </w:r>
      <w:r w:rsidR="007B3D60">
        <w:t>s 18-27</w:t>
      </w:r>
      <w:r w:rsidR="008F7572">
        <w:t xml:space="preserve"> a</w:t>
      </w:r>
      <w:r>
        <w:t xml:space="preserve">nd </w:t>
      </w:r>
      <w:r w:rsidRPr="00A32326">
        <w:t>Curtius and Rolfe, 1971, p.</w:t>
      </w:r>
      <w:r>
        <w:t>47</w:t>
      </w:r>
      <w:r w:rsidRPr="00A32326">
        <w:t>. line</w:t>
      </w:r>
      <w:r w:rsidR="008F7572">
        <w:t>s</w:t>
      </w:r>
      <w:r w:rsidRPr="00A32326">
        <w:t xml:space="preserve"> </w:t>
      </w:r>
      <w:r>
        <w:t>2</w:t>
      </w:r>
      <w:r w:rsidR="007B3D60">
        <w:t>7-28.</w:t>
      </w:r>
    </w:p>
  </w:footnote>
  <w:footnote w:id="12">
    <w:p w14:paraId="53385B29" w14:textId="35FED93F" w:rsidR="007B3D60" w:rsidRDefault="007B3D60">
      <w:pPr>
        <w:pStyle w:val="FootnoteText"/>
      </w:pPr>
      <w:r>
        <w:rPr>
          <w:rStyle w:val="FootnoteReference"/>
        </w:rPr>
        <w:footnoteRef/>
      </w:r>
      <w:r>
        <w:t xml:space="preserve"> </w:t>
      </w:r>
      <w:r w:rsidRPr="00A32326">
        <w:t>Walter and Townsend, 1996, p.</w:t>
      </w:r>
      <w:r>
        <w:t>13</w:t>
      </w:r>
      <w:r>
        <w:t>2</w:t>
      </w:r>
      <w:r w:rsidRPr="00A32326">
        <w:t>. line</w:t>
      </w:r>
      <w:r>
        <w:t>s 23-24</w:t>
      </w:r>
      <w:r w:rsidR="008F7572">
        <w:t xml:space="preserve"> a</w:t>
      </w:r>
      <w:r>
        <w:t xml:space="preserve">nd </w:t>
      </w:r>
      <w:r w:rsidRPr="00A32326">
        <w:t>Curtius and Rolfe, 1971, p.</w:t>
      </w:r>
      <w:r>
        <w:t>47</w:t>
      </w:r>
      <w:r w:rsidRPr="00A32326">
        <w:t xml:space="preserve">. line </w:t>
      </w:r>
      <w:r>
        <w:t>2</w:t>
      </w:r>
      <w:r>
        <w:t>8</w:t>
      </w:r>
      <w:r>
        <w:t>.</w:t>
      </w:r>
    </w:p>
  </w:footnote>
  <w:footnote w:id="13">
    <w:p w14:paraId="36B6EC23" w14:textId="5D3973DF" w:rsidR="00B933CF" w:rsidRPr="005F1C96" w:rsidRDefault="00B933CF">
      <w:pPr>
        <w:pStyle w:val="FootnoteText"/>
      </w:pPr>
      <w:r w:rsidRPr="005F1C96">
        <w:rPr>
          <w:rStyle w:val="FootnoteReference"/>
        </w:rPr>
        <w:footnoteRef/>
      </w:r>
      <w:r w:rsidRPr="005F1C96">
        <w:t xml:space="preserve"> </w:t>
      </w:r>
      <w:r w:rsidR="00070818">
        <w:t>Leo and Pritchard, 1992, p.7</w:t>
      </w:r>
      <w:r w:rsidR="00070818">
        <w:t>8</w:t>
      </w:r>
      <w:r w:rsidR="008F7572">
        <w:t>.</w:t>
      </w:r>
    </w:p>
  </w:footnote>
  <w:footnote w:id="14">
    <w:p w14:paraId="345FB39C" w14:textId="42738C56" w:rsidR="007B3D60" w:rsidRDefault="007B3D60">
      <w:pPr>
        <w:pStyle w:val="FootnoteText"/>
      </w:pPr>
      <w:r>
        <w:rPr>
          <w:rStyle w:val="FootnoteReference"/>
        </w:rPr>
        <w:footnoteRef/>
      </w:r>
      <w:r>
        <w:t xml:space="preserve"> </w:t>
      </w:r>
      <w:r w:rsidRPr="00A32326">
        <w:t>Walter and Townsend, 1996, p.</w:t>
      </w:r>
      <w:r>
        <w:t>13</w:t>
      </w:r>
      <w:r>
        <w:t>2</w:t>
      </w:r>
      <w:r w:rsidRPr="00A32326">
        <w:t>. line</w:t>
      </w:r>
      <w:r>
        <w:t>s</w:t>
      </w:r>
      <w:r w:rsidRPr="00A32326">
        <w:t xml:space="preserve"> </w:t>
      </w:r>
      <w:r>
        <w:t>28-</w:t>
      </w:r>
      <w:r w:rsidR="000B1FB9">
        <w:t>32</w:t>
      </w:r>
      <w:r w:rsidR="008F7572">
        <w:t xml:space="preserve"> a</w:t>
      </w:r>
      <w:r>
        <w:t xml:space="preserve">nd </w:t>
      </w:r>
      <w:r w:rsidRPr="00A32326">
        <w:t>Curtius and Rolfe, 1971, p.</w:t>
      </w:r>
      <w:r>
        <w:t>4</w:t>
      </w:r>
      <w:r w:rsidR="000B1FB9">
        <w:t>9</w:t>
      </w:r>
      <w:r w:rsidRPr="00A32326">
        <w:t xml:space="preserve">. line </w:t>
      </w:r>
      <w:r w:rsidR="000B1FB9">
        <w:t>29</w:t>
      </w:r>
      <w:r>
        <w:t>.</w:t>
      </w:r>
    </w:p>
  </w:footnote>
  <w:footnote w:id="15">
    <w:p w14:paraId="4EBE53C2" w14:textId="41FB047A" w:rsidR="007770DC" w:rsidRDefault="007770DC">
      <w:pPr>
        <w:pStyle w:val="FootnoteText"/>
      </w:pPr>
      <w:r w:rsidRPr="005F1C96">
        <w:rPr>
          <w:rStyle w:val="FootnoteReference"/>
        </w:rPr>
        <w:footnoteRef/>
      </w:r>
      <w:r w:rsidRPr="005F1C96">
        <w:t xml:space="preserve"> </w:t>
      </w:r>
      <w:r w:rsidR="00AD30A0" w:rsidRPr="005F1C96">
        <w:t>Baynham, 2001</w:t>
      </w:r>
      <w:r w:rsidR="00AD30A0" w:rsidRPr="005F1C96">
        <w:t>, p.117.</w:t>
      </w:r>
    </w:p>
  </w:footnote>
  <w:footnote w:id="16">
    <w:p w14:paraId="34BD4245" w14:textId="780C01A1" w:rsidR="000B1FB9" w:rsidRDefault="000B1FB9">
      <w:pPr>
        <w:pStyle w:val="FootnoteText"/>
      </w:pPr>
      <w:r>
        <w:rPr>
          <w:rStyle w:val="FootnoteReference"/>
        </w:rPr>
        <w:footnoteRef/>
      </w:r>
      <w:r>
        <w:t xml:space="preserve"> </w:t>
      </w:r>
      <w:r w:rsidRPr="00A32326">
        <w:t>Walter and Townsend, 1996, p.</w:t>
      </w:r>
      <w:r>
        <w:t>13</w:t>
      </w:r>
      <w:r>
        <w:t>2</w:t>
      </w:r>
      <w:r w:rsidRPr="00A32326">
        <w:t>. line</w:t>
      </w:r>
      <w:r>
        <w:t>s 42-47</w:t>
      </w:r>
      <w:r w:rsidR="008F7572">
        <w:t xml:space="preserve"> a</w:t>
      </w:r>
      <w:r>
        <w:t xml:space="preserve">nd </w:t>
      </w:r>
      <w:r w:rsidRPr="00A32326">
        <w:t>Curtius and Rolfe, 1971, p.</w:t>
      </w:r>
      <w:r>
        <w:t>4</w:t>
      </w:r>
      <w:r>
        <w:t>9</w:t>
      </w:r>
      <w:r w:rsidRPr="00A32326">
        <w:t xml:space="preserve">. line </w:t>
      </w:r>
      <w:r>
        <w:t>30</w:t>
      </w:r>
      <w:r>
        <w:t>.</w:t>
      </w:r>
    </w:p>
  </w:footnote>
  <w:footnote w:id="17">
    <w:p w14:paraId="2F1EC786" w14:textId="0CE105BB" w:rsidR="000B1FB9" w:rsidRDefault="000B1FB9">
      <w:pPr>
        <w:pStyle w:val="FootnoteText"/>
      </w:pPr>
      <w:r>
        <w:rPr>
          <w:rStyle w:val="FootnoteReference"/>
        </w:rPr>
        <w:footnoteRef/>
      </w:r>
      <w:r>
        <w:t xml:space="preserve"> </w:t>
      </w:r>
      <w:r w:rsidRPr="00A32326">
        <w:t>Walter and Townsend, 1996, p.</w:t>
      </w:r>
      <w:r>
        <w:t>13</w:t>
      </w:r>
      <w:r w:rsidR="00D60732">
        <w:t>2</w:t>
      </w:r>
      <w:r w:rsidRPr="00A32326">
        <w:t>. line</w:t>
      </w:r>
      <w:r w:rsidR="00D60732">
        <w:t>s</w:t>
      </w:r>
      <w:r w:rsidRPr="00A32326">
        <w:t xml:space="preserve"> </w:t>
      </w:r>
      <w:r>
        <w:t>5</w:t>
      </w:r>
      <w:r w:rsidR="00D60732">
        <w:t>0-51</w:t>
      </w:r>
      <w:r w:rsidR="008F7572">
        <w:t xml:space="preserve"> a</w:t>
      </w:r>
      <w:r>
        <w:t xml:space="preserve">nd </w:t>
      </w:r>
      <w:r w:rsidRPr="00A32326">
        <w:t>Curtius and Rolfe, 1971, p.</w:t>
      </w:r>
      <w:r>
        <w:t>4</w:t>
      </w:r>
      <w:r w:rsidR="00D60732">
        <w:t>9</w:t>
      </w:r>
      <w:r w:rsidRPr="00A32326">
        <w:t>. line</w:t>
      </w:r>
      <w:r w:rsidR="008F7572">
        <w:t>s</w:t>
      </w:r>
      <w:r w:rsidRPr="00A32326">
        <w:t xml:space="preserve"> </w:t>
      </w:r>
      <w:r w:rsidR="00D60732">
        <w:t>30-31</w:t>
      </w:r>
      <w:r>
        <w:t>.</w:t>
      </w:r>
    </w:p>
  </w:footnote>
  <w:footnote w:id="18">
    <w:p w14:paraId="6A9B9029" w14:textId="07F777EB" w:rsidR="00D60732" w:rsidRDefault="00D60732">
      <w:pPr>
        <w:pStyle w:val="FootnoteText"/>
      </w:pPr>
      <w:r>
        <w:rPr>
          <w:rStyle w:val="FootnoteReference"/>
        </w:rPr>
        <w:footnoteRef/>
      </w:r>
      <w:r>
        <w:t xml:space="preserve"> </w:t>
      </w:r>
      <w:r w:rsidRPr="00A32326">
        <w:t>Walter and Townsend, 1996, p.</w:t>
      </w:r>
      <w:r>
        <w:t>13</w:t>
      </w:r>
      <w:r>
        <w:t>3</w:t>
      </w:r>
      <w:r w:rsidRPr="00A32326">
        <w:t>. line</w:t>
      </w:r>
      <w:r>
        <w:t>s 53-54</w:t>
      </w:r>
      <w:r w:rsidR="008F7572">
        <w:t xml:space="preserve"> a</w:t>
      </w:r>
      <w:r>
        <w:t xml:space="preserve">nd </w:t>
      </w:r>
      <w:r w:rsidRPr="00A32326">
        <w:t>Curtius and Rolfe, 1971, p.</w:t>
      </w:r>
      <w:r>
        <w:t>4</w:t>
      </w:r>
      <w:r>
        <w:t>9</w:t>
      </w:r>
      <w:r w:rsidRPr="00A32326">
        <w:t xml:space="preserve">. line </w:t>
      </w:r>
      <w:r>
        <w:t>31</w:t>
      </w:r>
      <w:r>
        <w:t>.</w:t>
      </w:r>
    </w:p>
  </w:footnote>
  <w:footnote w:id="19">
    <w:p w14:paraId="202DBA0F" w14:textId="4BF7F999" w:rsidR="007770DC" w:rsidRDefault="007770DC">
      <w:pPr>
        <w:pStyle w:val="FootnoteText"/>
      </w:pPr>
      <w:r>
        <w:rPr>
          <w:rStyle w:val="FootnoteReference"/>
        </w:rPr>
        <w:footnoteRef/>
      </w:r>
      <w:r>
        <w:t xml:space="preserve"> </w:t>
      </w:r>
      <w:r w:rsidR="007362E3" w:rsidRPr="007362E3">
        <w:t>Leo and Pritchard, 1992, p.77</w:t>
      </w:r>
      <w:r w:rsidR="007362E3">
        <w:t>-79.</w:t>
      </w:r>
    </w:p>
  </w:footnote>
  <w:footnote w:id="20">
    <w:p w14:paraId="0752AD4C" w14:textId="253B01BE" w:rsidR="00D60732" w:rsidRDefault="00D60732">
      <w:pPr>
        <w:pStyle w:val="FootnoteText"/>
      </w:pPr>
      <w:r>
        <w:rPr>
          <w:rStyle w:val="FootnoteReference"/>
        </w:rPr>
        <w:footnoteRef/>
      </w:r>
      <w:r>
        <w:t xml:space="preserve"> </w:t>
      </w:r>
      <w:r w:rsidRPr="00A32326">
        <w:t>Walter and Townsend, 1996, p.</w:t>
      </w:r>
      <w:r>
        <w:t>13</w:t>
      </w:r>
      <w:r>
        <w:t>3</w:t>
      </w:r>
      <w:r w:rsidRPr="00A32326">
        <w:t>. line</w:t>
      </w:r>
      <w:r>
        <w:t>s</w:t>
      </w:r>
      <w:r w:rsidRPr="00A32326">
        <w:t xml:space="preserve"> </w:t>
      </w:r>
      <w:r>
        <w:t>5</w:t>
      </w:r>
      <w:r>
        <w:t>5-57</w:t>
      </w:r>
      <w:r w:rsidR="008F7572">
        <w:t xml:space="preserve"> a</w:t>
      </w:r>
      <w:r>
        <w:t xml:space="preserve">nd </w:t>
      </w:r>
      <w:r w:rsidRPr="00A32326">
        <w:t>Curtius and Rolfe, 1971, p.</w:t>
      </w:r>
      <w:r>
        <w:t>4</w:t>
      </w:r>
      <w:r>
        <w:t>9</w:t>
      </w:r>
      <w:r w:rsidRPr="00A32326">
        <w:t xml:space="preserve">. line </w:t>
      </w:r>
      <w:r>
        <w:t>32</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C54783" w14:textId="77777777" w:rsidR="001417D4" w:rsidRDefault="001417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7B158" w14:textId="55960E91" w:rsidR="001417D4" w:rsidRDefault="001417D4">
    <w:pPr>
      <w:pStyle w:val="Header"/>
    </w:pPr>
    <w:r>
      <w:t>Kerry Philps</w:t>
    </w:r>
    <w:r>
      <w:tab/>
      <w:t>HPAH5058</w:t>
    </w:r>
    <w:r>
      <w:tab/>
      <w:t>1901524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0C849" w14:textId="77777777" w:rsidR="001417D4" w:rsidRDefault="001417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ysDQ0NzG1sDAztjRV0lEKTi0uzszPAykwrAUA0A61ASwAAAA="/>
  </w:docVars>
  <w:rsids>
    <w:rsidRoot w:val="00367BDA"/>
    <w:rsid w:val="0000692F"/>
    <w:rsid w:val="00014C58"/>
    <w:rsid w:val="00030B74"/>
    <w:rsid w:val="00036BBF"/>
    <w:rsid w:val="0005360F"/>
    <w:rsid w:val="00061A9A"/>
    <w:rsid w:val="00070818"/>
    <w:rsid w:val="00072FF0"/>
    <w:rsid w:val="00081779"/>
    <w:rsid w:val="000B1FB9"/>
    <w:rsid w:val="000C3858"/>
    <w:rsid w:val="000C4106"/>
    <w:rsid w:val="001332C4"/>
    <w:rsid w:val="00137995"/>
    <w:rsid w:val="001417D4"/>
    <w:rsid w:val="001851DE"/>
    <w:rsid w:val="001958C2"/>
    <w:rsid w:val="001C6EBF"/>
    <w:rsid w:val="001D03E0"/>
    <w:rsid w:val="001F77B3"/>
    <w:rsid w:val="00213634"/>
    <w:rsid w:val="00255DBF"/>
    <w:rsid w:val="00283835"/>
    <w:rsid w:val="00283FAF"/>
    <w:rsid w:val="002D2565"/>
    <w:rsid w:val="002F0DE7"/>
    <w:rsid w:val="002F5C8E"/>
    <w:rsid w:val="002F60DE"/>
    <w:rsid w:val="00312D97"/>
    <w:rsid w:val="0031682F"/>
    <w:rsid w:val="00320847"/>
    <w:rsid w:val="00367BDA"/>
    <w:rsid w:val="00375A96"/>
    <w:rsid w:val="003A562B"/>
    <w:rsid w:val="003D3A14"/>
    <w:rsid w:val="003F443F"/>
    <w:rsid w:val="00404D5D"/>
    <w:rsid w:val="00431B78"/>
    <w:rsid w:val="00463217"/>
    <w:rsid w:val="00471FB9"/>
    <w:rsid w:val="00483226"/>
    <w:rsid w:val="0049586D"/>
    <w:rsid w:val="004B3A0F"/>
    <w:rsid w:val="004D6485"/>
    <w:rsid w:val="00573376"/>
    <w:rsid w:val="005749F1"/>
    <w:rsid w:val="00594F55"/>
    <w:rsid w:val="005D35A0"/>
    <w:rsid w:val="005F1C96"/>
    <w:rsid w:val="00614472"/>
    <w:rsid w:val="006524D2"/>
    <w:rsid w:val="006B1C13"/>
    <w:rsid w:val="006F408A"/>
    <w:rsid w:val="0072395D"/>
    <w:rsid w:val="007362E3"/>
    <w:rsid w:val="00762E8B"/>
    <w:rsid w:val="007770DC"/>
    <w:rsid w:val="00790C09"/>
    <w:rsid w:val="007A0AD6"/>
    <w:rsid w:val="007A6263"/>
    <w:rsid w:val="007B125D"/>
    <w:rsid w:val="007B3D60"/>
    <w:rsid w:val="007C6232"/>
    <w:rsid w:val="007D5E6C"/>
    <w:rsid w:val="00816A36"/>
    <w:rsid w:val="00844831"/>
    <w:rsid w:val="008B409C"/>
    <w:rsid w:val="008E6DFF"/>
    <w:rsid w:val="008F7572"/>
    <w:rsid w:val="00922CC0"/>
    <w:rsid w:val="009663B9"/>
    <w:rsid w:val="009B5BAC"/>
    <w:rsid w:val="009C3016"/>
    <w:rsid w:val="00A070D7"/>
    <w:rsid w:val="00A14694"/>
    <w:rsid w:val="00A32326"/>
    <w:rsid w:val="00A503D0"/>
    <w:rsid w:val="00AA1C0F"/>
    <w:rsid w:val="00AA6403"/>
    <w:rsid w:val="00AD30A0"/>
    <w:rsid w:val="00AE0695"/>
    <w:rsid w:val="00AF3930"/>
    <w:rsid w:val="00AF564E"/>
    <w:rsid w:val="00B02A52"/>
    <w:rsid w:val="00B933CF"/>
    <w:rsid w:val="00BD2E40"/>
    <w:rsid w:val="00C73E64"/>
    <w:rsid w:val="00C90C1F"/>
    <w:rsid w:val="00C92AE5"/>
    <w:rsid w:val="00CA4D80"/>
    <w:rsid w:val="00CC6EBE"/>
    <w:rsid w:val="00CE532F"/>
    <w:rsid w:val="00D26D06"/>
    <w:rsid w:val="00D60732"/>
    <w:rsid w:val="00D6726B"/>
    <w:rsid w:val="00D7488A"/>
    <w:rsid w:val="00D932F7"/>
    <w:rsid w:val="00D95521"/>
    <w:rsid w:val="00DC5DFF"/>
    <w:rsid w:val="00DD6E39"/>
    <w:rsid w:val="00E014E4"/>
    <w:rsid w:val="00E020E3"/>
    <w:rsid w:val="00E14911"/>
    <w:rsid w:val="00E451E0"/>
    <w:rsid w:val="00E60EEF"/>
    <w:rsid w:val="00E709A8"/>
    <w:rsid w:val="00ED2B81"/>
    <w:rsid w:val="00ED3548"/>
    <w:rsid w:val="00EF4844"/>
    <w:rsid w:val="00F042C9"/>
    <w:rsid w:val="00F0674D"/>
    <w:rsid w:val="00F41561"/>
    <w:rsid w:val="00F57EC4"/>
    <w:rsid w:val="00FB767F"/>
    <w:rsid w:val="00FD1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77CDC2"/>
  <w15:docId w15:val="{21532CDF-5766-48B0-8460-A52509716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692F"/>
    <w:rPr>
      <w:color w:val="0563C1" w:themeColor="hyperlink"/>
      <w:u w:val="single"/>
    </w:rPr>
  </w:style>
  <w:style w:type="paragraph" w:styleId="FootnoteText">
    <w:name w:val="footnote text"/>
    <w:basedOn w:val="Normal"/>
    <w:link w:val="FootnoteTextChar"/>
    <w:uiPriority w:val="99"/>
    <w:semiHidden/>
    <w:unhideWhenUsed/>
    <w:rsid w:val="00B933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33CF"/>
    <w:rPr>
      <w:sz w:val="20"/>
      <w:szCs w:val="20"/>
    </w:rPr>
  </w:style>
  <w:style w:type="character" w:styleId="FootnoteReference">
    <w:name w:val="footnote reference"/>
    <w:basedOn w:val="DefaultParagraphFont"/>
    <w:uiPriority w:val="99"/>
    <w:semiHidden/>
    <w:unhideWhenUsed/>
    <w:rsid w:val="00B933CF"/>
    <w:rPr>
      <w:vertAlign w:val="superscript"/>
    </w:rPr>
  </w:style>
  <w:style w:type="character" w:styleId="FollowedHyperlink">
    <w:name w:val="FollowedHyperlink"/>
    <w:basedOn w:val="DefaultParagraphFont"/>
    <w:uiPriority w:val="99"/>
    <w:semiHidden/>
    <w:unhideWhenUsed/>
    <w:rsid w:val="007D5E6C"/>
    <w:rPr>
      <w:color w:val="954F72" w:themeColor="followedHyperlink"/>
      <w:u w:val="single"/>
    </w:rPr>
  </w:style>
  <w:style w:type="paragraph" w:styleId="Header">
    <w:name w:val="header"/>
    <w:basedOn w:val="Normal"/>
    <w:link w:val="HeaderChar"/>
    <w:uiPriority w:val="99"/>
    <w:unhideWhenUsed/>
    <w:rsid w:val="001417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7D4"/>
  </w:style>
  <w:style w:type="paragraph" w:styleId="Footer">
    <w:name w:val="footer"/>
    <w:basedOn w:val="Normal"/>
    <w:link w:val="FooterChar"/>
    <w:uiPriority w:val="99"/>
    <w:unhideWhenUsed/>
    <w:rsid w:val="001417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7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772191">
      <w:bodyDiv w:val="1"/>
      <w:marLeft w:val="0"/>
      <w:marRight w:val="0"/>
      <w:marTop w:val="0"/>
      <w:marBottom w:val="0"/>
      <w:divBdr>
        <w:top w:val="none" w:sz="0" w:space="0" w:color="auto"/>
        <w:left w:val="none" w:sz="0" w:space="0" w:color="auto"/>
        <w:bottom w:val="none" w:sz="0" w:space="0" w:color="auto"/>
        <w:right w:val="none" w:sz="0" w:space="0" w:color="auto"/>
      </w:divBdr>
      <w:divsChild>
        <w:div w:id="335310143">
          <w:marLeft w:val="0"/>
          <w:marRight w:val="0"/>
          <w:marTop w:val="0"/>
          <w:marBottom w:val="0"/>
          <w:divBdr>
            <w:top w:val="none" w:sz="0" w:space="0" w:color="auto"/>
            <w:left w:val="none" w:sz="0" w:space="0" w:color="auto"/>
            <w:bottom w:val="none" w:sz="0" w:space="0" w:color="auto"/>
            <w:right w:val="none" w:sz="0" w:space="0" w:color="auto"/>
          </w:divBdr>
          <w:divsChild>
            <w:div w:id="145826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F7DE8F-7E45-4FC3-9C19-B90E36AAB6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643</Words>
  <Characters>3476</Characters>
  <Application>Microsoft Office Word</Application>
  <DocSecurity>0</DocSecurity>
  <Lines>58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Philps (1901524)</dc:creator>
  <cp:keywords/>
  <dc:description/>
  <cp:lastModifiedBy>Kerry Philps (1901524)</cp:lastModifiedBy>
  <cp:revision>3</cp:revision>
  <dcterms:created xsi:type="dcterms:W3CDTF">2022-05-16T21:47:00Z</dcterms:created>
  <dcterms:modified xsi:type="dcterms:W3CDTF">2022-05-16T21:51:00Z</dcterms:modified>
</cp:coreProperties>
</file>