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02023" w14:textId="77777777" w:rsidR="00796C69" w:rsidRDefault="009D087F">
      <w:pPr>
        <w:jc w:val="center"/>
      </w:pPr>
      <w:r>
        <w:rPr>
          <w:noProof/>
        </w:rPr>
        <w:drawing>
          <wp:inline distT="0" distB="0" distL="0" distR="0" wp14:anchorId="7C2CF7B3" wp14:editId="642782B0">
            <wp:extent cx="3009900" cy="98298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srcRect/>
                    <a:stretch>
                      <a:fillRect/>
                    </a:stretch>
                  </pic:blipFill>
                  <pic:spPr>
                    <a:xfrm>
                      <a:off x="0" y="0"/>
                      <a:ext cx="3009900" cy="983517"/>
                    </a:xfrm>
                    <a:prstGeom prst="rect">
                      <a:avLst/>
                    </a:prstGeom>
                    <a:noFill/>
                    <a:ln w="9525">
                      <a:noFill/>
                      <a:miter lim="800000"/>
                      <a:headEnd/>
                      <a:tailEnd/>
                    </a:ln>
                  </pic:spPr>
                </pic:pic>
              </a:graphicData>
            </a:graphic>
          </wp:inline>
        </w:drawing>
      </w:r>
    </w:p>
    <w:p w14:paraId="7BFDBA46" w14:textId="77777777" w:rsidR="00796C69" w:rsidRDefault="009D087F">
      <w:pPr>
        <w:spacing w:before="200" w:after="200"/>
        <w:jc w:val="center"/>
        <w:rPr>
          <w:rFonts w:eastAsia="Times New Roman"/>
          <w:b/>
          <w:sz w:val="32"/>
          <w:szCs w:val="32"/>
        </w:rPr>
      </w:pPr>
      <w:r>
        <w:rPr>
          <w:rFonts w:eastAsia="Times New Roman"/>
          <w:b/>
          <w:sz w:val="32"/>
          <w:szCs w:val="32"/>
        </w:rPr>
        <w:t>Programme: BA International Hotel Management</w:t>
      </w:r>
    </w:p>
    <w:p w14:paraId="4FE00E48" w14:textId="77777777" w:rsidR="00796C69" w:rsidRDefault="009D087F">
      <w:pPr>
        <w:jc w:val="center"/>
        <w:rPr>
          <w:rFonts w:eastAsia="Times New Roman"/>
          <w:b/>
          <w:sz w:val="32"/>
          <w:szCs w:val="32"/>
        </w:rPr>
      </w:pPr>
      <w:r>
        <w:rPr>
          <w:rFonts w:eastAsia="Times New Roman"/>
          <w:b/>
          <w:sz w:val="32"/>
          <w:szCs w:val="32"/>
        </w:rPr>
        <w:t>Module: Management &amp; Organisational Behaviour</w:t>
      </w:r>
    </w:p>
    <w:p w14:paraId="6190CDED" w14:textId="77777777" w:rsidR="00796C69" w:rsidRDefault="009D087F">
      <w:pPr>
        <w:spacing w:before="200" w:after="200"/>
        <w:jc w:val="center"/>
        <w:rPr>
          <w:rFonts w:eastAsia="Times New Roman"/>
          <w:b/>
          <w:sz w:val="32"/>
          <w:szCs w:val="32"/>
        </w:rPr>
      </w:pPr>
      <w:r>
        <w:rPr>
          <w:rFonts w:eastAsia="Times New Roman"/>
          <w:b/>
          <w:sz w:val="32"/>
          <w:szCs w:val="32"/>
        </w:rPr>
        <w:t>Module code: BMIH5004</w:t>
      </w:r>
    </w:p>
    <w:p w14:paraId="0B38DAE9" w14:textId="77777777" w:rsidR="00796C69" w:rsidRDefault="009D087F">
      <w:pPr>
        <w:jc w:val="center"/>
        <w:rPr>
          <w:rFonts w:eastAsia="Times New Roman"/>
          <w:b/>
          <w:sz w:val="32"/>
          <w:szCs w:val="32"/>
        </w:rPr>
      </w:pPr>
      <w:r>
        <w:rPr>
          <w:rFonts w:eastAsia="Times New Roman"/>
          <w:b/>
          <w:sz w:val="32"/>
          <w:szCs w:val="32"/>
        </w:rPr>
        <w:t>LEVEL 5</w:t>
      </w:r>
    </w:p>
    <w:p w14:paraId="1F32E002" w14:textId="77777777" w:rsidR="00796C69" w:rsidRDefault="00796C69">
      <w:pPr>
        <w:jc w:val="center"/>
        <w:rPr>
          <w:rFonts w:eastAsia="Times New Roman"/>
          <w:sz w:val="30"/>
          <w:szCs w:val="30"/>
        </w:rPr>
      </w:pPr>
    </w:p>
    <w:p w14:paraId="7DC86B83" w14:textId="77777777" w:rsidR="00796C69" w:rsidRDefault="00796C69">
      <w:pPr>
        <w:jc w:val="center"/>
        <w:rPr>
          <w:rFonts w:eastAsia="Times New Roman"/>
          <w:sz w:val="30"/>
          <w:szCs w:val="30"/>
        </w:rPr>
      </w:pPr>
    </w:p>
    <w:p w14:paraId="0CD1890A" w14:textId="77777777" w:rsidR="00796C69" w:rsidRDefault="00796C69">
      <w:pPr>
        <w:jc w:val="center"/>
        <w:rPr>
          <w:rFonts w:eastAsia="Times New Roman"/>
          <w:sz w:val="30"/>
          <w:szCs w:val="30"/>
        </w:rPr>
      </w:pPr>
    </w:p>
    <w:p w14:paraId="5D82EF44" w14:textId="77777777" w:rsidR="00796C69" w:rsidRDefault="009D087F">
      <w:pPr>
        <w:jc w:val="center"/>
        <w:rPr>
          <w:rFonts w:eastAsia="Times New Roman"/>
          <w:sz w:val="30"/>
          <w:szCs w:val="30"/>
        </w:rPr>
      </w:pPr>
      <w:r>
        <w:rPr>
          <w:rFonts w:eastAsia="Times New Roman"/>
          <w:noProof/>
          <w:sz w:val="30"/>
          <w:szCs w:val="30"/>
          <w:lang w:eastAsia="en-GB" w:bidi="ar-SA"/>
        </w:rPr>
        <w:drawing>
          <wp:inline distT="114300" distB="114300" distL="114300" distR="114300" wp14:anchorId="5ACD9318" wp14:editId="1B90F4E9">
            <wp:extent cx="2447925" cy="1866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9"/>
                    <a:srcRect/>
                    <a:stretch>
                      <a:fillRect/>
                    </a:stretch>
                  </pic:blipFill>
                  <pic:spPr>
                    <a:xfrm>
                      <a:off x="0" y="0"/>
                      <a:ext cx="2447925" cy="1866900"/>
                    </a:xfrm>
                    <a:prstGeom prst="rect">
                      <a:avLst/>
                    </a:prstGeom>
                  </pic:spPr>
                </pic:pic>
              </a:graphicData>
            </a:graphic>
          </wp:inline>
        </w:drawing>
      </w:r>
    </w:p>
    <w:p w14:paraId="0321EB1C" w14:textId="77777777" w:rsidR="00796C69" w:rsidRDefault="00796C69">
      <w:pPr>
        <w:jc w:val="center"/>
        <w:rPr>
          <w:rFonts w:eastAsia="Times New Roman"/>
          <w:sz w:val="30"/>
          <w:szCs w:val="30"/>
        </w:rPr>
      </w:pPr>
    </w:p>
    <w:p w14:paraId="474537C3" w14:textId="77777777" w:rsidR="00796C69" w:rsidRDefault="00796C69">
      <w:pPr>
        <w:jc w:val="center"/>
        <w:rPr>
          <w:rFonts w:eastAsia="Times New Roman"/>
          <w:sz w:val="30"/>
          <w:szCs w:val="30"/>
        </w:rPr>
      </w:pPr>
    </w:p>
    <w:p w14:paraId="4578FC39" w14:textId="77777777" w:rsidR="00796C69" w:rsidRDefault="00796C69">
      <w:pPr>
        <w:jc w:val="center"/>
        <w:rPr>
          <w:rFonts w:eastAsia="Times New Roman"/>
          <w:sz w:val="30"/>
          <w:szCs w:val="30"/>
        </w:rPr>
      </w:pPr>
    </w:p>
    <w:p w14:paraId="4D70F305" w14:textId="46B11227" w:rsidR="00796C69" w:rsidRDefault="009D087F">
      <w:pPr>
        <w:jc w:val="center"/>
        <w:rPr>
          <w:rFonts w:eastAsia="Times New Roman"/>
          <w:b/>
          <w:sz w:val="30"/>
          <w:szCs w:val="30"/>
        </w:rPr>
      </w:pPr>
      <w:r>
        <w:rPr>
          <w:rFonts w:eastAsia="Times New Roman"/>
          <w:b/>
          <w:sz w:val="30"/>
          <w:szCs w:val="30"/>
        </w:rPr>
        <w:t>Student Name:</w:t>
      </w:r>
      <w:r w:rsidR="00823803">
        <w:rPr>
          <w:rFonts w:eastAsia="Times New Roman"/>
          <w:b/>
          <w:sz w:val="30"/>
          <w:szCs w:val="30"/>
        </w:rPr>
        <w:t xml:space="preserve"> </w:t>
      </w:r>
      <w:r w:rsidR="00A467FF">
        <w:rPr>
          <w:rFonts w:eastAsia="Times New Roman"/>
          <w:b/>
          <w:sz w:val="30"/>
          <w:szCs w:val="30"/>
        </w:rPr>
        <w:t xml:space="preserve">Persima Barreto </w:t>
      </w:r>
    </w:p>
    <w:p w14:paraId="0127D845" w14:textId="61746AD2" w:rsidR="00796C69" w:rsidRDefault="009D087F">
      <w:pPr>
        <w:jc w:val="center"/>
        <w:rPr>
          <w:rFonts w:eastAsia="Times New Roman"/>
          <w:b/>
          <w:sz w:val="30"/>
          <w:szCs w:val="30"/>
        </w:rPr>
      </w:pPr>
      <w:r>
        <w:rPr>
          <w:rFonts w:eastAsia="Times New Roman"/>
          <w:b/>
          <w:sz w:val="30"/>
          <w:szCs w:val="30"/>
        </w:rPr>
        <w:t>Student ID:</w:t>
      </w:r>
      <w:r w:rsidR="003D049E">
        <w:rPr>
          <w:rFonts w:eastAsia="Times New Roman"/>
          <w:b/>
          <w:sz w:val="30"/>
          <w:szCs w:val="30"/>
        </w:rPr>
        <w:t>224</w:t>
      </w:r>
      <w:r>
        <w:rPr>
          <w:rFonts w:eastAsia="Times New Roman"/>
          <w:b/>
          <w:sz w:val="30"/>
          <w:szCs w:val="30"/>
        </w:rPr>
        <w:t>3324</w:t>
      </w:r>
    </w:p>
    <w:p w14:paraId="1BFEEDA6" w14:textId="1FDB136B" w:rsidR="00BD4448" w:rsidRDefault="00BD4448">
      <w:pPr>
        <w:jc w:val="center"/>
        <w:rPr>
          <w:rFonts w:eastAsia="Times New Roman"/>
          <w:b/>
          <w:sz w:val="30"/>
          <w:szCs w:val="30"/>
        </w:rPr>
      </w:pPr>
      <w:r>
        <w:rPr>
          <w:rFonts w:eastAsia="Times New Roman"/>
          <w:b/>
          <w:sz w:val="30"/>
          <w:szCs w:val="30"/>
        </w:rPr>
        <w:t xml:space="preserve">Lecture’s name: </w:t>
      </w:r>
      <w:r w:rsidR="00047B06">
        <w:rPr>
          <w:rFonts w:eastAsia="Times New Roman"/>
          <w:b/>
          <w:sz w:val="30"/>
          <w:szCs w:val="30"/>
        </w:rPr>
        <w:t>Daniel Pay</w:t>
      </w:r>
      <w:r w:rsidR="000C4966">
        <w:rPr>
          <w:rFonts w:eastAsia="Times New Roman"/>
          <w:b/>
          <w:sz w:val="30"/>
          <w:szCs w:val="30"/>
        </w:rPr>
        <w:t>ne</w:t>
      </w:r>
    </w:p>
    <w:p w14:paraId="70A06D2F" w14:textId="22E64947" w:rsidR="00796C69" w:rsidRDefault="00796C69">
      <w:pPr>
        <w:jc w:val="center"/>
        <w:rPr>
          <w:rFonts w:eastAsia="Times New Roman"/>
          <w:b/>
          <w:sz w:val="30"/>
          <w:szCs w:val="30"/>
        </w:rPr>
      </w:pPr>
    </w:p>
    <w:p w14:paraId="5589A507" w14:textId="77777777" w:rsidR="00796C69" w:rsidRDefault="009D087F">
      <w:pPr>
        <w:rPr>
          <w:rFonts w:eastAsia="Times New Roman"/>
          <w:b/>
          <w:sz w:val="30"/>
          <w:szCs w:val="30"/>
        </w:rPr>
      </w:pPr>
      <w:r>
        <w:rPr>
          <w:rFonts w:eastAsia="Times New Roman"/>
          <w:b/>
          <w:sz w:val="30"/>
          <w:szCs w:val="30"/>
        </w:rPr>
        <w:br w:type="page"/>
      </w:r>
    </w:p>
    <w:p w14:paraId="012A474D" w14:textId="77777777" w:rsidR="00BE191E" w:rsidRDefault="00BE191E">
      <w:pPr>
        <w:rPr>
          <w:rFonts w:eastAsia="Times New Roman"/>
          <w:b/>
          <w:sz w:val="30"/>
          <w:szCs w:val="30"/>
        </w:rPr>
      </w:pPr>
    </w:p>
    <w:p w14:paraId="1B4959DE" w14:textId="77777777" w:rsidR="00995653" w:rsidRDefault="00995653">
      <w:pPr>
        <w:rPr>
          <w:rFonts w:eastAsia="Times New Roman"/>
          <w:b/>
          <w:sz w:val="30"/>
          <w:szCs w:val="30"/>
        </w:rPr>
      </w:pPr>
    </w:p>
    <w:p w14:paraId="489E4DC3" w14:textId="77777777" w:rsidR="00995653" w:rsidRDefault="00995653">
      <w:pPr>
        <w:rPr>
          <w:rFonts w:eastAsia="Times New Roman"/>
          <w:b/>
          <w:sz w:val="30"/>
          <w:szCs w:val="30"/>
        </w:rPr>
      </w:pPr>
    </w:p>
    <w:p w14:paraId="0DA96A9C" w14:textId="77777777" w:rsidR="00995653" w:rsidRDefault="00995653">
      <w:pPr>
        <w:rPr>
          <w:rFonts w:eastAsia="Times New Roman"/>
          <w:b/>
          <w:sz w:val="30"/>
          <w:szCs w:val="30"/>
        </w:rPr>
      </w:pPr>
    </w:p>
    <w:p w14:paraId="38B91B75" w14:textId="77777777" w:rsidR="00995653" w:rsidRDefault="00995653">
      <w:pPr>
        <w:rPr>
          <w:rFonts w:eastAsia="Times New Roman"/>
          <w:b/>
          <w:sz w:val="30"/>
          <w:szCs w:val="30"/>
        </w:rPr>
      </w:pPr>
    </w:p>
    <w:p w14:paraId="508462BB" w14:textId="77777777" w:rsidR="00995653" w:rsidRPr="00995653" w:rsidRDefault="00995653" w:rsidP="00995653">
      <w:pPr>
        <w:spacing w:line="324" w:lineRule="atLeast"/>
        <w:rPr>
          <w:rFonts w:eastAsiaTheme="minorEastAsia"/>
          <w:color w:val="000000"/>
          <w:sz w:val="24"/>
          <w:szCs w:val="24"/>
          <w:lang w:eastAsia="en-GB" w:bidi="ar-SA"/>
        </w:rPr>
      </w:pPr>
      <w:r w:rsidRPr="00995653">
        <w:rPr>
          <w:rFonts w:eastAsiaTheme="minorEastAsia"/>
          <w:b/>
          <w:bCs/>
          <w:color w:val="000000"/>
          <w:sz w:val="24"/>
          <w:szCs w:val="24"/>
          <w:lang w:eastAsia="en-GB" w:bidi="ar-SA"/>
        </w:rPr>
        <w:t>AI Acknowledgement</w:t>
      </w:r>
    </w:p>
    <w:p w14:paraId="01CC870A" w14:textId="77777777" w:rsidR="00995653" w:rsidRPr="00995653" w:rsidRDefault="00995653" w:rsidP="00995653">
      <w:pPr>
        <w:spacing w:line="324" w:lineRule="atLeast"/>
        <w:rPr>
          <w:rFonts w:eastAsiaTheme="minorEastAsia"/>
          <w:color w:val="000000"/>
          <w:sz w:val="24"/>
          <w:szCs w:val="24"/>
          <w:lang w:eastAsia="en-GB" w:bidi="ar-SA"/>
        </w:rPr>
      </w:pPr>
      <w:r w:rsidRPr="00995653">
        <w:rPr>
          <w:rFonts w:eastAsiaTheme="minorEastAsia"/>
          <w:color w:val="000000"/>
          <w:sz w:val="24"/>
          <w:szCs w:val="24"/>
          <w:lang w:eastAsia="en-GB" w:bidi="ar-SA"/>
        </w:rPr>
        <w:t>I confirm that I have not used any AI tools in the research and creation of this assignment and have not presented any AI-generated materials as my own work. I confirm that I have copies of my drafts, notes, and other resources I used, which I may be asked to provide in evidence.</w:t>
      </w:r>
    </w:p>
    <w:p w14:paraId="1E653BB7" w14:textId="77777777" w:rsidR="00995653" w:rsidRPr="00995653" w:rsidRDefault="00995653" w:rsidP="00995653">
      <w:pPr>
        <w:keepNext/>
        <w:keepLines/>
        <w:spacing w:before="400" w:after="120" w:line="360" w:lineRule="auto"/>
        <w:jc w:val="both"/>
        <w:outlineLvl w:val="0"/>
        <w:rPr>
          <w:b/>
          <w:sz w:val="32"/>
          <w:szCs w:val="32"/>
          <w:lang w:bidi="ar-SA"/>
        </w:rPr>
      </w:pPr>
    </w:p>
    <w:p w14:paraId="09100A4F" w14:textId="77777777" w:rsidR="00BE191E" w:rsidRDefault="00BE191E">
      <w:pPr>
        <w:rPr>
          <w:rFonts w:eastAsia="Times New Roman"/>
          <w:b/>
          <w:sz w:val="30"/>
          <w:szCs w:val="30"/>
        </w:rPr>
      </w:pPr>
    </w:p>
    <w:p w14:paraId="0356A1CF" w14:textId="77777777" w:rsidR="00BE191E" w:rsidRDefault="00BE191E">
      <w:pPr>
        <w:rPr>
          <w:rFonts w:eastAsia="Times New Roman"/>
          <w:b/>
          <w:sz w:val="30"/>
          <w:szCs w:val="30"/>
        </w:rPr>
      </w:pPr>
    </w:p>
    <w:p w14:paraId="1C8CD3A3" w14:textId="77777777" w:rsidR="00796C69" w:rsidRDefault="009D087F">
      <w:pPr>
        <w:pStyle w:val="Heading1"/>
      </w:pPr>
      <w:r>
        <w:t>Executive Summary</w:t>
      </w:r>
    </w:p>
    <w:p w14:paraId="619FE2BD" w14:textId="77777777" w:rsidR="00796C69" w:rsidRDefault="009D087F">
      <w:pPr>
        <w:spacing w:line="360" w:lineRule="auto"/>
        <w:jc w:val="both"/>
        <w:rPr>
          <w:sz w:val="24"/>
          <w:szCs w:val="24"/>
        </w:rPr>
      </w:pPr>
      <w:r>
        <w:rPr>
          <w:sz w:val="24"/>
          <w:szCs w:val="24"/>
        </w:rPr>
        <w:t>This report will provide a critical analysis of Hilton Hotels &amp; Resorts` organisational structure, culture and  strategic direction. It notes Hilton’s hierarchical but flexible divisional structure, guest-centric corporate culture and ambitious sustainability initiatives under its “Travel with Purpose” program. Core strategy–global growth, digital transformation, and the workforce. Hilton has successfully harnessed AI and sustainability innovations to transform customer experience and operational efficiencies. Still, Hilton must further decentralise decision-making, increase AI integration for personalised services, expand workforce training and cement its sustainability strategies to maintain its competitive edge. By adhering to these suggestions, Hilton’s market responsiveness, guest retention, and sustainable leadership in the industry would be strengthened.</w:t>
      </w:r>
    </w:p>
    <w:p w14:paraId="4DCA5449" w14:textId="77777777" w:rsidR="00796C69" w:rsidRDefault="00796C69">
      <w:pPr>
        <w:rPr>
          <w:sz w:val="24"/>
          <w:szCs w:val="24"/>
        </w:rPr>
      </w:pPr>
    </w:p>
    <w:p w14:paraId="66105660" w14:textId="77777777" w:rsidR="00796C69" w:rsidRDefault="00796C69">
      <w:pPr>
        <w:rPr>
          <w:rFonts w:eastAsia="Times New Roman"/>
          <w:b/>
          <w:sz w:val="30"/>
          <w:szCs w:val="30"/>
        </w:rPr>
      </w:pPr>
    </w:p>
    <w:p w14:paraId="1BCE8342" w14:textId="77777777" w:rsidR="00796C69" w:rsidRDefault="00796C69">
      <w:pPr>
        <w:rPr>
          <w:rFonts w:eastAsia="Times New Roman"/>
          <w:b/>
          <w:sz w:val="30"/>
          <w:szCs w:val="30"/>
        </w:rPr>
      </w:pPr>
    </w:p>
    <w:p w14:paraId="5C8E4168" w14:textId="77777777" w:rsidR="00796C69" w:rsidRDefault="00796C69">
      <w:pPr>
        <w:rPr>
          <w:rFonts w:eastAsia="Times New Roman"/>
          <w:b/>
          <w:sz w:val="30"/>
          <w:szCs w:val="30"/>
        </w:rPr>
      </w:pPr>
    </w:p>
    <w:p w14:paraId="58702918" w14:textId="77777777" w:rsidR="00796C69" w:rsidRDefault="00796C69">
      <w:pPr>
        <w:rPr>
          <w:rFonts w:eastAsia="Times New Roman"/>
          <w:b/>
          <w:sz w:val="30"/>
          <w:szCs w:val="30"/>
        </w:rPr>
      </w:pPr>
    </w:p>
    <w:p w14:paraId="61E5504A" w14:textId="77777777" w:rsidR="00796C69" w:rsidRDefault="00796C69">
      <w:pPr>
        <w:rPr>
          <w:rFonts w:eastAsia="Times New Roman"/>
          <w:b/>
          <w:sz w:val="30"/>
          <w:szCs w:val="30"/>
        </w:rPr>
      </w:pPr>
    </w:p>
    <w:p w14:paraId="3546072B" w14:textId="77777777" w:rsidR="00796C69" w:rsidRDefault="00796C69">
      <w:pPr>
        <w:rPr>
          <w:rFonts w:eastAsia="Times New Roman"/>
          <w:b/>
          <w:sz w:val="30"/>
          <w:szCs w:val="30"/>
        </w:rPr>
      </w:pPr>
    </w:p>
    <w:p w14:paraId="5A8DBFC1" w14:textId="77777777" w:rsidR="00796C69" w:rsidRDefault="00796C69">
      <w:pPr>
        <w:rPr>
          <w:rFonts w:eastAsia="Times New Roman"/>
          <w:b/>
          <w:sz w:val="30"/>
          <w:szCs w:val="30"/>
        </w:rPr>
      </w:pPr>
    </w:p>
    <w:p w14:paraId="0B0245BA" w14:textId="77777777" w:rsidR="00796C69" w:rsidRDefault="00796C69">
      <w:pPr>
        <w:rPr>
          <w:rFonts w:eastAsia="Times New Roman"/>
          <w:b/>
          <w:sz w:val="30"/>
          <w:szCs w:val="30"/>
        </w:rPr>
      </w:pPr>
    </w:p>
    <w:p w14:paraId="7139B8A6" w14:textId="77777777" w:rsidR="00796C69" w:rsidRDefault="00796C69">
      <w:pPr>
        <w:rPr>
          <w:rFonts w:eastAsia="Times New Roman"/>
          <w:b/>
          <w:sz w:val="30"/>
          <w:szCs w:val="30"/>
        </w:rPr>
      </w:pPr>
    </w:p>
    <w:p w14:paraId="4E6DAE77" w14:textId="77777777" w:rsidR="00796C69" w:rsidRDefault="00796C69">
      <w:pPr>
        <w:rPr>
          <w:rFonts w:eastAsia="Times New Roman"/>
          <w:b/>
          <w:sz w:val="30"/>
          <w:szCs w:val="30"/>
        </w:rPr>
      </w:pPr>
    </w:p>
    <w:p w14:paraId="60CAF64D" w14:textId="77777777" w:rsidR="00796C69" w:rsidRDefault="00796C69">
      <w:pPr>
        <w:rPr>
          <w:rFonts w:eastAsia="Times New Roman"/>
          <w:b/>
          <w:sz w:val="30"/>
          <w:szCs w:val="30"/>
        </w:rPr>
      </w:pPr>
    </w:p>
    <w:p w14:paraId="6557D777" w14:textId="77777777" w:rsidR="00796C69" w:rsidRDefault="00796C69">
      <w:pPr>
        <w:rPr>
          <w:rFonts w:eastAsia="Times New Roman"/>
          <w:b/>
          <w:sz w:val="30"/>
          <w:szCs w:val="30"/>
        </w:rPr>
      </w:pPr>
    </w:p>
    <w:p w14:paraId="75F1D4DB" w14:textId="77777777" w:rsidR="00796C69" w:rsidRDefault="00796C69">
      <w:pPr>
        <w:rPr>
          <w:rFonts w:eastAsia="Times New Roman"/>
          <w:b/>
          <w:sz w:val="30"/>
          <w:szCs w:val="30"/>
        </w:rPr>
      </w:pPr>
    </w:p>
    <w:p w14:paraId="597FD396" w14:textId="77777777" w:rsidR="00796C69" w:rsidRDefault="00796C69">
      <w:pPr>
        <w:rPr>
          <w:rFonts w:eastAsia="Times New Roman"/>
          <w:b/>
          <w:sz w:val="30"/>
          <w:szCs w:val="30"/>
        </w:rPr>
      </w:pPr>
    </w:p>
    <w:p w14:paraId="17E50F44" w14:textId="77777777" w:rsidR="00796C69" w:rsidRDefault="00796C69">
      <w:pPr>
        <w:rPr>
          <w:rFonts w:eastAsia="Times New Roman"/>
          <w:b/>
          <w:sz w:val="30"/>
          <w:szCs w:val="30"/>
        </w:rPr>
      </w:pPr>
    </w:p>
    <w:p w14:paraId="49875B26" w14:textId="77777777" w:rsidR="00796C69" w:rsidRDefault="00796C69">
      <w:pPr>
        <w:rPr>
          <w:rFonts w:eastAsia="Times New Roman"/>
          <w:b/>
          <w:sz w:val="30"/>
          <w:szCs w:val="30"/>
        </w:rPr>
      </w:pPr>
    </w:p>
    <w:p w14:paraId="68C0AA87" w14:textId="77777777" w:rsidR="00796C69" w:rsidRDefault="00796C69">
      <w:pPr>
        <w:rPr>
          <w:rFonts w:eastAsia="Times New Roman"/>
          <w:b/>
          <w:sz w:val="30"/>
          <w:szCs w:val="30"/>
        </w:rPr>
      </w:pPr>
    </w:p>
    <w:p w14:paraId="425AE232" w14:textId="77777777" w:rsidR="00796C69" w:rsidRDefault="00796C69">
      <w:pPr>
        <w:rPr>
          <w:rFonts w:eastAsia="Times New Roman"/>
          <w:b/>
          <w:sz w:val="30"/>
          <w:szCs w:val="30"/>
        </w:rPr>
      </w:pPr>
    </w:p>
    <w:sdt>
      <w:sdtPr>
        <w:rPr>
          <w:rFonts w:ascii="Arial" w:eastAsia="Arial" w:hAnsi="Arial" w:cs="Arial"/>
          <w:sz w:val="24"/>
          <w:szCs w:val="24"/>
          <w:lang w:val="en-GB" w:eastAsia="en-IN" w:bidi="bn-IN"/>
        </w:rPr>
        <w:id w:val="2005554906"/>
        <w:docPartObj>
          <w:docPartGallery w:val="Table of Contents"/>
          <w:docPartUnique/>
        </w:docPartObj>
      </w:sdtPr>
      <w:sdtEndPr>
        <w:rPr>
          <w:b/>
          <w:bCs/>
        </w:rPr>
      </w:sdtEndPr>
      <w:sdtContent>
        <w:p w14:paraId="33A47A3F" w14:textId="77777777" w:rsidR="00796C69" w:rsidRDefault="009D087F">
          <w:pPr>
            <w:pStyle w:val="TOCHeading1"/>
            <w:spacing w:line="360" w:lineRule="auto"/>
            <w:jc w:val="center"/>
            <w:rPr>
              <w:rFonts w:ascii="Arial" w:hAnsi="Arial" w:cs="Arial"/>
              <w:b/>
              <w:bCs/>
              <w:sz w:val="28"/>
              <w:szCs w:val="28"/>
            </w:rPr>
          </w:pPr>
          <w:r>
            <w:rPr>
              <w:rFonts w:ascii="Arial" w:hAnsi="Arial" w:cs="Arial"/>
              <w:b/>
              <w:bCs/>
              <w:sz w:val="28"/>
              <w:szCs w:val="28"/>
            </w:rPr>
            <w:t>Table of Contents</w:t>
          </w:r>
        </w:p>
        <w:p w14:paraId="47F293CF" w14:textId="77777777" w:rsidR="00796C69" w:rsidRDefault="009D087F">
          <w:pPr>
            <w:pStyle w:val="TOC1"/>
            <w:tabs>
              <w:tab w:val="right" w:leader="dot" w:pos="9350"/>
            </w:tabs>
            <w:spacing w:line="360" w:lineRule="auto"/>
            <w:rPr>
              <w:rFonts w:eastAsiaTheme="minorEastAsia"/>
              <w:kern w:val="2"/>
              <w:sz w:val="24"/>
              <w:szCs w:val="24"/>
              <w:lang w:val="en-IN"/>
            </w:rPr>
          </w:pPr>
          <w:r>
            <w:rPr>
              <w:sz w:val="24"/>
              <w:szCs w:val="24"/>
            </w:rPr>
            <w:fldChar w:fldCharType="begin"/>
          </w:r>
          <w:r>
            <w:rPr>
              <w:sz w:val="24"/>
              <w:szCs w:val="24"/>
            </w:rPr>
            <w:instrText xml:space="preserve"> TOC \o "1-3" \h \z \u </w:instrText>
          </w:r>
          <w:r>
            <w:rPr>
              <w:sz w:val="24"/>
              <w:szCs w:val="24"/>
            </w:rPr>
            <w:fldChar w:fldCharType="separate"/>
          </w:r>
          <w:hyperlink w:anchor="_Toc191375420" w:history="1">
            <w:r w:rsidR="00796C69">
              <w:rPr>
                <w:rStyle w:val="Hyperlink"/>
                <w:color w:val="auto"/>
                <w:sz w:val="24"/>
                <w:szCs w:val="24"/>
                <w:u w:val="none"/>
              </w:rPr>
              <w:t>1. Introduction</w:t>
            </w:r>
            <w:r w:rsidR="00796C69">
              <w:rPr>
                <w:sz w:val="24"/>
                <w:szCs w:val="24"/>
              </w:rPr>
              <w:tab/>
            </w:r>
            <w:r w:rsidR="00796C69">
              <w:rPr>
                <w:sz w:val="24"/>
                <w:szCs w:val="24"/>
              </w:rPr>
              <w:fldChar w:fldCharType="begin"/>
            </w:r>
            <w:r w:rsidR="00796C69">
              <w:rPr>
                <w:sz w:val="24"/>
                <w:szCs w:val="24"/>
              </w:rPr>
              <w:instrText xml:space="preserve"> PAGEREF _Toc191375420 \h </w:instrText>
            </w:r>
            <w:r w:rsidR="00796C69">
              <w:rPr>
                <w:sz w:val="24"/>
                <w:szCs w:val="24"/>
              </w:rPr>
            </w:r>
            <w:r w:rsidR="00796C69">
              <w:rPr>
                <w:sz w:val="24"/>
                <w:szCs w:val="24"/>
              </w:rPr>
              <w:fldChar w:fldCharType="separate"/>
            </w:r>
            <w:r w:rsidR="00796C69">
              <w:rPr>
                <w:sz w:val="24"/>
                <w:szCs w:val="24"/>
              </w:rPr>
              <w:t>3</w:t>
            </w:r>
            <w:r w:rsidR="00796C69">
              <w:rPr>
                <w:sz w:val="24"/>
                <w:szCs w:val="24"/>
              </w:rPr>
              <w:fldChar w:fldCharType="end"/>
            </w:r>
          </w:hyperlink>
        </w:p>
        <w:p w14:paraId="401D4CA2" w14:textId="77777777" w:rsidR="00796C69" w:rsidRDefault="00796C69">
          <w:pPr>
            <w:pStyle w:val="TOC1"/>
            <w:tabs>
              <w:tab w:val="right" w:leader="dot" w:pos="9350"/>
            </w:tabs>
            <w:spacing w:line="360" w:lineRule="auto"/>
            <w:rPr>
              <w:rFonts w:eastAsiaTheme="minorEastAsia"/>
              <w:kern w:val="2"/>
              <w:sz w:val="24"/>
              <w:szCs w:val="24"/>
              <w:lang w:val="en-IN"/>
            </w:rPr>
          </w:pPr>
          <w:hyperlink w:anchor="_Toc191375421" w:history="1">
            <w:r>
              <w:rPr>
                <w:rStyle w:val="Hyperlink"/>
                <w:color w:val="auto"/>
                <w:sz w:val="24"/>
                <w:szCs w:val="24"/>
                <w:u w:val="none"/>
              </w:rPr>
              <w:t>2. Main Body</w:t>
            </w:r>
            <w:r>
              <w:rPr>
                <w:sz w:val="24"/>
                <w:szCs w:val="24"/>
              </w:rPr>
              <w:tab/>
            </w:r>
            <w:r>
              <w:rPr>
                <w:sz w:val="24"/>
                <w:szCs w:val="24"/>
              </w:rPr>
              <w:fldChar w:fldCharType="begin"/>
            </w:r>
            <w:r>
              <w:rPr>
                <w:sz w:val="24"/>
                <w:szCs w:val="24"/>
              </w:rPr>
              <w:instrText xml:space="preserve"> PAGEREF _Toc191375421 \h </w:instrText>
            </w:r>
            <w:r>
              <w:rPr>
                <w:sz w:val="24"/>
                <w:szCs w:val="24"/>
              </w:rPr>
            </w:r>
            <w:r>
              <w:rPr>
                <w:sz w:val="24"/>
                <w:szCs w:val="24"/>
              </w:rPr>
              <w:fldChar w:fldCharType="separate"/>
            </w:r>
            <w:r>
              <w:rPr>
                <w:sz w:val="24"/>
                <w:szCs w:val="24"/>
              </w:rPr>
              <w:t>4</w:t>
            </w:r>
            <w:r>
              <w:rPr>
                <w:sz w:val="24"/>
                <w:szCs w:val="24"/>
              </w:rPr>
              <w:fldChar w:fldCharType="end"/>
            </w:r>
          </w:hyperlink>
        </w:p>
        <w:p w14:paraId="3F11B3ED"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22" w:history="1">
            <w:r>
              <w:rPr>
                <w:rStyle w:val="Hyperlink"/>
                <w:color w:val="auto"/>
                <w:sz w:val="24"/>
                <w:szCs w:val="24"/>
                <w:u w:val="none"/>
              </w:rPr>
              <w:t>2.1 Organisational Structure, Culture, and Goals</w:t>
            </w:r>
            <w:r>
              <w:rPr>
                <w:sz w:val="24"/>
                <w:szCs w:val="24"/>
              </w:rPr>
              <w:tab/>
            </w:r>
            <w:r>
              <w:rPr>
                <w:sz w:val="24"/>
                <w:szCs w:val="24"/>
              </w:rPr>
              <w:fldChar w:fldCharType="begin"/>
            </w:r>
            <w:r>
              <w:rPr>
                <w:sz w:val="24"/>
                <w:szCs w:val="24"/>
              </w:rPr>
              <w:instrText xml:space="preserve"> PAGEREF _Toc191375422 \h </w:instrText>
            </w:r>
            <w:r>
              <w:rPr>
                <w:sz w:val="24"/>
                <w:szCs w:val="24"/>
              </w:rPr>
            </w:r>
            <w:r>
              <w:rPr>
                <w:sz w:val="24"/>
                <w:szCs w:val="24"/>
              </w:rPr>
              <w:fldChar w:fldCharType="separate"/>
            </w:r>
            <w:r>
              <w:rPr>
                <w:sz w:val="24"/>
                <w:szCs w:val="24"/>
              </w:rPr>
              <w:t>4</w:t>
            </w:r>
            <w:r>
              <w:rPr>
                <w:sz w:val="24"/>
                <w:szCs w:val="24"/>
              </w:rPr>
              <w:fldChar w:fldCharType="end"/>
            </w:r>
          </w:hyperlink>
        </w:p>
        <w:p w14:paraId="2530531B"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23" w:history="1">
            <w:r>
              <w:rPr>
                <w:rStyle w:val="Hyperlink"/>
                <w:color w:val="auto"/>
                <w:sz w:val="24"/>
                <w:szCs w:val="24"/>
                <w:u w:val="none"/>
              </w:rPr>
              <w:t>2.1.1 Organisational Structure</w:t>
            </w:r>
            <w:r>
              <w:rPr>
                <w:sz w:val="24"/>
                <w:szCs w:val="24"/>
              </w:rPr>
              <w:tab/>
            </w:r>
            <w:r>
              <w:rPr>
                <w:sz w:val="24"/>
                <w:szCs w:val="24"/>
              </w:rPr>
              <w:fldChar w:fldCharType="begin"/>
            </w:r>
            <w:r>
              <w:rPr>
                <w:sz w:val="24"/>
                <w:szCs w:val="24"/>
              </w:rPr>
              <w:instrText xml:space="preserve"> PAGEREF _Toc191375423 \h </w:instrText>
            </w:r>
            <w:r>
              <w:rPr>
                <w:sz w:val="24"/>
                <w:szCs w:val="24"/>
              </w:rPr>
            </w:r>
            <w:r>
              <w:rPr>
                <w:sz w:val="24"/>
                <w:szCs w:val="24"/>
              </w:rPr>
              <w:fldChar w:fldCharType="separate"/>
            </w:r>
            <w:r>
              <w:rPr>
                <w:sz w:val="24"/>
                <w:szCs w:val="24"/>
              </w:rPr>
              <w:t>4</w:t>
            </w:r>
            <w:r>
              <w:rPr>
                <w:sz w:val="24"/>
                <w:szCs w:val="24"/>
              </w:rPr>
              <w:fldChar w:fldCharType="end"/>
            </w:r>
          </w:hyperlink>
        </w:p>
        <w:p w14:paraId="49F0FBA3"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24" w:history="1">
            <w:r>
              <w:rPr>
                <w:rStyle w:val="Hyperlink"/>
                <w:color w:val="auto"/>
                <w:sz w:val="24"/>
                <w:szCs w:val="24"/>
                <w:u w:val="none"/>
              </w:rPr>
              <w:t>2.1.2 Corporate Culture and Its Influence on Operations</w:t>
            </w:r>
            <w:r>
              <w:rPr>
                <w:sz w:val="24"/>
                <w:szCs w:val="24"/>
              </w:rPr>
              <w:tab/>
            </w:r>
            <w:r>
              <w:rPr>
                <w:sz w:val="24"/>
                <w:szCs w:val="24"/>
              </w:rPr>
              <w:fldChar w:fldCharType="begin"/>
            </w:r>
            <w:r>
              <w:rPr>
                <w:sz w:val="24"/>
                <w:szCs w:val="24"/>
              </w:rPr>
              <w:instrText xml:space="preserve"> PAGEREF _Toc191375424 \h </w:instrText>
            </w:r>
            <w:r>
              <w:rPr>
                <w:sz w:val="24"/>
                <w:szCs w:val="24"/>
              </w:rPr>
            </w:r>
            <w:r>
              <w:rPr>
                <w:sz w:val="24"/>
                <w:szCs w:val="24"/>
              </w:rPr>
              <w:fldChar w:fldCharType="separate"/>
            </w:r>
            <w:r>
              <w:rPr>
                <w:sz w:val="24"/>
                <w:szCs w:val="24"/>
              </w:rPr>
              <w:t>5</w:t>
            </w:r>
            <w:r>
              <w:rPr>
                <w:sz w:val="24"/>
                <w:szCs w:val="24"/>
              </w:rPr>
              <w:fldChar w:fldCharType="end"/>
            </w:r>
          </w:hyperlink>
        </w:p>
        <w:p w14:paraId="3CF28B56"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25" w:history="1">
            <w:r>
              <w:rPr>
                <w:rStyle w:val="Hyperlink"/>
                <w:color w:val="auto"/>
                <w:sz w:val="24"/>
                <w:szCs w:val="24"/>
                <w:u w:val="none"/>
              </w:rPr>
              <w:t>2.1.3 Organisational Goals</w:t>
            </w:r>
            <w:r>
              <w:rPr>
                <w:sz w:val="24"/>
                <w:szCs w:val="24"/>
              </w:rPr>
              <w:tab/>
            </w:r>
            <w:r>
              <w:rPr>
                <w:sz w:val="24"/>
                <w:szCs w:val="24"/>
              </w:rPr>
              <w:fldChar w:fldCharType="begin"/>
            </w:r>
            <w:r>
              <w:rPr>
                <w:sz w:val="24"/>
                <w:szCs w:val="24"/>
              </w:rPr>
              <w:instrText xml:space="preserve"> PAGEREF _Toc191375425 \h </w:instrText>
            </w:r>
            <w:r>
              <w:rPr>
                <w:sz w:val="24"/>
                <w:szCs w:val="24"/>
              </w:rPr>
            </w:r>
            <w:r>
              <w:rPr>
                <w:sz w:val="24"/>
                <w:szCs w:val="24"/>
              </w:rPr>
              <w:fldChar w:fldCharType="separate"/>
            </w:r>
            <w:r>
              <w:rPr>
                <w:sz w:val="24"/>
                <w:szCs w:val="24"/>
              </w:rPr>
              <w:t>5</w:t>
            </w:r>
            <w:r>
              <w:rPr>
                <w:sz w:val="24"/>
                <w:szCs w:val="24"/>
              </w:rPr>
              <w:fldChar w:fldCharType="end"/>
            </w:r>
          </w:hyperlink>
        </w:p>
        <w:p w14:paraId="3FD82408"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26" w:history="1">
            <w:r>
              <w:rPr>
                <w:rStyle w:val="Hyperlink"/>
                <w:color w:val="auto"/>
                <w:sz w:val="24"/>
                <w:szCs w:val="24"/>
                <w:u w:val="none"/>
              </w:rPr>
              <w:t>2.2 Recent Change Initiatives</w:t>
            </w:r>
            <w:r>
              <w:rPr>
                <w:sz w:val="24"/>
                <w:szCs w:val="24"/>
              </w:rPr>
              <w:tab/>
            </w:r>
            <w:r>
              <w:rPr>
                <w:sz w:val="24"/>
                <w:szCs w:val="24"/>
              </w:rPr>
              <w:fldChar w:fldCharType="begin"/>
            </w:r>
            <w:r>
              <w:rPr>
                <w:sz w:val="24"/>
                <w:szCs w:val="24"/>
              </w:rPr>
              <w:instrText xml:space="preserve"> PAGEREF _Toc191375426 \h </w:instrText>
            </w:r>
            <w:r>
              <w:rPr>
                <w:sz w:val="24"/>
                <w:szCs w:val="24"/>
              </w:rPr>
            </w:r>
            <w:r>
              <w:rPr>
                <w:sz w:val="24"/>
                <w:szCs w:val="24"/>
              </w:rPr>
              <w:fldChar w:fldCharType="separate"/>
            </w:r>
            <w:r>
              <w:rPr>
                <w:sz w:val="24"/>
                <w:szCs w:val="24"/>
              </w:rPr>
              <w:t>6</w:t>
            </w:r>
            <w:r>
              <w:rPr>
                <w:sz w:val="24"/>
                <w:szCs w:val="24"/>
              </w:rPr>
              <w:fldChar w:fldCharType="end"/>
            </w:r>
          </w:hyperlink>
        </w:p>
        <w:p w14:paraId="61EB0CD0"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27" w:history="1">
            <w:r>
              <w:rPr>
                <w:rStyle w:val="Hyperlink"/>
                <w:color w:val="auto"/>
                <w:sz w:val="24"/>
                <w:szCs w:val="24"/>
                <w:u w:val="none"/>
              </w:rPr>
              <w:t>2.2.1 Recent Change Initiatives Undertaken by the Organisation</w:t>
            </w:r>
            <w:r>
              <w:rPr>
                <w:sz w:val="24"/>
                <w:szCs w:val="24"/>
              </w:rPr>
              <w:tab/>
            </w:r>
            <w:r>
              <w:rPr>
                <w:sz w:val="24"/>
                <w:szCs w:val="24"/>
              </w:rPr>
              <w:fldChar w:fldCharType="begin"/>
            </w:r>
            <w:r>
              <w:rPr>
                <w:sz w:val="24"/>
                <w:szCs w:val="24"/>
              </w:rPr>
              <w:instrText xml:space="preserve"> PAGEREF _Toc191375427 \h </w:instrText>
            </w:r>
            <w:r>
              <w:rPr>
                <w:sz w:val="24"/>
                <w:szCs w:val="24"/>
              </w:rPr>
            </w:r>
            <w:r>
              <w:rPr>
                <w:sz w:val="24"/>
                <w:szCs w:val="24"/>
              </w:rPr>
              <w:fldChar w:fldCharType="separate"/>
            </w:r>
            <w:r>
              <w:rPr>
                <w:sz w:val="24"/>
                <w:szCs w:val="24"/>
              </w:rPr>
              <w:t>6</w:t>
            </w:r>
            <w:r>
              <w:rPr>
                <w:sz w:val="24"/>
                <w:szCs w:val="24"/>
              </w:rPr>
              <w:fldChar w:fldCharType="end"/>
            </w:r>
          </w:hyperlink>
        </w:p>
        <w:p w14:paraId="11577376"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28" w:history="1">
            <w:r>
              <w:rPr>
                <w:rStyle w:val="Hyperlink"/>
                <w:color w:val="auto"/>
                <w:sz w:val="24"/>
                <w:szCs w:val="24"/>
                <w:u w:val="none"/>
              </w:rPr>
              <w:t>2.2.2 Impact of These Changes</w:t>
            </w:r>
            <w:r>
              <w:rPr>
                <w:sz w:val="24"/>
                <w:szCs w:val="24"/>
              </w:rPr>
              <w:tab/>
            </w:r>
            <w:r>
              <w:rPr>
                <w:sz w:val="24"/>
                <w:szCs w:val="24"/>
              </w:rPr>
              <w:fldChar w:fldCharType="begin"/>
            </w:r>
            <w:r>
              <w:rPr>
                <w:sz w:val="24"/>
                <w:szCs w:val="24"/>
              </w:rPr>
              <w:instrText xml:space="preserve"> PAGEREF _Toc191375428 \h </w:instrText>
            </w:r>
            <w:r>
              <w:rPr>
                <w:sz w:val="24"/>
                <w:szCs w:val="24"/>
              </w:rPr>
            </w:r>
            <w:r>
              <w:rPr>
                <w:sz w:val="24"/>
                <w:szCs w:val="24"/>
              </w:rPr>
              <w:fldChar w:fldCharType="separate"/>
            </w:r>
            <w:r>
              <w:rPr>
                <w:sz w:val="24"/>
                <w:szCs w:val="24"/>
              </w:rPr>
              <w:t>7</w:t>
            </w:r>
            <w:r>
              <w:rPr>
                <w:sz w:val="24"/>
                <w:szCs w:val="24"/>
              </w:rPr>
              <w:fldChar w:fldCharType="end"/>
            </w:r>
          </w:hyperlink>
        </w:p>
        <w:p w14:paraId="62F53EEC"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29" w:history="1">
            <w:r>
              <w:rPr>
                <w:rStyle w:val="Hyperlink"/>
                <w:color w:val="auto"/>
                <w:sz w:val="24"/>
                <w:szCs w:val="24"/>
                <w:u w:val="none"/>
              </w:rPr>
              <w:t>2.3.3 Change Management Analysis</w:t>
            </w:r>
            <w:r>
              <w:rPr>
                <w:sz w:val="24"/>
                <w:szCs w:val="24"/>
              </w:rPr>
              <w:tab/>
            </w:r>
            <w:r>
              <w:rPr>
                <w:sz w:val="24"/>
                <w:szCs w:val="24"/>
              </w:rPr>
              <w:fldChar w:fldCharType="begin"/>
            </w:r>
            <w:r>
              <w:rPr>
                <w:sz w:val="24"/>
                <w:szCs w:val="24"/>
              </w:rPr>
              <w:instrText xml:space="preserve"> PAGEREF _Toc191375429 \h </w:instrText>
            </w:r>
            <w:r>
              <w:rPr>
                <w:sz w:val="24"/>
                <w:szCs w:val="24"/>
              </w:rPr>
            </w:r>
            <w:r>
              <w:rPr>
                <w:sz w:val="24"/>
                <w:szCs w:val="24"/>
              </w:rPr>
              <w:fldChar w:fldCharType="separate"/>
            </w:r>
            <w:r>
              <w:rPr>
                <w:sz w:val="24"/>
                <w:szCs w:val="24"/>
              </w:rPr>
              <w:t>7</w:t>
            </w:r>
            <w:r>
              <w:rPr>
                <w:sz w:val="24"/>
                <w:szCs w:val="24"/>
              </w:rPr>
              <w:fldChar w:fldCharType="end"/>
            </w:r>
          </w:hyperlink>
        </w:p>
        <w:p w14:paraId="757BC164"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30" w:history="1">
            <w:r>
              <w:rPr>
                <w:rStyle w:val="Hyperlink"/>
                <w:color w:val="auto"/>
                <w:sz w:val="24"/>
                <w:szCs w:val="24"/>
                <w:u w:val="none"/>
              </w:rPr>
              <w:t>2.3 Strategic Direction</w:t>
            </w:r>
            <w:r>
              <w:rPr>
                <w:sz w:val="24"/>
                <w:szCs w:val="24"/>
              </w:rPr>
              <w:tab/>
            </w:r>
            <w:r>
              <w:rPr>
                <w:sz w:val="24"/>
                <w:szCs w:val="24"/>
              </w:rPr>
              <w:fldChar w:fldCharType="begin"/>
            </w:r>
            <w:r>
              <w:rPr>
                <w:sz w:val="24"/>
                <w:szCs w:val="24"/>
              </w:rPr>
              <w:instrText xml:space="preserve"> PAGEREF _Toc191375430 \h </w:instrText>
            </w:r>
            <w:r>
              <w:rPr>
                <w:sz w:val="24"/>
                <w:szCs w:val="24"/>
              </w:rPr>
            </w:r>
            <w:r>
              <w:rPr>
                <w:sz w:val="24"/>
                <w:szCs w:val="24"/>
              </w:rPr>
              <w:fldChar w:fldCharType="separate"/>
            </w:r>
            <w:r>
              <w:rPr>
                <w:sz w:val="24"/>
                <w:szCs w:val="24"/>
              </w:rPr>
              <w:t>7</w:t>
            </w:r>
            <w:r>
              <w:rPr>
                <w:sz w:val="24"/>
                <w:szCs w:val="24"/>
              </w:rPr>
              <w:fldChar w:fldCharType="end"/>
            </w:r>
          </w:hyperlink>
        </w:p>
        <w:p w14:paraId="27B71B7B"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31" w:history="1">
            <w:r>
              <w:rPr>
                <w:rStyle w:val="Hyperlink"/>
                <w:color w:val="auto"/>
                <w:sz w:val="24"/>
                <w:szCs w:val="24"/>
                <w:u w:val="none"/>
              </w:rPr>
              <w:t>2.3.1 Examining Hilton’s Strategic Direction</w:t>
            </w:r>
            <w:r>
              <w:rPr>
                <w:sz w:val="24"/>
                <w:szCs w:val="24"/>
              </w:rPr>
              <w:tab/>
            </w:r>
            <w:r>
              <w:rPr>
                <w:sz w:val="24"/>
                <w:szCs w:val="24"/>
              </w:rPr>
              <w:fldChar w:fldCharType="begin"/>
            </w:r>
            <w:r>
              <w:rPr>
                <w:sz w:val="24"/>
                <w:szCs w:val="24"/>
              </w:rPr>
              <w:instrText xml:space="preserve"> PAGEREF _Toc191375431 \h </w:instrText>
            </w:r>
            <w:r>
              <w:rPr>
                <w:sz w:val="24"/>
                <w:szCs w:val="24"/>
              </w:rPr>
            </w:r>
            <w:r>
              <w:rPr>
                <w:sz w:val="24"/>
                <w:szCs w:val="24"/>
              </w:rPr>
              <w:fldChar w:fldCharType="separate"/>
            </w:r>
            <w:r>
              <w:rPr>
                <w:sz w:val="24"/>
                <w:szCs w:val="24"/>
              </w:rPr>
              <w:t>7</w:t>
            </w:r>
            <w:r>
              <w:rPr>
                <w:sz w:val="24"/>
                <w:szCs w:val="24"/>
              </w:rPr>
              <w:fldChar w:fldCharType="end"/>
            </w:r>
          </w:hyperlink>
        </w:p>
        <w:p w14:paraId="36A604CB"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32" w:history="1">
            <w:r>
              <w:rPr>
                <w:rStyle w:val="Hyperlink"/>
                <w:color w:val="auto"/>
                <w:sz w:val="24"/>
                <w:szCs w:val="24"/>
                <w:u w:val="none"/>
              </w:rPr>
              <w:t>2.3.2 Strategies Implemented to Achieve Long-Term Objectives</w:t>
            </w:r>
            <w:r>
              <w:rPr>
                <w:sz w:val="24"/>
                <w:szCs w:val="24"/>
              </w:rPr>
              <w:tab/>
            </w:r>
            <w:r>
              <w:rPr>
                <w:sz w:val="24"/>
                <w:szCs w:val="24"/>
              </w:rPr>
              <w:fldChar w:fldCharType="begin"/>
            </w:r>
            <w:r>
              <w:rPr>
                <w:sz w:val="24"/>
                <w:szCs w:val="24"/>
              </w:rPr>
              <w:instrText xml:space="preserve"> PAGEREF _Toc191375432 \h </w:instrText>
            </w:r>
            <w:r>
              <w:rPr>
                <w:sz w:val="24"/>
                <w:szCs w:val="24"/>
              </w:rPr>
            </w:r>
            <w:r>
              <w:rPr>
                <w:sz w:val="24"/>
                <w:szCs w:val="24"/>
              </w:rPr>
              <w:fldChar w:fldCharType="separate"/>
            </w:r>
            <w:r>
              <w:rPr>
                <w:sz w:val="24"/>
                <w:szCs w:val="24"/>
              </w:rPr>
              <w:t>8</w:t>
            </w:r>
            <w:r>
              <w:rPr>
                <w:sz w:val="24"/>
                <w:szCs w:val="24"/>
              </w:rPr>
              <w:fldChar w:fldCharType="end"/>
            </w:r>
          </w:hyperlink>
        </w:p>
        <w:p w14:paraId="1A12A1B0" w14:textId="77777777" w:rsidR="00796C69" w:rsidRDefault="00796C69">
          <w:pPr>
            <w:pStyle w:val="TOC3"/>
            <w:tabs>
              <w:tab w:val="right" w:leader="dot" w:pos="9350"/>
            </w:tabs>
            <w:spacing w:line="360" w:lineRule="auto"/>
            <w:rPr>
              <w:rFonts w:eastAsiaTheme="minorEastAsia"/>
              <w:kern w:val="2"/>
              <w:sz w:val="24"/>
              <w:szCs w:val="24"/>
              <w:lang w:val="en-IN"/>
            </w:rPr>
          </w:pPr>
          <w:hyperlink w:anchor="_Toc191375433" w:history="1">
            <w:r>
              <w:rPr>
                <w:rStyle w:val="Hyperlink"/>
                <w:color w:val="auto"/>
                <w:sz w:val="24"/>
                <w:szCs w:val="24"/>
                <w:u w:val="none"/>
              </w:rPr>
              <w:t>2.3.3 Analysis of Hilton’s Strategic Direction</w:t>
            </w:r>
            <w:r>
              <w:rPr>
                <w:sz w:val="24"/>
                <w:szCs w:val="24"/>
              </w:rPr>
              <w:tab/>
            </w:r>
            <w:r>
              <w:rPr>
                <w:sz w:val="24"/>
                <w:szCs w:val="24"/>
              </w:rPr>
              <w:fldChar w:fldCharType="begin"/>
            </w:r>
            <w:r>
              <w:rPr>
                <w:sz w:val="24"/>
                <w:szCs w:val="24"/>
              </w:rPr>
              <w:instrText xml:space="preserve"> PAGEREF _Toc191375433 \h </w:instrText>
            </w:r>
            <w:r>
              <w:rPr>
                <w:sz w:val="24"/>
                <w:szCs w:val="24"/>
              </w:rPr>
            </w:r>
            <w:r>
              <w:rPr>
                <w:sz w:val="24"/>
                <w:szCs w:val="24"/>
              </w:rPr>
              <w:fldChar w:fldCharType="separate"/>
            </w:r>
            <w:r>
              <w:rPr>
                <w:sz w:val="24"/>
                <w:szCs w:val="24"/>
              </w:rPr>
              <w:t>10</w:t>
            </w:r>
            <w:r>
              <w:rPr>
                <w:sz w:val="24"/>
                <w:szCs w:val="24"/>
              </w:rPr>
              <w:fldChar w:fldCharType="end"/>
            </w:r>
          </w:hyperlink>
        </w:p>
        <w:p w14:paraId="57D18A6B" w14:textId="77777777" w:rsidR="00796C69" w:rsidRDefault="00796C69">
          <w:pPr>
            <w:pStyle w:val="TOC1"/>
            <w:tabs>
              <w:tab w:val="right" w:leader="dot" w:pos="9350"/>
            </w:tabs>
            <w:spacing w:line="360" w:lineRule="auto"/>
            <w:rPr>
              <w:rFonts w:eastAsiaTheme="minorEastAsia"/>
              <w:kern w:val="2"/>
              <w:sz w:val="24"/>
              <w:szCs w:val="24"/>
              <w:lang w:val="en-IN"/>
            </w:rPr>
          </w:pPr>
          <w:hyperlink w:anchor="_Toc191375434" w:history="1">
            <w:r>
              <w:rPr>
                <w:rStyle w:val="Hyperlink"/>
                <w:color w:val="auto"/>
                <w:sz w:val="24"/>
                <w:szCs w:val="24"/>
                <w:u w:val="none"/>
              </w:rPr>
              <w:t>Recommendations</w:t>
            </w:r>
            <w:r>
              <w:rPr>
                <w:sz w:val="24"/>
                <w:szCs w:val="24"/>
              </w:rPr>
              <w:tab/>
            </w:r>
            <w:r>
              <w:rPr>
                <w:sz w:val="24"/>
                <w:szCs w:val="24"/>
              </w:rPr>
              <w:fldChar w:fldCharType="begin"/>
            </w:r>
            <w:r>
              <w:rPr>
                <w:sz w:val="24"/>
                <w:szCs w:val="24"/>
              </w:rPr>
              <w:instrText xml:space="preserve"> PAGEREF _Toc191375434 \h </w:instrText>
            </w:r>
            <w:r>
              <w:rPr>
                <w:sz w:val="24"/>
                <w:szCs w:val="24"/>
              </w:rPr>
            </w:r>
            <w:r>
              <w:rPr>
                <w:sz w:val="24"/>
                <w:szCs w:val="24"/>
              </w:rPr>
              <w:fldChar w:fldCharType="separate"/>
            </w:r>
            <w:r>
              <w:rPr>
                <w:sz w:val="24"/>
                <w:szCs w:val="24"/>
              </w:rPr>
              <w:t>11</w:t>
            </w:r>
            <w:r>
              <w:rPr>
                <w:sz w:val="24"/>
                <w:szCs w:val="24"/>
              </w:rPr>
              <w:fldChar w:fldCharType="end"/>
            </w:r>
          </w:hyperlink>
        </w:p>
        <w:p w14:paraId="1CB80E87"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35" w:history="1">
            <w:r>
              <w:rPr>
                <w:rStyle w:val="Hyperlink"/>
                <w:color w:val="auto"/>
                <w:sz w:val="24"/>
                <w:szCs w:val="24"/>
                <w:u w:val="none"/>
              </w:rPr>
              <w:t>3.1 Decentralising Decision-Making for Market Responsiveness</w:t>
            </w:r>
            <w:r>
              <w:rPr>
                <w:sz w:val="24"/>
                <w:szCs w:val="24"/>
              </w:rPr>
              <w:tab/>
            </w:r>
            <w:r>
              <w:rPr>
                <w:sz w:val="24"/>
                <w:szCs w:val="24"/>
              </w:rPr>
              <w:fldChar w:fldCharType="begin"/>
            </w:r>
            <w:r>
              <w:rPr>
                <w:sz w:val="24"/>
                <w:szCs w:val="24"/>
              </w:rPr>
              <w:instrText xml:space="preserve"> PAGEREF _Toc191375435 \h </w:instrText>
            </w:r>
            <w:r>
              <w:rPr>
                <w:sz w:val="24"/>
                <w:szCs w:val="24"/>
              </w:rPr>
            </w:r>
            <w:r>
              <w:rPr>
                <w:sz w:val="24"/>
                <w:szCs w:val="24"/>
              </w:rPr>
              <w:fldChar w:fldCharType="separate"/>
            </w:r>
            <w:r>
              <w:rPr>
                <w:sz w:val="24"/>
                <w:szCs w:val="24"/>
              </w:rPr>
              <w:t>11</w:t>
            </w:r>
            <w:r>
              <w:rPr>
                <w:sz w:val="24"/>
                <w:szCs w:val="24"/>
              </w:rPr>
              <w:fldChar w:fldCharType="end"/>
            </w:r>
          </w:hyperlink>
        </w:p>
        <w:p w14:paraId="5C121AD9"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36" w:history="1">
            <w:r>
              <w:rPr>
                <w:rStyle w:val="Hyperlink"/>
                <w:color w:val="auto"/>
                <w:sz w:val="24"/>
                <w:szCs w:val="24"/>
                <w:u w:val="none"/>
              </w:rPr>
              <w:t>3.2 Leveraging AI for Personalised Guest Experiences</w:t>
            </w:r>
            <w:r>
              <w:rPr>
                <w:sz w:val="24"/>
                <w:szCs w:val="24"/>
              </w:rPr>
              <w:tab/>
            </w:r>
            <w:r>
              <w:rPr>
                <w:sz w:val="24"/>
                <w:szCs w:val="24"/>
              </w:rPr>
              <w:fldChar w:fldCharType="begin"/>
            </w:r>
            <w:r>
              <w:rPr>
                <w:sz w:val="24"/>
                <w:szCs w:val="24"/>
              </w:rPr>
              <w:instrText xml:space="preserve"> PAGEREF _Toc191375436 \h </w:instrText>
            </w:r>
            <w:r>
              <w:rPr>
                <w:sz w:val="24"/>
                <w:szCs w:val="24"/>
              </w:rPr>
            </w:r>
            <w:r>
              <w:rPr>
                <w:sz w:val="24"/>
                <w:szCs w:val="24"/>
              </w:rPr>
              <w:fldChar w:fldCharType="separate"/>
            </w:r>
            <w:r>
              <w:rPr>
                <w:sz w:val="24"/>
                <w:szCs w:val="24"/>
              </w:rPr>
              <w:t>11</w:t>
            </w:r>
            <w:r>
              <w:rPr>
                <w:sz w:val="24"/>
                <w:szCs w:val="24"/>
              </w:rPr>
              <w:fldChar w:fldCharType="end"/>
            </w:r>
          </w:hyperlink>
        </w:p>
        <w:p w14:paraId="3D9CCD73"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37" w:history="1">
            <w:r>
              <w:rPr>
                <w:rStyle w:val="Hyperlink"/>
                <w:color w:val="auto"/>
                <w:sz w:val="24"/>
                <w:szCs w:val="24"/>
                <w:u w:val="none"/>
              </w:rPr>
              <w:t>3.3 Expanding Workforce Development Initiatives</w:t>
            </w:r>
            <w:r>
              <w:rPr>
                <w:sz w:val="24"/>
                <w:szCs w:val="24"/>
              </w:rPr>
              <w:tab/>
            </w:r>
            <w:r>
              <w:rPr>
                <w:sz w:val="24"/>
                <w:szCs w:val="24"/>
              </w:rPr>
              <w:fldChar w:fldCharType="begin"/>
            </w:r>
            <w:r>
              <w:rPr>
                <w:sz w:val="24"/>
                <w:szCs w:val="24"/>
              </w:rPr>
              <w:instrText xml:space="preserve"> PAGEREF _Toc191375437 \h </w:instrText>
            </w:r>
            <w:r>
              <w:rPr>
                <w:sz w:val="24"/>
                <w:szCs w:val="24"/>
              </w:rPr>
            </w:r>
            <w:r>
              <w:rPr>
                <w:sz w:val="24"/>
                <w:szCs w:val="24"/>
              </w:rPr>
              <w:fldChar w:fldCharType="separate"/>
            </w:r>
            <w:r>
              <w:rPr>
                <w:sz w:val="24"/>
                <w:szCs w:val="24"/>
              </w:rPr>
              <w:t>12</w:t>
            </w:r>
            <w:r>
              <w:rPr>
                <w:sz w:val="24"/>
                <w:szCs w:val="24"/>
              </w:rPr>
              <w:fldChar w:fldCharType="end"/>
            </w:r>
          </w:hyperlink>
        </w:p>
        <w:p w14:paraId="43828DB8" w14:textId="77777777" w:rsidR="00796C69" w:rsidRDefault="00796C69">
          <w:pPr>
            <w:pStyle w:val="TOC2"/>
            <w:tabs>
              <w:tab w:val="right" w:leader="dot" w:pos="9350"/>
            </w:tabs>
            <w:spacing w:line="360" w:lineRule="auto"/>
            <w:rPr>
              <w:rFonts w:eastAsiaTheme="minorEastAsia"/>
              <w:kern w:val="2"/>
              <w:sz w:val="24"/>
              <w:szCs w:val="24"/>
              <w:lang w:val="en-IN"/>
            </w:rPr>
          </w:pPr>
          <w:hyperlink w:anchor="_Toc191375438" w:history="1">
            <w:r>
              <w:rPr>
                <w:rStyle w:val="Hyperlink"/>
                <w:color w:val="auto"/>
                <w:sz w:val="24"/>
                <w:szCs w:val="24"/>
                <w:u w:val="none"/>
              </w:rPr>
              <w:t>3.4 Strengthening Sustainability Innovations</w:t>
            </w:r>
            <w:r>
              <w:rPr>
                <w:sz w:val="24"/>
                <w:szCs w:val="24"/>
              </w:rPr>
              <w:tab/>
            </w:r>
            <w:r>
              <w:rPr>
                <w:sz w:val="24"/>
                <w:szCs w:val="24"/>
              </w:rPr>
              <w:fldChar w:fldCharType="begin"/>
            </w:r>
            <w:r>
              <w:rPr>
                <w:sz w:val="24"/>
                <w:szCs w:val="24"/>
              </w:rPr>
              <w:instrText xml:space="preserve"> PAGEREF _Toc191375438 \h </w:instrText>
            </w:r>
            <w:r>
              <w:rPr>
                <w:sz w:val="24"/>
                <w:szCs w:val="24"/>
              </w:rPr>
            </w:r>
            <w:r>
              <w:rPr>
                <w:sz w:val="24"/>
                <w:szCs w:val="24"/>
              </w:rPr>
              <w:fldChar w:fldCharType="separate"/>
            </w:r>
            <w:r>
              <w:rPr>
                <w:sz w:val="24"/>
                <w:szCs w:val="24"/>
              </w:rPr>
              <w:t>12</w:t>
            </w:r>
            <w:r>
              <w:rPr>
                <w:sz w:val="24"/>
                <w:szCs w:val="24"/>
              </w:rPr>
              <w:fldChar w:fldCharType="end"/>
            </w:r>
          </w:hyperlink>
        </w:p>
        <w:p w14:paraId="028396A0" w14:textId="77777777" w:rsidR="00796C69" w:rsidRDefault="00796C69">
          <w:pPr>
            <w:pStyle w:val="TOC1"/>
            <w:tabs>
              <w:tab w:val="right" w:leader="dot" w:pos="9350"/>
            </w:tabs>
            <w:spacing w:line="360" w:lineRule="auto"/>
            <w:rPr>
              <w:rFonts w:eastAsiaTheme="minorEastAsia"/>
              <w:kern w:val="2"/>
              <w:sz w:val="24"/>
              <w:szCs w:val="24"/>
              <w:lang w:val="en-IN"/>
            </w:rPr>
          </w:pPr>
          <w:hyperlink w:anchor="_Toc191375439" w:history="1">
            <w:r>
              <w:rPr>
                <w:rStyle w:val="Hyperlink"/>
                <w:color w:val="auto"/>
                <w:sz w:val="24"/>
                <w:szCs w:val="24"/>
                <w:u w:val="none"/>
              </w:rPr>
              <w:t>Reference</w:t>
            </w:r>
            <w:r>
              <w:rPr>
                <w:sz w:val="24"/>
                <w:szCs w:val="24"/>
              </w:rPr>
              <w:tab/>
            </w:r>
            <w:r>
              <w:rPr>
                <w:sz w:val="24"/>
                <w:szCs w:val="24"/>
              </w:rPr>
              <w:fldChar w:fldCharType="begin"/>
            </w:r>
            <w:r>
              <w:rPr>
                <w:sz w:val="24"/>
                <w:szCs w:val="24"/>
              </w:rPr>
              <w:instrText xml:space="preserve"> PAGEREF _Toc191375439 \h </w:instrText>
            </w:r>
            <w:r>
              <w:rPr>
                <w:sz w:val="24"/>
                <w:szCs w:val="24"/>
              </w:rPr>
            </w:r>
            <w:r>
              <w:rPr>
                <w:sz w:val="24"/>
                <w:szCs w:val="24"/>
              </w:rPr>
              <w:fldChar w:fldCharType="separate"/>
            </w:r>
            <w:r>
              <w:rPr>
                <w:sz w:val="24"/>
                <w:szCs w:val="24"/>
              </w:rPr>
              <w:t>14</w:t>
            </w:r>
            <w:r>
              <w:rPr>
                <w:sz w:val="24"/>
                <w:szCs w:val="24"/>
              </w:rPr>
              <w:fldChar w:fldCharType="end"/>
            </w:r>
          </w:hyperlink>
        </w:p>
        <w:p w14:paraId="0D36363E" w14:textId="77777777" w:rsidR="00796C69" w:rsidRDefault="009D087F">
          <w:pPr>
            <w:spacing w:line="360" w:lineRule="auto"/>
            <w:rPr>
              <w:sz w:val="24"/>
              <w:szCs w:val="24"/>
            </w:rPr>
          </w:pPr>
          <w:r>
            <w:rPr>
              <w:b/>
              <w:bCs/>
              <w:sz w:val="24"/>
              <w:szCs w:val="24"/>
            </w:rPr>
            <w:fldChar w:fldCharType="end"/>
          </w:r>
        </w:p>
      </w:sdtContent>
    </w:sdt>
    <w:p w14:paraId="73CBB241" w14:textId="77777777" w:rsidR="00796C69" w:rsidRDefault="00796C69">
      <w:pPr>
        <w:spacing w:line="360" w:lineRule="auto"/>
        <w:jc w:val="center"/>
        <w:rPr>
          <w:rFonts w:eastAsia="Times New Roman"/>
          <w:b/>
          <w:sz w:val="24"/>
          <w:szCs w:val="24"/>
        </w:rPr>
      </w:pPr>
    </w:p>
    <w:p w14:paraId="68824E41" w14:textId="77777777" w:rsidR="00796C69" w:rsidRDefault="009D087F">
      <w:pPr>
        <w:pStyle w:val="Heading1"/>
        <w:spacing w:before="200" w:after="200"/>
        <w:rPr>
          <w:rFonts w:cs="Arial"/>
          <w:sz w:val="24"/>
        </w:rPr>
      </w:pPr>
      <w:bookmarkStart w:id="0" w:name="_q47prjt6nfui" w:colFirst="0" w:colLast="0"/>
      <w:bookmarkEnd w:id="0"/>
      <w:r>
        <w:rPr>
          <w:rFonts w:cs="Arial"/>
          <w:sz w:val="24"/>
        </w:rPr>
        <w:br w:type="page"/>
      </w:r>
    </w:p>
    <w:p w14:paraId="6A00FEAF" w14:textId="77777777" w:rsidR="00796C69" w:rsidRDefault="009D087F">
      <w:pPr>
        <w:pStyle w:val="Heading1"/>
      </w:pPr>
      <w:bookmarkStart w:id="1" w:name="_32dhl0o8j0om" w:colFirst="0" w:colLast="0"/>
      <w:bookmarkStart w:id="2" w:name="_Toc191375420"/>
      <w:bookmarkEnd w:id="1"/>
      <w:r>
        <w:t>1. Introduction</w:t>
      </w:r>
      <w:bookmarkEnd w:id="2"/>
    </w:p>
    <w:p w14:paraId="43376F11"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 Hotels &amp; Resorts, established in 1919 by Conrad Hilton, is the leading and biggest hospitality brand in the world. It has more than 7,000 hotels in 123 destinations worldwide, operating with brands such as Waldorf Astoria, Conrad, DoubleTree, and Hampton Inn. Hilton is famous for its luxury focus, customer satisfaction, and innovative hospitality services. Hilton </w:t>
      </w:r>
      <w:proofErr w:type="spellStart"/>
      <w:r>
        <w:rPr>
          <w:rFonts w:eastAsia="Times New Roman"/>
          <w:sz w:val="24"/>
          <w:szCs w:val="24"/>
        </w:rPr>
        <w:t>Honors</w:t>
      </w:r>
      <w:proofErr w:type="spellEnd"/>
      <w:r>
        <w:rPr>
          <w:rFonts w:eastAsia="Times New Roman"/>
          <w:sz w:val="24"/>
          <w:szCs w:val="24"/>
        </w:rPr>
        <w:t xml:space="preserve">, Hilton's loyalty program, has more than 158 million members (Hilton, 2023). Hilton has a divisional organisational structure where the properties are divided into ownership, management, franchise; and timeshare. Christopher J. </w:t>
      </w:r>
      <w:proofErr w:type="spellStart"/>
      <w:r>
        <w:rPr>
          <w:rFonts w:eastAsia="Times New Roman"/>
          <w:sz w:val="24"/>
          <w:szCs w:val="24"/>
        </w:rPr>
        <w:t>Nassetta</w:t>
      </w:r>
      <w:proofErr w:type="spellEnd"/>
      <w:r>
        <w:rPr>
          <w:rFonts w:eastAsia="Times New Roman"/>
          <w:sz w:val="24"/>
          <w:szCs w:val="24"/>
        </w:rPr>
        <w:t xml:space="preserve"> heads the company and has overseen major restructuring initiatives since 2007 (‌Lima, 2023).</w:t>
      </w:r>
    </w:p>
    <w:p w14:paraId="40ACC3CE" w14:textId="77777777" w:rsidR="00796C69" w:rsidRDefault="009D087F">
      <w:pPr>
        <w:spacing w:before="200" w:after="200" w:line="360" w:lineRule="auto"/>
        <w:jc w:val="both"/>
        <w:rPr>
          <w:rFonts w:eastAsia="Times New Roman"/>
          <w:sz w:val="24"/>
          <w:szCs w:val="24"/>
        </w:rPr>
      </w:pPr>
      <w:r>
        <w:rPr>
          <w:rFonts w:eastAsia="Times New Roman"/>
          <w:sz w:val="24"/>
          <w:szCs w:val="24"/>
        </w:rPr>
        <w:t>Hilton’s culture is one of diversity, inclusion and employee well-being, and that is why it has been recognised as one of the top workplaces. The company has a net income of $1.54 billion and an adjusted EBITDA of $3.43 billion for 2024 (Storeys from Hilton, 2025). Hilton’s managerial work is part of large development programmes to train future leaders. Leadership is assigned among functional and geographical lines of divisions to make it possible for effective management and decision-making.</w:t>
      </w:r>
    </w:p>
    <w:p w14:paraId="3EE08D81" w14:textId="77777777" w:rsidR="00796C69" w:rsidRDefault="009D087F">
      <w:pPr>
        <w:keepNext/>
        <w:spacing w:before="200" w:after="200" w:line="360" w:lineRule="auto"/>
        <w:jc w:val="center"/>
      </w:pPr>
      <w:r>
        <w:rPr>
          <w:rFonts w:eastAsia="Times New Roman"/>
          <w:noProof/>
          <w:sz w:val="24"/>
          <w:szCs w:val="24"/>
          <w:lang w:eastAsia="en-GB" w:bidi="ar-SA"/>
        </w:rPr>
        <w:drawing>
          <wp:inline distT="114300" distB="114300" distL="114300" distR="114300" wp14:anchorId="2310456B" wp14:editId="4243EB3E">
            <wp:extent cx="4624070" cy="245237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referRelativeResize="0"/>
                  </pic:nvPicPr>
                  <pic:blipFill>
                    <a:blip r:embed="rId10"/>
                    <a:srcRect/>
                    <a:stretch>
                      <a:fillRect/>
                    </a:stretch>
                  </pic:blipFill>
                  <pic:spPr>
                    <a:xfrm>
                      <a:off x="0" y="0"/>
                      <a:ext cx="4624388" cy="2453000"/>
                    </a:xfrm>
                    <a:prstGeom prst="rect">
                      <a:avLst/>
                    </a:prstGeom>
                  </pic:spPr>
                </pic:pic>
              </a:graphicData>
            </a:graphic>
          </wp:inline>
        </w:drawing>
      </w:r>
    </w:p>
    <w:p w14:paraId="47A15545" w14:textId="77777777" w:rsidR="00796C69" w:rsidRDefault="009D087F">
      <w:pPr>
        <w:pStyle w:val="Caption"/>
        <w:rPr>
          <w:rFonts w:eastAsia="Times New Roman"/>
          <w:szCs w:val="24"/>
        </w:rPr>
      </w:pPr>
      <w:r>
        <w:t xml:space="preserve">Figure </w:t>
      </w:r>
      <w:r>
        <w:fldChar w:fldCharType="begin"/>
      </w:r>
      <w:r>
        <w:instrText xml:space="preserve"> SEQ Figure \* ARABIC </w:instrText>
      </w:r>
      <w:r>
        <w:fldChar w:fldCharType="separate"/>
      </w:r>
      <w:r>
        <w:t>1</w:t>
      </w:r>
      <w:r>
        <w:fldChar w:fldCharType="end"/>
      </w:r>
      <w:r>
        <w:t>: Q4+Full Year 2024 Result</w:t>
      </w:r>
    </w:p>
    <w:p w14:paraId="135115E1" w14:textId="77777777" w:rsidR="00796C69" w:rsidRDefault="009D087F">
      <w:pPr>
        <w:spacing w:before="200" w:after="200" w:line="360" w:lineRule="auto"/>
        <w:jc w:val="center"/>
        <w:rPr>
          <w:rFonts w:eastAsia="Times New Roman"/>
          <w:sz w:val="24"/>
          <w:szCs w:val="24"/>
        </w:rPr>
      </w:pPr>
      <w:r>
        <w:rPr>
          <w:rFonts w:eastAsia="Times New Roman"/>
          <w:sz w:val="24"/>
          <w:szCs w:val="24"/>
        </w:rPr>
        <w:t>(Source: Stories from Hilton, 2025a)</w:t>
      </w:r>
    </w:p>
    <w:p w14:paraId="28C11C1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The "Travel with Purpose" 2030 goals are recent change initiatives in the area of sustainability and social impact (Hilton ESG, 2024a). Hilton’s strategy is to add more places around the world and improve guest experience with technology and innovation.6 Competitors in the key sphere are Marriott, Hyatt, and </w:t>
      </w:r>
      <w:proofErr w:type="spellStart"/>
      <w:r>
        <w:rPr>
          <w:rFonts w:eastAsia="Times New Roman"/>
          <w:sz w:val="24"/>
          <w:szCs w:val="24"/>
        </w:rPr>
        <w:t>Rits</w:t>
      </w:r>
      <w:proofErr w:type="spellEnd"/>
      <w:r>
        <w:rPr>
          <w:rFonts w:eastAsia="Times New Roman"/>
          <w:sz w:val="24"/>
          <w:szCs w:val="24"/>
        </w:rPr>
        <w:t xml:space="preserve"> Carlton, who present different challenges and opportunities for Hilton (</w:t>
      </w:r>
      <w:proofErr w:type="spellStart"/>
      <w:r>
        <w:rPr>
          <w:rFonts w:eastAsia="Times New Roman"/>
          <w:sz w:val="24"/>
          <w:szCs w:val="24"/>
        </w:rPr>
        <w:t>Bhasin</w:t>
      </w:r>
      <w:proofErr w:type="spellEnd"/>
      <w:r>
        <w:rPr>
          <w:rFonts w:eastAsia="Times New Roman"/>
          <w:sz w:val="24"/>
          <w:szCs w:val="24"/>
        </w:rPr>
        <w:t>, 2024). Future improvements are suggested by investing more money to promote sustainable practices and technology integration.</w:t>
      </w:r>
    </w:p>
    <w:p w14:paraId="135FD03D" w14:textId="77777777" w:rsidR="00796C69" w:rsidRDefault="009D087F">
      <w:pPr>
        <w:spacing w:before="200" w:after="200" w:line="360" w:lineRule="auto"/>
        <w:jc w:val="both"/>
        <w:rPr>
          <w:rFonts w:eastAsia="Times New Roman"/>
          <w:sz w:val="24"/>
          <w:szCs w:val="24"/>
        </w:rPr>
      </w:pPr>
      <w:r>
        <w:rPr>
          <w:rFonts w:eastAsia="Times New Roman"/>
          <w:sz w:val="24"/>
          <w:szCs w:val="24"/>
        </w:rPr>
        <w:t>This report critically examines the interconnection of structure, culture, individuals, and organisational performance at Hilton Hotels &amp; Resorts. It examines the nature of managerial work, leadership, and behaviouristic approaches to management. Using theoretical frameworks of organisational behaviour, the report also critiques Hilton's strategic focus and change management efforts and compares them with those of its competitors, such as Marriott International and InterContinental Hotels Group (IHG).</w:t>
      </w:r>
    </w:p>
    <w:p w14:paraId="5DC46FE0" w14:textId="77777777" w:rsidR="00796C69" w:rsidRDefault="009D087F">
      <w:pPr>
        <w:pStyle w:val="Heading1"/>
        <w:spacing w:before="200" w:after="200"/>
        <w:rPr>
          <w:rFonts w:cs="Arial"/>
        </w:rPr>
      </w:pPr>
      <w:bookmarkStart w:id="3" w:name="_834ebxeeulqb" w:colFirst="0" w:colLast="0"/>
      <w:bookmarkStart w:id="4" w:name="_Toc191375421"/>
      <w:bookmarkEnd w:id="3"/>
      <w:r>
        <w:rPr>
          <w:rFonts w:cs="Arial"/>
        </w:rPr>
        <w:t>2. Main Body</w:t>
      </w:r>
      <w:bookmarkEnd w:id="4"/>
    </w:p>
    <w:p w14:paraId="5404DBA9" w14:textId="77777777" w:rsidR="00796C69" w:rsidRDefault="009D087F">
      <w:pPr>
        <w:pStyle w:val="Heading2"/>
        <w:rPr>
          <w:rFonts w:ascii="Arial" w:hAnsi="Arial" w:cs="Arial"/>
          <w:color w:val="auto"/>
          <w:szCs w:val="24"/>
        </w:rPr>
      </w:pPr>
      <w:bookmarkStart w:id="5" w:name="_wjzzg4bib5ur" w:colFirst="0" w:colLast="0"/>
      <w:bookmarkStart w:id="6" w:name="_Toc191375422"/>
      <w:bookmarkEnd w:id="5"/>
      <w:r>
        <w:rPr>
          <w:rFonts w:ascii="Arial" w:hAnsi="Arial" w:cs="Arial"/>
          <w:color w:val="auto"/>
          <w:szCs w:val="24"/>
        </w:rPr>
        <w:t>2.1 Organisational Structure, Culture, and Goals</w:t>
      </w:r>
      <w:bookmarkEnd w:id="6"/>
    </w:p>
    <w:p w14:paraId="596BC2D3" w14:textId="77777777" w:rsidR="00796C69" w:rsidRDefault="009D087F">
      <w:pPr>
        <w:pStyle w:val="Heading3"/>
        <w:spacing w:before="200" w:after="200"/>
        <w:rPr>
          <w:rFonts w:ascii="Arial" w:hAnsi="Arial" w:cs="Arial"/>
          <w:u w:val="none"/>
        </w:rPr>
      </w:pPr>
      <w:bookmarkStart w:id="7" w:name="_umey84cxn737" w:colFirst="0" w:colLast="0"/>
      <w:bookmarkStart w:id="8" w:name="_Toc191375423"/>
      <w:bookmarkEnd w:id="7"/>
      <w:r>
        <w:rPr>
          <w:rFonts w:ascii="Arial" w:hAnsi="Arial" w:cs="Arial"/>
          <w:u w:val="none"/>
        </w:rPr>
        <w:t>2.1.1 Organisational Structure</w:t>
      </w:r>
      <w:bookmarkEnd w:id="8"/>
    </w:p>
    <w:p w14:paraId="161E1017" w14:textId="77777777" w:rsidR="00796C69" w:rsidRDefault="009D087F">
      <w:pPr>
        <w:spacing w:before="200" w:after="200" w:line="360" w:lineRule="auto"/>
        <w:jc w:val="both"/>
        <w:rPr>
          <w:rFonts w:eastAsia="Times New Roman"/>
          <w:sz w:val="24"/>
          <w:szCs w:val="24"/>
        </w:rPr>
      </w:pPr>
      <w:r>
        <w:rPr>
          <w:rFonts w:eastAsia="Times New Roman"/>
          <w:sz w:val="24"/>
          <w:szCs w:val="24"/>
        </w:rPr>
        <w:t>As a large organisation that has a vast global operation (‌</w:t>
      </w:r>
      <w:proofErr w:type="spellStart"/>
      <w:r>
        <w:rPr>
          <w:rFonts w:eastAsia="Times New Roman"/>
          <w:sz w:val="24"/>
          <w:szCs w:val="24"/>
        </w:rPr>
        <w:t>Ertuna</w:t>
      </w:r>
      <w:proofErr w:type="spellEnd"/>
      <w:r>
        <w:rPr>
          <w:rFonts w:eastAsia="Times New Roman"/>
          <w:sz w:val="24"/>
          <w:szCs w:val="24"/>
        </w:rPr>
        <w:t xml:space="preserve">, Gu and </w:t>
      </w:r>
      <w:proofErr w:type="spellStart"/>
      <w:r>
        <w:rPr>
          <w:rFonts w:eastAsia="Times New Roman"/>
          <w:sz w:val="24"/>
          <w:szCs w:val="24"/>
        </w:rPr>
        <w:t>Yu</w:t>
      </w:r>
      <w:proofErr w:type="spellEnd"/>
      <w:r>
        <w:rPr>
          <w:rFonts w:eastAsia="Times New Roman"/>
          <w:sz w:val="24"/>
          <w:szCs w:val="24"/>
        </w:rPr>
        <w:t>, 2022), Hilton operates under a hierarchical organisational structure. It however has clear lines of authority and responsibility, which make it easy for decision-making and communication to be done in a way that cuts across various levels (Mullins, 2023). Each of the company’s divisions, Ownership, Management and Franchise, and Timeshare, are headed by separate leadership teams. Hilton’s divisional approach enables it to efficiently manage its wide variety of portfolio properties and maintain consistency in service standards.</w:t>
      </w:r>
    </w:p>
    <w:p w14:paraId="1A5C0A5D"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Moreover, compared to its competitors like Marriott International, competitors like Marriott International employ a hierarchical structure but with greater emphasis on regional autonomy to allow more localised decision-making. Marriott matrix structure combines functional and divisional configurations of the organisations, this means that it can be both global in its uniformity and local in its response (Saki and </w:t>
      </w:r>
      <w:proofErr w:type="spellStart"/>
      <w:r>
        <w:rPr>
          <w:rFonts w:eastAsia="Times New Roman"/>
          <w:sz w:val="24"/>
          <w:szCs w:val="24"/>
        </w:rPr>
        <w:t>Elnagar</w:t>
      </w:r>
      <w:proofErr w:type="spellEnd"/>
      <w:r>
        <w:rPr>
          <w:rFonts w:eastAsia="Times New Roman"/>
          <w:sz w:val="24"/>
          <w:szCs w:val="24"/>
        </w:rPr>
        <w:t xml:space="preserve"> 2005). The result is that Marriott can adapt to the needs of various markets while maintaining a consistent brand across the board.</w:t>
      </w:r>
    </w:p>
    <w:p w14:paraId="58065A9D" w14:textId="77777777" w:rsidR="00796C69" w:rsidRDefault="009D087F">
      <w:pPr>
        <w:keepNext/>
        <w:spacing w:before="200" w:after="200" w:line="360" w:lineRule="auto"/>
        <w:jc w:val="center"/>
      </w:pPr>
      <w:r>
        <w:rPr>
          <w:rFonts w:eastAsia="Times New Roman"/>
          <w:noProof/>
          <w:sz w:val="24"/>
          <w:szCs w:val="24"/>
          <w:lang w:eastAsia="en-GB" w:bidi="ar-SA"/>
        </w:rPr>
        <w:drawing>
          <wp:inline distT="114300" distB="114300" distL="114300" distR="114300" wp14:anchorId="42A48D67" wp14:editId="3DD18721">
            <wp:extent cx="4321810" cy="4351020"/>
            <wp:effectExtent l="0" t="0" r="254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11"/>
                    <a:srcRect/>
                    <a:stretch>
                      <a:fillRect/>
                    </a:stretch>
                  </pic:blipFill>
                  <pic:spPr>
                    <a:xfrm>
                      <a:off x="0" y="0"/>
                      <a:ext cx="4324703" cy="4353933"/>
                    </a:xfrm>
                    <a:prstGeom prst="rect">
                      <a:avLst/>
                    </a:prstGeom>
                  </pic:spPr>
                </pic:pic>
              </a:graphicData>
            </a:graphic>
          </wp:inline>
        </w:drawing>
      </w:r>
    </w:p>
    <w:p w14:paraId="06CF2828" w14:textId="77777777" w:rsidR="00796C69" w:rsidRDefault="009D087F">
      <w:pPr>
        <w:pStyle w:val="Caption"/>
        <w:rPr>
          <w:rFonts w:eastAsia="Times New Roman"/>
          <w:szCs w:val="24"/>
        </w:rPr>
      </w:pPr>
      <w:r>
        <w:t xml:space="preserve">Figure </w:t>
      </w:r>
      <w:r>
        <w:fldChar w:fldCharType="begin"/>
      </w:r>
      <w:r>
        <w:instrText xml:space="preserve"> SEQ Figure \* ARABIC </w:instrText>
      </w:r>
      <w:r>
        <w:fldChar w:fldCharType="separate"/>
      </w:r>
      <w:r>
        <w:t>2</w:t>
      </w:r>
      <w:r>
        <w:fldChar w:fldCharType="end"/>
      </w:r>
      <w:r>
        <w:t xml:space="preserve">: </w:t>
      </w:r>
      <w:r>
        <w:rPr>
          <w:rFonts w:eastAsia="Times New Roman"/>
          <w:szCs w:val="24"/>
        </w:rPr>
        <w:t>Hilton’s Organisational Structure</w:t>
      </w:r>
    </w:p>
    <w:p w14:paraId="54444851" w14:textId="77777777" w:rsidR="00796C69" w:rsidRDefault="009D087F">
      <w:pPr>
        <w:spacing w:before="200" w:after="200" w:line="360" w:lineRule="auto"/>
        <w:jc w:val="center"/>
        <w:rPr>
          <w:rFonts w:eastAsia="Times New Roman"/>
          <w:sz w:val="24"/>
          <w:szCs w:val="24"/>
        </w:rPr>
      </w:pPr>
      <w:r>
        <w:rPr>
          <w:rFonts w:eastAsia="Times New Roman"/>
          <w:sz w:val="24"/>
          <w:szCs w:val="24"/>
        </w:rPr>
        <w:t xml:space="preserve">(Source: </w:t>
      </w:r>
      <w:proofErr w:type="spellStart"/>
      <w:r>
        <w:rPr>
          <w:rFonts w:eastAsia="Times New Roman"/>
          <w:sz w:val="24"/>
          <w:szCs w:val="24"/>
        </w:rPr>
        <w:t>Organimi</w:t>
      </w:r>
      <w:proofErr w:type="spellEnd"/>
      <w:r>
        <w:rPr>
          <w:rFonts w:eastAsia="Times New Roman"/>
          <w:sz w:val="24"/>
          <w:szCs w:val="24"/>
        </w:rPr>
        <w:t>, 2017)</w:t>
      </w:r>
    </w:p>
    <w:p w14:paraId="5A9737B2" w14:textId="77777777" w:rsidR="00796C69" w:rsidRDefault="009D087F">
      <w:pPr>
        <w:pStyle w:val="Heading3"/>
        <w:spacing w:before="200" w:after="200"/>
        <w:rPr>
          <w:rFonts w:ascii="Arial" w:hAnsi="Arial" w:cs="Arial"/>
          <w:u w:val="none"/>
        </w:rPr>
      </w:pPr>
      <w:bookmarkStart w:id="9" w:name="_2vwitds8xgk3" w:colFirst="0" w:colLast="0"/>
      <w:bookmarkStart w:id="10" w:name="_Toc191375424"/>
      <w:bookmarkEnd w:id="9"/>
      <w:r>
        <w:rPr>
          <w:rFonts w:ascii="Arial" w:hAnsi="Arial" w:cs="Arial"/>
          <w:u w:val="none"/>
        </w:rPr>
        <w:t>2.1.2 Corporate Culture and Its Influence on Operations</w:t>
      </w:r>
      <w:bookmarkEnd w:id="10"/>
    </w:p>
    <w:p w14:paraId="7640938F" w14:textId="77777777" w:rsidR="00796C69" w:rsidRDefault="009D087F">
      <w:pPr>
        <w:spacing w:before="200" w:after="200" w:line="360" w:lineRule="auto"/>
        <w:jc w:val="both"/>
        <w:rPr>
          <w:rFonts w:eastAsia="Times New Roman"/>
          <w:sz w:val="24"/>
          <w:szCs w:val="24"/>
        </w:rPr>
      </w:pPr>
      <w:r>
        <w:rPr>
          <w:rFonts w:eastAsia="Times New Roman"/>
          <w:sz w:val="24"/>
          <w:szCs w:val="24"/>
        </w:rPr>
        <w:t>Hilton has core values of hospitality, integrity, leadership, teamwork and ownership which form its corporate culture. This fosters a people-centric environment that makes customers happy and employees enthused (‌Gay, 2016).</w:t>
      </w:r>
    </w:p>
    <w:p w14:paraId="2669C45F" w14:textId="77777777" w:rsidR="00796C69" w:rsidRDefault="009D087F">
      <w:pPr>
        <w:spacing w:before="200" w:after="200" w:line="360" w:lineRule="auto"/>
        <w:jc w:val="both"/>
        <w:rPr>
          <w:rFonts w:eastAsia="Times New Roman"/>
          <w:sz w:val="24"/>
          <w:szCs w:val="24"/>
        </w:rPr>
      </w:pPr>
      <w:r>
        <w:rPr>
          <w:rFonts w:eastAsia="Times New Roman"/>
          <w:sz w:val="24"/>
          <w:szCs w:val="24"/>
        </w:rPr>
        <w:t>The For the Stay vision describes Hilton’s culture as guest-centric, team-based, and one of continuous innovation. This is in line with Mullins' (2019) Organisational Culture Model where corporate culture is directly linked to employee engagement and performance. Hilton’s culture focuses on:</w:t>
      </w:r>
    </w:p>
    <w:p w14:paraId="429F27E2" w14:textId="77777777" w:rsidR="00796C69" w:rsidRDefault="009D087F">
      <w:pPr>
        <w:numPr>
          <w:ilvl w:val="0"/>
          <w:numId w:val="1"/>
        </w:numPr>
        <w:spacing w:before="200" w:line="360" w:lineRule="auto"/>
        <w:jc w:val="both"/>
        <w:rPr>
          <w:rFonts w:eastAsia="Times New Roman"/>
          <w:sz w:val="24"/>
          <w:szCs w:val="24"/>
        </w:rPr>
      </w:pPr>
      <w:r>
        <w:rPr>
          <w:rFonts w:eastAsia="Times New Roman"/>
          <w:sz w:val="24"/>
          <w:szCs w:val="24"/>
        </w:rPr>
        <w:t>Service excellence that includes high service standards and personalised experiences (Customer service excellence).</w:t>
      </w:r>
    </w:p>
    <w:p w14:paraId="6EC9EBDB" w14:textId="77777777" w:rsidR="00796C69" w:rsidRDefault="009D087F">
      <w:pPr>
        <w:numPr>
          <w:ilvl w:val="0"/>
          <w:numId w:val="1"/>
        </w:numPr>
        <w:spacing w:line="360" w:lineRule="auto"/>
        <w:jc w:val="both"/>
        <w:rPr>
          <w:rFonts w:eastAsia="Times New Roman"/>
          <w:sz w:val="24"/>
          <w:szCs w:val="24"/>
        </w:rPr>
      </w:pPr>
      <w:r>
        <w:rPr>
          <w:rFonts w:eastAsia="Times New Roman"/>
          <w:sz w:val="24"/>
          <w:szCs w:val="24"/>
        </w:rPr>
        <w:t>Diversity and inclusion (Global workforce with inclusivity initiatives).</w:t>
      </w:r>
    </w:p>
    <w:p w14:paraId="536A19D5" w14:textId="77777777" w:rsidR="00796C69" w:rsidRDefault="009D087F">
      <w:pPr>
        <w:numPr>
          <w:ilvl w:val="0"/>
          <w:numId w:val="1"/>
        </w:numPr>
        <w:spacing w:after="200" w:line="360" w:lineRule="auto"/>
        <w:jc w:val="both"/>
        <w:rPr>
          <w:rFonts w:eastAsia="Times New Roman"/>
          <w:sz w:val="24"/>
          <w:szCs w:val="24"/>
        </w:rPr>
      </w:pPr>
      <w:r>
        <w:rPr>
          <w:rFonts w:eastAsia="Times New Roman"/>
          <w:sz w:val="24"/>
          <w:szCs w:val="24"/>
        </w:rPr>
        <w:t>Sustainability (Carbon reduction goals and responsible tourism initiatives).</w:t>
      </w:r>
    </w:p>
    <w:p w14:paraId="286DE229" w14:textId="77777777" w:rsidR="00796C69" w:rsidRDefault="009D087F">
      <w:pPr>
        <w:spacing w:before="200" w:after="200" w:line="360" w:lineRule="auto"/>
        <w:jc w:val="both"/>
        <w:rPr>
          <w:rFonts w:eastAsia="Times New Roman"/>
          <w:sz w:val="24"/>
          <w:szCs w:val="24"/>
        </w:rPr>
      </w:pPr>
      <w:r>
        <w:rPr>
          <w:rFonts w:eastAsia="Times New Roman"/>
          <w:sz w:val="24"/>
          <w:szCs w:val="24"/>
        </w:rPr>
        <w:t>Lastly, Marriott’s culture also prioritises employee satisfaction through its “TakeCare” program focused on employee well-being (Marriott, 2025). On the other hand, Hilton has done a better incorporation of learning and development (L&amp;D) initiatives via the Hilton University.</w:t>
      </w:r>
    </w:p>
    <w:p w14:paraId="1A8A1A4F" w14:textId="77777777" w:rsidR="00796C69" w:rsidRDefault="009D087F">
      <w:pPr>
        <w:pStyle w:val="Heading3"/>
        <w:spacing w:before="200" w:after="200"/>
        <w:rPr>
          <w:rFonts w:ascii="Arial" w:hAnsi="Arial" w:cs="Arial"/>
          <w:u w:val="none"/>
        </w:rPr>
      </w:pPr>
      <w:bookmarkStart w:id="11" w:name="_5g7n9o4ejml4" w:colFirst="0" w:colLast="0"/>
      <w:bookmarkStart w:id="12" w:name="_Toc191375425"/>
      <w:bookmarkEnd w:id="11"/>
      <w:r>
        <w:rPr>
          <w:rFonts w:ascii="Arial" w:hAnsi="Arial" w:cs="Arial"/>
          <w:u w:val="none"/>
        </w:rPr>
        <w:t>2.1.3 Organisational Goals</w:t>
      </w:r>
      <w:bookmarkEnd w:id="12"/>
    </w:p>
    <w:p w14:paraId="3F201341"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 at the corporate level, seeks to increase its global footprint, deliver better guest experiences, and be a leader in sustainable hospitality practices. The "Travel with Purpose" initiative of the company aimed at ambitious environmental and social responsibilities, including delivery of standards ISO Environmental, (E) ISO Energy (E), quality (Q), Energy (E), (Q) and also the undertaking of the school induction year. In the UK, Hilton has successfully implemented sustainable practices like in Hilton Manchester </w:t>
      </w:r>
      <w:proofErr w:type="spellStart"/>
      <w:r>
        <w:rPr>
          <w:rFonts w:eastAsia="Times New Roman"/>
          <w:sz w:val="24"/>
          <w:szCs w:val="24"/>
        </w:rPr>
        <w:t>Deansgate</w:t>
      </w:r>
      <w:proofErr w:type="spellEnd"/>
      <w:r>
        <w:rPr>
          <w:rFonts w:eastAsia="Times New Roman"/>
          <w:sz w:val="24"/>
          <w:szCs w:val="24"/>
        </w:rPr>
        <w:t xml:space="preserve"> and Hampton by Hilton Liverpool City Centre (Manchester, 2025).</w:t>
      </w:r>
    </w:p>
    <w:p w14:paraId="4C8F7430" w14:textId="77777777" w:rsidR="00796C69" w:rsidRDefault="009D087F">
      <w:pPr>
        <w:spacing w:before="200" w:after="200" w:line="360" w:lineRule="auto"/>
        <w:jc w:val="both"/>
        <w:rPr>
          <w:rFonts w:eastAsia="Times New Roman"/>
          <w:sz w:val="24"/>
          <w:szCs w:val="24"/>
        </w:rPr>
      </w:pPr>
      <w:r>
        <w:rPr>
          <w:rFonts w:eastAsia="Times New Roman"/>
          <w:sz w:val="24"/>
          <w:szCs w:val="24"/>
        </w:rPr>
        <w:t>Local strategies are encouraged that will allow individual units to comply with these overarching goals while remaining consistent with Hilton’s global standards to cater to regional markets. Other competitors and IHG with similar sustainability initiatives include their 'Journey to Tomorrow' plan which is aimed at halving carbon emissions in 2030 and integrating the (use of) energy conservation measures in their UK properties (InterContinental Hotels Group PLC, 2025a).</w:t>
      </w:r>
    </w:p>
    <w:p w14:paraId="36692B88" w14:textId="77777777" w:rsidR="00796C69" w:rsidRDefault="009D087F">
      <w:pPr>
        <w:pStyle w:val="Heading2"/>
        <w:rPr>
          <w:rFonts w:ascii="Arial" w:hAnsi="Arial" w:cs="Arial"/>
          <w:color w:val="auto"/>
          <w:szCs w:val="24"/>
        </w:rPr>
      </w:pPr>
      <w:bookmarkStart w:id="13" w:name="_rq500jtbbs66" w:colFirst="0" w:colLast="0"/>
      <w:bookmarkStart w:id="14" w:name="_Toc191375426"/>
      <w:bookmarkEnd w:id="13"/>
      <w:r>
        <w:rPr>
          <w:rFonts w:ascii="Arial" w:hAnsi="Arial" w:cs="Arial"/>
          <w:color w:val="auto"/>
          <w:szCs w:val="24"/>
        </w:rPr>
        <w:t>2.2 Recent Change Initiatives</w:t>
      </w:r>
      <w:bookmarkEnd w:id="14"/>
    </w:p>
    <w:p w14:paraId="7BB7CEEE" w14:textId="77777777" w:rsidR="00796C69" w:rsidRDefault="009D087F">
      <w:pPr>
        <w:pStyle w:val="Heading3"/>
        <w:spacing w:before="200" w:after="200"/>
        <w:rPr>
          <w:rFonts w:ascii="Arial" w:hAnsi="Arial" w:cs="Arial"/>
          <w:i w:val="0"/>
          <w:u w:val="none"/>
        </w:rPr>
      </w:pPr>
      <w:bookmarkStart w:id="15" w:name="_ch9tkawbemxv" w:colFirst="0" w:colLast="0"/>
      <w:bookmarkStart w:id="16" w:name="_Toc191375427"/>
      <w:bookmarkEnd w:id="15"/>
      <w:r>
        <w:rPr>
          <w:rFonts w:ascii="Arial" w:hAnsi="Arial" w:cs="Arial"/>
          <w:i w:val="0"/>
          <w:u w:val="none"/>
        </w:rPr>
        <w:t>2.2.1 Recent Change Initiatives Undertaken by the Organisation</w:t>
      </w:r>
      <w:bookmarkEnd w:id="16"/>
    </w:p>
    <w:p w14:paraId="558A6816" w14:textId="77777777" w:rsidR="00796C69" w:rsidRDefault="009D087F">
      <w:pPr>
        <w:spacing w:before="200" w:after="200" w:line="360" w:lineRule="auto"/>
        <w:rPr>
          <w:rFonts w:eastAsia="Times New Roman"/>
          <w:b/>
          <w:i/>
          <w:sz w:val="24"/>
          <w:szCs w:val="24"/>
        </w:rPr>
      </w:pPr>
      <w:r>
        <w:rPr>
          <w:rFonts w:eastAsia="Times New Roman"/>
          <w:b/>
          <w:i/>
          <w:sz w:val="24"/>
          <w:szCs w:val="24"/>
        </w:rPr>
        <w:t>Expansion and Market Penetration</w:t>
      </w:r>
    </w:p>
    <w:p w14:paraId="39C7F5ED" w14:textId="77777777" w:rsidR="00796C69" w:rsidRDefault="009D087F">
      <w:pPr>
        <w:spacing w:before="200" w:after="200" w:line="360" w:lineRule="auto"/>
        <w:jc w:val="both"/>
        <w:rPr>
          <w:rFonts w:eastAsia="Times New Roman"/>
          <w:sz w:val="24"/>
          <w:szCs w:val="24"/>
        </w:rPr>
      </w:pPr>
      <w:r>
        <w:rPr>
          <w:rFonts w:eastAsia="Times New Roman"/>
          <w:sz w:val="24"/>
          <w:szCs w:val="24"/>
        </w:rPr>
        <w:t>Hilton is actively developing in the UK with several new properties in the pipeline. In particular, the Hilton Garden Inn Plymouth is scheduled to open shortly with 150 guest rooms and a sky bar with views of Plymouth Sound (Storeys from Hilton, 2022). Hilton is also expanding in key UK markets such as London with Hilton London Bankside and Waldorf Hilton London (Storeys from Hilton - EMEA, 2021).</w:t>
      </w:r>
    </w:p>
    <w:p w14:paraId="47324815" w14:textId="77777777" w:rsidR="00796C69" w:rsidRDefault="009D087F">
      <w:pPr>
        <w:spacing w:before="200" w:after="200" w:line="360" w:lineRule="auto"/>
        <w:jc w:val="both"/>
        <w:rPr>
          <w:rFonts w:eastAsia="Times New Roman"/>
          <w:sz w:val="24"/>
          <w:szCs w:val="24"/>
        </w:rPr>
      </w:pPr>
      <w:r>
        <w:rPr>
          <w:rFonts w:eastAsia="Times New Roman"/>
          <w:sz w:val="24"/>
          <w:szCs w:val="24"/>
        </w:rPr>
        <w:t>With about 100 properties to add in Europe and a big chunk of that in the UK by 2026, Marriott is responding to growing competition (Mullins and Dosser, 2013). Although, the company's strategic focus on sustainability and localisation strategies helps the company to be competitive yet positively contribute to the environment and society. Hilton’s efforts to achieve ISO certifications for environmental, energy and quality management (Storeys from Hilton, 2025) are guided by the "Travel with Purpose" initiative.</w:t>
      </w:r>
    </w:p>
    <w:p w14:paraId="6F04364D" w14:textId="77777777" w:rsidR="00796C69" w:rsidRDefault="009D087F">
      <w:pPr>
        <w:spacing w:before="200" w:after="200" w:line="360" w:lineRule="auto"/>
        <w:rPr>
          <w:rFonts w:eastAsia="Times New Roman"/>
          <w:b/>
          <w:i/>
          <w:sz w:val="24"/>
          <w:szCs w:val="24"/>
        </w:rPr>
      </w:pPr>
      <w:r>
        <w:rPr>
          <w:rFonts w:eastAsia="Times New Roman"/>
          <w:b/>
          <w:i/>
          <w:sz w:val="24"/>
          <w:szCs w:val="24"/>
        </w:rPr>
        <w:t>Digital Transformation</w:t>
      </w:r>
    </w:p>
    <w:p w14:paraId="0FA41EA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 has used technology to increase the value perceived by guests and increase operational efficiency. The initiatives in the Hilton </w:t>
      </w:r>
      <w:proofErr w:type="spellStart"/>
      <w:r>
        <w:rPr>
          <w:rFonts w:eastAsia="Times New Roman"/>
          <w:sz w:val="24"/>
          <w:szCs w:val="24"/>
        </w:rPr>
        <w:t>Honors</w:t>
      </w:r>
      <w:proofErr w:type="spellEnd"/>
      <w:r>
        <w:rPr>
          <w:rFonts w:eastAsia="Times New Roman"/>
          <w:sz w:val="24"/>
          <w:szCs w:val="24"/>
        </w:rPr>
        <w:t xml:space="preserve"> App are key initiatives such as the ability to make the interactions seamless digitally, and AI-driven pricing models by the use of big data analytics (Karim et al., 2021). Hilton can streamline the interactions with customers, thereby improving efficiency, guest satisfaction and loyalty. Unlike AccorHotels, Hilton displays its integrated customer loyalty ecosystem, including its Honours programme, which creates more guest loyalty and engagement (Accor.com, 2025), consequently cementing its role as a leader in the highly competitive hospitality market.</w:t>
      </w:r>
    </w:p>
    <w:p w14:paraId="26390872" w14:textId="77777777" w:rsidR="00796C69" w:rsidRDefault="009D087F">
      <w:pPr>
        <w:spacing w:before="200" w:after="200" w:line="360" w:lineRule="auto"/>
        <w:rPr>
          <w:rFonts w:eastAsia="Times New Roman"/>
          <w:b/>
          <w:i/>
          <w:sz w:val="24"/>
          <w:szCs w:val="24"/>
        </w:rPr>
      </w:pPr>
      <w:r>
        <w:rPr>
          <w:rFonts w:eastAsia="Times New Roman"/>
          <w:b/>
          <w:i/>
          <w:sz w:val="24"/>
          <w:szCs w:val="24"/>
        </w:rPr>
        <w:t>Environmental Sustainability and ESG Commitments</w:t>
      </w:r>
    </w:p>
    <w:p w14:paraId="7505C917" w14:textId="77777777" w:rsidR="00796C69" w:rsidRDefault="009D087F">
      <w:pPr>
        <w:spacing w:before="200" w:after="200" w:line="360" w:lineRule="auto"/>
        <w:jc w:val="both"/>
        <w:rPr>
          <w:rFonts w:eastAsia="Times New Roman"/>
          <w:sz w:val="24"/>
          <w:szCs w:val="24"/>
        </w:rPr>
      </w:pPr>
      <w:r>
        <w:rPr>
          <w:rFonts w:eastAsia="Times New Roman"/>
          <w:sz w:val="24"/>
          <w:szCs w:val="24"/>
        </w:rPr>
        <w:t>It underscores Hilton’s commitment to environmental sustainability through its ‘Travel with Purpose’ program (Stories from Hilton, 2025b). Such a commitment to environmental sustainability by Hilton has set goals for the year 2030 to strive for energy-efficient practices and waste reduction. This helps in providing ISO certification across the company’s portfolio, making the brand more prominent and attractive towards environmentally conscious consumers. Hilton’s overall approach to corporate policies and individual property initiatives shows its unifying stance on sustainability.</w:t>
      </w:r>
    </w:p>
    <w:p w14:paraId="7A0062B9" w14:textId="77777777" w:rsidR="00796C69" w:rsidRDefault="009D087F">
      <w:pPr>
        <w:pStyle w:val="Heading3"/>
        <w:keepNext w:val="0"/>
        <w:keepLines w:val="0"/>
        <w:spacing w:before="200" w:after="200"/>
        <w:rPr>
          <w:rFonts w:ascii="Arial" w:hAnsi="Arial" w:cs="Arial"/>
          <w:i w:val="0"/>
          <w:u w:val="none"/>
        </w:rPr>
      </w:pPr>
      <w:bookmarkStart w:id="17" w:name="_a7pnba2jtsqk" w:colFirst="0" w:colLast="0"/>
      <w:bookmarkStart w:id="18" w:name="_Toc191375428"/>
      <w:bookmarkEnd w:id="17"/>
      <w:r>
        <w:rPr>
          <w:rFonts w:ascii="Arial" w:hAnsi="Arial" w:cs="Arial"/>
          <w:i w:val="0"/>
          <w:u w:val="none"/>
        </w:rPr>
        <w:t>2.2.2 Impact of These Changes</w:t>
      </w:r>
      <w:bookmarkEnd w:id="18"/>
    </w:p>
    <w:p w14:paraId="7BD85EA5" w14:textId="77777777" w:rsidR="00796C69" w:rsidRDefault="009D087F">
      <w:pPr>
        <w:spacing w:before="200" w:after="200" w:line="360" w:lineRule="auto"/>
        <w:jc w:val="both"/>
        <w:rPr>
          <w:rFonts w:eastAsia="Times New Roman"/>
          <w:sz w:val="24"/>
          <w:szCs w:val="24"/>
        </w:rPr>
      </w:pPr>
      <w:r>
        <w:rPr>
          <w:rFonts w:eastAsia="Times New Roman"/>
          <w:sz w:val="24"/>
          <w:szCs w:val="24"/>
        </w:rPr>
        <w:t>Many benefits were reaped through the adoption of AI-powered services. Increased efficiency (Robbins and Judge, 2017) has been achieved in the process of achieving Enhanced Guest Experience. The organisation, moreover, has shown Sustainability Leadership by the reduction of water and energy consumption. In addition, Employee Satisfaction has been raised because of training and career development opportunities, making staff retention better.</w:t>
      </w:r>
    </w:p>
    <w:p w14:paraId="36B3E17E" w14:textId="77777777" w:rsidR="00796C69" w:rsidRDefault="009D087F">
      <w:pPr>
        <w:pStyle w:val="Heading3"/>
        <w:keepNext w:val="0"/>
        <w:keepLines w:val="0"/>
        <w:spacing w:before="200" w:after="200"/>
        <w:rPr>
          <w:rFonts w:ascii="Arial" w:hAnsi="Arial" w:cs="Arial"/>
          <w:i w:val="0"/>
          <w:u w:val="none"/>
        </w:rPr>
      </w:pPr>
      <w:bookmarkStart w:id="19" w:name="_d2b7frdtfbj1" w:colFirst="0" w:colLast="0"/>
      <w:bookmarkStart w:id="20" w:name="_Toc191375429"/>
      <w:bookmarkEnd w:id="19"/>
      <w:r>
        <w:rPr>
          <w:rFonts w:ascii="Arial" w:hAnsi="Arial" w:cs="Arial"/>
          <w:i w:val="0"/>
          <w:u w:val="none"/>
        </w:rPr>
        <w:t>2.3.3 Change Management Analysis</w:t>
      </w:r>
      <w:bookmarkEnd w:id="20"/>
    </w:p>
    <w:p w14:paraId="2DDE7ADD" w14:textId="77777777" w:rsidR="00796C69" w:rsidRDefault="009D087F">
      <w:pPr>
        <w:spacing w:before="200" w:after="200" w:line="360" w:lineRule="auto"/>
        <w:jc w:val="both"/>
        <w:rPr>
          <w:rFonts w:eastAsia="Times New Roman"/>
          <w:sz w:val="24"/>
          <w:szCs w:val="24"/>
        </w:rPr>
      </w:pPr>
      <w:r>
        <w:rPr>
          <w:rFonts w:eastAsia="Times New Roman"/>
          <w:sz w:val="24"/>
          <w:szCs w:val="24"/>
        </w:rPr>
        <w:t>Lewin’s Change Model can be used to analyse Hilton’s change process (</w:t>
      </w:r>
      <w:proofErr w:type="spellStart"/>
      <w:r>
        <w:rPr>
          <w:rFonts w:eastAsia="Times New Roman"/>
          <w:sz w:val="24"/>
          <w:szCs w:val="24"/>
        </w:rPr>
        <w:t>Boddy</w:t>
      </w:r>
      <w:proofErr w:type="spellEnd"/>
      <w:r>
        <w:rPr>
          <w:rFonts w:eastAsia="Times New Roman"/>
          <w:sz w:val="24"/>
          <w:szCs w:val="24"/>
        </w:rPr>
        <w:t>, 2017). Hilton hit its zenith during the 'unfreeze' stage when Hilton was first aware of the need to go digital and embrace sustainability initiatives. The "change" stage followed in which new technologies and green technologies were introduced. Thirdly, the 'refreeze' stage covered the embedding of new policies in daily operations and further retrained employees. On the contrary, Hilton had a structured approach in contrast to IHG which had difficulties with digital adoption and enjoyed better implementation success (</w:t>
      </w:r>
      <w:proofErr w:type="spellStart"/>
      <w:r>
        <w:rPr>
          <w:rFonts w:eastAsia="Times New Roman"/>
          <w:sz w:val="24"/>
          <w:szCs w:val="24"/>
        </w:rPr>
        <w:t>Hucsynski</w:t>
      </w:r>
      <w:proofErr w:type="spellEnd"/>
      <w:r>
        <w:rPr>
          <w:rFonts w:eastAsia="Times New Roman"/>
          <w:sz w:val="24"/>
          <w:szCs w:val="24"/>
        </w:rPr>
        <w:t xml:space="preserve"> and Buchanan, 2019).</w:t>
      </w:r>
    </w:p>
    <w:p w14:paraId="4B1C2CD4" w14:textId="77777777" w:rsidR="00796C69" w:rsidRDefault="009D087F">
      <w:pPr>
        <w:pStyle w:val="Heading2"/>
        <w:rPr>
          <w:rFonts w:ascii="Arial" w:hAnsi="Arial" w:cs="Arial"/>
          <w:color w:val="auto"/>
          <w:szCs w:val="24"/>
        </w:rPr>
      </w:pPr>
      <w:bookmarkStart w:id="21" w:name="_etps3pql53a2" w:colFirst="0" w:colLast="0"/>
      <w:bookmarkStart w:id="22" w:name="_Toc191375430"/>
      <w:bookmarkEnd w:id="21"/>
      <w:r>
        <w:rPr>
          <w:rFonts w:ascii="Arial" w:hAnsi="Arial" w:cs="Arial"/>
          <w:color w:val="auto"/>
          <w:szCs w:val="24"/>
        </w:rPr>
        <w:t>2.3 Strategic Direction</w:t>
      </w:r>
      <w:bookmarkEnd w:id="22"/>
    </w:p>
    <w:p w14:paraId="12F091DE" w14:textId="77777777" w:rsidR="00796C69" w:rsidRDefault="009D087F">
      <w:pPr>
        <w:pStyle w:val="Heading3"/>
        <w:keepNext w:val="0"/>
        <w:keepLines w:val="0"/>
        <w:spacing w:before="200" w:after="200"/>
        <w:rPr>
          <w:rFonts w:ascii="Arial" w:hAnsi="Arial" w:cs="Arial"/>
          <w:i w:val="0"/>
          <w:u w:val="none"/>
        </w:rPr>
      </w:pPr>
      <w:bookmarkStart w:id="23" w:name="_3iwuvlfhr35f" w:colFirst="0" w:colLast="0"/>
      <w:bookmarkStart w:id="24" w:name="_Toc191375431"/>
      <w:bookmarkEnd w:id="23"/>
      <w:r>
        <w:rPr>
          <w:rFonts w:ascii="Arial" w:hAnsi="Arial" w:cs="Arial"/>
          <w:i w:val="0"/>
          <w:u w:val="none"/>
        </w:rPr>
        <w:t>2.3.1 Examining Hilton’s Strategic Direction</w:t>
      </w:r>
      <w:bookmarkEnd w:id="24"/>
    </w:p>
    <w:p w14:paraId="3218A4C0" w14:textId="77777777" w:rsidR="00796C69" w:rsidRDefault="009D087F">
      <w:pPr>
        <w:spacing w:before="200" w:after="200" w:line="360" w:lineRule="auto"/>
        <w:jc w:val="both"/>
        <w:rPr>
          <w:rFonts w:eastAsia="Times New Roman"/>
          <w:sz w:val="24"/>
          <w:szCs w:val="24"/>
        </w:rPr>
      </w:pPr>
      <w:r>
        <w:rPr>
          <w:rFonts w:eastAsia="Times New Roman"/>
          <w:sz w:val="24"/>
          <w:szCs w:val="24"/>
        </w:rPr>
        <w:t>Through a strategic focus on market expansion, technological advancement and sustainability, Hilton Hotels &amp; Resorts has become a global leader in the hospitality industry. Hilton ESG (2025) provides ‘the company’s vision to “fill the Earth with the light and warmth of hospitality.” To do this, Hilton’s main focus is growing its global reach, creating new experiences for guests through innovation and embedding sustainability in its business.</w:t>
      </w:r>
    </w:p>
    <w:p w14:paraId="76752EF1" w14:textId="77777777" w:rsidR="00796C69" w:rsidRDefault="009D087F">
      <w:pPr>
        <w:keepNext/>
        <w:spacing w:before="200" w:after="200" w:line="360" w:lineRule="auto"/>
        <w:jc w:val="center"/>
      </w:pPr>
      <w:r>
        <w:rPr>
          <w:rFonts w:eastAsia="Times New Roman"/>
          <w:noProof/>
          <w:sz w:val="24"/>
          <w:szCs w:val="24"/>
          <w:lang w:eastAsia="en-GB" w:bidi="ar-SA"/>
        </w:rPr>
        <w:drawing>
          <wp:inline distT="114300" distB="114300" distL="114300" distR="114300" wp14:anchorId="2A39C73E" wp14:editId="059D6F97">
            <wp:extent cx="3418840" cy="3505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12" cstate="print"/>
                    <a:srcRect/>
                    <a:stretch>
                      <a:fillRect/>
                    </a:stretch>
                  </pic:blipFill>
                  <pic:spPr>
                    <a:xfrm>
                      <a:off x="0" y="0"/>
                      <a:ext cx="3423409" cy="3509596"/>
                    </a:xfrm>
                    <a:prstGeom prst="rect">
                      <a:avLst/>
                    </a:prstGeom>
                  </pic:spPr>
                </pic:pic>
              </a:graphicData>
            </a:graphic>
          </wp:inline>
        </w:drawing>
      </w:r>
    </w:p>
    <w:p w14:paraId="0896C18D" w14:textId="77777777" w:rsidR="00796C69" w:rsidRDefault="009D087F">
      <w:pPr>
        <w:pStyle w:val="Caption"/>
        <w:rPr>
          <w:rFonts w:eastAsia="Times New Roman"/>
          <w:szCs w:val="24"/>
        </w:rPr>
      </w:pPr>
      <w:r>
        <w:t xml:space="preserve">Figure </w:t>
      </w:r>
      <w:r>
        <w:fldChar w:fldCharType="begin"/>
      </w:r>
      <w:r>
        <w:instrText xml:space="preserve"> SEQ Figure \* ARABIC </w:instrText>
      </w:r>
      <w:r>
        <w:fldChar w:fldCharType="separate"/>
      </w:r>
      <w:r>
        <w:t>3</w:t>
      </w:r>
      <w:r>
        <w:fldChar w:fldCharType="end"/>
      </w:r>
      <w:r>
        <w:t>: Hilton’s Strategic Direction</w:t>
      </w:r>
    </w:p>
    <w:p w14:paraId="1A8BE437" w14:textId="77777777" w:rsidR="00796C69" w:rsidRDefault="009D087F">
      <w:pPr>
        <w:spacing w:before="200" w:after="200" w:line="360" w:lineRule="auto"/>
        <w:jc w:val="center"/>
        <w:rPr>
          <w:rFonts w:eastAsia="Times New Roman"/>
          <w:sz w:val="24"/>
          <w:szCs w:val="24"/>
        </w:rPr>
      </w:pPr>
      <w:r>
        <w:rPr>
          <w:rFonts w:eastAsia="Times New Roman"/>
          <w:sz w:val="24"/>
          <w:szCs w:val="24"/>
        </w:rPr>
        <w:t>(Hilton ESG, 2025)</w:t>
      </w:r>
    </w:p>
    <w:p w14:paraId="03BEC8FB" w14:textId="77777777" w:rsidR="00796C69" w:rsidRDefault="009D087F">
      <w:pPr>
        <w:spacing w:before="200" w:after="200" w:line="360" w:lineRule="auto"/>
        <w:jc w:val="both"/>
        <w:rPr>
          <w:rFonts w:eastAsia="Times New Roman"/>
          <w:sz w:val="24"/>
          <w:szCs w:val="24"/>
        </w:rPr>
      </w:pPr>
      <w:r>
        <w:rPr>
          <w:rFonts w:eastAsia="Times New Roman"/>
          <w:sz w:val="24"/>
          <w:szCs w:val="24"/>
        </w:rPr>
        <w:t>Hilton’s strategic direction revolves around:</w:t>
      </w:r>
    </w:p>
    <w:p w14:paraId="49310519" w14:textId="77777777" w:rsidR="00796C69" w:rsidRDefault="009D087F">
      <w:pPr>
        <w:spacing w:before="200" w:after="200" w:line="360" w:lineRule="auto"/>
        <w:jc w:val="both"/>
        <w:rPr>
          <w:rFonts w:eastAsia="Times New Roman"/>
          <w:sz w:val="24"/>
          <w:szCs w:val="24"/>
        </w:rPr>
      </w:pPr>
      <w:r>
        <w:rPr>
          <w:rFonts w:eastAsia="Times New Roman"/>
          <w:b/>
          <w:sz w:val="24"/>
          <w:szCs w:val="24"/>
        </w:rPr>
        <w:t>Global Expansion:</w:t>
      </w:r>
      <w:r>
        <w:rPr>
          <w:rFonts w:eastAsia="Times New Roman"/>
          <w:sz w:val="24"/>
          <w:szCs w:val="24"/>
        </w:rPr>
        <w:t xml:space="preserve">  Entering new markets like India, China and the Middle East by servicing growing middle-class populations and people travelling. Hilton also ensures that it has a presence in other markets by opening new properties under all brand segments to cater to different customers' needs (Storeys from Hilton, 2024).</w:t>
      </w:r>
    </w:p>
    <w:p w14:paraId="789D6798" w14:textId="77777777" w:rsidR="00796C69" w:rsidRDefault="009D087F">
      <w:pPr>
        <w:spacing w:before="200" w:after="200" w:line="360" w:lineRule="auto"/>
        <w:jc w:val="both"/>
        <w:rPr>
          <w:rFonts w:eastAsia="Times New Roman"/>
          <w:sz w:val="24"/>
          <w:szCs w:val="24"/>
        </w:rPr>
      </w:pPr>
      <w:r>
        <w:rPr>
          <w:rFonts w:eastAsia="Times New Roman"/>
          <w:b/>
          <w:sz w:val="24"/>
          <w:szCs w:val="24"/>
        </w:rPr>
        <w:t>Technology-Driven Growth</w:t>
      </w:r>
      <w:r>
        <w:rPr>
          <w:rFonts w:eastAsia="Times New Roman"/>
          <w:sz w:val="24"/>
          <w:szCs w:val="24"/>
        </w:rPr>
        <w:t>: AI, digital check-ins, keyless room entry and smart room technology help in improving operational efficiency and guest satisfaction (Stories from Hilton, 2021) Hilton’s Connected Room concept features a connected room where guests can manipulate lighting, temperature and entertainment via the smartphone.</w:t>
      </w:r>
    </w:p>
    <w:p w14:paraId="499C386A" w14:textId="77777777" w:rsidR="00796C69" w:rsidRDefault="009D087F">
      <w:pPr>
        <w:spacing w:before="200" w:after="200" w:line="360" w:lineRule="auto"/>
        <w:jc w:val="both"/>
        <w:rPr>
          <w:rFonts w:eastAsia="Times New Roman"/>
          <w:sz w:val="24"/>
          <w:szCs w:val="24"/>
        </w:rPr>
      </w:pPr>
      <w:r>
        <w:rPr>
          <w:rFonts w:eastAsia="Times New Roman"/>
          <w:b/>
          <w:sz w:val="24"/>
          <w:szCs w:val="24"/>
        </w:rPr>
        <w:t>Sustainability and Corporate Responsibility</w:t>
      </w:r>
      <w:r>
        <w:rPr>
          <w:rFonts w:eastAsia="Times New Roman"/>
          <w:sz w:val="24"/>
          <w:szCs w:val="24"/>
        </w:rPr>
        <w:t>: To be more environmentally friendly, Hilton has also adopted eco-friendly practices as part of its core strategy and hopes to limit carbon emissions by 61 per cent, reduce the use of water, and eliminate single-use plastics (Hilton ESG, 2024b). The Travel with Purpose programme is its way of aligning business operations with environmental and social responsibility goals.</w:t>
      </w:r>
    </w:p>
    <w:p w14:paraId="092D20A4" w14:textId="77777777" w:rsidR="00796C69" w:rsidRDefault="009D087F">
      <w:pPr>
        <w:pStyle w:val="Heading3"/>
        <w:keepNext w:val="0"/>
        <w:keepLines w:val="0"/>
        <w:spacing w:before="200" w:after="200"/>
        <w:rPr>
          <w:rFonts w:ascii="Arial" w:hAnsi="Arial" w:cs="Arial"/>
          <w:i w:val="0"/>
          <w:u w:val="none"/>
        </w:rPr>
      </w:pPr>
      <w:bookmarkStart w:id="25" w:name="_2msngpo51qn0" w:colFirst="0" w:colLast="0"/>
      <w:bookmarkStart w:id="26" w:name="_Toc191375432"/>
      <w:bookmarkEnd w:id="25"/>
      <w:r>
        <w:rPr>
          <w:rFonts w:ascii="Arial" w:hAnsi="Arial" w:cs="Arial"/>
          <w:i w:val="0"/>
          <w:u w:val="none"/>
        </w:rPr>
        <w:t xml:space="preserve">2.3.2 </w:t>
      </w:r>
      <w:bookmarkStart w:id="27" w:name="_Hlk191523654"/>
      <w:r>
        <w:rPr>
          <w:rFonts w:ascii="Arial" w:hAnsi="Arial" w:cs="Arial"/>
          <w:i w:val="0"/>
          <w:u w:val="none"/>
        </w:rPr>
        <w:t>Strategies Implemented to Achieve Long-Term Objectives</w:t>
      </w:r>
      <w:bookmarkEnd w:id="26"/>
      <w:bookmarkEnd w:id="27"/>
    </w:p>
    <w:p w14:paraId="2349D6CC" w14:textId="77777777" w:rsidR="00796C69" w:rsidRDefault="009D087F">
      <w:pPr>
        <w:spacing w:before="200" w:after="200" w:line="360" w:lineRule="auto"/>
        <w:jc w:val="both"/>
        <w:rPr>
          <w:rFonts w:eastAsia="Times New Roman"/>
          <w:sz w:val="24"/>
          <w:szCs w:val="24"/>
        </w:rPr>
      </w:pPr>
      <w:r>
        <w:rPr>
          <w:rFonts w:eastAsia="Times New Roman"/>
          <w:sz w:val="24"/>
          <w:szCs w:val="24"/>
        </w:rPr>
        <w:t>Hilton applies various business strategies for it to successfully execute its strategic vision.</w:t>
      </w:r>
    </w:p>
    <w:p w14:paraId="62C211D2" w14:textId="77777777" w:rsidR="00796C69" w:rsidRDefault="009D087F">
      <w:pPr>
        <w:pStyle w:val="Caption"/>
        <w:keepNext/>
      </w:pPr>
      <w:r>
        <w:t xml:space="preserve">Table </w:t>
      </w:r>
      <w:r>
        <w:fldChar w:fldCharType="begin"/>
      </w:r>
      <w:r>
        <w:instrText xml:space="preserve"> SEQ Table \* ARABIC </w:instrText>
      </w:r>
      <w:r>
        <w:fldChar w:fldCharType="separate"/>
      </w:r>
      <w:r>
        <w:t>1</w:t>
      </w:r>
      <w:r>
        <w:fldChar w:fldCharType="end"/>
      </w:r>
      <w:r>
        <w:t>: Strategies Implemented to Achieve Long-Term Objectives</w:t>
      </w:r>
    </w:p>
    <w:tbl>
      <w:tblPr>
        <w:tblStyle w:val="Style1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796C69" w14:paraId="094A6E46" w14:textId="77777777">
        <w:tc>
          <w:tcPr>
            <w:tcW w:w="3120" w:type="dxa"/>
            <w:shd w:val="clear" w:color="auto" w:fill="C2D69B" w:themeFill="accent3" w:themeFillTint="99"/>
            <w:tcMar>
              <w:top w:w="100" w:type="dxa"/>
              <w:left w:w="100" w:type="dxa"/>
              <w:bottom w:w="100" w:type="dxa"/>
              <w:right w:w="100" w:type="dxa"/>
            </w:tcMar>
          </w:tcPr>
          <w:p w14:paraId="4A328A98"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Strategic Objective</w:t>
            </w:r>
          </w:p>
        </w:tc>
        <w:tc>
          <w:tcPr>
            <w:tcW w:w="3120" w:type="dxa"/>
            <w:shd w:val="clear" w:color="auto" w:fill="C2D69B" w:themeFill="accent3" w:themeFillTint="99"/>
            <w:tcMar>
              <w:top w:w="100" w:type="dxa"/>
              <w:left w:w="100" w:type="dxa"/>
              <w:bottom w:w="100" w:type="dxa"/>
              <w:right w:w="100" w:type="dxa"/>
            </w:tcMar>
          </w:tcPr>
          <w:p w14:paraId="0FFBB2E0"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Strategy Implemented</w:t>
            </w:r>
          </w:p>
        </w:tc>
        <w:tc>
          <w:tcPr>
            <w:tcW w:w="3120" w:type="dxa"/>
            <w:shd w:val="clear" w:color="auto" w:fill="C2D69B" w:themeFill="accent3" w:themeFillTint="99"/>
            <w:tcMar>
              <w:top w:w="100" w:type="dxa"/>
              <w:left w:w="100" w:type="dxa"/>
              <w:bottom w:w="100" w:type="dxa"/>
              <w:right w:w="100" w:type="dxa"/>
            </w:tcMar>
          </w:tcPr>
          <w:p w14:paraId="460A040E"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Impact</w:t>
            </w:r>
          </w:p>
        </w:tc>
      </w:tr>
      <w:tr w:rsidR="00796C69" w14:paraId="3B2E2359" w14:textId="77777777">
        <w:tc>
          <w:tcPr>
            <w:tcW w:w="3120" w:type="dxa"/>
            <w:shd w:val="clear" w:color="auto" w:fill="E5DFEC" w:themeFill="accent4" w:themeFillTint="33"/>
            <w:tcMar>
              <w:top w:w="100" w:type="dxa"/>
              <w:left w:w="100" w:type="dxa"/>
              <w:bottom w:w="100" w:type="dxa"/>
              <w:right w:w="100" w:type="dxa"/>
            </w:tcMar>
          </w:tcPr>
          <w:p w14:paraId="07751719"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Global Expansion</w:t>
            </w:r>
          </w:p>
        </w:tc>
        <w:tc>
          <w:tcPr>
            <w:tcW w:w="3120" w:type="dxa"/>
            <w:shd w:val="clear" w:color="auto" w:fill="DAEEF3" w:themeFill="accent5" w:themeFillTint="33"/>
            <w:tcMar>
              <w:top w:w="100" w:type="dxa"/>
              <w:left w:w="100" w:type="dxa"/>
              <w:bottom w:w="100" w:type="dxa"/>
              <w:right w:w="100" w:type="dxa"/>
            </w:tcMar>
          </w:tcPr>
          <w:p w14:paraId="3203DF3E"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Expansion into new international markets through franchising and partnerships. Introduction of new mid-scale and luxury brands (e.g., Canopy by Hilton, Curio Collection).</w:t>
            </w:r>
          </w:p>
        </w:tc>
        <w:tc>
          <w:tcPr>
            <w:tcW w:w="3120" w:type="dxa"/>
            <w:shd w:val="clear" w:color="auto" w:fill="EAF1DD" w:themeFill="accent3" w:themeFillTint="33"/>
            <w:tcMar>
              <w:top w:w="100" w:type="dxa"/>
              <w:left w:w="100" w:type="dxa"/>
              <w:bottom w:w="100" w:type="dxa"/>
              <w:right w:w="100" w:type="dxa"/>
            </w:tcMar>
          </w:tcPr>
          <w:p w14:paraId="59981A19"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Increased global market share, catering to a wider range of customer preferences and enhancing brand visibility.</w:t>
            </w:r>
          </w:p>
        </w:tc>
      </w:tr>
      <w:tr w:rsidR="00796C69" w14:paraId="5BA54F9B" w14:textId="77777777">
        <w:tc>
          <w:tcPr>
            <w:tcW w:w="3120" w:type="dxa"/>
            <w:shd w:val="clear" w:color="auto" w:fill="E5DFEC" w:themeFill="accent4" w:themeFillTint="33"/>
            <w:tcMar>
              <w:top w:w="100" w:type="dxa"/>
              <w:left w:w="100" w:type="dxa"/>
              <w:bottom w:w="100" w:type="dxa"/>
              <w:right w:w="100" w:type="dxa"/>
            </w:tcMar>
          </w:tcPr>
          <w:p w14:paraId="740EE73E"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Technology-Driven Growth</w:t>
            </w:r>
          </w:p>
        </w:tc>
        <w:tc>
          <w:tcPr>
            <w:tcW w:w="3120" w:type="dxa"/>
            <w:shd w:val="clear" w:color="auto" w:fill="DAEEF3" w:themeFill="accent5" w:themeFillTint="33"/>
            <w:tcMar>
              <w:top w:w="100" w:type="dxa"/>
              <w:left w:w="100" w:type="dxa"/>
              <w:bottom w:w="100" w:type="dxa"/>
              <w:right w:w="100" w:type="dxa"/>
            </w:tcMar>
          </w:tcPr>
          <w:p w14:paraId="7ACA3486"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 xml:space="preserve">Deployment of AI and digital solutions like the Hilton </w:t>
            </w:r>
            <w:proofErr w:type="spellStart"/>
            <w:r>
              <w:rPr>
                <w:rFonts w:eastAsia="Times New Roman"/>
                <w:sz w:val="24"/>
                <w:szCs w:val="24"/>
              </w:rPr>
              <w:t>Honors</w:t>
            </w:r>
            <w:proofErr w:type="spellEnd"/>
            <w:r>
              <w:rPr>
                <w:rFonts w:eastAsia="Times New Roman"/>
                <w:sz w:val="24"/>
                <w:szCs w:val="24"/>
              </w:rPr>
              <w:t xml:space="preserve"> mobile app for personalised services (Stories from Hilton, 2021). Implementation of robotic automation in housekeeping and front desk operations.</w:t>
            </w:r>
          </w:p>
        </w:tc>
        <w:tc>
          <w:tcPr>
            <w:tcW w:w="3120" w:type="dxa"/>
            <w:shd w:val="clear" w:color="auto" w:fill="EAF1DD" w:themeFill="accent3" w:themeFillTint="33"/>
            <w:tcMar>
              <w:top w:w="100" w:type="dxa"/>
              <w:left w:w="100" w:type="dxa"/>
              <w:bottom w:w="100" w:type="dxa"/>
              <w:right w:w="100" w:type="dxa"/>
            </w:tcMar>
          </w:tcPr>
          <w:p w14:paraId="3A4DF463"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Enhanced customer experiences, improved operational efficiency, and cost savings.</w:t>
            </w:r>
          </w:p>
        </w:tc>
      </w:tr>
      <w:tr w:rsidR="00796C69" w14:paraId="34995F16" w14:textId="77777777">
        <w:tc>
          <w:tcPr>
            <w:tcW w:w="3120" w:type="dxa"/>
            <w:shd w:val="clear" w:color="auto" w:fill="E5DFEC" w:themeFill="accent4" w:themeFillTint="33"/>
            <w:tcMar>
              <w:top w:w="100" w:type="dxa"/>
              <w:left w:w="100" w:type="dxa"/>
              <w:bottom w:w="100" w:type="dxa"/>
              <w:right w:w="100" w:type="dxa"/>
            </w:tcMar>
          </w:tcPr>
          <w:p w14:paraId="6FEBDEBF"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Sustainability Initiatives</w:t>
            </w:r>
          </w:p>
        </w:tc>
        <w:tc>
          <w:tcPr>
            <w:tcW w:w="3120" w:type="dxa"/>
            <w:shd w:val="clear" w:color="auto" w:fill="DAEEF3" w:themeFill="accent5" w:themeFillTint="33"/>
            <w:tcMar>
              <w:top w:w="100" w:type="dxa"/>
              <w:left w:w="100" w:type="dxa"/>
              <w:bottom w:w="100" w:type="dxa"/>
              <w:right w:w="100" w:type="dxa"/>
            </w:tcMar>
          </w:tcPr>
          <w:p w14:paraId="46CD45BD" w14:textId="77777777" w:rsidR="00796C69" w:rsidRDefault="009D087F">
            <w:pPr>
              <w:widowControl w:val="0"/>
              <w:spacing w:before="200" w:after="200" w:line="360" w:lineRule="auto"/>
              <w:jc w:val="both"/>
              <w:rPr>
                <w:rFonts w:eastAsia="Times New Roman"/>
                <w:sz w:val="24"/>
                <w:szCs w:val="24"/>
              </w:rPr>
            </w:pPr>
            <w:r>
              <w:rPr>
                <w:rFonts w:eastAsia="Times New Roman"/>
                <w:bCs/>
                <w:sz w:val="24"/>
                <w:szCs w:val="24"/>
              </w:rPr>
              <w:t>Carbon reduction initiatives, energy</w:t>
            </w:r>
            <w:r>
              <w:rPr>
                <w:rFonts w:eastAsia="Times New Roman"/>
                <w:sz w:val="24"/>
                <w:szCs w:val="24"/>
              </w:rPr>
              <w:t>-efficient building designs, waste reduction programs. Hilton’s LightStay program tracks environmental impact.</w:t>
            </w:r>
          </w:p>
        </w:tc>
        <w:tc>
          <w:tcPr>
            <w:tcW w:w="3120" w:type="dxa"/>
            <w:shd w:val="clear" w:color="auto" w:fill="EAF1DD" w:themeFill="accent3" w:themeFillTint="33"/>
            <w:tcMar>
              <w:top w:w="100" w:type="dxa"/>
              <w:left w:w="100" w:type="dxa"/>
              <w:bottom w:w="100" w:type="dxa"/>
              <w:right w:w="100" w:type="dxa"/>
            </w:tcMar>
          </w:tcPr>
          <w:p w14:paraId="4BF94358"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Improved corporate reputation, compliance with global sustainability standards, and cost savings from energy efficiency.</w:t>
            </w:r>
          </w:p>
        </w:tc>
      </w:tr>
      <w:tr w:rsidR="00796C69" w14:paraId="186C4736" w14:textId="77777777">
        <w:tc>
          <w:tcPr>
            <w:tcW w:w="3120" w:type="dxa"/>
            <w:shd w:val="clear" w:color="auto" w:fill="E5DFEC" w:themeFill="accent4" w:themeFillTint="33"/>
            <w:tcMar>
              <w:top w:w="100" w:type="dxa"/>
              <w:left w:w="100" w:type="dxa"/>
              <w:bottom w:w="100" w:type="dxa"/>
              <w:right w:w="100" w:type="dxa"/>
            </w:tcMar>
          </w:tcPr>
          <w:p w14:paraId="7AE199D8"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Customer Loyalty &amp; Personalisation</w:t>
            </w:r>
          </w:p>
        </w:tc>
        <w:tc>
          <w:tcPr>
            <w:tcW w:w="3120" w:type="dxa"/>
            <w:shd w:val="clear" w:color="auto" w:fill="DAEEF3" w:themeFill="accent5" w:themeFillTint="33"/>
            <w:tcMar>
              <w:top w:w="100" w:type="dxa"/>
              <w:left w:w="100" w:type="dxa"/>
              <w:bottom w:w="100" w:type="dxa"/>
              <w:right w:w="100" w:type="dxa"/>
            </w:tcMar>
          </w:tcPr>
          <w:p w14:paraId="3BD7DEEB"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 xml:space="preserve">Expansion of the </w:t>
            </w:r>
            <w:r>
              <w:rPr>
                <w:rFonts w:eastAsia="Times New Roman"/>
                <w:bCs/>
                <w:sz w:val="24"/>
                <w:szCs w:val="24"/>
              </w:rPr>
              <w:t xml:space="preserve">Hilton </w:t>
            </w:r>
            <w:proofErr w:type="spellStart"/>
            <w:r>
              <w:rPr>
                <w:rFonts w:eastAsia="Times New Roman"/>
                <w:bCs/>
                <w:sz w:val="24"/>
                <w:szCs w:val="24"/>
              </w:rPr>
              <w:t>Honors</w:t>
            </w:r>
            <w:proofErr w:type="spellEnd"/>
            <w:r>
              <w:rPr>
                <w:rFonts w:eastAsia="Times New Roman"/>
                <w:bCs/>
                <w:sz w:val="24"/>
                <w:szCs w:val="24"/>
              </w:rPr>
              <w:t xml:space="preserve"> loyalty program</w:t>
            </w:r>
            <w:r>
              <w:rPr>
                <w:rFonts w:eastAsia="Times New Roman"/>
                <w:sz w:val="24"/>
                <w:szCs w:val="24"/>
              </w:rPr>
              <w:t>, offering rewards and personalised stays. Partnerships with airlines and lifestyle brands for additional benefits.</w:t>
            </w:r>
          </w:p>
        </w:tc>
        <w:tc>
          <w:tcPr>
            <w:tcW w:w="3120" w:type="dxa"/>
            <w:shd w:val="clear" w:color="auto" w:fill="EAF1DD" w:themeFill="accent3" w:themeFillTint="33"/>
            <w:tcMar>
              <w:top w:w="100" w:type="dxa"/>
              <w:left w:w="100" w:type="dxa"/>
              <w:bottom w:w="100" w:type="dxa"/>
              <w:right w:w="100" w:type="dxa"/>
            </w:tcMar>
          </w:tcPr>
          <w:p w14:paraId="638FA2FA"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Strengthened customer retention, increased direct bookings, and enhanced guest satisfaction.</w:t>
            </w:r>
          </w:p>
        </w:tc>
      </w:tr>
      <w:tr w:rsidR="00796C69" w14:paraId="74CDA941" w14:textId="77777777">
        <w:tc>
          <w:tcPr>
            <w:tcW w:w="3120" w:type="dxa"/>
            <w:shd w:val="clear" w:color="auto" w:fill="E5DFEC" w:themeFill="accent4" w:themeFillTint="33"/>
            <w:tcMar>
              <w:top w:w="100" w:type="dxa"/>
              <w:left w:w="100" w:type="dxa"/>
              <w:bottom w:w="100" w:type="dxa"/>
              <w:right w:w="100" w:type="dxa"/>
            </w:tcMar>
          </w:tcPr>
          <w:p w14:paraId="0CF495CC" w14:textId="77777777" w:rsidR="00796C69" w:rsidRDefault="009D087F">
            <w:pPr>
              <w:widowControl w:val="0"/>
              <w:spacing w:before="200" w:after="200" w:line="360" w:lineRule="auto"/>
              <w:jc w:val="center"/>
              <w:rPr>
                <w:rFonts w:eastAsia="Times New Roman"/>
                <w:b/>
                <w:sz w:val="24"/>
                <w:szCs w:val="24"/>
              </w:rPr>
            </w:pPr>
            <w:r>
              <w:rPr>
                <w:rFonts w:eastAsia="Times New Roman"/>
                <w:b/>
                <w:sz w:val="24"/>
                <w:szCs w:val="24"/>
              </w:rPr>
              <w:t>Workforce Development</w:t>
            </w:r>
          </w:p>
        </w:tc>
        <w:tc>
          <w:tcPr>
            <w:tcW w:w="3120" w:type="dxa"/>
            <w:shd w:val="clear" w:color="auto" w:fill="DAEEF3" w:themeFill="accent5" w:themeFillTint="33"/>
            <w:tcMar>
              <w:top w:w="100" w:type="dxa"/>
              <w:left w:w="100" w:type="dxa"/>
              <w:bottom w:w="100" w:type="dxa"/>
              <w:right w:w="100" w:type="dxa"/>
            </w:tcMar>
          </w:tcPr>
          <w:p w14:paraId="1E2368E9"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Investment in employee training programs, leadership development, and inclusion initiatives. Competitive compensation and benefits for retention.</w:t>
            </w:r>
          </w:p>
        </w:tc>
        <w:tc>
          <w:tcPr>
            <w:tcW w:w="3120" w:type="dxa"/>
            <w:shd w:val="clear" w:color="auto" w:fill="EAF1DD" w:themeFill="accent3" w:themeFillTint="33"/>
            <w:tcMar>
              <w:top w:w="100" w:type="dxa"/>
              <w:left w:w="100" w:type="dxa"/>
              <w:bottom w:w="100" w:type="dxa"/>
              <w:right w:w="100" w:type="dxa"/>
            </w:tcMar>
          </w:tcPr>
          <w:p w14:paraId="4F7C7628" w14:textId="77777777" w:rsidR="00796C69" w:rsidRDefault="009D087F">
            <w:pPr>
              <w:widowControl w:val="0"/>
              <w:spacing w:before="200" w:after="200" w:line="360" w:lineRule="auto"/>
              <w:jc w:val="both"/>
              <w:rPr>
                <w:rFonts w:eastAsia="Times New Roman"/>
                <w:sz w:val="24"/>
                <w:szCs w:val="24"/>
              </w:rPr>
            </w:pPr>
            <w:r>
              <w:rPr>
                <w:rFonts w:eastAsia="Times New Roman"/>
                <w:sz w:val="24"/>
                <w:szCs w:val="24"/>
              </w:rPr>
              <w:t>Higher employee engagement, reduced turnover, and improved service quality.</w:t>
            </w:r>
          </w:p>
        </w:tc>
      </w:tr>
    </w:tbl>
    <w:p w14:paraId="10E322D2" w14:textId="77777777" w:rsidR="00796C69" w:rsidRDefault="00796C69">
      <w:pPr>
        <w:spacing w:before="200" w:after="200" w:line="360" w:lineRule="auto"/>
        <w:jc w:val="both"/>
        <w:rPr>
          <w:rFonts w:eastAsia="Times New Roman"/>
          <w:sz w:val="24"/>
          <w:szCs w:val="24"/>
        </w:rPr>
      </w:pPr>
    </w:p>
    <w:p w14:paraId="74BB7DAB" w14:textId="77777777" w:rsidR="00796C69" w:rsidRDefault="009D087F">
      <w:pPr>
        <w:pStyle w:val="Heading3"/>
        <w:keepNext w:val="0"/>
        <w:keepLines w:val="0"/>
        <w:spacing w:before="200" w:after="200"/>
        <w:rPr>
          <w:rFonts w:ascii="Arial" w:hAnsi="Arial" w:cs="Arial"/>
          <w:i w:val="0"/>
          <w:u w:val="none"/>
        </w:rPr>
      </w:pPr>
      <w:bookmarkStart w:id="28" w:name="_nu18koiafqom" w:colFirst="0" w:colLast="0"/>
      <w:bookmarkStart w:id="29" w:name="_Toc191375433"/>
      <w:bookmarkEnd w:id="28"/>
      <w:r>
        <w:rPr>
          <w:rFonts w:ascii="Arial" w:hAnsi="Arial" w:cs="Arial"/>
          <w:i w:val="0"/>
          <w:u w:val="none"/>
        </w:rPr>
        <w:t>2.3.3 Analysis of Hilton’s Strategic Direction</w:t>
      </w:r>
      <w:bookmarkEnd w:id="29"/>
    </w:p>
    <w:p w14:paraId="57D10FD7" w14:textId="77777777" w:rsidR="00796C69" w:rsidRDefault="009D087F">
      <w:pPr>
        <w:spacing w:before="200" w:after="200" w:line="360" w:lineRule="auto"/>
        <w:jc w:val="both"/>
        <w:rPr>
          <w:rFonts w:eastAsia="Times New Roman"/>
          <w:sz w:val="24"/>
          <w:szCs w:val="24"/>
        </w:rPr>
      </w:pPr>
      <w:r>
        <w:rPr>
          <w:rFonts w:eastAsia="Times New Roman"/>
          <w:sz w:val="24"/>
          <w:szCs w:val="24"/>
        </w:rPr>
        <w:t>Hilton’s strategy is Performance Management Model, which focuses on continuous employee development, performance evaluation, and leadership training to improve organisational performance (Armstrong, 2021). Additionally, Hilton’s leadership model corresponds to Adair’s Action Centred Leadership Model of meeting the needs of tasks (operational excellence), teams (collaboration), and individuals (career development).</w:t>
      </w:r>
    </w:p>
    <w:p w14:paraId="0A599B94" w14:textId="77777777" w:rsidR="00796C69" w:rsidRDefault="009D087F">
      <w:pPr>
        <w:spacing w:before="200" w:after="200" w:line="360" w:lineRule="auto"/>
        <w:jc w:val="both"/>
        <w:rPr>
          <w:rFonts w:eastAsia="Times New Roman"/>
          <w:sz w:val="24"/>
          <w:szCs w:val="24"/>
        </w:rPr>
      </w:pPr>
      <w:r>
        <w:rPr>
          <w:rFonts w:eastAsia="Times New Roman"/>
          <w:sz w:val="24"/>
          <w:szCs w:val="24"/>
        </w:rPr>
        <w:t>Hilton has some very strong strategic initiatives but it is competing with rivals like Marriott and Hyatt which also prioritise global expansion, AI-driven customer experience and sustainability. To maintain its competitive edge, Hilton should continue to advance digital transformation and sustainability innovation, guaranteeing the company’s continued success in the fast-changing hospitality industry.</w:t>
      </w:r>
    </w:p>
    <w:p w14:paraId="2AB22288" w14:textId="77777777" w:rsidR="00796C69" w:rsidRDefault="009D087F">
      <w:pPr>
        <w:pStyle w:val="Heading1"/>
        <w:spacing w:before="200" w:after="200"/>
        <w:rPr>
          <w:rFonts w:cs="Arial"/>
        </w:rPr>
      </w:pPr>
      <w:bookmarkStart w:id="30" w:name="_9ioh7t7ohii5" w:colFirst="0" w:colLast="0"/>
      <w:bookmarkStart w:id="31" w:name="_Toc191375434"/>
      <w:bookmarkEnd w:id="30"/>
      <w:r>
        <w:rPr>
          <w:rFonts w:cs="Arial"/>
        </w:rPr>
        <w:t>Recommendations</w:t>
      </w:r>
      <w:bookmarkEnd w:id="31"/>
    </w:p>
    <w:p w14:paraId="0EE383DD" w14:textId="77777777" w:rsidR="00796C69" w:rsidRDefault="009D087F">
      <w:pPr>
        <w:spacing w:before="200" w:after="200" w:line="360" w:lineRule="auto"/>
        <w:jc w:val="both"/>
        <w:rPr>
          <w:rFonts w:eastAsia="Times New Roman"/>
          <w:sz w:val="24"/>
          <w:szCs w:val="24"/>
        </w:rPr>
      </w:pPr>
      <w:r>
        <w:rPr>
          <w:rFonts w:eastAsia="Times New Roman"/>
          <w:sz w:val="24"/>
          <w:szCs w:val="24"/>
        </w:rPr>
        <w:t>Hilton Hotels &amp; Resorts is a well-structured, culture-driven driven and strategically focused hospitality leader. The organisation has a hierarchical structure which would facilitate brand consistency but the organisation also highly employee-centric culture that will promote high performance. It is proven that the company is adaptable to recent change initiatives such as digital transformation, market expansion and sustainability efforts.</w:t>
      </w:r>
    </w:p>
    <w:p w14:paraId="49468190" w14:textId="77777777" w:rsidR="00796C69" w:rsidRDefault="009D087F">
      <w:pPr>
        <w:spacing w:before="200" w:after="200" w:line="360" w:lineRule="auto"/>
        <w:jc w:val="both"/>
        <w:rPr>
          <w:rFonts w:eastAsia="Times New Roman"/>
          <w:sz w:val="24"/>
          <w:szCs w:val="24"/>
        </w:rPr>
      </w:pPr>
      <w:r>
        <w:rPr>
          <w:rFonts w:eastAsia="Times New Roman"/>
          <w:sz w:val="24"/>
          <w:szCs w:val="24"/>
        </w:rPr>
        <w:t>Hilton has grown its global footprint through a strategic blend of differentiation and cost leadership and has maintained a strong brand reputation. If these changes are implemented, Hilton can lock up its position as a market leader in this new hospitality world.</w:t>
      </w:r>
    </w:p>
    <w:p w14:paraId="30E547B5" w14:textId="77777777" w:rsidR="00796C69" w:rsidRDefault="009D087F">
      <w:pPr>
        <w:spacing w:before="200" w:after="200" w:line="360" w:lineRule="auto"/>
        <w:jc w:val="both"/>
        <w:rPr>
          <w:rFonts w:eastAsia="Times New Roman"/>
          <w:b/>
          <w:sz w:val="24"/>
          <w:szCs w:val="24"/>
        </w:rPr>
      </w:pPr>
      <w:r>
        <w:rPr>
          <w:rFonts w:eastAsia="Times New Roman"/>
          <w:b/>
          <w:sz w:val="24"/>
          <w:szCs w:val="24"/>
        </w:rPr>
        <w:t>Recommendations</w:t>
      </w:r>
    </w:p>
    <w:p w14:paraId="66FCAEC9" w14:textId="77777777" w:rsidR="00796C69" w:rsidRDefault="009D087F">
      <w:pPr>
        <w:spacing w:before="200" w:after="200" w:line="360" w:lineRule="auto"/>
        <w:jc w:val="both"/>
        <w:rPr>
          <w:rFonts w:eastAsia="Times New Roman"/>
          <w:sz w:val="24"/>
          <w:szCs w:val="24"/>
        </w:rPr>
      </w:pPr>
      <w:r>
        <w:rPr>
          <w:rFonts w:eastAsia="Times New Roman"/>
          <w:sz w:val="24"/>
          <w:szCs w:val="24"/>
        </w:rPr>
        <w:t>Hilton Hotels &amp; Resorts should make these strategic improvements so it can strengthen its position in the hotel industry.</w:t>
      </w:r>
    </w:p>
    <w:p w14:paraId="06CA5287" w14:textId="77777777" w:rsidR="00796C69" w:rsidRDefault="009D087F">
      <w:pPr>
        <w:pStyle w:val="Heading2"/>
        <w:keepNext w:val="0"/>
        <w:keepLines w:val="0"/>
        <w:rPr>
          <w:rFonts w:ascii="Arial" w:hAnsi="Arial" w:cs="Arial"/>
          <w:color w:val="auto"/>
          <w:szCs w:val="24"/>
        </w:rPr>
      </w:pPr>
      <w:bookmarkStart w:id="32" w:name="_y6zpc3j7rc0j" w:colFirst="0" w:colLast="0"/>
      <w:bookmarkStart w:id="33" w:name="_Toc191375435"/>
      <w:bookmarkEnd w:id="32"/>
      <w:r>
        <w:rPr>
          <w:rFonts w:ascii="Arial" w:hAnsi="Arial" w:cs="Arial"/>
          <w:color w:val="auto"/>
          <w:szCs w:val="24"/>
        </w:rPr>
        <w:t>3.1 Decentralising Decision-Making for Market Responsiveness</w:t>
      </w:r>
      <w:bookmarkEnd w:id="33"/>
    </w:p>
    <w:p w14:paraId="1ACCC20A" w14:textId="77777777" w:rsidR="00796C69" w:rsidRDefault="009D087F">
      <w:pPr>
        <w:numPr>
          <w:ilvl w:val="0"/>
          <w:numId w:val="2"/>
        </w:numPr>
        <w:spacing w:before="200" w:after="200" w:line="360" w:lineRule="auto"/>
        <w:rPr>
          <w:rFonts w:eastAsia="Times New Roman"/>
          <w:sz w:val="24"/>
          <w:szCs w:val="24"/>
        </w:rPr>
      </w:pPr>
      <w:r>
        <w:rPr>
          <w:rFonts w:eastAsia="Times New Roman"/>
          <w:b/>
          <w:sz w:val="24"/>
          <w:szCs w:val="24"/>
        </w:rPr>
        <w:t>Who</w:t>
      </w:r>
      <w:r>
        <w:rPr>
          <w:rFonts w:eastAsia="Times New Roman"/>
          <w:sz w:val="24"/>
          <w:szCs w:val="24"/>
        </w:rPr>
        <w:t>: Regional managers and corporate leadership.</w:t>
      </w:r>
    </w:p>
    <w:p w14:paraId="3C3CA790" w14:textId="77777777" w:rsidR="00796C69" w:rsidRDefault="009D087F">
      <w:pPr>
        <w:numPr>
          <w:ilvl w:val="0"/>
          <w:numId w:val="2"/>
        </w:numPr>
        <w:spacing w:before="200" w:after="200" w:line="360" w:lineRule="auto"/>
        <w:rPr>
          <w:rFonts w:eastAsia="Times New Roman"/>
          <w:sz w:val="24"/>
          <w:szCs w:val="24"/>
        </w:rPr>
      </w:pPr>
      <w:r>
        <w:rPr>
          <w:rFonts w:eastAsia="Times New Roman"/>
          <w:b/>
          <w:sz w:val="24"/>
          <w:szCs w:val="24"/>
        </w:rPr>
        <w:t>When</w:t>
      </w:r>
      <w:r>
        <w:rPr>
          <w:rFonts w:eastAsia="Times New Roman"/>
          <w:sz w:val="24"/>
          <w:szCs w:val="24"/>
        </w:rPr>
        <w:t>: Over the next 12–18 months.</w:t>
      </w:r>
    </w:p>
    <w:p w14:paraId="7DF52669" w14:textId="77777777" w:rsidR="00796C69" w:rsidRDefault="009D087F">
      <w:pPr>
        <w:numPr>
          <w:ilvl w:val="0"/>
          <w:numId w:val="2"/>
        </w:numPr>
        <w:spacing w:before="200" w:after="200" w:line="360" w:lineRule="auto"/>
        <w:rPr>
          <w:rFonts w:eastAsia="Times New Roman"/>
          <w:sz w:val="24"/>
          <w:szCs w:val="24"/>
        </w:rPr>
      </w:pPr>
      <w:r>
        <w:rPr>
          <w:rFonts w:eastAsia="Times New Roman"/>
          <w:b/>
          <w:sz w:val="24"/>
          <w:szCs w:val="24"/>
        </w:rPr>
        <w:t>Where</w:t>
      </w:r>
      <w:r>
        <w:rPr>
          <w:rFonts w:eastAsia="Times New Roman"/>
          <w:sz w:val="24"/>
          <w:szCs w:val="24"/>
        </w:rPr>
        <w:t>: High-growth markets like Asia-Pacific and the Middle East (Stories from Hilton, 2024).</w:t>
      </w:r>
    </w:p>
    <w:p w14:paraId="40CF87F3" w14:textId="77777777" w:rsidR="00796C69" w:rsidRDefault="009D087F">
      <w:pPr>
        <w:numPr>
          <w:ilvl w:val="0"/>
          <w:numId w:val="2"/>
        </w:numPr>
        <w:spacing w:before="200" w:after="200" w:line="360" w:lineRule="auto"/>
        <w:rPr>
          <w:rFonts w:eastAsia="Times New Roman"/>
          <w:sz w:val="24"/>
          <w:szCs w:val="24"/>
        </w:rPr>
      </w:pPr>
      <w:r>
        <w:rPr>
          <w:rFonts w:eastAsia="Times New Roman"/>
          <w:b/>
          <w:sz w:val="24"/>
          <w:szCs w:val="24"/>
        </w:rPr>
        <w:t>Why</w:t>
      </w:r>
      <w:r>
        <w:rPr>
          <w:rFonts w:eastAsia="Times New Roman"/>
          <w:sz w:val="24"/>
          <w:szCs w:val="24"/>
        </w:rPr>
        <w:t>: A centralised structure cannot adapt very quickly to local market trends.</w:t>
      </w:r>
    </w:p>
    <w:p w14:paraId="749F4E37" w14:textId="77777777" w:rsidR="00796C69" w:rsidRDefault="009D087F">
      <w:pPr>
        <w:numPr>
          <w:ilvl w:val="0"/>
          <w:numId w:val="2"/>
        </w:numPr>
        <w:spacing w:before="200" w:after="200" w:line="360" w:lineRule="auto"/>
        <w:rPr>
          <w:rFonts w:eastAsia="Times New Roman"/>
          <w:sz w:val="24"/>
          <w:szCs w:val="24"/>
        </w:rPr>
      </w:pPr>
      <w:r>
        <w:rPr>
          <w:rFonts w:eastAsia="Times New Roman"/>
          <w:b/>
          <w:sz w:val="24"/>
          <w:szCs w:val="24"/>
        </w:rPr>
        <w:t>How</w:t>
      </w:r>
      <w:r>
        <w:rPr>
          <w:rFonts w:eastAsia="Times New Roman"/>
          <w:sz w:val="24"/>
          <w:szCs w:val="24"/>
        </w:rPr>
        <w:t>: Implement a regional autonomy model similar to the way Marriott localises decision-making.</w:t>
      </w:r>
    </w:p>
    <w:p w14:paraId="1E888520" w14:textId="77777777" w:rsidR="00796C69" w:rsidRDefault="009D087F">
      <w:pPr>
        <w:pStyle w:val="Heading2"/>
        <w:keepNext w:val="0"/>
        <w:keepLines w:val="0"/>
        <w:rPr>
          <w:rFonts w:ascii="Arial" w:hAnsi="Arial" w:cs="Arial"/>
          <w:color w:val="auto"/>
          <w:szCs w:val="24"/>
        </w:rPr>
      </w:pPr>
      <w:bookmarkStart w:id="34" w:name="_6y0weav39els" w:colFirst="0" w:colLast="0"/>
      <w:bookmarkStart w:id="35" w:name="_Toc191375436"/>
      <w:bookmarkEnd w:id="34"/>
      <w:r>
        <w:rPr>
          <w:rFonts w:ascii="Arial" w:hAnsi="Arial" w:cs="Arial"/>
          <w:color w:val="auto"/>
          <w:szCs w:val="24"/>
        </w:rPr>
        <w:t>3.2 Leveraging AI for Personalised Guest Experiences</w:t>
      </w:r>
      <w:bookmarkEnd w:id="35"/>
    </w:p>
    <w:p w14:paraId="7667DABD" w14:textId="77777777" w:rsidR="00796C69" w:rsidRDefault="009D087F">
      <w:pPr>
        <w:numPr>
          <w:ilvl w:val="0"/>
          <w:numId w:val="3"/>
        </w:numPr>
        <w:spacing w:before="200" w:after="200" w:line="360" w:lineRule="auto"/>
        <w:rPr>
          <w:rFonts w:eastAsia="Times New Roman"/>
          <w:sz w:val="24"/>
          <w:szCs w:val="24"/>
        </w:rPr>
      </w:pPr>
      <w:r>
        <w:rPr>
          <w:rFonts w:eastAsia="Times New Roman"/>
          <w:b/>
          <w:sz w:val="24"/>
          <w:szCs w:val="24"/>
        </w:rPr>
        <w:t>Who</w:t>
      </w:r>
      <w:r>
        <w:rPr>
          <w:rFonts w:eastAsia="Times New Roman"/>
          <w:sz w:val="24"/>
          <w:szCs w:val="24"/>
        </w:rPr>
        <w:t>: Hilton’s technology and marketing teams.</w:t>
      </w:r>
    </w:p>
    <w:p w14:paraId="093F74C2" w14:textId="77777777" w:rsidR="00796C69" w:rsidRDefault="009D087F">
      <w:pPr>
        <w:numPr>
          <w:ilvl w:val="0"/>
          <w:numId w:val="3"/>
        </w:numPr>
        <w:spacing w:before="200" w:after="200" w:line="360" w:lineRule="auto"/>
        <w:rPr>
          <w:rFonts w:eastAsia="Times New Roman"/>
          <w:sz w:val="24"/>
          <w:szCs w:val="24"/>
        </w:rPr>
      </w:pPr>
      <w:r>
        <w:rPr>
          <w:rFonts w:eastAsia="Times New Roman"/>
          <w:b/>
          <w:sz w:val="24"/>
          <w:szCs w:val="24"/>
        </w:rPr>
        <w:t>When</w:t>
      </w:r>
      <w:r>
        <w:rPr>
          <w:rFonts w:eastAsia="Times New Roman"/>
          <w:sz w:val="24"/>
          <w:szCs w:val="24"/>
        </w:rPr>
        <w:t>: Gradual rollout over the next 2 years.</w:t>
      </w:r>
    </w:p>
    <w:p w14:paraId="626EDFC3" w14:textId="77777777" w:rsidR="00796C69" w:rsidRDefault="009D087F">
      <w:pPr>
        <w:numPr>
          <w:ilvl w:val="0"/>
          <w:numId w:val="3"/>
        </w:numPr>
        <w:spacing w:before="200" w:after="200" w:line="360" w:lineRule="auto"/>
        <w:rPr>
          <w:rFonts w:eastAsia="Times New Roman"/>
          <w:sz w:val="24"/>
          <w:szCs w:val="24"/>
        </w:rPr>
      </w:pPr>
      <w:r>
        <w:rPr>
          <w:rFonts w:eastAsia="Times New Roman"/>
          <w:b/>
          <w:sz w:val="24"/>
          <w:szCs w:val="24"/>
        </w:rPr>
        <w:t>Where</w:t>
      </w:r>
      <w:r>
        <w:rPr>
          <w:rFonts w:eastAsia="Times New Roman"/>
          <w:sz w:val="24"/>
          <w:szCs w:val="24"/>
        </w:rPr>
        <w:t xml:space="preserve">: Across all Hilton </w:t>
      </w:r>
      <w:proofErr w:type="spellStart"/>
      <w:r>
        <w:rPr>
          <w:rFonts w:eastAsia="Times New Roman"/>
          <w:sz w:val="24"/>
          <w:szCs w:val="24"/>
        </w:rPr>
        <w:t>Honors</w:t>
      </w:r>
      <w:proofErr w:type="spellEnd"/>
      <w:r>
        <w:rPr>
          <w:rFonts w:eastAsia="Times New Roman"/>
          <w:sz w:val="24"/>
          <w:szCs w:val="24"/>
        </w:rPr>
        <w:t xml:space="preserve"> member interactions.</w:t>
      </w:r>
    </w:p>
    <w:p w14:paraId="528B18E6" w14:textId="77777777" w:rsidR="00796C69" w:rsidRDefault="009D087F">
      <w:pPr>
        <w:numPr>
          <w:ilvl w:val="0"/>
          <w:numId w:val="3"/>
        </w:numPr>
        <w:spacing w:before="200" w:after="200" w:line="360" w:lineRule="auto"/>
        <w:rPr>
          <w:rFonts w:eastAsia="Times New Roman"/>
          <w:sz w:val="24"/>
          <w:szCs w:val="24"/>
        </w:rPr>
      </w:pPr>
      <w:r>
        <w:rPr>
          <w:rFonts w:eastAsia="Times New Roman"/>
          <w:b/>
          <w:sz w:val="24"/>
          <w:szCs w:val="24"/>
        </w:rPr>
        <w:t>Why</w:t>
      </w:r>
      <w:r>
        <w:rPr>
          <w:rFonts w:eastAsia="Times New Roman"/>
          <w:sz w:val="24"/>
          <w:szCs w:val="24"/>
        </w:rPr>
        <w:t>: AI-driven personalisation enhances customer loyalty and satisfaction.</w:t>
      </w:r>
    </w:p>
    <w:p w14:paraId="3D472052" w14:textId="77777777" w:rsidR="00796C69" w:rsidRDefault="009D087F">
      <w:pPr>
        <w:numPr>
          <w:ilvl w:val="0"/>
          <w:numId w:val="3"/>
        </w:numPr>
        <w:spacing w:before="200" w:after="200" w:line="360" w:lineRule="auto"/>
        <w:rPr>
          <w:rFonts w:eastAsia="Times New Roman"/>
          <w:sz w:val="24"/>
          <w:szCs w:val="24"/>
        </w:rPr>
      </w:pPr>
      <w:r>
        <w:rPr>
          <w:rFonts w:eastAsia="Times New Roman"/>
          <w:b/>
          <w:sz w:val="24"/>
          <w:szCs w:val="24"/>
        </w:rPr>
        <w:t>How</w:t>
      </w:r>
      <w:r>
        <w:rPr>
          <w:rFonts w:eastAsia="Times New Roman"/>
          <w:sz w:val="24"/>
          <w:szCs w:val="24"/>
        </w:rPr>
        <w:t>: It does not only offer customised room preferences and targeted promotions but uses predictive analytics to do so after Accor’s AI-powered guest insights.</w:t>
      </w:r>
    </w:p>
    <w:p w14:paraId="6CAFD1CA" w14:textId="77777777" w:rsidR="00796C69" w:rsidRDefault="009D087F">
      <w:pPr>
        <w:pStyle w:val="Heading2"/>
        <w:keepNext w:val="0"/>
        <w:keepLines w:val="0"/>
        <w:rPr>
          <w:rFonts w:ascii="Arial" w:hAnsi="Arial" w:cs="Arial"/>
          <w:color w:val="auto"/>
          <w:szCs w:val="24"/>
        </w:rPr>
      </w:pPr>
      <w:bookmarkStart w:id="36" w:name="_xk3mjhwgto1" w:colFirst="0" w:colLast="0"/>
      <w:bookmarkStart w:id="37" w:name="_Toc191375437"/>
      <w:bookmarkEnd w:id="36"/>
      <w:r>
        <w:rPr>
          <w:rFonts w:ascii="Arial" w:hAnsi="Arial" w:cs="Arial"/>
          <w:color w:val="auto"/>
          <w:szCs w:val="24"/>
        </w:rPr>
        <w:t>3.3 Expanding Workforce Development Initiatives</w:t>
      </w:r>
      <w:bookmarkEnd w:id="37"/>
    </w:p>
    <w:p w14:paraId="301010B8" w14:textId="77777777" w:rsidR="00796C69" w:rsidRDefault="009D087F">
      <w:pPr>
        <w:numPr>
          <w:ilvl w:val="0"/>
          <w:numId w:val="4"/>
        </w:numPr>
        <w:spacing w:before="200" w:after="200" w:line="360" w:lineRule="auto"/>
        <w:rPr>
          <w:rFonts w:eastAsia="Times New Roman"/>
          <w:sz w:val="24"/>
          <w:szCs w:val="24"/>
        </w:rPr>
      </w:pPr>
      <w:r>
        <w:rPr>
          <w:rFonts w:eastAsia="Times New Roman"/>
          <w:b/>
          <w:sz w:val="24"/>
          <w:szCs w:val="24"/>
        </w:rPr>
        <w:t>Who</w:t>
      </w:r>
      <w:r>
        <w:rPr>
          <w:rFonts w:eastAsia="Times New Roman"/>
          <w:sz w:val="24"/>
          <w:szCs w:val="24"/>
        </w:rPr>
        <w:t>: HR and training departments.</w:t>
      </w:r>
    </w:p>
    <w:p w14:paraId="735E30B1" w14:textId="77777777" w:rsidR="00796C69" w:rsidRDefault="009D087F">
      <w:pPr>
        <w:numPr>
          <w:ilvl w:val="0"/>
          <w:numId w:val="4"/>
        </w:numPr>
        <w:spacing w:before="200" w:after="200" w:line="360" w:lineRule="auto"/>
        <w:rPr>
          <w:rFonts w:eastAsia="Times New Roman"/>
          <w:sz w:val="24"/>
          <w:szCs w:val="24"/>
        </w:rPr>
      </w:pPr>
      <w:r>
        <w:rPr>
          <w:rFonts w:eastAsia="Times New Roman"/>
          <w:b/>
          <w:sz w:val="24"/>
          <w:szCs w:val="24"/>
        </w:rPr>
        <w:t>When</w:t>
      </w:r>
      <w:r>
        <w:rPr>
          <w:rFonts w:eastAsia="Times New Roman"/>
          <w:sz w:val="24"/>
          <w:szCs w:val="24"/>
        </w:rPr>
        <w:t>: Within 12 months.</w:t>
      </w:r>
    </w:p>
    <w:p w14:paraId="7F7EEBEF" w14:textId="77777777" w:rsidR="00796C69" w:rsidRDefault="009D087F">
      <w:pPr>
        <w:numPr>
          <w:ilvl w:val="0"/>
          <w:numId w:val="4"/>
        </w:numPr>
        <w:spacing w:before="200" w:after="200" w:line="360" w:lineRule="auto"/>
        <w:rPr>
          <w:rFonts w:eastAsia="Times New Roman"/>
          <w:sz w:val="24"/>
          <w:szCs w:val="24"/>
        </w:rPr>
      </w:pPr>
      <w:r>
        <w:rPr>
          <w:rFonts w:eastAsia="Times New Roman"/>
          <w:b/>
          <w:sz w:val="24"/>
          <w:szCs w:val="24"/>
        </w:rPr>
        <w:t>Where</w:t>
      </w:r>
      <w:r>
        <w:rPr>
          <w:rFonts w:eastAsia="Times New Roman"/>
          <w:sz w:val="24"/>
          <w:szCs w:val="24"/>
        </w:rPr>
        <w:t>: Across all Hilton-managed properties.</w:t>
      </w:r>
    </w:p>
    <w:p w14:paraId="432E36C5" w14:textId="77777777" w:rsidR="00796C69" w:rsidRDefault="009D087F">
      <w:pPr>
        <w:numPr>
          <w:ilvl w:val="0"/>
          <w:numId w:val="4"/>
        </w:numPr>
        <w:spacing w:before="200" w:after="200" w:line="360" w:lineRule="auto"/>
        <w:rPr>
          <w:rFonts w:eastAsia="Times New Roman"/>
          <w:sz w:val="24"/>
          <w:szCs w:val="24"/>
        </w:rPr>
      </w:pPr>
      <w:r>
        <w:rPr>
          <w:rFonts w:eastAsia="Times New Roman"/>
          <w:b/>
          <w:sz w:val="24"/>
          <w:szCs w:val="24"/>
        </w:rPr>
        <w:t>Why</w:t>
      </w:r>
      <w:r>
        <w:rPr>
          <w:rFonts w:eastAsia="Times New Roman"/>
          <w:sz w:val="24"/>
          <w:szCs w:val="24"/>
        </w:rPr>
        <w:t>: A well-trained workforce improves service consistency.</w:t>
      </w:r>
    </w:p>
    <w:p w14:paraId="5EF802A6" w14:textId="77777777" w:rsidR="00796C69" w:rsidRDefault="009D087F">
      <w:pPr>
        <w:numPr>
          <w:ilvl w:val="0"/>
          <w:numId w:val="4"/>
        </w:numPr>
        <w:spacing w:before="200" w:after="200" w:line="360" w:lineRule="auto"/>
        <w:rPr>
          <w:rFonts w:eastAsia="Times New Roman"/>
          <w:sz w:val="24"/>
          <w:szCs w:val="24"/>
        </w:rPr>
      </w:pPr>
      <w:r>
        <w:rPr>
          <w:rFonts w:eastAsia="Times New Roman"/>
          <w:b/>
          <w:sz w:val="24"/>
          <w:szCs w:val="24"/>
        </w:rPr>
        <w:t>How</w:t>
      </w:r>
      <w:r>
        <w:rPr>
          <w:rFonts w:eastAsia="Times New Roman"/>
          <w:sz w:val="24"/>
          <w:szCs w:val="24"/>
        </w:rPr>
        <w:t xml:space="preserve">: Introduce </w:t>
      </w:r>
      <w:r>
        <w:rPr>
          <w:rFonts w:eastAsia="Times New Roman"/>
          <w:b/>
          <w:sz w:val="24"/>
          <w:szCs w:val="24"/>
        </w:rPr>
        <w:t>cross-cultural leadership programs</w:t>
      </w:r>
      <w:r>
        <w:rPr>
          <w:rFonts w:eastAsia="Times New Roman"/>
          <w:sz w:val="24"/>
          <w:szCs w:val="24"/>
        </w:rPr>
        <w:t>, similar to IHG’s global development initiatives (InterContinental Hotels Group PLC, 2025b).</w:t>
      </w:r>
    </w:p>
    <w:p w14:paraId="6B8A8766" w14:textId="77777777" w:rsidR="00796C69" w:rsidRDefault="009D087F">
      <w:pPr>
        <w:pStyle w:val="Heading2"/>
        <w:keepNext w:val="0"/>
        <w:keepLines w:val="0"/>
        <w:rPr>
          <w:rFonts w:ascii="Arial" w:hAnsi="Arial" w:cs="Arial"/>
          <w:color w:val="auto"/>
          <w:szCs w:val="24"/>
        </w:rPr>
      </w:pPr>
      <w:bookmarkStart w:id="38" w:name="_vktfbwiw58yj" w:colFirst="0" w:colLast="0"/>
      <w:bookmarkStart w:id="39" w:name="_Toc191375438"/>
      <w:bookmarkEnd w:id="38"/>
      <w:r>
        <w:rPr>
          <w:rFonts w:ascii="Arial" w:hAnsi="Arial" w:cs="Arial"/>
          <w:color w:val="auto"/>
          <w:szCs w:val="24"/>
        </w:rPr>
        <w:t>3.4 Strengthening Sustainability Innovations</w:t>
      </w:r>
      <w:bookmarkEnd w:id="39"/>
    </w:p>
    <w:p w14:paraId="3C793FE1" w14:textId="77777777" w:rsidR="00796C69" w:rsidRDefault="009D087F">
      <w:pPr>
        <w:numPr>
          <w:ilvl w:val="0"/>
          <w:numId w:val="5"/>
        </w:numPr>
        <w:spacing w:before="200" w:after="200" w:line="360" w:lineRule="auto"/>
        <w:rPr>
          <w:rFonts w:eastAsia="Times New Roman"/>
          <w:sz w:val="24"/>
          <w:szCs w:val="24"/>
        </w:rPr>
      </w:pPr>
      <w:r>
        <w:rPr>
          <w:rFonts w:eastAsia="Times New Roman"/>
          <w:b/>
          <w:sz w:val="24"/>
          <w:szCs w:val="24"/>
        </w:rPr>
        <w:t>Who</w:t>
      </w:r>
      <w:r>
        <w:rPr>
          <w:rFonts w:eastAsia="Times New Roman"/>
          <w:sz w:val="24"/>
          <w:szCs w:val="24"/>
        </w:rPr>
        <w:t>: ESG teams and hotel operations.</w:t>
      </w:r>
    </w:p>
    <w:p w14:paraId="12945CE7" w14:textId="77777777" w:rsidR="00796C69" w:rsidRDefault="009D087F">
      <w:pPr>
        <w:numPr>
          <w:ilvl w:val="0"/>
          <w:numId w:val="5"/>
        </w:numPr>
        <w:spacing w:before="200" w:after="200" w:line="360" w:lineRule="auto"/>
        <w:rPr>
          <w:rFonts w:eastAsia="Times New Roman"/>
          <w:sz w:val="24"/>
          <w:szCs w:val="24"/>
        </w:rPr>
      </w:pPr>
      <w:r>
        <w:rPr>
          <w:rFonts w:eastAsia="Times New Roman"/>
          <w:b/>
          <w:sz w:val="24"/>
          <w:szCs w:val="24"/>
        </w:rPr>
        <w:t>When</w:t>
      </w:r>
      <w:r>
        <w:rPr>
          <w:rFonts w:eastAsia="Times New Roman"/>
          <w:sz w:val="24"/>
          <w:szCs w:val="24"/>
        </w:rPr>
        <w:t>: By 2030 in alignment with Hilton’s “Travel with Purpose” goals.</w:t>
      </w:r>
    </w:p>
    <w:p w14:paraId="60BCCC4E" w14:textId="77777777" w:rsidR="00796C69" w:rsidRDefault="009D087F">
      <w:pPr>
        <w:numPr>
          <w:ilvl w:val="0"/>
          <w:numId w:val="5"/>
        </w:numPr>
        <w:spacing w:before="200" w:after="200" w:line="360" w:lineRule="auto"/>
        <w:rPr>
          <w:rFonts w:eastAsia="Times New Roman"/>
          <w:sz w:val="24"/>
          <w:szCs w:val="24"/>
        </w:rPr>
      </w:pPr>
      <w:r>
        <w:rPr>
          <w:rFonts w:eastAsia="Times New Roman"/>
          <w:b/>
          <w:sz w:val="24"/>
          <w:szCs w:val="24"/>
        </w:rPr>
        <w:t>Where</w:t>
      </w:r>
      <w:r>
        <w:rPr>
          <w:rFonts w:eastAsia="Times New Roman"/>
          <w:sz w:val="24"/>
          <w:szCs w:val="24"/>
        </w:rPr>
        <w:t>: Energy-intensive markets.</w:t>
      </w:r>
    </w:p>
    <w:p w14:paraId="45F6A3A1" w14:textId="77777777" w:rsidR="00796C69" w:rsidRDefault="009D087F">
      <w:pPr>
        <w:numPr>
          <w:ilvl w:val="0"/>
          <w:numId w:val="5"/>
        </w:numPr>
        <w:spacing w:before="200" w:after="200" w:line="360" w:lineRule="auto"/>
        <w:rPr>
          <w:rFonts w:eastAsia="Times New Roman"/>
          <w:sz w:val="24"/>
          <w:szCs w:val="24"/>
        </w:rPr>
      </w:pPr>
      <w:r>
        <w:rPr>
          <w:rFonts w:eastAsia="Times New Roman"/>
          <w:b/>
          <w:sz w:val="24"/>
          <w:szCs w:val="24"/>
        </w:rPr>
        <w:t>Why</w:t>
      </w:r>
      <w:r>
        <w:rPr>
          <w:rFonts w:eastAsia="Times New Roman"/>
          <w:sz w:val="24"/>
          <w:szCs w:val="24"/>
        </w:rPr>
        <w:t>: Strengthening sustainability commitments differentiates Hilton in a competitive market.</w:t>
      </w:r>
    </w:p>
    <w:p w14:paraId="21F0226B" w14:textId="77777777" w:rsidR="00796C69" w:rsidRDefault="009D087F">
      <w:pPr>
        <w:numPr>
          <w:ilvl w:val="0"/>
          <w:numId w:val="5"/>
        </w:numPr>
        <w:spacing w:before="200" w:after="200" w:line="360" w:lineRule="auto"/>
        <w:rPr>
          <w:rFonts w:eastAsia="Times New Roman"/>
          <w:sz w:val="24"/>
          <w:szCs w:val="24"/>
        </w:rPr>
      </w:pPr>
      <w:r>
        <w:rPr>
          <w:rFonts w:eastAsia="Times New Roman"/>
          <w:b/>
          <w:sz w:val="24"/>
          <w:szCs w:val="24"/>
        </w:rPr>
        <w:t>How</w:t>
      </w:r>
      <w:r>
        <w:rPr>
          <w:rFonts w:eastAsia="Times New Roman"/>
          <w:sz w:val="24"/>
          <w:szCs w:val="24"/>
        </w:rPr>
        <w:t>: Take on waste-to-energy initiatives and improve partnerships with local sustainable suppliers who follow Hyatt’s best practices in environmental efforts.</w:t>
      </w:r>
    </w:p>
    <w:p w14:paraId="14652EED" w14:textId="77777777" w:rsidR="00796C69" w:rsidRDefault="009D087F">
      <w:pPr>
        <w:spacing w:before="200" w:after="200" w:line="360" w:lineRule="auto"/>
        <w:jc w:val="both"/>
        <w:rPr>
          <w:rFonts w:eastAsia="Times New Roman"/>
          <w:sz w:val="24"/>
          <w:szCs w:val="24"/>
        </w:rPr>
      </w:pPr>
      <w:r>
        <w:rPr>
          <w:rFonts w:eastAsia="Times New Roman"/>
          <w:sz w:val="24"/>
          <w:szCs w:val="24"/>
        </w:rPr>
        <w:t>Adopting these recommendations, Hilton will be able to achieve market adaptability, guest loyalty, workforce excellence and sustainability leadership to gain a competitive edge in the global hospitality industry.</w:t>
      </w:r>
    </w:p>
    <w:p w14:paraId="08C5FB97" w14:textId="77777777" w:rsidR="00796C69" w:rsidRDefault="00796C69">
      <w:pPr>
        <w:spacing w:before="200" w:after="200" w:line="360" w:lineRule="auto"/>
        <w:jc w:val="both"/>
        <w:rPr>
          <w:rFonts w:eastAsia="Times New Roman"/>
          <w:sz w:val="24"/>
          <w:szCs w:val="24"/>
        </w:rPr>
      </w:pPr>
    </w:p>
    <w:p w14:paraId="2E5179E4" w14:textId="77777777" w:rsidR="00796C69" w:rsidRDefault="00796C69">
      <w:pPr>
        <w:spacing w:before="200" w:line="360" w:lineRule="auto"/>
        <w:jc w:val="both"/>
        <w:rPr>
          <w:rFonts w:eastAsia="Times New Roman"/>
          <w:sz w:val="24"/>
          <w:szCs w:val="24"/>
        </w:rPr>
      </w:pPr>
    </w:p>
    <w:p w14:paraId="06BDF5DA" w14:textId="77777777" w:rsidR="00796C69" w:rsidRDefault="00796C69">
      <w:pPr>
        <w:spacing w:before="200" w:after="200" w:line="360" w:lineRule="auto"/>
        <w:jc w:val="both"/>
        <w:rPr>
          <w:rFonts w:eastAsia="Times New Roman"/>
          <w:sz w:val="24"/>
          <w:szCs w:val="24"/>
        </w:rPr>
      </w:pPr>
    </w:p>
    <w:p w14:paraId="408D4D64" w14:textId="77777777" w:rsidR="00796C69" w:rsidRDefault="009D087F">
      <w:pPr>
        <w:spacing w:before="200" w:after="200" w:line="360" w:lineRule="auto"/>
        <w:jc w:val="both"/>
        <w:rPr>
          <w:rFonts w:eastAsia="Times New Roman"/>
          <w:sz w:val="24"/>
          <w:szCs w:val="24"/>
        </w:rPr>
      </w:pPr>
      <w:r>
        <w:br w:type="page"/>
      </w:r>
    </w:p>
    <w:p w14:paraId="07DEBAB7" w14:textId="77777777" w:rsidR="00796C69" w:rsidRDefault="009D087F">
      <w:pPr>
        <w:pStyle w:val="Heading1"/>
        <w:spacing w:before="200" w:after="200"/>
        <w:rPr>
          <w:rFonts w:cs="Arial"/>
          <w:sz w:val="24"/>
        </w:rPr>
      </w:pPr>
      <w:bookmarkStart w:id="40" w:name="_vwwl3iu14759" w:colFirst="0" w:colLast="0"/>
      <w:bookmarkStart w:id="41" w:name="_Toc191375439"/>
      <w:bookmarkEnd w:id="40"/>
      <w:r>
        <w:rPr>
          <w:rFonts w:cs="Arial"/>
        </w:rPr>
        <w:t>Reference</w:t>
      </w:r>
      <w:bookmarkEnd w:id="41"/>
    </w:p>
    <w:p w14:paraId="06ADB99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Accor.com. (2025) 'From Stays to A Holistic Ecosystem: When Loyalty Meets Digital to Elevate Client Relationships', </w:t>
      </w:r>
      <w:r>
        <w:rPr>
          <w:rFonts w:eastAsia="Times New Roman"/>
          <w:i/>
          <w:iCs/>
          <w:sz w:val="24"/>
          <w:szCs w:val="24"/>
        </w:rPr>
        <w:t>Accor Group News</w:t>
      </w:r>
      <w:r>
        <w:rPr>
          <w:rFonts w:eastAsia="Times New Roman"/>
          <w:sz w:val="24"/>
          <w:szCs w:val="24"/>
        </w:rPr>
        <w:t xml:space="preserve">. Available at: </w:t>
      </w:r>
      <w:hyperlink r:id="rId13" w:history="1">
        <w:r w:rsidR="00796C69">
          <w:rPr>
            <w:rStyle w:val="Hyperlink"/>
            <w:rFonts w:eastAsia="Times New Roman"/>
            <w:sz w:val="24"/>
            <w:szCs w:val="24"/>
          </w:rPr>
          <w:t>https://group.accor.com/en/Actualites/2024/11/all-digital-ecosystem-offers</w:t>
        </w:r>
      </w:hyperlink>
      <w:r>
        <w:rPr>
          <w:rFonts w:eastAsia="Times New Roman"/>
          <w:sz w:val="24"/>
          <w:szCs w:val="24"/>
        </w:rPr>
        <w:t xml:space="preserve"> (Accessed: 24 February 2025).</w:t>
      </w:r>
    </w:p>
    <w:p w14:paraId="51B6087C"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Armstrong, M. (2021) </w:t>
      </w:r>
      <w:r>
        <w:rPr>
          <w:rFonts w:eastAsia="Times New Roman"/>
          <w:i/>
          <w:iCs/>
          <w:sz w:val="24"/>
          <w:szCs w:val="24"/>
        </w:rPr>
        <w:t>Armstrong’s Handbook of Performance Management</w:t>
      </w:r>
      <w:r>
        <w:rPr>
          <w:rFonts w:eastAsia="Times New Roman"/>
          <w:sz w:val="24"/>
          <w:szCs w:val="24"/>
        </w:rPr>
        <w:t xml:space="preserve">. 7th </w:t>
      </w:r>
      <w:proofErr w:type="spellStart"/>
      <w:r>
        <w:rPr>
          <w:rFonts w:eastAsia="Times New Roman"/>
          <w:sz w:val="24"/>
          <w:szCs w:val="24"/>
        </w:rPr>
        <w:t>edn</w:t>
      </w:r>
      <w:proofErr w:type="spellEnd"/>
      <w:r>
        <w:rPr>
          <w:rFonts w:eastAsia="Times New Roman"/>
          <w:sz w:val="24"/>
          <w:szCs w:val="24"/>
        </w:rPr>
        <w:t>. London: Kogan Page.</w:t>
      </w:r>
    </w:p>
    <w:p w14:paraId="4F705816" w14:textId="77777777" w:rsidR="00796C69" w:rsidRDefault="009D087F">
      <w:pPr>
        <w:spacing w:before="200" w:after="200" w:line="360" w:lineRule="auto"/>
        <w:jc w:val="both"/>
        <w:rPr>
          <w:rFonts w:eastAsia="Times New Roman"/>
          <w:sz w:val="24"/>
          <w:szCs w:val="24"/>
        </w:rPr>
      </w:pPr>
      <w:proofErr w:type="spellStart"/>
      <w:r>
        <w:rPr>
          <w:rFonts w:eastAsia="Times New Roman"/>
          <w:sz w:val="24"/>
          <w:szCs w:val="24"/>
        </w:rPr>
        <w:t>Bhasin</w:t>
      </w:r>
      <w:proofErr w:type="spellEnd"/>
      <w:r>
        <w:rPr>
          <w:rFonts w:eastAsia="Times New Roman"/>
          <w:sz w:val="24"/>
          <w:szCs w:val="24"/>
        </w:rPr>
        <w:t xml:space="preserve">, H. (2024) 'Top 14 Hilton Alternatives &amp; Competitors in 2025', </w:t>
      </w:r>
      <w:r>
        <w:rPr>
          <w:rFonts w:eastAsia="Times New Roman"/>
          <w:i/>
          <w:iCs/>
          <w:sz w:val="24"/>
          <w:szCs w:val="24"/>
        </w:rPr>
        <w:t>Marketing91</w:t>
      </w:r>
      <w:r>
        <w:rPr>
          <w:rFonts w:eastAsia="Times New Roman"/>
          <w:sz w:val="24"/>
          <w:szCs w:val="24"/>
        </w:rPr>
        <w:t xml:space="preserve">. Available at: </w:t>
      </w:r>
      <w:hyperlink r:id="rId14" w:history="1">
        <w:r w:rsidR="00796C69">
          <w:rPr>
            <w:rStyle w:val="Hyperlink"/>
            <w:rFonts w:eastAsia="Times New Roman"/>
            <w:sz w:val="24"/>
            <w:szCs w:val="24"/>
          </w:rPr>
          <w:t>https://www.marketing91.com/top-hilton-competitors-across-the-world/</w:t>
        </w:r>
      </w:hyperlink>
      <w:r>
        <w:rPr>
          <w:rFonts w:eastAsia="Times New Roman"/>
          <w:sz w:val="24"/>
          <w:szCs w:val="24"/>
        </w:rPr>
        <w:t xml:space="preserve"> (Accessed: 24 February 2025).</w:t>
      </w:r>
    </w:p>
    <w:p w14:paraId="23F01212" w14:textId="77777777" w:rsidR="00796C69" w:rsidRDefault="009D087F">
      <w:pPr>
        <w:spacing w:before="200" w:after="200" w:line="360" w:lineRule="auto"/>
        <w:jc w:val="both"/>
        <w:rPr>
          <w:rFonts w:eastAsia="Times New Roman"/>
          <w:sz w:val="24"/>
          <w:szCs w:val="24"/>
        </w:rPr>
      </w:pPr>
      <w:proofErr w:type="spellStart"/>
      <w:r>
        <w:rPr>
          <w:rFonts w:eastAsia="Times New Roman"/>
          <w:sz w:val="24"/>
          <w:szCs w:val="24"/>
        </w:rPr>
        <w:t>Boddy</w:t>
      </w:r>
      <w:proofErr w:type="spellEnd"/>
      <w:r>
        <w:rPr>
          <w:rFonts w:eastAsia="Times New Roman"/>
          <w:sz w:val="24"/>
          <w:szCs w:val="24"/>
        </w:rPr>
        <w:t xml:space="preserve">, D. (2017) </w:t>
      </w:r>
      <w:r>
        <w:rPr>
          <w:rFonts w:eastAsia="Times New Roman"/>
          <w:i/>
          <w:iCs/>
          <w:sz w:val="24"/>
          <w:szCs w:val="24"/>
        </w:rPr>
        <w:t>Management: An Introduction</w:t>
      </w:r>
      <w:r>
        <w:rPr>
          <w:rFonts w:eastAsia="Times New Roman"/>
          <w:sz w:val="24"/>
          <w:szCs w:val="24"/>
        </w:rPr>
        <w:t xml:space="preserve">. 7th </w:t>
      </w:r>
      <w:proofErr w:type="spellStart"/>
      <w:r>
        <w:rPr>
          <w:rFonts w:eastAsia="Times New Roman"/>
          <w:sz w:val="24"/>
          <w:szCs w:val="24"/>
        </w:rPr>
        <w:t>edn</w:t>
      </w:r>
      <w:proofErr w:type="spellEnd"/>
      <w:r>
        <w:rPr>
          <w:rFonts w:eastAsia="Times New Roman"/>
          <w:sz w:val="24"/>
          <w:szCs w:val="24"/>
        </w:rPr>
        <w:t>. Harlow: Pearson.</w:t>
      </w:r>
    </w:p>
    <w:p w14:paraId="4BF1FA5B" w14:textId="77777777" w:rsidR="00796C69" w:rsidRDefault="009D087F">
      <w:pPr>
        <w:spacing w:before="200" w:after="200" w:line="360" w:lineRule="auto"/>
        <w:jc w:val="both"/>
        <w:rPr>
          <w:rFonts w:eastAsia="Times New Roman"/>
          <w:sz w:val="24"/>
          <w:szCs w:val="24"/>
        </w:rPr>
      </w:pPr>
      <w:proofErr w:type="spellStart"/>
      <w:r>
        <w:rPr>
          <w:rFonts w:eastAsia="Times New Roman"/>
          <w:sz w:val="24"/>
          <w:szCs w:val="24"/>
        </w:rPr>
        <w:t>Ertuna</w:t>
      </w:r>
      <w:proofErr w:type="spellEnd"/>
      <w:r>
        <w:rPr>
          <w:rFonts w:eastAsia="Times New Roman"/>
          <w:sz w:val="24"/>
          <w:szCs w:val="24"/>
        </w:rPr>
        <w:t xml:space="preserve">, B., Gu, H. and </w:t>
      </w:r>
      <w:proofErr w:type="spellStart"/>
      <w:r>
        <w:rPr>
          <w:rFonts w:eastAsia="Times New Roman"/>
          <w:sz w:val="24"/>
          <w:szCs w:val="24"/>
        </w:rPr>
        <w:t>Yu</w:t>
      </w:r>
      <w:proofErr w:type="spellEnd"/>
      <w:r>
        <w:rPr>
          <w:rFonts w:eastAsia="Times New Roman"/>
          <w:sz w:val="24"/>
          <w:szCs w:val="24"/>
        </w:rPr>
        <w:t xml:space="preserve">, L. (2022) '“A thread connects all beads”: Aligning global CSR strategy by hotel MNCs', </w:t>
      </w:r>
      <w:r>
        <w:rPr>
          <w:rFonts w:eastAsia="Times New Roman"/>
          <w:i/>
          <w:iCs/>
          <w:sz w:val="24"/>
          <w:szCs w:val="24"/>
        </w:rPr>
        <w:t>Tourism Management</w:t>
      </w:r>
      <w:r>
        <w:rPr>
          <w:rFonts w:eastAsia="Times New Roman"/>
          <w:sz w:val="24"/>
          <w:szCs w:val="24"/>
        </w:rPr>
        <w:t>, 91, p.104520.</w:t>
      </w:r>
    </w:p>
    <w:p w14:paraId="1D1E4948"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Gay, W. (2016) '4 Things Companies Can Learn From Hilton’s Award-Winning Culture', </w:t>
      </w:r>
      <w:r>
        <w:rPr>
          <w:rFonts w:eastAsia="Times New Roman"/>
          <w:i/>
          <w:iCs/>
          <w:sz w:val="24"/>
          <w:szCs w:val="24"/>
        </w:rPr>
        <w:t>Forbes</w:t>
      </w:r>
      <w:r>
        <w:rPr>
          <w:rFonts w:eastAsia="Times New Roman"/>
          <w:sz w:val="24"/>
          <w:szCs w:val="24"/>
        </w:rPr>
        <w:t xml:space="preserve">. Available at: </w:t>
      </w:r>
      <w:hyperlink r:id="rId15" w:history="1">
        <w:r w:rsidR="00796C69">
          <w:rPr>
            <w:rStyle w:val="Hyperlink"/>
            <w:rFonts w:eastAsia="Times New Roman"/>
            <w:sz w:val="24"/>
            <w:szCs w:val="24"/>
          </w:rPr>
          <w:t>https://www.forbes.com/sites/wesgay/2016/12/31/4-things-companies-can-learn-from-hiltons-award-winning-culture/</w:t>
        </w:r>
      </w:hyperlink>
      <w:r>
        <w:rPr>
          <w:rFonts w:eastAsia="Times New Roman"/>
          <w:sz w:val="24"/>
          <w:szCs w:val="24"/>
        </w:rPr>
        <w:t xml:space="preserve"> (Accessed: 24 February 2025).</w:t>
      </w:r>
    </w:p>
    <w:p w14:paraId="2DEE08ED"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 ESG. (2024a) 'Our Progress | Travel with Purpose | Hilton ESG'. Available at: </w:t>
      </w:r>
      <w:hyperlink r:id="rId16" w:history="1">
        <w:r w:rsidR="00796C69">
          <w:rPr>
            <w:rStyle w:val="Hyperlink"/>
            <w:rFonts w:eastAsia="Times New Roman"/>
            <w:sz w:val="24"/>
            <w:szCs w:val="24"/>
          </w:rPr>
          <w:t>https://esg.hilton.com/our-progress/</w:t>
        </w:r>
      </w:hyperlink>
      <w:r>
        <w:rPr>
          <w:rFonts w:eastAsia="Times New Roman"/>
          <w:sz w:val="24"/>
          <w:szCs w:val="24"/>
        </w:rPr>
        <w:t xml:space="preserve"> (Accessed: 24 February 2025).</w:t>
      </w:r>
    </w:p>
    <w:p w14:paraId="1FD947A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 ESG. (2024b) 'Travel with Purpose | Environmental, Social and Governance at Hilton'. Available at: </w:t>
      </w:r>
      <w:hyperlink r:id="rId17" w:history="1">
        <w:r w:rsidR="00796C69">
          <w:rPr>
            <w:rStyle w:val="Hyperlink"/>
            <w:rFonts w:eastAsia="Times New Roman"/>
            <w:sz w:val="24"/>
            <w:szCs w:val="24"/>
          </w:rPr>
          <w:t>https://esg.hilton.com/</w:t>
        </w:r>
      </w:hyperlink>
      <w:r>
        <w:rPr>
          <w:rFonts w:eastAsia="Times New Roman"/>
          <w:sz w:val="24"/>
          <w:szCs w:val="24"/>
        </w:rPr>
        <w:t xml:space="preserve"> (Accessed: 24 February 2025).</w:t>
      </w:r>
    </w:p>
    <w:p w14:paraId="6D9EF6E2"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 ESG. (2025) 'Our Approach to ESG | Travel with Purpose | Hilton ESG'. Available at: </w:t>
      </w:r>
      <w:hyperlink r:id="rId18" w:history="1">
        <w:r w:rsidR="00796C69">
          <w:rPr>
            <w:rStyle w:val="Hyperlink"/>
            <w:rFonts w:eastAsia="Times New Roman"/>
            <w:sz w:val="24"/>
            <w:szCs w:val="24"/>
          </w:rPr>
          <w:t>https://esg.hilton.com/our-approach/</w:t>
        </w:r>
      </w:hyperlink>
      <w:r>
        <w:rPr>
          <w:rFonts w:eastAsia="Times New Roman"/>
          <w:sz w:val="24"/>
          <w:szCs w:val="24"/>
        </w:rPr>
        <w:t xml:space="preserve"> (Accessed: 24 February 2025).</w:t>
      </w:r>
    </w:p>
    <w:p w14:paraId="067229CD"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Hilton.com. (2023) 'Learn more about Hilton Culture'. Available at: </w:t>
      </w:r>
      <w:hyperlink r:id="rId19" w:history="1">
        <w:r w:rsidR="00796C69">
          <w:rPr>
            <w:rStyle w:val="Hyperlink"/>
            <w:rFonts w:eastAsia="Times New Roman"/>
            <w:sz w:val="24"/>
            <w:szCs w:val="24"/>
          </w:rPr>
          <w:t>https://jobs.hilton.com/us/en/culture</w:t>
        </w:r>
      </w:hyperlink>
      <w:r>
        <w:rPr>
          <w:rFonts w:eastAsia="Times New Roman"/>
          <w:sz w:val="24"/>
          <w:szCs w:val="24"/>
        </w:rPr>
        <w:t xml:space="preserve"> (Accessed: 24 February 2025).</w:t>
      </w:r>
    </w:p>
    <w:p w14:paraId="64BA4DF3" w14:textId="77777777" w:rsidR="00796C69" w:rsidRDefault="009D087F">
      <w:pPr>
        <w:spacing w:before="200" w:after="200" w:line="360" w:lineRule="auto"/>
        <w:jc w:val="both"/>
        <w:rPr>
          <w:rFonts w:eastAsia="Times New Roman"/>
          <w:sz w:val="24"/>
          <w:szCs w:val="24"/>
        </w:rPr>
      </w:pPr>
      <w:proofErr w:type="spellStart"/>
      <w:r>
        <w:rPr>
          <w:rFonts w:eastAsia="Times New Roman"/>
          <w:sz w:val="24"/>
          <w:szCs w:val="24"/>
        </w:rPr>
        <w:t>Huczynski</w:t>
      </w:r>
      <w:proofErr w:type="spellEnd"/>
      <w:r>
        <w:rPr>
          <w:rFonts w:eastAsia="Times New Roman"/>
          <w:sz w:val="24"/>
          <w:szCs w:val="24"/>
        </w:rPr>
        <w:t xml:space="preserve">, A. and Buchanan, D. (2019) </w:t>
      </w:r>
      <w:r>
        <w:rPr>
          <w:rFonts w:eastAsia="Times New Roman"/>
          <w:i/>
          <w:iCs/>
          <w:sz w:val="24"/>
          <w:szCs w:val="24"/>
        </w:rPr>
        <w:t>Organisational Behaviour</w:t>
      </w:r>
      <w:r>
        <w:rPr>
          <w:rFonts w:eastAsia="Times New Roman"/>
          <w:sz w:val="24"/>
          <w:szCs w:val="24"/>
        </w:rPr>
        <w:t xml:space="preserve">. 10th </w:t>
      </w:r>
      <w:proofErr w:type="spellStart"/>
      <w:r>
        <w:rPr>
          <w:rFonts w:eastAsia="Times New Roman"/>
          <w:sz w:val="24"/>
          <w:szCs w:val="24"/>
        </w:rPr>
        <w:t>edn</w:t>
      </w:r>
      <w:proofErr w:type="spellEnd"/>
      <w:r>
        <w:rPr>
          <w:rFonts w:eastAsia="Times New Roman"/>
          <w:sz w:val="24"/>
          <w:szCs w:val="24"/>
        </w:rPr>
        <w:t>. Harlow: Pearson.</w:t>
      </w:r>
    </w:p>
    <w:p w14:paraId="5A4D511F"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InterContinental Hotels Group PLC. (2025a) 'Carbon and Energy'. Available at: </w:t>
      </w:r>
      <w:hyperlink r:id="rId20" w:history="1">
        <w:r w:rsidR="00796C69">
          <w:rPr>
            <w:rStyle w:val="Hyperlink"/>
            <w:rFonts w:eastAsia="Times New Roman"/>
            <w:sz w:val="24"/>
            <w:szCs w:val="24"/>
          </w:rPr>
          <w:t>https://www.ihgplc.com/en/responsible-business/carbon-and-energy</w:t>
        </w:r>
      </w:hyperlink>
      <w:r>
        <w:rPr>
          <w:rFonts w:eastAsia="Times New Roman"/>
          <w:sz w:val="24"/>
          <w:szCs w:val="24"/>
        </w:rPr>
        <w:t xml:space="preserve"> (Accessed: 24 February 2025).</w:t>
      </w:r>
    </w:p>
    <w:p w14:paraId="632DF70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InterContinental Hotels Group PLC. (2025b) 'IHG Continues to Consolidate Leading Position by Strategically Fostering Market Growth'. Available at: </w:t>
      </w:r>
      <w:hyperlink r:id="rId21" w:history="1">
        <w:r w:rsidR="00796C69">
          <w:rPr>
            <w:rStyle w:val="Hyperlink"/>
            <w:rFonts w:eastAsia="Times New Roman"/>
            <w:sz w:val="24"/>
            <w:szCs w:val="24"/>
          </w:rPr>
          <w:t>https://www.ihgplc.com/en/news-and-media/news-releases/2024/ihg-continues-to-consolidate-leading-position-by-strategically-fostering-market-growth</w:t>
        </w:r>
      </w:hyperlink>
      <w:r>
        <w:rPr>
          <w:rFonts w:eastAsia="Times New Roman"/>
          <w:sz w:val="24"/>
          <w:szCs w:val="24"/>
        </w:rPr>
        <w:t xml:space="preserve"> (Accessed: 24 February 2025).</w:t>
      </w:r>
    </w:p>
    <w:p w14:paraId="756B203C"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Karim, R., </w:t>
      </w:r>
      <w:proofErr w:type="spellStart"/>
      <w:r>
        <w:rPr>
          <w:rFonts w:eastAsia="Times New Roman"/>
          <w:sz w:val="24"/>
          <w:szCs w:val="24"/>
        </w:rPr>
        <w:t>Latip</w:t>
      </w:r>
      <w:proofErr w:type="spellEnd"/>
      <w:r>
        <w:rPr>
          <w:rFonts w:eastAsia="Times New Roman"/>
          <w:sz w:val="24"/>
          <w:szCs w:val="24"/>
        </w:rPr>
        <w:t xml:space="preserve">, N.A., </w:t>
      </w:r>
      <w:proofErr w:type="spellStart"/>
      <w:r>
        <w:rPr>
          <w:rFonts w:eastAsia="Times New Roman"/>
          <w:sz w:val="24"/>
          <w:szCs w:val="24"/>
        </w:rPr>
        <w:t>Marsuki</w:t>
      </w:r>
      <w:proofErr w:type="spellEnd"/>
      <w:r>
        <w:rPr>
          <w:rFonts w:eastAsia="Times New Roman"/>
          <w:sz w:val="24"/>
          <w:szCs w:val="24"/>
        </w:rPr>
        <w:t xml:space="preserve">, A., Haider, S., </w:t>
      </w:r>
      <w:proofErr w:type="spellStart"/>
      <w:r>
        <w:rPr>
          <w:rFonts w:eastAsia="Times New Roman"/>
          <w:sz w:val="24"/>
          <w:szCs w:val="24"/>
        </w:rPr>
        <w:t>Nelofar</w:t>
      </w:r>
      <w:proofErr w:type="spellEnd"/>
      <w:r>
        <w:rPr>
          <w:rFonts w:eastAsia="Times New Roman"/>
          <w:sz w:val="24"/>
          <w:szCs w:val="24"/>
        </w:rPr>
        <w:t xml:space="preserve">, M. and Muhammad, F. (2021) 'The impact of 4ps marketing mix in tourism development in the mountain areas: A case study', </w:t>
      </w:r>
      <w:r>
        <w:rPr>
          <w:rFonts w:eastAsia="Times New Roman"/>
          <w:i/>
          <w:iCs/>
          <w:sz w:val="24"/>
          <w:szCs w:val="24"/>
        </w:rPr>
        <w:t>International Journal of Economics and Business Administration</w:t>
      </w:r>
      <w:r>
        <w:rPr>
          <w:rFonts w:eastAsia="Times New Roman"/>
          <w:sz w:val="24"/>
          <w:szCs w:val="24"/>
        </w:rPr>
        <w:t>, 9(2), pp.231-245.</w:t>
      </w:r>
    </w:p>
    <w:p w14:paraId="29C08354"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Lima, S.D. (2023) 'Hilton’s Path to Post-Pandemic Prosperity: The Distinctive Strategy of the Hotel Giant'. Master's thesis. </w:t>
      </w:r>
      <w:proofErr w:type="spellStart"/>
      <w:r>
        <w:rPr>
          <w:rFonts w:eastAsia="Times New Roman"/>
          <w:sz w:val="24"/>
          <w:szCs w:val="24"/>
        </w:rPr>
        <w:t>Universidade</w:t>
      </w:r>
      <w:proofErr w:type="spellEnd"/>
      <w:r>
        <w:rPr>
          <w:rFonts w:eastAsia="Times New Roman"/>
          <w:sz w:val="24"/>
          <w:szCs w:val="24"/>
        </w:rPr>
        <w:t xml:space="preserve"> NOVA de Lisboa (Portugal).</w:t>
      </w:r>
    </w:p>
    <w:p w14:paraId="597AE5C9"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Manchester, V. (2025) 'Hampton by Hilton Manchester Northern: Leading the Way in Sustainable Hospitality', </w:t>
      </w:r>
      <w:r>
        <w:rPr>
          <w:rFonts w:eastAsia="Times New Roman"/>
          <w:i/>
          <w:iCs/>
          <w:sz w:val="24"/>
          <w:szCs w:val="24"/>
        </w:rPr>
        <w:t>Visit Manchester</w:t>
      </w:r>
      <w:r>
        <w:rPr>
          <w:rFonts w:eastAsia="Times New Roman"/>
          <w:sz w:val="24"/>
          <w:szCs w:val="24"/>
        </w:rPr>
        <w:t xml:space="preserve">. Available at: </w:t>
      </w:r>
      <w:hyperlink r:id="rId22" w:history="1">
        <w:r w:rsidR="00796C69">
          <w:rPr>
            <w:rStyle w:val="Hyperlink"/>
            <w:rFonts w:eastAsia="Times New Roman"/>
            <w:sz w:val="24"/>
            <w:szCs w:val="24"/>
          </w:rPr>
          <w:t>https://www.visitmanchester.com/ideas-and-inspiration/blog/post/hampton-by-hilton-manchester-northern-leading-the-way-in-sustainable-hospitality/</w:t>
        </w:r>
      </w:hyperlink>
      <w:r>
        <w:rPr>
          <w:rFonts w:eastAsia="Times New Roman"/>
          <w:sz w:val="24"/>
          <w:szCs w:val="24"/>
        </w:rPr>
        <w:t xml:space="preserve"> (Accessed: 24 February 2025).</w:t>
      </w:r>
    </w:p>
    <w:p w14:paraId="5ACE39AB"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Marriott (2025) 'Marriott International Announces Expanded Wellbeing Certification Program'. Available at: </w:t>
      </w:r>
      <w:hyperlink r:id="rId23" w:history="1">
        <w:r w:rsidR="00796C69">
          <w:rPr>
            <w:rStyle w:val="Hyperlink"/>
            <w:rFonts w:eastAsia="Times New Roman"/>
            <w:sz w:val="24"/>
            <w:szCs w:val="24"/>
          </w:rPr>
          <w:t>https://news.marriott.com/news/2019/09/18/marriott-international-announces-expanded-wellbeing-certification-program</w:t>
        </w:r>
      </w:hyperlink>
      <w:r>
        <w:rPr>
          <w:rFonts w:eastAsia="Times New Roman"/>
          <w:sz w:val="24"/>
          <w:szCs w:val="24"/>
        </w:rPr>
        <w:t xml:space="preserve"> (Accessed: 24 February 2025).</w:t>
      </w:r>
    </w:p>
    <w:p w14:paraId="3487334F"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Mullins, L. and Dosser, P. (2013) </w:t>
      </w:r>
      <w:r>
        <w:rPr>
          <w:rFonts w:eastAsia="Times New Roman"/>
          <w:i/>
          <w:iCs/>
          <w:sz w:val="24"/>
          <w:szCs w:val="24"/>
        </w:rPr>
        <w:t>Hospitality Management and Organisational Behaviour</w:t>
      </w:r>
      <w:r>
        <w:rPr>
          <w:rFonts w:eastAsia="Times New Roman"/>
          <w:sz w:val="24"/>
          <w:szCs w:val="24"/>
        </w:rPr>
        <w:t xml:space="preserve">. 5th </w:t>
      </w:r>
      <w:proofErr w:type="spellStart"/>
      <w:r>
        <w:rPr>
          <w:rFonts w:eastAsia="Times New Roman"/>
          <w:sz w:val="24"/>
          <w:szCs w:val="24"/>
        </w:rPr>
        <w:t>edn</w:t>
      </w:r>
      <w:proofErr w:type="spellEnd"/>
      <w:r>
        <w:rPr>
          <w:rFonts w:eastAsia="Times New Roman"/>
          <w:sz w:val="24"/>
          <w:szCs w:val="24"/>
        </w:rPr>
        <w:t>. Harlow: Pearson.</w:t>
      </w:r>
    </w:p>
    <w:p w14:paraId="41C81D8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Mullins, L. (2019) </w:t>
      </w:r>
      <w:r>
        <w:rPr>
          <w:rFonts w:eastAsia="Times New Roman"/>
          <w:i/>
          <w:iCs/>
          <w:sz w:val="24"/>
          <w:szCs w:val="24"/>
        </w:rPr>
        <w:t>Organisational Behaviour in the Workplace</w:t>
      </w:r>
      <w:r>
        <w:rPr>
          <w:rFonts w:eastAsia="Times New Roman"/>
          <w:sz w:val="24"/>
          <w:szCs w:val="24"/>
        </w:rPr>
        <w:t xml:space="preserve">. 12th </w:t>
      </w:r>
      <w:proofErr w:type="spellStart"/>
      <w:r>
        <w:rPr>
          <w:rFonts w:eastAsia="Times New Roman"/>
          <w:sz w:val="24"/>
          <w:szCs w:val="24"/>
        </w:rPr>
        <w:t>edn</w:t>
      </w:r>
      <w:proofErr w:type="spellEnd"/>
      <w:r>
        <w:rPr>
          <w:rFonts w:eastAsia="Times New Roman"/>
          <w:sz w:val="24"/>
          <w:szCs w:val="24"/>
        </w:rPr>
        <w:t>. Harlow: Pearson.</w:t>
      </w:r>
    </w:p>
    <w:p w14:paraId="352207AF"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Mullins, L. (2023) </w:t>
      </w:r>
      <w:r>
        <w:rPr>
          <w:rFonts w:eastAsia="Times New Roman"/>
          <w:i/>
          <w:iCs/>
          <w:sz w:val="24"/>
          <w:szCs w:val="24"/>
        </w:rPr>
        <w:t>Management and Organisational Behaviour</w:t>
      </w:r>
      <w:r>
        <w:rPr>
          <w:rFonts w:eastAsia="Times New Roman"/>
          <w:sz w:val="24"/>
          <w:szCs w:val="24"/>
        </w:rPr>
        <w:t xml:space="preserve">. 13th </w:t>
      </w:r>
      <w:proofErr w:type="spellStart"/>
      <w:r>
        <w:rPr>
          <w:rFonts w:eastAsia="Times New Roman"/>
          <w:sz w:val="24"/>
          <w:szCs w:val="24"/>
        </w:rPr>
        <w:t>edn</w:t>
      </w:r>
      <w:proofErr w:type="spellEnd"/>
      <w:r>
        <w:rPr>
          <w:rFonts w:eastAsia="Times New Roman"/>
          <w:sz w:val="24"/>
          <w:szCs w:val="24"/>
        </w:rPr>
        <w:t>. Harlow: Pearson.</w:t>
      </w:r>
    </w:p>
    <w:p w14:paraId="758D822A" w14:textId="77777777" w:rsidR="00796C69" w:rsidRDefault="009D087F">
      <w:pPr>
        <w:spacing w:before="200" w:after="200" w:line="360" w:lineRule="auto"/>
        <w:jc w:val="both"/>
        <w:rPr>
          <w:rFonts w:eastAsia="Times New Roman"/>
          <w:sz w:val="24"/>
          <w:szCs w:val="24"/>
        </w:rPr>
      </w:pPr>
      <w:proofErr w:type="spellStart"/>
      <w:r>
        <w:rPr>
          <w:rFonts w:eastAsia="Times New Roman"/>
          <w:sz w:val="24"/>
          <w:szCs w:val="24"/>
        </w:rPr>
        <w:t>Organimi</w:t>
      </w:r>
      <w:proofErr w:type="spellEnd"/>
      <w:r>
        <w:rPr>
          <w:rFonts w:eastAsia="Times New Roman"/>
          <w:sz w:val="24"/>
          <w:szCs w:val="24"/>
        </w:rPr>
        <w:t xml:space="preserve">. (2017) 'Hilton’s Organisational Structure [Interactive Chart]'. Available at: </w:t>
      </w:r>
      <w:hyperlink r:id="rId24" w:history="1">
        <w:r w:rsidR="00796C69">
          <w:rPr>
            <w:rStyle w:val="Hyperlink"/>
            <w:rFonts w:eastAsia="Times New Roman"/>
            <w:sz w:val="24"/>
            <w:szCs w:val="24"/>
          </w:rPr>
          <w:t>https://www.organimi.com/organisational-structures-2/hilton/</w:t>
        </w:r>
      </w:hyperlink>
      <w:r>
        <w:rPr>
          <w:rFonts w:eastAsia="Times New Roman"/>
          <w:sz w:val="24"/>
          <w:szCs w:val="24"/>
        </w:rPr>
        <w:t xml:space="preserve"> (Accessed: 24 February 2025).</w:t>
      </w:r>
    </w:p>
    <w:p w14:paraId="50C76AEF"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Robbins, S. and Judge, T. (2017) </w:t>
      </w:r>
      <w:r>
        <w:rPr>
          <w:rFonts w:eastAsia="Times New Roman"/>
          <w:i/>
          <w:iCs/>
          <w:sz w:val="24"/>
          <w:szCs w:val="24"/>
        </w:rPr>
        <w:t>Organisational Behaviour</w:t>
      </w:r>
      <w:r>
        <w:rPr>
          <w:rFonts w:eastAsia="Times New Roman"/>
          <w:sz w:val="24"/>
          <w:szCs w:val="24"/>
        </w:rPr>
        <w:t xml:space="preserve">. 17th </w:t>
      </w:r>
      <w:proofErr w:type="spellStart"/>
      <w:r>
        <w:rPr>
          <w:rFonts w:eastAsia="Times New Roman"/>
          <w:sz w:val="24"/>
          <w:szCs w:val="24"/>
        </w:rPr>
        <w:t>edn</w:t>
      </w:r>
      <w:proofErr w:type="spellEnd"/>
      <w:r>
        <w:rPr>
          <w:rFonts w:eastAsia="Times New Roman"/>
          <w:sz w:val="24"/>
          <w:szCs w:val="24"/>
        </w:rPr>
        <w:t>. Harlow: Pearson Education Limited.</w:t>
      </w:r>
    </w:p>
    <w:p w14:paraId="0D5E3F66"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Saki, K. and </w:t>
      </w:r>
      <w:proofErr w:type="spellStart"/>
      <w:r>
        <w:rPr>
          <w:rFonts w:eastAsia="Times New Roman"/>
          <w:sz w:val="24"/>
          <w:szCs w:val="24"/>
        </w:rPr>
        <w:t>Elnagar</w:t>
      </w:r>
      <w:proofErr w:type="spellEnd"/>
      <w:r>
        <w:rPr>
          <w:rFonts w:eastAsia="Times New Roman"/>
          <w:sz w:val="24"/>
          <w:szCs w:val="24"/>
        </w:rPr>
        <w:t xml:space="preserve">, A.K. (2025) 'Unpacking talent management: a moderated mediation analysis of team dynamics and competitive performance in luxury hotels', </w:t>
      </w:r>
      <w:r>
        <w:rPr>
          <w:rFonts w:eastAsia="Times New Roman"/>
          <w:i/>
          <w:iCs/>
          <w:sz w:val="24"/>
          <w:szCs w:val="24"/>
        </w:rPr>
        <w:t>Employee Relations: The International Journal</w:t>
      </w:r>
      <w:r>
        <w:rPr>
          <w:rFonts w:eastAsia="Times New Roman"/>
          <w:sz w:val="24"/>
          <w:szCs w:val="24"/>
        </w:rPr>
        <w:t>, 47(1), pp.48-77.</w:t>
      </w:r>
    </w:p>
    <w:p w14:paraId="73B2E718"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Stories From Hilton - EMEA. (2021) 'Travel Revival Spurs Hilton Growth In UK, Europe'. Available at: </w:t>
      </w:r>
      <w:hyperlink r:id="rId25" w:history="1">
        <w:r w:rsidR="00796C69">
          <w:rPr>
            <w:rStyle w:val="Hyperlink"/>
            <w:rFonts w:eastAsia="Times New Roman"/>
            <w:sz w:val="24"/>
            <w:szCs w:val="24"/>
          </w:rPr>
          <w:t>https://stories.hilton.com/emea/releases/travel-revival-spurs-hilton-growth-in-uk-europe</w:t>
        </w:r>
      </w:hyperlink>
      <w:r>
        <w:rPr>
          <w:rFonts w:eastAsia="Times New Roman"/>
          <w:sz w:val="24"/>
          <w:szCs w:val="24"/>
        </w:rPr>
        <w:t xml:space="preserve"> (Accessed: 24 February 2025).</w:t>
      </w:r>
    </w:p>
    <w:p w14:paraId="31588904"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Stories From Hilton. (2021) 'Hilton Debuts Industry Leading Tech Enhancements'. Available at: </w:t>
      </w:r>
      <w:hyperlink r:id="rId26" w:history="1">
        <w:r w:rsidR="00796C69">
          <w:rPr>
            <w:rStyle w:val="Hyperlink"/>
            <w:rFonts w:eastAsia="Times New Roman"/>
            <w:sz w:val="24"/>
            <w:szCs w:val="24"/>
          </w:rPr>
          <w:t>https://stories.hilton.com/releases/hilton-debuts-industry-leading-tech-enhancements</w:t>
        </w:r>
      </w:hyperlink>
      <w:r>
        <w:rPr>
          <w:rFonts w:eastAsia="Times New Roman"/>
          <w:sz w:val="24"/>
          <w:szCs w:val="24"/>
        </w:rPr>
        <w:t xml:space="preserve"> (Accessed: 24 February 2025).</w:t>
      </w:r>
    </w:p>
    <w:p w14:paraId="2C8D3DB0"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Stories From Hilton. (2022) 'Hilton’s European Expansion Continues at Pace as Six New Hotels Announced'. Available at: </w:t>
      </w:r>
      <w:hyperlink r:id="rId27" w:history="1">
        <w:r w:rsidR="00796C69">
          <w:rPr>
            <w:rStyle w:val="Hyperlink"/>
            <w:rFonts w:eastAsia="Times New Roman"/>
            <w:sz w:val="24"/>
            <w:szCs w:val="24"/>
          </w:rPr>
          <w:t>https://stories.hilton.com/releases/hilton-continues-european-growth-with-6-new-sites</w:t>
        </w:r>
      </w:hyperlink>
      <w:r>
        <w:rPr>
          <w:rFonts w:eastAsia="Times New Roman"/>
          <w:sz w:val="24"/>
          <w:szCs w:val="24"/>
        </w:rPr>
        <w:t xml:space="preserve"> (Accessed: 24 February 2025).</w:t>
      </w:r>
    </w:p>
    <w:p w14:paraId="41845D9B"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Stories From Hilton. (2024) 'Hilton Expands Its Global Footprint with Plans to Enter New Markets in 2024'. Available at: </w:t>
      </w:r>
      <w:hyperlink r:id="rId28" w:history="1">
        <w:r w:rsidR="00796C69">
          <w:rPr>
            <w:rStyle w:val="Hyperlink"/>
            <w:rFonts w:eastAsia="Times New Roman"/>
            <w:sz w:val="24"/>
            <w:szCs w:val="24"/>
          </w:rPr>
          <w:t>https://stories.hilton.com/growth-development/global-footprint-expanded-2024</w:t>
        </w:r>
      </w:hyperlink>
      <w:r>
        <w:rPr>
          <w:rFonts w:eastAsia="Times New Roman"/>
          <w:sz w:val="24"/>
          <w:szCs w:val="24"/>
        </w:rPr>
        <w:t xml:space="preserve"> (Accessed: 24 February 2025).</w:t>
      </w:r>
    </w:p>
    <w:p w14:paraId="0E07E6E4"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Stories From Hilton. (2025a) 'Christopher J. </w:t>
      </w:r>
      <w:proofErr w:type="spellStart"/>
      <w:r>
        <w:rPr>
          <w:rFonts w:eastAsia="Times New Roman"/>
          <w:sz w:val="24"/>
          <w:szCs w:val="24"/>
        </w:rPr>
        <w:t>Nassetta</w:t>
      </w:r>
      <w:proofErr w:type="spellEnd"/>
      <w:r>
        <w:rPr>
          <w:rFonts w:eastAsia="Times New Roman"/>
          <w:sz w:val="24"/>
          <w:szCs w:val="24"/>
        </w:rPr>
        <w:noBreakHyphen/>
        <w:t xml:space="preserve"> President &amp; CEO, Hilton'. Available at: </w:t>
      </w:r>
      <w:hyperlink r:id="rId29" w:history="1">
        <w:r w:rsidR="00796C69">
          <w:rPr>
            <w:rStyle w:val="Hyperlink"/>
            <w:rFonts w:eastAsia="Times New Roman"/>
            <w:sz w:val="24"/>
            <w:szCs w:val="24"/>
          </w:rPr>
          <w:t>https://stories.hilton.com/bio/christopher-j-nassetta</w:t>
        </w:r>
      </w:hyperlink>
      <w:r>
        <w:rPr>
          <w:rFonts w:eastAsia="Times New Roman"/>
          <w:sz w:val="24"/>
          <w:szCs w:val="24"/>
        </w:rPr>
        <w:t xml:space="preserve"> (Accessed: 24 February 2025).</w:t>
      </w:r>
    </w:p>
    <w:p w14:paraId="60317BAA" w14:textId="77777777" w:rsidR="00796C69" w:rsidRDefault="009D087F">
      <w:pPr>
        <w:spacing w:before="200" w:after="200" w:line="360" w:lineRule="auto"/>
        <w:jc w:val="both"/>
        <w:rPr>
          <w:rFonts w:eastAsia="Times New Roman"/>
          <w:sz w:val="24"/>
          <w:szCs w:val="24"/>
        </w:rPr>
      </w:pPr>
      <w:r>
        <w:rPr>
          <w:rFonts w:eastAsia="Times New Roman"/>
          <w:sz w:val="24"/>
          <w:szCs w:val="24"/>
        </w:rPr>
        <w:t xml:space="preserve">Stories From Hilton. (2025b) 'Hilton Closes Out 2024 with Record Levels of Growth, Opening More Rooms than Any Year in its History'. Available at: </w:t>
      </w:r>
      <w:hyperlink r:id="rId30" w:history="1">
        <w:r w:rsidR="00796C69">
          <w:rPr>
            <w:rStyle w:val="Hyperlink"/>
            <w:rFonts w:eastAsia="Times New Roman"/>
            <w:sz w:val="24"/>
            <w:szCs w:val="24"/>
          </w:rPr>
          <w:t>https://stories.hilton.com/releases/hilton-closes-out-2024-with-record-levels-of-growth-opening-more-rooms-than-any-year-in-its-history</w:t>
        </w:r>
      </w:hyperlink>
      <w:r>
        <w:rPr>
          <w:rFonts w:eastAsia="Times New Roman"/>
          <w:sz w:val="24"/>
          <w:szCs w:val="24"/>
        </w:rPr>
        <w:t xml:space="preserve"> (Accessed: 24 February 2025).</w:t>
      </w:r>
    </w:p>
    <w:p w14:paraId="6562037E" w14:textId="77777777" w:rsidR="00796C69" w:rsidRDefault="00796C69">
      <w:pPr>
        <w:spacing w:before="200" w:after="200" w:line="360" w:lineRule="auto"/>
        <w:jc w:val="both"/>
        <w:rPr>
          <w:rFonts w:eastAsia="Times New Roman"/>
          <w:sz w:val="24"/>
          <w:szCs w:val="24"/>
        </w:rPr>
      </w:pPr>
    </w:p>
    <w:sectPr w:rsidR="00796C69">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3A1E5" w14:textId="77777777" w:rsidR="007B0CBF" w:rsidRDefault="007B0CBF">
      <w:pPr>
        <w:spacing w:line="240" w:lineRule="auto"/>
      </w:pPr>
      <w:r>
        <w:separator/>
      </w:r>
    </w:p>
  </w:endnote>
  <w:endnote w:type="continuationSeparator" w:id="0">
    <w:p w14:paraId="76858090" w14:textId="77777777" w:rsidR="007B0CBF" w:rsidRDefault="007B0C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306271"/>
      <w:docPartObj>
        <w:docPartGallery w:val="AutoText"/>
      </w:docPartObj>
    </w:sdtPr>
    <w:sdtEndPr/>
    <w:sdtContent>
      <w:p w14:paraId="0332F9A8" w14:textId="77777777" w:rsidR="00796C69" w:rsidRDefault="009D087F">
        <w:pPr>
          <w:pStyle w:val="Footer"/>
          <w:jc w:val="right"/>
        </w:pPr>
        <w:r>
          <w:t xml:space="preserve">Page | </w:t>
        </w:r>
        <w:r>
          <w:fldChar w:fldCharType="begin"/>
        </w:r>
        <w:r>
          <w:instrText xml:space="preserve"> PAGE   \* MERGEFORMAT </w:instrText>
        </w:r>
        <w:r>
          <w:fldChar w:fldCharType="separate"/>
        </w:r>
        <w:r>
          <w:t>18</w:t>
        </w:r>
        <w:r>
          <w:fldChar w:fldCharType="end"/>
        </w:r>
      </w:p>
    </w:sdtContent>
  </w:sdt>
  <w:p w14:paraId="55A041BA" w14:textId="77777777" w:rsidR="00796C69" w:rsidRDefault="00796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9D6A9" w14:textId="77777777" w:rsidR="007B0CBF" w:rsidRDefault="007B0CBF">
      <w:r>
        <w:separator/>
      </w:r>
    </w:p>
  </w:footnote>
  <w:footnote w:type="continuationSeparator" w:id="0">
    <w:p w14:paraId="38D60E49" w14:textId="77777777" w:rsidR="007B0CBF" w:rsidRDefault="007B0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D2401"/>
    <w:multiLevelType w:val="multilevel"/>
    <w:tmpl w:val="0A1D240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2B5CB0"/>
    <w:multiLevelType w:val="multilevel"/>
    <w:tmpl w:val="182B5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C06076"/>
    <w:multiLevelType w:val="multilevel"/>
    <w:tmpl w:val="22C06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98609E"/>
    <w:multiLevelType w:val="multilevel"/>
    <w:tmpl w:val="73986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DA338A"/>
    <w:multiLevelType w:val="multilevel"/>
    <w:tmpl w:val="7EDA3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8292608">
    <w:abstractNumId w:val="3"/>
  </w:num>
  <w:num w:numId="2" w16cid:durableId="385757906">
    <w:abstractNumId w:val="2"/>
  </w:num>
  <w:num w:numId="3" w16cid:durableId="718822728">
    <w:abstractNumId w:val="1"/>
  </w:num>
  <w:num w:numId="4" w16cid:durableId="184370361">
    <w:abstractNumId w:val="4"/>
  </w:num>
  <w:num w:numId="5" w16cid:durableId="520243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WwMLKwNLU0sTQyMTZU0lEKTi0uzszPAykwrAUANsO9VywAAAA="/>
  </w:docVars>
  <w:rsids>
    <w:rsidRoot w:val="00943D39"/>
    <w:rsid w:val="00040E11"/>
    <w:rsid w:val="00047B06"/>
    <w:rsid w:val="000C3C37"/>
    <w:rsid w:val="000C4966"/>
    <w:rsid w:val="000D0677"/>
    <w:rsid w:val="001C422F"/>
    <w:rsid w:val="00205406"/>
    <w:rsid w:val="00216F3E"/>
    <w:rsid w:val="002856AA"/>
    <w:rsid w:val="002A0A7F"/>
    <w:rsid w:val="002D251B"/>
    <w:rsid w:val="0036057D"/>
    <w:rsid w:val="00366D7F"/>
    <w:rsid w:val="00386D3C"/>
    <w:rsid w:val="003D049E"/>
    <w:rsid w:val="00424549"/>
    <w:rsid w:val="00446943"/>
    <w:rsid w:val="004705EB"/>
    <w:rsid w:val="004A2A1C"/>
    <w:rsid w:val="004B70C1"/>
    <w:rsid w:val="005145EB"/>
    <w:rsid w:val="00531E42"/>
    <w:rsid w:val="005405B2"/>
    <w:rsid w:val="00547B63"/>
    <w:rsid w:val="00553EC0"/>
    <w:rsid w:val="005844FE"/>
    <w:rsid w:val="00671DBA"/>
    <w:rsid w:val="007065F2"/>
    <w:rsid w:val="00756D16"/>
    <w:rsid w:val="00796C69"/>
    <w:rsid w:val="007B0CBF"/>
    <w:rsid w:val="007C2B05"/>
    <w:rsid w:val="00804507"/>
    <w:rsid w:val="00823803"/>
    <w:rsid w:val="0083068E"/>
    <w:rsid w:val="008A58E4"/>
    <w:rsid w:val="00923458"/>
    <w:rsid w:val="00943D39"/>
    <w:rsid w:val="00995653"/>
    <w:rsid w:val="009D087F"/>
    <w:rsid w:val="00A328B4"/>
    <w:rsid w:val="00A36D04"/>
    <w:rsid w:val="00A467FF"/>
    <w:rsid w:val="00A73763"/>
    <w:rsid w:val="00B30222"/>
    <w:rsid w:val="00B90DC4"/>
    <w:rsid w:val="00BC1F69"/>
    <w:rsid w:val="00BD4448"/>
    <w:rsid w:val="00BD79E9"/>
    <w:rsid w:val="00BE191E"/>
    <w:rsid w:val="00C3120D"/>
    <w:rsid w:val="00D21E36"/>
    <w:rsid w:val="00D5245E"/>
    <w:rsid w:val="00D55994"/>
    <w:rsid w:val="00DB6EBC"/>
    <w:rsid w:val="00DD303C"/>
    <w:rsid w:val="00E17861"/>
    <w:rsid w:val="00E272E9"/>
    <w:rsid w:val="00E44847"/>
    <w:rsid w:val="00F719FF"/>
    <w:rsid w:val="00FC540F"/>
    <w:rsid w:val="633113D3"/>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F0DA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eastAsia="en-IN" w:bidi="bn-IN"/>
    </w:rPr>
  </w:style>
  <w:style w:type="paragraph" w:styleId="Heading1">
    <w:name w:val="heading 1"/>
    <w:basedOn w:val="Normal"/>
    <w:next w:val="Normal"/>
    <w:link w:val="Heading1Char"/>
    <w:uiPriority w:val="9"/>
    <w:qFormat/>
    <w:pPr>
      <w:keepNext/>
      <w:keepLines/>
      <w:spacing w:before="240" w:after="240" w:line="360" w:lineRule="auto"/>
      <w:jc w:val="both"/>
      <w:outlineLvl w:val="0"/>
    </w:pPr>
    <w:rPr>
      <w:rFonts w:eastAsia="Times New Roman" w:cs="Times New Roman"/>
      <w:b/>
      <w:sz w:val="28"/>
      <w:szCs w:val="24"/>
    </w:rPr>
  </w:style>
  <w:style w:type="paragraph" w:styleId="Heading2">
    <w:name w:val="heading 2"/>
    <w:basedOn w:val="Normal"/>
    <w:next w:val="Normal"/>
    <w:autoRedefine/>
    <w:uiPriority w:val="9"/>
    <w:unhideWhenUsed/>
    <w:qFormat/>
    <w:pPr>
      <w:keepNext/>
      <w:keepLines/>
      <w:spacing w:before="200" w:after="200" w:line="360" w:lineRule="auto"/>
      <w:jc w:val="both"/>
      <w:outlineLvl w:val="1"/>
    </w:pPr>
    <w:rPr>
      <w:rFonts w:ascii="Times New Roman" w:eastAsia="Times New Roman" w:hAnsi="Times New Roman" w:cs="Times New Roman"/>
      <w:b/>
      <w:color w:val="632423" w:themeColor="accent2" w:themeShade="80"/>
      <w:sz w:val="24"/>
      <w:szCs w:val="26"/>
    </w:rPr>
  </w:style>
  <w:style w:type="paragraph" w:styleId="Heading3">
    <w:name w:val="heading 3"/>
    <w:basedOn w:val="Normal"/>
    <w:next w:val="Normal"/>
    <w:uiPriority w:val="9"/>
    <w:unhideWhenUsed/>
    <w:qFormat/>
    <w:pPr>
      <w:keepNext/>
      <w:keepLines/>
      <w:spacing w:before="240" w:after="240" w:line="360" w:lineRule="auto"/>
      <w:jc w:val="both"/>
      <w:outlineLvl w:val="2"/>
    </w:pPr>
    <w:rPr>
      <w:rFonts w:ascii="Times New Roman" w:eastAsia="Times New Roman" w:hAnsi="Times New Roman" w:cs="Times New Roman"/>
      <w:b/>
      <w:i/>
      <w:sz w:val="24"/>
      <w:szCs w:val="24"/>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20"/>
    </w:rPr>
  </w:style>
  <w:style w:type="paragraph" w:styleId="Caption">
    <w:name w:val="caption"/>
    <w:basedOn w:val="Normal"/>
    <w:next w:val="Normal"/>
    <w:uiPriority w:val="35"/>
    <w:unhideWhenUsed/>
    <w:qFormat/>
    <w:pPr>
      <w:spacing w:after="200" w:line="360" w:lineRule="auto"/>
      <w:jc w:val="center"/>
    </w:pPr>
    <w:rPr>
      <w:b/>
      <w:iCs/>
      <w:sz w:val="24"/>
    </w:rPr>
  </w:style>
  <w:style w:type="paragraph" w:styleId="Footer">
    <w:name w:val="footer"/>
    <w:basedOn w:val="Normal"/>
    <w:link w:val="FooterChar"/>
    <w:uiPriority w:val="99"/>
    <w:unhideWhenUsed/>
    <w:qFormat/>
    <w:pPr>
      <w:tabs>
        <w:tab w:val="center" w:pos="4513"/>
        <w:tab w:val="right" w:pos="9026"/>
      </w:tabs>
      <w:spacing w:line="240" w:lineRule="auto"/>
    </w:pPr>
    <w:rPr>
      <w:szCs w:val="28"/>
    </w:rPr>
  </w:style>
  <w:style w:type="paragraph" w:styleId="Header">
    <w:name w:val="header"/>
    <w:basedOn w:val="Normal"/>
    <w:link w:val="HeaderChar"/>
    <w:uiPriority w:val="99"/>
    <w:unhideWhenUsed/>
    <w:pPr>
      <w:tabs>
        <w:tab w:val="center" w:pos="4513"/>
        <w:tab w:val="right" w:pos="9026"/>
      </w:tabs>
      <w:spacing w:line="240" w:lineRule="auto"/>
    </w:pPr>
    <w:rPr>
      <w:szCs w:val="28"/>
    </w:rPr>
  </w:style>
  <w:style w:type="character" w:styleId="Hyperlink">
    <w:name w:val="Hyperlink"/>
    <w:basedOn w:val="DefaultParagraphFont"/>
    <w:uiPriority w:val="99"/>
    <w:unhideWhenUsed/>
    <w:qFormat/>
    <w:rPr>
      <w:color w:val="4F81BD" w:themeColor="accent1"/>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pPr>
      <w:spacing w:after="100"/>
    </w:pPr>
    <w:rPr>
      <w:szCs w:val="28"/>
    </w:rPr>
  </w:style>
  <w:style w:type="paragraph" w:styleId="TOC2">
    <w:name w:val="toc 2"/>
    <w:basedOn w:val="Normal"/>
    <w:next w:val="Normal"/>
    <w:autoRedefine/>
    <w:uiPriority w:val="39"/>
    <w:unhideWhenUsed/>
    <w:pPr>
      <w:spacing w:after="100"/>
      <w:ind w:left="220"/>
    </w:pPr>
    <w:rPr>
      <w:szCs w:val="28"/>
    </w:rPr>
  </w:style>
  <w:style w:type="paragraph" w:styleId="TOC3">
    <w:name w:val="toc 3"/>
    <w:basedOn w:val="Normal"/>
    <w:next w:val="Normal"/>
    <w:autoRedefine/>
    <w:uiPriority w:val="39"/>
    <w:unhideWhenUsed/>
    <w:qFormat/>
    <w:pPr>
      <w:spacing w:after="100"/>
      <w:ind w:left="440"/>
    </w:pPr>
    <w:rPr>
      <w:szCs w:val="28"/>
    </w:rPr>
  </w:style>
  <w:style w:type="table" w:customStyle="1" w:styleId="Style11">
    <w:name w:val="_Style 11"/>
    <w:basedOn w:val="TableNormal"/>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rPr>
      <w:szCs w:val="28"/>
    </w:rPr>
  </w:style>
  <w:style w:type="character" w:customStyle="1" w:styleId="FooterChar">
    <w:name w:val="Footer Char"/>
    <w:basedOn w:val="DefaultParagraphFont"/>
    <w:link w:val="Footer"/>
    <w:uiPriority w:val="99"/>
    <w:rPr>
      <w:szCs w:val="28"/>
    </w:rPr>
  </w:style>
  <w:style w:type="paragraph" w:customStyle="1" w:styleId="TOCHeading1">
    <w:name w:val="TOC Heading1"/>
    <w:basedOn w:val="Heading1"/>
    <w:next w:val="Normal"/>
    <w:uiPriority w:val="39"/>
    <w:unhideWhenUsed/>
    <w:qFormat/>
    <w:pPr>
      <w:spacing w:after="0" w:line="259" w:lineRule="auto"/>
      <w:jc w:val="left"/>
      <w:outlineLvl w:val="9"/>
    </w:pPr>
    <w:rPr>
      <w:rFonts w:asciiTheme="majorHAnsi" w:eastAsiaTheme="majorEastAsia" w:hAnsiTheme="majorHAnsi" w:cstheme="majorBidi"/>
      <w:b w:val="0"/>
      <w:sz w:val="32"/>
      <w:szCs w:val="32"/>
      <w:lang w:val="en-US" w:eastAsia="en-US" w:bidi="ar-SA"/>
    </w:rPr>
  </w:style>
  <w:style w:type="paragraph" w:styleId="ListParagraph">
    <w:name w:val="List Paragraph"/>
    <w:basedOn w:val="Normal"/>
    <w:uiPriority w:val="34"/>
    <w:qFormat/>
    <w:pPr>
      <w:ind w:left="720"/>
      <w:contextualSpacing/>
    </w:pPr>
    <w:rPr>
      <w:szCs w:val="28"/>
    </w:rPr>
  </w:style>
  <w:style w:type="character" w:customStyle="1" w:styleId="BalloonTextChar">
    <w:name w:val="Balloon Text Char"/>
    <w:basedOn w:val="DefaultParagraphFont"/>
    <w:link w:val="BalloonText"/>
    <w:uiPriority w:val="99"/>
    <w:semiHidden/>
    <w:qFormat/>
    <w:rPr>
      <w:rFonts w:ascii="Tahoma" w:hAnsi="Tahoma" w:cs="Tahoma"/>
      <w:sz w:val="16"/>
      <w:szCs w:val="20"/>
      <w:lang w:val="en-GB"/>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sid w:val="00995653"/>
    <w:rPr>
      <w:rFonts w:eastAsia="Times New Roman" w:cs="Times New Roman"/>
      <w:b/>
      <w:sz w:val="28"/>
      <w:szCs w:val="24"/>
      <w:lang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group.accor.com/en/Actualites/2024/11/all-digital-ecosystem-offers" TargetMode="External"/><Relationship Id="rId18" Type="http://schemas.openxmlformats.org/officeDocument/2006/relationships/hyperlink" Target="https://esg.hilton.com/our-approach/" TargetMode="External"/><Relationship Id="rId26" Type="http://schemas.openxmlformats.org/officeDocument/2006/relationships/hyperlink" Target="https://stories.hilton.com/releases/hilton-debuts-industry-leading-tech-enhancements" TargetMode="External"/><Relationship Id="rId3" Type="http://schemas.openxmlformats.org/officeDocument/2006/relationships/styles" Target="styles.xml"/><Relationship Id="rId21" Type="http://schemas.openxmlformats.org/officeDocument/2006/relationships/hyperlink" Target="https://www.ihgplc.com/en/news-and-media/news-releases/2024/ihg-continues-to-consolidate-leading-position-by-strategically-fostering-market-growth"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sg.hilton.com/" TargetMode="External"/><Relationship Id="rId25" Type="http://schemas.openxmlformats.org/officeDocument/2006/relationships/hyperlink" Target="https://stories.hilton.com/emea/releases/travel-revival-spurs-hilton-growth-in-uk-europ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sg.hilton.com/our-progress/" TargetMode="External"/><Relationship Id="rId20" Type="http://schemas.openxmlformats.org/officeDocument/2006/relationships/hyperlink" Target="https://www.ihgplc.com/en/responsible-business/carbon-and-energy" TargetMode="External"/><Relationship Id="rId29" Type="http://schemas.openxmlformats.org/officeDocument/2006/relationships/hyperlink" Target="https://stories.hilton.com/bio/christopher-j-nasset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rganimi.com/organisational-structures-2/hilt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orbes.com/sites/wesgay/2016/12/31/4-things-companies-can-learn-from-hiltons-award-winning-culture/" TargetMode="External"/><Relationship Id="rId23" Type="http://schemas.openxmlformats.org/officeDocument/2006/relationships/hyperlink" Target="https://news.marriott.com/news/2019/09/18/marriott-international-announces-expanded-wellbeing-certification-program" TargetMode="External"/><Relationship Id="rId28" Type="http://schemas.openxmlformats.org/officeDocument/2006/relationships/hyperlink" Target="https://stories.hilton.com/growth-development/global-footprint-expanded-2024" TargetMode="External"/><Relationship Id="rId10" Type="http://schemas.openxmlformats.org/officeDocument/2006/relationships/image" Target="media/image3.png"/><Relationship Id="rId19" Type="http://schemas.openxmlformats.org/officeDocument/2006/relationships/hyperlink" Target="https://jobs.hilton.com/us/en/cultur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91.com/top-hilton-competitors-across-the-world/" TargetMode="External"/><Relationship Id="rId22" Type="http://schemas.openxmlformats.org/officeDocument/2006/relationships/hyperlink" Target="https://www.visitmanchester.com/ideas-and-inspiration/blog/post/hampton-by-hilton-manchester-northern-leading-the-way-in-sustainable-hospitality/" TargetMode="External"/><Relationship Id="rId27" Type="http://schemas.openxmlformats.org/officeDocument/2006/relationships/hyperlink" Target="https://stories.hilton.com/releases/hilton-continues-european-growth-with-6-new-sites" TargetMode="External"/><Relationship Id="rId30" Type="http://schemas.openxmlformats.org/officeDocument/2006/relationships/hyperlink" Target="https://stories.hilton.com/releases/hilton-closes-out-2024-with-record-levels-of-growth-opening-more-rooms-than-any-year-in-its-history" TargetMode="Externa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6CC83-DE31-4446-95DD-056336F59C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3125</Words>
  <Characters>24041</Characters>
  <Application>Microsoft Office Word</Application>
  <DocSecurity>0</DocSecurity>
  <Lines>200</Lines>
  <Paragraphs>54</Paragraphs>
  <ScaleCrop>false</ScaleCrop>
  <LinksUpToDate>false</LinksUpToDate>
  <CharactersWithSpaces>27112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2025-03-06T10:48:00Z</dcterms:created>
  <dcterms:modified xsi:type="dcterms:W3CDTF">2025-03-06T10:48:00Z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A622F43104094C278CC2AADA6552D9A3_12</vt:lpwstr>
  </property>
</Properties>
</file>