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AE9" w:rsidRPr="008921A2" w:rsidRDefault="00823AE9" w:rsidP="00823AE9">
      <w:pPr>
        <w:jc w:val="center"/>
        <w:rPr>
          <w:b/>
          <w:bCs/>
          <w:sz w:val="28"/>
          <w:szCs w:val="32"/>
        </w:rPr>
      </w:pPr>
      <w:r w:rsidRPr="008921A2">
        <w:rPr>
          <w:b/>
          <w:bCs/>
          <w:noProof/>
          <w:sz w:val="28"/>
          <w:szCs w:val="32"/>
          <w:lang w:val="en-US" w:bidi="ar-SA"/>
        </w:rPr>
        <w:drawing>
          <wp:inline distT="0" distB="0" distL="0" distR="0">
            <wp:extent cx="3314700" cy="1381125"/>
            <wp:effectExtent l="0" t="0" r="0" b="952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4700" cy="1381125"/>
                    </a:xfrm>
                    <a:prstGeom prst="rect">
                      <a:avLst/>
                    </a:prstGeom>
                    <a:noFill/>
                  </pic:spPr>
                </pic:pic>
              </a:graphicData>
            </a:graphic>
          </wp:inline>
        </w:drawing>
      </w:r>
    </w:p>
    <w:p w:rsidR="00823AE9" w:rsidRPr="00E139BA" w:rsidRDefault="00823AE9" w:rsidP="00E139BA">
      <w:pPr>
        <w:jc w:val="center"/>
        <w:rPr>
          <w:b/>
          <w:bCs/>
        </w:rPr>
      </w:pPr>
      <w:r w:rsidRPr="008C5514">
        <w:rPr>
          <w:b/>
          <w:bCs/>
        </w:rPr>
        <w:t>MODULE: LCMB7035 – DISSERTATION</w:t>
      </w:r>
    </w:p>
    <w:p w:rsidR="00E139BA" w:rsidRPr="00C04AC7" w:rsidRDefault="00E139BA" w:rsidP="00E139BA">
      <w:pPr>
        <w:rPr>
          <w:b/>
          <w:bCs/>
          <w:sz w:val="28"/>
        </w:rPr>
      </w:pPr>
      <w:r w:rsidRPr="00C04AC7">
        <w:rPr>
          <w:b/>
          <w:bCs/>
          <w:sz w:val="28"/>
        </w:rPr>
        <w:t xml:space="preserve">                    Program: Masters of Business Administration</w:t>
      </w:r>
    </w:p>
    <w:p w:rsidR="00E139BA" w:rsidRPr="00C04AC7" w:rsidRDefault="00E139BA" w:rsidP="00E139BA">
      <w:pPr>
        <w:jc w:val="center"/>
        <w:rPr>
          <w:b/>
          <w:bCs/>
          <w:sz w:val="28"/>
        </w:rPr>
      </w:pPr>
      <w:r w:rsidRPr="00C04AC7">
        <w:rPr>
          <w:b/>
          <w:bCs/>
          <w:sz w:val="28"/>
        </w:rPr>
        <w:t>MODULE: LCMB7035 – DISSERTATION</w:t>
      </w:r>
    </w:p>
    <w:p w:rsidR="00E139BA" w:rsidRPr="00C04AC7" w:rsidRDefault="00E139BA" w:rsidP="00E139BA">
      <w:pPr>
        <w:tabs>
          <w:tab w:val="left" w:pos="2580"/>
          <w:tab w:val="center" w:pos="4513"/>
        </w:tabs>
        <w:jc w:val="left"/>
        <w:rPr>
          <w:b/>
          <w:sz w:val="28"/>
        </w:rPr>
      </w:pPr>
      <w:r w:rsidRPr="00C04AC7">
        <w:rPr>
          <w:b/>
          <w:sz w:val="28"/>
        </w:rPr>
        <w:tab/>
      </w:r>
      <w:r w:rsidRPr="00C04AC7">
        <w:rPr>
          <w:b/>
          <w:bCs/>
          <w:sz w:val="28"/>
        </w:rPr>
        <w:t>Supervisor: Dr. Said Usman</w:t>
      </w:r>
    </w:p>
    <w:p w:rsidR="00E139BA" w:rsidRPr="00C04AC7" w:rsidRDefault="00E139BA" w:rsidP="00E139BA">
      <w:pPr>
        <w:tabs>
          <w:tab w:val="left" w:pos="2580"/>
          <w:tab w:val="center" w:pos="4513"/>
        </w:tabs>
        <w:jc w:val="left"/>
        <w:rPr>
          <w:b/>
          <w:sz w:val="28"/>
        </w:rPr>
      </w:pPr>
    </w:p>
    <w:p w:rsidR="00E139BA" w:rsidRPr="00C04AC7" w:rsidRDefault="00E139BA" w:rsidP="00E139BA">
      <w:pPr>
        <w:tabs>
          <w:tab w:val="left" w:pos="2580"/>
          <w:tab w:val="center" w:pos="4513"/>
        </w:tabs>
        <w:jc w:val="left"/>
        <w:rPr>
          <w:b/>
          <w:sz w:val="30"/>
          <w:szCs w:val="30"/>
        </w:rPr>
      </w:pPr>
      <w:r w:rsidRPr="00C04AC7">
        <w:rPr>
          <w:b/>
          <w:sz w:val="28"/>
        </w:rPr>
        <w:tab/>
      </w:r>
      <w:r w:rsidRPr="00C04AC7">
        <w:rPr>
          <w:b/>
          <w:sz w:val="30"/>
          <w:szCs w:val="30"/>
        </w:rPr>
        <w:t>Dissertation Research Title</w:t>
      </w:r>
    </w:p>
    <w:p w:rsidR="00E139BA" w:rsidRPr="00C04AC7" w:rsidRDefault="00E139BA" w:rsidP="00E139BA">
      <w:pPr>
        <w:rPr>
          <w:b/>
          <w:bCs/>
          <w:sz w:val="28"/>
        </w:rPr>
      </w:pPr>
      <w:r w:rsidRPr="00C04AC7">
        <w:rPr>
          <w:b/>
          <w:bCs/>
          <w:sz w:val="28"/>
        </w:rPr>
        <w:t>The Impact of Green Marketing Strategies on Consumer Purchase Intention and Brand Performance: Evidence from the FMCG Sector in Bangladesh</w:t>
      </w:r>
    </w:p>
    <w:p w:rsidR="00E139BA" w:rsidRPr="00C04AC7" w:rsidRDefault="00E139BA" w:rsidP="00E139BA">
      <w:pPr>
        <w:rPr>
          <w:b/>
          <w:bCs/>
          <w:sz w:val="28"/>
        </w:rPr>
      </w:pPr>
    </w:p>
    <w:p w:rsidR="00E139BA" w:rsidRPr="00C04AC7" w:rsidRDefault="00E139BA" w:rsidP="00E139BA">
      <w:pPr>
        <w:jc w:val="center"/>
        <w:rPr>
          <w:b/>
          <w:bCs/>
          <w:sz w:val="28"/>
        </w:rPr>
      </w:pPr>
      <w:r w:rsidRPr="00C04AC7">
        <w:rPr>
          <w:b/>
          <w:bCs/>
          <w:sz w:val="28"/>
        </w:rPr>
        <w:t>Submitted by</w:t>
      </w:r>
    </w:p>
    <w:p w:rsidR="00E139BA" w:rsidRPr="00C04AC7" w:rsidRDefault="00E139BA" w:rsidP="00E139BA">
      <w:pPr>
        <w:pStyle w:val="Header"/>
        <w:spacing w:line="360" w:lineRule="auto"/>
        <w:jc w:val="center"/>
        <w:rPr>
          <w:b/>
          <w:bCs/>
          <w:sz w:val="28"/>
        </w:rPr>
      </w:pPr>
      <w:r w:rsidRPr="00C04AC7">
        <w:rPr>
          <w:b/>
          <w:bCs/>
          <w:sz w:val="28"/>
        </w:rPr>
        <w:t>Name of the Student: Md: Abdullah Haq Khan</w:t>
      </w:r>
    </w:p>
    <w:p w:rsidR="00E139BA" w:rsidRPr="00C04AC7" w:rsidRDefault="00E139BA" w:rsidP="00E139BA">
      <w:pPr>
        <w:pStyle w:val="Header"/>
        <w:spacing w:line="360" w:lineRule="auto"/>
        <w:jc w:val="center"/>
        <w:rPr>
          <w:b/>
          <w:bCs/>
          <w:sz w:val="28"/>
        </w:rPr>
      </w:pPr>
      <w:r w:rsidRPr="00C04AC7">
        <w:rPr>
          <w:b/>
          <w:bCs/>
          <w:sz w:val="28"/>
        </w:rPr>
        <w:t>Student ID: 2427995</w:t>
      </w:r>
    </w:p>
    <w:p w:rsidR="00E139BA" w:rsidRPr="00C04AC7" w:rsidRDefault="00681EF2" w:rsidP="00E139BA">
      <w:pPr>
        <w:spacing w:after="0"/>
        <w:jc w:val="center"/>
        <w:rPr>
          <w:b/>
          <w:bCs/>
          <w:sz w:val="28"/>
        </w:rPr>
      </w:pPr>
      <w:r>
        <w:rPr>
          <w:b/>
          <w:bCs/>
          <w:sz w:val="28"/>
        </w:rPr>
        <w:t>Word Counter: 20,408</w:t>
      </w:r>
    </w:p>
    <w:p w:rsidR="00E139BA" w:rsidRDefault="00E139BA" w:rsidP="00E139BA">
      <w:pPr>
        <w:jc w:val="center"/>
        <w:rPr>
          <w:b/>
          <w:bCs/>
          <w:sz w:val="28"/>
        </w:rPr>
      </w:pPr>
      <w:r w:rsidRPr="00C04AC7">
        <w:rPr>
          <w:b/>
          <w:bCs/>
          <w:sz w:val="28"/>
        </w:rPr>
        <w:t>Submission Date: 02.02.06</w:t>
      </w:r>
    </w:p>
    <w:p w:rsidR="00681EF2" w:rsidRPr="00C04AC7" w:rsidRDefault="00681EF2" w:rsidP="00E139BA">
      <w:pPr>
        <w:jc w:val="center"/>
        <w:rPr>
          <w:b/>
          <w:bCs/>
          <w:sz w:val="28"/>
        </w:rPr>
      </w:pPr>
    </w:p>
    <w:p w:rsidR="00823AE9" w:rsidRPr="00823AE9" w:rsidRDefault="00823AE9" w:rsidP="00823AE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823AE9">
        <w:rPr>
          <w:rFonts w:ascii="Arial" w:hAnsi="Arial" w:cs="Arial"/>
          <w:noProof/>
          <w:lang w:val="en-US" w:bidi="ar-SA"/>
        </w:rPr>
        <w:lastRenderedPageBreak/>
        <w:drawing>
          <wp:inline distT="0" distB="0" distL="0" distR="0">
            <wp:extent cx="3314700" cy="1381125"/>
            <wp:effectExtent l="0" t="0" r="0" b="9525"/>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4700" cy="1381125"/>
                    </a:xfrm>
                    <a:prstGeom prst="rect">
                      <a:avLst/>
                    </a:prstGeom>
                    <a:noFill/>
                  </pic:spPr>
                </pic:pic>
              </a:graphicData>
            </a:graphic>
          </wp:inline>
        </w:drawing>
      </w:r>
    </w:p>
    <w:p w:rsidR="00823AE9" w:rsidRPr="00781B85" w:rsidRDefault="00823AE9" w:rsidP="00823AE9">
      <w:pPr>
        <w:pBdr>
          <w:top w:val="single" w:sz="4" w:space="1" w:color="auto"/>
          <w:left w:val="single" w:sz="4" w:space="4" w:color="auto"/>
          <w:bottom w:val="single" w:sz="4" w:space="1" w:color="auto"/>
          <w:right w:val="single" w:sz="4" w:space="4" w:color="auto"/>
        </w:pBdr>
        <w:spacing w:after="120"/>
        <w:jc w:val="center"/>
        <w:rPr>
          <w:rFonts w:cs="Times New Roman"/>
          <w:sz w:val="28"/>
        </w:rPr>
      </w:pPr>
      <w:r w:rsidRPr="00781B85">
        <w:rPr>
          <w:rFonts w:cs="Times New Roman"/>
          <w:b/>
          <w:sz w:val="28"/>
        </w:rPr>
        <w:t>Master’s Degrees by Examination and Dissertation</w:t>
      </w:r>
    </w:p>
    <w:p w:rsidR="00823AE9" w:rsidRPr="004A32A7" w:rsidRDefault="00823AE9" w:rsidP="00823AE9">
      <w:pPr>
        <w:pBdr>
          <w:top w:val="single" w:sz="4" w:space="1" w:color="auto"/>
          <w:left w:val="single" w:sz="4" w:space="4" w:color="auto"/>
          <w:bottom w:val="single" w:sz="4" w:space="1" w:color="auto"/>
          <w:right w:val="single" w:sz="4" w:space="4" w:color="auto"/>
        </w:pBdr>
        <w:spacing w:after="120"/>
        <w:jc w:val="center"/>
        <w:rPr>
          <w:rFonts w:ascii="Arial" w:hAnsi="Arial" w:cs="Arial"/>
          <w:sz w:val="28"/>
        </w:rPr>
      </w:pPr>
      <w:r w:rsidRPr="00554E00">
        <w:rPr>
          <w:rFonts w:cs="Times New Roman"/>
          <w:b/>
          <w:sz w:val="28"/>
        </w:rPr>
        <w:t>Declaration Form</w:t>
      </w:r>
      <w:r w:rsidRPr="004A32A7">
        <w:rPr>
          <w:rFonts w:ascii="Arial" w:hAnsi="Arial" w:cs="Arial"/>
          <w:sz w:val="28"/>
        </w:rPr>
        <w:t>.</w:t>
      </w:r>
    </w:p>
    <w:p w:rsidR="00823AE9" w:rsidRDefault="00823AE9" w:rsidP="00823AE9">
      <w:pPr>
        <w:pBdr>
          <w:top w:val="single" w:sz="4" w:space="1" w:color="auto"/>
          <w:left w:val="single" w:sz="4" w:space="4" w:color="auto"/>
          <w:bottom w:val="single" w:sz="4" w:space="1" w:color="auto"/>
          <w:right w:val="single" w:sz="4" w:space="4" w:color="auto"/>
        </w:pBdr>
        <w:spacing w:after="120"/>
        <w:jc w:val="left"/>
        <w:rPr>
          <w:rFonts w:cs="Times New Roman"/>
          <w:szCs w:val="24"/>
        </w:rPr>
      </w:pPr>
      <w:r w:rsidRPr="00781B85">
        <w:rPr>
          <w:rFonts w:cs="Times New Roman"/>
          <w:szCs w:val="24"/>
        </w:rPr>
        <w:t>I am Md. Abdullah Haq Khan declares that this dissertation is my own original work and has not been submitted, in whole or in part, for any other degree or qualification at this or any other institution. All sources of information used in this dissertation have been properly acknowledged and referenced in accordance with academic standards. Any assistance received during the preparation of this dissertation has been appropriately recognised.</w:t>
      </w:r>
    </w:p>
    <w:p w:rsidR="00823AE9" w:rsidRDefault="00823AE9" w:rsidP="00823AE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rsidR="00823AE9" w:rsidRPr="00554E00" w:rsidRDefault="00823AE9" w:rsidP="00823AE9">
      <w:pPr>
        <w:pBdr>
          <w:top w:val="single" w:sz="4" w:space="1" w:color="auto"/>
          <w:left w:val="single" w:sz="4" w:space="4" w:color="auto"/>
          <w:bottom w:val="single" w:sz="4" w:space="1" w:color="auto"/>
          <w:right w:val="single" w:sz="4" w:space="4" w:color="auto"/>
        </w:pBdr>
        <w:spacing w:after="120" w:line="480" w:lineRule="auto"/>
        <w:rPr>
          <w:rFonts w:cs="Times New Roman"/>
        </w:rPr>
      </w:pPr>
      <w:r w:rsidRPr="00554E00">
        <w:rPr>
          <w:rFonts w:cs="Times New Roman"/>
        </w:rPr>
        <w:t>Signature: Md Abdullah Haq Khan</w:t>
      </w:r>
    </w:p>
    <w:p w:rsidR="00823AE9" w:rsidRPr="00554E00" w:rsidRDefault="00823AE9" w:rsidP="00823AE9">
      <w:pPr>
        <w:pBdr>
          <w:top w:val="single" w:sz="4" w:space="1" w:color="auto"/>
          <w:left w:val="single" w:sz="4" w:space="4" w:color="auto"/>
          <w:bottom w:val="single" w:sz="4" w:space="1" w:color="auto"/>
          <w:right w:val="single" w:sz="4" w:space="4" w:color="auto"/>
        </w:pBdr>
        <w:spacing w:after="120" w:line="480" w:lineRule="auto"/>
        <w:rPr>
          <w:rFonts w:cs="Times New Roman"/>
        </w:rPr>
      </w:pPr>
      <w:r w:rsidRPr="00554E00">
        <w:rPr>
          <w:rFonts w:cs="Times New Roman"/>
        </w:rPr>
        <w:t>Date:        02/02/2026</w:t>
      </w: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Default="00823AE9" w:rsidP="00823AE9">
      <w:pPr>
        <w:pStyle w:val="Header"/>
        <w:jc w:val="left"/>
        <w:rPr>
          <w:b/>
          <w:bCs/>
          <w:sz w:val="28"/>
          <w:szCs w:val="32"/>
        </w:rPr>
      </w:pPr>
    </w:p>
    <w:p w:rsidR="00823AE9" w:rsidRPr="00CB67C9" w:rsidRDefault="00823AE9" w:rsidP="00823AE9">
      <w:pPr>
        <w:pStyle w:val="Heading1"/>
      </w:pPr>
      <w:bookmarkStart w:id="0" w:name="_Toc220155724"/>
      <w:r w:rsidRPr="00CB67C9">
        <w:lastRenderedPageBreak/>
        <w:t>ACKNOWLEDGEMENTS</w:t>
      </w:r>
      <w:bookmarkEnd w:id="0"/>
    </w:p>
    <w:p w:rsidR="00823AE9" w:rsidRPr="00CB67C9" w:rsidRDefault="00823AE9" w:rsidP="00823AE9">
      <w:pPr>
        <w:jc w:val="left"/>
      </w:pPr>
      <w:r w:rsidRPr="00CB67C9">
        <w:t>I would like to express my sincere gratitude to my supervisor for their guidance, feedback, and encouragement throughout the development of this dissertation. Their academic support and constructive suggestions helped strengthen the quality and direction of the study.</w:t>
      </w:r>
    </w:p>
    <w:p w:rsidR="00823AE9" w:rsidRPr="00CB67C9" w:rsidRDefault="00823AE9" w:rsidP="00823AE9">
      <w:pPr>
        <w:jc w:val="left"/>
      </w:pPr>
      <w:r w:rsidRPr="00CB67C9">
        <w:t>I am also grateful to the faculty and administrative staff for providing the academic resources and learning environment that enabled me to complete this research. I appreciate the support received from library services and online academic databases, which were essential for conducting the systematic literature review.</w:t>
      </w:r>
    </w:p>
    <w:p w:rsidR="00823AE9" w:rsidRPr="00CB67C9" w:rsidRDefault="00823AE9" w:rsidP="00823AE9">
      <w:pPr>
        <w:jc w:val="left"/>
      </w:pPr>
      <w:r>
        <w:t>Last but not least, I</w:t>
      </w:r>
      <w:r w:rsidRPr="00F06530">
        <w:t xml:space="preserve"> want</w:t>
      </w:r>
      <w:r>
        <w:t xml:space="preserve"> </w:t>
      </w:r>
      <w:r w:rsidRPr="00CB67C9">
        <w:t>like to thank my family for their patience, support, and motivation throughout my studies. Their understanding and encouragement gave me the confidence to complete this work. Finally, I acknowledge the authors and researchers whose published studies formed the foundation of this dissertation and contributed valuable insights into green marketing, consumer behaviour, and brand performance in emerging markets.</w:t>
      </w:r>
    </w:p>
    <w:p w:rsidR="00823AE9" w:rsidRDefault="00823AE9" w:rsidP="00823AE9">
      <w:pPr>
        <w:spacing w:line="259" w:lineRule="auto"/>
        <w:jc w:val="left"/>
        <w:rPr>
          <w:b/>
          <w:bCs/>
          <w:sz w:val="28"/>
          <w:szCs w:val="32"/>
        </w:rPr>
      </w:pPr>
      <w:r>
        <w:rPr>
          <w:b/>
          <w:bCs/>
          <w:sz w:val="28"/>
          <w:szCs w:val="32"/>
        </w:rPr>
        <w:br w:type="page"/>
      </w:r>
    </w:p>
    <w:p w:rsidR="00823AE9" w:rsidRPr="00CB67C9" w:rsidRDefault="00823AE9" w:rsidP="00823AE9">
      <w:pPr>
        <w:pStyle w:val="Heading1"/>
      </w:pPr>
      <w:bookmarkStart w:id="1" w:name="_Toc220155725"/>
      <w:r w:rsidRPr="00CB67C9">
        <w:lastRenderedPageBreak/>
        <w:t>ABSTRACT</w:t>
      </w:r>
      <w:bookmarkEnd w:id="1"/>
    </w:p>
    <w:p w:rsidR="00823AE9" w:rsidRDefault="00823AE9" w:rsidP="00823AE9">
      <w:r w:rsidRPr="00CB67C9">
        <w:t xml:space="preserve">This dissertation examines how green marketing strategies influence consumer purchase intention (CPI) and brand performance (BP) in Bangladesh’s fast-moving consumer goods (FMCG) sector, drawing on evidence from Bangladesh and comparable emerging markets. Using the Theory of Planned Behaviour and the Resource-Based View/Natural Resource-Based View as guiding lenses, the study employed a PRISMA-guided systematic literature review of 23 empirical studies. Studies were identified through structured database searching and screened using explicit inclusion criteria, then coded and synthesised through a narrative, theme-based approach. The synthesis shows that CPI in low-involvement FMCG categories is strongly shaped by quick, visible cues, especially eco-packaging and product attributes, but these effects depend on perceived credibility. Affordability and price fairness are decisive constraints, meaning positive environmental attitudes often weaken when green options carry premiums that feel unjustified. </w:t>
      </w:r>
    </w:p>
    <w:p w:rsidR="00823AE9" w:rsidRDefault="00823AE9" w:rsidP="00823AE9">
      <w:r w:rsidRPr="00CB67C9">
        <w:t xml:space="preserve">Availability and retail access also operate as practical gatekeepers, limiting intention when greener products are not consistently stocked or convenient to buy. Across studies, trust emerges as the central mechanism connecting green claims to intention and, ultimately, to BP outcomes such as green brand equity, satisfaction, loyalty, and word-of-mouth or electronic word-of-mouth. CSR and green communication strengthen engagement when they are specific, verifiable, and consistent with product performance, while perceptions of greenwashing undermine both intention and brand outcomes. Overall, the study concludes that effective green marketing in Bangladesh requires integrated strategy bundles that combine credible claims, realistic pricing, and reliable distribution, supported by governance that reduces misleading environmental messaging. </w:t>
      </w:r>
    </w:p>
    <w:p w:rsidR="00823AE9" w:rsidRDefault="00823AE9" w:rsidP="00823AE9">
      <w:r w:rsidRPr="00CB67C9">
        <w:t>The findings guide managers and policymakers toward stronger labelling standards.</w:t>
      </w:r>
    </w:p>
    <w:p w:rsidR="00823AE9" w:rsidRDefault="00823AE9" w:rsidP="00823AE9">
      <w:pPr>
        <w:spacing w:line="259" w:lineRule="auto"/>
        <w:jc w:val="left"/>
      </w:pPr>
      <w:r>
        <w:br w:type="page"/>
      </w:r>
    </w:p>
    <w:p w:rsidR="00CB67C9" w:rsidRPr="00CB67C9" w:rsidRDefault="00CB67C9" w:rsidP="00CB67C9"/>
    <w:bookmarkStart w:id="2" w:name="_Toc220155726" w:displacedByCustomXml="next"/>
    <w:sdt>
      <w:sdtPr>
        <w:rPr>
          <w:rFonts w:eastAsiaTheme="minorHAnsi" w:cstheme="minorBidi"/>
          <w:b w:val="0"/>
          <w:szCs w:val="28"/>
        </w:rPr>
        <w:id w:val="-1955627156"/>
        <w:docPartObj>
          <w:docPartGallery w:val="Table of Contents"/>
          <w:docPartUnique/>
        </w:docPartObj>
      </w:sdtPr>
      <w:sdtEndPr>
        <w:rPr>
          <w:bCs/>
          <w:noProof/>
        </w:rPr>
      </w:sdtEndPr>
      <w:sdtContent>
        <w:p w:rsidR="008921A2" w:rsidRPr="007D1E56" w:rsidRDefault="008921A2" w:rsidP="00247196">
          <w:pPr>
            <w:pStyle w:val="Heading2"/>
            <w:jc w:val="center"/>
            <w:rPr>
              <w:sz w:val="28"/>
              <w:szCs w:val="28"/>
            </w:rPr>
          </w:pPr>
          <w:r w:rsidRPr="007D1E56">
            <w:rPr>
              <w:sz w:val="28"/>
              <w:szCs w:val="28"/>
            </w:rPr>
            <w:t>TABLE OF CONTENTS</w:t>
          </w:r>
          <w:bookmarkEnd w:id="2"/>
        </w:p>
        <w:p w:rsidR="00247196" w:rsidRDefault="00E2587C">
          <w:pPr>
            <w:pStyle w:val="TOC1"/>
            <w:tabs>
              <w:tab w:val="right" w:leader="dot" w:pos="9016"/>
            </w:tabs>
            <w:rPr>
              <w:rFonts w:asciiTheme="minorHAnsi" w:eastAsiaTheme="minorEastAsia" w:hAnsiTheme="minorHAnsi"/>
              <w:noProof/>
              <w:szCs w:val="21"/>
              <w:lang w:eastAsia="en-GB" w:bidi="hi-IN"/>
            </w:rPr>
          </w:pPr>
          <w:r w:rsidRPr="00E2587C">
            <w:fldChar w:fldCharType="begin"/>
          </w:r>
          <w:r w:rsidR="008921A2">
            <w:instrText xml:space="preserve"> TOC \o "1-3" \h \z \u </w:instrText>
          </w:r>
          <w:r w:rsidRPr="00E2587C">
            <w:fldChar w:fldCharType="separate"/>
          </w:r>
          <w:hyperlink w:anchor="_Toc220155723" w:history="1">
            <w:r w:rsidR="00247196" w:rsidRPr="00B1022F">
              <w:rPr>
                <w:rStyle w:val="Hyperlink"/>
                <w:noProof/>
              </w:rPr>
              <w:t>DECLARATION</w:t>
            </w:r>
            <w:r w:rsidR="00247196">
              <w:rPr>
                <w:noProof/>
                <w:webHidden/>
              </w:rPr>
              <w:tab/>
            </w:r>
            <w:r>
              <w:rPr>
                <w:noProof/>
                <w:webHidden/>
              </w:rPr>
              <w:fldChar w:fldCharType="begin"/>
            </w:r>
            <w:r w:rsidR="00247196">
              <w:rPr>
                <w:noProof/>
                <w:webHidden/>
              </w:rPr>
              <w:instrText xml:space="preserve"> PAGEREF _Toc220155723 \h </w:instrText>
            </w:r>
            <w:r>
              <w:rPr>
                <w:noProof/>
                <w:webHidden/>
              </w:rPr>
            </w:r>
            <w:r>
              <w:rPr>
                <w:noProof/>
                <w:webHidden/>
              </w:rPr>
              <w:fldChar w:fldCharType="separate"/>
            </w:r>
            <w:r w:rsidR="00247196">
              <w:rPr>
                <w:noProof/>
                <w:webHidden/>
              </w:rPr>
              <w:t>ii</w:t>
            </w:r>
            <w:r>
              <w:rPr>
                <w:noProof/>
                <w:webHidden/>
              </w:rPr>
              <w:fldChar w:fldCharType="end"/>
            </w:r>
          </w:hyperlink>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724" w:history="1">
            <w:r w:rsidR="00247196" w:rsidRPr="00B1022F">
              <w:rPr>
                <w:rStyle w:val="Hyperlink"/>
                <w:noProof/>
              </w:rPr>
              <w:t>ACKNOWLEDGEMENTS</w:t>
            </w:r>
            <w:r w:rsidR="00247196">
              <w:rPr>
                <w:noProof/>
                <w:webHidden/>
              </w:rPr>
              <w:tab/>
            </w:r>
            <w:r>
              <w:rPr>
                <w:noProof/>
                <w:webHidden/>
              </w:rPr>
              <w:fldChar w:fldCharType="begin"/>
            </w:r>
            <w:r w:rsidR="00247196">
              <w:rPr>
                <w:noProof/>
                <w:webHidden/>
              </w:rPr>
              <w:instrText xml:space="preserve"> PAGEREF _Toc220155724 \h </w:instrText>
            </w:r>
            <w:r>
              <w:rPr>
                <w:noProof/>
                <w:webHidden/>
              </w:rPr>
            </w:r>
            <w:r>
              <w:rPr>
                <w:noProof/>
                <w:webHidden/>
              </w:rPr>
              <w:fldChar w:fldCharType="separate"/>
            </w:r>
            <w:r w:rsidR="00247196">
              <w:rPr>
                <w:noProof/>
                <w:webHidden/>
              </w:rPr>
              <w:t>iii</w:t>
            </w:r>
            <w:r>
              <w:rPr>
                <w:noProof/>
                <w:webHidden/>
              </w:rPr>
              <w:fldChar w:fldCharType="end"/>
            </w:r>
          </w:hyperlink>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725" w:history="1">
            <w:r w:rsidR="00247196" w:rsidRPr="00B1022F">
              <w:rPr>
                <w:rStyle w:val="Hyperlink"/>
                <w:noProof/>
              </w:rPr>
              <w:t>ABSTRACT</w:t>
            </w:r>
            <w:r w:rsidR="00247196">
              <w:rPr>
                <w:noProof/>
                <w:webHidden/>
              </w:rPr>
              <w:tab/>
            </w:r>
            <w:r>
              <w:rPr>
                <w:noProof/>
                <w:webHidden/>
              </w:rPr>
              <w:fldChar w:fldCharType="begin"/>
            </w:r>
            <w:r w:rsidR="00247196">
              <w:rPr>
                <w:noProof/>
                <w:webHidden/>
              </w:rPr>
              <w:instrText xml:space="preserve"> PAGEREF _Toc220155725 \h </w:instrText>
            </w:r>
            <w:r>
              <w:rPr>
                <w:noProof/>
                <w:webHidden/>
              </w:rPr>
            </w:r>
            <w:r>
              <w:rPr>
                <w:noProof/>
                <w:webHidden/>
              </w:rPr>
              <w:fldChar w:fldCharType="separate"/>
            </w:r>
            <w:r w:rsidR="00247196">
              <w:rPr>
                <w:noProof/>
                <w:webHidden/>
              </w:rPr>
              <w:t>iv</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26" w:history="1">
            <w:r w:rsidR="00247196" w:rsidRPr="00B1022F">
              <w:rPr>
                <w:rStyle w:val="Hyperlink"/>
                <w:noProof/>
              </w:rPr>
              <w:t>TABLE OF CONTENTS</w:t>
            </w:r>
            <w:r w:rsidR="00247196">
              <w:rPr>
                <w:noProof/>
                <w:webHidden/>
              </w:rPr>
              <w:tab/>
            </w:r>
            <w:r>
              <w:rPr>
                <w:noProof/>
                <w:webHidden/>
              </w:rPr>
              <w:fldChar w:fldCharType="begin"/>
            </w:r>
            <w:r w:rsidR="00247196">
              <w:rPr>
                <w:noProof/>
                <w:webHidden/>
              </w:rPr>
              <w:instrText xml:space="preserve"> PAGEREF _Toc220155726 \h </w:instrText>
            </w:r>
            <w:r>
              <w:rPr>
                <w:noProof/>
                <w:webHidden/>
              </w:rPr>
            </w:r>
            <w:r>
              <w:rPr>
                <w:noProof/>
                <w:webHidden/>
              </w:rPr>
              <w:fldChar w:fldCharType="separate"/>
            </w:r>
            <w:r w:rsidR="00247196">
              <w:rPr>
                <w:noProof/>
                <w:webHidden/>
              </w:rPr>
              <w:t>v</w:t>
            </w:r>
            <w:r>
              <w:rPr>
                <w:noProof/>
                <w:webHidden/>
              </w:rPr>
              <w:fldChar w:fldCharType="end"/>
            </w:r>
          </w:hyperlink>
        </w:p>
        <w:p w:rsidR="00247196" w:rsidRDefault="00E2587C">
          <w:pPr>
            <w:pStyle w:val="TOC1"/>
            <w:tabs>
              <w:tab w:val="right" w:leader="dot" w:pos="9016"/>
            </w:tabs>
          </w:pPr>
          <w:hyperlink w:anchor="_Toc220155727" w:history="1">
            <w:r w:rsidR="00247196" w:rsidRPr="00B1022F">
              <w:rPr>
                <w:rStyle w:val="Hyperlink"/>
                <w:noProof/>
              </w:rPr>
              <w:t>LIST OF ABBREVIATIONS</w:t>
            </w:r>
            <w:r w:rsidR="00247196">
              <w:rPr>
                <w:noProof/>
                <w:webHidden/>
              </w:rPr>
              <w:tab/>
            </w:r>
            <w:r>
              <w:rPr>
                <w:noProof/>
                <w:webHidden/>
              </w:rPr>
              <w:fldChar w:fldCharType="begin"/>
            </w:r>
            <w:r w:rsidR="00247196">
              <w:rPr>
                <w:noProof/>
                <w:webHidden/>
              </w:rPr>
              <w:instrText xml:space="preserve"> PAGEREF _Toc220155727 \h </w:instrText>
            </w:r>
            <w:r>
              <w:rPr>
                <w:noProof/>
                <w:webHidden/>
              </w:rPr>
            </w:r>
            <w:r>
              <w:rPr>
                <w:noProof/>
                <w:webHidden/>
              </w:rPr>
              <w:fldChar w:fldCharType="separate"/>
            </w:r>
            <w:r w:rsidR="00247196">
              <w:rPr>
                <w:noProof/>
                <w:webHidden/>
              </w:rPr>
              <w:t>x</w:t>
            </w:r>
            <w:r>
              <w:rPr>
                <w:noProof/>
                <w:webHidden/>
              </w:rPr>
              <w:fldChar w:fldCharType="end"/>
            </w:r>
          </w:hyperlink>
        </w:p>
        <w:p w:rsidR="006E4B7B" w:rsidRPr="006E4B7B" w:rsidRDefault="006E4B7B" w:rsidP="006E4B7B">
          <w:r>
            <w:t>GLOSSAY.................................................................................................................................</w:t>
          </w:r>
          <w:fldSimple w:instr=" PAGE   \* MERGEFORMAT ">
            <w:r>
              <w:rPr>
                <w:noProof/>
              </w:rPr>
              <w:t>xi</w:t>
            </w:r>
          </w:fldSimple>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728" w:history="1">
            <w:r w:rsidR="00247196" w:rsidRPr="00B1022F">
              <w:rPr>
                <w:rStyle w:val="Hyperlink"/>
                <w:noProof/>
              </w:rPr>
              <w:t>CHAPTER 1: INTRODUCTION</w:t>
            </w:r>
            <w:r w:rsidR="00247196">
              <w:rPr>
                <w:noProof/>
                <w:webHidden/>
              </w:rPr>
              <w:tab/>
            </w:r>
            <w:r>
              <w:rPr>
                <w:noProof/>
                <w:webHidden/>
              </w:rPr>
              <w:fldChar w:fldCharType="begin"/>
            </w:r>
            <w:r w:rsidR="00247196">
              <w:rPr>
                <w:noProof/>
                <w:webHidden/>
              </w:rPr>
              <w:instrText xml:space="preserve"> PAGEREF _Toc220155728 \h </w:instrText>
            </w:r>
            <w:r>
              <w:rPr>
                <w:noProof/>
                <w:webHidden/>
              </w:rPr>
            </w:r>
            <w:r>
              <w:rPr>
                <w:noProof/>
                <w:webHidden/>
              </w:rPr>
              <w:fldChar w:fldCharType="separate"/>
            </w:r>
            <w:r w:rsidR="00247196">
              <w:rPr>
                <w:noProof/>
                <w:webHidden/>
              </w:rPr>
              <w:t>1</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29" w:history="1">
            <w:r w:rsidR="00247196" w:rsidRPr="00B1022F">
              <w:rPr>
                <w:rStyle w:val="Hyperlink"/>
                <w:noProof/>
              </w:rPr>
              <w:t>1.0 CHAPTER OVERVIEW</w:t>
            </w:r>
            <w:r w:rsidR="00247196">
              <w:rPr>
                <w:noProof/>
                <w:webHidden/>
              </w:rPr>
              <w:tab/>
            </w:r>
            <w:r>
              <w:rPr>
                <w:noProof/>
                <w:webHidden/>
              </w:rPr>
              <w:fldChar w:fldCharType="begin"/>
            </w:r>
            <w:r w:rsidR="00247196">
              <w:rPr>
                <w:noProof/>
                <w:webHidden/>
              </w:rPr>
              <w:instrText xml:space="preserve"> PAGEREF _Toc220155729 \h </w:instrText>
            </w:r>
            <w:r>
              <w:rPr>
                <w:noProof/>
                <w:webHidden/>
              </w:rPr>
            </w:r>
            <w:r>
              <w:rPr>
                <w:noProof/>
                <w:webHidden/>
              </w:rPr>
              <w:fldChar w:fldCharType="separate"/>
            </w:r>
            <w:r w:rsidR="00247196">
              <w:rPr>
                <w:noProof/>
                <w:webHidden/>
              </w:rPr>
              <w:t>1</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30" w:history="1">
            <w:r w:rsidR="00247196" w:rsidRPr="00B1022F">
              <w:rPr>
                <w:rStyle w:val="Hyperlink"/>
                <w:noProof/>
              </w:rPr>
              <w:t>1.1 BACKGROUND OF THE STUDY</w:t>
            </w:r>
            <w:r w:rsidR="00247196">
              <w:rPr>
                <w:noProof/>
                <w:webHidden/>
              </w:rPr>
              <w:tab/>
            </w:r>
            <w:r>
              <w:rPr>
                <w:noProof/>
                <w:webHidden/>
              </w:rPr>
              <w:fldChar w:fldCharType="begin"/>
            </w:r>
            <w:r w:rsidR="00247196">
              <w:rPr>
                <w:noProof/>
                <w:webHidden/>
              </w:rPr>
              <w:instrText xml:space="preserve"> PAGEREF _Toc220155730 \h </w:instrText>
            </w:r>
            <w:r>
              <w:rPr>
                <w:noProof/>
                <w:webHidden/>
              </w:rPr>
            </w:r>
            <w:r>
              <w:rPr>
                <w:noProof/>
                <w:webHidden/>
              </w:rPr>
              <w:fldChar w:fldCharType="separate"/>
            </w:r>
            <w:r w:rsidR="00247196">
              <w:rPr>
                <w:noProof/>
                <w:webHidden/>
              </w:rPr>
              <w:t>1</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31" w:history="1">
            <w:r w:rsidR="00247196" w:rsidRPr="00B1022F">
              <w:rPr>
                <w:rStyle w:val="Hyperlink"/>
                <w:noProof/>
              </w:rPr>
              <w:t>1.2 PROBLEM STATEMENT</w:t>
            </w:r>
            <w:r w:rsidR="00247196">
              <w:rPr>
                <w:noProof/>
                <w:webHidden/>
              </w:rPr>
              <w:tab/>
            </w:r>
            <w:r>
              <w:rPr>
                <w:noProof/>
                <w:webHidden/>
              </w:rPr>
              <w:fldChar w:fldCharType="begin"/>
            </w:r>
            <w:r w:rsidR="00247196">
              <w:rPr>
                <w:noProof/>
                <w:webHidden/>
              </w:rPr>
              <w:instrText xml:space="preserve"> PAGEREF _Toc220155731 \h </w:instrText>
            </w:r>
            <w:r>
              <w:rPr>
                <w:noProof/>
                <w:webHidden/>
              </w:rPr>
            </w:r>
            <w:r>
              <w:rPr>
                <w:noProof/>
                <w:webHidden/>
              </w:rPr>
              <w:fldChar w:fldCharType="separate"/>
            </w:r>
            <w:r w:rsidR="00247196">
              <w:rPr>
                <w:noProof/>
                <w:webHidden/>
              </w:rPr>
              <w:t>3</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32" w:history="1">
            <w:r w:rsidR="00247196" w:rsidRPr="00B1022F">
              <w:rPr>
                <w:rStyle w:val="Hyperlink"/>
                <w:noProof/>
              </w:rPr>
              <w:t>1.3 RESEARCH AIM AND OBJECTIVES</w:t>
            </w:r>
            <w:r w:rsidR="00247196">
              <w:rPr>
                <w:noProof/>
                <w:webHidden/>
              </w:rPr>
              <w:tab/>
            </w:r>
            <w:r>
              <w:rPr>
                <w:noProof/>
                <w:webHidden/>
              </w:rPr>
              <w:fldChar w:fldCharType="begin"/>
            </w:r>
            <w:r w:rsidR="00247196">
              <w:rPr>
                <w:noProof/>
                <w:webHidden/>
              </w:rPr>
              <w:instrText xml:space="preserve"> PAGEREF _Toc220155732 \h </w:instrText>
            </w:r>
            <w:r>
              <w:rPr>
                <w:noProof/>
                <w:webHidden/>
              </w:rPr>
            </w:r>
            <w:r>
              <w:rPr>
                <w:noProof/>
                <w:webHidden/>
              </w:rPr>
              <w:fldChar w:fldCharType="separate"/>
            </w:r>
            <w:r w:rsidR="00247196">
              <w:rPr>
                <w:noProof/>
                <w:webHidden/>
              </w:rPr>
              <w:t>3</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33" w:history="1">
            <w:r w:rsidR="00247196" w:rsidRPr="00B1022F">
              <w:rPr>
                <w:rStyle w:val="Hyperlink"/>
                <w:noProof/>
              </w:rPr>
              <w:t>1.4 RESEARCH QUESTIONS</w:t>
            </w:r>
            <w:r w:rsidR="00247196">
              <w:rPr>
                <w:noProof/>
                <w:webHidden/>
              </w:rPr>
              <w:tab/>
            </w:r>
            <w:r>
              <w:rPr>
                <w:noProof/>
                <w:webHidden/>
              </w:rPr>
              <w:fldChar w:fldCharType="begin"/>
            </w:r>
            <w:r w:rsidR="00247196">
              <w:rPr>
                <w:noProof/>
                <w:webHidden/>
              </w:rPr>
              <w:instrText xml:space="preserve"> PAGEREF _Toc220155733 \h </w:instrText>
            </w:r>
            <w:r>
              <w:rPr>
                <w:noProof/>
                <w:webHidden/>
              </w:rPr>
            </w:r>
            <w:r>
              <w:rPr>
                <w:noProof/>
                <w:webHidden/>
              </w:rPr>
              <w:fldChar w:fldCharType="separate"/>
            </w:r>
            <w:r w:rsidR="00247196">
              <w:rPr>
                <w:noProof/>
                <w:webHidden/>
              </w:rPr>
              <w:t>4</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34" w:history="1">
            <w:r w:rsidR="00247196" w:rsidRPr="00B1022F">
              <w:rPr>
                <w:rStyle w:val="Hyperlink"/>
                <w:noProof/>
              </w:rPr>
              <w:t>1.5 SIGNIFICANCE OF THE STUDY</w:t>
            </w:r>
            <w:r w:rsidR="00247196">
              <w:rPr>
                <w:noProof/>
                <w:webHidden/>
              </w:rPr>
              <w:tab/>
            </w:r>
            <w:r>
              <w:rPr>
                <w:noProof/>
                <w:webHidden/>
              </w:rPr>
              <w:fldChar w:fldCharType="begin"/>
            </w:r>
            <w:r w:rsidR="00247196">
              <w:rPr>
                <w:noProof/>
                <w:webHidden/>
              </w:rPr>
              <w:instrText xml:space="preserve"> PAGEREF _Toc220155734 \h </w:instrText>
            </w:r>
            <w:r>
              <w:rPr>
                <w:noProof/>
                <w:webHidden/>
              </w:rPr>
            </w:r>
            <w:r>
              <w:rPr>
                <w:noProof/>
                <w:webHidden/>
              </w:rPr>
              <w:fldChar w:fldCharType="separate"/>
            </w:r>
            <w:r w:rsidR="00247196">
              <w:rPr>
                <w:noProof/>
                <w:webHidden/>
              </w:rPr>
              <w:t>4</w:t>
            </w:r>
            <w:r>
              <w:rPr>
                <w:noProof/>
                <w:webHidden/>
              </w:rPr>
              <w:fldChar w:fldCharType="end"/>
            </w:r>
          </w:hyperlink>
        </w:p>
        <w:p w:rsidR="00247196" w:rsidRDefault="00E2587C">
          <w:pPr>
            <w:pStyle w:val="TOC2"/>
            <w:tabs>
              <w:tab w:val="right" w:leader="dot" w:pos="9016"/>
            </w:tabs>
          </w:pPr>
          <w:hyperlink w:anchor="_Toc220155735" w:history="1">
            <w:r w:rsidR="00247196" w:rsidRPr="00B1022F">
              <w:rPr>
                <w:rStyle w:val="Hyperlink"/>
                <w:noProof/>
              </w:rPr>
              <w:t>1.6 THEORETICAL FRAMEWORK</w:t>
            </w:r>
            <w:r w:rsidR="00247196">
              <w:rPr>
                <w:noProof/>
                <w:webHidden/>
              </w:rPr>
              <w:tab/>
            </w:r>
            <w:r>
              <w:rPr>
                <w:noProof/>
                <w:webHidden/>
              </w:rPr>
              <w:fldChar w:fldCharType="begin"/>
            </w:r>
            <w:r w:rsidR="00247196">
              <w:rPr>
                <w:noProof/>
                <w:webHidden/>
              </w:rPr>
              <w:instrText xml:space="preserve"> PAGEREF _Toc220155735 \h </w:instrText>
            </w:r>
            <w:r>
              <w:rPr>
                <w:noProof/>
                <w:webHidden/>
              </w:rPr>
            </w:r>
            <w:r>
              <w:rPr>
                <w:noProof/>
                <w:webHidden/>
              </w:rPr>
              <w:fldChar w:fldCharType="separate"/>
            </w:r>
            <w:r w:rsidR="00247196">
              <w:rPr>
                <w:noProof/>
                <w:webHidden/>
              </w:rPr>
              <w:t>5</w:t>
            </w:r>
            <w:r>
              <w:rPr>
                <w:noProof/>
                <w:webHidden/>
              </w:rPr>
              <w:fldChar w:fldCharType="end"/>
            </w:r>
          </w:hyperlink>
        </w:p>
        <w:p w:rsidR="00301D20" w:rsidRPr="00301D20" w:rsidRDefault="00301D20" w:rsidP="00301D20">
          <w:pPr>
            <w:rPr>
              <w:bCs/>
            </w:rPr>
          </w:pPr>
          <w:r w:rsidRPr="00301D20">
            <w:rPr>
              <w:bCs/>
            </w:rPr>
            <w:t>1.7 STRUCTURE OF THE DISSERTATION</w:t>
          </w:r>
          <w:r>
            <w:rPr>
              <w:bCs/>
            </w:rPr>
            <w:t>...........................................................................6</w:t>
          </w:r>
        </w:p>
        <w:p w:rsidR="00247196" w:rsidRDefault="00E2587C" w:rsidP="00301D20">
          <w:pPr>
            <w:pStyle w:val="TOC2"/>
            <w:tabs>
              <w:tab w:val="right" w:leader="dot" w:pos="9016"/>
            </w:tabs>
            <w:ind w:left="0"/>
            <w:rPr>
              <w:rFonts w:asciiTheme="minorHAnsi" w:eastAsiaTheme="minorEastAsia" w:hAnsiTheme="minorHAnsi"/>
              <w:noProof/>
              <w:szCs w:val="21"/>
              <w:lang w:eastAsia="en-GB" w:bidi="hi-IN"/>
            </w:rPr>
          </w:pPr>
          <w:hyperlink w:anchor="_Toc220155736" w:history="1">
            <w:r w:rsidR="00247196" w:rsidRPr="00B1022F">
              <w:rPr>
                <w:rStyle w:val="Hyperlink"/>
                <w:noProof/>
              </w:rPr>
              <w:t>1.8 CHAPTER SUMMARY</w:t>
            </w:r>
            <w:r w:rsidR="00247196">
              <w:rPr>
                <w:noProof/>
                <w:webHidden/>
              </w:rPr>
              <w:tab/>
            </w:r>
            <w:r>
              <w:rPr>
                <w:noProof/>
                <w:webHidden/>
              </w:rPr>
              <w:fldChar w:fldCharType="begin"/>
            </w:r>
            <w:r w:rsidR="00247196">
              <w:rPr>
                <w:noProof/>
                <w:webHidden/>
              </w:rPr>
              <w:instrText xml:space="preserve"> PAGEREF _Toc220155736 \h </w:instrText>
            </w:r>
            <w:r>
              <w:rPr>
                <w:noProof/>
                <w:webHidden/>
              </w:rPr>
            </w:r>
            <w:r>
              <w:rPr>
                <w:noProof/>
                <w:webHidden/>
              </w:rPr>
              <w:fldChar w:fldCharType="separate"/>
            </w:r>
            <w:r w:rsidR="00247196">
              <w:rPr>
                <w:noProof/>
                <w:webHidden/>
              </w:rPr>
              <w:t>6</w:t>
            </w:r>
            <w:r>
              <w:rPr>
                <w:noProof/>
                <w:webHidden/>
              </w:rPr>
              <w:fldChar w:fldCharType="end"/>
            </w:r>
          </w:hyperlink>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737" w:history="1">
            <w:r w:rsidR="00247196" w:rsidRPr="00B1022F">
              <w:rPr>
                <w:rStyle w:val="Hyperlink"/>
                <w:noProof/>
              </w:rPr>
              <w:t>CHAPTER 2: LITERATURE REVIEW</w:t>
            </w:r>
            <w:r w:rsidR="00247196">
              <w:rPr>
                <w:noProof/>
                <w:webHidden/>
              </w:rPr>
              <w:tab/>
            </w:r>
            <w:r>
              <w:rPr>
                <w:noProof/>
                <w:webHidden/>
              </w:rPr>
              <w:fldChar w:fldCharType="begin"/>
            </w:r>
            <w:r w:rsidR="00247196">
              <w:rPr>
                <w:noProof/>
                <w:webHidden/>
              </w:rPr>
              <w:instrText xml:space="preserve"> PAGEREF _Toc220155737 \h </w:instrText>
            </w:r>
            <w:r>
              <w:rPr>
                <w:noProof/>
                <w:webHidden/>
              </w:rPr>
            </w:r>
            <w:r>
              <w:rPr>
                <w:noProof/>
                <w:webHidden/>
              </w:rPr>
              <w:fldChar w:fldCharType="separate"/>
            </w:r>
            <w:r w:rsidR="00247196">
              <w:rPr>
                <w:noProof/>
                <w:webHidden/>
              </w:rPr>
              <w:t>8</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38" w:history="1">
            <w:r w:rsidR="00247196" w:rsidRPr="00B1022F">
              <w:rPr>
                <w:rStyle w:val="Hyperlink"/>
                <w:noProof/>
              </w:rPr>
              <w:t>2.0 CHAPTER OVERVIEW</w:t>
            </w:r>
            <w:r w:rsidR="00247196">
              <w:rPr>
                <w:noProof/>
                <w:webHidden/>
              </w:rPr>
              <w:tab/>
            </w:r>
            <w:r>
              <w:rPr>
                <w:noProof/>
                <w:webHidden/>
              </w:rPr>
              <w:fldChar w:fldCharType="begin"/>
            </w:r>
            <w:r w:rsidR="00247196">
              <w:rPr>
                <w:noProof/>
                <w:webHidden/>
              </w:rPr>
              <w:instrText xml:space="preserve"> PAGEREF _Toc220155738 \h </w:instrText>
            </w:r>
            <w:r>
              <w:rPr>
                <w:noProof/>
                <w:webHidden/>
              </w:rPr>
            </w:r>
            <w:r>
              <w:rPr>
                <w:noProof/>
                <w:webHidden/>
              </w:rPr>
              <w:fldChar w:fldCharType="separate"/>
            </w:r>
            <w:r w:rsidR="00247196">
              <w:rPr>
                <w:noProof/>
                <w:webHidden/>
              </w:rPr>
              <w:t>8</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39" w:history="1">
            <w:r w:rsidR="00247196" w:rsidRPr="00B1022F">
              <w:rPr>
                <w:rStyle w:val="Hyperlink"/>
                <w:noProof/>
              </w:rPr>
              <w:t>2.1 THE FMCG SECTOR IN BANGLADESH</w:t>
            </w:r>
            <w:r w:rsidR="00247196">
              <w:rPr>
                <w:noProof/>
                <w:webHidden/>
              </w:rPr>
              <w:tab/>
            </w:r>
            <w:r>
              <w:rPr>
                <w:noProof/>
                <w:webHidden/>
              </w:rPr>
              <w:fldChar w:fldCharType="begin"/>
            </w:r>
            <w:r w:rsidR="00247196">
              <w:rPr>
                <w:noProof/>
                <w:webHidden/>
              </w:rPr>
              <w:instrText xml:space="preserve"> PAGEREF _Toc220155739 \h </w:instrText>
            </w:r>
            <w:r>
              <w:rPr>
                <w:noProof/>
                <w:webHidden/>
              </w:rPr>
            </w:r>
            <w:r>
              <w:rPr>
                <w:noProof/>
                <w:webHidden/>
              </w:rPr>
              <w:fldChar w:fldCharType="separate"/>
            </w:r>
            <w:r w:rsidR="00247196">
              <w:rPr>
                <w:noProof/>
                <w:webHidden/>
              </w:rPr>
              <w:t>8</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40" w:history="1">
            <w:r w:rsidR="00247196" w:rsidRPr="00B1022F">
              <w:rPr>
                <w:rStyle w:val="Hyperlink"/>
                <w:noProof/>
              </w:rPr>
              <w:t>2.1.1 OVERVIEW, MARKET SIZE AND KEY PLAYERS</w:t>
            </w:r>
            <w:r w:rsidR="00247196">
              <w:rPr>
                <w:noProof/>
                <w:webHidden/>
              </w:rPr>
              <w:tab/>
            </w:r>
            <w:r>
              <w:rPr>
                <w:noProof/>
                <w:webHidden/>
              </w:rPr>
              <w:fldChar w:fldCharType="begin"/>
            </w:r>
            <w:r w:rsidR="00247196">
              <w:rPr>
                <w:noProof/>
                <w:webHidden/>
              </w:rPr>
              <w:instrText xml:space="preserve"> PAGEREF _Toc220155740 \h </w:instrText>
            </w:r>
            <w:r>
              <w:rPr>
                <w:noProof/>
                <w:webHidden/>
              </w:rPr>
            </w:r>
            <w:r>
              <w:rPr>
                <w:noProof/>
                <w:webHidden/>
              </w:rPr>
              <w:fldChar w:fldCharType="separate"/>
            </w:r>
            <w:r w:rsidR="00247196">
              <w:rPr>
                <w:noProof/>
                <w:webHidden/>
              </w:rPr>
              <w:t>8</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41" w:history="1">
            <w:r w:rsidR="00247196" w:rsidRPr="00B1022F">
              <w:rPr>
                <w:rStyle w:val="Hyperlink"/>
                <w:noProof/>
              </w:rPr>
              <w:t>2.1.2 CONSUMER BEHAVIOUR AND MARKET CHARACTERISTICS</w:t>
            </w:r>
            <w:r w:rsidR="00247196">
              <w:rPr>
                <w:noProof/>
                <w:webHidden/>
              </w:rPr>
              <w:tab/>
            </w:r>
            <w:r>
              <w:rPr>
                <w:noProof/>
                <w:webHidden/>
              </w:rPr>
              <w:fldChar w:fldCharType="begin"/>
            </w:r>
            <w:r w:rsidR="00247196">
              <w:rPr>
                <w:noProof/>
                <w:webHidden/>
              </w:rPr>
              <w:instrText xml:space="preserve"> PAGEREF _Toc220155741 \h </w:instrText>
            </w:r>
            <w:r>
              <w:rPr>
                <w:noProof/>
                <w:webHidden/>
              </w:rPr>
            </w:r>
            <w:r>
              <w:rPr>
                <w:noProof/>
                <w:webHidden/>
              </w:rPr>
              <w:fldChar w:fldCharType="separate"/>
            </w:r>
            <w:r w:rsidR="00247196">
              <w:rPr>
                <w:noProof/>
                <w:webHidden/>
              </w:rPr>
              <w:t>9</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42" w:history="1">
            <w:r w:rsidR="00247196" w:rsidRPr="00B1022F">
              <w:rPr>
                <w:rStyle w:val="Hyperlink"/>
                <w:noProof/>
              </w:rPr>
              <w:t>2.1.3 ENVIRONMENTAL AND SUSTAINABILITY CHALLENGES AND EMERGING GREEN PRACTICES</w:t>
            </w:r>
            <w:r w:rsidR="00247196">
              <w:rPr>
                <w:noProof/>
                <w:webHidden/>
              </w:rPr>
              <w:tab/>
            </w:r>
            <w:r>
              <w:rPr>
                <w:noProof/>
                <w:webHidden/>
              </w:rPr>
              <w:fldChar w:fldCharType="begin"/>
            </w:r>
            <w:r w:rsidR="00247196">
              <w:rPr>
                <w:noProof/>
                <w:webHidden/>
              </w:rPr>
              <w:instrText xml:space="preserve"> PAGEREF _Toc220155742 \h </w:instrText>
            </w:r>
            <w:r>
              <w:rPr>
                <w:noProof/>
                <w:webHidden/>
              </w:rPr>
            </w:r>
            <w:r>
              <w:rPr>
                <w:noProof/>
                <w:webHidden/>
              </w:rPr>
              <w:fldChar w:fldCharType="separate"/>
            </w:r>
            <w:r w:rsidR="00247196">
              <w:rPr>
                <w:noProof/>
                <w:webHidden/>
              </w:rPr>
              <w:t>10</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43" w:history="1">
            <w:r w:rsidR="00247196" w:rsidRPr="00B1022F">
              <w:rPr>
                <w:rStyle w:val="Hyperlink"/>
                <w:noProof/>
              </w:rPr>
              <w:t>2.2 CONCEPTUAL BACKGROUND AND KEY CONSTRUCTS</w:t>
            </w:r>
            <w:r w:rsidR="00247196">
              <w:rPr>
                <w:noProof/>
                <w:webHidden/>
              </w:rPr>
              <w:tab/>
            </w:r>
            <w:r>
              <w:rPr>
                <w:noProof/>
                <w:webHidden/>
              </w:rPr>
              <w:fldChar w:fldCharType="begin"/>
            </w:r>
            <w:r w:rsidR="00247196">
              <w:rPr>
                <w:noProof/>
                <w:webHidden/>
              </w:rPr>
              <w:instrText xml:space="preserve"> PAGEREF _Toc220155743 \h </w:instrText>
            </w:r>
            <w:r>
              <w:rPr>
                <w:noProof/>
                <w:webHidden/>
              </w:rPr>
            </w:r>
            <w:r>
              <w:rPr>
                <w:noProof/>
                <w:webHidden/>
              </w:rPr>
              <w:fldChar w:fldCharType="separate"/>
            </w:r>
            <w:r w:rsidR="00247196">
              <w:rPr>
                <w:noProof/>
                <w:webHidden/>
              </w:rPr>
              <w:t>11</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44" w:history="1">
            <w:r w:rsidR="00247196" w:rsidRPr="00B1022F">
              <w:rPr>
                <w:rStyle w:val="Hyperlink"/>
                <w:noProof/>
              </w:rPr>
              <w:t>2.2.1 GREEN MARKETING AND SUSTAINABLE FMCG</w:t>
            </w:r>
            <w:r w:rsidR="00247196">
              <w:rPr>
                <w:noProof/>
                <w:webHidden/>
              </w:rPr>
              <w:tab/>
            </w:r>
            <w:r>
              <w:rPr>
                <w:noProof/>
                <w:webHidden/>
              </w:rPr>
              <w:fldChar w:fldCharType="begin"/>
            </w:r>
            <w:r w:rsidR="00247196">
              <w:rPr>
                <w:noProof/>
                <w:webHidden/>
              </w:rPr>
              <w:instrText xml:space="preserve"> PAGEREF _Toc220155744 \h </w:instrText>
            </w:r>
            <w:r>
              <w:rPr>
                <w:noProof/>
                <w:webHidden/>
              </w:rPr>
            </w:r>
            <w:r>
              <w:rPr>
                <w:noProof/>
                <w:webHidden/>
              </w:rPr>
              <w:fldChar w:fldCharType="separate"/>
            </w:r>
            <w:r w:rsidR="00247196">
              <w:rPr>
                <w:noProof/>
                <w:webHidden/>
              </w:rPr>
              <w:t>11</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45" w:history="1">
            <w:r w:rsidR="00247196" w:rsidRPr="00B1022F">
              <w:rPr>
                <w:rStyle w:val="Hyperlink"/>
                <w:noProof/>
              </w:rPr>
              <w:t>2.2.2 CONSUMER PURCHASE INTENTION AND BRAND PERFORMANCE IN FMCG</w:t>
            </w:r>
            <w:r w:rsidR="00247196">
              <w:rPr>
                <w:noProof/>
                <w:webHidden/>
              </w:rPr>
              <w:tab/>
            </w:r>
            <w:r>
              <w:rPr>
                <w:noProof/>
                <w:webHidden/>
              </w:rPr>
              <w:fldChar w:fldCharType="begin"/>
            </w:r>
            <w:r w:rsidR="00247196">
              <w:rPr>
                <w:noProof/>
                <w:webHidden/>
              </w:rPr>
              <w:instrText xml:space="preserve"> PAGEREF _Toc220155745 \h </w:instrText>
            </w:r>
            <w:r>
              <w:rPr>
                <w:noProof/>
                <w:webHidden/>
              </w:rPr>
            </w:r>
            <w:r>
              <w:rPr>
                <w:noProof/>
                <w:webHidden/>
              </w:rPr>
              <w:fldChar w:fldCharType="separate"/>
            </w:r>
            <w:r w:rsidR="00247196">
              <w:rPr>
                <w:noProof/>
                <w:webHidden/>
              </w:rPr>
              <w:t>12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46" w:history="1">
            <w:r w:rsidR="00247196" w:rsidRPr="00B1022F">
              <w:rPr>
                <w:rStyle w:val="Hyperlink"/>
                <w:noProof/>
              </w:rPr>
              <w:t>2.3 THEORETICAL FOUNDATIONS</w:t>
            </w:r>
            <w:r w:rsidR="00247196">
              <w:rPr>
                <w:noProof/>
                <w:webHidden/>
              </w:rPr>
              <w:tab/>
            </w:r>
            <w:r>
              <w:rPr>
                <w:noProof/>
                <w:webHidden/>
              </w:rPr>
              <w:fldChar w:fldCharType="begin"/>
            </w:r>
            <w:r w:rsidR="00247196">
              <w:rPr>
                <w:noProof/>
                <w:webHidden/>
              </w:rPr>
              <w:instrText xml:space="preserve"> PAGEREF _Toc220155746 \h </w:instrText>
            </w:r>
            <w:r>
              <w:rPr>
                <w:noProof/>
                <w:webHidden/>
              </w:rPr>
            </w:r>
            <w:r>
              <w:rPr>
                <w:noProof/>
                <w:webHidden/>
              </w:rPr>
              <w:fldChar w:fldCharType="separate"/>
            </w:r>
            <w:r w:rsidR="00247196">
              <w:rPr>
                <w:noProof/>
                <w:webHidden/>
              </w:rPr>
              <w:t>13</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47" w:history="1">
            <w:r w:rsidR="00247196" w:rsidRPr="00B1022F">
              <w:rPr>
                <w:rStyle w:val="Hyperlink"/>
                <w:noProof/>
              </w:rPr>
              <w:t>2.3.1 THEORY OF PLANNED BEHAVIOUR (TPB) AND GREEN PURCHASE INTENTION</w:t>
            </w:r>
            <w:r w:rsidR="00247196">
              <w:rPr>
                <w:noProof/>
                <w:webHidden/>
              </w:rPr>
              <w:tab/>
            </w:r>
            <w:r>
              <w:rPr>
                <w:noProof/>
                <w:webHidden/>
              </w:rPr>
              <w:fldChar w:fldCharType="begin"/>
            </w:r>
            <w:r w:rsidR="00247196">
              <w:rPr>
                <w:noProof/>
                <w:webHidden/>
              </w:rPr>
              <w:instrText xml:space="preserve"> PAGEREF _Toc220155747 \h </w:instrText>
            </w:r>
            <w:r>
              <w:rPr>
                <w:noProof/>
                <w:webHidden/>
              </w:rPr>
            </w:r>
            <w:r>
              <w:rPr>
                <w:noProof/>
                <w:webHidden/>
              </w:rPr>
              <w:fldChar w:fldCharType="separate"/>
            </w:r>
            <w:r w:rsidR="00247196">
              <w:rPr>
                <w:noProof/>
                <w:webHidden/>
              </w:rPr>
              <w:t>13</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48" w:history="1">
            <w:r w:rsidR="00247196" w:rsidRPr="00B1022F">
              <w:rPr>
                <w:rStyle w:val="Hyperlink"/>
                <w:noProof/>
              </w:rPr>
              <w:t>2.3.2 RESOURCE-BASED VIEW (RBV), CSR AND BRAND PERFORMANCE</w:t>
            </w:r>
            <w:r w:rsidR="00247196">
              <w:rPr>
                <w:noProof/>
                <w:webHidden/>
              </w:rPr>
              <w:tab/>
            </w:r>
            <w:r>
              <w:rPr>
                <w:noProof/>
                <w:webHidden/>
              </w:rPr>
              <w:fldChar w:fldCharType="begin"/>
            </w:r>
            <w:r w:rsidR="00247196">
              <w:rPr>
                <w:noProof/>
                <w:webHidden/>
              </w:rPr>
              <w:instrText xml:space="preserve"> PAGEREF _Toc220155748 \h </w:instrText>
            </w:r>
            <w:r>
              <w:rPr>
                <w:noProof/>
                <w:webHidden/>
              </w:rPr>
            </w:r>
            <w:r>
              <w:rPr>
                <w:noProof/>
                <w:webHidden/>
              </w:rPr>
              <w:fldChar w:fldCharType="separate"/>
            </w:r>
            <w:r w:rsidR="00247196">
              <w:rPr>
                <w:noProof/>
                <w:webHidden/>
              </w:rPr>
              <w:t>14</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49" w:history="1">
            <w:r w:rsidR="00247196" w:rsidRPr="00B1022F">
              <w:rPr>
                <w:rStyle w:val="Hyperlink"/>
                <w:noProof/>
              </w:rPr>
              <w:t>2.4 EMPIRICAL EVIDENCE ON GREEN MARKETING, PURCHASE INTENTION AND BRAND OUTCOMES</w:t>
            </w:r>
            <w:r w:rsidR="00247196">
              <w:rPr>
                <w:noProof/>
                <w:webHidden/>
              </w:rPr>
              <w:tab/>
            </w:r>
            <w:r>
              <w:rPr>
                <w:noProof/>
                <w:webHidden/>
              </w:rPr>
              <w:fldChar w:fldCharType="begin"/>
            </w:r>
            <w:r w:rsidR="00247196">
              <w:rPr>
                <w:noProof/>
                <w:webHidden/>
              </w:rPr>
              <w:instrText xml:space="preserve"> PAGEREF _Toc220155749 \h </w:instrText>
            </w:r>
            <w:r>
              <w:rPr>
                <w:noProof/>
                <w:webHidden/>
              </w:rPr>
            </w:r>
            <w:r>
              <w:rPr>
                <w:noProof/>
                <w:webHidden/>
              </w:rPr>
              <w:fldChar w:fldCharType="separate"/>
            </w:r>
            <w:r w:rsidR="00247196">
              <w:rPr>
                <w:noProof/>
                <w:webHidden/>
              </w:rPr>
              <w:t>16</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50" w:history="1">
            <w:r w:rsidR="00247196" w:rsidRPr="00B1022F">
              <w:rPr>
                <w:rStyle w:val="Hyperlink"/>
                <w:noProof/>
              </w:rPr>
              <w:t>2.4.1 EVIDENCE FROM BANGLADESH: GREEN PACKAGING, GREEN PRODUCTS AND YOUTH MARKETS</w:t>
            </w:r>
            <w:r w:rsidR="00247196">
              <w:rPr>
                <w:noProof/>
                <w:webHidden/>
              </w:rPr>
              <w:tab/>
            </w:r>
            <w:r>
              <w:rPr>
                <w:noProof/>
                <w:webHidden/>
              </w:rPr>
              <w:fldChar w:fldCharType="begin"/>
            </w:r>
            <w:r w:rsidR="00247196">
              <w:rPr>
                <w:noProof/>
                <w:webHidden/>
              </w:rPr>
              <w:instrText xml:space="preserve"> PAGEREF _Toc220155750 \h </w:instrText>
            </w:r>
            <w:r>
              <w:rPr>
                <w:noProof/>
                <w:webHidden/>
              </w:rPr>
            </w:r>
            <w:r>
              <w:rPr>
                <w:noProof/>
                <w:webHidden/>
              </w:rPr>
              <w:fldChar w:fldCharType="separate"/>
            </w:r>
            <w:r w:rsidR="00247196">
              <w:rPr>
                <w:noProof/>
                <w:webHidden/>
              </w:rPr>
              <w:t>16</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51" w:history="1">
            <w:r w:rsidR="00247196" w:rsidRPr="00B1022F">
              <w:rPr>
                <w:rStyle w:val="Hyperlink"/>
                <w:noProof/>
              </w:rPr>
              <w:t>2.4.2 EVIDENCE FROM OTHER EMERGING MARKETS AND FMCG CONTEXTS</w:t>
            </w:r>
            <w:r w:rsidR="00247196">
              <w:rPr>
                <w:noProof/>
                <w:webHidden/>
              </w:rPr>
              <w:tab/>
            </w:r>
            <w:r>
              <w:rPr>
                <w:noProof/>
                <w:webHidden/>
              </w:rPr>
              <w:fldChar w:fldCharType="begin"/>
            </w:r>
            <w:r w:rsidR="00247196">
              <w:rPr>
                <w:noProof/>
                <w:webHidden/>
              </w:rPr>
              <w:instrText xml:space="preserve"> PAGEREF _Toc220155751 \h </w:instrText>
            </w:r>
            <w:r>
              <w:rPr>
                <w:noProof/>
                <w:webHidden/>
              </w:rPr>
            </w:r>
            <w:r>
              <w:rPr>
                <w:noProof/>
                <w:webHidden/>
              </w:rPr>
              <w:fldChar w:fldCharType="separate"/>
            </w:r>
            <w:r w:rsidR="00247196">
              <w:rPr>
                <w:noProof/>
                <w:webHidden/>
              </w:rPr>
              <w:t>17</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52" w:history="1">
            <w:r w:rsidR="00247196" w:rsidRPr="00B1022F">
              <w:rPr>
                <w:rStyle w:val="Hyperlink"/>
                <w:noProof/>
              </w:rPr>
              <w:t>2.4.3 BRAND-RELATED OUTCOMES: TRUST, EQUITY, LOYALTY AND WORD-OF-MOUTH</w:t>
            </w:r>
            <w:r w:rsidR="00247196">
              <w:rPr>
                <w:noProof/>
                <w:webHidden/>
              </w:rPr>
              <w:tab/>
            </w:r>
            <w:r>
              <w:rPr>
                <w:noProof/>
                <w:webHidden/>
              </w:rPr>
              <w:fldChar w:fldCharType="begin"/>
            </w:r>
            <w:r w:rsidR="00247196">
              <w:rPr>
                <w:noProof/>
                <w:webHidden/>
              </w:rPr>
              <w:instrText xml:space="preserve"> PAGEREF _Toc220155752 \h </w:instrText>
            </w:r>
            <w:r>
              <w:rPr>
                <w:noProof/>
                <w:webHidden/>
              </w:rPr>
            </w:r>
            <w:r>
              <w:rPr>
                <w:noProof/>
                <w:webHidden/>
              </w:rPr>
              <w:fldChar w:fldCharType="separate"/>
            </w:r>
            <w:r w:rsidR="00247196">
              <w:rPr>
                <w:noProof/>
                <w:webHidden/>
              </w:rPr>
              <w:t>17</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53" w:history="1">
            <w:r w:rsidR="00247196" w:rsidRPr="00B1022F">
              <w:rPr>
                <w:rStyle w:val="Hyperlink"/>
                <w:noProof/>
              </w:rPr>
              <w:t>2.4.4 BANGLADESH COMPARED WITH OTHER EMERGING FMCG MARKETS</w:t>
            </w:r>
            <w:r w:rsidR="00247196">
              <w:rPr>
                <w:noProof/>
                <w:webHidden/>
              </w:rPr>
              <w:tab/>
            </w:r>
            <w:r>
              <w:rPr>
                <w:noProof/>
                <w:webHidden/>
              </w:rPr>
              <w:fldChar w:fldCharType="begin"/>
            </w:r>
            <w:r w:rsidR="00247196">
              <w:rPr>
                <w:noProof/>
                <w:webHidden/>
              </w:rPr>
              <w:instrText xml:space="preserve"> PAGEREF _Toc220155753 \h </w:instrText>
            </w:r>
            <w:r>
              <w:rPr>
                <w:noProof/>
                <w:webHidden/>
              </w:rPr>
            </w:r>
            <w:r>
              <w:rPr>
                <w:noProof/>
                <w:webHidden/>
              </w:rPr>
              <w:fldChar w:fldCharType="separate"/>
            </w:r>
            <w:r w:rsidR="00247196">
              <w:rPr>
                <w:noProof/>
                <w:webHidden/>
              </w:rPr>
              <w:t>19</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54" w:history="1">
            <w:r w:rsidR="00247196" w:rsidRPr="00B1022F">
              <w:rPr>
                <w:rStyle w:val="Hyperlink"/>
                <w:noProof/>
              </w:rPr>
              <w:t>2.5 RESEARCH GAP AND JUSTIFICATION FOR THE STUDY</w:t>
            </w:r>
            <w:r w:rsidR="00247196">
              <w:rPr>
                <w:noProof/>
                <w:webHidden/>
              </w:rPr>
              <w:tab/>
            </w:r>
            <w:r>
              <w:rPr>
                <w:noProof/>
                <w:webHidden/>
              </w:rPr>
              <w:fldChar w:fldCharType="begin"/>
            </w:r>
            <w:r w:rsidR="00247196">
              <w:rPr>
                <w:noProof/>
                <w:webHidden/>
              </w:rPr>
              <w:instrText xml:space="preserve"> PAGEREF _Toc220155754 \h </w:instrText>
            </w:r>
            <w:r>
              <w:rPr>
                <w:noProof/>
                <w:webHidden/>
              </w:rPr>
            </w:r>
            <w:r>
              <w:rPr>
                <w:noProof/>
                <w:webHidden/>
              </w:rPr>
              <w:fldChar w:fldCharType="separate"/>
            </w:r>
            <w:r w:rsidR="00247196">
              <w:rPr>
                <w:noProof/>
                <w:webHidden/>
              </w:rPr>
              <w:t>20</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55" w:history="1">
            <w:r w:rsidR="00247196" w:rsidRPr="00B1022F">
              <w:rPr>
                <w:rStyle w:val="Hyperlink"/>
                <w:noProof/>
              </w:rPr>
              <w:t>2.6 CHAPTER SUMMARY</w:t>
            </w:r>
            <w:r w:rsidR="00247196">
              <w:rPr>
                <w:noProof/>
                <w:webHidden/>
              </w:rPr>
              <w:tab/>
            </w:r>
            <w:r>
              <w:rPr>
                <w:noProof/>
                <w:webHidden/>
              </w:rPr>
              <w:fldChar w:fldCharType="begin"/>
            </w:r>
            <w:r w:rsidR="00247196">
              <w:rPr>
                <w:noProof/>
                <w:webHidden/>
              </w:rPr>
              <w:instrText xml:space="preserve"> PAGEREF _Toc220155755 \h </w:instrText>
            </w:r>
            <w:r>
              <w:rPr>
                <w:noProof/>
                <w:webHidden/>
              </w:rPr>
            </w:r>
            <w:r>
              <w:rPr>
                <w:noProof/>
                <w:webHidden/>
              </w:rPr>
              <w:fldChar w:fldCharType="separate"/>
            </w:r>
            <w:r w:rsidR="00247196">
              <w:rPr>
                <w:noProof/>
                <w:webHidden/>
              </w:rPr>
              <w:t>20</w:t>
            </w:r>
            <w:r>
              <w:rPr>
                <w:noProof/>
                <w:webHidden/>
              </w:rPr>
              <w:fldChar w:fldCharType="end"/>
            </w:r>
          </w:hyperlink>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756" w:history="1">
            <w:r w:rsidR="00247196" w:rsidRPr="00B1022F">
              <w:rPr>
                <w:rStyle w:val="Hyperlink"/>
                <w:noProof/>
              </w:rPr>
              <w:t>CHAPTER 3: RESEARCH METHODOLOGY</w:t>
            </w:r>
            <w:r w:rsidR="00247196">
              <w:rPr>
                <w:noProof/>
                <w:webHidden/>
              </w:rPr>
              <w:tab/>
            </w:r>
            <w:r>
              <w:rPr>
                <w:noProof/>
                <w:webHidden/>
              </w:rPr>
              <w:fldChar w:fldCharType="begin"/>
            </w:r>
            <w:r w:rsidR="00247196">
              <w:rPr>
                <w:noProof/>
                <w:webHidden/>
              </w:rPr>
              <w:instrText xml:space="preserve"> PAGEREF _Toc220155756 \h </w:instrText>
            </w:r>
            <w:r>
              <w:rPr>
                <w:noProof/>
                <w:webHidden/>
              </w:rPr>
            </w:r>
            <w:r>
              <w:rPr>
                <w:noProof/>
                <w:webHidden/>
              </w:rPr>
              <w:fldChar w:fldCharType="separate"/>
            </w:r>
            <w:r w:rsidR="00247196">
              <w:rPr>
                <w:noProof/>
                <w:webHidden/>
              </w:rPr>
              <w:t>22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57" w:history="1">
            <w:r w:rsidR="00247196" w:rsidRPr="00B1022F">
              <w:rPr>
                <w:rStyle w:val="Hyperlink"/>
                <w:noProof/>
              </w:rPr>
              <w:t>3.0 CHAPTER OVERVIEW</w:t>
            </w:r>
            <w:r w:rsidR="00247196">
              <w:rPr>
                <w:noProof/>
                <w:webHidden/>
              </w:rPr>
              <w:tab/>
            </w:r>
            <w:r>
              <w:rPr>
                <w:noProof/>
                <w:webHidden/>
              </w:rPr>
              <w:fldChar w:fldCharType="begin"/>
            </w:r>
            <w:r w:rsidR="00247196">
              <w:rPr>
                <w:noProof/>
                <w:webHidden/>
              </w:rPr>
              <w:instrText xml:space="preserve"> PAGEREF _Toc220155757 \h </w:instrText>
            </w:r>
            <w:r>
              <w:rPr>
                <w:noProof/>
                <w:webHidden/>
              </w:rPr>
            </w:r>
            <w:r>
              <w:rPr>
                <w:noProof/>
                <w:webHidden/>
              </w:rPr>
              <w:fldChar w:fldCharType="separate"/>
            </w:r>
            <w:r w:rsidR="00247196">
              <w:rPr>
                <w:noProof/>
                <w:webHidden/>
              </w:rPr>
              <w:t>22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58" w:history="1">
            <w:r w:rsidR="00247196" w:rsidRPr="00B1022F">
              <w:rPr>
                <w:rStyle w:val="Hyperlink"/>
                <w:noProof/>
              </w:rPr>
              <w:t>3.2 RESEARCH PHILOSOPHY</w:t>
            </w:r>
            <w:r w:rsidR="00247196">
              <w:rPr>
                <w:noProof/>
                <w:webHidden/>
              </w:rPr>
              <w:tab/>
            </w:r>
            <w:r>
              <w:rPr>
                <w:noProof/>
                <w:webHidden/>
              </w:rPr>
              <w:fldChar w:fldCharType="begin"/>
            </w:r>
            <w:r w:rsidR="00247196">
              <w:rPr>
                <w:noProof/>
                <w:webHidden/>
              </w:rPr>
              <w:instrText xml:space="preserve"> PAGEREF _Toc220155758 \h </w:instrText>
            </w:r>
            <w:r>
              <w:rPr>
                <w:noProof/>
                <w:webHidden/>
              </w:rPr>
            </w:r>
            <w:r>
              <w:rPr>
                <w:noProof/>
                <w:webHidden/>
              </w:rPr>
              <w:fldChar w:fldCharType="separate"/>
            </w:r>
            <w:r w:rsidR="00247196">
              <w:rPr>
                <w:noProof/>
                <w:webHidden/>
              </w:rPr>
              <w:t>22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59" w:history="1">
            <w:r w:rsidR="00247196" w:rsidRPr="00B1022F">
              <w:rPr>
                <w:rStyle w:val="Hyperlink"/>
                <w:noProof/>
              </w:rPr>
              <w:t>3.3 RESEARCH APPROACH</w:t>
            </w:r>
            <w:r w:rsidR="00247196">
              <w:rPr>
                <w:noProof/>
                <w:webHidden/>
              </w:rPr>
              <w:tab/>
            </w:r>
            <w:r>
              <w:rPr>
                <w:noProof/>
                <w:webHidden/>
              </w:rPr>
              <w:fldChar w:fldCharType="begin"/>
            </w:r>
            <w:r w:rsidR="00247196">
              <w:rPr>
                <w:noProof/>
                <w:webHidden/>
              </w:rPr>
              <w:instrText xml:space="preserve"> PAGEREF _Toc220155759 \h </w:instrText>
            </w:r>
            <w:r>
              <w:rPr>
                <w:noProof/>
                <w:webHidden/>
              </w:rPr>
            </w:r>
            <w:r>
              <w:rPr>
                <w:noProof/>
                <w:webHidden/>
              </w:rPr>
              <w:fldChar w:fldCharType="separate"/>
            </w:r>
            <w:r w:rsidR="00247196">
              <w:rPr>
                <w:noProof/>
                <w:webHidden/>
              </w:rPr>
              <w:t>23</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60" w:history="1">
            <w:r w:rsidR="00247196" w:rsidRPr="00B1022F">
              <w:rPr>
                <w:rStyle w:val="Hyperlink"/>
                <w:noProof/>
              </w:rPr>
              <w:t>3.4 RESEARCH STRATEGY</w:t>
            </w:r>
            <w:r w:rsidR="00247196">
              <w:rPr>
                <w:noProof/>
                <w:webHidden/>
              </w:rPr>
              <w:tab/>
            </w:r>
            <w:r>
              <w:rPr>
                <w:noProof/>
                <w:webHidden/>
              </w:rPr>
              <w:fldChar w:fldCharType="begin"/>
            </w:r>
            <w:r w:rsidR="00247196">
              <w:rPr>
                <w:noProof/>
                <w:webHidden/>
              </w:rPr>
              <w:instrText xml:space="preserve"> PAGEREF _Toc220155760 \h </w:instrText>
            </w:r>
            <w:r>
              <w:rPr>
                <w:noProof/>
                <w:webHidden/>
              </w:rPr>
            </w:r>
            <w:r>
              <w:rPr>
                <w:noProof/>
                <w:webHidden/>
              </w:rPr>
              <w:fldChar w:fldCharType="separate"/>
            </w:r>
            <w:r w:rsidR="00247196">
              <w:rPr>
                <w:noProof/>
                <w:webHidden/>
              </w:rPr>
              <w:t>23</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61" w:history="1">
            <w:r w:rsidR="00247196" w:rsidRPr="00B1022F">
              <w:rPr>
                <w:rStyle w:val="Hyperlink"/>
                <w:noProof/>
              </w:rPr>
              <w:t>3.5 PRISMA FRAMEWORK</w:t>
            </w:r>
            <w:r w:rsidR="00247196">
              <w:rPr>
                <w:noProof/>
                <w:webHidden/>
              </w:rPr>
              <w:tab/>
            </w:r>
            <w:r>
              <w:rPr>
                <w:noProof/>
                <w:webHidden/>
              </w:rPr>
              <w:fldChar w:fldCharType="begin"/>
            </w:r>
            <w:r w:rsidR="00247196">
              <w:rPr>
                <w:noProof/>
                <w:webHidden/>
              </w:rPr>
              <w:instrText xml:space="preserve"> PAGEREF _Toc220155761 \h </w:instrText>
            </w:r>
            <w:r>
              <w:rPr>
                <w:noProof/>
                <w:webHidden/>
              </w:rPr>
            </w:r>
            <w:r>
              <w:rPr>
                <w:noProof/>
                <w:webHidden/>
              </w:rPr>
              <w:fldChar w:fldCharType="separate"/>
            </w:r>
            <w:r w:rsidR="00247196">
              <w:rPr>
                <w:noProof/>
                <w:webHidden/>
              </w:rPr>
              <w:t>24</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62" w:history="1">
            <w:r w:rsidR="00247196" w:rsidRPr="00B1022F">
              <w:rPr>
                <w:rStyle w:val="Hyperlink"/>
                <w:noProof/>
              </w:rPr>
              <w:t>3.6 DATA SOURCES AND SEARCH PROCEDURES</w:t>
            </w:r>
            <w:r w:rsidR="00247196">
              <w:rPr>
                <w:noProof/>
                <w:webHidden/>
              </w:rPr>
              <w:tab/>
            </w:r>
            <w:r>
              <w:rPr>
                <w:noProof/>
                <w:webHidden/>
              </w:rPr>
              <w:fldChar w:fldCharType="begin"/>
            </w:r>
            <w:r w:rsidR="00247196">
              <w:rPr>
                <w:noProof/>
                <w:webHidden/>
              </w:rPr>
              <w:instrText xml:space="preserve"> PAGEREF _Toc220155762 \h </w:instrText>
            </w:r>
            <w:r>
              <w:rPr>
                <w:noProof/>
                <w:webHidden/>
              </w:rPr>
            </w:r>
            <w:r>
              <w:rPr>
                <w:noProof/>
                <w:webHidden/>
              </w:rPr>
              <w:fldChar w:fldCharType="separate"/>
            </w:r>
            <w:r w:rsidR="00247196">
              <w:rPr>
                <w:noProof/>
                <w:webHidden/>
              </w:rPr>
              <w:t>25</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63" w:history="1">
            <w:r w:rsidR="00247196" w:rsidRPr="00B1022F">
              <w:rPr>
                <w:rStyle w:val="Hyperlink"/>
                <w:noProof/>
              </w:rPr>
              <w:t>3.6.1 DATA SOURCES AND DATABASES</w:t>
            </w:r>
            <w:r w:rsidR="00247196">
              <w:rPr>
                <w:noProof/>
                <w:webHidden/>
              </w:rPr>
              <w:tab/>
            </w:r>
            <w:r>
              <w:rPr>
                <w:noProof/>
                <w:webHidden/>
              </w:rPr>
              <w:fldChar w:fldCharType="begin"/>
            </w:r>
            <w:r w:rsidR="00247196">
              <w:rPr>
                <w:noProof/>
                <w:webHidden/>
              </w:rPr>
              <w:instrText xml:space="preserve"> PAGEREF _Toc220155763 \h </w:instrText>
            </w:r>
            <w:r>
              <w:rPr>
                <w:noProof/>
                <w:webHidden/>
              </w:rPr>
            </w:r>
            <w:r>
              <w:rPr>
                <w:noProof/>
                <w:webHidden/>
              </w:rPr>
              <w:fldChar w:fldCharType="separate"/>
            </w:r>
            <w:r w:rsidR="00247196">
              <w:rPr>
                <w:noProof/>
                <w:webHidden/>
              </w:rPr>
              <w:t>25</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64" w:history="1">
            <w:r w:rsidR="00247196" w:rsidRPr="00B1022F">
              <w:rPr>
                <w:rStyle w:val="Hyperlink"/>
                <w:noProof/>
              </w:rPr>
              <w:t>3.6.2 SEARCH TERMS AND SEARCH PROCESS</w:t>
            </w:r>
            <w:r w:rsidR="00247196">
              <w:rPr>
                <w:noProof/>
                <w:webHidden/>
              </w:rPr>
              <w:tab/>
            </w:r>
            <w:r>
              <w:rPr>
                <w:noProof/>
                <w:webHidden/>
              </w:rPr>
              <w:fldChar w:fldCharType="begin"/>
            </w:r>
            <w:r w:rsidR="00247196">
              <w:rPr>
                <w:noProof/>
                <w:webHidden/>
              </w:rPr>
              <w:instrText xml:space="preserve"> PAGEREF _Toc220155764 \h </w:instrText>
            </w:r>
            <w:r>
              <w:rPr>
                <w:noProof/>
                <w:webHidden/>
              </w:rPr>
            </w:r>
            <w:r>
              <w:rPr>
                <w:noProof/>
                <w:webHidden/>
              </w:rPr>
              <w:fldChar w:fldCharType="separate"/>
            </w:r>
            <w:r w:rsidR="00247196">
              <w:rPr>
                <w:noProof/>
                <w:webHidden/>
              </w:rPr>
              <w:t>25</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65" w:history="1">
            <w:r w:rsidR="00247196" w:rsidRPr="00B1022F">
              <w:rPr>
                <w:rStyle w:val="Hyperlink"/>
                <w:noProof/>
              </w:rPr>
              <w:t>3.7 INCLUSION AND EXCLUSION CRITERIA</w:t>
            </w:r>
            <w:r w:rsidR="00247196">
              <w:rPr>
                <w:noProof/>
                <w:webHidden/>
              </w:rPr>
              <w:tab/>
            </w:r>
            <w:r>
              <w:rPr>
                <w:noProof/>
                <w:webHidden/>
              </w:rPr>
              <w:fldChar w:fldCharType="begin"/>
            </w:r>
            <w:r w:rsidR="00247196">
              <w:rPr>
                <w:noProof/>
                <w:webHidden/>
              </w:rPr>
              <w:instrText xml:space="preserve"> PAGEREF _Toc220155765 \h </w:instrText>
            </w:r>
            <w:r>
              <w:rPr>
                <w:noProof/>
                <w:webHidden/>
              </w:rPr>
            </w:r>
            <w:r>
              <w:rPr>
                <w:noProof/>
                <w:webHidden/>
              </w:rPr>
              <w:fldChar w:fldCharType="separate"/>
            </w:r>
            <w:r w:rsidR="00247196">
              <w:rPr>
                <w:noProof/>
                <w:webHidden/>
              </w:rPr>
              <w:t>26</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66" w:history="1">
            <w:r w:rsidR="00247196" w:rsidRPr="00B1022F">
              <w:rPr>
                <w:rStyle w:val="Hyperlink"/>
                <w:noProof/>
              </w:rPr>
              <w:t>3.8 DATA EXTRACTION AND CODING</w:t>
            </w:r>
            <w:r w:rsidR="00247196">
              <w:rPr>
                <w:noProof/>
                <w:webHidden/>
              </w:rPr>
              <w:tab/>
            </w:r>
            <w:r>
              <w:rPr>
                <w:noProof/>
                <w:webHidden/>
              </w:rPr>
              <w:fldChar w:fldCharType="begin"/>
            </w:r>
            <w:r w:rsidR="00247196">
              <w:rPr>
                <w:noProof/>
                <w:webHidden/>
              </w:rPr>
              <w:instrText xml:space="preserve"> PAGEREF _Toc220155766 \h </w:instrText>
            </w:r>
            <w:r>
              <w:rPr>
                <w:noProof/>
                <w:webHidden/>
              </w:rPr>
            </w:r>
            <w:r>
              <w:rPr>
                <w:noProof/>
                <w:webHidden/>
              </w:rPr>
              <w:fldChar w:fldCharType="separate"/>
            </w:r>
            <w:r w:rsidR="00247196">
              <w:rPr>
                <w:noProof/>
                <w:webHidden/>
              </w:rPr>
              <w:t>27</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67" w:history="1">
            <w:r w:rsidR="00247196" w:rsidRPr="00B1022F">
              <w:rPr>
                <w:rStyle w:val="Hyperlink"/>
                <w:noProof/>
              </w:rPr>
              <w:t>3.9 QUALITY APPRAISAL</w:t>
            </w:r>
            <w:r w:rsidR="00247196">
              <w:rPr>
                <w:noProof/>
                <w:webHidden/>
              </w:rPr>
              <w:tab/>
            </w:r>
            <w:r>
              <w:rPr>
                <w:noProof/>
                <w:webHidden/>
              </w:rPr>
              <w:fldChar w:fldCharType="begin"/>
            </w:r>
            <w:r w:rsidR="00247196">
              <w:rPr>
                <w:noProof/>
                <w:webHidden/>
              </w:rPr>
              <w:instrText xml:space="preserve"> PAGEREF _Toc220155767 \h </w:instrText>
            </w:r>
            <w:r>
              <w:rPr>
                <w:noProof/>
                <w:webHidden/>
              </w:rPr>
            </w:r>
            <w:r>
              <w:rPr>
                <w:noProof/>
                <w:webHidden/>
              </w:rPr>
              <w:fldChar w:fldCharType="separate"/>
            </w:r>
            <w:r w:rsidR="00247196">
              <w:rPr>
                <w:noProof/>
                <w:webHidden/>
              </w:rPr>
              <w:t>28</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68" w:history="1">
            <w:r w:rsidR="00247196" w:rsidRPr="00B1022F">
              <w:rPr>
                <w:rStyle w:val="Hyperlink"/>
                <w:noProof/>
              </w:rPr>
              <w:t>3.10 DATA ANALYSIS AND SYNTHESIS</w:t>
            </w:r>
            <w:r w:rsidR="00247196">
              <w:rPr>
                <w:noProof/>
                <w:webHidden/>
              </w:rPr>
              <w:tab/>
            </w:r>
            <w:r>
              <w:rPr>
                <w:noProof/>
                <w:webHidden/>
              </w:rPr>
              <w:fldChar w:fldCharType="begin"/>
            </w:r>
            <w:r w:rsidR="00247196">
              <w:rPr>
                <w:noProof/>
                <w:webHidden/>
              </w:rPr>
              <w:instrText xml:space="preserve"> PAGEREF _Toc220155768 \h </w:instrText>
            </w:r>
            <w:r>
              <w:rPr>
                <w:noProof/>
                <w:webHidden/>
              </w:rPr>
            </w:r>
            <w:r>
              <w:rPr>
                <w:noProof/>
                <w:webHidden/>
              </w:rPr>
              <w:fldChar w:fldCharType="separate"/>
            </w:r>
            <w:r w:rsidR="00247196">
              <w:rPr>
                <w:noProof/>
                <w:webHidden/>
              </w:rPr>
              <w:t>29</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69" w:history="1">
            <w:r w:rsidR="00247196" w:rsidRPr="00B1022F">
              <w:rPr>
                <w:rStyle w:val="Hyperlink"/>
                <w:noProof/>
              </w:rPr>
              <w:t>3.11 ETHICAL CONSIDERATIONS</w:t>
            </w:r>
            <w:r w:rsidR="00247196">
              <w:rPr>
                <w:noProof/>
                <w:webHidden/>
              </w:rPr>
              <w:tab/>
            </w:r>
            <w:r>
              <w:rPr>
                <w:noProof/>
                <w:webHidden/>
              </w:rPr>
              <w:fldChar w:fldCharType="begin"/>
            </w:r>
            <w:r w:rsidR="00247196">
              <w:rPr>
                <w:noProof/>
                <w:webHidden/>
              </w:rPr>
              <w:instrText xml:space="preserve"> PAGEREF _Toc220155769 \h </w:instrText>
            </w:r>
            <w:r>
              <w:rPr>
                <w:noProof/>
                <w:webHidden/>
              </w:rPr>
            </w:r>
            <w:r>
              <w:rPr>
                <w:noProof/>
                <w:webHidden/>
              </w:rPr>
              <w:fldChar w:fldCharType="separate"/>
            </w:r>
            <w:r w:rsidR="00247196">
              <w:rPr>
                <w:noProof/>
                <w:webHidden/>
              </w:rPr>
              <w:t>30</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70" w:history="1">
            <w:r w:rsidR="00247196" w:rsidRPr="00B1022F">
              <w:rPr>
                <w:rStyle w:val="Hyperlink"/>
                <w:noProof/>
              </w:rPr>
              <w:t>3.12 METHODOLOGICAL LIMITATIONS</w:t>
            </w:r>
            <w:r w:rsidR="00247196">
              <w:rPr>
                <w:noProof/>
                <w:webHidden/>
              </w:rPr>
              <w:tab/>
            </w:r>
            <w:r>
              <w:rPr>
                <w:noProof/>
                <w:webHidden/>
              </w:rPr>
              <w:fldChar w:fldCharType="begin"/>
            </w:r>
            <w:r w:rsidR="00247196">
              <w:rPr>
                <w:noProof/>
                <w:webHidden/>
              </w:rPr>
              <w:instrText xml:space="preserve"> PAGEREF _Toc220155770 \h </w:instrText>
            </w:r>
            <w:r>
              <w:rPr>
                <w:noProof/>
                <w:webHidden/>
              </w:rPr>
            </w:r>
            <w:r>
              <w:rPr>
                <w:noProof/>
                <w:webHidden/>
              </w:rPr>
              <w:fldChar w:fldCharType="separate"/>
            </w:r>
            <w:r w:rsidR="00247196">
              <w:rPr>
                <w:noProof/>
                <w:webHidden/>
              </w:rPr>
              <w:t>30</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71" w:history="1">
            <w:r w:rsidR="00247196" w:rsidRPr="00B1022F">
              <w:rPr>
                <w:rStyle w:val="Hyperlink"/>
                <w:noProof/>
              </w:rPr>
              <w:t>3.13 CHAPTER SUMMARY</w:t>
            </w:r>
            <w:r w:rsidR="00247196">
              <w:rPr>
                <w:noProof/>
                <w:webHidden/>
              </w:rPr>
              <w:tab/>
            </w:r>
            <w:r>
              <w:rPr>
                <w:noProof/>
                <w:webHidden/>
              </w:rPr>
              <w:fldChar w:fldCharType="begin"/>
            </w:r>
            <w:r w:rsidR="00247196">
              <w:rPr>
                <w:noProof/>
                <w:webHidden/>
              </w:rPr>
              <w:instrText xml:space="preserve"> PAGEREF _Toc220155771 \h </w:instrText>
            </w:r>
            <w:r>
              <w:rPr>
                <w:noProof/>
                <w:webHidden/>
              </w:rPr>
            </w:r>
            <w:r>
              <w:rPr>
                <w:noProof/>
                <w:webHidden/>
              </w:rPr>
              <w:fldChar w:fldCharType="separate"/>
            </w:r>
            <w:r w:rsidR="00247196">
              <w:rPr>
                <w:noProof/>
                <w:webHidden/>
              </w:rPr>
              <w:t>30</w:t>
            </w:r>
            <w:r>
              <w:rPr>
                <w:noProof/>
                <w:webHidden/>
              </w:rPr>
              <w:fldChar w:fldCharType="end"/>
            </w:r>
          </w:hyperlink>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772" w:history="1">
            <w:r w:rsidR="00247196" w:rsidRPr="00B1022F">
              <w:rPr>
                <w:rStyle w:val="Hyperlink"/>
                <w:noProof/>
              </w:rPr>
              <w:t>CHAPTER 4 – FINDINGS</w:t>
            </w:r>
            <w:r w:rsidR="00247196">
              <w:rPr>
                <w:noProof/>
                <w:webHidden/>
              </w:rPr>
              <w:tab/>
            </w:r>
            <w:r>
              <w:rPr>
                <w:noProof/>
                <w:webHidden/>
              </w:rPr>
              <w:fldChar w:fldCharType="begin"/>
            </w:r>
            <w:r w:rsidR="00247196">
              <w:rPr>
                <w:noProof/>
                <w:webHidden/>
              </w:rPr>
              <w:instrText xml:space="preserve"> PAGEREF _Toc220155772 \h </w:instrText>
            </w:r>
            <w:r>
              <w:rPr>
                <w:noProof/>
                <w:webHidden/>
              </w:rPr>
            </w:r>
            <w:r>
              <w:rPr>
                <w:noProof/>
                <w:webHidden/>
              </w:rPr>
              <w:fldChar w:fldCharType="separate"/>
            </w:r>
            <w:r w:rsidR="00247196">
              <w:rPr>
                <w:noProof/>
                <w:webHidden/>
              </w:rPr>
              <w:t>32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73" w:history="1">
            <w:r w:rsidR="00247196" w:rsidRPr="00B1022F">
              <w:rPr>
                <w:rStyle w:val="Hyperlink"/>
                <w:noProof/>
              </w:rPr>
              <w:t>4.0 CHAPTER OVERVIEW</w:t>
            </w:r>
            <w:r w:rsidR="00247196">
              <w:rPr>
                <w:noProof/>
                <w:webHidden/>
              </w:rPr>
              <w:tab/>
            </w:r>
            <w:r>
              <w:rPr>
                <w:noProof/>
                <w:webHidden/>
              </w:rPr>
              <w:fldChar w:fldCharType="begin"/>
            </w:r>
            <w:r w:rsidR="00247196">
              <w:rPr>
                <w:noProof/>
                <w:webHidden/>
              </w:rPr>
              <w:instrText xml:space="preserve"> PAGEREF _Toc220155773 \h </w:instrText>
            </w:r>
            <w:r>
              <w:rPr>
                <w:noProof/>
                <w:webHidden/>
              </w:rPr>
            </w:r>
            <w:r>
              <w:rPr>
                <w:noProof/>
                <w:webHidden/>
              </w:rPr>
              <w:fldChar w:fldCharType="separate"/>
            </w:r>
            <w:r w:rsidR="00247196">
              <w:rPr>
                <w:noProof/>
                <w:webHidden/>
              </w:rPr>
              <w:t>32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74" w:history="1">
            <w:r w:rsidR="00247196" w:rsidRPr="00B1022F">
              <w:rPr>
                <w:rStyle w:val="Hyperlink"/>
                <w:noProof/>
              </w:rPr>
              <w:t>4.1 STUDY SELECTION AND CHARACTERISTICS</w:t>
            </w:r>
            <w:r w:rsidR="00247196">
              <w:rPr>
                <w:noProof/>
                <w:webHidden/>
              </w:rPr>
              <w:tab/>
            </w:r>
            <w:r>
              <w:rPr>
                <w:noProof/>
                <w:webHidden/>
              </w:rPr>
              <w:fldChar w:fldCharType="begin"/>
            </w:r>
            <w:r w:rsidR="00247196">
              <w:rPr>
                <w:noProof/>
                <w:webHidden/>
              </w:rPr>
              <w:instrText xml:space="preserve"> PAGEREF _Toc220155774 \h </w:instrText>
            </w:r>
            <w:r>
              <w:rPr>
                <w:noProof/>
                <w:webHidden/>
              </w:rPr>
            </w:r>
            <w:r>
              <w:rPr>
                <w:noProof/>
                <w:webHidden/>
              </w:rPr>
              <w:fldChar w:fldCharType="separate"/>
            </w:r>
            <w:r w:rsidR="00247196">
              <w:rPr>
                <w:noProof/>
                <w:webHidden/>
              </w:rPr>
              <w:t>32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75" w:history="1">
            <w:r w:rsidR="00247196" w:rsidRPr="00B1022F">
              <w:rPr>
                <w:rStyle w:val="Hyperlink"/>
                <w:noProof/>
              </w:rPr>
              <w:t>4.2 THEME 1: PRODUCT, PACKAGING, PRICE AND ACCESS CUES SHAPING PURCHASE INTENTION</w:t>
            </w:r>
            <w:r w:rsidR="00247196">
              <w:rPr>
                <w:noProof/>
                <w:webHidden/>
              </w:rPr>
              <w:tab/>
            </w:r>
            <w:r>
              <w:rPr>
                <w:noProof/>
                <w:webHidden/>
              </w:rPr>
              <w:fldChar w:fldCharType="begin"/>
            </w:r>
            <w:r w:rsidR="00247196">
              <w:rPr>
                <w:noProof/>
                <w:webHidden/>
              </w:rPr>
              <w:instrText xml:space="preserve"> PAGEREF _Toc220155775 \h </w:instrText>
            </w:r>
            <w:r>
              <w:rPr>
                <w:noProof/>
                <w:webHidden/>
              </w:rPr>
            </w:r>
            <w:r>
              <w:rPr>
                <w:noProof/>
                <w:webHidden/>
              </w:rPr>
              <w:fldChar w:fldCharType="separate"/>
            </w:r>
            <w:r w:rsidR="00247196">
              <w:rPr>
                <w:noProof/>
                <w:webHidden/>
              </w:rPr>
              <w:t>34</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76" w:history="1">
            <w:r w:rsidR="00247196" w:rsidRPr="00B1022F">
              <w:rPr>
                <w:rStyle w:val="Hyperlink"/>
                <w:noProof/>
              </w:rPr>
              <w:t>4.2.1 PRODUCT ATTRIBUTES AND PACKAGING CUES AS FAST “GREEN” SIGNALS</w:t>
            </w:r>
            <w:r w:rsidR="00247196">
              <w:rPr>
                <w:noProof/>
                <w:webHidden/>
              </w:rPr>
              <w:tab/>
            </w:r>
            <w:r>
              <w:rPr>
                <w:noProof/>
                <w:webHidden/>
              </w:rPr>
              <w:fldChar w:fldCharType="begin"/>
            </w:r>
            <w:r w:rsidR="00247196">
              <w:rPr>
                <w:noProof/>
                <w:webHidden/>
              </w:rPr>
              <w:instrText xml:space="preserve"> PAGEREF _Toc220155776 \h </w:instrText>
            </w:r>
            <w:r>
              <w:rPr>
                <w:noProof/>
                <w:webHidden/>
              </w:rPr>
            </w:r>
            <w:r>
              <w:rPr>
                <w:noProof/>
                <w:webHidden/>
              </w:rPr>
              <w:fldChar w:fldCharType="separate"/>
            </w:r>
            <w:r w:rsidR="00247196">
              <w:rPr>
                <w:noProof/>
                <w:webHidden/>
              </w:rPr>
              <w:t>35</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77" w:history="1">
            <w:r w:rsidR="00247196" w:rsidRPr="00B1022F">
              <w:rPr>
                <w:rStyle w:val="Hyperlink"/>
                <w:noProof/>
              </w:rPr>
              <w:t>4.2.2 PRICE FAIRNESS AND PERCEIVED VALUE DETERMINE WHETHER CUES BECOME INTENTION</w:t>
            </w:r>
            <w:r w:rsidR="00247196">
              <w:rPr>
                <w:noProof/>
                <w:webHidden/>
              </w:rPr>
              <w:tab/>
            </w:r>
            <w:r>
              <w:rPr>
                <w:noProof/>
                <w:webHidden/>
              </w:rPr>
              <w:fldChar w:fldCharType="begin"/>
            </w:r>
            <w:r w:rsidR="00247196">
              <w:rPr>
                <w:noProof/>
                <w:webHidden/>
              </w:rPr>
              <w:instrText xml:space="preserve"> PAGEREF _Toc220155777 \h </w:instrText>
            </w:r>
            <w:r>
              <w:rPr>
                <w:noProof/>
                <w:webHidden/>
              </w:rPr>
            </w:r>
            <w:r>
              <w:rPr>
                <w:noProof/>
                <w:webHidden/>
              </w:rPr>
              <w:fldChar w:fldCharType="separate"/>
            </w:r>
            <w:r w:rsidR="00247196">
              <w:rPr>
                <w:noProof/>
                <w:webHidden/>
              </w:rPr>
              <w:t>36</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78" w:history="1">
            <w:r w:rsidR="00247196" w:rsidRPr="00B1022F">
              <w:rPr>
                <w:rStyle w:val="Hyperlink"/>
                <w:noProof/>
              </w:rPr>
              <w:t>4.2.3 AVAILABILITY, ACCESS AND CONVENIENCE SHAPE FEASIBILITY IN DAILY FMCG PURCHASING</w:t>
            </w:r>
            <w:r w:rsidR="00247196">
              <w:rPr>
                <w:noProof/>
                <w:webHidden/>
              </w:rPr>
              <w:tab/>
            </w:r>
            <w:r>
              <w:rPr>
                <w:noProof/>
                <w:webHidden/>
              </w:rPr>
              <w:fldChar w:fldCharType="begin"/>
            </w:r>
            <w:r w:rsidR="00247196">
              <w:rPr>
                <w:noProof/>
                <w:webHidden/>
              </w:rPr>
              <w:instrText xml:space="preserve"> PAGEREF _Toc220155778 \h </w:instrText>
            </w:r>
            <w:r>
              <w:rPr>
                <w:noProof/>
                <w:webHidden/>
              </w:rPr>
            </w:r>
            <w:r>
              <w:rPr>
                <w:noProof/>
                <w:webHidden/>
              </w:rPr>
              <w:fldChar w:fldCharType="separate"/>
            </w:r>
            <w:r w:rsidR="00247196">
              <w:rPr>
                <w:noProof/>
                <w:webHidden/>
              </w:rPr>
              <w:t>36</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79" w:history="1">
            <w:r w:rsidR="00247196" w:rsidRPr="00B1022F">
              <w:rPr>
                <w:rStyle w:val="Hyperlink"/>
                <w:noProof/>
              </w:rPr>
              <w:t>4.3 COMMUNICATION TOOLS, ECO-LABELS AND CSR AS CREDIBILITY AND ATTITUDE BUILDERS</w:t>
            </w:r>
            <w:r w:rsidR="00247196">
              <w:rPr>
                <w:noProof/>
                <w:webHidden/>
              </w:rPr>
              <w:tab/>
            </w:r>
            <w:r>
              <w:rPr>
                <w:noProof/>
                <w:webHidden/>
              </w:rPr>
              <w:fldChar w:fldCharType="begin"/>
            </w:r>
            <w:r w:rsidR="00247196">
              <w:rPr>
                <w:noProof/>
                <w:webHidden/>
              </w:rPr>
              <w:instrText xml:space="preserve"> PAGEREF _Toc220155779 \h </w:instrText>
            </w:r>
            <w:r>
              <w:rPr>
                <w:noProof/>
                <w:webHidden/>
              </w:rPr>
            </w:r>
            <w:r>
              <w:rPr>
                <w:noProof/>
                <w:webHidden/>
              </w:rPr>
              <w:fldChar w:fldCharType="separate"/>
            </w:r>
            <w:r w:rsidR="00247196">
              <w:rPr>
                <w:noProof/>
                <w:webHidden/>
              </w:rPr>
              <w:t>37</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80" w:history="1">
            <w:r w:rsidR="00247196" w:rsidRPr="00B1022F">
              <w:rPr>
                <w:rStyle w:val="Hyperlink"/>
                <w:noProof/>
              </w:rPr>
              <w:t>4.3.1 ADVERTISING APPEAL AND CREDIBILITY BUILD ATTITUDES THAT DRIVE INTENTION</w:t>
            </w:r>
            <w:r w:rsidR="00247196">
              <w:rPr>
                <w:noProof/>
                <w:webHidden/>
              </w:rPr>
              <w:tab/>
            </w:r>
            <w:r>
              <w:rPr>
                <w:noProof/>
                <w:webHidden/>
              </w:rPr>
              <w:fldChar w:fldCharType="begin"/>
            </w:r>
            <w:r w:rsidR="00247196">
              <w:rPr>
                <w:noProof/>
                <w:webHidden/>
              </w:rPr>
              <w:instrText xml:space="preserve"> PAGEREF _Toc220155780 \h </w:instrText>
            </w:r>
            <w:r>
              <w:rPr>
                <w:noProof/>
                <w:webHidden/>
              </w:rPr>
            </w:r>
            <w:r>
              <w:rPr>
                <w:noProof/>
                <w:webHidden/>
              </w:rPr>
              <w:fldChar w:fldCharType="separate"/>
            </w:r>
            <w:r w:rsidR="00247196">
              <w:rPr>
                <w:noProof/>
                <w:webHidden/>
              </w:rPr>
              <w:t>38</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81" w:history="1">
            <w:r w:rsidR="00247196" w:rsidRPr="00B1022F">
              <w:rPr>
                <w:rStyle w:val="Hyperlink"/>
                <w:noProof/>
              </w:rPr>
              <w:t>4.3.2 ECO-LABELS, INFORMATION AND AWARENESS HELP, BUT DO NOT REPLACE TRUST</w:t>
            </w:r>
            <w:r w:rsidR="00247196">
              <w:rPr>
                <w:noProof/>
                <w:webHidden/>
              </w:rPr>
              <w:tab/>
            </w:r>
            <w:r>
              <w:rPr>
                <w:noProof/>
                <w:webHidden/>
              </w:rPr>
              <w:fldChar w:fldCharType="begin"/>
            </w:r>
            <w:r w:rsidR="00247196">
              <w:rPr>
                <w:noProof/>
                <w:webHidden/>
              </w:rPr>
              <w:instrText xml:space="preserve"> PAGEREF _Toc220155781 \h </w:instrText>
            </w:r>
            <w:r>
              <w:rPr>
                <w:noProof/>
                <w:webHidden/>
              </w:rPr>
            </w:r>
            <w:r>
              <w:rPr>
                <w:noProof/>
                <w:webHidden/>
              </w:rPr>
              <w:fldChar w:fldCharType="separate"/>
            </w:r>
            <w:r w:rsidR="00247196">
              <w:rPr>
                <w:noProof/>
                <w:webHidden/>
              </w:rPr>
              <w:t>39</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82" w:history="1">
            <w:r w:rsidR="00247196" w:rsidRPr="00B1022F">
              <w:rPr>
                <w:rStyle w:val="Hyperlink"/>
                <w:noProof/>
              </w:rPr>
              <w:t>4.3.3 CSR AND RESPONSIBILITY SIGNALS STRENGTHEN INTENTION WHEN THEY APPEAR GENUINE</w:t>
            </w:r>
            <w:r w:rsidR="00247196">
              <w:rPr>
                <w:noProof/>
                <w:webHidden/>
              </w:rPr>
              <w:tab/>
            </w:r>
            <w:r>
              <w:rPr>
                <w:noProof/>
                <w:webHidden/>
              </w:rPr>
              <w:fldChar w:fldCharType="begin"/>
            </w:r>
            <w:r w:rsidR="00247196">
              <w:rPr>
                <w:noProof/>
                <w:webHidden/>
              </w:rPr>
              <w:instrText xml:space="preserve"> PAGEREF _Toc220155782 \h </w:instrText>
            </w:r>
            <w:r>
              <w:rPr>
                <w:noProof/>
                <w:webHidden/>
              </w:rPr>
            </w:r>
            <w:r>
              <w:rPr>
                <w:noProof/>
                <w:webHidden/>
              </w:rPr>
              <w:fldChar w:fldCharType="separate"/>
            </w:r>
            <w:r w:rsidR="00247196">
              <w:rPr>
                <w:noProof/>
                <w:webHidden/>
              </w:rPr>
              <w:t>39</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83" w:history="1">
            <w:r w:rsidR="00247196" w:rsidRPr="00B1022F">
              <w:rPr>
                <w:rStyle w:val="Hyperlink"/>
                <w:noProof/>
              </w:rPr>
              <w:t>4.3.4 TRUST IS THE KEY CONVERSION MECHANISM, AND GREENWASHING RISK WEAKENS INTENTION</w:t>
            </w:r>
            <w:r w:rsidR="00247196">
              <w:rPr>
                <w:noProof/>
                <w:webHidden/>
              </w:rPr>
              <w:tab/>
            </w:r>
            <w:r>
              <w:rPr>
                <w:noProof/>
                <w:webHidden/>
              </w:rPr>
              <w:fldChar w:fldCharType="begin"/>
            </w:r>
            <w:r w:rsidR="00247196">
              <w:rPr>
                <w:noProof/>
                <w:webHidden/>
              </w:rPr>
              <w:instrText xml:space="preserve"> PAGEREF _Toc220155783 \h </w:instrText>
            </w:r>
            <w:r>
              <w:rPr>
                <w:noProof/>
                <w:webHidden/>
              </w:rPr>
            </w:r>
            <w:r>
              <w:rPr>
                <w:noProof/>
                <w:webHidden/>
              </w:rPr>
              <w:fldChar w:fldCharType="separate"/>
            </w:r>
            <w:r w:rsidR="00247196">
              <w:rPr>
                <w:noProof/>
                <w:webHidden/>
              </w:rPr>
              <w:t>40</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84" w:history="1">
            <w:r w:rsidR="00247196" w:rsidRPr="00B1022F">
              <w:rPr>
                <w:rStyle w:val="Hyperlink"/>
                <w:noProof/>
              </w:rPr>
              <w:t>4.4 BRANDING AND LONG-TERM BRAND PERFORMANCE PATHWAYS</w:t>
            </w:r>
            <w:r w:rsidR="00247196">
              <w:rPr>
                <w:noProof/>
                <w:webHidden/>
              </w:rPr>
              <w:tab/>
            </w:r>
            <w:r>
              <w:rPr>
                <w:noProof/>
                <w:webHidden/>
              </w:rPr>
              <w:fldChar w:fldCharType="begin"/>
            </w:r>
            <w:r w:rsidR="00247196">
              <w:rPr>
                <w:noProof/>
                <w:webHidden/>
              </w:rPr>
              <w:instrText xml:space="preserve"> PAGEREF _Toc220155784 \h </w:instrText>
            </w:r>
            <w:r>
              <w:rPr>
                <w:noProof/>
                <w:webHidden/>
              </w:rPr>
            </w:r>
            <w:r>
              <w:rPr>
                <w:noProof/>
                <w:webHidden/>
              </w:rPr>
              <w:fldChar w:fldCharType="separate"/>
            </w:r>
            <w:r w:rsidR="00247196">
              <w:rPr>
                <w:noProof/>
                <w:webHidden/>
              </w:rPr>
              <w:t>40</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85" w:history="1">
            <w:r w:rsidR="00247196" w:rsidRPr="00B1022F">
              <w:rPr>
                <w:rStyle w:val="Hyperlink"/>
                <w:noProof/>
              </w:rPr>
              <w:t>4.4.1 GREEN BRAND IMAGE SUPPORTS INTENTION, BUT MAY NOT BE SUFFICIENT WITHOUT TRUST</w:t>
            </w:r>
            <w:r w:rsidR="00247196">
              <w:rPr>
                <w:noProof/>
                <w:webHidden/>
              </w:rPr>
              <w:tab/>
            </w:r>
            <w:r>
              <w:rPr>
                <w:noProof/>
                <w:webHidden/>
              </w:rPr>
              <w:fldChar w:fldCharType="begin"/>
            </w:r>
            <w:r w:rsidR="00247196">
              <w:rPr>
                <w:noProof/>
                <w:webHidden/>
              </w:rPr>
              <w:instrText xml:space="preserve"> PAGEREF _Toc220155785 \h </w:instrText>
            </w:r>
            <w:r>
              <w:rPr>
                <w:noProof/>
                <w:webHidden/>
              </w:rPr>
            </w:r>
            <w:r>
              <w:rPr>
                <w:noProof/>
                <w:webHidden/>
              </w:rPr>
              <w:fldChar w:fldCharType="separate"/>
            </w:r>
            <w:r w:rsidR="00247196">
              <w:rPr>
                <w:noProof/>
                <w:webHidden/>
              </w:rPr>
              <w:t>41</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86" w:history="1">
            <w:r w:rsidR="00247196" w:rsidRPr="00B1022F">
              <w:rPr>
                <w:rStyle w:val="Hyperlink"/>
                <w:noProof/>
              </w:rPr>
              <w:t>4.4.2 GREEN BRAND EQUITY DEVELOPS THROUGH MARKETING MIX CONSISTENCY AND EQUITY COMPONENTS</w:t>
            </w:r>
            <w:r w:rsidR="00247196">
              <w:rPr>
                <w:noProof/>
                <w:webHidden/>
              </w:rPr>
              <w:tab/>
            </w:r>
            <w:r>
              <w:rPr>
                <w:noProof/>
                <w:webHidden/>
              </w:rPr>
              <w:fldChar w:fldCharType="begin"/>
            </w:r>
            <w:r w:rsidR="00247196">
              <w:rPr>
                <w:noProof/>
                <w:webHidden/>
              </w:rPr>
              <w:instrText xml:space="preserve"> PAGEREF _Toc220155786 \h </w:instrText>
            </w:r>
            <w:r>
              <w:rPr>
                <w:noProof/>
                <w:webHidden/>
              </w:rPr>
            </w:r>
            <w:r>
              <w:rPr>
                <w:noProof/>
                <w:webHidden/>
              </w:rPr>
              <w:fldChar w:fldCharType="separate"/>
            </w:r>
            <w:r w:rsidR="00247196">
              <w:rPr>
                <w:noProof/>
                <w:webHidden/>
              </w:rPr>
              <w:t>41</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87" w:history="1">
            <w:r w:rsidR="00247196" w:rsidRPr="00B1022F">
              <w:rPr>
                <w:rStyle w:val="Hyperlink"/>
                <w:noProof/>
              </w:rPr>
              <w:t>4.4.3 TRUST, SATISFACTION AND LOYALTY CONNECT GREEN MARKETING TO REPEAT OUTCOMES</w:t>
            </w:r>
            <w:r w:rsidR="00247196">
              <w:rPr>
                <w:noProof/>
                <w:webHidden/>
              </w:rPr>
              <w:tab/>
            </w:r>
            <w:r>
              <w:rPr>
                <w:noProof/>
                <w:webHidden/>
              </w:rPr>
              <w:fldChar w:fldCharType="begin"/>
            </w:r>
            <w:r w:rsidR="00247196">
              <w:rPr>
                <w:noProof/>
                <w:webHidden/>
              </w:rPr>
              <w:instrText xml:space="preserve"> PAGEREF _Toc220155787 \h </w:instrText>
            </w:r>
            <w:r>
              <w:rPr>
                <w:noProof/>
                <w:webHidden/>
              </w:rPr>
            </w:r>
            <w:r>
              <w:rPr>
                <w:noProof/>
                <w:webHidden/>
              </w:rPr>
              <w:fldChar w:fldCharType="separate"/>
            </w:r>
            <w:r w:rsidR="00247196">
              <w:rPr>
                <w:noProof/>
                <w:webHidden/>
              </w:rPr>
              <w:t>41</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88" w:history="1">
            <w:r w:rsidR="00247196" w:rsidRPr="00B1022F">
              <w:rPr>
                <w:rStyle w:val="Hyperlink"/>
                <w:noProof/>
              </w:rPr>
              <w:t>4.4.4 WOM AND EWOM ACT AS PERFORMANCE SIGNALS THAT EXTEND BRAND IMPACT</w:t>
            </w:r>
            <w:r w:rsidR="00247196">
              <w:rPr>
                <w:noProof/>
                <w:webHidden/>
              </w:rPr>
              <w:tab/>
            </w:r>
            <w:r>
              <w:rPr>
                <w:noProof/>
                <w:webHidden/>
              </w:rPr>
              <w:fldChar w:fldCharType="begin"/>
            </w:r>
            <w:r w:rsidR="00247196">
              <w:rPr>
                <w:noProof/>
                <w:webHidden/>
              </w:rPr>
              <w:instrText xml:space="preserve"> PAGEREF _Toc220155788 \h </w:instrText>
            </w:r>
            <w:r>
              <w:rPr>
                <w:noProof/>
                <w:webHidden/>
              </w:rPr>
            </w:r>
            <w:r>
              <w:rPr>
                <w:noProof/>
                <w:webHidden/>
              </w:rPr>
              <w:fldChar w:fldCharType="separate"/>
            </w:r>
            <w:r w:rsidR="00247196">
              <w:rPr>
                <w:noProof/>
                <w:webHidden/>
              </w:rPr>
              <w:t>42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89" w:history="1">
            <w:r w:rsidR="00247196" w:rsidRPr="00B1022F">
              <w:rPr>
                <w:rStyle w:val="Hyperlink"/>
                <w:noProof/>
              </w:rPr>
              <w:t>4.5 EMERGING-MARKET REALITIES: WHY INTENTION STRENGTHENS OR FAILS TO CONVERT</w:t>
            </w:r>
            <w:r w:rsidR="00247196">
              <w:rPr>
                <w:noProof/>
                <w:webHidden/>
              </w:rPr>
              <w:tab/>
            </w:r>
            <w:r>
              <w:rPr>
                <w:noProof/>
                <w:webHidden/>
              </w:rPr>
              <w:fldChar w:fldCharType="begin"/>
            </w:r>
            <w:r w:rsidR="00247196">
              <w:rPr>
                <w:noProof/>
                <w:webHidden/>
              </w:rPr>
              <w:instrText xml:space="preserve"> PAGEREF _Toc220155789 \h </w:instrText>
            </w:r>
            <w:r>
              <w:rPr>
                <w:noProof/>
                <w:webHidden/>
              </w:rPr>
            </w:r>
            <w:r>
              <w:rPr>
                <w:noProof/>
                <w:webHidden/>
              </w:rPr>
              <w:fldChar w:fldCharType="separate"/>
            </w:r>
            <w:r w:rsidR="00247196">
              <w:rPr>
                <w:noProof/>
                <w:webHidden/>
              </w:rPr>
              <w:t>42</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90" w:history="1">
            <w:r w:rsidR="00247196" w:rsidRPr="00B1022F">
              <w:rPr>
                <w:rStyle w:val="Hyperlink"/>
                <w:noProof/>
              </w:rPr>
              <w:t>4.5.1 INTENTION–BEHAVIOUR GAPS AND THE ROLE OF PERCEIVED BEHAVIOURAL CONTROL</w:t>
            </w:r>
            <w:r w:rsidR="00247196">
              <w:rPr>
                <w:noProof/>
                <w:webHidden/>
              </w:rPr>
              <w:tab/>
            </w:r>
            <w:r>
              <w:rPr>
                <w:noProof/>
                <w:webHidden/>
              </w:rPr>
              <w:fldChar w:fldCharType="begin"/>
            </w:r>
            <w:r w:rsidR="00247196">
              <w:rPr>
                <w:noProof/>
                <w:webHidden/>
              </w:rPr>
              <w:instrText xml:space="preserve"> PAGEREF _Toc220155790 \h </w:instrText>
            </w:r>
            <w:r>
              <w:rPr>
                <w:noProof/>
                <w:webHidden/>
              </w:rPr>
            </w:r>
            <w:r>
              <w:rPr>
                <w:noProof/>
                <w:webHidden/>
              </w:rPr>
              <w:fldChar w:fldCharType="separate"/>
            </w:r>
            <w:r w:rsidR="00247196">
              <w:rPr>
                <w:noProof/>
                <w:webHidden/>
              </w:rPr>
              <w:t>43</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91" w:history="1">
            <w:r w:rsidR="00247196" w:rsidRPr="00B1022F">
              <w:rPr>
                <w:rStyle w:val="Hyperlink"/>
                <w:noProof/>
              </w:rPr>
              <w:t>4.5.2 PRICE SENSITIVITY, PURCHASING POWER AND PREMIUM ACCEPTANCE</w:t>
            </w:r>
            <w:r w:rsidR="00247196">
              <w:rPr>
                <w:noProof/>
                <w:webHidden/>
              </w:rPr>
              <w:tab/>
            </w:r>
            <w:r>
              <w:rPr>
                <w:noProof/>
                <w:webHidden/>
              </w:rPr>
              <w:fldChar w:fldCharType="begin"/>
            </w:r>
            <w:r w:rsidR="00247196">
              <w:rPr>
                <w:noProof/>
                <w:webHidden/>
              </w:rPr>
              <w:instrText xml:space="preserve"> PAGEREF _Toc220155791 \h </w:instrText>
            </w:r>
            <w:r>
              <w:rPr>
                <w:noProof/>
                <w:webHidden/>
              </w:rPr>
            </w:r>
            <w:r>
              <w:rPr>
                <w:noProof/>
                <w:webHidden/>
              </w:rPr>
              <w:fldChar w:fldCharType="separate"/>
            </w:r>
            <w:r w:rsidR="00247196">
              <w:rPr>
                <w:noProof/>
                <w:webHidden/>
              </w:rPr>
              <w:t>43</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92" w:history="1">
            <w:r w:rsidR="00247196" w:rsidRPr="00B1022F">
              <w:rPr>
                <w:rStyle w:val="Hyperlink"/>
                <w:noProof/>
              </w:rPr>
              <w:t>4.5.3 MARKET READINESS, AVAILABILITY AND CONSISTENT QUALITY</w:t>
            </w:r>
            <w:r w:rsidR="00247196">
              <w:rPr>
                <w:noProof/>
                <w:webHidden/>
              </w:rPr>
              <w:tab/>
            </w:r>
            <w:r>
              <w:rPr>
                <w:noProof/>
                <w:webHidden/>
              </w:rPr>
              <w:fldChar w:fldCharType="begin"/>
            </w:r>
            <w:r w:rsidR="00247196">
              <w:rPr>
                <w:noProof/>
                <w:webHidden/>
              </w:rPr>
              <w:instrText xml:space="preserve"> PAGEREF _Toc220155792 \h </w:instrText>
            </w:r>
            <w:r>
              <w:rPr>
                <w:noProof/>
                <w:webHidden/>
              </w:rPr>
            </w:r>
            <w:r>
              <w:rPr>
                <w:noProof/>
                <w:webHidden/>
              </w:rPr>
              <w:fldChar w:fldCharType="separate"/>
            </w:r>
            <w:r w:rsidR="00247196">
              <w:rPr>
                <w:noProof/>
                <w:webHidden/>
              </w:rPr>
              <w:t>44</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93" w:history="1">
            <w:r w:rsidR="00247196" w:rsidRPr="00B1022F">
              <w:rPr>
                <w:rStyle w:val="Hyperlink"/>
                <w:noProof/>
              </w:rPr>
              <w:t>4.5.4 SEGMENT DIFFERENCES AND SOCIAL INFLUENCE ACROSS CONTEXTS</w:t>
            </w:r>
            <w:r w:rsidR="00247196">
              <w:rPr>
                <w:noProof/>
                <w:webHidden/>
              </w:rPr>
              <w:tab/>
            </w:r>
            <w:r>
              <w:rPr>
                <w:noProof/>
                <w:webHidden/>
              </w:rPr>
              <w:fldChar w:fldCharType="begin"/>
            </w:r>
            <w:r w:rsidR="00247196">
              <w:rPr>
                <w:noProof/>
                <w:webHidden/>
              </w:rPr>
              <w:instrText xml:space="preserve"> PAGEREF _Toc220155793 \h </w:instrText>
            </w:r>
            <w:r>
              <w:rPr>
                <w:noProof/>
                <w:webHidden/>
              </w:rPr>
            </w:r>
            <w:r>
              <w:rPr>
                <w:noProof/>
                <w:webHidden/>
              </w:rPr>
              <w:fldChar w:fldCharType="separate"/>
            </w:r>
            <w:r w:rsidR="00247196">
              <w:rPr>
                <w:noProof/>
                <w:webHidden/>
              </w:rPr>
              <w:t>44</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94" w:history="1">
            <w:r w:rsidR="00247196" w:rsidRPr="00B1022F">
              <w:rPr>
                <w:rStyle w:val="Hyperlink"/>
                <w:rFonts w:eastAsia="Times New Roman"/>
                <w:noProof/>
                <w:lang w:eastAsia="en-GB"/>
              </w:rPr>
              <w:t>4.3 CHAPTER SUMMARY</w:t>
            </w:r>
            <w:r w:rsidR="00247196">
              <w:rPr>
                <w:noProof/>
                <w:webHidden/>
              </w:rPr>
              <w:tab/>
            </w:r>
            <w:r>
              <w:rPr>
                <w:noProof/>
                <w:webHidden/>
              </w:rPr>
              <w:fldChar w:fldCharType="begin"/>
            </w:r>
            <w:r w:rsidR="00247196">
              <w:rPr>
                <w:noProof/>
                <w:webHidden/>
              </w:rPr>
              <w:instrText xml:space="preserve"> PAGEREF _Toc220155794 \h </w:instrText>
            </w:r>
            <w:r>
              <w:rPr>
                <w:noProof/>
                <w:webHidden/>
              </w:rPr>
            </w:r>
            <w:r>
              <w:rPr>
                <w:noProof/>
                <w:webHidden/>
              </w:rPr>
              <w:fldChar w:fldCharType="separate"/>
            </w:r>
            <w:r w:rsidR="00247196">
              <w:rPr>
                <w:noProof/>
                <w:webHidden/>
              </w:rPr>
              <w:t>45</w:t>
            </w:r>
            <w:r>
              <w:rPr>
                <w:noProof/>
                <w:webHidden/>
              </w:rPr>
              <w:fldChar w:fldCharType="end"/>
            </w:r>
          </w:hyperlink>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795" w:history="1">
            <w:r w:rsidR="00247196" w:rsidRPr="00B1022F">
              <w:rPr>
                <w:rStyle w:val="Hyperlink"/>
                <w:noProof/>
              </w:rPr>
              <w:t>CHAPTER FOUR: DISCUSSION</w:t>
            </w:r>
            <w:r w:rsidR="00247196">
              <w:rPr>
                <w:noProof/>
                <w:webHidden/>
              </w:rPr>
              <w:tab/>
            </w:r>
            <w:r>
              <w:rPr>
                <w:noProof/>
                <w:webHidden/>
              </w:rPr>
              <w:fldChar w:fldCharType="begin"/>
            </w:r>
            <w:r w:rsidR="00247196">
              <w:rPr>
                <w:noProof/>
                <w:webHidden/>
              </w:rPr>
              <w:instrText xml:space="preserve"> PAGEREF _Toc220155795 \h </w:instrText>
            </w:r>
            <w:r>
              <w:rPr>
                <w:noProof/>
                <w:webHidden/>
              </w:rPr>
            </w:r>
            <w:r>
              <w:rPr>
                <w:noProof/>
                <w:webHidden/>
              </w:rPr>
              <w:fldChar w:fldCharType="separate"/>
            </w:r>
            <w:r w:rsidR="00247196">
              <w:rPr>
                <w:noProof/>
                <w:webHidden/>
              </w:rPr>
              <w:t>46</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96" w:history="1">
            <w:r w:rsidR="00247196" w:rsidRPr="00B1022F">
              <w:rPr>
                <w:rStyle w:val="Hyperlink"/>
                <w:noProof/>
              </w:rPr>
              <w:t>5.1 CHAPTER OVERVIEW</w:t>
            </w:r>
            <w:r w:rsidR="00247196">
              <w:rPr>
                <w:noProof/>
                <w:webHidden/>
              </w:rPr>
              <w:tab/>
            </w:r>
            <w:r>
              <w:rPr>
                <w:noProof/>
                <w:webHidden/>
              </w:rPr>
              <w:fldChar w:fldCharType="begin"/>
            </w:r>
            <w:r w:rsidR="00247196">
              <w:rPr>
                <w:noProof/>
                <w:webHidden/>
              </w:rPr>
              <w:instrText xml:space="preserve"> PAGEREF _Toc220155796 \h </w:instrText>
            </w:r>
            <w:r>
              <w:rPr>
                <w:noProof/>
                <w:webHidden/>
              </w:rPr>
            </w:r>
            <w:r>
              <w:rPr>
                <w:noProof/>
                <w:webHidden/>
              </w:rPr>
              <w:fldChar w:fldCharType="separate"/>
            </w:r>
            <w:r w:rsidR="00247196">
              <w:rPr>
                <w:noProof/>
                <w:webHidden/>
              </w:rPr>
              <w:t>46</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797" w:history="1">
            <w:r w:rsidR="00247196" w:rsidRPr="00B1022F">
              <w:rPr>
                <w:rStyle w:val="Hyperlink"/>
                <w:noProof/>
              </w:rPr>
              <w:t>5.2 DISCUSSION ON FINDINGS</w:t>
            </w:r>
            <w:r w:rsidR="00247196">
              <w:rPr>
                <w:noProof/>
                <w:webHidden/>
              </w:rPr>
              <w:tab/>
            </w:r>
            <w:r>
              <w:rPr>
                <w:noProof/>
                <w:webHidden/>
              </w:rPr>
              <w:fldChar w:fldCharType="begin"/>
            </w:r>
            <w:r w:rsidR="00247196">
              <w:rPr>
                <w:noProof/>
                <w:webHidden/>
              </w:rPr>
              <w:instrText xml:space="preserve"> PAGEREF _Toc220155797 \h </w:instrText>
            </w:r>
            <w:r>
              <w:rPr>
                <w:noProof/>
                <w:webHidden/>
              </w:rPr>
            </w:r>
            <w:r>
              <w:rPr>
                <w:noProof/>
                <w:webHidden/>
              </w:rPr>
              <w:fldChar w:fldCharType="separate"/>
            </w:r>
            <w:r w:rsidR="00247196">
              <w:rPr>
                <w:noProof/>
                <w:webHidden/>
              </w:rPr>
              <w:t>46</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98" w:history="1">
            <w:r w:rsidR="00247196" w:rsidRPr="00B1022F">
              <w:rPr>
                <w:rStyle w:val="Hyperlink"/>
                <w:noProof/>
              </w:rPr>
              <w:t>5.2.1 HOW DO GREEN MARKETING STRATEGIES INFLUENCE CONSUMER PURCHASE INTENTION IN THE FMCG SECTOR IN BANGLADESH?</w:t>
            </w:r>
            <w:r w:rsidR="00247196">
              <w:rPr>
                <w:noProof/>
                <w:webHidden/>
              </w:rPr>
              <w:tab/>
            </w:r>
            <w:r>
              <w:rPr>
                <w:noProof/>
                <w:webHidden/>
              </w:rPr>
              <w:fldChar w:fldCharType="begin"/>
            </w:r>
            <w:r w:rsidR="00247196">
              <w:rPr>
                <w:noProof/>
                <w:webHidden/>
              </w:rPr>
              <w:instrText xml:space="preserve"> PAGEREF _Toc220155798 \h </w:instrText>
            </w:r>
            <w:r>
              <w:rPr>
                <w:noProof/>
                <w:webHidden/>
              </w:rPr>
            </w:r>
            <w:r>
              <w:rPr>
                <w:noProof/>
                <w:webHidden/>
              </w:rPr>
              <w:fldChar w:fldCharType="separate"/>
            </w:r>
            <w:r w:rsidR="00247196">
              <w:rPr>
                <w:noProof/>
                <w:webHidden/>
              </w:rPr>
              <w:t>46</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799" w:history="1">
            <w:r w:rsidR="00247196" w:rsidRPr="00B1022F">
              <w:rPr>
                <w:rStyle w:val="Hyperlink"/>
                <w:noProof/>
              </w:rPr>
              <w:t>5.2.2 HOW DOES CONSUMER PURCHASE INTENTION RELATE TO BRAND PERFORMANCE IN THE FMCG SECTOR IN BANGLADESH?</w:t>
            </w:r>
            <w:r w:rsidR="00247196">
              <w:rPr>
                <w:noProof/>
                <w:webHidden/>
              </w:rPr>
              <w:tab/>
            </w:r>
            <w:r>
              <w:rPr>
                <w:noProof/>
                <w:webHidden/>
              </w:rPr>
              <w:fldChar w:fldCharType="begin"/>
            </w:r>
            <w:r w:rsidR="00247196">
              <w:rPr>
                <w:noProof/>
                <w:webHidden/>
              </w:rPr>
              <w:instrText xml:space="preserve"> PAGEREF _Toc220155799 \h </w:instrText>
            </w:r>
            <w:r>
              <w:rPr>
                <w:noProof/>
                <w:webHidden/>
              </w:rPr>
            </w:r>
            <w:r>
              <w:rPr>
                <w:noProof/>
                <w:webHidden/>
              </w:rPr>
              <w:fldChar w:fldCharType="separate"/>
            </w:r>
            <w:r w:rsidR="00247196">
              <w:rPr>
                <w:noProof/>
                <w:webHidden/>
              </w:rPr>
              <w:t>48</w:t>
            </w:r>
            <w:r>
              <w:rPr>
                <w:noProof/>
                <w:webHidden/>
              </w:rPr>
              <w:fldChar w:fldCharType="end"/>
            </w:r>
          </w:hyperlink>
        </w:p>
        <w:p w:rsidR="00247196" w:rsidRDefault="00E2587C">
          <w:pPr>
            <w:pStyle w:val="TOC3"/>
            <w:tabs>
              <w:tab w:val="right" w:leader="dot" w:pos="9016"/>
            </w:tabs>
            <w:rPr>
              <w:rFonts w:asciiTheme="minorHAnsi" w:eastAsiaTheme="minorEastAsia" w:hAnsiTheme="minorHAnsi"/>
              <w:noProof/>
              <w:szCs w:val="21"/>
              <w:lang w:eastAsia="en-GB" w:bidi="hi-IN"/>
            </w:rPr>
          </w:pPr>
          <w:hyperlink w:anchor="_Toc220155800" w:history="1">
            <w:r w:rsidR="00247196" w:rsidRPr="00B1022F">
              <w:rPr>
                <w:rStyle w:val="Hyperlink"/>
                <w:noProof/>
              </w:rPr>
              <w:t>5.2.3 WHICH GREEN MARKETING STRATEGIES APPEAR MOST EFFECTIVE FOR ENHANCING CONSUMER ENGAGEMENT AND BRAND PERFORMANCE IN CONDITIONS SIMILAR TO BANGLADESH’S FMCG MARKET?</w:t>
            </w:r>
            <w:r w:rsidR="00247196">
              <w:rPr>
                <w:noProof/>
                <w:webHidden/>
              </w:rPr>
              <w:tab/>
            </w:r>
            <w:r>
              <w:rPr>
                <w:noProof/>
                <w:webHidden/>
              </w:rPr>
              <w:fldChar w:fldCharType="begin"/>
            </w:r>
            <w:r w:rsidR="00247196">
              <w:rPr>
                <w:noProof/>
                <w:webHidden/>
              </w:rPr>
              <w:instrText xml:space="preserve"> PAGEREF _Toc220155800 \h </w:instrText>
            </w:r>
            <w:r>
              <w:rPr>
                <w:noProof/>
                <w:webHidden/>
              </w:rPr>
            </w:r>
            <w:r>
              <w:rPr>
                <w:noProof/>
                <w:webHidden/>
              </w:rPr>
              <w:fldChar w:fldCharType="separate"/>
            </w:r>
            <w:r w:rsidR="00247196">
              <w:rPr>
                <w:noProof/>
                <w:webHidden/>
              </w:rPr>
              <w:t>49</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801" w:history="1">
            <w:r w:rsidR="00247196" w:rsidRPr="00B1022F">
              <w:rPr>
                <w:rStyle w:val="Hyperlink"/>
                <w:noProof/>
              </w:rPr>
              <w:t>5.3 IMPLICATIONS FOR THE STUDY</w:t>
            </w:r>
            <w:r w:rsidR="00247196">
              <w:rPr>
                <w:noProof/>
                <w:webHidden/>
              </w:rPr>
              <w:tab/>
            </w:r>
            <w:r>
              <w:rPr>
                <w:noProof/>
                <w:webHidden/>
              </w:rPr>
              <w:fldChar w:fldCharType="begin"/>
            </w:r>
            <w:r w:rsidR="00247196">
              <w:rPr>
                <w:noProof/>
                <w:webHidden/>
              </w:rPr>
              <w:instrText xml:space="preserve"> PAGEREF _Toc220155801 \h </w:instrText>
            </w:r>
            <w:r>
              <w:rPr>
                <w:noProof/>
                <w:webHidden/>
              </w:rPr>
            </w:r>
            <w:r>
              <w:rPr>
                <w:noProof/>
                <w:webHidden/>
              </w:rPr>
              <w:fldChar w:fldCharType="separate"/>
            </w:r>
            <w:r w:rsidR="00247196">
              <w:rPr>
                <w:noProof/>
                <w:webHidden/>
              </w:rPr>
              <w:t>50</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802" w:history="1">
            <w:r w:rsidR="00247196" w:rsidRPr="00B1022F">
              <w:rPr>
                <w:rStyle w:val="Hyperlink"/>
                <w:noProof/>
              </w:rPr>
              <w:t>5.4 CHAPTER SUMMARY</w:t>
            </w:r>
            <w:r w:rsidR="00247196">
              <w:rPr>
                <w:noProof/>
                <w:webHidden/>
              </w:rPr>
              <w:tab/>
            </w:r>
            <w:r>
              <w:rPr>
                <w:noProof/>
                <w:webHidden/>
              </w:rPr>
              <w:fldChar w:fldCharType="begin"/>
            </w:r>
            <w:r w:rsidR="00247196">
              <w:rPr>
                <w:noProof/>
                <w:webHidden/>
              </w:rPr>
              <w:instrText xml:space="preserve"> PAGEREF _Toc220155802 \h </w:instrText>
            </w:r>
            <w:r>
              <w:rPr>
                <w:noProof/>
                <w:webHidden/>
              </w:rPr>
            </w:r>
            <w:r>
              <w:rPr>
                <w:noProof/>
                <w:webHidden/>
              </w:rPr>
              <w:fldChar w:fldCharType="separate"/>
            </w:r>
            <w:r w:rsidR="00247196">
              <w:rPr>
                <w:noProof/>
                <w:webHidden/>
              </w:rPr>
              <w:t>50</w:t>
            </w:r>
            <w:r>
              <w:rPr>
                <w:noProof/>
                <w:webHidden/>
              </w:rPr>
              <w:fldChar w:fldCharType="end"/>
            </w:r>
          </w:hyperlink>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803" w:history="1">
            <w:r w:rsidR="00247196" w:rsidRPr="00B1022F">
              <w:rPr>
                <w:rStyle w:val="Hyperlink"/>
                <w:noProof/>
              </w:rPr>
              <w:t>CHAPTER 6: CONCLUSION AND RECOMMENDATIONS</w:t>
            </w:r>
            <w:r w:rsidR="00247196">
              <w:rPr>
                <w:noProof/>
                <w:webHidden/>
              </w:rPr>
              <w:tab/>
            </w:r>
            <w:r>
              <w:rPr>
                <w:noProof/>
                <w:webHidden/>
              </w:rPr>
              <w:fldChar w:fldCharType="begin"/>
            </w:r>
            <w:r w:rsidR="00247196">
              <w:rPr>
                <w:noProof/>
                <w:webHidden/>
              </w:rPr>
              <w:instrText xml:space="preserve"> PAGEREF _Toc220155803 \h </w:instrText>
            </w:r>
            <w:r>
              <w:rPr>
                <w:noProof/>
                <w:webHidden/>
              </w:rPr>
            </w:r>
            <w:r>
              <w:rPr>
                <w:noProof/>
                <w:webHidden/>
              </w:rPr>
              <w:fldChar w:fldCharType="separate"/>
            </w:r>
            <w:r w:rsidR="00247196">
              <w:rPr>
                <w:noProof/>
                <w:webHidden/>
              </w:rPr>
              <w:t>51</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804" w:history="1">
            <w:r w:rsidR="00247196" w:rsidRPr="00B1022F">
              <w:rPr>
                <w:rStyle w:val="Hyperlink"/>
                <w:noProof/>
              </w:rPr>
              <w:t>6.1 CHAPTER OVERVIEW</w:t>
            </w:r>
            <w:r w:rsidR="00247196">
              <w:rPr>
                <w:noProof/>
                <w:webHidden/>
              </w:rPr>
              <w:tab/>
            </w:r>
            <w:r>
              <w:rPr>
                <w:noProof/>
                <w:webHidden/>
              </w:rPr>
              <w:fldChar w:fldCharType="begin"/>
            </w:r>
            <w:r w:rsidR="00247196">
              <w:rPr>
                <w:noProof/>
                <w:webHidden/>
              </w:rPr>
              <w:instrText xml:space="preserve"> PAGEREF _Toc220155804 \h </w:instrText>
            </w:r>
            <w:r>
              <w:rPr>
                <w:noProof/>
                <w:webHidden/>
              </w:rPr>
            </w:r>
            <w:r>
              <w:rPr>
                <w:noProof/>
                <w:webHidden/>
              </w:rPr>
              <w:fldChar w:fldCharType="separate"/>
            </w:r>
            <w:r w:rsidR="00247196">
              <w:rPr>
                <w:noProof/>
                <w:webHidden/>
              </w:rPr>
              <w:t>51</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805" w:history="1">
            <w:r w:rsidR="00247196" w:rsidRPr="00B1022F">
              <w:rPr>
                <w:rStyle w:val="Hyperlink"/>
                <w:noProof/>
              </w:rPr>
              <w:t>6.2 CONCLUSION</w:t>
            </w:r>
            <w:r w:rsidR="00247196">
              <w:rPr>
                <w:noProof/>
                <w:webHidden/>
              </w:rPr>
              <w:tab/>
            </w:r>
            <w:r>
              <w:rPr>
                <w:noProof/>
                <w:webHidden/>
              </w:rPr>
              <w:fldChar w:fldCharType="begin"/>
            </w:r>
            <w:r w:rsidR="00247196">
              <w:rPr>
                <w:noProof/>
                <w:webHidden/>
              </w:rPr>
              <w:instrText xml:space="preserve"> PAGEREF _Toc220155805 \h </w:instrText>
            </w:r>
            <w:r>
              <w:rPr>
                <w:noProof/>
                <w:webHidden/>
              </w:rPr>
            </w:r>
            <w:r>
              <w:rPr>
                <w:noProof/>
                <w:webHidden/>
              </w:rPr>
              <w:fldChar w:fldCharType="separate"/>
            </w:r>
            <w:r w:rsidR="00247196">
              <w:rPr>
                <w:noProof/>
                <w:webHidden/>
              </w:rPr>
              <w:t>51</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806" w:history="1">
            <w:r w:rsidR="00247196" w:rsidRPr="00B1022F">
              <w:rPr>
                <w:rStyle w:val="Hyperlink"/>
                <w:bCs/>
                <w:noProof/>
              </w:rPr>
              <w:t>6.3 RECOMMENDATIONS</w:t>
            </w:r>
            <w:r w:rsidR="00247196">
              <w:rPr>
                <w:noProof/>
                <w:webHidden/>
              </w:rPr>
              <w:tab/>
            </w:r>
            <w:r>
              <w:rPr>
                <w:noProof/>
                <w:webHidden/>
              </w:rPr>
              <w:fldChar w:fldCharType="begin"/>
            </w:r>
            <w:r w:rsidR="00247196">
              <w:rPr>
                <w:noProof/>
                <w:webHidden/>
              </w:rPr>
              <w:instrText xml:space="preserve"> PAGEREF _Toc220155806 \h </w:instrText>
            </w:r>
            <w:r>
              <w:rPr>
                <w:noProof/>
                <w:webHidden/>
              </w:rPr>
            </w:r>
            <w:r>
              <w:rPr>
                <w:noProof/>
                <w:webHidden/>
              </w:rPr>
              <w:fldChar w:fldCharType="separate"/>
            </w:r>
            <w:r w:rsidR="00247196">
              <w:rPr>
                <w:noProof/>
                <w:webHidden/>
              </w:rPr>
              <w:t>52</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807" w:history="1">
            <w:r w:rsidR="00247196" w:rsidRPr="00B1022F">
              <w:rPr>
                <w:rStyle w:val="Hyperlink"/>
                <w:noProof/>
              </w:rPr>
              <w:t>6.4 LIMITATIONS OF THE STUDY</w:t>
            </w:r>
            <w:r w:rsidR="00247196">
              <w:rPr>
                <w:noProof/>
                <w:webHidden/>
              </w:rPr>
              <w:tab/>
            </w:r>
            <w:r>
              <w:rPr>
                <w:noProof/>
                <w:webHidden/>
              </w:rPr>
              <w:fldChar w:fldCharType="begin"/>
            </w:r>
            <w:r w:rsidR="00247196">
              <w:rPr>
                <w:noProof/>
                <w:webHidden/>
              </w:rPr>
              <w:instrText xml:space="preserve"> PAGEREF _Toc220155807 \h </w:instrText>
            </w:r>
            <w:r>
              <w:rPr>
                <w:noProof/>
                <w:webHidden/>
              </w:rPr>
            </w:r>
            <w:r>
              <w:rPr>
                <w:noProof/>
                <w:webHidden/>
              </w:rPr>
              <w:fldChar w:fldCharType="separate"/>
            </w:r>
            <w:r w:rsidR="00247196">
              <w:rPr>
                <w:noProof/>
                <w:webHidden/>
              </w:rPr>
              <w:t>53</w:t>
            </w:r>
            <w:r>
              <w:rPr>
                <w:noProof/>
                <w:webHidden/>
              </w:rPr>
              <w:fldChar w:fldCharType="end"/>
            </w:r>
          </w:hyperlink>
        </w:p>
        <w:p w:rsidR="00247196" w:rsidRDefault="00E2587C">
          <w:pPr>
            <w:pStyle w:val="TOC2"/>
            <w:tabs>
              <w:tab w:val="right" w:leader="dot" w:pos="9016"/>
            </w:tabs>
            <w:rPr>
              <w:rFonts w:asciiTheme="minorHAnsi" w:eastAsiaTheme="minorEastAsia" w:hAnsiTheme="minorHAnsi"/>
              <w:noProof/>
              <w:szCs w:val="21"/>
              <w:lang w:eastAsia="en-GB" w:bidi="hi-IN"/>
            </w:rPr>
          </w:pPr>
          <w:hyperlink w:anchor="_Toc220155808" w:history="1">
            <w:r w:rsidR="00247196" w:rsidRPr="00B1022F">
              <w:rPr>
                <w:rStyle w:val="Hyperlink"/>
                <w:bCs/>
                <w:noProof/>
              </w:rPr>
              <w:t>6.5 FUTURE RESEARCH DIRECTIONS</w:t>
            </w:r>
            <w:r w:rsidR="00247196">
              <w:rPr>
                <w:noProof/>
                <w:webHidden/>
              </w:rPr>
              <w:tab/>
            </w:r>
            <w:r>
              <w:rPr>
                <w:noProof/>
                <w:webHidden/>
              </w:rPr>
              <w:fldChar w:fldCharType="begin"/>
            </w:r>
            <w:r w:rsidR="00247196">
              <w:rPr>
                <w:noProof/>
                <w:webHidden/>
              </w:rPr>
              <w:instrText xml:space="preserve"> PAGEREF _Toc220155808 \h </w:instrText>
            </w:r>
            <w:r>
              <w:rPr>
                <w:noProof/>
                <w:webHidden/>
              </w:rPr>
            </w:r>
            <w:r>
              <w:rPr>
                <w:noProof/>
                <w:webHidden/>
              </w:rPr>
              <w:fldChar w:fldCharType="separate"/>
            </w:r>
            <w:r w:rsidR="00247196">
              <w:rPr>
                <w:noProof/>
                <w:webHidden/>
              </w:rPr>
              <w:t>53</w:t>
            </w:r>
            <w:r>
              <w:rPr>
                <w:noProof/>
                <w:webHidden/>
              </w:rPr>
              <w:fldChar w:fldCharType="end"/>
            </w:r>
          </w:hyperlink>
        </w:p>
        <w:p w:rsidR="00247196" w:rsidRDefault="00E2587C">
          <w:pPr>
            <w:pStyle w:val="TOC1"/>
            <w:tabs>
              <w:tab w:val="right" w:leader="dot" w:pos="9016"/>
            </w:tabs>
            <w:rPr>
              <w:rFonts w:asciiTheme="minorHAnsi" w:eastAsiaTheme="minorEastAsia" w:hAnsiTheme="minorHAnsi"/>
              <w:noProof/>
              <w:szCs w:val="21"/>
              <w:lang w:eastAsia="en-GB" w:bidi="hi-IN"/>
            </w:rPr>
          </w:pPr>
          <w:hyperlink w:anchor="_Toc220155809" w:history="1">
            <w:r w:rsidR="00247196" w:rsidRPr="00B1022F">
              <w:rPr>
                <w:rStyle w:val="Hyperlink"/>
                <w:noProof/>
              </w:rPr>
              <w:t>REFERENCES</w:t>
            </w:r>
            <w:r w:rsidR="00247196">
              <w:rPr>
                <w:noProof/>
                <w:webHidden/>
              </w:rPr>
              <w:tab/>
            </w:r>
            <w:r>
              <w:rPr>
                <w:noProof/>
                <w:webHidden/>
              </w:rPr>
              <w:fldChar w:fldCharType="begin"/>
            </w:r>
            <w:r w:rsidR="00247196">
              <w:rPr>
                <w:noProof/>
                <w:webHidden/>
              </w:rPr>
              <w:instrText xml:space="preserve"> PAGEREF _Toc220155809 \h </w:instrText>
            </w:r>
            <w:r>
              <w:rPr>
                <w:noProof/>
                <w:webHidden/>
              </w:rPr>
            </w:r>
            <w:r>
              <w:rPr>
                <w:noProof/>
                <w:webHidden/>
              </w:rPr>
              <w:fldChar w:fldCharType="separate"/>
            </w:r>
            <w:r w:rsidR="00247196">
              <w:rPr>
                <w:noProof/>
                <w:webHidden/>
              </w:rPr>
              <w:t>55</w:t>
            </w:r>
            <w:r>
              <w:rPr>
                <w:noProof/>
                <w:webHidden/>
              </w:rPr>
              <w:fldChar w:fldCharType="end"/>
            </w:r>
          </w:hyperlink>
        </w:p>
        <w:p w:rsidR="008921A2" w:rsidRDefault="00E2587C">
          <w:r>
            <w:rPr>
              <w:b/>
              <w:bCs/>
              <w:noProof/>
            </w:rPr>
            <w:fldChar w:fldCharType="end"/>
          </w:r>
        </w:p>
      </w:sdtContent>
    </w:sdt>
    <w:p w:rsidR="00CB67C9" w:rsidRDefault="00CB67C9">
      <w:pPr>
        <w:spacing w:line="259" w:lineRule="auto"/>
        <w:jc w:val="left"/>
        <w:rPr>
          <w:b/>
          <w:bCs/>
        </w:rPr>
      </w:pPr>
      <w:r>
        <w:rPr>
          <w:b/>
          <w:bCs/>
        </w:rPr>
        <w:br w:type="page"/>
      </w:r>
    </w:p>
    <w:p w:rsidR="00CB67C9" w:rsidRDefault="00CB67C9" w:rsidP="00CB67C9">
      <w:pPr>
        <w:pStyle w:val="Heading1"/>
        <w:ind w:left="360"/>
      </w:pPr>
      <w:bookmarkStart w:id="3" w:name="_Toc220155727"/>
      <w:r w:rsidRPr="00CB67C9">
        <w:lastRenderedPageBreak/>
        <w:t>LIST OF ABBREVIATIONS</w:t>
      </w:r>
      <w:bookmarkEnd w:id="3"/>
    </w:p>
    <w:tbl>
      <w:tblPr>
        <w:tblW w:w="0" w:type="auto"/>
        <w:tblCellSpacing w:w="15" w:type="dxa"/>
        <w:tblCellMar>
          <w:top w:w="15" w:type="dxa"/>
          <w:left w:w="15" w:type="dxa"/>
          <w:bottom w:w="15" w:type="dxa"/>
          <w:right w:w="15" w:type="dxa"/>
        </w:tblCellMar>
        <w:tblLook w:val="04A0"/>
      </w:tblPr>
      <w:tblGrid>
        <w:gridCol w:w="2977"/>
        <w:gridCol w:w="5294"/>
      </w:tblGrid>
      <w:tr w:rsidR="00CB67C9" w:rsidRPr="00CB67C9" w:rsidTr="00CB67C9">
        <w:trPr>
          <w:tblHeader/>
          <w:tblCellSpacing w:w="15" w:type="dxa"/>
        </w:trPr>
        <w:tc>
          <w:tcPr>
            <w:tcW w:w="2932" w:type="dxa"/>
            <w:vAlign w:val="center"/>
            <w:hideMark/>
          </w:tcPr>
          <w:p w:rsidR="00CB67C9" w:rsidRPr="00CB67C9" w:rsidRDefault="00CB67C9" w:rsidP="00CB67C9">
            <w:pPr>
              <w:rPr>
                <w:b/>
                <w:bCs/>
              </w:rPr>
            </w:pPr>
            <w:r w:rsidRPr="00CB67C9">
              <w:rPr>
                <w:b/>
                <w:bCs/>
              </w:rPr>
              <w:t>Abbreviation</w:t>
            </w:r>
          </w:p>
        </w:tc>
        <w:tc>
          <w:tcPr>
            <w:tcW w:w="5249" w:type="dxa"/>
            <w:vAlign w:val="center"/>
            <w:hideMark/>
          </w:tcPr>
          <w:p w:rsidR="00CB67C9" w:rsidRPr="00CB67C9" w:rsidRDefault="00CB67C9" w:rsidP="00CB67C9">
            <w:pPr>
              <w:rPr>
                <w:b/>
                <w:bCs/>
              </w:rPr>
            </w:pPr>
            <w:r w:rsidRPr="00CB67C9">
              <w:rPr>
                <w:b/>
                <w:bCs/>
              </w:rPr>
              <w:t>Full form</w:t>
            </w:r>
          </w:p>
        </w:tc>
      </w:tr>
      <w:tr w:rsidR="00CB67C9" w:rsidRPr="00CB67C9" w:rsidTr="00CB67C9">
        <w:trPr>
          <w:tblCellSpacing w:w="15" w:type="dxa"/>
        </w:trPr>
        <w:tc>
          <w:tcPr>
            <w:tcW w:w="2932" w:type="dxa"/>
            <w:vAlign w:val="center"/>
            <w:hideMark/>
          </w:tcPr>
          <w:p w:rsidR="00CB67C9" w:rsidRPr="00CB67C9" w:rsidRDefault="00CB67C9" w:rsidP="00CB67C9">
            <w:r w:rsidRPr="00CB67C9">
              <w:t>BP</w:t>
            </w:r>
          </w:p>
        </w:tc>
        <w:tc>
          <w:tcPr>
            <w:tcW w:w="5249" w:type="dxa"/>
            <w:vAlign w:val="center"/>
            <w:hideMark/>
          </w:tcPr>
          <w:p w:rsidR="00CB67C9" w:rsidRPr="00CB67C9" w:rsidRDefault="00CB67C9" w:rsidP="00CB67C9">
            <w:r w:rsidRPr="00CB67C9">
              <w:t>Brand Performance</w:t>
            </w:r>
          </w:p>
        </w:tc>
      </w:tr>
      <w:tr w:rsidR="00CB67C9" w:rsidRPr="00CB67C9" w:rsidTr="00CB67C9">
        <w:trPr>
          <w:tblCellSpacing w:w="15" w:type="dxa"/>
        </w:trPr>
        <w:tc>
          <w:tcPr>
            <w:tcW w:w="2932" w:type="dxa"/>
            <w:vAlign w:val="center"/>
            <w:hideMark/>
          </w:tcPr>
          <w:p w:rsidR="00CB67C9" w:rsidRPr="00CB67C9" w:rsidRDefault="00CB67C9" w:rsidP="00CB67C9">
            <w:r w:rsidRPr="00CB67C9">
              <w:t>CPI</w:t>
            </w:r>
          </w:p>
        </w:tc>
        <w:tc>
          <w:tcPr>
            <w:tcW w:w="5249" w:type="dxa"/>
            <w:vAlign w:val="center"/>
            <w:hideMark/>
          </w:tcPr>
          <w:p w:rsidR="00CB67C9" w:rsidRPr="00CB67C9" w:rsidRDefault="00CB67C9" w:rsidP="00CB67C9">
            <w:r w:rsidRPr="00CB67C9">
              <w:t>Consumer Purchase Intention</w:t>
            </w:r>
          </w:p>
        </w:tc>
      </w:tr>
      <w:tr w:rsidR="00CB67C9" w:rsidRPr="00CB67C9" w:rsidTr="00CB67C9">
        <w:trPr>
          <w:tblCellSpacing w:w="15" w:type="dxa"/>
        </w:trPr>
        <w:tc>
          <w:tcPr>
            <w:tcW w:w="2932" w:type="dxa"/>
            <w:vAlign w:val="center"/>
            <w:hideMark/>
          </w:tcPr>
          <w:p w:rsidR="00CB67C9" w:rsidRPr="00CB67C9" w:rsidRDefault="00CB67C9" w:rsidP="00CB67C9">
            <w:r w:rsidRPr="00CB67C9">
              <w:t>CSR</w:t>
            </w:r>
          </w:p>
        </w:tc>
        <w:tc>
          <w:tcPr>
            <w:tcW w:w="5249" w:type="dxa"/>
            <w:vAlign w:val="center"/>
            <w:hideMark/>
          </w:tcPr>
          <w:p w:rsidR="00CB67C9" w:rsidRPr="00CB67C9" w:rsidRDefault="00CB67C9" w:rsidP="00CB67C9">
            <w:r w:rsidRPr="00CB67C9">
              <w:t>Corporate Social Responsibility</w:t>
            </w:r>
          </w:p>
        </w:tc>
      </w:tr>
      <w:tr w:rsidR="00CB67C9" w:rsidRPr="00CB67C9" w:rsidTr="00CB67C9">
        <w:trPr>
          <w:tblCellSpacing w:w="15" w:type="dxa"/>
        </w:trPr>
        <w:tc>
          <w:tcPr>
            <w:tcW w:w="2932" w:type="dxa"/>
            <w:vAlign w:val="center"/>
            <w:hideMark/>
          </w:tcPr>
          <w:p w:rsidR="00CB67C9" w:rsidRPr="00CB67C9" w:rsidRDefault="00CB67C9" w:rsidP="00CB67C9">
            <w:r w:rsidRPr="00CB67C9">
              <w:t>eWOM</w:t>
            </w:r>
          </w:p>
        </w:tc>
        <w:tc>
          <w:tcPr>
            <w:tcW w:w="5249" w:type="dxa"/>
            <w:vAlign w:val="center"/>
            <w:hideMark/>
          </w:tcPr>
          <w:p w:rsidR="00CB67C9" w:rsidRPr="00CB67C9" w:rsidRDefault="00CB67C9" w:rsidP="00CB67C9">
            <w:r w:rsidRPr="00CB67C9">
              <w:t>Electronic Word-of-Mouth</w:t>
            </w:r>
          </w:p>
        </w:tc>
      </w:tr>
      <w:tr w:rsidR="00CB67C9" w:rsidRPr="00CB67C9" w:rsidTr="00CB67C9">
        <w:trPr>
          <w:tblCellSpacing w:w="15" w:type="dxa"/>
        </w:trPr>
        <w:tc>
          <w:tcPr>
            <w:tcW w:w="2932" w:type="dxa"/>
            <w:vAlign w:val="center"/>
            <w:hideMark/>
          </w:tcPr>
          <w:p w:rsidR="00CB67C9" w:rsidRPr="00CB67C9" w:rsidRDefault="00CB67C9" w:rsidP="00CB67C9">
            <w:r w:rsidRPr="00CB67C9">
              <w:t>FMCG</w:t>
            </w:r>
          </w:p>
        </w:tc>
        <w:tc>
          <w:tcPr>
            <w:tcW w:w="5249" w:type="dxa"/>
            <w:vAlign w:val="center"/>
            <w:hideMark/>
          </w:tcPr>
          <w:p w:rsidR="00CB67C9" w:rsidRPr="00CB67C9" w:rsidRDefault="00CB67C9" w:rsidP="00CB67C9">
            <w:r w:rsidRPr="00CB67C9">
              <w:t>Fast-Moving Consumer Goods</w:t>
            </w:r>
          </w:p>
        </w:tc>
      </w:tr>
      <w:tr w:rsidR="00CB67C9" w:rsidRPr="00CB67C9" w:rsidTr="00CB67C9">
        <w:trPr>
          <w:tblCellSpacing w:w="15" w:type="dxa"/>
        </w:trPr>
        <w:tc>
          <w:tcPr>
            <w:tcW w:w="2932" w:type="dxa"/>
            <w:vAlign w:val="center"/>
            <w:hideMark/>
          </w:tcPr>
          <w:p w:rsidR="00CB67C9" w:rsidRPr="00CB67C9" w:rsidRDefault="00CB67C9" w:rsidP="00CB67C9">
            <w:r w:rsidRPr="00CB67C9">
              <w:t>GM</w:t>
            </w:r>
          </w:p>
        </w:tc>
        <w:tc>
          <w:tcPr>
            <w:tcW w:w="5249" w:type="dxa"/>
            <w:vAlign w:val="center"/>
            <w:hideMark/>
          </w:tcPr>
          <w:p w:rsidR="00CB67C9" w:rsidRPr="00CB67C9" w:rsidRDefault="00CB67C9" w:rsidP="00CB67C9">
            <w:r w:rsidRPr="00CB67C9">
              <w:t>Green Marketing</w:t>
            </w:r>
          </w:p>
        </w:tc>
      </w:tr>
      <w:tr w:rsidR="00CB67C9" w:rsidRPr="00CB67C9" w:rsidTr="00CB67C9">
        <w:trPr>
          <w:tblCellSpacing w:w="15" w:type="dxa"/>
        </w:trPr>
        <w:tc>
          <w:tcPr>
            <w:tcW w:w="2932" w:type="dxa"/>
            <w:vAlign w:val="center"/>
            <w:hideMark/>
          </w:tcPr>
          <w:p w:rsidR="00CB67C9" w:rsidRPr="00CB67C9" w:rsidRDefault="00CB67C9" w:rsidP="00CB67C9">
            <w:r w:rsidRPr="00CB67C9">
              <w:t>NRBV</w:t>
            </w:r>
          </w:p>
        </w:tc>
        <w:tc>
          <w:tcPr>
            <w:tcW w:w="5249" w:type="dxa"/>
            <w:vAlign w:val="center"/>
            <w:hideMark/>
          </w:tcPr>
          <w:p w:rsidR="00CB67C9" w:rsidRPr="00CB67C9" w:rsidRDefault="00CB67C9" w:rsidP="00CB67C9">
            <w:r w:rsidRPr="00CB67C9">
              <w:t>Natural Resource-Based View</w:t>
            </w:r>
          </w:p>
        </w:tc>
      </w:tr>
      <w:tr w:rsidR="00CB67C9" w:rsidRPr="00CB67C9" w:rsidTr="00CB67C9">
        <w:trPr>
          <w:tblCellSpacing w:w="15" w:type="dxa"/>
        </w:trPr>
        <w:tc>
          <w:tcPr>
            <w:tcW w:w="2932" w:type="dxa"/>
            <w:vAlign w:val="center"/>
            <w:hideMark/>
          </w:tcPr>
          <w:p w:rsidR="00CB67C9" w:rsidRPr="00CB67C9" w:rsidRDefault="00CB67C9" w:rsidP="00CB67C9">
            <w:r w:rsidRPr="00CB67C9">
              <w:t>PBC</w:t>
            </w:r>
          </w:p>
        </w:tc>
        <w:tc>
          <w:tcPr>
            <w:tcW w:w="5249" w:type="dxa"/>
            <w:vAlign w:val="center"/>
            <w:hideMark/>
          </w:tcPr>
          <w:p w:rsidR="00CB67C9" w:rsidRPr="00CB67C9" w:rsidRDefault="00CB67C9" w:rsidP="00CB67C9">
            <w:r w:rsidRPr="00CB67C9">
              <w:t>Perceived Behavioural Control</w:t>
            </w:r>
          </w:p>
        </w:tc>
      </w:tr>
      <w:tr w:rsidR="00CB67C9" w:rsidRPr="00CB67C9" w:rsidTr="00CB67C9">
        <w:trPr>
          <w:tblCellSpacing w:w="15" w:type="dxa"/>
        </w:trPr>
        <w:tc>
          <w:tcPr>
            <w:tcW w:w="2932" w:type="dxa"/>
            <w:vAlign w:val="center"/>
            <w:hideMark/>
          </w:tcPr>
          <w:p w:rsidR="00CB67C9" w:rsidRPr="00CB67C9" w:rsidRDefault="00CB67C9" w:rsidP="00CB67C9">
            <w:r w:rsidRPr="00CB67C9">
              <w:t>PLS-SEM</w:t>
            </w:r>
          </w:p>
        </w:tc>
        <w:tc>
          <w:tcPr>
            <w:tcW w:w="5249" w:type="dxa"/>
            <w:vAlign w:val="center"/>
            <w:hideMark/>
          </w:tcPr>
          <w:p w:rsidR="00CB67C9" w:rsidRPr="00CB67C9" w:rsidRDefault="00CB67C9" w:rsidP="00CB67C9">
            <w:r w:rsidRPr="00CB67C9">
              <w:t>Partial Least Squares Structural Equation Modelling</w:t>
            </w:r>
          </w:p>
        </w:tc>
      </w:tr>
      <w:tr w:rsidR="00CB67C9" w:rsidRPr="00CB67C9" w:rsidTr="00CB67C9">
        <w:trPr>
          <w:tblCellSpacing w:w="15" w:type="dxa"/>
        </w:trPr>
        <w:tc>
          <w:tcPr>
            <w:tcW w:w="2932" w:type="dxa"/>
            <w:vAlign w:val="center"/>
            <w:hideMark/>
          </w:tcPr>
          <w:p w:rsidR="00CB67C9" w:rsidRPr="00CB67C9" w:rsidRDefault="00CB67C9" w:rsidP="00CB67C9">
            <w:r w:rsidRPr="00CB67C9">
              <w:t>PRISMA</w:t>
            </w:r>
          </w:p>
        </w:tc>
        <w:tc>
          <w:tcPr>
            <w:tcW w:w="5249" w:type="dxa"/>
            <w:vAlign w:val="center"/>
            <w:hideMark/>
          </w:tcPr>
          <w:p w:rsidR="00CB67C9" w:rsidRPr="00CB67C9" w:rsidRDefault="00CB67C9" w:rsidP="00CB67C9">
            <w:r w:rsidRPr="00CB67C9">
              <w:t>Preferred Reporting Items for Systematic Reviews and Meta-Analyses</w:t>
            </w:r>
          </w:p>
        </w:tc>
      </w:tr>
      <w:tr w:rsidR="00CB67C9" w:rsidRPr="00CB67C9" w:rsidTr="00CB67C9">
        <w:trPr>
          <w:tblCellSpacing w:w="15" w:type="dxa"/>
        </w:trPr>
        <w:tc>
          <w:tcPr>
            <w:tcW w:w="2932" w:type="dxa"/>
            <w:vAlign w:val="center"/>
            <w:hideMark/>
          </w:tcPr>
          <w:p w:rsidR="00CB67C9" w:rsidRPr="00CB67C9" w:rsidRDefault="00CB67C9" w:rsidP="00CB67C9">
            <w:r w:rsidRPr="00CB67C9">
              <w:t>RBV</w:t>
            </w:r>
          </w:p>
        </w:tc>
        <w:tc>
          <w:tcPr>
            <w:tcW w:w="5249" w:type="dxa"/>
            <w:vAlign w:val="center"/>
            <w:hideMark/>
          </w:tcPr>
          <w:p w:rsidR="00CB67C9" w:rsidRPr="00CB67C9" w:rsidRDefault="00CB67C9" w:rsidP="00CB67C9">
            <w:r w:rsidRPr="00CB67C9">
              <w:t>Resource-Based View</w:t>
            </w:r>
          </w:p>
        </w:tc>
      </w:tr>
      <w:tr w:rsidR="00CB67C9" w:rsidRPr="00CB67C9" w:rsidTr="00CB67C9">
        <w:trPr>
          <w:tblCellSpacing w:w="15" w:type="dxa"/>
        </w:trPr>
        <w:tc>
          <w:tcPr>
            <w:tcW w:w="2932" w:type="dxa"/>
            <w:vAlign w:val="center"/>
            <w:hideMark/>
          </w:tcPr>
          <w:p w:rsidR="00CB67C9" w:rsidRPr="00CB67C9" w:rsidRDefault="00CB67C9" w:rsidP="00CB67C9">
            <w:r w:rsidRPr="00CB67C9">
              <w:t>SEM</w:t>
            </w:r>
          </w:p>
        </w:tc>
        <w:tc>
          <w:tcPr>
            <w:tcW w:w="5249" w:type="dxa"/>
            <w:vAlign w:val="center"/>
            <w:hideMark/>
          </w:tcPr>
          <w:p w:rsidR="00CB67C9" w:rsidRPr="00CB67C9" w:rsidRDefault="00CB67C9" w:rsidP="00CB67C9">
            <w:r w:rsidRPr="00CB67C9">
              <w:t>Structural Equation Modelling</w:t>
            </w:r>
          </w:p>
        </w:tc>
      </w:tr>
      <w:tr w:rsidR="00CB67C9" w:rsidRPr="00CB67C9" w:rsidTr="00CB67C9">
        <w:trPr>
          <w:tblCellSpacing w:w="15" w:type="dxa"/>
        </w:trPr>
        <w:tc>
          <w:tcPr>
            <w:tcW w:w="2932" w:type="dxa"/>
            <w:vAlign w:val="center"/>
            <w:hideMark/>
          </w:tcPr>
          <w:p w:rsidR="00CB67C9" w:rsidRPr="00CB67C9" w:rsidRDefault="00CB67C9" w:rsidP="00CB67C9">
            <w:r w:rsidRPr="00CB67C9">
              <w:t>TPB</w:t>
            </w:r>
          </w:p>
        </w:tc>
        <w:tc>
          <w:tcPr>
            <w:tcW w:w="5249" w:type="dxa"/>
            <w:vAlign w:val="center"/>
            <w:hideMark/>
          </w:tcPr>
          <w:p w:rsidR="00CB67C9" w:rsidRPr="00CB67C9" w:rsidRDefault="00CB67C9" w:rsidP="00CB67C9">
            <w:r w:rsidRPr="00CB67C9">
              <w:t>Theory of Planned Behaviour</w:t>
            </w:r>
          </w:p>
        </w:tc>
      </w:tr>
      <w:tr w:rsidR="00CB67C9" w:rsidRPr="00CB67C9" w:rsidTr="00CB67C9">
        <w:trPr>
          <w:tblCellSpacing w:w="15" w:type="dxa"/>
        </w:trPr>
        <w:tc>
          <w:tcPr>
            <w:tcW w:w="2932" w:type="dxa"/>
            <w:vAlign w:val="center"/>
            <w:hideMark/>
          </w:tcPr>
          <w:p w:rsidR="00CB67C9" w:rsidRPr="00CB67C9" w:rsidRDefault="00CB67C9" w:rsidP="00CB67C9">
            <w:r w:rsidRPr="00CB67C9">
              <w:t>WOM</w:t>
            </w:r>
          </w:p>
        </w:tc>
        <w:tc>
          <w:tcPr>
            <w:tcW w:w="5249" w:type="dxa"/>
            <w:vAlign w:val="center"/>
            <w:hideMark/>
          </w:tcPr>
          <w:p w:rsidR="00CB67C9" w:rsidRPr="00CB67C9" w:rsidRDefault="00CB67C9" w:rsidP="00CB67C9">
            <w:r w:rsidRPr="00CB67C9">
              <w:t>Word-of-Mouth</w:t>
            </w:r>
          </w:p>
        </w:tc>
      </w:tr>
    </w:tbl>
    <w:p w:rsidR="00CB67C9" w:rsidRDefault="00CB67C9" w:rsidP="00CB67C9"/>
    <w:p w:rsidR="00CB67C9" w:rsidRDefault="00CB67C9" w:rsidP="00CB67C9"/>
    <w:p w:rsidR="00CB67C9" w:rsidRDefault="00CB67C9" w:rsidP="00CB67C9"/>
    <w:p w:rsidR="006E4B7B" w:rsidRDefault="006E4B7B" w:rsidP="00CB67C9"/>
    <w:p w:rsidR="006E4B7B" w:rsidRDefault="006E4B7B" w:rsidP="00CB67C9"/>
    <w:p w:rsidR="006E4B7B" w:rsidRDefault="006E4B7B" w:rsidP="00CB67C9"/>
    <w:p w:rsidR="006E4B7B" w:rsidRPr="00517431" w:rsidRDefault="006E4B7B" w:rsidP="006E4B7B">
      <w:pPr>
        <w:ind w:firstLine="567"/>
        <w:jc w:val="center"/>
        <w:rPr>
          <w:rFonts w:cs="Times New Roman"/>
          <w:b/>
          <w:sz w:val="28"/>
        </w:rPr>
      </w:pPr>
      <w:r>
        <w:lastRenderedPageBreak/>
        <w:t>`</w:t>
      </w:r>
      <w:r w:rsidRPr="003E13A0">
        <w:rPr>
          <w:rFonts w:cs="Times New Roman"/>
          <w:b/>
          <w:sz w:val="28"/>
        </w:rPr>
        <w:t xml:space="preserve"> </w:t>
      </w:r>
      <w:r w:rsidRPr="00517431">
        <w:rPr>
          <w:rFonts w:cs="Times New Roman"/>
          <w:b/>
          <w:sz w:val="28"/>
        </w:rPr>
        <w:t>Glossary</w:t>
      </w:r>
    </w:p>
    <w:p w:rsidR="006E4B7B" w:rsidRPr="00517431" w:rsidRDefault="006E4B7B" w:rsidP="006E4B7B">
      <w:pPr>
        <w:jc w:val="left"/>
        <w:rPr>
          <w:rFonts w:cs="Times New Roman"/>
          <w:szCs w:val="24"/>
        </w:rPr>
      </w:pPr>
      <w:r w:rsidRPr="00517431">
        <w:rPr>
          <w:rFonts w:cs="Times New Roman"/>
          <w:b/>
          <w:szCs w:val="24"/>
        </w:rPr>
        <w:t>Brand Performance (BP)-</w:t>
      </w:r>
      <w:r>
        <w:rPr>
          <w:rFonts w:cs="Times New Roman"/>
          <w:szCs w:val="24"/>
        </w:rPr>
        <w:t xml:space="preserve"> </w:t>
      </w:r>
      <w:r w:rsidRPr="00517431">
        <w:rPr>
          <w:rFonts w:cs="Times New Roman"/>
          <w:szCs w:val="24"/>
        </w:rPr>
        <w:t>The effectiveness of a brand in achieving results like as trust, loyalty, equity, and favourable word-of-mouth.</w:t>
      </w:r>
    </w:p>
    <w:p w:rsidR="006E4B7B" w:rsidRPr="00517431" w:rsidRDefault="006E4B7B" w:rsidP="006E4B7B">
      <w:pPr>
        <w:jc w:val="left"/>
        <w:rPr>
          <w:rFonts w:cs="Times New Roman"/>
          <w:szCs w:val="24"/>
        </w:rPr>
      </w:pPr>
      <w:r w:rsidRPr="00517431">
        <w:rPr>
          <w:rFonts w:cs="Times New Roman"/>
          <w:b/>
          <w:szCs w:val="24"/>
        </w:rPr>
        <w:t>Consumer Purchase Intention (CPI) -</w:t>
      </w:r>
      <w:r w:rsidRPr="00517431">
        <w:rPr>
          <w:rFonts w:cs="Times New Roman"/>
          <w:szCs w:val="24"/>
        </w:rPr>
        <w:t xml:space="preserve"> The possibility or willingness of a customer to purchase a thing.</w:t>
      </w:r>
    </w:p>
    <w:p w:rsidR="006E4B7B" w:rsidRPr="00517431" w:rsidRDefault="006E4B7B" w:rsidP="006E4B7B">
      <w:pPr>
        <w:jc w:val="left"/>
        <w:rPr>
          <w:rFonts w:cs="Times New Roman"/>
          <w:szCs w:val="24"/>
        </w:rPr>
      </w:pPr>
      <w:r w:rsidRPr="00517431">
        <w:rPr>
          <w:rFonts w:cs="Times New Roman"/>
          <w:b/>
          <w:szCs w:val="24"/>
        </w:rPr>
        <w:t>Corporate Social Responsibility (CSR) -</w:t>
      </w:r>
      <w:r w:rsidRPr="00517431">
        <w:rPr>
          <w:rFonts w:cs="Times New Roman"/>
          <w:szCs w:val="24"/>
        </w:rPr>
        <w:t xml:space="preserve"> Business practices that show consideration for the environment and society.</w:t>
      </w:r>
    </w:p>
    <w:p w:rsidR="006E4B7B" w:rsidRPr="00517431" w:rsidRDefault="006E4B7B" w:rsidP="006E4B7B">
      <w:pPr>
        <w:jc w:val="left"/>
        <w:rPr>
          <w:rFonts w:cs="Times New Roman"/>
          <w:szCs w:val="24"/>
        </w:rPr>
      </w:pPr>
      <w:r w:rsidRPr="00517431">
        <w:rPr>
          <w:rFonts w:cs="Times New Roman"/>
          <w:b/>
          <w:szCs w:val="24"/>
        </w:rPr>
        <w:t>Eco-Packaging-</w:t>
      </w:r>
      <w:r w:rsidRPr="00517431">
        <w:rPr>
          <w:rFonts w:cs="Times New Roman"/>
          <w:szCs w:val="24"/>
        </w:rPr>
        <w:t xml:space="preserve"> Packaging designed to decrease environmental effect using reduced or recyclable materials.</w:t>
      </w:r>
    </w:p>
    <w:p w:rsidR="006E4B7B" w:rsidRPr="00517431" w:rsidRDefault="006E4B7B" w:rsidP="006E4B7B">
      <w:pPr>
        <w:jc w:val="left"/>
        <w:rPr>
          <w:rFonts w:cs="Times New Roman"/>
          <w:szCs w:val="24"/>
        </w:rPr>
      </w:pPr>
      <w:r w:rsidRPr="00517431">
        <w:rPr>
          <w:rFonts w:cs="Times New Roman"/>
          <w:b/>
          <w:szCs w:val="24"/>
        </w:rPr>
        <w:t>New Markets-</w:t>
      </w:r>
      <w:r w:rsidRPr="00517431">
        <w:rPr>
          <w:rFonts w:cs="Times New Roman"/>
          <w:szCs w:val="24"/>
        </w:rPr>
        <w:t xml:space="preserve"> Developing economies with rapid growth, increased consumer demand, and dynamic market systems.</w:t>
      </w:r>
    </w:p>
    <w:p w:rsidR="006E4B7B" w:rsidRPr="00517431" w:rsidRDefault="006E4B7B" w:rsidP="006E4B7B">
      <w:pPr>
        <w:jc w:val="left"/>
        <w:rPr>
          <w:rFonts w:cs="Times New Roman"/>
          <w:szCs w:val="24"/>
        </w:rPr>
      </w:pPr>
      <w:r w:rsidRPr="00517431">
        <w:rPr>
          <w:rFonts w:cs="Times New Roman"/>
          <w:b/>
          <w:szCs w:val="24"/>
        </w:rPr>
        <w:t>Fast-Moving Consumer Goods (FMCG) -</w:t>
      </w:r>
      <w:r w:rsidRPr="00517431">
        <w:rPr>
          <w:rFonts w:cs="Times New Roman"/>
          <w:szCs w:val="24"/>
        </w:rPr>
        <w:t xml:space="preserve"> Cheap goods that are often bought, like meals, drinks, and personal hygiene supplies.</w:t>
      </w:r>
    </w:p>
    <w:p w:rsidR="006E4B7B" w:rsidRPr="00517431" w:rsidRDefault="006E4B7B" w:rsidP="006E4B7B">
      <w:pPr>
        <w:jc w:val="left"/>
        <w:rPr>
          <w:rFonts w:cs="Times New Roman"/>
          <w:szCs w:val="24"/>
        </w:rPr>
      </w:pPr>
      <w:r w:rsidRPr="00517431">
        <w:rPr>
          <w:rFonts w:cs="Times New Roman"/>
          <w:b/>
          <w:szCs w:val="24"/>
        </w:rPr>
        <w:t>Green Marketing-</w:t>
      </w:r>
      <w:r w:rsidRPr="00517431">
        <w:rPr>
          <w:rFonts w:cs="Times New Roman"/>
          <w:szCs w:val="24"/>
        </w:rPr>
        <w:t xml:space="preserve"> Marketing efforts that promote products or brands based on environmental benefits.</w:t>
      </w:r>
    </w:p>
    <w:p w:rsidR="006E4B7B" w:rsidRPr="00517431" w:rsidRDefault="006E4B7B" w:rsidP="006E4B7B">
      <w:pPr>
        <w:jc w:val="left"/>
        <w:rPr>
          <w:rFonts w:cs="Times New Roman"/>
          <w:szCs w:val="24"/>
        </w:rPr>
      </w:pPr>
      <w:r w:rsidRPr="00517431">
        <w:rPr>
          <w:rFonts w:cs="Times New Roman"/>
          <w:b/>
          <w:szCs w:val="24"/>
        </w:rPr>
        <w:t>Innovation in Green Products-</w:t>
      </w:r>
      <w:r w:rsidRPr="00517431">
        <w:rPr>
          <w:rFonts w:cs="Times New Roman"/>
          <w:szCs w:val="24"/>
        </w:rPr>
        <w:t xml:space="preserve"> Product development with the goal of minimizing environmental damage throughout the product's life cycle.</w:t>
      </w:r>
    </w:p>
    <w:p w:rsidR="006E4B7B" w:rsidRPr="00517431" w:rsidRDefault="006E4B7B" w:rsidP="006E4B7B">
      <w:pPr>
        <w:jc w:val="left"/>
        <w:rPr>
          <w:rFonts w:cs="Times New Roman"/>
          <w:szCs w:val="24"/>
        </w:rPr>
      </w:pPr>
      <w:r w:rsidRPr="00517431">
        <w:rPr>
          <w:rFonts w:cs="Times New Roman"/>
          <w:b/>
          <w:szCs w:val="24"/>
        </w:rPr>
        <w:t>The Green Trust-</w:t>
      </w:r>
      <w:r w:rsidRPr="00517431">
        <w:rPr>
          <w:rFonts w:cs="Times New Roman"/>
          <w:szCs w:val="24"/>
        </w:rPr>
        <w:t xml:space="preserve"> consumer trust in a company's environmental statements.</w:t>
      </w:r>
    </w:p>
    <w:p w:rsidR="006E4B7B" w:rsidRPr="00517431" w:rsidRDefault="006E4B7B" w:rsidP="006E4B7B">
      <w:pPr>
        <w:jc w:val="left"/>
        <w:rPr>
          <w:rFonts w:cs="Times New Roman"/>
          <w:szCs w:val="24"/>
        </w:rPr>
      </w:pPr>
      <w:r w:rsidRPr="00517431">
        <w:rPr>
          <w:rFonts w:cs="Times New Roman"/>
          <w:b/>
          <w:szCs w:val="24"/>
        </w:rPr>
        <w:t>Green washing-</w:t>
      </w:r>
      <w:r w:rsidRPr="00517431">
        <w:rPr>
          <w:rFonts w:cs="Times New Roman"/>
          <w:szCs w:val="24"/>
        </w:rPr>
        <w:t xml:space="preserve"> The act of creating false or inflated environmental claims.</w:t>
      </w:r>
    </w:p>
    <w:p w:rsidR="006E4B7B" w:rsidRPr="00517431" w:rsidRDefault="006E4B7B" w:rsidP="006E4B7B">
      <w:pPr>
        <w:jc w:val="left"/>
        <w:rPr>
          <w:rFonts w:cs="Times New Roman"/>
          <w:szCs w:val="24"/>
        </w:rPr>
      </w:pPr>
      <w:r w:rsidRPr="00517431">
        <w:rPr>
          <w:rFonts w:cs="Times New Roman"/>
          <w:b/>
          <w:szCs w:val="24"/>
        </w:rPr>
        <w:t>Behavioral Control Perceived (PBC) -</w:t>
      </w:r>
      <w:r w:rsidRPr="00517431">
        <w:rPr>
          <w:rFonts w:cs="Times New Roman"/>
          <w:szCs w:val="24"/>
        </w:rPr>
        <w:t xml:space="preserve"> Price, accessibility, and convenience all have an impact on the customer's view of their capacity to complete a purchase.</w:t>
      </w:r>
    </w:p>
    <w:p w:rsidR="006E4B7B" w:rsidRPr="00517431" w:rsidRDefault="006E4B7B" w:rsidP="006E4B7B">
      <w:pPr>
        <w:jc w:val="left"/>
        <w:rPr>
          <w:rFonts w:cs="Times New Roman"/>
          <w:szCs w:val="24"/>
        </w:rPr>
      </w:pPr>
      <w:r w:rsidRPr="00517431">
        <w:rPr>
          <w:rFonts w:cs="Times New Roman"/>
          <w:b/>
          <w:szCs w:val="24"/>
        </w:rPr>
        <w:t>Fairness in Price-</w:t>
      </w:r>
      <w:r w:rsidRPr="00517431">
        <w:rPr>
          <w:rFonts w:cs="Times New Roman"/>
          <w:szCs w:val="24"/>
        </w:rPr>
        <w:t xml:space="preserve"> The degree to which customers believe a product's price is fair and justified.</w:t>
      </w:r>
    </w:p>
    <w:p w:rsidR="006E4B7B" w:rsidRPr="00517431" w:rsidRDefault="006E4B7B" w:rsidP="006E4B7B">
      <w:pPr>
        <w:jc w:val="left"/>
        <w:rPr>
          <w:rFonts w:cs="Times New Roman"/>
          <w:szCs w:val="24"/>
        </w:rPr>
      </w:pPr>
      <w:r w:rsidRPr="00517431">
        <w:rPr>
          <w:rFonts w:cs="Times New Roman"/>
          <w:b/>
          <w:szCs w:val="24"/>
        </w:rPr>
        <w:t>PRISMA-</w:t>
      </w:r>
      <w:r w:rsidRPr="00517431">
        <w:rPr>
          <w:rFonts w:cs="Times New Roman"/>
          <w:szCs w:val="24"/>
        </w:rPr>
        <w:t xml:space="preserve"> </w:t>
      </w:r>
      <w:r>
        <w:rPr>
          <w:rFonts w:cs="Times New Roman"/>
          <w:szCs w:val="24"/>
        </w:rPr>
        <w:t>A</w:t>
      </w:r>
      <w:r w:rsidRPr="00517431">
        <w:rPr>
          <w:rFonts w:cs="Times New Roman"/>
          <w:szCs w:val="24"/>
        </w:rPr>
        <w:t xml:space="preserve"> structure for reporting systematic literature reviews in an open manner.</w:t>
      </w:r>
    </w:p>
    <w:p w:rsidR="006E4B7B" w:rsidRPr="00517431" w:rsidRDefault="006E4B7B" w:rsidP="006E4B7B">
      <w:pPr>
        <w:jc w:val="left"/>
        <w:rPr>
          <w:rFonts w:cs="Times New Roman"/>
          <w:szCs w:val="24"/>
        </w:rPr>
      </w:pPr>
      <w:r w:rsidRPr="00517431">
        <w:rPr>
          <w:rFonts w:cs="Times New Roman"/>
          <w:b/>
          <w:szCs w:val="24"/>
        </w:rPr>
        <w:t>Resource-Based View (RBV) -</w:t>
      </w:r>
      <w:r w:rsidRPr="00517431">
        <w:rPr>
          <w:rFonts w:cs="Times New Roman"/>
          <w:szCs w:val="24"/>
        </w:rPr>
        <w:t xml:space="preserve"> A theory explaining competitive advantage through valuable and hard-to-imitate corporate resources.</w:t>
      </w:r>
    </w:p>
    <w:p w:rsidR="006E4B7B" w:rsidRPr="00517431" w:rsidRDefault="006E4B7B" w:rsidP="006E4B7B">
      <w:pPr>
        <w:jc w:val="left"/>
        <w:rPr>
          <w:rFonts w:cs="Times New Roman"/>
          <w:szCs w:val="24"/>
        </w:rPr>
      </w:pPr>
      <w:r w:rsidRPr="00517431">
        <w:rPr>
          <w:rFonts w:cs="Times New Roman"/>
          <w:b/>
          <w:szCs w:val="24"/>
        </w:rPr>
        <w:t>Natural Resource-Based Perspective (NRBV) -</w:t>
      </w:r>
      <w:r w:rsidRPr="00517431">
        <w:rPr>
          <w:rFonts w:cs="Times New Roman"/>
          <w:szCs w:val="24"/>
        </w:rPr>
        <w:t xml:space="preserve"> An expansion of RBV that focuses on environmental skills as strategic assets.</w:t>
      </w:r>
    </w:p>
    <w:p w:rsidR="006E4B7B" w:rsidRPr="00517431" w:rsidRDefault="006E4B7B" w:rsidP="006E4B7B">
      <w:pPr>
        <w:jc w:val="left"/>
        <w:rPr>
          <w:rFonts w:cs="Times New Roman"/>
          <w:szCs w:val="24"/>
        </w:rPr>
      </w:pPr>
      <w:r w:rsidRPr="00517431">
        <w:rPr>
          <w:rFonts w:cs="Times New Roman"/>
          <w:b/>
          <w:szCs w:val="24"/>
        </w:rPr>
        <w:lastRenderedPageBreak/>
        <w:t>Systematic Review of the Literature -</w:t>
      </w:r>
      <w:r w:rsidRPr="00517431">
        <w:rPr>
          <w:rFonts w:cs="Times New Roman"/>
          <w:szCs w:val="24"/>
        </w:rPr>
        <w:t xml:space="preserve"> </w:t>
      </w:r>
      <w:r>
        <w:rPr>
          <w:rFonts w:cs="Times New Roman"/>
          <w:szCs w:val="24"/>
        </w:rPr>
        <w:t>A</w:t>
      </w:r>
      <w:r w:rsidRPr="00517431">
        <w:rPr>
          <w:rFonts w:cs="Times New Roman"/>
          <w:szCs w:val="24"/>
        </w:rPr>
        <w:t xml:space="preserve"> methodical process for locating, evaluating, and combining prior research.</w:t>
      </w:r>
    </w:p>
    <w:p w:rsidR="006E4B7B" w:rsidRPr="00517431" w:rsidRDefault="006E4B7B" w:rsidP="006E4B7B">
      <w:pPr>
        <w:jc w:val="left"/>
        <w:rPr>
          <w:rFonts w:cs="Times New Roman"/>
          <w:szCs w:val="24"/>
        </w:rPr>
      </w:pPr>
      <w:r w:rsidRPr="00517431">
        <w:rPr>
          <w:rFonts w:cs="Times New Roman"/>
          <w:b/>
          <w:szCs w:val="24"/>
        </w:rPr>
        <w:t>Theory of Planned Behaviour (TPB) -</w:t>
      </w:r>
      <w:r w:rsidRPr="00517431">
        <w:rPr>
          <w:rFonts w:cs="Times New Roman"/>
          <w:szCs w:val="24"/>
        </w:rPr>
        <w:t xml:space="preserve"> According to this idea, behavioral intention is shaped by beliefs, social norms, and perceived control.</w:t>
      </w:r>
    </w:p>
    <w:p w:rsidR="006E4B7B" w:rsidRDefault="006E4B7B" w:rsidP="006E4B7B">
      <w:pPr>
        <w:jc w:val="left"/>
        <w:rPr>
          <w:rFonts w:cs="Times New Roman"/>
          <w:szCs w:val="24"/>
        </w:rPr>
      </w:pPr>
      <w:r w:rsidRPr="00517431">
        <w:rPr>
          <w:rFonts w:cs="Times New Roman"/>
          <w:b/>
          <w:szCs w:val="24"/>
        </w:rPr>
        <w:t>Word-of-mouth (eWOM/WOM) -</w:t>
      </w:r>
      <w:r w:rsidRPr="00517431">
        <w:rPr>
          <w:rFonts w:cs="Times New Roman"/>
          <w:szCs w:val="24"/>
        </w:rPr>
        <w:t xml:space="preserve"> Communication between consumers and brands via digital or offline channels.</w:t>
      </w:r>
    </w:p>
    <w:p w:rsidR="006E4B7B" w:rsidRDefault="006E4B7B" w:rsidP="006E4B7B">
      <w:pPr>
        <w:jc w:val="left"/>
        <w:rPr>
          <w:rFonts w:cs="Times New Roman"/>
          <w:szCs w:val="24"/>
        </w:rPr>
      </w:pPr>
    </w:p>
    <w:p w:rsidR="006E4B7B" w:rsidRDefault="006E4B7B" w:rsidP="00CB67C9"/>
    <w:p w:rsidR="006E4B7B" w:rsidRDefault="006E4B7B" w:rsidP="00CB67C9"/>
    <w:p w:rsidR="008921A2" w:rsidRDefault="008921A2" w:rsidP="00B377F6">
      <w:pPr>
        <w:spacing w:after="0"/>
        <w:rPr>
          <w:b/>
          <w:bCs/>
        </w:rPr>
        <w:sectPr w:rsidR="008921A2" w:rsidSect="00247196">
          <w:footerReference w:type="default" r:id="rId9"/>
          <w:pgSz w:w="11906" w:h="16838"/>
          <w:pgMar w:top="1440" w:right="1440" w:bottom="1440" w:left="1440" w:header="708" w:footer="708" w:gutter="0"/>
          <w:pgNumType w:fmt="lowerRoman"/>
          <w:cols w:space="708"/>
          <w:docGrid w:linePitch="360"/>
        </w:sectPr>
      </w:pPr>
    </w:p>
    <w:p w:rsidR="009E6373" w:rsidRDefault="00DF0063" w:rsidP="00DF0063">
      <w:pPr>
        <w:pStyle w:val="Heading1"/>
      </w:pPr>
      <w:bookmarkStart w:id="4" w:name="_Toc220155728"/>
      <w:r w:rsidRPr="00DF0063">
        <w:lastRenderedPageBreak/>
        <w:t>CHAPTER 1: INTRODUCTION</w:t>
      </w:r>
      <w:bookmarkEnd w:id="4"/>
    </w:p>
    <w:p w:rsidR="00DF0063" w:rsidRPr="00DF0063" w:rsidRDefault="00DF0063" w:rsidP="00DF0063">
      <w:pPr>
        <w:pStyle w:val="Heading2"/>
      </w:pPr>
      <w:bookmarkStart w:id="5" w:name="_Toc220155729"/>
      <w:r w:rsidRPr="00DF0063">
        <w:t>1.0 CHAPTER OVERVIEW</w:t>
      </w:r>
      <w:bookmarkEnd w:id="5"/>
    </w:p>
    <w:p w:rsidR="00DF0063" w:rsidRPr="00DF0063" w:rsidRDefault="00DF0063" w:rsidP="00DF0063">
      <w:r>
        <w:t>The present study aims to investigate the</w:t>
      </w:r>
      <w:r w:rsidRPr="00DF0063">
        <w:t xml:space="preserve"> impact of green marketing strategies on consumer purchase intention and brand performance</w:t>
      </w:r>
      <w:r>
        <w:t xml:space="preserve">. This </w:t>
      </w:r>
      <w:r w:rsidRPr="00DF0063">
        <w:t>chapter introduces a study on how green marketing strategies influence consumer purchase intention and brand performance in the fast-moving consumer goods (FMCG) sector in Bangladesh. It begins by outlining the economic and environmental context of the Bangladeshi FMCG market and the growing use of green marketing. It then sets out the research problem, aim, objectives and questions.The chapter also explains why the topic is important for both academic research and business practice and briefly presents the theoretical framework that guides the study. It ends with a short summary of the key points.</w:t>
      </w:r>
    </w:p>
    <w:p w:rsidR="00DF0063" w:rsidRPr="00DF0063" w:rsidRDefault="00DF0063" w:rsidP="00DF0063">
      <w:pPr>
        <w:pStyle w:val="Heading2"/>
      </w:pPr>
      <w:bookmarkStart w:id="6" w:name="_Toc220155730"/>
      <w:r w:rsidRPr="00DF0063">
        <w:t>1.1 BACKGROUND OF THE STUDY</w:t>
      </w:r>
      <w:bookmarkEnd w:id="6"/>
    </w:p>
    <w:p w:rsidR="0057209C" w:rsidRPr="0057209C" w:rsidRDefault="00DF0063" w:rsidP="0057209C">
      <w:r w:rsidRPr="0057209C">
        <w:t xml:space="preserve">FMCG products include </w:t>
      </w:r>
      <w:r w:rsidR="00CD0E9E" w:rsidRPr="0057209C">
        <w:t>every day</w:t>
      </w:r>
      <w:r w:rsidRPr="0057209C">
        <w:t>, low-involvement goods such as packaged foods, beverages, dairy products, personal care items and household cleaning products (</w:t>
      </w:r>
      <w:r w:rsidR="00147005" w:rsidRPr="0057209C">
        <w:t>Afrooz</w:t>
      </w:r>
      <w:r w:rsidRPr="0057209C">
        <w:t xml:space="preserve">, 2022). </w:t>
      </w:r>
      <w:r w:rsidR="0057209C" w:rsidRPr="0057209C">
        <w:t>The FMCG sector in Bangladesh has expanded rapidly over the last decade and is now one of the country’s most dynamic consumer industries, characterised by high sales volumes and low margins (Tanjim, 2024; Invest Bangladesh, 2023).</w:t>
      </w:r>
    </w:p>
    <w:p w:rsidR="0057209C" w:rsidRPr="0057209C" w:rsidRDefault="0057209C" w:rsidP="0057209C">
      <w:r w:rsidRPr="0057209C">
        <w:t>This growth is driven by rising private consumption and household incomes, together with urbanisation and the expansion of the middle and affluent classes (LightCastle Partners, 2019). As more consumers move into cities and formal employment, demand for packaged and branded FMCG items has increased, particularly in urban areas. Traditional retail outlets still account for most FMCG sales, but supermarkets, convenience stores and e-commerce channels are gaining ground, supported by increasing internet access and smartphone use (Innovision, 2022; Shovon, 2023; Iqbal, 2024).</w:t>
      </w:r>
    </w:p>
    <w:p w:rsidR="005608F8" w:rsidRDefault="005608F8" w:rsidP="0057209C">
      <w:r w:rsidRPr="005608F8">
        <w:t>The sector spans three broad segments—food and beverages, personal care and household care—and covers a wide range of everyday products. It is served by both large domestic conglomerates and multinational corporations operating across multiple categories. In this crowded, low-margin market, firms rely on scale, wide distribution and intensive brand-building to secure share and build loyalty.</w:t>
      </w:r>
    </w:p>
    <w:p w:rsidR="0057209C" w:rsidRPr="0057209C" w:rsidRDefault="0057209C" w:rsidP="0057209C">
      <w:r w:rsidRPr="0057209C">
        <w:lastRenderedPageBreak/>
        <w:t>Rapid growth in FMCG consumption has also created serious environmental pressures, particularly related to plastic packaging and single-use items. High levels of mismanaged plastic waste damage drainage systems, soil quality, rivers and marine ecosystems and have become a visible policy concern in Bangladesh (Haque, 2022; Khatun et al., 2023; Rahman et al., 2023; Abdullah et al., 2024). The government has responded with measures such as bans on polythene bags and the National Action Plan for Sustainable Plastic Management, but weak enforcement and limited waste-management infrastructure mean that FMCG packaging remains a major contributor to pollution (Unilever Bangladesh, 2024). These pressures create growing expectations that consumer-goods firms will reduce plastic use, improve packaging design and show visible environmental responsibility.</w:t>
      </w:r>
    </w:p>
    <w:p w:rsidR="0057209C" w:rsidRPr="0057209C" w:rsidRDefault="0057209C" w:rsidP="0057209C">
      <w:r w:rsidRPr="0057209C">
        <w:t>In response, several FMCG firms have begun to adopt greener business and marketing practices. Multinational and local players have announced commitments to reduce virgin plastic, increase recycled content, improve recyclability and support environmental CSR activities such as tree planting, waste collection and cleaner production processes (Unilever Bangladesh, 2024; PRAN, 2025). Product portfolios increasingly feature “natural” and “herbal” variants, paraben-free or “no added chemicals” claims in personal care, and advertising that links brands to cleanliness, health and environmental responsibility (Ahamed, 2024). Some initiatives involve long-term investments in greener manufacturing and packaging innovation, while others take the form of shorter campaigns and eco-themed advertising.</w:t>
      </w:r>
    </w:p>
    <w:p w:rsidR="00073FD0" w:rsidRDefault="0057209C" w:rsidP="00073FD0">
      <w:r w:rsidRPr="0057209C">
        <w:t xml:space="preserve">Bangladeshi FMCG consumers are often described as value-oriented, seeking to balance price and quality within tight budgets. Studies show that they are highly price-sensitive yet can be brand loyal, and may switch to cheaper alternatives when prices rise sharply, especially during periods of high inflation (Uddin et al., 2024; Habib, 2023). At the same time, urbanisation and income growth have increased brand consciousness and aspirations for quality and convenience among middle-class consumers (LightCastle Partners, 2019). Traditional groceries and wet markets remain important, but organised retail and online platforms are playing a growing role, and social media and digital channels increasingly shape awareness and purchase decisions for younger segments (Innovision, 2022; Jamil, 2023). Convenience, availability, promotions and trust in the brand remain central drivers of FMCG purchases, while environmental concern is only beginning to influence everyday decisions. </w:t>
      </w:r>
      <w:r w:rsidR="00073FD0" w:rsidRPr="00073FD0">
        <w:t xml:space="preserve">Against this backdrop, the present study examines whether and how green </w:t>
      </w:r>
      <w:r w:rsidR="00073FD0" w:rsidRPr="00073FD0">
        <w:lastRenderedPageBreak/>
        <w:t>marketing strategies can influence purchase intentions and contribute to brand performance in the Bangladeshi FMCG sector.</w:t>
      </w:r>
    </w:p>
    <w:p w:rsidR="00DF0063" w:rsidRPr="00DF0063" w:rsidRDefault="00DF0063" w:rsidP="00073FD0">
      <w:pPr>
        <w:pStyle w:val="Heading2"/>
      </w:pPr>
      <w:bookmarkStart w:id="7" w:name="_Toc220155731"/>
      <w:r w:rsidRPr="00DF0063">
        <w:t>1.2 PROBLEM STATEMENT</w:t>
      </w:r>
      <w:bookmarkEnd w:id="7"/>
    </w:p>
    <w:p w:rsidR="00DF0063" w:rsidRPr="00DF0063" w:rsidRDefault="00DF0063" w:rsidP="00DF0063">
      <w:r w:rsidRPr="00DF0063">
        <w:t>Research from different countries suggests that green marketing can positively influence consumer behaviour and brand outcomes. Specific strategies such as green product innovation, eco-friendly packaging, environmental advertising and CSR have been linked to higher consumer purchase intention and, in some cases, stronger brand trust, loyalty and word-of-mouth (Reddy et al., 2023; Cai et al., 2025; Belz et al., 2025). In emerging markets, studies show that consumers often respond well to green features when they see clear benefits and when pricing is perceived as fair (Reddy et al., 2023; Fida et al., 2025).</w:t>
      </w:r>
    </w:p>
    <w:p w:rsidR="00DF0063" w:rsidRPr="00DF0063" w:rsidRDefault="00DF0063" w:rsidP="00DF0063">
      <w:r w:rsidRPr="00DF0063">
        <w:t xml:space="preserve">In Bangladesh, evidence is growing but remains fragmented. Recent studies report that green packaging, green product attributes, green pricing, green promotion and green place can increase purchase intention among young consumers, and that environmental concern, knowledge and trust are important drivers (Hasan et al., 2024; Tamim </w:t>
      </w:r>
      <w:r w:rsidR="00073FD0">
        <w:t>&amp;</w:t>
      </w:r>
      <w:r w:rsidRPr="00DF0063">
        <w:t xml:space="preserve"> Akter, 2024; Chowdhury </w:t>
      </w:r>
      <w:r w:rsidR="00073FD0">
        <w:t>&amp;</w:t>
      </w:r>
      <w:r w:rsidRPr="00DF0063">
        <w:t xml:space="preserve"> Alamgir, 2021). These findings indicate that consumers do respond to green cues in FMCG categories.</w:t>
      </w:r>
    </w:p>
    <w:p w:rsidR="00DF0063" w:rsidRPr="00DF0063" w:rsidRDefault="00DF0063" w:rsidP="00DF0063">
      <w:r w:rsidRPr="00DF0063">
        <w:t>Despite this, the existing literature has several limitations. Many Bangladeshi studies focus on single instruments, such as green packaging or a specific product, rather than coherent bundles of green marketing strategies. Most rely on cross-sectional surveys with student or youth samples, which restricts generalisability. Brand performance is usually measured through short-term perceptual indicators such as self-reported loyalty or intention to buy, rather than more consistent indicators of brand equity, reputation or market share. Studies from other emerging markets show links between green marketing and brand-related outcomes, but few are situated in Bangladesh’s FMCG sector.</w:t>
      </w:r>
    </w:p>
    <w:p w:rsidR="00DF0063" w:rsidRPr="00DF0063" w:rsidRDefault="00DF0063" w:rsidP="00DF0063">
      <w:r w:rsidRPr="00DF0063">
        <w:t>As a result, there is no consolidated, Bangladesh-relevant view of how different green marketing strategies jointly shape both consumer purchase intention and brand performance in FMCG. Marketing practitioners in Bangladesh lack a clear evidence base to decide which green initiatives to prioritise and how these may help both the environment and the brand. A structured synthesis of existing empirical work is therefore needed.</w:t>
      </w:r>
    </w:p>
    <w:p w:rsidR="00DF0063" w:rsidRPr="00DF0063" w:rsidRDefault="00DF0063" w:rsidP="00DF0063">
      <w:pPr>
        <w:pStyle w:val="Heading2"/>
      </w:pPr>
      <w:bookmarkStart w:id="8" w:name="_Toc220155732"/>
      <w:r w:rsidRPr="00DF0063">
        <w:lastRenderedPageBreak/>
        <w:t>1.3 RESEARCH AIM AND OBJECTIVES</w:t>
      </w:r>
      <w:bookmarkEnd w:id="8"/>
    </w:p>
    <w:p w:rsidR="00DF0063" w:rsidRPr="00DF0063" w:rsidRDefault="00DF0063" w:rsidP="00DF0063">
      <w:r w:rsidRPr="00DF0063">
        <w:t xml:space="preserve">The </w:t>
      </w:r>
      <w:r>
        <w:t xml:space="preserve">primary aim of the </w:t>
      </w:r>
      <w:r w:rsidRPr="00DF0063">
        <w:t>study</w:t>
      </w:r>
      <w:r>
        <w:t xml:space="preserve"> is to </w:t>
      </w:r>
      <w:r w:rsidRPr="00DF0063">
        <w:t>examine how green marketing strategies affect consumer purchase intention and brand performance in the fast-moving consumer goods sector in Bangladesh, drawing on evidence from relevant empirical studies in Bangladesh and comparable emerging markets.</w:t>
      </w:r>
    </w:p>
    <w:p w:rsidR="00DF0063" w:rsidRPr="00DF0063" w:rsidRDefault="00DF0063" w:rsidP="00DF0063">
      <w:r w:rsidRPr="00DF0063">
        <w:t>To achieve this aim, the study pursues four objectives:</w:t>
      </w:r>
    </w:p>
    <w:p w:rsidR="00DF0063" w:rsidRPr="00DF0063" w:rsidRDefault="00DF0063" w:rsidP="00C17AE6">
      <w:pPr>
        <w:numPr>
          <w:ilvl w:val="0"/>
          <w:numId w:val="5"/>
        </w:numPr>
      </w:pPr>
      <w:r w:rsidRPr="00DF0063">
        <w:t>To identify and summarise empirical evidence on the effects of key green marketing strategies—green product innovation, eco-packaging, environmental advertising and eco-labels, and CSR—on consumer purchase intention in FMCG markets.</w:t>
      </w:r>
    </w:p>
    <w:p w:rsidR="00DF0063" w:rsidRPr="00DF0063" w:rsidRDefault="00DF0063" w:rsidP="00C17AE6">
      <w:pPr>
        <w:numPr>
          <w:ilvl w:val="0"/>
          <w:numId w:val="5"/>
        </w:numPr>
      </w:pPr>
      <w:r w:rsidRPr="00DF0063">
        <w:t>To examine documented relationships between consumer purchase intention and brand performance indicators such as brand trust, loyalty, equity and word-of-mouth in FMCG settings relevant to Bangladesh.</w:t>
      </w:r>
    </w:p>
    <w:p w:rsidR="00DF0063" w:rsidRPr="00DF0063" w:rsidRDefault="00DF0063" w:rsidP="00C17AE6">
      <w:pPr>
        <w:numPr>
          <w:ilvl w:val="0"/>
          <w:numId w:val="5"/>
        </w:numPr>
      </w:pPr>
      <w:r w:rsidRPr="00DF0063">
        <w:t>To compare which green marketing practices appear most effective for consumer engagement and longer-term brand outcomes under conditions similar to the Bangladeshi market.</w:t>
      </w:r>
    </w:p>
    <w:p w:rsidR="00DF0063" w:rsidRPr="00DF0063" w:rsidRDefault="00DF0063" w:rsidP="00C17AE6">
      <w:pPr>
        <w:numPr>
          <w:ilvl w:val="0"/>
          <w:numId w:val="5"/>
        </w:numPr>
      </w:pPr>
      <w:r w:rsidRPr="00DF0063">
        <w:t>To develop practical recommendations for FMCG managers in Bangladesh on how to design and prioritise green marketing strategies that support both consumer demand and brand performance.</w:t>
      </w:r>
    </w:p>
    <w:p w:rsidR="00DF0063" w:rsidRPr="00DF0063" w:rsidRDefault="00DF0063" w:rsidP="00DF0063">
      <w:pPr>
        <w:pStyle w:val="Heading2"/>
      </w:pPr>
      <w:bookmarkStart w:id="9" w:name="_Toc220155733"/>
      <w:r w:rsidRPr="00DF0063">
        <w:t>1.4 RESEARCH QUESTIONS</w:t>
      </w:r>
      <w:bookmarkEnd w:id="9"/>
    </w:p>
    <w:p w:rsidR="00DF0063" w:rsidRPr="00DF0063" w:rsidRDefault="00DF0063" w:rsidP="00DF0063">
      <w:r w:rsidRPr="00DF0063">
        <w:t>In line with the aim and objectives, the study addresses three research questions:</w:t>
      </w:r>
    </w:p>
    <w:p w:rsidR="00DF0063" w:rsidRPr="00DF0063" w:rsidRDefault="00DF0063" w:rsidP="00C17AE6">
      <w:pPr>
        <w:numPr>
          <w:ilvl w:val="0"/>
          <w:numId w:val="6"/>
        </w:numPr>
      </w:pPr>
      <w:r w:rsidRPr="00DF0063">
        <w:rPr>
          <w:b/>
          <w:bCs/>
        </w:rPr>
        <w:t>RQ1:</w:t>
      </w:r>
      <w:r w:rsidRPr="00DF0063">
        <w:t xml:space="preserve"> How do green marketing strategies influence consumer purchase intention in the FMCG sector in Bangladesh and comparable emerging markets?</w:t>
      </w:r>
    </w:p>
    <w:p w:rsidR="00DF0063" w:rsidRPr="00DF0063" w:rsidRDefault="00DF0063" w:rsidP="00C17AE6">
      <w:pPr>
        <w:numPr>
          <w:ilvl w:val="0"/>
          <w:numId w:val="6"/>
        </w:numPr>
      </w:pPr>
      <w:r w:rsidRPr="00DF0063">
        <w:rPr>
          <w:b/>
          <w:bCs/>
        </w:rPr>
        <w:t>RQ2:</w:t>
      </w:r>
      <w:r w:rsidRPr="00DF0063">
        <w:t xml:space="preserve"> How does consumer purchase intention relate to brand performance in these FMCG contexts?</w:t>
      </w:r>
    </w:p>
    <w:p w:rsidR="00DF0063" w:rsidRPr="00DF0063" w:rsidRDefault="00DF0063" w:rsidP="00C17AE6">
      <w:pPr>
        <w:numPr>
          <w:ilvl w:val="0"/>
          <w:numId w:val="6"/>
        </w:numPr>
      </w:pPr>
      <w:r w:rsidRPr="00DF0063">
        <w:rPr>
          <w:b/>
          <w:bCs/>
        </w:rPr>
        <w:t>RQ3:</w:t>
      </w:r>
      <w:r w:rsidRPr="00DF0063">
        <w:t xml:space="preserve"> Which green marketing strategies appear most effective for enhancing consumer engagement and brand performance in conditions similar to the Bangladeshi FMCG market?</w:t>
      </w:r>
    </w:p>
    <w:p w:rsidR="00DF0063" w:rsidRPr="00DF0063" w:rsidRDefault="00DF0063" w:rsidP="00DF0063">
      <w:pPr>
        <w:pStyle w:val="Heading2"/>
      </w:pPr>
      <w:bookmarkStart w:id="10" w:name="_Toc220155734"/>
      <w:r w:rsidRPr="00DF0063">
        <w:t>1.5 SIGNIFICANCE OF THE STUDY</w:t>
      </w:r>
      <w:bookmarkEnd w:id="10"/>
    </w:p>
    <w:p w:rsidR="00DF0063" w:rsidRPr="00DF0063" w:rsidRDefault="00DF0063" w:rsidP="00DF0063">
      <w:r w:rsidRPr="00DF0063">
        <w:t>The study has academic, practical and contextual significance.</w:t>
      </w:r>
    </w:p>
    <w:p w:rsidR="00DF0063" w:rsidRPr="00DF0063" w:rsidRDefault="00DF0063" w:rsidP="00DF0063">
      <w:r w:rsidRPr="00DF0063">
        <w:lastRenderedPageBreak/>
        <w:t>From an academic perspective, it brings together and organises a body of empirical work that is currently dispersed across countries, sectors and journals. Existing studies often use similar constructs—such as green product attributes, eco-packaging, environmental concern, trust, purchase intention and brand equity—but their findings have not been systematically compared. By synthesising this evidence, the study helps clarify the strength and direction of relationships between green marketing strategies, consumer purchase intention and brand performance in FMCG settings.</w:t>
      </w:r>
    </w:p>
    <w:p w:rsidR="00DF0063" w:rsidRPr="00DF0063" w:rsidRDefault="00DF0063" w:rsidP="00DF0063">
      <w:r w:rsidRPr="00DF0063">
        <w:t>The study also contributes to theory by linking consumer-side and firm-side perspectives. It uses the Theory of Planned Behaviour to interpret how green marketing strategies may influence attitudes, social norms and perceived control, and thus consumer purchase intention. It then draws on the Resource-Based View to explain how credible green capabilities and CSR activities can act as strategic resources that support brand performance through trust, loyalty and reputation. This combined perspective helps to connect individual intentions with firm-level outcomes.</w:t>
      </w:r>
    </w:p>
    <w:p w:rsidR="00DF0063" w:rsidRPr="00DF0063" w:rsidRDefault="00DF0063" w:rsidP="00DF0063">
      <w:r w:rsidRPr="00DF0063">
        <w:t>From a practical viewpoint, the study provides FMCG managers in Bangladesh with an evidence-based overview of which green initiatives have shown positive effects on consumer purchase intention and brand-related outcomes in similar contexts. This can support decision-making about investments in green product development, packaging changes, communication strategies and CSR partnerships.</w:t>
      </w:r>
    </w:p>
    <w:p w:rsidR="00DF0063" w:rsidRPr="00DF0063" w:rsidRDefault="00DF0063" w:rsidP="00DF0063">
      <w:r w:rsidRPr="00DF0063">
        <w:t>Contextually, the study is important for Bangladesh, where a rapidly growing FMCG market coexists with severe plastic-waste and environmental challenges. Insights into how green marketing can support more sustainable consumption patterns, without ignoring consumers’ price sensitivity and need for convenience, are highly relevant for policy and business practice.</w:t>
      </w:r>
    </w:p>
    <w:p w:rsidR="00DF0063" w:rsidRPr="00DF0063" w:rsidRDefault="00DF0063" w:rsidP="00DF0063">
      <w:pPr>
        <w:pStyle w:val="Heading2"/>
      </w:pPr>
      <w:bookmarkStart w:id="11" w:name="_Toc220155735"/>
      <w:r w:rsidRPr="00DF0063">
        <w:t>1.6 THEORETICAL FRAMEWORK</w:t>
      </w:r>
      <w:bookmarkEnd w:id="11"/>
    </w:p>
    <w:p w:rsidR="00DF0063" w:rsidRPr="00DF0063" w:rsidRDefault="00DF0063" w:rsidP="00DF0063">
      <w:r w:rsidRPr="00DF0063">
        <w:t>The study is guided by a theoretical framework that combines the Theory of Planned Behaviour (TPB) and the Resource-Based View (RBV), including its environmental extension, the Natural-Resource-Based View (NRBV).</w:t>
      </w:r>
    </w:p>
    <w:p w:rsidR="00DF0063" w:rsidRPr="00DF0063" w:rsidRDefault="00DF0063" w:rsidP="00DF0063">
      <w:r w:rsidRPr="00DF0063">
        <w:t xml:space="preserve">TPB explains how attitudes towards a behaviour, subjective norms and perceived behavioural control shape behavioural intention, which is the immediate predictor of actual behaviour (Ajzen, 1991). In this context, green marketing strategies—such as eco-friendly product </w:t>
      </w:r>
      <w:r w:rsidRPr="00DF0063">
        <w:lastRenderedPageBreak/>
        <w:t>design, clear environmental messages and accessible pricing—are expected to improve attitudes towards buying green products, strengthen perceived social approval and reduce perceived barriers, thereby increasing consumer purchase intention.</w:t>
      </w:r>
    </w:p>
    <w:p w:rsidR="00DF0063" w:rsidRPr="00DF0063" w:rsidRDefault="00DF0063" w:rsidP="00DF0063">
      <w:r w:rsidRPr="00DF0063">
        <w:t>RBV and NRBV focus on the firm side. They argue that competitive advantage arises when firms develop resources and capabilities that are valuable, rare, difficult to imitate and not easily substituted (Wernerfelt, 1984; Barney, 1991; Hart, 1995). For FMCG firms, credible green capabilities—such as sustained green innovation, reliable eco-packaging and strong CSR performance—can become strategic resources that support brand equity, trust, loyalty and favourable word-of-mouth.</w:t>
      </w:r>
    </w:p>
    <w:p w:rsidR="00DF0063" w:rsidRDefault="00DF0063" w:rsidP="00DF0063">
      <w:r w:rsidRPr="00DF0063">
        <w:t>Together, TPB and RBV/NRBV offer a multi-level lens. They allow the study to link green marketing actions to consumer purchase intention and, through this, to brand performance. The detailed discussion of these theories and their application to green marketing, consumer behaviour and brand outcomes is developed in the literature review.</w:t>
      </w:r>
    </w:p>
    <w:p w:rsidR="00C95297" w:rsidRPr="00C95297" w:rsidRDefault="00C95297" w:rsidP="00C95297">
      <w:pPr>
        <w:rPr>
          <w:b/>
          <w:bCs/>
        </w:rPr>
      </w:pPr>
      <w:r w:rsidRPr="00C95297">
        <w:rPr>
          <w:b/>
          <w:bCs/>
        </w:rPr>
        <w:t>1.7 STRUCTURE OF THE DISSERTATION</w:t>
      </w:r>
    </w:p>
    <w:p w:rsidR="00C95297" w:rsidRPr="00C95297" w:rsidRDefault="00C95297" w:rsidP="00C95297">
      <w:r w:rsidRPr="00C95297">
        <w:t>The remainder of the dissertation is organised as follows:</w:t>
      </w:r>
    </w:p>
    <w:p w:rsidR="00C95297" w:rsidRPr="00C95297" w:rsidRDefault="00C95297" w:rsidP="00C17AE6">
      <w:pPr>
        <w:numPr>
          <w:ilvl w:val="0"/>
          <w:numId w:val="7"/>
        </w:numPr>
      </w:pPr>
      <w:r w:rsidRPr="00C95297">
        <w:rPr>
          <w:b/>
          <w:bCs/>
        </w:rPr>
        <w:t>Chapter 2 – Literature Review</w:t>
      </w:r>
      <w:r w:rsidRPr="00C95297">
        <w:t xml:space="preserve"> reviews the FMCG sector in Bangladesh, defines key concepts, explains the TPB and RBV/NRBV in more depth and critically examines empirical studies on GM, CPI and BP in Bangladesh and comparable emerging markets. It ends by identifying the research gap.</w:t>
      </w:r>
    </w:p>
    <w:p w:rsidR="00C95297" w:rsidRPr="00C95297" w:rsidRDefault="00C95297" w:rsidP="00C17AE6">
      <w:pPr>
        <w:numPr>
          <w:ilvl w:val="0"/>
          <w:numId w:val="7"/>
        </w:numPr>
      </w:pPr>
      <w:r w:rsidRPr="00C95297">
        <w:rPr>
          <w:b/>
          <w:bCs/>
        </w:rPr>
        <w:t>Chapter 3 – Research Methodology</w:t>
      </w:r>
      <w:r w:rsidRPr="00C95297">
        <w:t xml:space="preserve"> explains the PRISMA-guided systematic review design, including research philosophy, data sources, search strategy, eligibility criteria, study selection, data extraction, quality appraisal and narrative synthesis, as well as ethical considerations and methodological limitations. </w:t>
      </w:r>
    </w:p>
    <w:p w:rsidR="00C95297" w:rsidRPr="00C95297" w:rsidRDefault="00C95297" w:rsidP="00C17AE6">
      <w:pPr>
        <w:numPr>
          <w:ilvl w:val="0"/>
          <w:numId w:val="7"/>
        </w:numPr>
      </w:pPr>
      <w:r w:rsidRPr="00C95297">
        <w:rPr>
          <w:b/>
          <w:bCs/>
        </w:rPr>
        <w:t>Chapter 4 – Findings / Data Analysis</w:t>
      </w:r>
      <w:r w:rsidRPr="00C95297">
        <w:t xml:space="preserve"> presents the results of the systematic review, summarising patterns of evidence for each GM lever and for the link between CPI and BP.</w:t>
      </w:r>
    </w:p>
    <w:p w:rsidR="00C95297" w:rsidRPr="00C95297" w:rsidRDefault="00C95297" w:rsidP="00C17AE6">
      <w:pPr>
        <w:numPr>
          <w:ilvl w:val="0"/>
          <w:numId w:val="7"/>
        </w:numPr>
      </w:pPr>
      <w:r w:rsidRPr="00C95297">
        <w:rPr>
          <w:b/>
          <w:bCs/>
        </w:rPr>
        <w:t>Chapter 5 – Discussion</w:t>
      </w:r>
      <w:r w:rsidRPr="00C95297">
        <w:t xml:space="preserve"> interprets the findings in light of TPB and RBV/NRBV, compares them with previous research, discusses contributions and sets out managerial implications and limitations.</w:t>
      </w:r>
    </w:p>
    <w:p w:rsidR="00C95297" w:rsidRPr="00C95297" w:rsidRDefault="00C95297" w:rsidP="00C17AE6">
      <w:pPr>
        <w:numPr>
          <w:ilvl w:val="0"/>
          <w:numId w:val="7"/>
        </w:numPr>
      </w:pPr>
      <w:r w:rsidRPr="00C95297">
        <w:rPr>
          <w:b/>
          <w:bCs/>
        </w:rPr>
        <w:lastRenderedPageBreak/>
        <w:t>Chapter 6 – Conclusion and Recommendations</w:t>
      </w:r>
      <w:r w:rsidRPr="00C95297">
        <w:t xml:space="preserve"> summarises the key findings, answers the research questions, offers clear recommendations for FMCG managers in Bangladesh and suggests directions for future research.</w:t>
      </w:r>
    </w:p>
    <w:p w:rsidR="00DF0063" w:rsidRPr="00DF0063" w:rsidRDefault="00DF0063" w:rsidP="00DF0063">
      <w:pPr>
        <w:pStyle w:val="Heading2"/>
      </w:pPr>
      <w:bookmarkStart w:id="12" w:name="_Toc220155736"/>
      <w:r w:rsidRPr="00DF0063">
        <w:t>1.</w:t>
      </w:r>
      <w:r w:rsidR="00C95297">
        <w:t>8</w:t>
      </w:r>
      <w:r w:rsidRPr="00DF0063">
        <w:t xml:space="preserve"> CHAPTER SUMMARY</w:t>
      </w:r>
      <w:bookmarkEnd w:id="12"/>
    </w:p>
    <w:p w:rsidR="0057209C" w:rsidRDefault="0057209C" w:rsidP="00DF0063">
      <w:r w:rsidRPr="0057209C">
        <w:t>This chapter positioned the study within Bangladesh’s growing FMCG sector and its associated environmental challenges. It outlined the research problem, aim, objectives and questions, and explained the academic, practical and contextual significance of investigating how green marketing influences consumer purchase intention and brand performance. Finally, it introduced the combined TPB and RBV/NRBV framework that will guide the analysis, and signposted the structure of the dissertation.</w:t>
      </w:r>
    </w:p>
    <w:p w:rsidR="0057209C" w:rsidRDefault="0057209C" w:rsidP="00DF0063"/>
    <w:p w:rsidR="00DF0063" w:rsidRDefault="00DF0063">
      <w:pPr>
        <w:spacing w:line="259" w:lineRule="auto"/>
        <w:jc w:val="left"/>
        <w:rPr>
          <w:rFonts w:eastAsiaTheme="majorEastAsia" w:cstheme="majorBidi"/>
          <w:b/>
          <w:sz w:val="28"/>
          <w:szCs w:val="50"/>
        </w:rPr>
      </w:pPr>
      <w:r>
        <w:br w:type="page"/>
      </w:r>
    </w:p>
    <w:p w:rsidR="009E6373" w:rsidRDefault="000644F8" w:rsidP="000644F8">
      <w:pPr>
        <w:pStyle w:val="Heading1"/>
      </w:pPr>
      <w:bookmarkStart w:id="13" w:name="_Toc220155737"/>
      <w:r>
        <w:lastRenderedPageBreak/>
        <w:t xml:space="preserve">CHAPTER </w:t>
      </w:r>
      <w:r w:rsidRPr="009E6373">
        <w:t>2</w:t>
      </w:r>
      <w:r>
        <w:t xml:space="preserve">: </w:t>
      </w:r>
      <w:r w:rsidRPr="009E6373">
        <w:t>LITERATURE REVIEW</w:t>
      </w:r>
      <w:bookmarkEnd w:id="13"/>
    </w:p>
    <w:p w:rsidR="000644F8" w:rsidRDefault="000644F8" w:rsidP="000644F8">
      <w:pPr>
        <w:pStyle w:val="Heading2"/>
      </w:pPr>
      <w:bookmarkStart w:id="14" w:name="_Toc220155738"/>
      <w:r>
        <w:t>2.0 CHAPTER OVERVIEW</w:t>
      </w:r>
      <w:bookmarkEnd w:id="14"/>
    </w:p>
    <w:p w:rsidR="000644F8" w:rsidRDefault="000644F8" w:rsidP="000644F8">
      <w:r>
        <w:t>This chapter reviews the literature on green marketing, consumer purchase intention and brand performance in the fast-moving consumer goods (FMCG) sector, with a particular focus on Bangladesh. It has four aims. First, it outlines the structure and recent development of the Bangladeshi FMCG market. Second, it defines key concepts and theories that explain how green marketing may influence consumer behaviour and brand outcomes. Third, it summarises empirical evidence from Bangladesh and comparable emerging markets. Finally, it identifies the research gap that motivates the present dissertation.</w:t>
      </w:r>
    </w:p>
    <w:p w:rsidR="000644F8" w:rsidRDefault="000644F8" w:rsidP="000644F8">
      <w:r>
        <w:t>The chapter is organised into six sections. Section 2.1 discusses the FMCG sector in Bangladesh, including market size, major players, consumer behaviour and sustainability challenges. Section 2.2 sets out the conceptual background, defining green marketing, consumer purchase intention and brand performance in the FMCG context. Section 2.3 explains the main theoretical foundations, namely the Theory of Planned Behaviour (TPB) and the Resource-Based View (RBV). Section 2.4 reviews empirical studies on green marketing, purchase intention and brand outcomes. Section 2.5 draws together the research gap and justifies the focus of this dissertation, and Section 2.6 provides a brief chapter summary.</w:t>
      </w:r>
    </w:p>
    <w:p w:rsidR="000644F8" w:rsidRDefault="000644F8" w:rsidP="000644F8">
      <w:pPr>
        <w:pStyle w:val="Heading2"/>
      </w:pPr>
      <w:bookmarkStart w:id="15" w:name="_Toc220155739"/>
      <w:r>
        <w:t>2.1 THE FMCG SECTOR IN BANGLADESH</w:t>
      </w:r>
      <w:bookmarkEnd w:id="15"/>
    </w:p>
    <w:p w:rsidR="000644F8" w:rsidRDefault="000644F8" w:rsidP="000644F8">
      <w:pPr>
        <w:pStyle w:val="Heading2"/>
      </w:pPr>
      <w:bookmarkStart w:id="16" w:name="_Toc220155740"/>
      <w:r>
        <w:t>2.1.1 OVERVIEW, MARKET SIZE AND KEY PLAYERS</w:t>
      </w:r>
      <w:bookmarkEnd w:id="16"/>
    </w:p>
    <w:p w:rsidR="000644F8" w:rsidRDefault="000644F8" w:rsidP="000644F8">
      <w:r>
        <w:t>Fast-moving consumer goods in Bangladesh are non-durable, low-involvement products that households purchase frequently, such as packaged foods, beverages, dairy products, personal care items and household cleaning products (</w:t>
      </w:r>
      <w:r w:rsidR="00147005" w:rsidRPr="00147005">
        <w:t>Afrooz</w:t>
      </w:r>
      <w:r>
        <w:t xml:space="preserve">, 2022). These goods have high turnover and low margins and account for a large share of everyday spending. Recent industry estimates value Bangladesh’s FMCG market at around US$4 billion, with annual growth of roughly 8–10 per cent over the past decade, making it one of the fastest-growing consumer industries in the country (Tanjim, 2024; Invest Bangladesh, 2023; </w:t>
      </w:r>
      <w:r w:rsidR="00147005" w:rsidRPr="00147005">
        <w:t>Afrooz</w:t>
      </w:r>
      <w:r>
        <w:t>, 2022).</w:t>
      </w:r>
    </w:p>
    <w:p w:rsidR="005C176C" w:rsidRPr="001B482D" w:rsidRDefault="005C176C" w:rsidP="005C176C">
      <w:pPr>
        <w:spacing w:after="0" w:line="240" w:lineRule="auto"/>
        <w:jc w:val="center"/>
        <w:rPr>
          <w:b/>
          <w:bCs/>
          <w:sz w:val="20"/>
          <w:szCs w:val="22"/>
        </w:rPr>
      </w:pPr>
      <w:r w:rsidRPr="001B482D">
        <w:rPr>
          <w:b/>
          <w:bCs/>
          <w:noProof/>
          <w:sz w:val="20"/>
          <w:szCs w:val="22"/>
          <w:lang w:val="en-US" w:bidi="ar-SA"/>
        </w:rPr>
        <w:lastRenderedPageBreak/>
        <w:drawing>
          <wp:inline distT="0" distB="0" distL="0" distR="0">
            <wp:extent cx="5769429" cy="1984924"/>
            <wp:effectExtent l="0" t="0" r="3175" b="0"/>
            <wp:docPr id="1808226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76782" cy="198745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C176C" w:rsidRPr="001B482D" w:rsidRDefault="005C176C" w:rsidP="005C176C">
      <w:pPr>
        <w:spacing w:after="0" w:line="240" w:lineRule="auto"/>
        <w:jc w:val="center"/>
        <w:rPr>
          <w:b/>
          <w:bCs/>
          <w:sz w:val="20"/>
          <w:szCs w:val="22"/>
        </w:rPr>
      </w:pPr>
      <w:r w:rsidRPr="001B482D">
        <w:rPr>
          <w:b/>
          <w:bCs/>
          <w:sz w:val="20"/>
          <w:szCs w:val="22"/>
        </w:rPr>
        <w:t xml:space="preserve">FIGURE </w:t>
      </w:r>
      <w:r w:rsidR="00073FD0">
        <w:rPr>
          <w:b/>
          <w:bCs/>
          <w:sz w:val="20"/>
          <w:szCs w:val="22"/>
        </w:rPr>
        <w:t>2</w:t>
      </w:r>
      <w:r w:rsidRPr="001B482D">
        <w:rPr>
          <w:b/>
          <w:bCs/>
          <w:sz w:val="20"/>
          <w:szCs w:val="22"/>
        </w:rPr>
        <w:t>.1: OVERVIEW OF THE SECTOR</w:t>
      </w:r>
    </w:p>
    <w:p w:rsidR="005C176C" w:rsidRPr="001B482D" w:rsidRDefault="005C176C" w:rsidP="005C176C">
      <w:pPr>
        <w:spacing w:after="0" w:line="240" w:lineRule="auto"/>
        <w:jc w:val="center"/>
        <w:rPr>
          <w:b/>
          <w:bCs/>
        </w:rPr>
      </w:pPr>
      <w:r w:rsidRPr="001B482D">
        <w:rPr>
          <w:b/>
          <w:bCs/>
          <w:sz w:val="20"/>
          <w:szCs w:val="22"/>
        </w:rPr>
        <w:t>(SOURCE: INVEST BANGLADESH, 2023)</w:t>
      </w:r>
    </w:p>
    <w:p w:rsidR="000644F8" w:rsidRDefault="000644F8" w:rsidP="000644F8">
      <w:r>
        <w:t>The sector’s expansion is driven by rising private consumption and income growth. Private consumption accounts for about 97 per cent of national income, and domestic consumption has surpassed US$130 billion, creating strong demand for both basic and branded consumer goods (LightCastle Partners, 2019). Growth in the middle and affluent classes and rapid urbanisation are pushing up demand for packaged and branded FMCG products, particularly in cities. While most sales still occur through traditional groceries and small retailers, supermarkets, hypermarkets and e-commerce are expanding quickly, supported by higher internet penetration and smartphone use (Innovision, 2022; Shovon, 2023; Iqbal, 2024).</w:t>
      </w:r>
    </w:p>
    <w:p w:rsidR="000644F8" w:rsidRDefault="000644F8" w:rsidP="000644F8">
      <w:r>
        <w:t>The Bangladeshi FMCG sector is usually grouped into three broad segments: food and beverages, personal care and household care (Invest Bangladesh, 2023). Within these segments, important categories include packaged foods, edible oils, biscuits and snacks, tea and soft drinks, oral care, skin and hair care products, detergents, surface cleaners and baby-care items (</w:t>
      </w:r>
      <w:r w:rsidR="00147005" w:rsidRPr="00147005">
        <w:t>Afrooz</w:t>
      </w:r>
      <w:r>
        <w:t>, 2022; FICCI, 2024). The competitive landscape features both large domestic conglomerates and multinational corporations. Local groups such as PRAN-RFL, ACI, Square, City Group and Meghna Group operate across multiple FMCG categories, while multinationals such as Unilever, Nestlé, Marico, Coca-Cola, PepsiCo and Reckitt hold strong positions in personal care, beverages and household care (Kothay, 2025; FICCI, 2024). Competition is intense, and firms rely on low prices, wide distribution and heavy brand-building. In this crowded, low-margin market, brand image and differentiated value propositions, including “green” or sustainable positioning, are increasingly used to stand out and secure loyalty.</w:t>
      </w:r>
    </w:p>
    <w:p w:rsidR="000644F8" w:rsidRPr="000644F8" w:rsidRDefault="000644F8" w:rsidP="000644F8">
      <w:pPr>
        <w:pStyle w:val="Heading3"/>
      </w:pPr>
      <w:bookmarkStart w:id="17" w:name="_Toc220155741"/>
      <w:r w:rsidRPr="000644F8">
        <w:t>2.1.2 CONSUMER BEHAVIOUR AND MARKET CHARACTERISTICS</w:t>
      </w:r>
      <w:bookmarkEnd w:id="17"/>
    </w:p>
    <w:p w:rsidR="000644F8" w:rsidRDefault="000644F8" w:rsidP="000644F8">
      <w:r>
        <w:t xml:space="preserve">Bangladeshi FMCG consumers are widely described as value-oriented, trying to balance price and quality. Studies on urban and lower-middle-class consumers show that they are </w:t>
      </w:r>
      <w:r>
        <w:lastRenderedPageBreak/>
        <w:t>highly price-sensitive yet also display brand loyalty. They seek acceptable quality within a budget and may switch brands when prices rise sharply (Uddin et al., 2024). Evidence from recent high-inflation periods indicates that many households “sacrificed their brands” and opted for cheaper alternatives, underlining the primacy of affordability in purchase decisions (Habib, 2023).</w:t>
      </w:r>
    </w:p>
    <w:p w:rsidR="000644F8" w:rsidRDefault="000644F8" w:rsidP="000644F8">
      <w:r>
        <w:t>At the same time, urbanisation and the growth of the middle and affluent classes have fostered stronger brand consciousness and aspirations for better quality and convenience (LightCastle Partners, 2019). Traditional retail channels, including small groceries, corner shops and wet markets, still dominate FMCG distribution, but organised supermarkets, convenience stores and online platforms are gaining importance, particularly among younger, urban consumers (Innovision, 2022; Iqbal, 2024). Social media and digital platforms such as Facebook and YouTube play a visible role in shaping awareness and purchase decisions, especially for younger segments (Bednarz and Orelly, 2020; Jamil, 2023). Overall, convenience, availability, promotions and trust in the brand remain central drivers of FMCG purchase intention, while environmental concern is only beginning to influence everyday choices. This raises a key question for the present study: to what extent can green marketing shift purchase intentions in a market still dominated by price and habit?</w:t>
      </w:r>
    </w:p>
    <w:p w:rsidR="000644F8" w:rsidRDefault="000644F8" w:rsidP="000644F8">
      <w:pPr>
        <w:pStyle w:val="Heading3"/>
      </w:pPr>
      <w:bookmarkStart w:id="18" w:name="_Toc220155742"/>
      <w:r>
        <w:t>2.1.3 ENVIRONMENTAL AND SUSTAINABILITY CHALLENGES AND EMERGING GREEN PRACTICES</w:t>
      </w:r>
      <w:bookmarkEnd w:id="18"/>
    </w:p>
    <w:p w:rsidR="000644F8" w:rsidRDefault="000644F8" w:rsidP="000644F8">
      <w:r>
        <w:t>The rapid expansion of FMCG consumption in Bangladesh has been accompanied by significant environmental pressures, particularly linked to plastic packaging and single-use items. Estimates suggest that Dhaka alone generates around 646 tonnes of plastic waste per day, representing only a small share of total national plastic waste (Khatun et al., 2023). One recent study reports that Bangladesh produces around 192,104 tonnes of sachet waste per year, with roughly 129 million sachets used daily, and more than one million tonnes of single-use plastic waste generated in 2021–22 (Haque, 2022). High levels of mismanaged plastic waste pose serious threats to drainage systems, soil fertility, water quality and marine ecosystems (Rahman et al., 2023; Abdullah et al., 2024).</w:t>
      </w:r>
    </w:p>
    <w:p w:rsidR="000644F8" w:rsidRDefault="000644F8" w:rsidP="000644F8">
      <w:r>
        <w:t xml:space="preserve">The government has responded with measures such as bans on polythene bags and the National Action Plan for Sustainable Plastic Management, which targets recycling 50 per cent of plastics by 2025 (Unilever Bangladesh, 2024). Yet implementation gaps and weak waste-management infrastructure mean that FMCG packaging remains a major contributor to </w:t>
      </w:r>
      <w:r>
        <w:lastRenderedPageBreak/>
        <w:t>pollution. These challenges create mounting pressure on consumer-goods companies to modify packaging, improve waste management and demonstrate visible environmental responsibility.</w:t>
      </w:r>
    </w:p>
    <w:p w:rsidR="000644F8" w:rsidRDefault="000644F8" w:rsidP="000644F8">
      <w:r>
        <w:t>In response, several FMCG firms have begun to adopt green marketing practices. Multinational players such as Unilever Bangladesh have committed to reducing virgin plastic use, increasing recycled content and making all plastic packaging reusable, recyclable or compostable, alongside pledges to collect and process more plastic than they sell (Unilever Bangladesh, 2024). Local conglomerates such as PRAN highlight initiatives around energy efficiency, waste reduction and environmental CSR activities, including tree planting and cleaner production processes (PRAN, 2025). Product portfolios increasingly feature “natural” or “herbal” variants, paraben-free or “no added chemicals” claims in personal care, and messaging that links brands with cleanliness, health and environmental responsibility (Ahamed, 2024). Some efforts appear strategic and long-term, such as investments in greener manufacturing and packaging innovation, while others are campaign-focused, involving short-term CSR projects or eco-themed advertising. Despite growing visibility, empirical evidence on how these green strategies influence consumer purchase intention and brand performance in Bangladesh remains fragmented, underlining the need for the present systematic review.</w:t>
      </w:r>
    </w:p>
    <w:p w:rsidR="000644F8" w:rsidRDefault="000644F8" w:rsidP="000644F8">
      <w:pPr>
        <w:pStyle w:val="Heading2"/>
      </w:pPr>
      <w:bookmarkStart w:id="19" w:name="_Toc220155743"/>
      <w:r>
        <w:t>2.2 CONCEPTUAL BACKGROUND AND KEY CONSTRUCTS</w:t>
      </w:r>
      <w:bookmarkEnd w:id="19"/>
    </w:p>
    <w:p w:rsidR="000644F8" w:rsidRDefault="000644F8" w:rsidP="000644F8">
      <w:pPr>
        <w:pStyle w:val="Heading3"/>
      </w:pPr>
      <w:bookmarkStart w:id="20" w:name="_Toc220155744"/>
      <w:r>
        <w:t>2.2.1 GREEN MARKETING AND SUSTAINABLE FMCG</w:t>
      </w:r>
      <w:bookmarkEnd w:id="20"/>
    </w:p>
    <w:p w:rsidR="000644F8" w:rsidRDefault="000644F8" w:rsidP="000644F8">
      <w:r>
        <w:t>Green marketing refers to marketing activities that meet consumer needs while reducing harm to the natural environment. Polonsky (1994, cited in Singh, 2021) defines it as all activities that generate and facilitate exchanges in ways that minimise environmental damage, and Pride and Ferrell describe environmental marketing as efforts to design, promote, price and distribute products that do not harm the environment (Pride and Ferrell, 1993, cited in Singh, 2021). Recent work stresses that such efforts must be built into the traditional marketing mix—product, price, place and promotion—rather than treated as separate “eco” campaigns (Singh, 2021; Longo and Magnusson, 2024). Sustainable marketing extends this logic by emphasising long-term protection of environmental and social systems alongside customer satisfaction (Thakkar, 2021).</w:t>
      </w:r>
    </w:p>
    <w:p w:rsidR="000644F8" w:rsidRDefault="000644F8" w:rsidP="000644F8">
      <w:r>
        <w:t xml:space="preserve">In FMCG, four groups of green marketing actions are especially relevant. Green product innovation reduces environmental impact across the product life cycle and is identified as a </w:t>
      </w:r>
      <w:r>
        <w:lastRenderedPageBreak/>
        <w:t>central pillar of environmental strategy (Belz et al., 2025). Eco-packaging reduces material use and improves recyclability or biodegradability in response to evidence that conventional FMCG packaging generates substantial waste and resource consumption (Allen et al., 2024). Environmental advertising and eco-labels communicate a brand’s environmental performance through claims, symbols and certifications; they can build trust when credible but risk “greenwashing” when vague (Belz et al., 2025). Corporate social responsibility (CSR) and community programmes—such as waste clean-up campaigns, reforestation or investments in recycling—also signal environmental commitment and are often treated as part of green marketing (Basu and Basu, 2025). The scale of FMCG consumption makes these actions important: packaging accounts for more than 40 per cent of worldwide plastic waste and requires large inputs of materials and energy (Our World in Data, 2024; Ncube et al., 2021). In this dissertation, “green marketing strategies” refers specifically to green product innovation, eco-packaging, environmental advertising and eco-labels, and CSR-related initiatives in FMCG.</w:t>
      </w:r>
    </w:p>
    <w:p w:rsidR="000644F8" w:rsidRDefault="000644F8" w:rsidP="000644F8">
      <w:pPr>
        <w:pStyle w:val="Heading3"/>
      </w:pPr>
      <w:bookmarkStart w:id="21" w:name="_Toc220155745"/>
      <w:r>
        <w:t>2.2.2 CONSUMER PURCHASE INTENTION AND BRAND PERFORMANCE IN FMCG</w:t>
      </w:r>
      <w:bookmarkEnd w:id="21"/>
    </w:p>
    <w:p w:rsidR="000644F8" w:rsidRDefault="000644F8" w:rsidP="000644F8">
      <w:r>
        <w:t>Consumer purchase intention (CPI) is commonly defined as a consumer’s willingness or readiness to buy a particular product or service, or the likelihood that they will do so (Duarte et al., 2024). It is sometimes framed as willingness to pay for a specific product, reflecting attitude towards a prospective purchase (Kumar et al., 2024). Syntheses of consumer research treat purchase intention as a proximal predictor of actual buying behaviour, while noting that the intention–behaviour link is moderated by factors such as trust, situational constraints and income (Surbakti et al., 2025). In FMCG settings, where purchases are frequent and low-involvement, CPI therefore serves as a practical proxy for expected demand for new products, packaging formats or green variants.</w:t>
      </w:r>
    </w:p>
    <w:p w:rsidR="000644F8" w:rsidRDefault="000644F8" w:rsidP="000644F8">
      <w:r>
        <w:t xml:space="preserve">Brand performance (BP) captures how effectively a brand achieves desired outcomes in the marketplace. Strategically, it is often expressed through indicators such as brand equity, market share, price premiums and profitability. Cheng and Hou (2024), for example, show that stronger brand equity and favourable brand portfolios are positively associated with both marketing and financial performance. Customer-based brand equity is defined by Keller (1993) as the differential effect of brand knowledge on consumer response to marketing, and a large bibliometric review concludes that brand equity enhances financial performance by shaping preferences, increasing market share and supporting higher margins (Chauhan and Bodla, 2024). In empirical work, objective metrics such as sales growth or market share are </w:t>
      </w:r>
      <w:r>
        <w:lastRenderedPageBreak/>
        <w:t>frequently complemented by perceptual indicators including brand awareness, perceived quality, loyalty intentions, satisfaction and positive word-of-mouth (Rattanaburi, 2023; Chauhan and Bodla, 2024). Within this dissertation, CPI is treated as the key behavioural intention through which green marketing strategies exert their effects, while brand performance refers primarily to downstream outcomes such as brand equity, loyalty and other market-related results.</w:t>
      </w:r>
    </w:p>
    <w:p w:rsidR="000644F8" w:rsidRDefault="000644F8" w:rsidP="000644F8">
      <w:pPr>
        <w:pStyle w:val="Heading2"/>
      </w:pPr>
      <w:bookmarkStart w:id="22" w:name="_Toc220155746"/>
      <w:r>
        <w:t>2.3 THEORETICAL FOUNDATIONS</w:t>
      </w:r>
      <w:bookmarkEnd w:id="22"/>
    </w:p>
    <w:p w:rsidR="000644F8" w:rsidRDefault="000644F8" w:rsidP="000644F8">
      <w:pPr>
        <w:pStyle w:val="Heading3"/>
      </w:pPr>
      <w:bookmarkStart w:id="23" w:name="_Toc220155747"/>
      <w:r>
        <w:t>2.3.1 THEORY OF PLANNED BEHAVIOUR (TPB) AND GREEN PURCHASE INTENTION</w:t>
      </w:r>
      <w:bookmarkEnd w:id="23"/>
    </w:p>
    <w:p w:rsidR="000644F8" w:rsidRDefault="000644F8" w:rsidP="000644F8">
      <w:r>
        <w:t>The Theory of Planned Behaviour (TPB) is one of the most widely applied frameworks for predicting deliberate human behaviour, including environmentally related actions. TPB proposes that intention is the most proximal predictor of behaviour and that intention is shaped by attitude towards the behaviour, subjective norms and perceived behavioural control (PBC) (Ajzen, 1991). Attitude reflects the individual’s overall evaluation of performing a behaviour; subjective norms capture perceived social pressure from important others; and PBC reflects the perceived ease or difficulty of performing the behaviour, which is conceptually related to self-efficacy (Zhuo et al., 2022).</w:t>
      </w:r>
    </w:p>
    <w:p w:rsidR="000644F8" w:rsidRDefault="000644F8" w:rsidP="000644F8">
      <w:r>
        <w:t>Naskar et al. (2025) report that TPB has been tested in more than 4,200 empirical papers across domains including health, technology adoption and environmental behaviour, with meta-analyses generally confirming that attitudes, norms and PBC jointly predict intentions and, to a lesser extent, actual behaviour. In green consumption, TPB has been used extensively to explain why consumers intend—or fail—to buy eco-friendly products. Paul et al. (2016) extend TPB and the Theory of Reasoned Action to predict green product consumption and find that attitude and PBC significantly predict green purchase intention, whereas subjective norms are weaker in some contexts. Zhuang et al.’s (2021) meta-analysis of 54 studies on green purchase intention shows that attitude, PBC and subjective norms all have positive relationships with green purchase intention, although attitudes and green value-related variables such as green perceived value and green trust tend to have the strongest effects. Zaremohzzabieh et al. (2021) similarly show, via meta-analytic path analysis, that attitude is a key pathway through which various antecedents influence green purchase intention. TPB therefore provides a clear way to interpret how green marketing strategies in FMCG are expected to work, by shifting attitudes, social norms and perceptions of control (Naskar et al., 2025).</w:t>
      </w:r>
    </w:p>
    <w:p w:rsidR="000644F8" w:rsidRDefault="000644F8" w:rsidP="000644F8">
      <w:r>
        <w:lastRenderedPageBreak/>
        <w:t>TPB also has recognised limitations in green consumption research. Meta-analytic reviews such as Armitage and Conner (2001) show that TPB explains around 39–40 per cent of variance in intention but substantially less in actual behaviour, highlighting the well-known “attitude–behaviour gap.” Environmental concern or favourable attitudes often fail to translate into actual green purchases because of habits, price constraints, lack of trust and situational factors. Critics argue that TPB can be too rational and static, underplaying moral norms, emotions and structural barriers. Even so, TPB remains suitable for the present dissertation. The focus is on purchase intention rather than behaviour, which directly matches TPB’s core dependent variable; TPB has been validated specifically in green product and green FMCG contexts, including in emerging markets; and its constructs are widely used in the survey-based studies synthesised in this review.</w:t>
      </w:r>
    </w:p>
    <w:p w:rsidR="000644F8" w:rsidRDefault="000644F8" w:rsidP="000644F8">
      <w:pPr>
        <w:pStyle w:val="Heading3"/>
      </w:pPr>
      <w:bookmarkStart w:id="24" w:name="_Toc220155748"/>
      <w:r>
        <w:t>2.3.2 RESOURCE-BASED VIEW (RBV), CSR AND BRAND PERFORMANCE</w:t>
      </w:r>
      <w:bookmarkEnd w:id="24"/>
    </w:p>
    <w:p w:rsidR="000644F8" w:rsidRDefault="000644F8" w:rsidP="000644F8">
      <w:r>
        <w:t>While TPB captures the consumer-side process leading to green purchase intention, the Resource-Based View (RBV) provides a complementary firm-level perspective on how green marketing and CSR can translate into superior brand performance. RBV argues that firms achieve sustained competitive advantage when they possess resources and capabilities that are valuable, rare, imperfectly imitable and non-substitutable—the classic VRIN criteria (Wernerfelt, 1984; Barney, 1991). These resources can include tangible assets, but also intangible elements such as brand reputation, organisational culture, know-how and stakeholder relationships.</w:t>
      </w:r>
    </w:p>
    <w:p w:rsidR="000644F8" w:rsidRDefault="000644F8" w:rsidP="000644F8">
      <w:r>
        <w:t xml:space="preserve">In a sustainability context, Hart (1995) extends RBV into the Natural-Resource-Based View (NRBV), arguing that capabilities in pollution prevention, product stewardship and sustainable development can themselves become strategic resources that underpin long-term competitiveness. For FMCG firms, credible green capabilities—such as eco-design expertise, low-impact packaging solutions, effective take-back or recycling systems and a strong CSR track record—can differentiate brands in crowded markets and support price premiums, loyalty and resilience. CSR–performance research supports this logic. Gupta and Aggarwal (2024) find a positive overall relationship between corporate social performance and financial performance across industries, suggesting that well-managed CSR does not generally penalise firms. Paul and Bhattacharya (2023) show that CSR improves firm market value indirectly by raising customer satisfaction, highlighting the mediating role of relational assets such as trust and perceived quality. Hamdoun et al. (2022) similarly find that CSR contributes to firm performance mainly through competitive advantage and reputation. More specifically, </w:t>
      </w:r>
      <w:r>
        <w:lastRenderedPageBreak/>
        <w:t>Paul and Bhattacharya (2023) argue that embedded environmental competencies can create new growth opportunities through clean technologies and product stewardship, while Mo et al. (2022) find that CSR activities and green absorptive capacity jointly enhance green innovation performance. These findings support the NRBV claim that environmental capabilities can become strategic resources that drive brand performance.</w:t>
      </w:r>
    </w:p>
    <w:p w:rsidR="000644F8" w:rsidRDefault="000644F8" w:rsidP="000644F8">
      <w:r>
        <w:t>RBV is not without criticism. Scholars such as Spender and Kraaijenbrink (2022) argue that RBV can be tautological, under-specifies how resources are created and ignores external institutional and stakeholder pressures. These critiques are particularly relevant in sustainability contexts where regulation, NGO campaigns and consumer activism shape the value of “green” resources. Later RBV and NRBV work, however, explicitly incorporate dynamic capabilities and environmental constraints, addressing part of this criticism. For this dissertation, RBV and NRBV are appropriate because the study examines brand performance outcomes—such as brand equity, loyalty, reputation and advocacy—which are precisely the kinds of intangible, cumulative assets that RBV views as strategic resources (Bosnjak et al., 2020). Together, TPB and RBV/NRBV provide a coherent multi-level foundation: TPB models how green marketing shapes consumer purchase intention, while RBV explains how credible, well-embedded green capabilities and CSR can enhance brand performance over time.</w:t>
      </w:r>
    </w:p>
    <w:p w:rsidR="00747726" w:rsidRDefault="00747726" w:rsidP="000644F8">
      <w:r w:rsidRPr="00747726">
        <w:t>Taken together, TPB and RBV/NRBV form an integrated analytical chain for this dissertation rather than two separate explanations. Green capabilities and CSR activities described by RBV/NRBV are expressed through concrete green marketing instruments such as eco-packaging, environmental claims, green product design and CSR programmes. These instruments act as stimuli that shape consumers’ attitudes, perceived social norms and perceived behavioural control in line with TPB, which in turn generate consumer purchase intention. Repeated favourable intentions and purchases then contribute to brand-level outcomes such as equity, loyalty, reputation and advocacy, which RBV treats as strategic resources. Across the dissertation, TPB is therefore used to explain how consumers respond to green marketing actions, while RBV/NRBV is used to explain how those responses accumulate into brand performance over time.</w:t>
      </w:r>
    </w:p>
    <w:p w:rsidR="00447163" w:rsidRPr="00447163" w:rsidRDefault="00447163" w:rsidP="00447163">
      <w:r w:rsidRPr="00447163">
        <w:t xml:space="preserve">In this dissertation, these theories are not only background concepts but also guide how the evidence is read and organised. TPB informs the treatment of consumer-side variables: during study selection and data extraction, constructs such as attitudes towards green products, </w:t>
      </w:r>
      <w:r w:rsidRPr="00447163">
        <w:lastRenderedPageBreak/>
        <w:t>environmental concern, perceived value, social influence, price and availability are coded as antecedents of purchase intention, and recurring patterns in these links are interpreted through the TPB logic of attitude, subjective norms and perceived behavioural control leading to intention (Ajzen, 1991; Bosnjak et al., 2020; Zhuang et al., 2021). RBV and NRBV frame the brand side of the review: outcomes such as brand equity, trust, loyalty, satisfaction, reputation and word-of-mouth are treated as manifestations of underlying green resources and capabilities created by sustained product innovation, eco-packaging, credible eco-labels and CSR (Hart, 1995; Keller, 1993; Hesari et al., 2021; Hamdoun et al., 2022). In combination, TPB is used to interpret how green marketing strategies shape consumer purchase intention in the included studies, while RBV/NRBV is used to explain how repeated positive intentions and behaviours, when anchored in credible green capabilities, are expected to accumulate into stronger brand performance in FMCG markets.</w:t>
      </w:r>
    </w:p>
    <w:p w:rsidR="000644F8" w:rsidRPr="000644F8" w:rsidRDefault="000644F8" w:rsidP="000644F8">
      <w:pPr>
        <w:pStyle w:val="Heading2"/>
      </w:pPr>
      <w:bookmarkStart w:id="25" w:name="_Toc220155749"/>
      <w:r w:rsidRPr="000644F8">
        <w:t>2.4 EMPIRICAL EVIDENCE ON GREEN MARKETING, PURCHASE INTENTION AND BRAND OUTCOMES</w:t>
      </w:r>
      <w:bookmarkEnd w:id="25"/>
    </w:p>
    <w:p w:rsidR="000644F8" w:rsidRDefault="000644F8" w:rsidP="000644F8">
      <w:r>
        <w:t>This section reviews empirical work that links specific green marketing strategies to consumer purchase intention and, where possible, to brand-related outcomes. The focus is on studies in Bangladesh and comparable emerging-market FMCG settings, while also drawing on wider evidence that informs how green marketing might operate in the Bangladeshi FMCG sector.</w:t>
      </w:r>
    </w:p>
    <w:p w:rsidR="000644F8" w:rsidRDefault="000644F8" w:rsidP="000644F8">
      <w:pPr>
        <w:pStyle w:val="Heading3"/>
      </w:pPr>
      <w:bookmarkStart w:id="26" w:name="_Toc220155750"/>
      <w:r>
        <w:t>2.4.1 EVIDENCE FROM BANGLADESH: GREEN PACKAGING, GREEN PRODUCTS AND YOUTH MARKETS</w:t>
      </w:r>
      <w:bookmarkEnd w:id="26"/>
    </w:p>
    <w:p w:rsidR="000644F8" w:rsidRDefault="000644F8" w:rsidP="000644F8">
      <w:r>
        <w:t>Several recent studies in Bangladesh show that consumers do respond to green cues in FMCG categories, although the strength of that response depends heavily on price, perceived value and credibility. Hasan et al. (2024) investigate green packaging for three everyday convenience items—mini-pack shampoo, chips and wallet tissue—using survey data from 150 users of “green” packaging. Environmental concern, environmental knowledge about green packaging, green trust and availability all have significant positive effects on purchase intention, while price has a significant negative effect. The authors conclude that credible information and trust in eco-claims can raise willingness to buy green-packaged FMCG, but consumers remain highly sensitive to price premiums.</w:t>
      </w:r>
    </w:p>
    <w:p w:rsidR="000644F8" w:rsidRDefault="000644F8" w:rsidP="000644F8">
      <w:r>
        <w:t xml:space="preserve">Tamim </w:t>
      </w:r>
      <w:r w:rsidR="00073FD0">
        <w:t>&amp;</w:t>
      </w:r>
      <w:r>
        <w:t xml:space="preserve"> Akter (2024) focus on young consumers in three major Bangladeshi districts and model the relationships between green product, green price, green place, green promotion and </w:t>
      </w:r>
      <w:r>
        <w:lastRenderedPageBreak/>
        <w:t xml:space="preserve">green perceived value, and customer purchase intention using survey data from 235 respondents. All five green marketing mix elements show positive associations with purchase intention, suggesting that young Bangladeshi consumers react favourably when green product attributes, pricing, distribution and promotion are aligned and perceived as valuable. Chowdhury </w:t>
      </w:r>
      <w:r w:rsidR="00073FD0">
        <w:t>&amp;</w:t>
      </w:r>
      <w:r>
        <w:t xml:space="preserve"> Alamgir (2021) examine green product purchase intention among young Bangladeshi consumers more broadly, using PLS-SEM with 400 respondents, and find that attitude towards green products, environmental concern and willingness to pay significantly drive green purchase intention, while perceived moral obligation is not significant. Together, these studies indicate that specific green marketing tools—especially eco-packaging and an integrated green marketing mix—can raise stated purchase intention for FMCG products, but that strong price sensitivity and resource constraints limit the extent of behaviour change.</w:t>
      </w:r>
    </w:p>
    <w:p w:rsidR="000644F8" w:rsidRDefault="000644F8" w:rsidP="000644F8">
      <w:pPr>
        <w:pStyle w:val="Heading3"/>
      </w:pPr>
      <w:bookmarkStart w:id="27" w:name="_Toc220155751"/>
      <w:r>
        <w:t>2.4.2 EVIDENCE FROM OTHER EMERGING MARKETS AND FMCG CONTEXTS</w:t>
      </w:r>
      <w:bookmarkEnd w:id="27"/>
    </w:p>
    <w:p w:rsidR="000644F8" w:rsidRDefault="000644F8" w:rsidP="000644F8">
      <w:r>
        <w:t>Studies in other emerging and developing markets add detail on how particular green marketing elements operate in FMCG and low-involvement consumption contexts. Reddy et al. (2023) examine consumers’ perceptions of green marketing for eco-friendly FMCG using a large survey and report that environmental concern, perceived green benefits, awareness of green pricing and willingness to purchase all have strong positive effects on green purchase decisions. The study suggests that consumers are willing to consider eco-friendly FMCG when they see clear environmental benefits and when pricing is perceived as fair and transparent, but they still expect parity on quality and convenience relative to conventional products.</w:t>
      </w:r>
    </w:p>
    <w:p w:rsidR="000644F8" w:rsidRDefault="000644F8" w:rsidP="000644F8">
      <w:r>
        <w:t xml:space="preserve">In Pakistan, Fida et al. (2025) study the fast-food sector, a setting that shares several characteristics with FMCG such as low involvement, frequent purchases and heavy reliance on visible cues at the point of sale. Drawing on data from 400 consumers and PLS-SEM analysis, they find that green promotion and green packaging have significant positive effects on environmental knowledge, green satisfaction and green purchase behaviour, with satisfaction and knowledge partially mediating these effects. Other work extends the analysis to the full green marketing mix. Studies that include green product, price, promotion and place together often find that the combined green marketing mix has a significant positive effect on green purchase intention, sometimes via mediators such as green perceived value or attitude. In more developed settings, Ahmed et al. (2023) show that the green marketing mix, green customer value and attitude jointly predict green purchase intention, again reinforcing the central role of perceived value and favourable attitudes. Overall, cross-country evidence </w:t>
      </w:r>
      <w:r>
        <w:lastRenderedPageBreak/>
        <w:t>suggests a consistent pattern: green product attributes, eco-packaging, environmental promotions and credible eco-labels tend to increase green purchase intention when consumers believe the claims and perceive value, but high prices, low trust and limited environmental knowledge can weaken these effects.</w:t>
      </w:r>
    </w:p>
    <w:p w:rsidR="000644F8" w:rsidRDefault="000644F8" w:rsidP="000644F8">
      <w:pPr>
        <w:pStyle w:val="Heading3"/>
      </w:pPr>
      <w:bookmarkStart w:id="28" w:name="_Toc220155752"/>
      <w:r>
        <w:t>2.4.3 BRAND-RELATED OUTCOMES: TRUST, EQUITY, LOYALTY AND WORD-OF-MOUTH</w:t>
      </w:r>
      <w:bookmarkEnd w:id="28"/>
    </w:p>
    <w:p w:rsidR="000644F8" w:rsidRDefault="000644F8" w:rsidP="000644F8">
      <w:r>
        <w:t>Although most empirical studies focus on purchase intention, a growing body of work examines brand-level outcomes, including brand trust, brand equity, loyalty and electronic word-of-mouth (eWOM). Reddy et al. (2023) report that eco-friendly FMCG marketers must invest in communication that builds confidence in green claims, because environmental concern and perceived green benefits translate not only into purchase decisions but also into expectations about future green offerings and continuing relationships with the brand. This aligns with CSR and RBV arguments that environmental credibility forms part of a brand’s intangible resource base. Cai et al. (2025) provide more explicit evidence on mediating brand constructs in a large fast-food sample of 990 customers. They show that the green marketing mix has a positive and significant effect on green brand trust, which in turn significantly influences both green buying behaviour and eWOM and mediates the effect of the green marketing mix on these outcomes.</w:t>
      </w:r>
    </w:p>
    <w:p w:rsidR="000644F8" w:rsidRDefault="000644F8" w:rsidP="000644F8">
      <w:r>
        <w:t>Other studies report that green marketing mix elements and perceived environmental responsibility can enhance customer-based brand equity, for example by strengthening brand associations and perceived quality, which then support loyalty, repeat purchase and positive word-of-mouth. In many cases, however, brand equity or trust is measured through self-reported survey items rather than objective indicators such as market share or profitability, and very few studies are explicitly situated in Bangladesh’s FMCG sector.</w:t>
      </w:r>
    </w:p>
    <w:p w:rsidR="000644F8" w:rsidRDefault="000644F8" w:rsidP="000644F8">
      <w:r>
        <w:t xml:space="preserve">Overall, the empirical literature offers several important insights. First, there is consistent evidence that specific green marketing strategies—including eco-packaging, green product features, green promotions and broader green marketing mixes—are positively associated with green purchase intention in FMCG and similar low-involvement contexts. This pattern holds in Bangladesh and in other emerging markets, although the strength of the effect depends on factors such as price, perceived value, environmental concern, knowledge and trust. Second, studies that include brand-related variables show that green marketing can build green brand trust and dimensions of customer-based brand equity, which in turn support </w:t>
      </w:r>
      <w:r>
        <w:lastRenderedPageBreak/>
        <w:t xml:space="preserve">loyalty, eWOM and other desirable outcomes, in line with RBV arguments about the role of environmental capabilities as strategic resources. </w:t>
      </w:r>
      <w:r w:rsidR="00073FD0" w:rsidRPr="00073FD0">
        <w:t>At the same time, the evidence base remains narrow. Many studies focus on single tools and short-term perceptual outcomes, which limits what they can say about longer-term brand performance in Bangladesh’s FMCG sector</w:t>
      </w:r>
      <w:r>
        <w:t>.</w:t>
      </w:r>
    </w:p>
    <w:p w:rsidR="00747726" w:rsidRDefault="00747726" w:rsidP="000644F8">
      <w:r w:rsidRPr="00747726">
        <w:t>Across the predominantly survey-based empirical literature synthesised in this review there are also shared methodological limitations that need to be kept in view. Most of the papers use cross-sectional quantitative designs with convenience or student samples, often concentrated in urban areas, which introduces sample bias and restricts generalisability to the wider FMCG population. They rely heavily on self-administered questionnaires and self-reported measures of attitudes, intentions and brand evaluations, which increases the risk of common method bias and socially desirable responding. Very few studies report probability sampling, objective indicators of brand performance or longitudinal data. The synthesis in this dissertation therefore interprets reported relationships between green marketing, purchase intention and brand outcomes as indicative patterns rather than definitive causal effects.</w:t>
      </w:r>
    </w:p>
    <w:p w:rsidR="00D7664B" w:rsidRPr="00D7664B" w:rsidRDefault="00747726" w:rsidP="00747726">
      <w:pPr>
        <w:pStyle w:val="Heading3"/>
      </w:pPr>
      <w:bookmarkStart w:id="29" w:name="_Toc220155753"/>
      <w:r w:rsidRPr="00D7664B">
        <w:t>2.4.4 BANGLADESH COMPARED WITH OTHER EMERGING FMCG MARKETS</w:t>
      </w:r>
      <w:bookmarkEnd w:id="29"/>
    </w:p>
    <w:p w:rsidR="00D7664B" w:rsidRDefault="00747726" w:rsidP="000644F8">
      <w:r w:rsidRPr="00747726">
        <w:t>Across emerging FMCG markets, the basic pattern is similar: green marketing tends to increase consumers’ stated willingness to buy, but price, trust and structural barriers shape how far this goes.</w:t>
      </w:r>
      <w:r w:rsidR="00D7664B" w:rsidRPr="00D7664B">
        <w:t xml:space="preserve"> The Bangladeshi evidence is quite narrow and intention-focused. Studies mostly use student or youth samples and single tools (for example, green packaging or the 4Ps mix) and show that environmental concern, knowledge, trust and green perceived value increase green purchase intention, while price exerts a strong negative effect (Hasan et al., 2024; Tamim &amp; Akter, 2024; Chowdhury &amp; Alamgir, 2021).</w:t>
      </w:r>
    </w:p>
    <w:p w:rsidR="005608F8" w:rsidRDefault="00D7664B" w:rsidP="000644F8">
      <w:r w:rsidRPr="00D7664B">
        <w:t>Work from other emerging FMCG markets confirms these mechanisms but often pushes further into brand outcomes. Indian studies on eco-friendly FMCG products report that environmental concern and perceived benefits increase purchase intention and willingness to pay, yet accessibility and price still constrain behaviour (Reddy et al., 2023</w:t>
      </w:r>
      <w:r>
        <w:t xml:space="preserve">; </w:t>
      </w:r>
      <w:r w:rsidRPr="00147005">
        <w:rPr>
          <w:rFonts w:cs="Times New Roman"/>
          <w:szCs w:val="24"/>
        </w:rPr>
        <w:t>Van Hoang</w:t>
      </w:r>
      <w:r>
        <w:rPr>
          <w:rFonts w:cs="Times New Roman"/>
          <w:szCs w:val="24"/>
        </w:rPr>
        <w:t xml:space="preserve"> et al., 2025</w:t>
      </w:r>
      <w:r w:rsidRPr="00D7664B">
        <w:t>).In Pakistan’s FMCG sector, extended TPB models find that green advertising, green marketing communication and green brand equity significantly shape green purchase intention, while heavy social-media use can dilute these effects, pointing to the risk of greenwashing (Ali et al., 2024).</w:t>
      </w:r>
      <w:r w:rsidR="005608F8" w:rsidRPr="005608F8">
        <w:t>In Vietnam, large-sample studies show that green marketing mix tools build green customer-based brand equity and loyalty, and that this equity mediates effects on purchase intention and word-of-mouth (Nguyen-Viet, 2023; Hanh, 2024).</w:t>
      </w:r>
    </w:p>
    <w:p w:rsidR="005608F8" w:rsidRPr="005608F8" w:rsidRDefault="005608F8" w:rsidP="005608F8">
      <w:r w:rsidRPr="005608F8">
        <w:lastRenderedPageBreak/>
        <w:t>Overall, Bangladesh shares the core psychological drivers seen in peer markets but lacks equally developed evidence on downstream brand performance. High price sensitivity, dominance of informal retail and weak recycling infrastructure may also make credible, long-term green positioning harder to sustain than in markets where organised retail and collection systems are more advanced. This justifies a systematic comparison of Bangladeshi findings with those from other emerging FMCG markets in the present dissertation.</w:t>
      </w:r>
    </w:p>
    <w:p w:rsidR="000644F8" w:rsidRDefault="000644F8" w:rsidP="000644F8">
      <w:pPr>
        <w:pStyle w:val="Heading3"/>
      </w:pPr>
      <w:bookmarkStart w:id="30" w:name="_Toc220155754"/>
      <w:r>
        <w:t>2.5 RESEARCH GAP AND JUSTIFICATION FOR THE STUDY</w:t>
      </w:r>
      <w:bookmarkEnd w:id="30"/>
    </w:p>
    <w:p w:rsidR="000644F8" w:rsidRDefault="000644F8" w:rsidP="000644F8">
      <w:r>
        <w:t>These limitations create a clear space for the present dissertation. The literature indicates that green marketing strategies can influence purchase intention and contribute to brand-level outcomes, but the evidence is scattered across countries, product categories and measurement approaches. Very few studies focus explicitly on the intersection of green marketing, consumer purchase intention and brand performance in the Bangladeshi FMCG sector, despite the sector’s size, environmental footprint and growing exposure to sustainability expectations.</w:t>
      </w:r>
    </w:p>
    <w:p w:rsidR="000644F8" w:rsidRDefault="000644F8" w:rsidP="000644F8">
      <w:r>
        <w:t>Existing Bangladeshi research has three main constraints. First, it concentrates largely on individual tools—such as green packaging or a specific green product—rather than on coherent bundles of strategies that reflect the full green marketing mix. Second, most studies rely on student or youth samples and use cross-sectional survey designs, which limits the generalisability of their findings to the broader FMCG consumer base and offers little insight into longer-term behavioural change. Third, brand performance is typically captured only through short-term perceptual measures (for example self-reported loyalty or purchase intention) rather than through more consistent indicators of brand equity, reputation or market outcomes, and these measures are rarely linked explicitly to firm-level capabilities or resources.</w:t>
      </w:r>
    </w:p>
    <w:p w:rsidR="000644F8" w:rsidRDefault="000644F8" w:rsidP="000644F8">
      <w:r>
        <w:t xml:space="preserve">A structured secondary study that synthesises empirical evidence on green marketing strategies, consumer purchase intention and brand performance in FMCG markets relevant to Bangladesh can therefore add distinct value. By bringing together findings on green product innovation, eco-packaging, environmental advertising, eco-labels and CSR, and by interpreting these through the lenses of TPB and RBV, the dissertation can clarify which green initiatives have the most consistent impact, how they operate through attitudes, value and trust, and where current evidence remains weak or contradictory. This synthesis provides </w:t>
      </w:r>
      <w:r>
        <w:lastRenderedPageBreak/>
        <w:t>a robust foundation for the research questions and for practical recommendations directed at FMCG managers in Bangladesh.</w:t>
      </w:r>
    </w:p>
    <w:p w:rsidR="000644F8" w:rsidRDefault="000644F8" w:rsidP="000644F8">
      <w:pPr>
        <w:pStyle w:val="Heading2"/>
      </w:pPr>
      <w:bookmarkStart w:id="31" w:name="_Toc220155755"/>
      <w:r>
        <w:t>2.6 CHAPTER SUMMARY</w:t>
      </w:r>
      <w:bookmarkEnd w:id="31"/>
    </w:p>
    <w:p w:rsidR="000644F8" w:rsidRDefault="000644F8" w:rsidP="000644F8">
      <w:r>
        <w:t>This chapter has reviewed the literature underpinning the study of green marketing, consumer purchase intention and brand performance in the Bangladeshi FMCG sector. It first outlined the structure, growth and environmental challenges of the FMCG market in Bangladesh, showing how rising incomes, urbanisation and changing retail formats coexist with strong price sensitivity and serious plastic-waste problems. It then defined key concepts, including green marketing, sustainable FMCG, consumer purchase intention and brand performance, and introduced TPB and RBV/NRBV as complementary theoretical foundations for understanding how green marketing strategies affect behaviour and brand outcomes.</w:t>
      </w:r>
    </w:p>
    <w:p w:rsidR="00A957E8" w:rsidRDefault="000644F8" w:rsidP="005C176C">
      <w:pPr>
        <w:rPr>
          <w:rFonts w:eastAsiaTheme="majorEastAsia" w:cstheme="majorBidi"/>
          <w:b/>
          <w:szCs w:val="40"/>
        </w:rPr>
      </w:pPr>
      <w:r>
        <w:t>The review then examined empirical evidence from Bangladesh and other emerging markets, highlighting consistent positive links between green marketing strategies and purchase intention, alongside important constraints related to price, trust and limited environmental knowledge. It also showed that green marketing can support brand-level outcomes through trust and customer-based brand equity, although most studies rely on perceptual measures and narrow samples. The chapter concluded by identifying a clear research gap: the lack of an integrated, Bangladesh-relevant synthesis of how green product innovation, eco-packaging, environmental advertising, eco-labels and CSR influence both consumer purchase intention and brand performance in FMCG. Addressing this gap is the central task of the present dissertation.</w:t>
      </w:r>
    </w:p>
    <w:p w:rsidR="005C176C" w:rsidRDefault="005C176C">
      <w:pPr>
        <w:spacing w:line="259" w:lineRule="auto"/>
        <w:jc w:val="left"/>
        <w:rPr>
          <w:rFonts w:eastAsiaTheme="majorEastAsia" w:cstheme="majorBidi"/>
          <w:b/>
          <w:szCs w:val="40"/>
        </w:rPr>
      </w:pPr>
      <w:r>
        <w:rPr>
          <w:rFonts w:eastAsiaTheme="majorEastAsia" w:cstheme="majorBidi"/>
          <w:b/>
          <w:szCs w:val="40"/>
        </w:rPr>
        <w:br w:type="page"/>
      </w:r>
    </w:p>
    <w:p w:rsidR="005C176C" w:rsidRDefault="005C176C" w:rsidP="005C176C">
      <w:pPr>
        <w:pStyle w:val="Heading1"/>
      </w:pPr>
      <w:bookmarkStart w:id="32" w:name="_Toc220155756"/>
      <w:r>
        <w:lastRenderedPageBreak/>
        <w:t>CHAPTER 3: RESEARCH METHODOLOGY</w:t>
      </w:r>
      <w:bookmarkEnd w:id="32"/>
    </w:p>
    <w:p w:rsidR="005C176C" w:rsidRPr="005C176C" w:rsidRDefault="005C176C" w:rsidP="005C176C">
      <w:pPr>
        <w:pStyle w:val="Heading2"/>
      </w:pPr>
      <w:bookmarkStart w:id="33" w:name="_Toc220155757"/>
      <w:r w:rsidRPr="005C176C">
        <w:t>3.0 CHAPTER OVERVIEW</w:t>
      </w:r>
      <w:bookmarkEnd w:id="33"/>
    </w:p>
    <w:p w:rsidR="001F7A65" w:rsidRPr="001F7A65" w:rsidRDefault="001F7A65" w:rsidP="001F7A65">
      <w:r w:rsidRPr="001F7A65">
        <w:t>Chapter Two showed that there is already a large but fragmented body of work on green marketing, consumer purchase intention and brand performance in FMCG markets. Many studies focus on single tools, use narrow samples and rely on short-term perceptual measures. These gaps made it necessary to carry out a structured secondary study to bring the evidence together.This chapter explains how the present dissertation did that through a PRISMA-guided systematic literature review. It describes the overall research design and philosophical position, the review strategy, the data sources and search procedures, and the eligibility criteria used to select studies. It then explains how data were extracted, coded, appraised and synthesised. The PRISMA 2020 framework used to organise and report the review is set out with the actual numbers of records at each stage. The chapter ends with a short discussion of ethical issues and methodological limitations.</w:t>
      </w:r>
    </w:p>
    <w:p w:rsidR="005C176C" w:rsidRPr="005C176C" w:rsidRDefault="005C176C" w:rsidP="005C176C">
      <w:pPr>
        <w:rPr>
          <w:b/>
          <w:bCs/>
        </w:rPr>
      </w:pPr>
      <w:r w:rsidRPr="005C176C">
        <w:rPr>
          <w:b/>
          <w:bCs/>
        </w:rPr>
        <w:t>3.1 RESEARCH DESIGN AND RATIONALE</w:t>
      </w:r>
    </w:p>
    <w:p w:rsidR="001F7A65" w:rsidRDefault="001F7A65" w:rsidP="001F7A65">
      <w:r w:rsidRPr="001F7A65">
        <w:t>The study used a secondary research design based on a systematic literature review. No new primary data were collected from consumers or managers. Instead, the research worked with existing empirical studies on green marketing, consumer purchase intention and brand performance in Bangladesh and comparable emerging markets.</w:t>
      </w:r>
    </w:p>
    <w:p w:rsidR="005C176C" w:rsidRPr="005C176C" w:rsidRDefault="001F7A65" w:rsidP="001F7A65">
      <w:r w:rsidRPr="001F7A65">
        <w:t>This design was chosen for two main reasons. First, Chapter Two showed that there is already a considerable amount of empirical work on these topics, but the findings are spread across many journals, countries and product categories. A systematic review is a suitable way to identify, assess and bring together such dispersed evidence in a transparent and repeatable way (Tranfield et al., 2003; Snyder, 2019). Second, the study is grounded in the Theory of Planned Behaviour (TPB) and the Resource-Based View (RBV), which both rely on empirical tests of relationships between constructs. A systematic review allows the researcher to see how far existing studies support the expected links between green marketing strategies, consumer purchase intention and brand performance.</w:t>
      </w:r>
    </w:p>
    <w:p w:rsidR="005C176C" w:rsidRPr="005C176C" w:rsidRDefault="005C176C" w:rsidP="001F7A65">
      <w:pPr>
        <w:pStyle w:val="Heading2"/>
      </w:pPr>
      <w:bookmarkStart w:id="34" w:name="_Toc220155758"/>
      <w:r w:rsidRPr="005C176C">
        <w:t>3.2 RESEARCH PHILOSOPHY</w:t>
      </w:r>
      <w:bookmarkEnd w:id="34"/>
    </w:p>
    <w:p w:rsidR="001F7A65" w:rsidRPr="001F7A65" w:rsidRDefault="001F7A65" w:rsidP="001F7A65">
      <w:r w:rsidRPr="001F7A65">
        <w:t xml:space="preserve">The study adopted a mainly </w:t>
      </w:r>
      <w:r w:rsidRPr="001F7A65">
        <w:rPr>
          <w:b/>
          <w:bCs/>
        </w:rPr>
        <w:t>post-positivist</w:t>
      </w:r>
      <w:r w:rsidRPr="001F7A65">
        <w:t xml:space="preserve"> philosophical stance. Post-positivism accepts that there is a real world and that relationships between variables can be studied, but it also recognises that any single study is imperfect and influenced by context, measurement and </w:t>
      </w:r>
      <w:r w:rsidRPr="001F7A65">
        <w:lastRenderedPageBreak/>
        <w:t>researcher choices (Saunders et al., 2019). This view fits a systematic review of published empirical work, where each article is treated as a useful but fallible attempt to estimate relationships.</w:t>
      </w:r>
    </w:p>
    <w:p w:rsidR="001F7A65" w:rsidRPr="005C176C" w:rsidRDefault="001F7A65" w:rsidP="001F7A65">
      <w:r w:rsidRPr="001F7A65">
        <w:t xml:space="preserve">Under this stance, the review did not assume that any one study gives a final answer. Instead, it looked across many studies to identify patterns, but remained cautious about generalising beyond the available evidence. At the same time, there is an </w:t>
      </w:r>
      <w:r w:rsidRPr="001F7A65">
        <w:rPr>
          <w:b/>
          <w:bCs/>
        </w:rPr>
        <w:t>interpretivist</w:t>
      </w:r>
      <w:r w:rsidRPr="001F7A65">
        <w:t xml:space="preserve"> element, because some interpretation is needed to understand how context, such as price sensitivity or waste-management systems in Bangladesh, shapes the meaning and impact of “green” marketing (Snyder, 2019). The philosophy is therefore mainly post-positivist, with some interpretive awareness.</w:t>
      </w:r>
    </w:p>
    <w:p w:rsidR="005C176C" w:rsidRPr="005C176C" w:rsidRDefault="005C176C" w:rsidP="005C176C">
      <w:pPr>
        <w:pStyle w:val="Heading2"/>
      </w:pPr>
      <w:bookmarkStart w:id="35" w:name="_Toc220155759"/>
      <w:r w:rsidRPr="005C176C">
        <w:t>3.</w:t>
      </w:r>
      <w:r>
        <w:t>3</w:t>
      </w:r>
      <w:r w:rsidRPr="005C176C">
        <w:t xml:space="preserve"> RESEARCH APPROACH</w:t>
      </w:r>
      <w:bookmarkEnd w:id="35"/>
    </w:p>
    <w:p w:rsidR="001F7A65" w:rsidRPr="001F7A65" w:rsidRDefault="001F7A65" w:rsidP="001F7A65">
      <w:r w:rsidRPr="001F7A65">
        <w:t xml:space="preserve">The study followed a mainly </w:t>
      </w:r>
      <w:r w:rsidRPr="001F7A65">
        <w:rPr>
          <w:b/>
          <w:bCs/>
        </w:rPr>
        <w:t>deductive</w:t>
      </w:r>
      <w:r w:rsidRPr="001F7A65">
        <w:t xml:space="preserve"> approach. Chapter Two developed a conceptual framework based on TPB and RBV/NRBV. This framework set out expected relationships between green marketing strategies, attitudes, social norms, perceived behavioural control, consumer purchase intention and brand performance. The systematic review then examined whether and how existing empirical work supported these expected links.</w:t>
      </w:r>
    </w:p>
    <w:p w:rsidR="005C176C" w:rsidRPr="005C176C" w:rsidRDefault="001F7A65" w:rsidP="001F7A65">
      <w:r w:rsidRPr="001F7A65">
        <w:t>In practical terms, the review treated the published studies as data. It did not create new numerical datasets, but it extracted information about the direction and strength of relationships, the contexts studied and the theories used. The analysis was therefore deductive, because it moved from theory to evidence, testing how well the evidence fitted the conceptual model (Saunders et al., 2019). The time horizon of the dissertation is cross-sectional, because the review was carried out at one point in time, even though the included studies span roughly a decade of research.</w:t>
      </w:r>
    </w:p>
    <w:p w:rsidR="005C176C" w:rsidRPr="005C176C" w:rsidRDefault="005C176C" w:rsidP="005C176C">
      <w:pPr>
        <w:pStyle w:val="Heading2"/>
      </w:pPr>
      <w:bookmarkStart w:id="36" w:name="_Toc220155760"/>
      <w:r w:rsidRPr="005C176C">
        <w:t>3.</w:t>
      </w:r>
      <w:r w:rsidR="00C95297">
        <w:t>4</w:t>
      </w:r>
      <w:r w:rsidRPr="005C176C">
        <w:t xml:space="preserve"> RESEARCH STRATEGY</w:t>
      </w:r>
      <w:bookmarkEnd w:id="36"/>
    </w:p>
    <w:p w:rsidR="001F7A65" w:rsidRPr="001F7A65" w:rsidRDefault="001F7A65" w:rsidP="001F7A65">
      <w:r w:rsidRPr="001F7A65">
        <w:t xml:space="preserve">The overall research strategy was a </w:t>
      </w:r>
      <w:r w:rsidRPr="001F7A65">
        <w:rPr>
          <w:b/>
          <w:bCs/>
        </w:rPr>
        <w:t>systematic literature review</w:t>
      </w:r>
      <w:r w:rsidRPr="001F7A65">
        <w:t>. A systematic review uses explicit, structured procedures to identify, screen and synthesise studies on a defined topic, in contrast to more informal narrative reviews that may rely on convenience sampling of sources (Tranfield et al., 2003). In management and marketing, systematic reviews are widely recommended when evidence is fragmented and multi-disciplinary (Snyder, 2019).</w:t>
      </w:r>
    </w:p>
    <w:p w:rsidR="001F7A65" w:rsidRPr="001F7A65" w:rsidRDefault="001F7A65" w:rsidP="001F7A65">
      <w:r w:rsidRPr="001F7A65">
        <w:t xml:space="preserve">The review followed four broad stages: planning, searching, screening and synthesis. In the planning stage, the population, concepts and outcomes of interest were defined, based on the </w:t>
      </w:r>
      <w:r w:rsidRPr="001F7A65">
        <w:lastRenderedPageBreak/>
        <w:t>gaps identified in Chapter Two. The population was consumers of FMCG and similar low-involvement products in Bangladesh and comparable emerging markets. The key concepts were green marketing strategies (green product innovation, eco-packaging, environmental advertising and eco-labels, and CSR-related activities), consumer purchase intention and brand performance. The main outcomes of interest were consumer purchase intention and brand-related variables such as trust, loyalty, brand equity and word-of-mouth.</w:t>
      </w:r>
    </w:p>
    <w:p w:rsidR="001F7A65" w:rsidRPr="001F7A65" w:rsidRDefault="001F7A65" w:rsidP="001F7A65">
      <w:r w:rsidRPr="001F7A65">
        <w:t>A review protocol was then prepared. This protocol set out the databases to be searched, the search terms, the inclusion and exclusion criteria, the screening steps, the data extraction template and the quality appraisal rules. Having a written protocol helped reduce bias and made the review process more transparent and repeatable (Tranfield et al., 2003; Snyder, 2019).</w:t>
      </w:r>
    </w:p>
    <w:p w:rsidR="005C176C" w:rsidRPr="005C176C" w:rsidRDefault="005C176C" w:rsidP="005C176C">
      <w:pPr>
        <w:pStyle w:val="Heading2"/>
      </w:pPr>
      <w:bookmarkStart w:id="37" w:name="_Toc220155761"/>
      <w:r>
        <w:t>3.</w:t>
      </w:r>
      <w:r w:rsidR="00C95297">
        <w:t>5</w:t>
      </w:r>
      <w:r w:rsidRPr="005C176C">
        <w:t xml:space="preserve"> PRISMA FRAMEWORK</w:t>
      </w:r>
      <w:bookmarkEnd w:id="37"/>
    </w:p>
    <w:p w:rsidR="005C176C" w:rsidRDefault="001F7A65" w:rsidP="001F7A65">
      <w:r w:rsidRPr="001F7A65">
        <w:t xml:space="preserve">The review used the Preferred Reporting Items for Systematic Reviews and Meta-Analyses (PRISMA) 2020 guidelines to structure the identification, screening, eligibility and inclusion stages (Page et al., 2021). PRISMA does not dictate what to include, but it sets out how to report the flow of records in a clear and consistent way.In this study, the PRISMA flow </w:t>
      </w:r>
      <w:r>
        <w:t>is provided in Figure 3.1.</w:t>
      </w:r>
    </w:p>
    <w:p w:rsidR="00DF0063" w:rsidRPr="00DF0063" w:rsidRDefault="00DF0063" w:rsidP="00DF0063">
      <w:pPr>
        <w:jc w:val="center"/>
        <w:rPr>
          <w:b/>
          <w:bCs/>
          <w:sz w:val="20"/>
          <w:szCs w:val="22"/>
        </w:rPr>
      </w:pPr>
      <w:r w:rsidRPr="00DF0063">
        <w:rPr>
          <w:b/>
          <w:bCs/>
          <w:noProof/>
          <w:sz w:val="20"/>
          <w:szCs w:val="22"/>
          <w:lang w:val="en-US" w:bidi="ar-SA"/>
        </w:rPr>
        <w:lastRenderedPageBreak/>
        <w:drawing>
          <wp:inline distT="0" distB="0" distL="0" distR="0">
            <wp:extent cx="5731510" cy="4203700"/>
            <wp:effectExtent l="0" t="0" r="0" b="6350"/>
            <wp:docPr id="1617859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4203700"/>
                    </a:xfrm>
                    <a:prstGeom prst="rect">
                      <a:avLst/>
                    </a:prstGeom>
                    <a:noFill/>
                    <a:ln>
                      <a:noFill/>
                    </a:ln>
                  </pic:spPr>
                </pic:pic>
              </a:graphicData>
            </a:graphic>
          </wp:inline>
        </w:drawing>
      </w:r>
    </w:p>
    <w:p w:rsidR="00DF0063" w:rsidRPr="00DF0063" w:rsidRDefault="00DF0063" w:rsidP="00DF0063">
      <w:pPr>
        <w:jc w:val="center"/>
        <w:rPr>
          <w:b/>
          <w:bCs/>
          <w:sz w:val="20"/>
          <w:szCs w:val="22"/>
        </w:rPr>
      </w:pPr>
      <w:r w:rsidRPr="00DF0063">
        <w:rPr>
          <w:b/>
          <w:bCs/>
          <w:sz w:val="20"/>
          <w:szCs w:val="22"/>
        </w:rPr>
        <w:t>FIGURE 3.1 PRISMA 2020 FLOW DIAGRAM FOR STUDY SELECTION</w:t>
      </w:r>
    </w:p>
    <w:p w:rsidR="005C176C" w:rsidRPr="005C176C" w:rsidRDefault="005C176C" w:rsidP="005C176C">
      <w:r w:rsidRPr="005C176C">
        <w:t>A PRISMA 2020 flow diagram (Figure 3.1) is used to summarise these stages visually. It shows the total number of records identified in each database, the number removed as duplicates, the number excluded at title and abstract screening, the number of full texts assessed for eligibility and the final number of empirical studies included in the review. The diagram also notes reasons for excluding full-text articles, such as wrong sector, lack of green marketing variables or absence of purchase intention or brand outcomes (Page et al., 2021).</w:t>
      </w:r>
    </w:p>
    <w:p w:rsidR="005C176C" w:rsidRPr="005C176C" w:rsidRDefault="005C176C" w:rsidP="005C176C">
      <w:pPr>
        <w:pStyle w:val="Heading2"/>
      </w:pPr>
      <w:bookmarkStart w:id="38" w:name="_Toc220155762"/>
      <w:r w:rsidRPr="005C176C">
        <w:t>3.</w:t>
      </w:r>
      <w:r w:rsidR="00C95297">
        <w:t>6</w:t>
      </w:r>
      <w:r w:rsidRPr="005C176C">
        <w:t xml:space="preserve"> DATA SOURCES AND SEARCH PROCEDURES</w:t>
      </w:r>
      <w:bookmarkEnd w:id="38"/>
    </w:p>
    <w:p w:rsidR="005C176C" w:rsidRPr="005C176C" w:rsidRDefault="005C176C" w:rsidP="00C95297">
      <w:pPr>
        <w:pStyle w:val="Heading3"/>
      </w:pPr>
      <w:bookmarkStart w:id="39" w:name="_Toc220155763"/>
      <w:r w:rsidRPr="005C176C">
        <w:t>3.</w:t>
      </w:r>
      <w:r w:rsidR="00C95297">
        <w:t>6</w:t>
      </w:r>
      <w:r w:rsidRPr="005C176C">
        <w:t>.1 DATA SOURCES AND DATABASES</w:t>
      </w:r>
      <w:bookmarkEnd w:id="39"/>
    </w:p>
    <w:p w:rsidR="005C176C" w:rsidRPr="005C176C" w:rsidRDefault="005C176C" w:rsidP="005C176C">
      <w:r w:rsidRPr="005C176C">
        <w:t>The review focuses on peer-reviewed journal articles and high-quality conference papers and book chapters in English. These sources offer greater assurance of methodological rigour and relevance compared with unscreened reports or websites (Hart, 2018). To capture both global and regional work, several databases were used, including Scopus, Web of Science and Google Scholar. In addition, searches were performed in specialised business and management databases such as Emerald Insight and ScienceDirect.</w:t>
      </w:r>
    </w:p>
    <w:p w:rsidR="005C176C" w:rsidRPr="005C176C" w:rsidRDefault="005C176C" w:rsidP="005C176C">
      <w:r w:rsidRPr="005C176C">
        <w:lastRenderedPageBreak/>
        <w:t>Because the research has a regional focus, efforts were also made to identify relevant studies from Bangladeshi and South Asian journals that may not be fully indexed in global databases. Where appropriate, reference lists of key articles were hand-searched to identify additional studies through backward citation tracking (Tranfield et al., 2003).</w:t>
      </w:r>
    </w:p>
    <w:p w:rsidR="005C176C" w:rsidRPr="005C176C" w:rsidRDefault="005C176C" w:rsidP="005C176C">
      <w:pPr>
        <w:pStyle w:val="Heading3"/>
      </w:pPr>
      <w:bookmarkStart w:id="40" w:name="_Toc220155764"/>
      <w:r w:rsidRPr="005C176C">
        <w:t>3.</w:t>
      </w:r>
      <w:r w:rsidR="00C95297">
        <w:t>6</w:t>
      </w:r>
      <w:r w:rsidRPr="005C176C">
        <w:t>.2 SEARCH TERMS AND SEARCH PROCESS</w:t>
      </w:r>
      <w:bookmarkEnd w:id="40"/>
    </w:p>
    <w:p w:rsidR="005C176C" w:rsidRPr="005C176C" w:rsidRDefault="005C176C" w:rsidP="005C176C">
      <w:r w:rsidRPr="005C176C">
        <w:t>Search strings were designed to reflect the main constructs identified in Chapter Two. Pilot searches were conducted to refine these strings and ensure that they returned a manageable yet comprehensive set of records. The final search strings combined terms for green marketing strategies, consumer response variables, brand outcomes, FMCG context and relevant geographies using Boolean operators.</w:t>
      </w:r>
    </w:p>
    <w:p w:rsidR="005C176C" w:rsidRPr="005C176C" w:rsidRDefault="005C176C" w:rsidP="005C176C">
      <w:r w:rsidRPr="005C176C">
        <w:t>An example core search string was:</w:t>
      </w:r>
    </w:p>
    <w:p w:rsidR="005C176C" w:rsidRDefault="005C176C" w:rsidP="00C17AE6">
      <w:pPr>
        <w:pStyle w:val="ListParagraph"/>
        <w:numPr>
          <w:ilvl w:val="0"/>
          <w:numId w:val="4"/>
        </w:numPr>
      </w:pPr>
      <w:r w:rsidRPr="005C176C">
        <w:t>(“green marketing” OR “green product*” OR “eco-product*” OR “sustainable packaging” OR “eco-packaging” OR “environmental advertising” OR “eco-label*” OR “corporate social responsibility” OR CSR)</w:t>
      </w:r>
    </w:p>
    <w:p w:rsidR="005C176C" w:rsidRDefault="005C176C" w:rsidP="00C17AE6">
      <w:pPr>
        <w:pStyle w:val="ListParagraph"/>
        <w:numPr>
          <w:ilvl w:val="0"/>
          <w:numId w:val="4"/>
        </w:numPr>
      </w:pPr>
      <w:r w:rsidRPr="005C176C">
        <w:t>AND (“purchase intention” OR “buying intention” OR “willingness to pay” OR “green purchase behaviour”)</w:t>
      </w:r>
    </w:p>
    <w:p w:rsidR="005C176C" w:rsidRDefault="005C176C" w:rsidP="00C17AE6">
      <w:pPr>
        <w:pStyle w:val="ListParagraph"/>
        <w:numPr>
          <w:ilvl w:val="0"/>
          <w:numId w:val="4"/>
        </w:numPr>
      </w:pPr>
      <w:r w:rsidRPr="005C176C">
        <w:t>AND (“brand performance” OR “brand equity” OR “brand loyalty” OR “brand trust” OR “word of mouth” OR “eWOM”)</w:t>
      </w:r>
    </w:p>
    <w:p w:rsidR="005C176C" w:rsidRDefault="005C176C" w:rsidP="00C17AE6">
      <w:pPr>
        <w:pStyle w:val="ListParagraph"/>
        <w:numPr>
          <w:ilvl w:val="0"/>
          <w:numId w:val="4"/>
        </w:numPr>
      </w:pPr>
      <w:r w:rsidRPr="005C176C">
        <w:t>AND (“FMCG” OR “fast moving consumer goods” OR “packaged food” OR “personal care” OR “household care”)</w:t>
      </w:r>
    </w:p>
    <w:p w:rsidR="005C176C" w:rsidRPr="005C176C" w:rsidRDefault="005C176C" w:rsidP="00C17AE6">
      <w:pPr>
        <w:pStyle w:val="ListParagraph"/>
        <w:numPr>
          <w:ilvl w:val="0"/>
          <w:numId w:val="4"/>
        </w:numPr>
      </w:pPr>
      <w:r w:rsidRPr="005C176C">
        <w:t>AND (“Bangladesh” OR “South Asia” OR “emerging market*”).</w:t>
      </w:r>
    </w:p>
    <w:p w:rsidR="005C176C" w:rsidRPr="005C176C" w:rsidRDefault="005C176C" w:rsidP="005C176C">
      <w:r w:rsidRPr="005C176C">
        <w:t>Searches were limited mainly to the period 2015–2025 to reflect recent developments in FMCG sustainability and green marketing, while still allowing earlier foundational studies to be picked up if heavily cited. Database-specific filters were applied where useful, for example restricting to subject areas such as business, management and social sciences. All searches and filters were documented, and the date of the final search was recorded, in line with PRISMA recommendations (Page et al., 2021).</w:t>
      </w:r>
    </w:p>
    <w:p w:rsidR="00835596" w:rsidRPr="00835596" w:rsidRDefault="005C176C" w:rsidP="00C95297">
      <w:pPr>
        <w:pStyle w:val="Heading2"/>
      </w:pPr>
      <w:bookmarkStart w:id="41" w:name="_Toc220155765"/>
      <w:r w:rsidRPr="005C176C">
        <w:t>3.</w:t>
      </w:r>
      <w:r w:rsidR="00C95297">
        <w:t>7</w:t>
      </w:r>
      <w:r w:rsidR="00C95297" w:rsidRPr="00835596">
        <w:t>INCLUSION AND EXCLUSION CRITERIA</w:t>
      </w:r>
      <w:bookmarkEnd w:id="41"/>
    </w:p>
    <w:p w:rsidR="00835596" w:rsidRPr="00835596" w:rsidRDefault="00835596" w:rsidP="00835596">
      <w:r w:rsidRPr="00835596">
        <w:t xml:space="preserve">To ensure that the evidence base directly addressed the research aim and questions, explicit inclusion and exclusion criteria were developed for sector, concepts, outcomes, context, method, document type and language, as summarised in Table 3.1. On the inclusion side, </w:t>
      </w:r>
      <w:r w:rsidRPr="00835596">
        <w:lastRenderedPageBreak/>
        <w:t>studies were eligible if they focused on fast-moving consumer goods or closely related low-involvement consumer products, such as packaged foods, beverages, personal care, household care and fast food, reflecting the dissertation’s interest in everyday FMCG consumption rather than high-involvement durables. Each study also had to examine at least one of the green marketing strategies identified in Chapter Two—green product innovation, eco-packaging, environmental advertising, eco-labels, CSR or a broader green marketing mix—and link these explicitly to consumer response constructs. Consistent with the Theory of Planned Behaviour, eligible studies reported consumer-side outcomes such as purchase intention, green purchase behaviour or willingness to pay, and, in line with the Resource-Based View, they also addressed brand-related outcomes including brand trust, brand equity, loyalty, satisfaction or word-of-mouth. Only empirical work conducted in Bangladesh or in comparable emerging and developing markets was included, using quantitative, qualitative or mixed-methods designs and published as peer-reviewed journal articles, academic conference papers or scholarly book chapters available in full-text English.</w:t>
      </w:r>
    </w:p>
    <w:p w:rsidR="005C176C" w:rsidRPr="005C176C" w:rsidRDefault="005C176C" w:rsidP="005C176C">
      <w:pPr>
        <w:spacing w:after="0"/>
        <w:jc w:val="center"/>
        <w:rPr>
          <w:b/>
          <w:bCs/>
        </w:rPr>
      </w:pPr>
      <w:r w:rsidRPr="005C176C">
        <w:rPr>
          <w:b/>
          <w:bCs/>
        </w:rPr>
        <w:t>TABLE 3.1: INCLUSION AND EXCLUSION CRITERIA</w:t>
      </w:r>
    </w:p>
    <w:tbl>
      <w:tblPr>
        <w:tblStyle w:val="GridTable5DarkAccent5"/>
        <w:tblW w:w="0" w:type="auto"/>
        <w:tblLook w:val="04A0"/>
      </w:tblPr>
      <w:tblGrid>
        <w:gridCol w:w="1219"/>
        <w:gridCol w:w="4038"/>
        <w:gridCol w:w="3985"/>
      </w:tblGrid>
      <w:tr w:rsidR="005C176C" w:rsidRPr="005C176C" w:rsidTr="005C176C">
        <w:trPr>
          <w:cnfStyle w:val="100000000000"/>
        </w:trPr>
        <w:tc>
          <w:tcPr>
            <w:cnfStyle w:val="001000000000"/>
            <w:tcW w:w="0" w:type="auto"/>
            <w:hideMark/>
          </w:tcPr>
          <w:p w:rsidR="005C176C" w:rsidRPr="005C176C" w:rsidRDefault="005C176C" w:rsidP="005C176C">
            <w:pPr>
              <w:spacing w:line="240" w:lineRule="auto"/>
              <w:rPr>
                <w:sz w:val="20"/>
                <w:szCs w:val="22"/>
              </w:rPr>
            </w:pPr>
            <w:r w:rsidRPr="005C176C">
              <w:rPr>
                <w:sz w:val="20"/>
                <w:szCs w:val="22"/>
              </w:rPr>
              <w:t>Criterion</w:t>
            </w:r>
          </w:p>
        </w:tc>
        <w:tc>
          <w:tcPr>
            <w:tcW w:w="0" w:type="auto"/>
            <w:hideMark/>
          </w:tcPr>
          <w:p w:rsidR="005C176C" w:rsidRPr="005C176C" w:rsidRDefault="005C176C" w:rsidP="005C176C">
            <w:pPr>
              <w:spacing w:line="240" w:lineRule="auto"/>
              <w:cnfStyle w:val="100000000000"/>
              <w:rPr>
                <w:sz w:val="20"/>
                <w:szCs w:val="22"/>
              </w:rPr>
            </w:pPr>
            <w:r w:rsidRPr="005C176C">
              <w:rPr>
                <w:sz w:val="20"/>
                <w:szCs w:val="22"/>
              </w:rPr>
              <w:t>Inclusion criteria</w:t>
            </w:r>
          </w:p>
        </w:tc>
        <w:tc>
          <w:tcPr>
            <w:tcW w:w="0" w:type="auto"/>
            <w:hideMark/>
          </w:tcPr>
          <w:p w:rsidR="005C176C" w:rsidRPr="005C176C" w:rsidRDefault="005C176C" w:rsidP="005C176C">
            <w:pPr>
              <w:spacing w:line="240" w:lineRule="auto"/>
              <w:cnfStyle w:val="100000000000"/>
              <w:rPr>
                <w:sz w:val="20"/>
                <w:szCs w:val="22"/>
              </w:rPr>
            </w:pPr>
            <w:r w:rsidRPr="005C176C">
              <w:rPr>
                <w:sz w:val="20"/>
                <w:szCs w:val="22"/>
              </w:rPr>
              <w:t>Exclusion criteria</w:t>
            </w:r>
          </w:p>
        </w:tc>
      </w:tr>
      <w:tr w:rsidR="005C176C" w:rsidRPr="005C176C" w:rsidTr="005C176C">
        <w:trPr>
          <w:cnfStyle w:val="000000100000"/>
        </w:trPr>
        <w:tc>
          <w:tcPr>
            <w:cnfStyle w:val="001000000000"/>
            <w:tcW w:w="0" w:type="auto"/>
            <w:hideMark/>
          </w:tcPr>
          <w:p w:rsidR="005C176C" w:rsidRPr="005C176C" w:rsidRDefault="005C176C" w:rsidP="005C176C">
            <w:pPr>
              <w:spacing w:line="240" w:lineRule="auto"/>
              <w:rPr>
                <w:sz w:val="20"/>
                <w:szCs w:val="22"/>
              </w:rPr>
            </w:pPr>
            <w:r w:rsidRPr="005C176C">
              <w:rPr>
                <w:sz w:val="20"/>
                <w:szCs w:val="22"/>
              </w:rPr>
              <w:t>Sector</w:t>
            </w:r>
          </w:p>
        </w:tc>
        <w:tc>
          <w:tcPr>
            <w:tcW w:w="0" w:type="auto"/>
            <w:hideMark/>
          </w:tcPr>
          <w:p w:rsidR="005C176C" w:rsidRPr="005C176C" w:rsidRDefault="005C176C" w:rsidP="005C176C">
            <w:pPr>
              <w:spacing w:line="240" w:lineRule="auto"/>
              <w:cnfStyle w:val="000000100000"/>
              <w:rPr>
                <w:sz w:val="20"/>
                <w:szCs w:val="22"/>
              </w:rPr>
            </w:pPr>
            <w:r w:rsidRPr="005C176C">
              <w:rPr>
                <w:sz w:val="20"/>
                <w:szCs w:val="22"/>
              </w:rPr>
              <w:t>Studies focusing on FMCG products or closely related low-involvement consumer goods (for example, fast food, packaged foods, beverages, personal care, household care).</w:t>
            </w:r>
          </w:p>
        </w:tc>
        <w:tc>
          <w:tcPr>
            <w:tcW w:w="0" w:type="auto"/>
            <w:hideMark/>
          </w:tcPr>
          <w:p w:rsidR="005C176C" w:rsidRPr="005C176C" w:rsidRDefault="005C176C" w:rsidP="005C176C">
            <w:pPr>
              <w:spacing w:line="240" w:lineRule="auto"/>
              <w:cnfStyle w:val="000000100000"/>
              <w:rPr>
                <w:sz w:val="20"/>
                <w:szCs w:val="22"/>
              </w:rPr>
            </w:pPr>
            <w:r w:rsidRPr="005C176C">
              <w:rPr>
                <w:sz w:val="20"/>
                <w:szCs w:val="22"/>
              </w:rPr>
              <w:t>Studies focusing on high-involvement sectors such as automobiles, durables, electronics, housing, energy services or other non-FMCG categories.</w:t>
            </w:r>
          </w:p>
        </w:tc>
      </w:tr>
      <w:tr w:rsidR="005C176C" w:rsidRPr="005C176C" w:rsidTr="005C176C">
        <w:tc>
          <w:tcPr>
            <w:cnfStyle w:val="001000000000"/>
            <w:tcW w:w="0" w:type="auto"/>
            <w:hideMark/>
          </w:tcPr>
          <w:p w:rsidR="005C176C" w:rsidRPr="005C176C" w:rsidRDefault="005C176C" w:rsidP="005C176C">
            <w:pPr>
              <w:spacing w:line="240" w:lineRule="auto"/>
              <w:rPr>
                <w:sz w:val="20"/>
                <w:szCs w:val="22"/>
              </w:rPr>
            </w:pPr>
            <w:r w:rsidRPr="005C176C">
              <w:rPr>
                <w:sz w:val="20"/>
                <w:szCs w:val="22"/>
              </w:rPr>
              <w:t>Concepts</w:t>
            </w:r>
          </w:p>
        </w:tc>
        <w:tc>
          <w:tcPr>
            <w:tcW w:w="0" w:type="auto"/>
            <w:hideMark/>
          </w:tcPr>
          <w:p w:rsidR="005C176C" w:rsidRPr="005C176C" w:rsidRDefault="005C176C" w:rsidP="005C176C">
            <w:pPr>
              <w:spacing w:line="240" w:lineRule="auto"/>
              <w:cnfStyle w:val="000000000000"/>
              <w:rPr>
                <w:sz w:val="20"/>
                <w:szCs w:val="22"/>
              </w:rPr>
            </w:pPr>
            <w:r w:rsidRPr="005C176C">
              <w:rPr>
                <w:sz w:val="20"/>
                <w:szCs w:val="22"/>
              </w:rPr>
              <w:t>Studies examining at least one green marketing strategy (green product innovation, eco-packaging, environmental advertising, eco-labels, CSR or broader green marketing mix) and consumer response constructs.</w:t>
            </w:r>
          </w:p>
        </w:tc>
        <w:tc>
          <w:tcPr>
            <w:tcW w:w="0" w:type="auto"/>
            <w:hideMark/>
          </w:tcPr>
          <w:p w:rsidR="005C176C" w:rsidRPr="005C176C" w:rsidRDefault="005C176C" w:rsidP="005C176C">
            <w:pPr>
              <w:spacing w:line="240" w:lineRule="auto"/>
              <w:cnfStyle w:val="000000000000"/>
              <w:rPr>
                <w:sz w:val="20"/>
                <w:szCs w:val="22"/>
              </w:rPr>
            </w:pPr>
            <w:r w:rsidRPr="005C176C">
              <w:rPr>
                <w:sz w:val="20"/>
                <w:szCs w:val="22"/>
              </w:rPr>
              <w:t>Studies dealing only with general environmental attitudes or awareness, without any explicit green marketing variables or strategies.</w:t>
            </w:r>
          </w:p>
        </w:tc>
      </w:tr>
      <w:tr w:rsidR="005C176C" w:rsidRPr="005C176C" w:rsidTr="005C176C">
        <w:trPr>
          <w:cnfStyle w:val="000000100000"/>
        </w:trPr>
        <w:tc>
          <w:tcPr>
            <w:cnfStyle w:val="001000000000"/>
            <w:tcW w:w="0" w:type="auto"/>
            <w:hideMark/>
          </w:tcPr>
          <w:p w:rsidR="005C176C" w:rsidRPr="005C176C" w:rsidRDefault="005C176C" w:rsidP="005C176C">
            <w:pPr>
              <w:spacing w:line="240" w:lineRule="auto"/>
              <w:rPr>
                <w:sz w:val="20"/>
                <w:szCs w:val="22"/>
              </w:rPr>
            </w:pPr>
            <w:r w:rsidRPr="005C176C">
              <w:rPr>
                <w:sz w:val="20"/>
                <w:szCs w:val="22"/>
              </w:rPr>
              <w:t>Outcomes</w:t>
            </w:r>
          </w:p>
        </w:tc>
        <w:tc>
          <w:tcPr>
            <w:tcW w:w="0" w:type="auto"/>
            <w:hideMark/>
          </w:tcPr>
          <w:p w:rsidR="005C176C" w:rsidRPr="005C176C" w:rsidRDefault="005C176C" w:rsidP="005C176C">
            <w:pPr>
              <w:spacing w:line="240" w:lineRule="auto"/>
              <w:cnfStyle w:val="000000100000"/>
              <w:rPr>
                <w:sz w:val="20"/>
                <w:szCs w:val="22"/>
              </w:rPr>
            </w:pPr>
            <w:r w:rsidRPr="005C176C">
              <w:rPr>
                <w:sz w:val="20"/>
                <w:szCs w:val="22"/>
              </w:rPr>
              <w:t>Studies reporting consumer purchase intention, green purchase behaviour, willingness to pay, and/or brand-related outcomes such as brand trust, brand equity, loyalty, satisfaction or word-of-mouth/eWOM.</w:t>
            </w:r>
          </w:p>
        </w:tc>
        <w:tc>
          <w:tcPr>
            <w:tcW w:w="0" w:type="auto"/>
            <w:hideMark/>
          </w:tcPr>
          <w:p w:rsidR="005C176C" w:rsidRPr="005C176C" w:rsidRDefault="005C176C" w:rsidP="005C176C">
            <w:pPr>
              <w:spacing w:line="240" w:lineRule="auto"/>
              <w:cnfStyle w:val="000000100000"/>
              <w:rPr>
                <w:sz w:val="20"/>
                <w:szCs w:val="22"/>
              </w:rPr>
            </w:pPr>
            <w:r w:rsidRPr="005C176C">
              <w:rPr>
                <w:sz w:val="20"/>
                <w:szCs w:val="22"/>
              </w:rPr>
              <w:t>Studies reporting only environmental or operational performance metrics (for example emissions, waste reduction) without consumer or brand-related outcomes.</w:t>
            </w:r>
          </w:p>
        </w:tc>
      </w:tr>
      <w:tr w:rsidR="005C176C" w:rsidRPr="005C176C" w:rsidTr="005C176C">
        <w:tc>
          <w:tcPr>
            <w:cnfStyle w:val="001000000000"/>
            <w:tcW w:w="0" w:type="auto"/>
            <w:hideMark/>
          </w:tcPr>
          <w:p w:rsidR="005C176C" w:rsidRPr="005C176C" w:rsidRDefault="005C176C" w:rsidP="005C176C">
            <w:pPr>
              <w:spacing w:line="240" w:lineRule="auto"/>
              <w:rPr>
                <w:sz w:val="20"/>
                <w:szCs w:val="22"/>
              </w:rPr>
            </w:pPr>
            <w:r w:rsidRPr="005C176C">
              <w:rPr>
                <w:sz w:val="20"/>
                <w:szCs w:val="22"/>
              </w:rPr>
              <w:t>Context</w:t>
            </w:r>
          </w:p>
        </w:tc>
        <w:tc>
          <w:tcPr>
            <w:tcW w:w="0" w:type="auto"/>
            <w:hideMark/>
          </w:tcPr>
          <w:p w:rsidR="005C176C" w:rsidRPr="005C176C" w:rsidRDefault="005C176C" w:rsidP="005C176C">
            <w:pPr>
              <w:spacing w:line="240" w:lineRule="auto"/>
              <w:cnfStyle w:val="000000000000"/>
              <w:rPr>
                <w:sz w:val="20"/>
                <w:szCs w:val="22"/>
              </w:rPr>
            </w:pPr>
            <w:r w:rsidRPr="005C176C">
              <w:rPr>
                <w:sz w:val="20"/>
                <w:szCs w:val="22"/>
              </w:rPr>
              <w:t>Studies conducted in Bangladesh or in emerging or developing markets with comparable economic and cultural characteristics, where findings are transferable to the Bangladeshi FMCG context.</w:t>
            </w:r>
          </w:p>
        </w:tc>
        <w:tc>
          <w:tcPr>
            <w:tcW w:w="0" w:type="auto"/>
            <w:hideMark/>
          </w:tcPr>
          <w:p w:rsidR="005C176C" w:rsidRPr="005C176C" w:rsidRDefault="005C176C" w:rsidP="005C176C">
            <w:pPr>
              <w:spacing w:line="240" w:lineRule="auto"/>
              <w:cnfStyle w:val="000000000000"/>
              <w:rPr>
                <w:sz w:val="20"/>
                <w:szCs w:val="22"/>
              </w:rPr>
            </w:pPr>
            <w:r w:rsidRPr="005C176C">
              <w:rPr>
                <w:sz w:val="20"/>
                <w:szCs w:val="22"/>
              </w:rPr>
              <w:t>Studies conducted exclusively in highly developed economies with limited relevance to emerging markets, or in institutional/industrial settings unrelated to consumer goods.</w:t>
            </w:r>
          </w:p>
        </w:tc>
      </w:tr>
      <w:tr w:rsidR="005C176C" w:rsidRPr="005C176C" w:rsidTr="005C176C">
        <w:trPr>
          <w:cnfStyle w:val="000000100000"/>
        </w:trPr>
        <w:tc>
          <w:tcPr>
            <w:cnfStyle w:val="001000000000"/>
            <w:tcW w:w="0" w:type="auto"/>
            <w:hideMark/>
          </w:tcPr>
          <w:p w:rsidR="005C176C" w:rsidRPr="005C176C" w:rsidRDefault="005C176C" w:rsidP="005C176C">
            <w:pPr>
              <w:spacing w:line="240" w:lineRule="auto"/>
              <w:rPr>
                <w:sz w:val="20"/>
                <w:szCs w:val="22"/>
              </w:rPr>
            </w:pPr>
            <w:r w:rsidRPr="005C176C">
              <w:rPr>
                <w:sz w:val="20"/>
                <w:szCs w:val="22"/>
              </w:rPr>
              <w:t>Method</w:t>
            </w:r>
          </w:p>
        </w:tc>
        <w:tc>
          <w:tcPr>
            <w:tcW w:w="0" w:type="auto"/>
            <w:hideMark/>
          </w:tcPr>
          <w:p w:rsidR="005C176C" w:rsidRPr="005C176C" w:rsidRDefault="005C176C" w:rsidP="005C176C">
            <w:pPr>
              <w:spacing w:line="240" w:lineRule="auto"/>
              <w:cnfStyle w:val="000000100000"/>
              <w:rPr>
                <w:sz w:val="20"/>
                <w:szCs w:val="22"/>
              </w:rPr>
            </w:pPr>
            <w:r w:rsidRPr="005C176C">
              <w:rPr>
                <w:sz w:val="20"/>
                <w:szCs w:val="22"/>
              </w:rPr>
              <w:t>Empirical studies using quantitative, qualitative or mixed-methods designs (for example surveys, experiments, interviews, focus groups) that report clear findings on the relationships of interest.</w:t>
            </w:r>
          </w:p>
        </w:tc>
        <w:tc>
          <w:tcPr>
            <w:tcW w:w="0" w:type="auto"/>
            <w:hideMark/>
          </w:tcPr>
          <w:p w:rsidR="005C176C" w:rsidRPr="005C176C" w:rsidRDefault="005C176C" w:rsidP="005C176C">
            <w:pPr>
              <w:spacing w:line="240" w:lineRule="auto"/>
              <w:cnfStyle w:val="000000100000"/>
              <w:rPr>
                <w:sz w:val="20"/>
                <w:szCs w:val="22"/>
              </w:rPr>
            </w:pPr>
            <w:r w:rsidRPr="005C176C">
              <w:rPr>
                <w:sz w:val="20"/>
                <w:szCs w:val="22"/>
              </w:rPr>
              <w:t>Purely conceptual papers, theoretical essays, opinion pieces, editorials, theses or reports without transparent empirical methods or data.</w:t>
            </w:r>
          </w:p>
        </w:tc>
      </w:tr>
      <w:tr w:rsidR="005C176C" w:rsidRPr="005C176C" w:rsidTr="005C176C">
        <w:tc>
          <w:tcPr>
            <w:cnfStyle w:val="001000000000"/>
            <w:tcW w:w="0" w:type="auto"/>
            <w:hideMark/>
          </w:tcPr>
          <w:p w:rsidR="005C176C" w:rsidRPr="005C176C" w:rsidRDefault="005C176C" w:rsidP="005C176C">
            <w:pPr>
              <w:spacing w:line="240" w:lineRule="auto"/>
              <w:rPr>
                <w:sz w:val="20"/>
                <w:szCs w:val="22"/>
              </w:rPr>
            </w:pPr>
            <w:r w:rsidRPr="005C176C">
              <w:rPr>
                <w:sz w:val="20"/>
                <w:szCs w:val="22"/>
              </w:rPr>
              <w:t>Document type</w:t>
            </w:r>
          </w:p>
        </w:tc>
        <w:tc>
          <w:tcPr>
            <w:tcW w:w="0" w:type="auto"/>
            <w:hideMark/>
          </w:tcPr>
          <w:p w:rsidR="005C176C" w:rsidRPr="005C176C" w:rsidRDefault="005C176C" w:rsidP="005C176C">
            <w:pPr>
              <w:spacing w:line="240" w:lineRule="auto"/>
              <w:cnfStyle w:val="000000000000"/>
              <w:rPr>
                <w:sz w:val="20"/>
                <w:szCs w:val="22"/>
              </w:rPr>
            </w:pPr>
            <w:r w:rsidRPr="005C176C">
              <w:rPr>
                <w:sz w:val="20"/>
                <w:szCs w:val="22"/>
              </w:rPr>
              <w:t>Peer-reviewed journal articles, academic conference papers and scholarly book chapters available in full text.</w:t>
            </w:r>
          </w:p>
        </w:tc>
        <w:tc>
          <w:tcPr>
            <w:tcW w:w="0" w:type="auto"/>
            <w:hideMark/>
          </w:tcPr>
          <w:p w:rsidR="005C176C" w:rsidRPr="005C176C" w:rsidRDefault="005C176C" w:rsidP="005C176C">
            <w:pPr>
              <w:spacing w:line="240" w:lineRule="auto"/>
              <w:cnfStyle w:val="000000000000"/>
              <w:rPr>
                <w:sz w:val="20"/>
                <w:szCs w:val="22"/>
              </w:rPr>
            </w:pPr>
            <w:r w:rsidRPr="005C176C">
              <w:rPr>
                <w:sz w:val="20"/>
                <w:szCs w:val="22"/>
              </w:rPr>
              <w:t>Non-peer-reviewed materials, blog posts, news articles, corporate brochures or marketing materials treated as promotional rather than analytical documents.</w:t>
            </w:r>
          </w:p>
        </w:tc>
      </w:tr>
      <w:tr w:rsidR="005C176C" w:rsidRPr="005C176C" w:rsidTr="005C176C">
        <w:trPr>
          <w:cnfStyle w:val="000000100000"/>
        </w:trPr>
        <w:tc>
          <w:tcPr>
            <w:cnfStyle w:val="001000000000"/>
            <w:tcW w:w="0" w:type="auto"/>
            <w:hideMark/>
          </w:tcPr>
          <w:p w:rsidR="005C176C" w:rsidRPr="005C176C" w:rsidRDefault="005C176C" w:rsidP="005C176C">
            <w:pPr>
              <w:spacing w:line="240" w:lineRule="auto"/>
              <w:rPr>
                <w:sz w:val="20"/>
                <w:szCs w:val="22"/>
              </w:rPr>
            </w:pPr>
            <w:r w:rsidRPr="005C176C">
              <w:rPr>
                <w:sz w:val="20"/>
                <w:szCs w:val="22"/>
              </w:rPr>
              <w:t>Language &amp; access</w:t>
            </w:r>
          </w:p>
        </w:tc>
        <w:tc>
          <w:tcPr>
            <w:tcW w:w="0" w:type="auto"/>
            <w:hideMark/>
          </w:tcPr>
          <w:p w:rsidR="005C176C" w:rsidRPr="005C176C" w:rsidRDefault="005C176C" w:rsidP="005C176C">
            <w:pPr>
              <w:spacing w:line="240" w:lineRule="auto"/>
              <w:cnfStyle w:val="000000100000"/>
              <w:rPr>
                <w:sz w:val="20"/>
                <w:szCs w:val="22"/>
              </w:rPr>
            </w:pPr>
            <w:r w:rsidRPr="005C176C">
              <w:rPr>
                <w:sz w:val="20"/>
                <w:szCs w:val="22"/>
              </w:rPr>
              <w:t>Full text available in English.</w:t>
            </w:r>
          </w:p>
        </w:tc>
        <w:tc>
          <w:tcPr>
            <w:tcW w:w="0" w:type="auto"/>
            <w:hideMark/>
          </w:tcPr>
          <w:p w:rsidR="005C176C" w:rsidRPr="005C176C" w:rsidRDefault="005C176C" w:rsidP="005C176C">
            <w:pPr>
              <w:spacing w:line="240" w:lineRule="auto"/>
              <w:cnfStyle w:val="000000100000"/>
              <w:rPr>
                <w:sz w:val="20"/>
                <w:szCs w:val="22"/>
              </w:rPr>
            </w:pPr>
            <w:r w:rsidRPr="005C176C">
              <w:rPr>
                <w:sz w:val="20"/>
                <w:szCs w:val="22"/>
              </w:rPr>
              <w:t>Full text not accessible, or publications in languages other than English.</w:t>
            </w:r>
          </w:p>
        </w:tc>
      </w:tr>
    </w:tbl>
    <w:p w:rsidR="005C176C" w:rsidRDefault="005C176C" w:rsidP="005C176C"/>
    <w:p w:rsidR="00835596" w:rsidRPr="00835596" w:rsidRDefault="00835596" w:rsidP="00835596">
      <w:r w:rsidRPr="00835596">
        <w:lastRenderedPageBreak/>
        <w:t>Complementary exclusion criteria were used to remove studies that fell outside this scope. Research was excluded if it examined green marketing only in high-involvement sectors such as automobiles, durable goods or energy services, or in institutional and industrial settings that differ substantially from FMCG consumption. Studies focusing solely on general environmental concern or pro-environmental attitudes, without any explicit green marketing instruments, were also excluded, as were those reporting only environmental or operational performance metrics without consumer or brand outcomes. Conceptual papers, opinion pieces, editorials, theses, practitioner reports, non-peer-reviewed materials and documents not accessible in full text or in languages other than English were likewise excluded. In practice, titles and abstracts were screened first against these combined criteria, followed by full-text assessment of potentially relevant articles, with reasons for exclusion recorded and reflected in the PRISMA flow diagram later in this chapter.</w:t>
      </w:r>
    </w:p>
    <w:p w:rsidR="005C176C" w:rsidRPr="005C176C" w:rsidRDefault="005C176C" w:rsidP="005C176C">
      <w:pPr>
        <w:pStyle w:val="Heading2"/>
      </w:pPr>
      <w:bookmarkStart w:id="42" w:name="_Toc220155766"/>
      <w:r w:rsidRPr="005C176C">
        <w:t>3.</w:t>
      </w:r>
      <w:r w:rsidR="00C95297">
        <w:t>8</w:t>
      </w:r>
      <w:r w:rsidRPr="005C176C">
        <w:t xml:space="preserve"> DATA EXTRACTION AND CODING</w:t>
      </w:r>
      <w:bookmarkEnd w:id="42"/>
    </w:p>
    <w:p w:rsidR="005C176C" w:rsidRPr="005C176C" w:rsidRDefault="005C176C" w:rsidP="005C176C">
      <w:r w:rsidRPr="005C176C">
        <w:t>For each study that met the inclusion criteria, data were extracted using a structured template. The template captured:</w:t>
      </w:r>
    </w:p>
    <w:p w:rsidR="005C176C" w:rsidRPr="005C176C" w:rsidRDefault="005C176C" w:rsidP="00C17AE6">
      <w:pPr>
        <w:numPr>
          <w:ilvl w:val="0"/>
          <w:numId w:val="1"/>
        </w:numPr>
      </w:pPr>
      <w:r w:rsidRPr="005C176C">
        <w:t>Bibliographic information (author, year, journal).</w:t>
      </w:r>
    </w:p>
    <w:p w:rsidR="005C176C" w:rsidRPr="005C176C" w:rsidRDefault="005C176C" w:rsidP="00C17AE6">
      <w:pPr>
        <w:numPr>
          <w:ilvl w:val="0"/>
          <w:numId w:val="1"/>
        </w:numPr>
      </w:pPr>
      <w:r w:rsidRPr="005C176C">
        <w:t>Country and broader regional context.</w:t>
      </w:r>
    </w:p>
    <w:p w:rsidR="005C176C" w:rsidRPr="005C176C" w:rsidRDefault="005C176C" w:rsidP="00C17AE6">
      <w:pPr>
        <w:numPr>
          <w:ilvl w:val="0"/>
          <w:numId w:val="1"/>
        </w:numPr>
      </w:pPr>
      <w:r w:rsidRPr="005C176C">
        <w:t>FMCG category (for example packaged food, beverages, personal care, household care, fast food).</w:t>
      </w:r>
    </w:p>
    <w:p w:rsidR="005C176C" w:rsidRPr="005C176C" w:rsidRDefault="005C176C" w:rsidP="00C17AE6">
      <w:pPr>
        <w:numPr>
          <w:ilvl w:val="0"/>
          <w:numId w:val="1"/>
        </w:numPr>
      </w:pPr>
      <w:r w:rsidRPr="005C176C">
        <w:t>Research design, sample characteristics and data collection method.</w:t>
      </w:r>
    </w:p>
    <w:p w:rsidR="005C176C" w:rsidRPr="005C176C" w:rsidRDefault="005C176C" w:rsidP="00C17AE6">
      <w:pPr>
        <w:numPr>
          <w:ilvl w:val="0"/>
          <w:numId w:val="1"/>
        </w:numPr>
      </w:pPr>
      <w:r w:rsidRPr="005C176C">
        <w:t>Theoretical framework used, such as TPB, RBV or related models.</w:t>
      </w:r>
    </w:p>
    <w:p w:rsidR="005C176C" w:rsidRPr="005C176C" w:rsidRDefault="005C176C" w:rsidP="00C17AE6">
      <w:pPr>
        <w:numPr>
          <w:ilvl w:val="0"/>
          <w:numId w:val="1"/>
        </w:numPr>
      </w:pPr>
      <w:r w:rsidRPr="005C176C">
        <w:t>Green marketing variables examined (for example specific product attributes, packaging features, types of advertising claims, CSR initiatives).</w:t>
      </w:r>
    </w:p>
    <w:p w:rsidR="005C176C" w:rsidRPr="005C176C" w:rsidRDefault="005C176C" w:rsidP="00C17AE6">
      <w:pPr>
        <w:numPr>
          <w:ilvl w:val="0"/>
          <w:numId w:val="1"/>
        </w:numPr>
      </w:pPr>
      <w:r w:rsidRPr="005C176C">
        <w:t>Consumer response variables, including purchase intention, willingness to pay, attitudes, perceived value and trust.</w:t>
      </w:r>
    </w:p>
    <w:p w:rsidR="005C176C" w:rsidRPr="005C176C" w:rsidRDefault="005C176C" w:rsidP="00C17AE6">
      <w:pPr>
        <w:numPr>
          <w:ilvl w:val="0"/>
          <w:numId w:val="1"/>
        </w:numPr>
      </w:pPr>
      <w:r w:rsidRPr="005C176C">
        <w:t>Brand-related outcomes, such as brand equity, loyalty, satisfaction, reputation and word-of-mouth.</w:t>
      </w:r>
    </w:p>
    <w:p w:rsidR="005C176C" w:rsidRPr="005C176C" w:rsidRDefault="005C176C" w:rsidP="00C17AE6">
      <w:pPr>
        <w:numPr>
          <w:ilvl w:val="0"/>
          <w:numId w:val="1"/>
        </w:numPr>
      </w:pPr>
      <w:r w:rsidRPr="005C176C">
        <w:t>Key findings, including the direction and significance of reported relationships.</w:t>
      </w:r>
    </w:p>
    <w:p w:rsidR="005C176C" w:rsidRPr="005C176C" w:rsidRDefault="005C176C" w:rsidP="005C176C">
      <w:r w:rsidRPr="005C176C">
        <w:lastRenderedPageBreak/>
        <w:t>Data were coded thematically around the four green marketing levers identified in Chapter Two and around the main outcome categories: purchase intention and brand performance. Where possible, notes were added on moderators or mediators, such as price sensitivity, environmental concern, knowledge or green trust, because these factors were shown in Chapter Two to shape green purchase intention and brand outcomes.</w:t>
      </w:r>
    </w:p>
    <w:p w:rsidR="005C176C" w:rsidRPr="005C176C" w:rsidRDefault="005C176C" w:rsidP="005C176C">
      <w:pPr>
        <w:pStyle w:val="Heading2"/>
      </w:pPr>
      <w:bookmarkStart w:id="43" w:name="_Toc220155767"/>
      <w:r w:rsidRPr="005C176C">
        <w:t>3.</w:t>
      </w:r>
      <w:r w:rsidR="00C95297">
        <w:t>9</w:t>
      </w:r>
      <w:r w:rsidRPr="005C176C">
        <w:t xml:space="preserve"> QUALITY APPRAISAL</w:t>
      </w:r>
      <w:bookmarkEnd w:id="43"/>
    </w:p>
    <w:p w:rsidR="005C176C" w:rsidRPr="005C176C" w:rsidRDefault="005C176C" w:rsidP="005C176C">
      <w:r w:rsidRPr="005C176C">
        <w:t>Assessing the quality of included studies is important to avoid giving equal weight to weak and strong evidence (Tranfield et al., 2003; Snyder, 2019). A simplified version of established critical appraisal tools such as the Critical Appraisal Skills Programme (CASP) checklists was used to evaluate each empirical study.</w:t>
      </w:r>
    </w:p>
    <w:p w:rsidR="005C176C" w:rsidRPr="005C176C" w:rsidRDefault="005C176C" w:rsidP="005C176C">
      <w:r w:rsidRPr="005C176C">
        <w:t>For quantitative survey and experimental designs, the appraisal considered:</w:t>
      </w:r>
    </w:p>
    <w:p w:rsidR="005C176C" w:rsidRPr="005C176C" w:rsidRDefault="005C176C" w:rsidP="00C17AE6">
      <w:pPr>
        <w:numPr>
          <w:ilvl w:val="0"/>
          <w:numId w:val="2"/>
        </w:numPr>
      </w:pPr>
      <w:r w:rsidRPr="005C176C">
        <w:t>Clarity of research questions and hypotheses.</w:t>
      </w:r>
    </w:p>
    <w:p w:rsidR="005C176C" w:rsidRPr="005C176C" w:rsidRDefault="005C176C" w:rsidP="00C17AE6">
      <w:pPr>
        <w:numPr>
          <w:ilvl w:val="0"/>
          <w:numId w:val="2"/>
        </w:numPr>
      </w:pPr>
      <w:r w:rsidRPr="005C176C">
        <w:t>Appropriateness of sampling strategy and sample size.</w:t>
      </w:r>
    </w:p>
    <w:p w:rsidR="005C176C" w:rsidRPr="005C176C" w:rsidRDefault="005C176C" w:rsidP="00C17AE6">
      <w:pPr>
        <w:numPr>
          <w:ilvl w:val="0"/>
          <w:numId w:val="2"/>
        </w:numPr>
      </w:pPr>
      <w:r w:rsidRPr="005C176C">
        <w:t>Validity and reliability of measurement instruments, including use of established scales for green constructs and brand outcomes.</w:t>
      </w:r>
    </w:p>
    <w:p w:rsidR="005C176C" w:rsidRPr="005C176C" w:rsidRDefault="005C176C" w:rsidP="00C17AE6">
      <w:pPr>
        <w:numPr>
          <w:ilvl w:val="0"/>
          <w:numId w:val="2"/>
        </w:numPr>
      </w:pPr>
      <w:r w:rsidRPr="005C176C">
        <w:t>Suitability of statistical techniques and reporting of model fit, significance and effect sizes.</w:t>
      </w:r>
    </w:p>
    <w:p w:rsidR="005C176C" w:rsidRPr="005C176C" w:rsidRDefault="005C176C" w:rsidP="005C176C">
      <w:r w:rsidRPr="005C176C">
        <w:t>For qualitative or mixed-methods studies, the appraisal examined:</w:t>
      </w:r>
    </w:p>
    <w:p w:rsidR="005C176C" w:rsidRPr="005C176C" w:rsidRDefault="005C176C" w:rsidP="00C17AE6">
      <w:pPr>
        <w:numPr>
          <w:ilvl w:val="0"/>
          <w:numId w:val="3"/>
        </w:numPr>
      </w:pPr>
      <w:r w:rsidRPr="005C176C">
        <w:t>Clarity of research aims and context.</w:t>
      </w:r>
    </w:p>
    <w:p w:rsidR="005C176C" w:rsidRPr="005C176C" w:rsidRDefault="005C176C" w:rsidP="00C17AE6">
      <w:pPr>
        <w:numPr>
          <w:ilvl w:val="0"/>
          <w:numId w:val="3"/>
        </w:numPr>
      </w:pPr>
      <w:r w:rsidRPr="005C176C">
        <w:t>Appropriateness of data collection methods (for example interviews, focus groups, observations).</w:t>
      </w:r>
    </w:p>
    <w:p w:rsidR="005C176C" w:rsidRPr="005C176C" w:rsidRDefault="005C176C" w:rsidP="00C17AE6">
      <w:pPr>
        <w:numPr>
          <w:ilvl w:val="0"/>
          <w:numId w:val="3"/>
        </w:numPr>
      </w:pPr>
      <w:r w:rsidRPr="005C176C">
        <w:t>Transparency of analysis procedures, including coding and theme development.</w:t>
      </w:r>
    </w:p>
    <w:p w:rsidR="005C176C" w:rsidRPr="005C176C" w:rsidRDefault="005C176C" w:rsidP="00C17AE6">
      <w:pPr>
        <w:numPr>
          <w:ilvl w:val="0"/>
          <w:numId w:val="3"/>
        </w:numPr>
      </w:pPr>
      <w:r w:rsidRPr="005C176C">
        <w:t>Use of strategies to enhance trustworthiness, such as triangulation or member checking.</w:t>
      </w:r>
    </w:p>
    <w:p w:rsidR="005C176C" w:rsidRPr="005C176C" w:rsidRDefault="005C176C" w:rsidP="005C176C">
      <w:r w:rsidRPr="005C176C">
        <w:t>Each study was given an overall quality judgement (for example high, medium or low), based on how well it addressed these criteria. Low-quality studies were not automatically excluded, especially if they provided insights on under-researched contexts, but their limitations were taken into account when synthesising findings.</w:t>
      </w:r>
    </w:p>
    <w:p w:rsidR="005C176C" w:rsidRPr="005C176C" w:rsidRDefault="005C176C" w:rsidP="005C176C">
      <w:pPr>
        <w:pStyle w:val="Heading2"/>
      </w:pPr>
      <w:bookmarkStart w:id="44" w:name="_Toc220155768"/>
      <w:r w:rsidRPr="005C176C">
        <w:lastRenderedPageBreak/>
        <w:t>3.</w:t>
      </w:r>
      <w:r w:rsidR="00C95297">
        <w:t>10</w:t>
      </w:r>
      <w:r w:rsidRPr="005C176C">
        <w:t xml:space="preserve"> DATA ANALYSIS AND SYNTHESIS</w:t>
      </w:r>
      <w:bookmarkEnd w:id="44"/>
    </w:p>
    <w:p w:rsidR="005C176C" w:rsidRPr="005C176C" w:rsidRDefault="005C176C" w:rsidP="005C176C">
      <w:r w:rsidRPr="005C176C">
        <w:t>Because the included studies varied in context, measures and analytical techniques, a statistical meta-analysis was not appropriate. Instead, the review used narrative synthesis to integrate findings across studies (Popay et al., 2006). Narrative synthesis involves organising results by themes and concepts, looking for patterns of convergence and divergence, and explaining those patterns in light of theory and context.</w:t>
      </w:r>
    </w:p>
    <w:p w:rsidR="005C176C" w:rsidRPr="005C176C" w:rsidRDefault="005C176C" w:rsidP="005C176C">
      <w:r w:rsidRPr="005C176C">
        <w:t>The synthesis proceeded in three steps. First, studies were grouped by the primary green marketing lever they examined (green product innovation, eco-packaging, environmental advertising and eco-labels, CSR or the full green marketing mix). Within each group, evidence on relationships with purchase intention and, where available, brand outcomes was summarised. Second, cross-cutting themes were identified, such as the role of green trust, perceived value, environmental concern and price sensitivity in shaping responses to green marketing. Third, these patterns were interpreted through the Theory of Planned Behaviour and the Resource-Based View, linking shifts in attitudes, norms and perceived control to consumer purchase intention and connecting sustained, credible green capabilities to brand performance outcomes.</w:t>
      </w:r>
    </w:p>
    <w:p w:rsidR="005C176C" w:rsidRPr="005C176C" w:rsidRDefault="005C176C" w:rsidP="005C176C">
      <w:r w:rsidRPr="005C176C">
        <w:t>The synthesis pays particular attention to studies from Bangladesh and closely comparable contexts, while using evidence from broader emerging markets to fill gaps and test the generality of observed relationships.</w:t>
      </w:r>
    </w:p>
    <w:p w:rsidR="005C176C" w:rsidRPr="005C176C" w:rsidRDefault="005C176C" w:rsidP="005C176C">
      <w:pPr>
        <w:pStyle w:val="Heading2"/>
      </w:pPr>
      <w:bookmarkStart w:id="45" w:name="_Toc220155769"/>
      <w:r w:rsidRPr="005C176C">
        <w:t>3.</w:t>
      </w:r>
      <w:r w:rsidR="00C95297">
        <w:t>11</w:t>
      </w:r>
      <w:r w:rsidRPr="005C176C">
        <w:t xml:space="preserve"> ETHICAL CONSIDERATIONS</w:t>
      </w:r>
      <w:bookmarkEnd w:id="45"/>
    </w:p>
    <w:p w:rsidR="005C176C" w:rsidRPr="005C176C" w:rsidRDefault="005C176C" w:rsidP="005C176C">
      <w:r w:rsidRPr="005C176C">
        <w:t>The dissertation relies entirely on secondary data in the form of published studies and does not involve direct contact with human participants. Formal ethical approval is therefore not usually required. Nevertheless, ethical principles still apply. The review procedure ensures accurate and honest representation of the original authors’ work, avoids plagiarism through proper citation and referencing, and reports methods and limitations transparently. Any potential conflicts of interest or funding biases reported in the original studies are noted where relevant.</w:t>
      </w:r>
    </w:p>
    <w:p w:rsidR="005C176C" w:rsidRPr="005C176C" w:rsidRDefault="005C176C" w:rsidP="005C176C">
      <w:pPr>
        <w:pStyle w:val="Heading2"/>
      </w:pPr>
      <w:bookmarkStart w:id="46" w:name="_Toc220155770"/>
      <w:r w:rsidRPr="005C176C">
        <w:t>3.1</w:t>
      </w:r>
      <w:r w:rsidR="00C95297">
        <w:t>2</w:t>
      </w:r>
      <w:r w:rsidRPr="005C176C">
        <w:t xml:space="preserve"> METHODOLOGICAL LIMITATIONS</w:t>
      </w:r>
      <w:bookmarkEnd w:id="46"/>
    </w:p>
    <w:p w:rsidR="005C176C" w:rsidRPr="005C176C" w:rsidRDefault="005C176C" w:rsidP="005C176C">
      <w:r w:rsidRPr="005C176C">
        <w:t xml:space="preserve">This research design has several limitations. First, a systematic review can only synthesise available published evidence. Unpublished or non-English studies may exist that could alter the balance of findings, and publication bias may mean that positive relationships between </w:t>
      </w:r>
      <w:r w:rsidRPr="005C176C">
        <w:lastRenderedPageBreak/>
        <w:t>green marketing and purchase intention or brand performance are over-represented. Second, differences in measurement, sampling and analytical techniques across studies limit the extent to which results can be compared directly or combined quantitatively. Third, although the focus on Bangladesh and similar emerging markets improves contextual relevance, it also restricts generalisability to other regions.</w:t>
      </w:r>
    </w:p>
    <w:p w:rsidR="005C176C" w:rsidRPr="005C176C" w:rsidRDefault="005C176C" w:rsidP="005C176C">
      <w:r w:rsidRPr="005C176C">
        <w:t>Finally, the review is cross-sectional in time. It cannot fully capture how relationships between green marketing strategies, purchase intention and brand performance might evolve as environmental awareness, regulation and competitive dynamics change in Bangladesh’s FMCG sector. These limitations are acknowledged when interpreting findings in Chapter Four and when formulating recommendations for managers and suggestions for future research.</w:t>
      </w:r>
    </w:p>
    <w:p w:rsidR="001F7A65" w:rsidRPr="001F7A65" w:rsidRDefault="001F7A65" w:rsidP="001F7A65">
      <w:pPr>
        <w:pStyle w:val="Heading2"/>
      </w:pPr>
      <w:bookmarkStart w:id="47" w:name="_Toc220155771"/>
      <w:r w:rsidRPr="001F7A65">
        <w:t>3.13 CHAPTER SUMMARY</w:t>
      </w:r>
      <w:bookmarkEnd w:id="47"/>
    </w:p>
    <w:p w:rsidR="001F7A65" w:rsidRPr="001F7A65" w:rsidRDefault="001F7A65" w:rsidP="001F7A65">
      <w:r w:rsidRPr="001F7A65">
        <w:t>This chapter explained how the study was carried out using a PRISMA-guided systematic literature review. It first set out the rationale for using secondary research instead of primary data collection, and linked this choice to a mainly post-positivist, deductive approach based on the Theory of Planned Behaviour and the Resource-Based View. The chapter then described the review strategy, including the use of several databases, clear time limits, and structured search strings.</w:t>
      </w:r>
    </w:p>
    <w:p w:rsidR="001F7A65" w:rsidRPr="001F7A65" w:rsidRDefault="001F7A65" w:rsidP="001F7A65">
      <w:r w:rsidRPr="001F7A65">
        <w:t>Using PRISMA 2020, the chapter reported that 680 records were identified, 530 screened after removing duplicates, 80 full texts assessed, and finally 22 empirical studies included. It outlined the inclusion and exclusion criteria, the data extraction template, and the quality appraisal process. The narrative synthesis steps were also explained, showing how studies were grouped by green marketing lever and outcome. The chapter ended with a brief note on ethical issues and the main methodological limitations of the design.</w:t>
      </w:r>
    </w:p>
    <w:p w:rsidR="00186125" w:rsidRDefault="00186125">
      <w:pPr>
        <w:spacing w:line="259" w:lineRule="auto"/>
        <w:jc w:val="left"/>
      </w:pPr>
      <w:r>
        <w:br w:type="page"/>
      </w:r>
    </w:p>
    <w:p w:rsidR="00247196" w:rsidRDefault="00247196" w:rsidP="00247196">
      <w:pPr>
        <w:pStyle w:val="Heading1"/>
      </w:pPr>
      <w:bookmarkStart w:id="48" w:name="_Toc220155772"/>
      <w:r w:rsidRPr="00C7158E">
        <w:lastRenderedPageBreak/>
        <w:t>CHAPTER 4 – FINDINGS</w:t>
      </w:r>
      <w:bookmarkEnd w:id="48"/>
    </w:p>
    <w:p w:rsidR="00247196" w:rsidRDefault="00247196" w:rsidP="00247196">
      <w:pPr>
        <w:pStyle w:val="Heading2"/>
      </w:pPr>
      <w:bookmarkStart w:id="49" w:name="_Toc220155773"/>
      <w:r>
        <w:t>4.0 CHAPTER OVERVIEW</w:t>
      </w:r>
      <w:bookmarkEnd w:id="49"/>
    </w:p>
    <w:p w:rsidR="00247196" w:rsidRPr="00751C32" w:rsidRDefault="00247196" w:rsidP="00247196">
      <w:r w:rsidRPr="00751C32">
        <w:t>This chapter presents the findings from a systematic review of 23 empirical studies focusing on the impact of green marketing strategies on consumer purchase intention and brand performance in the FMCG sector, particularly in emerging markets like Bangladesh. The studies, spanning from 2017 to 2025, explore the effectiveness of product attributes, packaging, pricing, and accessibility cues in shaping consumer purchase intention. Additionally, communication tools, CSR, and eco-labels are discussed in relation to building credibility and consumer attitudes. The chapter also highlights how green branding, brand equity, and consumer trust influence long-term brand performance. A final theme addresses the challenges faced by emerging markets, including price sensitivity, availability, and intention-behaviour gaps. The findings are grouped into four major themes, which are discussed in detail in the subsequent sections, with each theme derived from a synthesis of the selected studies.</w:t>
      </w:r>
    </w:p>
    <w:p w:rsidR="00247196" w:rsidRDefault="00247196" w:rsidP="00247196">
      <w:pPr>
        <w:pStyle w:val="Heading2"/>
      </w:pPr>
      <w:bookmarkStart w:id="50" w:name="_Toc220155774"/>
      <w:r w:rsidRPr="00C7158E">
        <w:t>4.1 STUDY SELECTION AND CHARACTERISTICS</w:t>
      </w:r>
      <w:bookmarkEnd w:id="50"/>
    </w:p>
    <w:p w:rsidR="00247196" w:rsidRDefault="00247196" w:rsidP="00247196">
      <w:r w:rsidRPr="00224023">
        <w:t>This review includes 23 empirical studies focusing on green marketing strategies in the FMCG sector, specifically examining their impact on consumer purchase intention and brand performance. Figure 4.1 presents the number of publications per year, highlighting a growing trend in recent years, with significant contributions observed in 2022 and 2023. The studies range from 2017 to 2025, with a steady increase in research output reflecting heightened interest in sustainability and consumer behaviour.</w:t>
      </w:r>
    </w:p>
    <w:p w:rsidR="00247196" w:rsidRPr="00224023" w:rsidRDefault="00247196" w:rsidP="00247196">
      <w:pPr>
        <w:jc w:val="center"/>
      </w:pPr>
      <w:r>
        <w:rPr>
          <w:noProof/>
          <w:lang w:val="en-US" w:bidi="ar-SA"/>
        </w:rPr>
        <w:drawing>
          <wp:inline distT="0" distB="0" distL="0" distR="0">
            <wp:extent cx="4584700" cy="2743200"/>
            <wp:effectExtent l="0" t="0" r="6350" b="0"/>
            <wp:docPr id="189218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84700" cy="2743200"/>
                    </a:xfrm>
                    <a:prstGeom prst="rect">
                      <a:avLst/>
                    </a:prstGeom>
                    <a:noFill/>
                  </pic:spPr>
                </pic:pic>
              </a:graphicData>
            </a:graphic>
          </wp:inline>
        </w:drawing>
      </w:r>
    </w:p>
    <w:p w:rsidR="00247196" w:rsidRPr="00C7158E" w:rsidRDefault="00247196" w:rsidP="00247196">
      <w:pPr>
        <w:pStyle w:val="ListParagraph"/>
        <w:jc w:val="center"/>
        <w:rPr>
          <w:rFonts w:eastAsia="Calibri" w:cs="Times New Roman"/>
          <w:b/>
          <w:bCs/>
          <w:kern w:val="0"/>
          <w:sz w:val="20"/>
          <w:szCs w:val="20"/>
        </w:rPr>
      </w:pPr>
      <w:r w:rsidRPr="00C7158E">
        <w:rPr>
          <w:rFonts w:eastAsia="Calibri" w:cs="Times New Roman"/>
          <w:b/>
          <w:bCs/>
          <w:kern w:val="0"/>
          <w:sz w:val="20"/>
          <w:szCs w:val="20"/>
        </w:rPr>
        <w:lastRenderedPageBreak/>
        <w:t xml:space="preserve">FIGURE </w:t>
      </w:r>
      <w:r>
        <w:rPr>
          <w:rFonts w:eastAsia="Calibri" w:cs="Times New Roman"/>
          <w:b/>
          <w:bCs/>
          <w:kern w:val="0"/>
          <w:sz w:val="20"/>
          <w:szCs w:val="20"/>
        </w:rPr>
        <w:t>4</w:t>
      </w:r>
      <w:r w:rsidRPr="00C7158E">
        <w:rPr>
          <w:rFonts w:eastAsia="Calibri" w:cs="Times New Roman"/>
          <w:b/>
          <w:bCs/>
          <w:kern w:val="0"/>
          <w:sz w:val="20"/>
          <w:szCs w:val="20"/>
        </w:rPr>
        <w:t>.1: NUMBER OF PUBLICATIONS PER YEAR</w:t>
      </w:r>
    </w:p>
    <w:p w:rsidR="00247196" w:rsidRDefault="00247196" w:rsidP="00247196">
      <w:pPr>
        <w:pStyle w:val="ListParagraph"/>
        <w:rPr>
          <w:rFonts w:eastAsia="Calibri" w:cs="Times New Roman"/>
          <w:b/>
          <w:bCs/>
          <w:kern w:val="0"/>
          <w:sz w:val="20"/>
          <w:szCs w:val="20"/>
        </w:rPr>
      </w:pPr>
    </w:p>
    <w:p w:rsidR="00247196" w:rsidRDefault="00247196" w:rsidP="00247196">
      <w:r w:rsidRPr="00224023">
        <w:t>In terms of methodology, the majority of studies (20 out of 23) employed surveys with a quantitative approach, as shown in Figure 4.2. These surveys often included questions related to green product attributes, CSR, and consumer attitudes toward green marketing. A smaller subset utilized advanced statistical techniques such as SEM (Structural Equation Modeling) and PLS-SEM, which are commonly used to model complex relationships between green marketing variables and consumer behavior.</w:t>
      </w:r>
    </w:p>
    <w:p w:rsidR="00247196" w:rsidRPr="00224023" w:rsidRDefault="00247196" w:rsidP="00247196">
      <w:r w:rsidRPr="00224023">
        <w:t>Appendix A provides a detailed summary of each selected study, including the aims, methodologies, and key findings. The studies consistently highlight that green product features, CSR initiatives, and eco-friendly packaging significantly influence consumer purchase intentions, with some variation based on the target market and region.</w:t>
      </w:r>
    </w:p>
    <w:p w:rsidR="00247196" w:rsidRPr="00224023" w:rsidRDefault="00247196" w:rsidP="00247196">
      <w:pPr>
        <w:jc w:val="center"/>
      </w:pPr>
      <w:r>
        <w:rPr>
          <w:noProof/>
          <w:lang w:val="en-US" w:bidi="ar-SA"/>
        </w:rPr>
        <w:drawing>
          <wp:inline distT="0" distB="0" distL="0" distR="0">
            <wp:extent cx="4578350" cy="2773680"/>
            <wp:effectExtent l="0" t="0" r="0" b="7620"/>
            <wp:docPr id="1997010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8350" cy="2773680"/>
                    </a:xfrm>
                    <a:prstGeom prst="rect">
                      <a:avLst/>
                    </a:prstGeom>
                    <a:noFill/>
                  </pic:spPr>
                </pic:pic>
              </a:graphicData>
            </a:graphic>
          </wp:inline>
        </w:drawing>
      </w:r>
    </w:p>
    <w:p w:rsidR="00247196" w:rsidRPr="00C7158E" w:rsidRDefault="00247196" w:rsidP="00247196">
      <w:pPr>
        <w:pStyle w:val="ListParagraph"/>
        <w:rPr>
          <w:rFonts w:eastAsia="Calibri" w:cs="Times New Roman"/>
          <w:b/>
          <w:bCs/>
          <w:kern w:val="0"/>
          <w:sz w:val="20"/>
          <w:szCs w:val="20"/>
        </w:rPr>
      </w:pPr>
      <w:r w:rsidRPr="00C7158E">
        <w:rPr>
          <w:rFonts w:eastAsia="Calibri" w:cs="Times New Roman"/>
          <w:b/>
          <w:bCs/>
          <w:kern w:val="0"/>
          <w:sz w:val="20"/>
          <w:szCs w:val="20"/>
        </w:rPr>
        <w:t xml:space="preserve">FIGURE </w:t>
      </w:r>
      <w:r>
        <w:rPr>
          <w:rFonts w:eastAsia="Calibri" w:cs="Times New Roman"/>
          <w:b/>
          <w:bCs/>
          <w:kern w:val="0"/>
          <w:sz w:val="20"/>
          <w:szCs w:val="20"/>
        </w:rPr>
        <w:t>4</w:t>
      </w:r>
      <w:r w:rsidRPr="00C7158E">
        <w:rPr>
          <w:rFonts w:eastAsia="Calibri" w:cs="Times New Roman"/>
          <w:b/>
          <w:bCs/>
          <w:kern w:val="0"/>
          <w:sz w:val="20"/>
          <w:szCs w:val="20"/>
        </w:rPr>
        <w:t>.2: DISTRIBUTION OF STUDIES BASED ON METHODOLOGY</w:t>
      </w:r>
    </w:p>
    <w:p w:rsidR="00247196" w:rsidRDefault="00247196" w:rsidP="00247196">
      <w:r>
        <w:t xml:space="preserve">Based on the </w:t>
      </w:r>
      <w:r w:rsidRPr="001741E2">
        <w:t>synthesises</w:t>
      </w:r>
      <w:r>
        <w:t xml:space="preserve"> of the </w:t>
      </w:r>
      <w:r w:rsidRPr="001741E2">
        <w:t>23 selected studies</w:t>
      </w:r>
      <w:r>
        <w:t xml:space="preserve"> four major themes are found on </w:t>
      </w:r>
      <w:r w:rsidRPr="00DF0063">
        <w:t>how green marketing strategies affect consumer purchase intention and brand performance in the fast-moving consumer goods sector in Bangladesh</w:t>
      </w:r>
      <w:r>
        <w:t>. Table 4.1 present the major themes and relevant studies under each theme</w:t>
      </w:r>
      <w:r w:rsidRPr="001741E2">
        <w:t>.</w:t>
      </w:r>
    </w:p>
    <w:p w:rsidR="00247196" w:rsidRPr="004E6405" w:rsidRDefault="00247196" w:rsidP="00247196">
      <w:pPr>
        <w:spacing w:after="0"/>
        <w:jc w:val="center"/>
        <w:rPr>
          <w:sz w:val="20"/>
          <w:szCs w:val="22"/>
        </w:rPr>
      </w:pPr>
      <w:r w:rsidRPr="004E6405">
        <w:rPr>
          <w:b/>
          <w:bCs/>
          <w:sz w:val="20"/>
          <w:szCs w:val="22"/>
        </w:rPr>
        <w:t>TABLE 4.1: LIST OF MAJOR THEMES</w:t>
      </w:r>
    </w:p>
    <w:tbl>
      <w:tblPr>
        <w:tblStyle w:val="GridTable5Dark-Accent51"/>
        <w:tblW w:w="0" w:type="auto"/>
        <w:tblLook w:val="04A0"/>
      </w:tblPr>
      <w:tblGrid>
        <w:gridCol w:w="3169"/>
        <w:gridCol w:w="6073"/>
      </w:tblGrid>
      <w:tr w:rsidR="00247196" w:rsidRPr="004E6405" w:rsidTr="005A51CA">
        <w:trPr>
          <w:cnfStyle w:val="100000000000"/>
        </w:trPr>
        <w:tc>
          <w:tcPr>
            <w:cnfStyle w:val="001000000000"/>
            <w:tcW w:w="0" w:type="auto"/>
            <w:hideMark/>
          </w:tcPr>
          <w:p w:rsidR="00247196" w:rsidRPr="004E6405" w:rsidRDefault="00247196" w:rsidP="005A51CA">
            <w:pPr>
              <w:spacing w:line="240" w:lineRule="auto"/>
              <w:rPr>
                <w:sz w:val="20"/>
                <w:szCs w:val="22"/>
                <w:lang w:bidi="bn-BD"/>
              </w:rPr>
            </w:pPr>
            <w:r w:rsidRPr="004E6405">
              <w:rPr>
                <w:sz w:val="20"/>
                <w:szCs w:val="22"/>
                <w:lang w:bidi="bn-BD"/>
              </w:rPr>
              <w:t>Theme</w:t>
            </w:r>
          </w:p>
        </w:tc>
        <w:tc>
          <w:tcPr>
            <w:tcW w:w="0" w:type="auto"/>
            <w:hideMark/>
          </w:tcPr>
          <w:p w:rsidR="00247196" w:rsidRPr="004E6405" w:rsidRDefault="00247196" w:rsidP="005A51CA">
            <w:pPr>
              <w:spacing w:line="240" w:lineRule="auto"/>
              <w:cnfStyle w:val="100000000000"/>
              <w:rPr>
                <w:sz w:val="20"/>
                <w:szCs w:val="22"/>
                <w:lang w:bidi="bn-BD"/>
              </w:rPr>
            </w:pPr>
            <w:r w:rsidRPr="004E6405">
              <w:rPr>
                <w:sz w:val="20"/>
                <w:szCs w:val="22"/>
                <w:lang w:bidi="bn-BD"/>
              </w:rPr>
              <w:t>Relevant Studies (Author and Year)</w:t>
            </w:r>
          </w:p>
        </w:tc>
      </w:tr>
      <w:tr w:rsidR="00247196" w:rsidRPr="004E6405" w:rsidTr="005A51CA">
        <w:trPr>
          <w:cnfStyle w:val="000000100000"/>
        </w:trPr>
        <w:tc>
          <w:tcPr>
            <w:cnfStyle w:val="001000000000"/>
            <w:tcW w:w="0" w:type="auto"/>
            <w:hideMark/>
          </w:tcPr>
          <w:p w:rsidR="00247196" w:rsidRPr="004E6405" w:rsidRDefault="00247196" w:rsidP="005A51CA">
            <w:pPr>
              <w:spacing w:line="240" w:lineRule="auto"/>
              <w:rPr>
                <w:sz w:val="20"/>
                <w:szCs w:val="22"/>
                <w:lang w:bidi="bn-BD"/>
              </w:rPr>
            </w:pPr>
            <w:r w:rsidRPr="004E6405">
              <w:rPr>
                <w:sz w:val="20"/>
                <w:szCs w:val="22"/>
                <w:lang w:bidi="bn-BD"/>
              </w:rPr>
              <w:t>Theme 1: Product, packaging, price and access cues shaping purchase intention</w:t>
            </w:r>
          </w:p>
        </w:tc>
        <w:tc>
          <w:tcPr>
            <w:tcW w:w="0" w:type="auto"/>
            <w:hideMark/>
          </w:tcPr>
          <w:p w:rsidR="00247196" w:rsidRPr="004E6405" w:rsidRDefault="00247196" w:rsidP="005A51CA">
            <w:pPr>
              <w:spacing w:line="240" w:lineRule="auto"/>
              <w:cnfStyle w:val="000000100000"/>
              <w:rPr>
                <w:sz w:val="20"/>
                <w:szCs w:val="22"/>
                <w:lang w:bidi="bn-BD"/>
              </w:rPr>
            </w:pPr>
            <w:r w:rsidRPr="004E6405">
              <w:rPr>
                <w:sz w:val="20"/>
                <w:szCs w:val="22"/>
                <w:lang w:bidi="bn-BD"/>
              </w:rPr>
              <w:t>Brahma and Debnath (2025); Ahmed et al. (2024); Basu et al. (2025); Sajini and Swarupa (2025); Chowdhury and Alamgir (2021); Reddy et al. (2023); Tahir (2021); Tamim and Akter (2024); Rahman et al. (2020); Mathew and Jose (2022)</w:t>
            </w:r>
          </w:p>
        </w:tc>
      </w:tr>
      <w:tr w:rsidR="00247196" w:rsidRPr="004E6405" w:rsidTr="005A51CA">
        <w:tc>
          <w:tcPr>
            <w:cnfStyle w:val="001000000000"/>
            <w:tcW w:w="0" w:type="auto"/>
            <w:hideMark/>
          </w:tcPr>
          <w:p w:rsidR="00247196" w:rsidRPr="004E6405" w:rsidRDefault="00247196" w:rsidP="005A51CA">
            <w:pPr>
              <w:spacing w:line="240" w:lineRule="auto"/>
              <w:rPr>
                <w:sz w:val="20"/>
                <w:szCs w:val="22"/>
                <w:lang w:bidi="bn-BD"/>
              </w:rPr>
            </w:pPr>
            <w:r w:rsidRPr="004E6405">
              <w:rPr>
                <w:sz w:val="20"/>
                <w:szCs w:val="22"/>
                <w:lang w:bidi="bn-BD"/>
              </w:rPr>
              <w:lastRenderedPageBreak/>
              <w:t>Theme 2: Communication tools, eco-labels and CSR building credibility and attitudes</w:t>
            </w:r>
          </w:p>
        </w:tc>
        <w:tc>
          <w:tcPr>
            <w:tcW w:w="0" w:type="auto"/>
            <w:hideMark/>
          </w:tcPr>
          <w:p w:rsidR="00247196" w:rsidRPr="004E6405" w:rsidRDefault="00247196" w:rsidP="005A51CA">
            <w:pPr>
              <w:spacing w:line="240" w:lineRule="auto"/>
              <w:cnfStyle w:val="000000000000"/>
              <w:rPr>
                <w:sz w:val="20"/>
                <w:szCs w:val="22"/>
                <w:lang w:bidi="bn-BD"/>
              </w:rPr>
            </w:pPr>
            <w:r w:rsidRPr="004E6405">
              <w:rPr>
                <w:sz w:val="20"/>
                <w:szCs w:val="22"/>
                <w:lang w:bidi="bn-BD"/>
              </w:rPr>
              <w:t>Khatun et al. (2025); Nekmahmud and Fekete-Farkas (2020); Reddy et al. (2023); Basu et al. (2025); Aslam et al. (2020); Cai et al. (2025); Fahmida et al. (2020); Tahir (2021); Van Hoang et al. (2025); Quang (2022)</w:t>
            </w:r>
          </w:p>
        </w:tc>
      </w:tr>
      <w:tr w:rsidR="00247196" w:rsidRPr="004E6405" w:rsidTr="005A51CA">
        <w:trPr>
          <w:cnfStyle w:val="000000100000"/>
        </w:trPr>
        <w:tc>
          <w:tcPr>
            <w:cnfStyle w:val="001000000000"/>
            <w:tcW w:w="0" w:type="auto"/>
            <w:hideMark/>
          </w:tcPr>
          <w:p w:rsidR="00247196" w:rsidRPr="004E6405" w:rsidRDefault="00247196" w:rsidP="005A51CA">
            <w:pPr>
              <w:spacing w:line="240" w:lineRule="auto"/>
              <w:rPr>
                <w:sz w:val="20"/>
                <w:szCs w:val="22"/>
                <w:lang w:bidi="bn-BD"/>
              </w:rPr>
            </w:pPr>
            <w:r w:rsidRPr="004E6405">
              <w:rPr>
                <w:sz w:val="20"/>
                <w:szCs w:val="22"/>
                <w:lang w:bidi="bn-BD"/>
              </w:rPr>
              <w:t>Theme 3: Branding and long-term brand performance pathways</w:t>
            </w:r>
          </w:p>
        </w:tc>
        <w:tc>
          <w:tcPr>
            <w:tcW w:w="0" w:type="auto"/>
            <w:hideMark/>
          </w:tcPr>
          <w:p w:rsidR="00247196" w:rsidRPr="004E6405" w:rsidRDefault="00247196" w:rsidP="005A51CA">
            <w:pPr>
              <w:spacing w:line="240" w:lineRule="auto"/>
              <w:cnfStyle w:val="000000100000"/>
              <w:rPr>
                <w:sz w:val="20"/>
                <w:szCs w:val="22"/>
                <w:lang w:bidi="bn-BD"/>
              </w:rPr>
            </w:pPr>
            <w:r w:rsidRPr="004E6405">
              <w:rPr>
                <w:sz w:val="20"/>
                <w:szCs w:val="22"/>
                <w:lang w:bidi="bn-BD"/>
              </w:rPr>
              <w:t>Thakur et al. (2025); Ahmed et al. (2024); Tahir (2021); Van Hoang et al. (2025); Gani (2017); Mathew and Jose (2022); Hue (2024); Tshuma et al. (2023); Cai et al. (2025)</w:t>
            </w:r>
          </w:p>
        </w:tc>
      </w:tr>
      <w:tr w:rsidR="00247196" w:rsidRPr="004E6405" w:rsidTr="005A51CA">
        <w:tc>
          <w:tcPr>
            <w:cnfStyle w:val="001000000000"/>
            <w:tcW w:w="0" w:type="auto"/>
            <w:hideMark/>
          </w:tcPr>
          <w:p w:rsidR="00247196" w:rsidRPr="004E6405" w:rsidRDefault="00247196" w:rsidP="005A51CA">
            <w:pPr>
              <w:spacing w:line="240" w:lineRule="auto"/>
              <w:rPr>
                <w:sz w:val="20"/>
                <w:szCs w:val="22"/>
                <w:lang w:bidi="bn-BD"/>
              </w:rPr>
            </w:pPr>
            <w:r w:rsidRPr="004E6405">
              <w:rPr>
                <w:sz w:val="20"/>
                <w:szCs w:val="22"/>
                <w:lang w:bidi="bn-BD"/>
              </w:rPr>
              <w:t>Theme 4: Emerging-market realities: why intention strengthens or fails to convert</w:t>
            </w:r>
          </w:p>
        </w:tc>
        <w:tc>
          <w:tcPr>
            <w:tcW w:w="0" w:type="auto"/>
            <w:hideMark/>
          </w:tcPr>
          <w:p w:rsidR="00247196" w:rsidRPr="004E6405" w:rsidRDefault="00247196" w:rsidP="005A51CA">
            <w:pPr>
              <w:spacing w:line="240" w:lineRule="auto"/>
              <w:cnfStyle w:val="000000000000"/>
              <w:rPr>
                <w:sz w:val="20"/>
                <w:szCs w:val="22"/>
                <w:lang w:bidi="bn-BD"/>
              </w:rPr>
            </w:pPr>
            <w:r w:rsidRPr="004E6405">
              <w:rPr>
                <w:sz w:val="20"/>
                <w:szCs w:val="22"/>
                <w:lang w:bidi="bn-BD"/>
              </w:rPr>
              <w:t>Fahmida et al. (2020); Hasan et al. (2024); Tamim and Akter (2024); Rahman et al. (2020); Chowdhury and Alamgir (2021); Gani (2017); Van Hoang et al. (2025); Tshuma et al. (2023); Quang (2022)</w:t>
            </w:r>
          </w:p>
        </w:tc>
      </w:tr>
    </w:tbl>
    <w:p w:rsidR="00247196" w:rsidRDefault="00247196" w:rsidP="00247196">
      <w:pPr>
        <w:pStyle w:val="Heading2"/>
      </w:pPr>
      <w:bookmarkStart w:id="51" w:name="_Toc220155775"/>
      <w:r w:rsidRPr="001741E2">
        <w:t xml:space="preserve">4.2 </w:t>
      </w:r>
      <w:r>
        <w:t xml:space="preserve">THEME 1: </w:t>
      </w:r>
      <w:r w:rsidRPr="001741E2">
        <w:t>PRODUCT, PACKAGING, PRICE AND ACCESS CUES SHAPING PURCHASE INTENTION</w:t>
      </w:r>
      <w:bookmarkEnd w:id="51"/>
    </w:p>
    <w:p w:rsidR="00247196" w:rsidRDefault="00247196" w:rsidP="00247196">
      <w:r>
        <w:t xml:space="preserve">Based on the selected studies there are four major sub-themes found under the theme one those are presented in the table 4.2. </w:t>
      </w:r>
    </w:p>
    <w:p w:rsidR="00247196" w:rsidRPr="005B786B" w:rsidRDefault="00247196" w:rsidP="00247196">
      <w:pPr>
        <w:spacing w:after="0" w:line="240" w:lineRule="auto"/>
        <w:jc w:val="center"/>
        <w:rPr>
          <w:b/>
          <w:bCs/>
          <w:sz w:val="20"/>
          <w:szCs w:val="22"/>
        </w:rPr>
      </w:pPr>
      <w:r w:rsidRPr="005B786B">
        <w:rPr>
          <w:b/>
          <w:bCs/>
          <w:sz w:val="20"/>
          <w:szCs w:val="22"/>
        </w:rPr>
        <w:t xml:space="preserve">TABLE 4.2: </w:t>
      </w:r>
      <w:r>
        <w:rPr>
          <w:b/>
          <w:bCs/>
          <w:sz w:val="20"/>
          <w:szCs w:val="22"/>
        </w:rPr>
        <w:t>SUB-THEMES UNDER THEME ONE</w:t>
      </w:r>
    </w:p>
    <w:tbl>
      <w:tblPr>
        <w:tblStyle w:val="GridTable5Dark-Accent51"/>
        <w:tblW w:w="0" w:type="auto"/>
        <w:tblLook w:val="04A0"/>
      </w:tblPr>
      <w:tblGrid>
        <w:gridCol w:w="1413"/>
        <w:gridCol w:w="5583"/>
        <w:gridCol w:w="2246"/>
      </w:tblGrid>
      <w:tr w:rsidR="00247196" w:rsidRPr="005B786B" w:rsidTr="005A51CA">
        <w:trPr>
          <w:cnfStyle w:val="100000000000"/>
        </w:trPr>
        <w:tc>
          <w:tcPr>
            <w:cnfStyle w:val="001000000000"/>
            <w:tcW w:w="1413" w:type="dxa"/>
            <w:hideMark/>
          </w:tcPr>
          <w:p w:rsidR="00247196" w:rsidRPr="005B786B" w:rsidRDefault="00247196" w:rsidP="005A51CA">
            <w:pPr>
              <w:spacing w:line="240" w:lineRule="auto"/>
              <w:jc w:val="center"/>
              <w:rPr>
                <w:rFonts w:cs="Times New Roman"/>
                <w:b w:val="0"/>
                <w:bCs w:val="0"/>
                <w:sz w:val="20"/>
                <w:szCs w:val="20"/>
                <w:lang w:bidi="bn-BD"/>
              </w:rPr>
            </w:pPr>
            <w:r w:rsidRPr="005B786B">
              <w:rPr>
                <w:rFonts w:cs="Times New Roman"/>
                <w:b w:val="0"/>
                <w:bCs w:val="0"/>
                <w:sz w:val="20"/>
                <w:szCs w:val="20"/>
                <w:lang w:bidi="bn-BD"/>
              </w:rPr>
              <w:t>Sub-theme</w:t>
            </w:r>
          </w:p>
        </w:tc>
        <w:tc>
          <w:tcPr>
            <w:tcW w:w="5583" w:type="dxa"/>
            <w:hideMark/>
          </w:tcPr>
          <w:p w:rsidR="00247196" w:rsidRPr="005B786B" w:rsidRDefault="00247196" w:rsidP="005A51CA">
            <w:pPr>
              <w:spacing w:line="240" w:lineRule="auto"/>
              <w:jc w:val="center"/>
              <w:cnfStyle w:val="100000000000"/>
              <w:rPr>
                <w:rFonts w:cs="Times New Roman"/>
                <w:b w:val="0"/>
                <w:bCs w:val="0"/>
                <w:sz w:val="20"/>
                <w:szCs w:val="20"/>
                <w:lang w:bidi="bn-BD"/>
              </w:rPr>
            </w:pPr>
            <w:r w:rsidRPr="005B786B">
              <w:rPr>
                <w:rFonts w:cs="Times New Roman"/>
                <w:b w:val="0"/>
                <w:bCs w:val="0"/>
                <w:sz w:val="20"/>
                <w:szCs w:val="20"/>
                <w:lang w:bidi="bn-BD"/>
              </w:rPr>
              <w:t>Statements</w:t>
            </w:r>
          </w:p>
        </w:tc>
        <w:tc>
          <w:tcPr>
            <w:tcW w:w="0" w:type="auto"/>
            <w:hideMark/>
          </w:tcPr>
          <w:p w:rsidR="00247196" w:rsidRPr="005B786B" w:rsidRDefault="00247196" w:rsidP="005A51CA">
            <w:pPr>
              <w:spacing w:line="240" w:lineRule="auto"/>
              <w:jc w:val="center"/>
              <w:cnfStyle w:val="100000000000"/>
              <w:rPr>
                <w:rFonts w:cs="Times New Roman"/>
                <w:b w:val="0"/>
                <w:bCs w:val="0"/>
                <w:sz w:val="20"/>
                <w:szCs w:val="20"/>
                <w:lang w:bidi="bn-BD"/>
              </w:rPr>
            </w:pPr>
            <w:r w:rsidRPr="005B786B">
              <w:rPr>
                <w:rFonts w:cs="Times New Roman"/>
                <w:b w:val="0"/>
                <w:bCs w:val="0"/>
                <w:sz w:val="20"/>
                <w:szCs w:val="20"/>
                <w:lang w:bidi="bn-BD"/>
              </w:rPr>
              <w:t>In-text citations</w:t>
            </w:r>
          </w:p>
        </w:tc>
      </w:tr>
      <w:tr w:rsidR="00247196" w:rsidRPr="005B786B" w:rsidTr="005A51CA">
        <w:trPr>
          <w:cnfStyle w:val="000000100000"/>
        </w:trPr>
        <w:tc>
          <w:tcPr>
            <w:cnfStyle w:val="001000000000"/>
            <w:tcW w:w="1413" w:type="dxa"/>
            <w:vMerge w:val="restart"/>
            <w:hideMark/>
          </w:tcPr>
          <w:p w:rsidR="00247196" w:rsidRPr="005B786B" w:rsidRDefault="00247196" w:rsidP="005A51CA">
            <w:pPr>
              <w:spacing w:line="240" w:lineRule="auto"/>
              <w:rPr>
                <w:rFonts w:cs="Times New Roman"/>
                <w:b w:val="0"/>
                <w:bCs w:val="0"/>
                <w:sz w:val="20"/>
                <w:szCs w:val="20"/>
                <w:lang w:bidi="bn-BD"/>
              </w:rPr>
            </w:pPr>
            <w:r w:rsidRPr="005B786B">
              <w:rPr>
                <w:rFonts w:cs="Times New Roman"/>
                <w:b w:val="0"/>
                <w:bCs w:val="0"/>
                <w:sz w:val="20"/>
                <w:szCs w:val="20"/>
                <w:lang w:bidi="bn-BD"/>
              </w:rPr>
              <w:t>4.2.1.1 Product Attributes and Packaging Cues as Fast “Green” Signals</w:t>
            </w:r>
          </w:p>
        </w:tc>
        <w:tc>
          <w:tcPr>
            <w:tcW w:w="5583"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Green packaging, when visible and credible, acts as an immediate signal for eco-friendly products, especially in low-involvement categories where consumers make quick decisions.</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Hasan et al. (2024); Ahmed et al. (2024); Brahma &amp; Debnath (2025)</w:t>
            </w:r>
          </w:p>
        </w:tc>
      </w:tr>
      <w:tr w:rsidR="00247196" w:rsidRPr="005B786B" w:rsidTr="005A51CA">
        <w:trPr>
          <w:trHeight w:val="763"/>
        </w:trPr>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tcBorders>
              <w:bottom w:val="single" w:sz="4" w:space="0" w:color="FFFFFF" w:themeColor="background1"/>
            </w:tcBorders>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Green packaging increases purchase intention when consumers have environmental concern, knowledge about packaging, and trust in the claim.</w:t>
            </w:r>
          </w:p>
        </w:tc>
        <w:tc>
          <w:tcPr>
            <w:tcW w:w="0" w:type="auto"/>
            <w:tcBorders>
              <w:bottom w:val="single" w:sz="4" w:space="0" w:color="FFFFFF" w:themeColor="background1"/>
            </w:tcBorders>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Hasan et al. (2024)</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In India, green product experience (repeated exposure) supports purchase intention, showing that familiarity with green claims builds consumer confidence.</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Brahma &amp; Debnath (2025)</w:t>
            </w:r>
          </w:p>
        </w:tc>
      </w:tr>
      <w:tr w:rsidR="00247196" w:rsidRPr="005B786B" w:rsidTr="005A51CA">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In Kerala, health consciousness significantly supports green purchase intention, while environmental concern is not always significant, showing that “personal benefit” framing can be more influential than ecological framing.</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Sajini &amp; Swarupa (2025)</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Green cues in packaging and product are effective in generating attention but need reinforcement through trust and experience to stabilize intention.</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Brahma &amp; Debnath (2025); Hasan et al. (2024)</w:t>
            </w:r>
          </w:p>
        </w:tc>
      </w:tr>
      <w:tr w:rsidR="00247196" w:rsidRPr="005B786B" w:rsidTr="005A51CA">
        <w:tc>
          <w:tcPr>
            <w:cnfStyle w:val="001000000000"/>
            <w:tcW w:w="1413" w:type="dxa"/>
            <w:vMerge w:val="restart"/>
            <w:hideMark/>
          </w:tcPr>
          <w:p w:rsidR="00247196" w:rsidRPr="005B786B" w:rsidRDefault="00247196" w:rsidP="005A51CA">
            <w:pPr>
              <w:spacing w:line="240" w:lineRule="auto"/>
              <w:rPr>
                <w:rFonts w:cs="Times New Roman"/>
                <w:b w:val="0"/>
                <w:bCs w:val="0"/>
                <w:sz w:val="20"/>
                <w:szCs w:val="20"/>
                <w:lang w:bidi="bn-BD"/>
              </w:rPr>
            </w:pPr>
            <w:r w:rsidRPr="005B786B">
              <w:rPr>
                <w:rFonts w:cs="Times New Roman"/>
                <w:b w:val="0"/>
                <w:bCs w:val="0"/>
                <w:sz w:val="20"/>
                <w:szCs w:val="20"/>
                <w:lang w:bidi="bn-BD"/>
              </w:rPr>
              <w:t>4.2.1.2 Price Fairness and Perceived Value Determine Whether Cues Become Intention</w:t>
            </w:r>
          </w:p>
        </w:tc>
        <w:tc>
          <w:tcPr>
            <w:tcW w:w="5583"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Price is a significant constraint for green-packaged goods in Bangladesh, even when other green drivers are favorable.</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Hasan et al. (2024)</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Green price is not always negative if consumers perceive the premium as fair, based on perceived value or a coherent value proposition.</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Tahir (2021); Tamim &amp; Akter (2024)</w:t>
            </w:r>
          </w:p>
        </w:tc>
      </w:tr>
      <w:tr w:rsidR="00247196" w:rsidRPr="005B786B" w:rsidTr="005A51CA">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Green perceived value and green brand image strongly predict purchase intention in Pakistan, suggesting that when green products are seen as offering value, they gain support.</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Tahir (2021)</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Young consumers in Bangladesh show a positive relationship between green price, green perceived value, and green purchase intention, especially when the premium is justified.</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Tamim &amp; Akter (2024)</w:t>
            </w:r>
          </w:p>
        </w:tc>
      </w:tr>
      <w:tr w:rsidR="00247196" w:rsidRPr="005B786B" w:rsidTr="005A51CA">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Moral obligation may not consistently drive intention, while perceived value and price fairness are central to green purchase intention in emerging markets.</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Chowdhury &amp; Alamgir (2021)</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Price sensitivity and perceived “eco-cost” can discourage uptake, especially in price-conscious markets like India.</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Reddy et al. (2023)</w:t>
            </w:r>
          </w:p>
        </w:tc>
      </w:tr>
      <w:tr w:rsidR="00247196" w:rsidRPr="005B786B" w:rsidTr="005A51CA">
        <w:tc>
          <w:tcPr>
            <w:cnfStyle w:val="001000000000"/>
            <w:tcW w:w="1413" w:type="dxa"/>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Product packaging and claims can trigger positive evaluations, but without fair pricing or perceived value, CPI weakens, especially in price-sensitive markets.</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Hasan et al. (2024); Reddy et al. (2023)</w:t>
            </w:r>
          </w:p>
        </w:tc>
      </w:tr>
      <w:tr w:rsidR="00247196" w:rsidRPr="005B786B" w:rsidTr="005A51CA">
        <w:trPr>
          <w:cnfStyle w:val="000000100000"/>
        </w:trPr>
        <w:tc>
          <w:tcPr>
            <w:cnfStyle w:val="001000000000"/>
            <w:tcW w:w="1413" w:type="dxa"/>
            <w:vMerge w:val="restart"/>
            <w:hideMark/>
          </w:tcPr>
          <w:p w:rsidR="00247196" w:rsidRPr="005B786B" w:rsidRDefault="00247196" w:rsidP="005A51CA">
            <w:pPr>
              <w:spacing w:line="240" w:lineRule="auto"/>
              <w:rPr>
                <w:rFonts w:cs="Times New Roman"/>
                <w:b w:val="0"/>
                <w:bCs w:val="0"/>
                <w:sz w:val="20"/>
                <w:szCs w:val="20"/>
                <w:lang w:bidi="bn-BD"/>
              </w:rPr>
            </w:pPr>
            <w:r w:rsidRPr="005B786B">
              <w:rPr>
                <w:rFonts w:cs="Times New Roman"/>
                <w:b w:val="0"/>
                <w:bCs w:val="0"/>
                <w:sz w:val="20"/>
                <w:szCs w:val="20"/>
                <w:lang w:bidi="bn-BD"/>
              </w:rPr>
              <w:t xml:space="preserve">4.2.1.3 Availability, </w:t>
            </w:r>
            <w:r w:rsidRPr="005B786B">
              <w:rPr>
                <w:rFonts w:cs="Times New Roman"/>
                <w:b w:val="0"/>
                <w:bCs w:val="0"/>
                <w:sz w:val="20"/>
                <w:szCs w:val="20"/>
                <w:lang w:bidi="bn-BD"/>
              </w:rPr>
              <w:lastRenderedPageBreak/>
              <w:t>Access and Convenience Shape Feasibility in Daily FMCG Purchasing</w:t>
            </w:r>
          </w:p>
        </w:tc>
        <w:tc>
          <w:tcPr>
            <w:tcW w:w="5583"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lastRenderedPageBreak/>
              <w:t xml:space="preserve">Availability is crucial in converting green purchase intention into actual purchase, as seen in Bangladesh, where green-packaged </w:t>
            </w:r>
            <w:r w:rsidRPr="005B786B">
              <w:rPr>
                <w:rFonts w:cs="Times New Roman"/>
                <w:sz w:val="20"/>
                <w:szCs w:val="20"/>
                <w:lang w:bidi="bn-BD"/>
              </w:rPr>
              <w:lastRenderedPageBreak/>
              <w:t>products attract higher intention when easily accessible.</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lastRenderedPageBreak/>
              <w:t>Hasan et al. (2024)</w:t>
            </w:r>
          </w:p>
        </w:tc>
      </w:tr>
      <w:tr w:rsidR="00247196" w:rsidRPr="005B786B" w:rsidTr="005A51CA">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Green place (distribution and availability) positively influences purchase intention, highlighting the importance of convenience in FMCG.</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Tamim &amp; Akter (2024)</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The ease of access to green products, particularly in daily FMCG purchases, is a major facilitator for intention realization.</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Hasan et al. (2024)</w:t>
            </w:r>
          </w:p>
        </w:tc>
      </w:tr>
      <w:tr w:rsidR="00247196" w:rsidRPr="005B786B" w:rsidTr="005A51CA">
        <w:tc>
          <w:tcPr>
            <w:cnfStyle w:val="001000000000"/>
            <w:tcW w:w="1413" w:type="dxa"/>
            <w:vMerge/>
            <w:hideMark/>
          </w:tcPr>
          <w:p w:rsidR="00247196" w:rsidRPr="005B786B" w:rsidRDefault="00247196" w:rsidP="005A51CA">
            <w:pPr>
              <w:spacing w:line="240" w:lineRule="auto"/>
              <w:rPr>
                <w:rFonts w:cs="Times New Roman"/>
                <w:b w:val="0"/>
                <w:bCs w:val="0"/>
                <w:sz w:val="20"/>
                <w:szCs w:val="20"/>
                <w:lang w:bidi="bn-BD"/>
              </w:rPr>
            </w:pPr>
          </w:p>
        </w:tc>
        <w:tc>
          <w:tcPr>
            <w:tcW w:w="5583"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Access is essential for purchase intention, but longer-term brand performance relies more on trust, satisfaction, and brand-building rather than just availability.</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Mathew &amp; Jose (2022)</w:t>
            </w:r>
          </w:p>
        </w:tc>
      </w:tr>
    </w:tbl>
    <w:p w:rsidR="00247196" w:rsidRPr="001741E2" w:rsidRDefault="00247196" w:rsidP="00247196">
      <w:pPr>
        <w:pStyle w:val="Heading3"/>
      </w:pPr>
      <w:bookmarkStart w:id="52" w:name="_Toc220155776"/>
      <w:r w:rsidRPr="001741E2">
        <w:t>4.2.1 PRODUCT ATTRIBUTES AND PACKAGING CUES AS FAST “GREEN” SIGNALS</w:t>
      </w:r>
      <w:bookmarkEnd w:id="52"/>
    </w:p>
    <w:p w:rsidR="00247196" w:rsidRPr="001741E2" w:rsidRDefault="00247196" w:rsidP="00247196">
      <w:r w:rsidRPr="001741E2">
        <w:t>A strong pattern across FMCG studies is that consumers often judge “greenness” using cues that are immediate and easy to process, especially in low-involvement categories where decisions are fast and habitual. Green packaging stands out because it is a highly visible on-shelf signal. Evidence from Bangladesh indicates that green-packaged convenience goods attract stronger intention when consumers have environmental concern, knowledge about green packaging, and trust in the packaging claim, and when products are available in the market (Hasan et al., 2024). This finding matters for CPI because it frames packaging as a shortcut that reduces uncertainty at the point of purchase, but only if credibility and availability are present.</w:t>
      </w:r>
    </w:p>
    <w:p w:rsidR="00247196" w:rsidRPr="001741E2" w:rsidRDefault="00247196" w:rsidP="00247196">
      <w:r w:rsidRPr="001741E2">
        <w:t>Related work suggests these cues operate as part of a broader belief structure rather than in isolation. In FMCG, green branding and green packaging are shown to strengthen green purchase intention through consumer belief-related factors, including perceived value and brand image (Ahmed et al., 2024). Evidence from India also indicates that prior green product experience supports intention, implying that repeated exposure can help consumers feel more confident about green claims over time (Brahma and Debnath, 2025). However, not all “pro-environmental” dispositions translate cleanly into intention. In Kerala’s FMCG context, health consciousness and awareness significantly support green purchase intention, while environmental consciousness is not necessarily significant (Sajini and Swarupa, 2025). This inconsistency is important because it warns against assuming environmental concern is always the primary driver. In some segments, “personal benefit” framing (health and safety) may be more influential than purely ecological framing.</w:t>
      </w:r>
    </w:p>
    <w:p w:rsidR="00247196" w:rsidRPr="001741E2" w:rsidRDefault="00247196" w:rsidP="00247196">
      <w:r w:rsidRPr="001741E2">
        <w:t>A practical implication emerges from combining these findings. Product and packaging cues can initiate interest, but they need either (a) a credible informational basis that consumers accept (trust and knowledge), or (b) reinforcement through experience and satisfaction that reduces perceived risk (Brahma and Debnath, 2025; Hasan et al., 2024). Without that reinforcement, visible “green” cues may generate attention without stable intention.</w:t>
      </w:r>
    </w:p>
    <w:p w:rsidR="00247196" w:rsidRPr="001741E2" w:rsidRDefault="00247196" w:rsidP="00247196">
      <w:pPr>
        <w:pStyle w:val="Heading3"/>
      </w:pPr>
      <w:bookmarkStart w:id="53" w:name="_Toc220155777"/>
      <w:r w:rsidRPr="001741E2">
        <w:lastRenderedPageBreak/>
        <w:t>4.2.2 PRICE FAIRNESS AND PERCEIVED VALUE DETERMINE WHETHER CUES BECOME INTENTION</w:t>
      </w:r>
      <w:bookmarkEnd w:id="53"/>
    </w:p>
    <w:p w:rsidR="00247196" w:rsidRPr="001741E2" w:rsidRDefault="00247196" w:rsidP="00247196">
      <w:r w:rsidRPr="001741E2">
        <w:t>The literature consistently shows that price and perceived value decide whether initial interest turns into CPI. In Bangladesh, higher price functions as a constraint for green-packaged goods even when other drivers are favourable (Hasan et al., 2024). This fits a wider emerging-market finding that affordability often becomes the first barrier in green purchases, even when awareness exists (Fahmida et al., 2020).</w:t>
      </w:r>
    </w:p>
    <w:p w:rsidR="00247196" w:rsidRPr="001741E2" w:rsidRDefault="00247196" w:rsidP="00247196">
      <w:r w:rsidRPr="001741E2">
        <w:t>At the same time, the “green price effect” is not uniformly negative. Several studies indicate that price can support intention when consumers see the offer as fair and worth the premium. In Pakistan, green perceived value is a strong predictor of purchase intention, alongside green brand image and social responsibility (Tahir, 2021). In Bangladesh, evidence focusing on young consumers suggests that green marketing mix components, including green price and green perceived value, are positively related to green purchase intention, implying that pricing works when it is justified within a coherent value proposition rather than treated as a simple premium (Tamim and Akter, 2024). Youth-focused evidence also shows willingness to pay can be a significant driver of green intention, while moral obligation may not consistently explain intention in the same way (Chowdhury and Alamgir, 2021). This combination suggests a realistic emerging-market logic: consumers may support green consumption, but they still require either affordability or a persuasive value-for-money case.</w:t>
      </w:r>
    </w:p>
    <w:p w:rsidR="00247196" w:rsidRPr="001741E2" w:rsidRDefault="00247196" w:rsidP="00247196">
      <w:r w:rsidRPr="001741E2">
        <w:t>Evidence from India reinforces this constraint-based reality. Consumers are often described as price conscious, and the perceived “eco-cost” of green products can discourage uptake (Reddy et al., 2023). Taken together, the studies indicate a conversion rule: packaging and product claims can trigger positive evaluation, but unless pricing is perceived as fair (or supported by perceived value), CPI weakens, especially in markets where purchasing power and price sensitivity are strong (Hasan et al., 2024; Reddy et al., 2023).</w:t>
      </w:r>
    </w:p>
    <w:p w:rsidR="00247196" w:rsidRPr="001741E2" w:rsidRDefault="00247196" w:rsidP="00247196">
      <w:pPr>
        <w:pStyle w:val="Heading3"/>
        <w:rPr>
          <w:b/>
        </w:rPr>
      </w:pPr>
      <w:bookmarkStart w:id="54" w:name="_Toc220155778"/>
      <w:r w:rsidRPr="001741E2">
        <w:t>4.2.3 AVAILABILITY, ACCESS AND CONVENIENCE SHAPE FEASIBILITY IN DAILY FMCG PURCHASING</w:t>
      </w:r>
      <w:bookmarkEnd w:id="54"/>
    </w:p>
    <w:p w:rsidR="00247196" w:rsidRPr="001741E2" w:rsidRDefault="00247196" w:rsidP="00247196">
      <w:r w:rsidRPr="001741E2">
        <w:t xml:space="preserve">A third repeated theme is that access acts like a gatekeeper. Even motivated consumers struggle to convert intention into purchase if green products are not visible, stocked, or convenient. Bangladesh evidence explicitly reports availability as a positive driver of intention for green-packaged convenience goods (Hasan et al., 2024). Similarly, in the Bangladesh youth marketing mix study, “green place” relates positively to purchase intention, </w:t>
      </w:r>
      <w:r w:rsidRPr="001741E2">
        <w:lastRenderedPageBreak/>
        <w:t>suggesting distribution and accessibility matter for CPI (Tamim and Akter, 2024). This reflects a basic FMCG reality: consumers often buy what is easiest to obtain under time and effort constraints.</w:t>
      </w:r>
    </w:p>
    <w:p w:rsidR="00247196" w:rsidRPr="001741E2" w:rsidRDefault="00247196" w:rsidP="00247196">
      <w:r w:rsidRPr="001741E2">
        <w:t>However, the studies also suggest that “place” may matter differently for immediate intention versus longer-term brand outcomes. For example, research linking green marketing mix to brand equity indicates that green place may be weaker or context-dependent compared to product, price, and promotion when explaining equity outcomes (Mathew and Jose, 2022). This distinction is useful analytically: availability supports purchase feasibility now, but sustained brand advantage depends more on trust, satisfaction, and brand-building mechanisms that persist beyond the transaction.</w:t>
      </w:r>
    </w:p>
    <w:p w:rsidR="00247196" w:rsidRDefault="00247196" w:rsidP="00247196">
      <w:pPr>
        <w:pStyle w:val="Heading2"/>
      </w:pPr>
      <w:bookmarkStart w:id="55" w:name="_Toc220155779"/>
      <w:r w:rsidRPr="001741E2">
        <w:t>4.</w:t>
      </w:r>
      <w:r>
        <w:t xml:space="preserve">3 </w:t>
      </w:r>
      <w:r w:rsidRPr="001741E2">
        <w:t>COMMUNICATION TOOLS, ECO-LABELS AND CSR AS CREDIBILITY AND ATTITUDE BUILDERS</w:t>
      </w:r>
      <w:bookmarkEnd w:id="55"/>
    </w:p>
    <w:p w:rsidR="00247196" w:rsidRDefault="00247196" w:rsidP="00247196">
      <w:r>
        <w:t xml:space="preserve">Based on the selected studies there are four major sub-themes found under the theme two those are presented in the table 4.3. </w:t>
      </w:r>
    </w:p>
    <w:p w:rsidR="00247196" w:rsidRPr="005B786B" w:rsidRDefault="00247196" w:rsidP="00247196">
      <w:pPr>
        <w:spacing w:after="0" w:line="240" w:lineRule="auto"/>
        <w:jc w:val="center"/>
        <w:rPr>
          <w:b/>
          <w:bCs/>
          <w:sz w:val="20"/>
          <w:szCs w:val="22"/>
        </w:rPr>
      </w:pPr>
      <w:r w:rsidRPr="005B786B">
        <w:rPr>
          <w:b/>
          <w:bCs/>
          <w:sz w:val="20"/>
          <w:szCs w:val="22"/>
        </w:rPr>
        <w:t>TABLE 4.</w:t>
      </w:r>
      <w:r>
        <w:rPr>
          <w:b/>
          <w:bCs/>
          <w:sz w:val="20"/>
          <w:szCs w:val="22"/>
        </w:rPr>
        <w:t>3</w:t>
      </w:r>
      <w:r w:rsidRPr="005B786B">
        <w:rPr>
          <w:b/>
          <w:bCs/>
          <w:sz w:val="20"/>
          <w:szCs w:val="22"/>
        </w:rPr>
        <w:t xml:space="preserve">: </w:t>
      </w:r>
      <w:r>
        <w:rPr>
          <w:b/>
          <w:bCs/>
          <w:sz w:val="20"/>
          <w:szCs w:val="22"/>
        </w:rPr>
        <w:t>SUB-THEMES UNDER THEME TWO</w:t>
      </w:r>
    </w:p>
    <w:tbl>
      <w:tblPr>
        <w:tblStyle w:val="GridTable5Dark-Accent51"/>
        <w:tblW w:w="0" w:type="auto"/>
        <w:tblLook w:val="04A0"/>
      </w:tblPr>
      <w:tblGrid>
        <w:gridCol w:w="1413"/>
        <w:gridCol w:w="5629"/>
        <w:gridCol w:w="2200"/>
      </w:tblGrid>
      <w:tr w:rsidR="00247196" w:rsidRPr="005B786B" w:rsidTr="005A51CA">
        <w:trPr>
          <w:cnfStyle w:val="100000000000"/>
        </w:trPr>
        <w:tc>
          <w:tcPr>
            <w:cnfStyle w:val="001000000000"/>
            <w:tcW w:w="0" w:type="auto"/>
            <w:hideMark/>
          </w:tcPr>
          <w:p w:rsidR="00247196" w:rsidRPr="005B786B" w:rsidRDefault="00247196" w:rsidP="005A51CA">
            <w:pPr>
              <w:spacing w:line="240" w:lineRule="auto"/>
              <w:jc w:val="center"/>
              <w:rPr>
                <w:rFonts w:cs="Times New Roman"/>
                <w:sz w:val="20"/>
                <w:szCs w:val="20"/>
                <w:lang w:bidi="bn-BD"/>
              </w:rPr>
            </w:pPr>
            <w:r w:rsidRPr="005B786B">
              <w:rPr>
                <w:rFonts w:cs="Times New Roman"/>
                <w:sz w:val="20"/>
                <w:szCs w:val="20"/>
                <w:lang w:bidi="bn-BD"/>
              </w:rPr>
              <w:t>Sub-theme</w:t>
            </w:r>
          </w:p>
        </w:tc>
        <w:tc>
          <w:tcPr>
            <w:tcW w:w="0" w:type="auto"/>
            <w:hideMark/>
          </w:tcPr>
          <w:p w:rsidR="00247196" w:rsidRPr="005B786B" w:rsidRDefault="00247196" w:rsidP="005A51CA">
            <w:pPr>
              <w:spacing w:line="240" w:lineRule="auto"/>
              <w:jc w:val="center"/>
              <w:cnfStyle w:val="100000000000"/>
              <w:rPr>
                <w:rFonts w:cs="Times New Roman"/>
                <w:sz w:val="20"/>
                <w:szCs w:val="20"/>
                <w:lang w:bidi="bn-BD"/>
              </w:rPr>
            </w:pPr>
            <w:r w:rsidRPr="005B786B">
              <w:rPr>
                <w:rFonts w:cs="Times New Roman"/>
                <w:sz w:val="20"/>
                <w:szCs w:val="20"/>
                <w:lang w:bidi="bn-BD"/>
              </w:rPr>
              <w:t>Statements</w:t>
            </w:r>
          </w:p>
        </w:tc>
        <w:tc>
          <w:tcPr>
            <w:tcW w:w="0" w:type="auto"/>
            <w:hideMark/>
          </w:tcPr>
          <w:p w:rsidR="00247196" w:rsidRPr="005B786B" w:rsidRDefault="00247196" w:rsidP="005A51CA">
            <w:pPr>
              <w:spacing w:line="240" w:lineRule="auto"/>
              <w:jc w:val="center"/>
              <w:cnfStyle w:val="100000000000"/>
              <w:rPr>
                <w:rFonts w:cs="Times New Roman"/>
                <w:sz w:val="20"/>
                <w:szCs w:val="20"/>
                <w:lang w:bidi="bn-BD"/>
              </w:rPr>
            </w:pPr>
            <w:r w:rsidRPr="005B786B">
              <w:rPr>
                <w:rFonts w:cs="Times New Roman"/>
                <w:sz w:val="20"/>
                <w:szCs w:val="20"/>
                <w:lang w:bidi="bn-BD"/>
              </w:rPr>
              <w:t>In-text citations</w:t>
            </w:r>
          </w:p>
        </w:tc>
      </w:tr>
      <w:tr w:rsidR="00247196" w:rsidRPr="005B786B" w:rsidTr="005A51CA">
        <w:trPr>
          <w:cnfStyle w:val="000000100000"/>
        </w:trPr>
        <w:tc>
          <w:tcPr>
            <w:cnfStyle w:val="001000000000"/>
            <w:tcW w:w="1413" w:type="dxa"/>
            <w:vMerge w:val="restart"/>
            <w:hideMark/>
          </w:tcPr>
          <w:p w:rsidR="00247196" w:rsidRPr="005B786B" w:rsidRDefault="00247196" w:rsidP="005A51CA">
            <w:pPr>
              <w:spacing w:line="240" w:lineRule="auto"/>
              <w:rPr>
                <w:rFonts w:cs="Times New Roman"/>
                <w:sz w:val="20"/>
                <w:szCs w:val="20"/>
                <w:lang w:bidi="bn-BD"/>
              </w:rPr>
            </w:pPr>
            <w:r w:rsidRPr="005B786B">
              <w:rPr>
                <w:rFonts w:cs="Times New Roman"/>
                <w:sz w:val="20"/>
                <w:szCs w:val="20"/>
                <w:lang w:bidi="bn-BD"/>
              </w:rPr>
              <w:t>4.2.2.1 Advertising appeal and credibility build attitudes that drive intention</w:t>
            </w:r>
          </w:p>
        </w:tc>
        <w:tc>
          <w:tcPr>
            <w:tcW w:w="5629"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Green advertising's credibility plays a pivotal role in shaping consumer attitudes, with Bangladesh evidence showing that advertising appeal significantly influences green product purchase intention.</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Khatun et al. (2025)</w:t>
            </w:r>
          </w:p>
        </w:tc>
      </w:tr>
      <w:tr w:rsidR="00247196" w:rsidRPr="005B786B" w:rsidTr="005A51CA">
        <w:trPr>
          <w:trHeight w:val="807"/>
        </w:trPr>
        <w:tc>
          <w:tcPr>
            <w:cnfStyle w:val="001000000000"/>
            <w:tcW w:w="1413" w:type="dxa"/>
            <w:vMerge/>
            <w:hideMark/>
          </w:tcPr>
          <w:p w:rsidR="00247196" w:rsidRPr="005B786B" w:rsidRDefault="00247196" w:rsidP="005A51CA">
            <w:pPr>
              <w:spacing w:line="240" w:lineRule="auto"/>
              <w:rPr>
                <w:rFonts w:cs="Times New Roman"/>
                <w:sz w:val="20"/>
                <w:szCs w:val="20"/>
                <w:lang w:bidi="bn-BD"/>
              </w:rPr>
            </w:pPr>
          </w:p>
        </w:tc>
        <w:tc>
          <w:tcPr>
            <w:tcW w:w="5629" w:type="dxa"/>
            <w:tcBorders>
              <w:bottom w:val="single" w:sz="4" w:space="0" w:color="FFFFFF" w:themeColor="background1"/>
            </w:tcBorders>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Green marketing works when messages are clear and trustworthy, and when they fit consumer values and lifestyle. Credibility in advertising remains a core driver of CPI in Bangladesh and beyond.</w:t>
            </w:r>
          </w:p>
        </w:tc>
        <w:tc>
          <w:tcPr>
            <w:tcW w:w="0" w:type="auto"/>
            <w:tcBorders>
              <w:bottom w:val="single" w:sz="4" w:space="0" w:color="FFFFFF" w:themeColor="background1"/>
            </w:tcBorders>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Reddy et al. (2023); Basu et al. (2025); Aslam et al. (2020)</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sz w:val="20"/>
                <w:szCs w:val="20"/>
                <w:lang w:bidi="bn-BD"/>
              </w:rPr>
            </w:pPr>
          </w:p>
        </w:tc>
        <w:tc>
          <w:tcPr>
            <w:tcW w:w="5629"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Social media channels amplify green marketing effectiveness, allowing consumer networks to engage with and spread credible green messages.</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Aslam et al. (2020)</w:t>
            </w:r>
          </w:p>
        </w:tc>
      </w:tr>
      <w:tr w:rsidR="00247196" w:rsidRPr="005B786B" w:rsidTr="005A51CA">
        <w:tc>
          <w:tcPr>
            <w:cnfStyle w:val="001000000000"/>
            <w:tcW w:w="1413" w:type="dxa"/>
            <w:vMerge w:val="restart"/>
            <w:hideMark/>
          </w:tcPr>
          <w:p w:rsidR="00247196" w:rsidRPr="005B786B" w:rsidRDefault="00247196" w:rsidP="005A51CA">
            <w:pPr>
              <w:spacing w:line="240" w:lineRule="auto"/>
              <w:rPr>
                <w:rFonts w:cs="Times New Roman"/>
                <w:sz w:val="20"/>
                <w:szCs w:val="20"/>
                <w:lang w:bidi="bn-BD"/>
              </w:rPr>
            </w:pPr>
            <w:r w:rsidRPr="005B786B">
              <w:rPr>
                <w:rFonts w:cs="Times New Roman"/>
                <w:sz w:val="20"/>
                <w:szCs w:val="20"/>
                <w:lang w:bidi="bn-BD"/>
              </w:rPr>
              <w:t>4.2.2.2 Eco-labels, information and awareness help, but do not replace trust</w:t>
            </w:r>
          </w:p>
        </w:tc>
        <w:tc>
          <w:tcPr>
            <w:tcW w:w="5629"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Awareness of green packaging and eco-labels improves purchase intention but does not overcome barriers like price and access. Consumers need trust for these cues to be effective.</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Fahmida et al. (2020); Hasan et al. (2024)</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sz w:val="20"/>
                <w:szCs w:val="20"/>
                <w:lang w:bidi="bn-BD"/>
              </w:rPr>
            </w:pPr>
          </w:p>
        </w:tc>
        <w:tc>
          <w:tcPr>
            <w:tcW w:w="5629"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Information tools like eco-labels help reduce uncertainty in consumer decision-making but must be backed by credible claims to drive purchase intention.</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Nekmahmud&amp; Fekete-Farkas (2020)</w:t>
            </w:r>
          </w:p>
        </w:tc>
      </w:tr>
      <w:tr w:rsidR="00247196" w:rsidRPr="005B786B" w:rsidTr="005A51CA">
        <w:tc>
          <w:tcPr>
            <w:cnfStyle w:val="001000000000"/>
            <w:tcW w:w="1413" w:type="dxa"/>
            <w:vMerge/>
            <w:hideMark/>
          </w:tcPr>
          <w:p w:rsidR="00247196" w:rsidRPr="005B786B" w:rsidRDefault="00247196" w:rsidP="005A51CA">
            <w:pPr>
              <w:spacing w:line="240" w:lineRule="auto"/>
              <w:rPr>
                <w:rFonts w:cs="Times New Roman"/>
                <w:sz w:val="20"/>
                <w:szCs w:val="20"/>
                <w:lang w:bidi="bn-BD"/>
              </w:rPr>
            </w:pPr>
          </w:p>
        </w:tc>
        <w:tc>
          <w:tcPr>
            <w:tcW w:w="5629"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Knowledge of green products enhances CPI in Bangladesh, but a knowledge–behaviour gap exists, meaning awareness does not always lead to actual purchases without trust and credibility.</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Fahmida et al. (2020); Hasan et al. (2024)</w:t>
            </w:r>
          </w:p>
        </w:tc>
      </w:tr>
      <w:tr w:rsidR="00247196" w:rsidRPr="005B786B" w:rsidTr="005A51CA">
        <w:trPr>
          <w:cnfStyle w:val="000000100000"/>
        </w:trPr>
        <w:tc>
          <w:tcPr>
            <w:cnfStyle w:val="001000000000"/>
            <w:tcW w:w="1413" w:type="dxa"/>
            <w:vMerge w:val="restart"/>
            <w:hideMark/>
          </w:tcPr>
          <w:p w:rsidR="00247196" w:rsidRPr="005B786B" w:rsidRDefault="00247196" w:rsidP="005A51CA">
            <w:pPr>
              <w:spacing w:line="240" w:lineRule="auto"/>
              <w:rPr>
                <w:rFonts w:cs="Times New Roman"/>
                <w:sz w:val="20"/>
                <w:szCs w:val="20"/>
                <w:lang w:bidi="bn-BD"/>
              </w:rPr>
            </w:pPr>
            <w:r w:rsidRPr="005B786B">
              <w:rPr>
                <w:rFonts w:cs="Times New Roman"/>
                <w:sz w:val="20"/>
                <w:szCs w:val="20"/>
                <w:lang w:bidi="bn-BD"/>
              </w:rPr>
              <w:t>4.2.2.3 CSR and responsibility signals strengthen intention when they appear genuine</w:t>
            </w:r>
          </w:p>
        </w:tc>
        <w:tc>
          <w:tcPr>
            <w:tcW w:w="5629"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CSR activities can strengthen green purchase intention when consumers perceive them as genuine and not purely promotional. Social responsibility enhances perceived value and trust in the brand.</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Tahir (2021)</w:t>
            </w:r>
          </w:p>
        </w:tc>
      </w:tr>
      <w:tr w:rsidR="00247196" w:rsidRPr="005B786B" w:rsidTr="005A51CA">
        <w:trPr>
          <w:trHeight w:val="754"/>
        </w:trPr>
        <w:tc>
          <w:tcPr>
            <w:cnfStyle w:val="001000000000"/>
            <w:tcW w:w="1413" w:type="dxa"/>
            <w:vMerge/>
            <w:tcBorders>
              <w:bottom w:val="single" w:sz="4" w:space="0" w:color="FFFFFF" w:themeColor="background1"/>
            </w:tcBorders>
            <w:hideMark/>
          </w:tcPr>
          <w:p w:rsidR="00247196" w:rsidRPr="005B786B" w:rsidRDefault="00247196" w:rsidP="005A51CA">
            <w:pPr>
              <w:spacing w:line="240" w:lineRule="auto"/>
              <w:rPr>
                <w:rFonts w:cs="Times New Roman"/>
                <w:sz w:val="20"/>
                <w:szCs w:val="20"/>
                <w:lang w:bidi="bn-BD"/>
              </w:rPr>
            </w:pPr>
          </w:p>
        </w:tc>
        <w:tc>
          <w:tcPr>
            <w:tcW w:w="5629" w:type="dxa"/>
            <w:tcBorders>
              <w:bottom w:val="single" w:sz="4" w:space="0" w:color="FFFFFF" w:themeColor="background1"/>
            </w:tcBorders>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CSR efforts lose effectiveness when perceived as superficial or "greenwashing." Consumer skepticism about CSR claims weakens their potential to drive CPI.</w:t>
            </w:r>
          </w:p>
        </w:tc>
        <w:tc>
          <w:tcPr>
            <w:tcW w:w="0" w:type="auto"/>
            <w:tcBorders>
              <w:bottom w:val="single" w:sz="4" w:space="0" w:color="FFFFFF" w:themeColor="background1"/>
            </w:tcBorders>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Tshuma et al. (2023)</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sz w:val="20"/>
                <w:szCs w:val="20"/>
                <w:lang w:bidi="bn-BD"/>
              </w:rPr>
            </w:pPr>
          </w:p>
        </w:tc>
        <w:tc>
          <w:tcPr>
            <w:tcW w:w="5629"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CSR is a positive signal when backed by consistent actions, whereas greenwashing undermines trust and harms consumer engagement.</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Tshuma et al. (2023)</w:t>
            </w:r>
          </w:p>
        </w:tc>
      </w:tr>
      <w:tr w:rsidR="00247196" w:rsidRPr="005B786B" w:rsidTr="005A51CA">
        <w:tc>
          <w:tcPr>
            <w:cnfStyle w:val="001000000000"/>
            <w:tcW w:w="1413" w:type="dxa"/>
            <w:vMerge w:val="restart"/>
            <w:hideMark/>
          </w:tcPr>
          <w:p w:rsidR="00247196" w:rsidRPr="005B786B" w:rsidRDefault="00247196" w:rsidP="005A51CA">
            <w:pPr>
              <w:spacing w:line="240" w:lineRule="auto"/>
              <w:rPr>
                <w:rFonts w:cs="Times New Roman"/>
                <w:sz w:val="20"/>
                <w:szCs w:val="20"/>
                <w:lang w:bidi="bn-BD"/>
              </w:rPr>
            </w:pPr>
            <w:r w:rsidRPr="005B786B">
              <w:rPr>
                <w:rFonts w:cs="Times New Roman"/>
                <w:sz w:val="20"/>
                <w:szCs w:val="20"/>
                <w:lang w:bidi="bn-BD"/>
              </w:rPr>
              <w:lastRenderedPageBreak/>
              <w:t>4.2.2.4 Trust is the key conversion mechanism, and greenwashing risk weakens intention</w:t>
            </w:r>
          </w:p>
        </w:tc>
        <w:tc>
          <w:tcPr>
            <w:tcW w:w="5629"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Trust is the most critical factor linking green marketing to CPI, especially in emerging markets. Consumers require trust in both the brand's green credentials and product claims.</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Van Hoang et al. (2025)</w:t>
            </w:r>
          </w:p>
        </w:tc>
      </w:tr>
      <w:tr w:rsidR="00247196" w:rsidRPr="005B786B" w:rsidTr="005A51CA">
        <w:trPr>
          <w:cnfStyle w:val="000000100000"/>
        </w:trPr>
        <w:tc>
          <w:tcPr>
            <w:cnfStyle w:val="001000000000"/>
            <w:tcW w:w="1413" w:type="dxa"/>
            <w:vMerge/>
            <w:hideMark/>
          </w:tcPr>
          <w:p w:rsidR="00247196" w:rsidRPr="005B786B" w:rsidRDefault="00247196" w:rsidP="005A51CA">
            <w:pPr>
              <w:spacing w:line="240" w:lineRule="auto"/>
              <w:rPr>
                <w:rFonts w:cs="Times New Roman"/>
                <w:sz w:val="20"/>
                <w:szCs w:val="20"/>
                <w:lang w:bidi="bn-BD"/>
              </w:rPr>
            </w:pPr>
          </w:p>
        </w:tc>
        <w:tc>
          <w:tcPr>
            <w:tcW w:w="5629" w:type="dxa"/>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In fast-food markets, green brand trust is a significant mediator between green marketing and consumer behaviour, highlighting the centrality of trust over mere green image.</w:t>
            </w:r>
          </w:p>
        </w:tc>
        <w:tc>
          <w:tcPr>
            <w:tcW w:w="0" w:type="auto"/>
            <w:hideMark/>
          </w:tcPr>
          <w:p w:rsidR="00247196" w:rsidRPr="005B786B" w:rsidRDefault="00247196" w:rsidP="005A51CA">
            <w:pPr>
              <w:spacing w:line="240" w:lineRule="auto"/>
              <w:cnfStyle w:val="000000100000"/>
              <w:rPr>
                <w:rFonts w:cs="Times New Roman"/>
                <w:sz w:val="20"/>
                <w:szCs w:val="20"/>
                <w:lang w:bidi="bn-BD"/>
              </w:rPr>
            </w:pPr>
            <w:r w:rsidRPr="005B786B">
              <w:rPr>
                <w:rFonts w:cs="Times New Roman"/>
                <w:sz w:val="20"/>
                <w:szCs w:val="20"/>
                <w:lang w:bidi="bn-BD"/>
              </w:rPr>
              <w:t>Cai et al. (2025)</w:t>
            </w:r>
          </w:p>
        </w:tc>
      </w:tr>
      <w:tr w:rsidR="00247196" w:rsidRPr="005B786B" w:rsidTr="005A51CA">
        <w:tc>
          <w:tcPr>
            <w:cnfStyle w:val="001000000000"/>
            <w:tcW w:w="1413" w:type="dxa"/>
            <w:vMerge/>
            <w:hideMark/>
          </w:tcPr>
          <w:p w:rsidR="00247196" w:rsidRPr="005B786B" w:rsidRDefault="00247196" w:rsidP="005A51CA">
            <w:pPr>
              <w:spacing w:line="240" w:lineRule="auto"/>
              <w:rPr>
                <w:rFonts w:cs="Times New Roman"/>
                <w:sz w:val="20"/>
                <w:szCs w:val="20"/>
                <w:lang w:bidi="bn-BD"/>
              </w:rPr>
            </w:pPr>
          </w:p>
        </w:tc>
        <w:tc>
          <w:tcPr>
            <w:tcW w:w="5629" w:type="dxa"/>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Greenwashing perceptions harm consumer trust and undermine the effectiveness of green marketing campaigns, weakening the overall impact on CPI.</w:t>
            </w:r>
          </w:p>
        </w:tc>
        <w:tc>
          <w:tcPr>
            <w:tcW w:w="0" w:type="auto"/>
            <w:hideMark/>
          </w:tcPr>
          <w:p w:rsidR="00247196" w:rsidRPr="005B786B" w:rsidRDefault="00247196" w:rsidP="005A51CA">
            <w:pPr>
              <w:spacing w:line="240" w:lineRule="auto"/>
              <w:cnfStyle w:val="000000000000"/>
              <w:rPr>
                <w:rFonts w:cs="Times New Roman"/>
                <w:sz w:val="20"/>
                <w:szCs w:val="20"/>
                <w:lang w:bidi="bn-BD"/>
              </w:rPr>
            </w:pPr>
            <w:r w:rsidRPr="005B786B">
              <w:rPr>
                <w:rFonts w:cs="Times New Roman"/>
                <w:sz w:val="20"/>
                <w:szCs w:val="20"/>
                <w:lang w:bidi="bn-BD"/>
              </w:rPr>
              <w:t>Tshuma et al. (2023)</w:t>
            </w:r>
          </w:p>
        </w:tc>
      </w:tr>
    </w:tbl>
    <w:p w:rsidR="00247196" w:rsidRPr="001741E2" w:rsidRDefault="00247196" w:rsidP="00247196">
      <w:pPr>
        <w:pStyle w:val="Heading3"/>
      </w:pPr>
      <w:bookmarkStart w:id="56" w:name="_Toc220155780"/>
      <w:r w:rsidRPr="001741E2">
        <w:t>4.</w:t>
      </w:r>
      <w:r>
        <w:t>3</w:t>
      </w:r>
      <w:r w:rsidRPr="001741E2">
        <w:t>.1 ADVERTISING APPEAL AND CREDIBILITY BUILD ATTITUDES THAT DRIVE INTENTION</w:t>
      </w:r>
      <w:bookmarkEnd w:id="56"/>
    </w:p>
    <w:p w:rsidR="00247196" w:rsidRPr="001741E2" w:rsidRDefault="00247196" w:rsidP="00247196">
      <w:r w:rsidRPr="001741E2">
        <w:t>Across the studies, green communication matters most when it is perceived as credible. In Bangladesh, evidence using a TPB-based approach shows that green advertising appeal and green advertising credibility significantly shape attitudes toward green products, and attitude strongly predicts purchase intention (Khatun et al., 2025). This positions credibility as a central mechanism, not a minor modifier. It also clarifies why green marketing sometimes fails: when messages trigger scepticism, the same exposure can become ineffective or even counterproductive.</w:t>
      </w:r>
    </w:p>
    <w:p w:rsidR="00247196" w:rsidRPr="001741E2" w:rsidRDefault="00247196" w:rsidP="00247196">
      <w:r w:rsidRPr="001741E2">
        <w:t>Studies from other contexts support this credibility logic. Research discussing consumer perceptions of green marketing highlights that consumers may be highly price conscious and may respond negatively when green communication appears inflated or unsupported (Reddy et al., 2023). Evidence also suggests that green marketing’s effect on intention is stronger when communication aligns with expectations and avoids scepticism, reinforcing the importance of message consistency and clarity (Reddy et al., 2023).</w:t>
      </w:r>
    </w:p>
    <w:p w:rsidR="00247196" w:rsidRPr="001741E2" w:rsidRDefault="00247196" w:rsidP="00247196">
      <w:r w:rsidRPr="001741E2">
        <w:t>Communication effects also appear in lifestyle-linked consumption settings. In FMCG research, marketing mix elements, consumer satisfaction, and lifestyle are associated with attitudes and purchase intention, implying message effectiveness increases when it fits how consumers live and what they prioritise (Basu et al., 2025). In fast-food contexts, green marketing and social media show significant relationships with buying behaviour, suggesting digital channels can amplify green messages and shape attention and discussion (Aslam et al., 2020). The key insight is not merely “advertising works,” but “advertising works when credibility is built, and channels help the message travel among peer networks.”</w:t>
      </w:r>
    </w:p>
    <w:p w:rsidR="00247196" w:rsidRPr="001741E2" w:rsidRDefault="00247196" w:rsidP="00247196">
      <w:pPr>
        <w:pStyle w:val="Heading3"/>
      </w:pPr>
      <w:bookmarkStart w:id="57" w:name="_Toc220155781"/>
      <w:r w:rsidRPr="001741E2">
        <w:t>4.</w:t>
      </w:r>
      <w:r>
        <w:t>3</w:t>
      </w:r>
      <w:r w:rsidRPr="001741E2">
        <w:t>.2 ECO-LABELS, INFORMATION AND AWARENESS HELP, BUT DO NOT REPLACE TRUST</w:t>
      </w:r>
      <w:bookmarkEnd w:id="57"/>
    </w:p>
    <w:p w:rsidR="00247196" w:rsidRPr="001741E2" w:rsidRDefault="00247196" w:rsidP="00247196">
      <w:r w:rsidRPr="001741E2">
        <w:t xml:space="preserve">Eco-labels and informational cues matter because they reduce information asymmetry. Consumers often cannot verify production processes, so they rely on signals that simplify </w:t>
      </w:r>
      <w:r w:rsidRPr="001741E2">
        <w:lastRenderedPageBreak/>
        <w:t>judgement. A developing-market-focused synthesis highlights that green purchase decisions are shaped by intrinsic factors (such as responsibility, knowledge, and conservation motives) and extrinsic factors (such as price, quality, safety and promotion), and it positions information tools as part of how consumers form purchase decisions (Nekmahmud and Fekete-Farkas, 2020). This supports the argument that awareness is necessary, but it still needs a credible base.</w:t>
      </w:r>
    </w:p>
    <w:p w:rsidR="00247196" w:rsidRPr="001741E2" w:rsidRDefault="00247196" w:rsidP="00247196">
      <w:r w:rsidRPr="001741E2">
        <w:t>Bangladesh evidence reinforces that knowledge about green packaging is positively associated with intention (Hasan et al., 2024). Yet the studies also expose an intention-conversion problem. Evidence on eco-friendly food purchasing in Bangladesh highlights a knowledge–behaviour gap, where awareness and positive orientation do not always translate into actual purchasing (Fahmida et al., 2020). The critical point here is that information alone cannot overcome structural constraints like price and access, and it cannot compensate for low trust. So, eco-labels and awareness campaigns are best understood as enabling conditions that support CPI when combined with credible claims and feasible purchase conditions (Fahmida et al., 2020; Hasan et al., 2024).</w:t>
      </w:r>
    </w:p>
    <w:p w:rsidR="00247196" w:rsidRPr="001741E2" w:rsidRDefault="00247196" w:rsidP="00247196">
      <w:pPr>
        <w:pStyle w:val="Heading3"/>
      </w:pPr>
      <w:bookmarkStart w:id="58" w:name="_Toc220155782"/>
      <w:r w:rsidRPr="001741E2">
        <w:t>4.</w:t>
      </w:r>
      <w:r>
        <w:t>3</w:t>
      </w:r>
      <w:r w:rsidRPr="001741E2">
        <w:t>.3 CSR AND RESPONSIBILITY SIGNALS STRENGTHEN INTENTION WHEN THEY APPEAR GENUINE</w:t>
      </w:r>
      <w:bookmarkEnd w:id="58"/>
    </w:p>
    <w:p w:rsidR="00247196" w:rsidRPr="001741E2" w:rsidRDefault="00247196" w:rsidP="00247196">
      <w:r w:rsidRPr="001741E2">
        <w:t>CSR and responsibility cues appear repeatedly as supportive drivers of CPI, mainly because they improve brand judgement and perceived value. In Pakistan, social responsibility shows a positive relationship with green purchase intention alongside perceived value and brand image (Tahir, 2021). This suggests CSR can operate as a credibility signal and may reassure consumers that green positioning is not purely promotional.</w:t>
      </w:r>
    </w:p>
    <w:p w:rsidR="00247196" w:rsidRPr="001741E2" w:rsidRDefault="00247196" w:rsidP="00247196">
      <w:r w:rsidRPr="001741E2">
        <w:t>However, the evidence also implies CSR is fragile if it lacks proof or consistency. Studies highlighting greenwashing risk show that perceived greenwashing and consumer confusion undermine credibility and weaken consumer response (Tshuma et al., 2023). When read together, the implication is straightforward: CSR helps when it feels real and verifiable, and it harms when consumers interpret it as surface-level image management.</w:t>
      </w:r>
    </w:p>
    <w:p w:rsidR="00247196" w:rsidRPr="001741E2" w:rsidRDefault="00247196" w:rsidP="00247196">
      <w:pPr>
        <w:pStyle w:val="Heading3"/>
      </w:pPr>
      <w:bookmarkStart w:id="59" w:name="_Toc220155783"/>
      <w:r w:rsidRPr="001741E2">
        <w:t>4.</w:t>
      </w:r>
      <w:r>
        <w:t>3</w:t>
      </w:r>
      <w:r w:rsidRPr="001741E2">
        <w:t>.4 TRUST IS THE KEY CONVERSION MECHANISM, AND GREENWASHING RISK WEAKENS INTENTION</w:t>
      </w:r>
      <w:bookmarkEnd w:id="59"/>
    </w:p>
    <w:p w:rsidR="00247196" w:rsidRPr="001741E2" w:rsidRDefault="00247196" w:rsidP="00247196">
      <w:r w:rsidRPr="001741E2">
        <w:t xml:space="preserve">Trust emerges as one of the strongest pathways linking green marketing to CPI, particularly in emerging markets. In Vietnam’s FMCG context, perceived green marketing strategies increase purchase intention mainly through green trust, while green brand image does not </w:t>
      </w:r>
      <w:r w:rsidRPr="001741E2">
        <w:lastRenderedPageBreak/>
        <w:t>necessarily show the same direct or mediating influence once trust is considered (Van Hoang et al., 2025). This is a critical finding because it challenges a common assumption that strengthening “green image” automatically drives intention. The evidence suggests the process is more conditional: image may attract attention, but trust converts.</w:t>
      </w:r>
    </w:p>
    <w:p w:rsidR="00247196" w:rsidRPr="001741E2" w:rsidRDefault="00247196" w:rsidP="00247196">
      <w:r w:rsidRPr="001741E2">
        <w:t>A similar trust pathway appears in fast-food settings, where green marketing mix positively affects green brand trust, and trust then predicts buying behaviour and eWOM (Cai et al., 2025). On the risk side, Zimbabwe evidence shows that green branding can influence buying intentions, but greenwashing perceptions and confusion undermine credibility and weaken responses (Tshuma et al., 2023). This set of results strengthens the argument that credibility is the practical engine of CPI, especially where consumers suspect exaggeration or lack consistent quality signals.</w:t>
      </w:r>
    </w:p>
    <w:p w:rsidR="00247196" w:rsidRDefault="00247196" w:rsidP="00247196">
      <w:pPr>
        <w:pStyle w:val="Heading2"/>
      </w:pPr>
      <w:bookmarkStart w:id="60" w:name="_Toc220155784"/>
      <w:r w:rsidRPr="001741E2">
        <w:t>4.</w:t>
      </w:r>
      <w:r>
        <w:t>4</w:t>
      </w:r>
      <w:r w:rsidRPr="001741E2">
        <w:t xml:space="preserve"> BRANDING AND LONG-TERM BRAND PERFORMANCE PATHWAYS</w:t>
      </w:r>
      <w:bookmarkEnd w:id="60"/>
    </w:p>
    <w:p w:rsidR="00247196" w:rsidRDefault="00247196" w:rsidP="00247196">
      <w:r>
        <w:t xml:space="preserve">Based on the selected studies there are four major sub-themes found under the theme three those are presented in the table 4.4. </w:t>
      </w:r>
    </w:p>
    <w:p w:rsidR="00247196" w:rsidRPr="005B786B" w:rsidRDefault="00247196" w:rsidP="00247196">
      <w:pPr>
        <w:spacing w:after="0" w:line="240" w:lineRule="auto"/>
        <w:jc w:val="center"/>
        <w:rPr>
          <w:b/>
          <w:bCs/>
          <w:sz w:val="20"/>
          <w:szCs w:val="22"/>
        </w:rPr>
      </w:pPr>
      <w:r w:rsidRPr="005B786B">
        <w:rPr>
          <w:b/>
          <w:bCs/>
          <w:sz w:val="20"/>
          <w:szCs w:val="22"/>
        </w:rPr>
        <w:t>TABLE 4.</w:t>
      </w:r>
      <w:r>
        <w:rPr>
          <w:b/>
          <w:bCs/>
          <w:sz w:val="20"/>
          <w:szCs w:val="22"/>
        </w:rPr>
        <w:t>4</w:t>
      </w:r>
      <w:r w:rsidRPr="005B786B">
        <w:rPr>
          <w:b/>
          <w:bCs/>
          <w:sz w:val="20"/>
          <w:szCs w:val="22"/>
        </w:rPr>
        <w:t xml:space="preserve">: </w:t>
      </w:r>
      <w:r>
        <w:rPr>
          <w:b/>
          <w:bCs/>
          <w:sz w:val="20"/>
          <w:szCs w:val="22"/>
        </w:rPr>
        <w:t>SUB-THEMES UNDER THEME Three</w:t>
      </w:r>
    </w:p>
    <w:tbl>
      <w:tblPr>
        <w:tblStyle w:val="GridTable5Dark-Accent51"/>
        <w:tblW w:w="0" w:type="auto"/>
        <w:tblLook w:val="04A0"/>
      </w:tblPr>
      <w:tblGrid>
        <w:gridCol w:w="2558"/>
        <w:gridCol w:w="4741"/>
        <w:gridCol w:w="1943"/>
      </w:tblGrid>
      <w:tr w:rsidR="00247196" w:rsidRPr="005B786B" w:rsidTr="005A51CA">
        <w:trPr>
          <w:cnfStyle w:val="100000000000"/>
        </w:trPr>
        <w:tc>
          <w:tcPr>
            <w:cnfStyle w:val="001000000000"/>
            <w:tcW w:w="0" w:type="auto"/>
            <w:hideMark/>
          </w:tcPr>
          <w:p w:rsidR="00247196" w:rsidRPr="005B786B" w:rsidRDefault="00247196" w:rsidP="005A51CA">
            <w:pPr>
              <w:spacing w:line="240" w:lineRule="auto"/>
              <w:rPr>
                <w:sz w:val="20"/>
                <w:szCs w:val="22"/>
                <w:lang w:bidi="bn-BD"/>
              </w:rPr>
            </w:pPr>
            <w:r w:rsidRPr="005B786B">
              <w:rPr>
                <w:sz w:val="20"/>
                <w:szCs w:val="22"/>
                <w:lang w:bidi="bn-BD"/>
              </w:rPr>
              <w:t>Sub-theme</w:t>
            </w:r>
          </w:p>
        </w:tc>
        <w:tc>
          <w:tcPr>
            <w:tcW w:w="0" w:type="auto"/>
            <w:hideMark/>
          </w:tcPr>
          <w:p w:rsidR="00247196" w:rsidRPr="005B786B" w:rsidRDefault="00247196" w:rsidP="005A51CA">
            <w:pPr>
              <w:spacing w:line="240" w:lineRule="auto"/>
              <w:cnfStyle w:val="100000000000"/>
              <w:rPr>
                <w:sz w:val="20"/>
                <w:szCs w:val="22"/>
                <w:lang w:bidi="bn-BD"/>
              </w:rPr>
            </w:pPr>
            <w:r w:rsidRPr="005B786B">
              <w:rPr>
                <w:sz w:val="20"/>
                <w:szCs w:val="22"/>
                <w:lang w:bidi="bn-BD"/>
              </w:rPr>
              <w:t>Statements</w:t>
            </w:r>
          </w:p>
        </w:tc>
        <w:tc>
          <w:tcPr>
            <w:tcW w:w="0" w:type="auto"/>
            <w:hideMark/>
          </w:tcPr>
          <w:p w:rsidR="00247196" w:rsidRPr="005B786B" w:rsidRDefault="00247196" w:rsidP="005A51CA">
            <w:pPr>
              <w:spacing w:line="240" w:lineRule="auto"/>
              <w:cnfStyle w:val="100000000000"/>
              <w:rPr>
                <w:sz w:val="20"/>
                <w:szCs w:val="22"/>
                <w:lang w:bidi="bn-BD"/>
              </w:rPr>
            </w:pPr>
            <w:r w:rsidRPr="005B786B">
              <w:rPr>
                <w:sz w:val="20"/>
                <w:szCs w:val="22"/>
                <w:lang w:bidi="bn-BD"/>
              </w:rPr>
              <w:t>In-text citations</w:t>
            </w:r>
          </w:p>
        </w:tc>
      </w:tr>
      <w:tr w:rsidR="00247196" w:rsidRPr="005B786B" w:rsidTr="005A51CA">
        <w:trPr>
          <w:cnfStyle w:val="000000100000"/>
        </w:trPr>
        <w:tc>
          <w:tcPr>
            <w:cnfStyle w:val="001000000000"/>
            <w:tcW w:w="0" w:type="auto"/>
            <w:hideMark/>
          </w:tcPr>
          <w:p w:rsidR="00247196" w:rsidRPr="005B786B" w:rsidRDefault="00247196" w:rsidP="005A51CA">
            <w:pPr>
              <w:spacing w:line="240" w:lineRule="auto"/>
              <w:rPr>
                <w:sz w:val="20"/>
                <w:szCs w:val="22"/>
                <w:lang w:bidi="bn-BD"/>
              </w:rPr>
            </w:pPr>
            <w:r w:rsidRPr="005B786B">
              <w:rPr>
                <w:sz w:val="20"/>
                <w:szCs w:val="22"/>
                <w:lang w:bidi="bn-BD"/>
              </w:rPr>
              <w:t>4.2.3.1 Green brand image supports intention, but may not be sufficient without trust</w:t>
            </w:r>
          </w:p>
        </w:tc>
        <w:tc>
          <w:tcPr>
            <w:tcW w:w="0" w:type="auto"/>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Green brand image is strengthened by eco-friendly design, green product advertising, and positive environmental impacts; however, brand image may only enhance receptivity to green marketing, not always directly drive purchase intention without trust.</w:t>
            </w:r>
          </w:p>
        </w:tc>
        <w:tc>
          <w:tcPr>
            <w:tcW w:w="0" w:type="auto"/>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Thakur et al. (2025); Tahir (2021); Ahmed et al. (2024); Van Hoang et al. (2025)</w:t>
            </w:r>
          </w:p>
        </w:tc>
      </w:tr>
      <w:tr w:rsidR="00247196" w:rsidRPr="005B786B" w:rsidTr="005A51CA">
        <w:tc>
          <w:tcPr>
            <w:cnfStyle w:val="001000000000"/>
            <w:tcW w:w="0" w:type="auto"/>
            <w:hideMark/>
          </w:tcPr>
          <w:p w:rsidR="00247196" w:rsidRPr="005B786B" w:rsidRDefault="00247196" w:rsidP="005A51CA">
            <w:pPr>
              <w:spacing w:line="240" w:lineRule="auto"/>
              <w:rPr>
                <w:sz w:val="20"/>
                <w:szCs w:val="22"/>
                <w:lang w:bidi="bn-BD"/>
              </w:rPr>
            </w:pPr>
            <w:r w:rsidRPr="005B786B">
              <w:rPr>
                <w:sz w:val="20"/>
                <w:szCs w:val="22"/>
                <w:lang w:bidi="bn-BD"/>
              </w:rPr>
              <w:t>4.2.3.2 Green brand equity develops through marketing mix consistency and equity components</w:t>
            </w:r>
          </w:p>
        </w:tc>
        <w:tc>
          <w:tcPr>
            <w:tcW w:w="0" w:type="auto"/>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Green brand equity emerges from consistent delivery of the green marketing mix; product, price, and promotion reinforce long-term brand strength and lead to positive word-of-mouth.</w:t>
            </w:r>
          </w:p>
        </w:tc>
        <w:tc>
          <w:tcPr>
            <w:tcW w:w="0" w:type="auto"/>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Mathew and Jose (2022); Hue (2024)</w:t>
            </w:r>
          </w:p>
        </w:tc>
      </w:tr>
      <w:tr w:rsidR="00247196" w:rsidRPr="005B786B" w:rsidTr="005A51CA">
        <w:trPr>
          <w:cnfStyle w:val="000000100000"/>
        </w:trPr>
        <w:tc>
          <w:tcPr>
            <w:cnfStyle w:val="001000000000"/>
            <w:tcW w:w="0" w:type="auto"/>
            <w:hideMark/>
          </w:tcPr>
          <w:p w:rsidR="00247196" w:rsidRPr="005B786B" w:rsidRDefault="00247196" w:rsidP="005A51CA">
            <w:pPr>
              <w:spacing w:line="240" w:lineRule="auto"/>
              <w:rPr>
                <w:sz w:val="20"/>
                <w:szCs w:val="22"/>
                <w:lang w:bidi="bn-BD"/>
              </w:rPr>
            </w:pPr>
            <w:r w:rsidRPr="005B786B">
              <w:rPr>
                <w:sz w:val="20"/>
                <w:szCs w:val="22"/>
                <w:lang w:bidi="bn-BD"/>
              </w:rPr>
              <w:t>4.2.3.3 Trust, satisfaction, and loyalty connect green marketing to repeat outcomes</w:t>
            </w:r>
          </w:p>
        </w:tc>
        <w:tc>
          <w:tcPr>
            <w:tcW w:w="0" w:type="auto"/>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Trust and satisfaction are key to long-term loyalty, repeat purchase, and positive eWOM; green brand trust mediates purchase intentions, while satisfaction grounded in past experiences sustains long-term behaviour.</w:t>
            </w:r>
          </w:p>
        </w:tc>
        <w:tc>
          <w:tcPr>
            <w:tcW w:w="0" w:type="auto"/>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Cai et al. (2025); Tshuma et al. (2023); Gani (2017); Basu et al. (2025)</w:t>
            </w:r>
          </w:p>
        </w:tc>
      </w:tr>
      <w:tr w:rsidR="00247196" w:rsidRPr="005B786B" w:rsidTr="005A51CA">
        <w:tc>
          <w:tcPr>
            <w:cnfStyle w:val="001000000000"/>
            <w:tcW w:w="0" w:type="auto"/>
            <w:hideMark/>
          </w:tcPr>
          <w:p w:rsidR="00247196" w:rsidRPr="005B786B" w:rsidRDefault="00247196" w:rsidP="005A51CA">
            <w:pPr>
              <w:spacing w:line="240" w:lineRule="auto"/>
              <w:rPr>
                <w:sz w:val="20"/>
                <w:szCs w:val="22"/>
                <w:lang w:bidi="bn-BD"/>
              </w:rPr>
            </w:pPr>
            <w:r w:rsidRPr="005B786B">
              <w:rPr>
                <w:sz w:val="20"/>
                <w:szCs w:val="22"/>
                <w:lang w:bidi="bn-BD"/>
              </w:rPr>
              <w:t>4.2.3.4 WOM and eWOM act as performance signals that extend brand impact</w:t>
            </w:r>
          </w:p>
        </w:tc>
        <w:tc>
          <w:tcPr>
            <w:tcW w:w="0" w:type="auto"/>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WOM and eWOM are essential indicators of long-term brand performance, with positive green brand equity contributing to voluntary consumer advocacy and positive online reviews, amplifying brand trust.</w:t>
            </w:r>
          </w:p>
        </w:tc>
        <w:tc>
          <w:tcPr>
            <w:tcW w:w="0" w:type="auto"/>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Hue (2024); Cai et al. (2025); Gani (2017)</w:t>
            </w:r>
          </w:p>
        </w:tc>
      </w:tr>
    </w:tbl>
    <w:p w:rsidR="00247196" w:rsidRPr="001741E2" w:rsidRDefault="00247196" w:rsidP="00247196">
      <w:pPr>
        <w:pStyle w:val="Heading3"/>
      </w:pPr>
      <w:bookmarkStart w:id="61" w:name="_Toc220155785"/>
      <w:r w:rsidRPr="001741E2">
        <w:t>4.</w:t>
      </w:r>
      <w:r>
        <w:t>4</w:t>
      </w:r>
      <w:r w:rsidRPr="001741E2">
        <w:t>.1 GREEN BRAND IMAGE SUPPORTS INTENTION, BUT MAY NOT BE SUFFICIENT WITHOUT TRUST</w:t>
      </w:r>
      <w:bookmarkEnd w:id="61"/>
    </w:p>
    <w:p w:rsidR="00247196" w:rsidRPr="001741E2" w:rsidRDefault="00247196" w:rsidP="00247196">
      <w:r w:rsidRPr="001741E2">
        <w:t xml:space="preserve">Several studies treat green brand image as an intangible asset shaped by product design, packaging and communication over time. Evidence shows eco-friendly product design, environmental positive externalities, and green product advertising strengthen green brand image, although design effects may be more modest than communicated benefits and </w:t>
      </w:r>
      <w:r w:rsidRPr="001741E2">
        <w:lastRenderedPageBreak/>
        <w:t>advertising (Thakur et al., 2025). In Pakistan, green brand image is positively associated with green purchase intention (Tahir, 2021). FMCG evidence similarly shows that green branding and packaging influence purchase intention, with brand image supporting consumer judgement processes (Ahmed et al., 2024).</w:t>
      </w:r>
    </w:p>
    <w:p w:rsidR="00247196" w:rsidRPr="001741E2" w:rsidRDefault="00247196" w:rsidP="00247196">
      <w:r w:rsidRPr="001741E2">
        <w:t>Yet, evidence also warns against overstating brand image as a final driver. Vietnam’s FMCG findings indicate that when trust is accounted for, brand image may not directly drive intention in the same way (Van Hoang et al., 2025). This tension is theoretically and practically useful. It suggests green image is valuable, but it may function more as a supportive condition that improves receptiveness, while trust remains decisive in the final conversion to CPI.</w:t>
      </w:r>
    </w:p>
    <w:p w:rsidR="00247196" w:rsidRPr="001741E2" w:rsidRDefault="00247196" w:rsidP="00247196">
      <w:pPr>
        <w:pStyle w:val="Heading3"/>
      </w:pPr>
      <w:bookmarkStart w:id="62" w:name="_Toc220155786"/>
      <w:r w:rsidRPr="001741E2">
        <w:t>4.</w:t>
      </w:r>
      <w:r>
        <w:t>4</w:t>
      </w:r>
      <w:r w:rsidRPr="001741E2">
        <w:t>.2 GREEN BRAND EQUITY DEVELOPS THROUGH MARKETING MIX CONSISTENCY AND EQUITY COMPONENTS</w:t>
      </w:r>
      <w:bookmarkEnd w:id="62"/>
    </w:p>
    <w:p w:rsidR="00247196" w:rsidRPr="001741E2" w:rsidRDefault="00247196" w:rsidP="00247196">
      <w:r w:rsidRPr="001741E2">
        <w:t>Brand equity research explains how green marketing translates into longer-term brand advantage. Evidence shows that green product, green price, and green promotion can strengthen brand equity, while green place may be weaker or context-dependent (Mathew and Jose, 2022). This supports the idea that equity emerges from consistent delivery and reinforcement, not from a single campaign or one-off claim.</w:t>
      </w:r>
    </w:p>
    <w:p w:rsidR="00247196" w:rsidRPr="001741E2" w:rsidRDefault="00247196" w:rsidP="00247196">
      <w:r w:rsidRPr="001741E2">
        <w:t>In Vietnam, green brand equity is examined as a driver of word-of-mouth intention, emphasising that equity is not only a brand asset but also a behaviour generator (Hue, 2024). This matters for long-term performance because WOM reduces reliance on paid promotion and helps brands scale credibility through peer influence.</w:t>
      </w:r>
    </w:p>
    <w:p w:rsidR="00247196" w:rsidRPr="001741E2" w:rsidRDefault="00247196" w:rsidP="00247196">
      <w:pPr>
        <w:pStyle w:val="Heading3"/>
      </w:pPr>
      <w:bookmarkStart w:id="63" w:name="_Toc220155787"/>
      <w:r w:rsidRPr="001741E2">
        <w:t>4.</w:t>
      </w:r>
      <w:r>
        <w:t>4</w:t>
      </w:r>
      <w:r w:rsidRPr="001741E2">
        <w:t>.3 TRUST, SATISFACTION AND LOYALTY CONNECT GREEN MARKETING TO REPEAT OUTCOMES</w:t>
      </w:r>
      <w:bookmarkEnd w:id="63"/>
    </w:p>
    <w:p w:rsidR="00247196" w:rsidRPr="001741E2" w:rsidRDefault="00247196" w:rsidP="00247196">
      <w:r w:rsidRPr="001741E2">
        <w:t xml:space="preserve">Trust consistently appears as the stabiliser of long-term outcomes. Evidence shows green marketing mix positively affects green brand trust, and trust predicts buying behaviour and eWOM, acting as a mediator in the relationship (Cai et al., 2025). Zimbabwe evidence also indicates that loyalty and related equity components (awareness, associations) are linked with buying intentions, with loyalty often showing strong influence (Tshuma et al., 2023). Satisfaction is also emphasised in earlier FMCG research as an influence on eco-friendly product purchase decisions, particularly when satisfaction is grounded in past experience, complemented by advertising/promotion and word-of-mouth (Gani, 2017). This is an </w:t>
      </w:r>
      <w:r w:rsidRPr="001741E2">
        <w:lastRenderedPageBreak/>
        <w:t>important bridge between CPI and long-term outcomes: experience-based satisfaction provides a verification loop that can sustain intention and promote repeat behaviour.</w:t>
      </w:r>
    </w:p>
    <w:p w:rsidR="00247196" w:rsidRPr="001741E2" w:rsidRDefault="00247196" w:rsidP="00247196">
      <w:r w:rsidRPr="001741E2">
        <w:t>Lifestyle-linked evidence suggests intention is also reinforced when green consumption fits consumer routines and values (Basu et al., 2025). So, the combined pathway becomes clearer: credible green marketing and consistent product experience strengthen trust and satisfaction, which then support loyalty and advocacy, and those outcomes feed back into brand strength.</w:t>
      </w:r>
    </w:p>
    <w:p w:rsidR="00247196" w:rsidRPr="001741E2" w:rsidRDefault="00247196" w:rsidP="00247196">
      <w:pPr>
        <w:pStyle w:val="Heading3"/>
      </w:pPr>
      <w:bookmarkStart w:id="64" w:name="_Toc220155788"/>
      <w:r w:rsidRPr="001741E2">
        <w:t>4.</w:t>
      </w:r>
      <w:r>
        <w:t>4</w:t>
      </w:r>
      <w:r w:rsidRPr="001741E2">
        <w:t>.4 WOM AND EWOM ACT AS PERFORMANCE SIGNALS THAT EXTEND BRAND IMPACT</w:t>
      </w:r>
      <w:bookmarkEnd w:id="64"/>
    </w:p>
    <w:p w:rsidR="00247196" w:rsidRDefault="00247196" w:rsidP="00247196">
      <w:r w:rsidRPr="001741E2">
        <w:t>WOM and eWOM are repeatedly treated as practical outcomes that reflect brand strength and spread influence. Vietnam evidence indicates green brand equity components contribute to WOM intention (Hue, 2024). In fast-food settings, green brand trust predicts eWOM, showing that trusted green claims encourage positive online recommendations and advocacy (Cai et al., 2025). Earlier FMCG research also highlights word-of-mouth as a significant influence on eco-friendly purchase decisions (Gani, 2017). Together, these studies reinforce the idea that long-term performance is not only measured by immediate CPI, but also by whether consumers voluntarily communicate positive experiences and beliefs to others.</w:t>
      </w:r>
    </w:p>
    <w:p w:rsidR="00247196" w:rsidRDefault="00247196" w:rsidP="00247196">
      <w:pPr>
        <w:pStyle w:val="Heading2"/>
      </w:pPr>
      <w:bookmarkStart w:id="65" w:name="_Toc220155789"/>
      <w:r w:rsidRPr="005B786B">
        <w:t>4.5 EMERGING-MARKET REALITIES: WHY INTENTION STRENGTHENS OR FAILS TO CONVERT</w:t>
      </w:r>
      <w:bookmarkEnd w:id="65"/>
    </w:p>
    <w:p w:rsidR="00247196" w:rsidRDefault="00247196" w:rsidP="00247196">
      <w:r>
        <w:t xml:space="preserve">Based on the selected studies there are four major sub-themes found under the theme four those are presented in the table 4.5. </w:t>
      </w:r>
    </w:p>
    <w:p w:rsidR="00247196" w:rsidRPr="005B786B" w:rsidRDefault="00247196" w:rsidP="00247196">
      <w:pPr>
        <w:spacing w:after="0" w:line="240" w:lineRule="auto"/>
        <w:jc w:val="center"/>
        <w:rPr>
          <w:b/>
          <w:bCs/>
          <w:sz w:val="20"/>
          <w:szCs w:val="22"/>
        </w:rPr>
      </w:pPr>
      <w:r w:rsidRPr="005B786B">
        <w:rPr>
          <w:b/>
          <w:bCs/>
          <w:sz w:val="20"/>
          <w:szCs w:val="22"/>
        </w:rPr>
        <w:t>TABLE 4.</w:t>
      </w:r>
      <w:r>
        <w:rPr>
          <w:b/>
          <w:bCs/>
          <w:sz w:val="20"/>
          <w:szCs w:val="22"/>
        </w:rPr>
        <w:t>5</w:t>
      </w:r>
      <w:r w:rsidRPr="005B786B">
        <w:rPr>
          <w:b/>
          <w:bCs/>
          <w:sz w:val="20"/>
          <w:szCs w:val="22"/>
        </w:rPr>
        <w:t xml:space="preserve">: </w:t>
      </w:r>
      <w:r>
        <w:rPr>
          <w:b/>
          <w:bCs/>
          <w:sz w:val="20"/>
          <w:szCs w:val="22"/>
        </w:rPr>
        <w:t>SUB-THEMES UNDER THEME ONE</w:t>
      </w:r>
    </w:p>
    <w:tbl>
      <w:tblPr>
        <w:tblStyle w:val="GridTable5Dark-Accent51"/>
        <w:tblW w:w="0" w:type="auto"/>
        <w:tblLook w:val="04A0"/>
      </w:tblPr>
      <w:tblGrid>
        <w:gridCol w:w="1271"/>
        <w:gridCol w:w="5812"/>
        <w:gridCol w:w="1933"/>
      </w:tblGrid>
      <w:tr w:rsidR="00247196" w:rsidRPr="005B786B" w:rsidTr="005A51CA">
        <w:trPr>
          <w:cnfStyle w:val="100000000000"/>
        </w:trPr>
        <w:tc>
          <w:tcPr>
            <w:cnfStyle w:val="001000000000"/>
            <w:tcW w:w="1271" w:type="dxa"/>
            <w:hideMark/>
          </w:tcPr>
          <w:p w:rsidR="00247196" w:rsidRPr="005B786B" w:rsidRDefault="00247196" w:rsidP="005A51CA">
            <w:pPr>
              <w:spacing w:line="240" w:lineRule="auto"/>
              <w:rPr>
                <w:sz w:val="20"/>
                <w:szCs w:val="22"/>
                <w:lang w:bidi="bn-BD"/>
              </w:rPr>
            </w:pPr>
            <w:r w:rsidRPr="005B786B">
              <w:rPr>
                <w:sz w:val="20"/>
                <w:szCs w:val="22"/>
                <w:lang w:bidi="bn-BD"/>
              </w:rPr>
              <w:t>Sub-theme</w:t>
            </w:r>
          </w:p>
        </w:tc>
        <w:tc>
          <w:tcPr>
            <w:tcW w:w="5812" w:type="dxa"/>
            <w:hideMark/>
          </w:tcPr>
          <w:p w:rsidR="00247196" w:rsidRPr="005B786B" w:rsidRDefault="00247196" w:rsidP="005A51CA">
            <w:pPr>
              <w:spacing w:line="240" w:lineRule="auto"/>
              <w:cnfStyle w:val="100000000000"/>
              <w:rPr>
                <w:sz w:val="20"/>
                <w:szCs w:val="22"/>
                <w:lang w:bidi="bn-BD"/>
              </w:rPr>
            </w:pPr>
            <w:r w:rsidRPr="005B786B">
              <w:rPr>
                <w:sz w:val="20"/>
                <w:szCs w:val="22"/>
                <w:lang w:bidi="bn-BD"/>
              </w:rPr>
              <w:t>Statements</w:t>
            </w:r>
          </w:p>
        </w:tc>
        <w:tc>
          <w:tcPr>
            <w:tcW w:w="1933" w:type="dxa"/>
            <w:hideMark/>
          </w:tcPr>
          <w:p w:rsidR="00247196" w:rsidRPr="005B786B" w:rsidRDefault="00247196" w:rsidP="005A51CA">
            <w:pPr>
              <w:spacing w:line="240" w:lineRule="auto"/>
              <w:cnfStyle w:val="100000000000"/>
              <w:rPr>
                <w:sz w:val="20"/>
                <w:szCs w:val="22"/>
                <w:lang w:bidi="bn-BD"/>
              </w:rPr>
            </w:pPr>
            <w:r w:rsidRPr="005B786B">
              <w:rPr>
                <w:sz w:val="20"/>
                <w:szCs w:val="22"/>
                <w:lang w:bidi="bn-BD"/>
              </w:rPr>
              <w:t>In-text citations</w:t>
            </w:r>
          </w:p>
        </w:tc>
      </w:tr>
      <w:tr w:rsidR="00247196" w:rsidRPr="005B786B" w:rsidTr="005A51CA">
        <w:trPr>
          <w:cnfStyle w:val="000000100000"/>
        </w:trPr>
        <w:tc>
          <w:tcPr>
            <w:cnfStyle w:val="001000000000"/>
            <w:tcW w:w="1271" w:type="dxa"/>
            <w:vMerge w:val="restart"/>
            <w:hideMark/>
          </w:tcPr>
          <w:p w:rsidR="00247196" w:rsidRPr="005B786B" w:rsidRDefault="00247196" w:rsidP="005A51CA">
            <w:pPr>
              <w:spacing w:line="240" w:lineRule="auto"/>
              <w:rPr>
                <w:sz w:val="20"/>
                <w:szCs w:val="22"/>
                <w:lang w:bidi="bn-BD"/>
              </w:rPr>
            </w:pPr>
            <w:r w:rsidRPr="005B786B">
              <w:rPr>
                <w:sz w:val="20"/>
                <w:szCs w:val="22"/>
                <w:lang w:bidi="bn-BD"/>
              </w:rPr>
              <w:t>4.2.4.1 Intention–behaviour gaps and the role of perceived behavioural control</w:t>
            </w:r>
          </w:p>
        </w:tc>
        <w:tc>
          <w:tcPr>
            <w:tcW w:w="5812" w:type="dxa"/>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Evidence from Bangladesh shows a knowledge–behaviour gap, where consumers may be environmentally conscious but struggle to consistently act on it, showing that perceived behavioural control is crucial to translating intention into action.</w:t>
            </w:r>
          </w:p>
        </w:tc>
        <w:tc>
          <w:tcPr>
            <w:tcW w:w="1933" w:type="dxa"/>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Fahmida et al. (2020); Rahman et al. (2020)</w:t>
            </w:r>
          </w:p>
        </w:tc>
      </w:tr>
      <w:tr w:rsidR="00247196" w:rsidRPr="005B786B" w:rsidTr="005A51CA">
        <w:trPr>
          <w:trHeight w:val="699"/>
        </w:trPr>
        <w:tc>
          <w:tcPr>
            <w:cnfStyle w:val="001000000000"/>
            <w:tcW w:w="1271" w:type="dxa"/>
            <w:vMerge/>
            <w:hideMark/>
          </w:tcPr>
          <w:p w:rsidR="00247196" w:rsidRPr="005B786B" w:rsidRDefault="00247196" w:rsidP="005A51CA">
            <w:pPr>
              <w:spacing w:line="240" w:lineRule="auto"/>
              <w:rPr>
                <w:sz w:val="20"/>
                <w:szCs w:val="22"/>
                <w:lang w:bidi="bn-BD"/>
              </w:rPr>
            </w:pPr>
          </w:p>
        </w:tc>
        <w:tc>
          <w:tcPr>
            <w:tcW w:w="5812" w:type="dxa"/>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TPB logic suggests that while attitude, subjective norms, and perceived behavioural control predict green purchase intention, external factors such as affordability and availability must enable behaviour in emerging markets.</w:t>
            </w:r>
          </w:p>
        </w:tc>
        <w:tc>
          <w:tcPr>
            <w:tcW w:w="1933" w:type="dxa"/>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Rahman et al. (2020)</w:t>
            </w:r>
          </w:p>
        </w:tc>
      </w:tr>
      <w:tr w:rsidR="00247196" w:rsidRPr="005B786B" w:rsidTr="005A51CA">
        <w:trPr>
          <w:cnfStyle w:val="000000100000"/>
        </w:trPr>
        <w:tc>
          <w:tcPr>
            <w:cnfStyle w:val="001000000000"/>
            <w:tcW w:w="1271" w:type="dxa"/>
            <w:vMerge w:val="restart"/>
            <w:hideMark/>
          </w:tcPr>
          <w:p w:rsidR="00247196" w:rsidRPr="005B786B" w:rsidRDefault="00247196" w:rsidP="005A51CA">
            <w:pPr>
              <w:spacing w:line="240" w:lineRule="auto"/>
              <w:rPr>
                <w:sz w:val="20"/>
                <w:szCs w:val="22"/>
                <w:lang w:bidi="bn-BD"/>
              </w:rPr>
            </w:pPr>
            <w:r w:rsidRPr="005B786B">
              <w:rPr>
                <w:sz w:val="20"/>
                <w:szCs w:val="22"/>
                <w:lang w:bidi="bn-BD"/>
              </w:rPr>
              <w:t>4.2.4.2 Price sensitivity, purchasing power and premium acceptance</w:t>
            </w:r>
          </w:p>
        </w:tc>
        <w:tc>
          <w:tcPr>
            <w:tcW w:w="5812" w:type="dxa"/>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Price remains a significant barrier in emerging markets, where green products face resistance even when consumers have green awareness, due to price sensitivity and low purchasing power.</w:t>
            </w:r>
          </w:p>
        </w:tc>
        <w:tc>
          <w:tcPr>
            <w:tcW w:w="1933" w:type="dxa"/>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Hasan et al. (2024); Reddy et al. (2023)</w:t>
            </w:r>
          </w:p>
        </w:tc>
      </w:tr>
      <w:tr w:rsidR="00247196" w:rsidRPr="005B786B" w:rsidTr="005A51CA">
        <w:trPr>
          <w:trHeight w:val="929"/>
        </w:trPr>
        <w:tc>
          <w:tcPr>
            <w:cnfStyle w:val="001000000000"/>
            <w:tcW w:w="1271" w:type="dxa"/>
            <w:vMerge/>
            <w:hideMark/>
          </w:tcPr>
          <w:p w:rsidR="00247196" w:rsidRPr="005B786B" w:rsidRDefault="00247196" w:rsidP="005A51CA">
            <w:pPr>
              <w:spacing w:line="240" w:lineRule="auto"/>
              <w:rPr>
                <w:sz w:val="20"/>
                <w:szCs w:val="22"/>
                <w:lang w:bidi="bn-BD"/>
              </w:rPr>
            </w:pPr>
          </w:p>
        </w:tc>
        <w:tc>
          <w:tcPr>
            <w:tcW w:w="5812" w:type="dxa"/>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Green purchase intention is supported when the price premium is seen as justified within the value proposition, with young consumers being particularly sensitive to this factor.</w:t>
            </w:r>
          </w:p>
        </w:tc>
        <w:tc>
          <w:tcPr>
            <w:tcW w:w="1933" w:type="dxa"/>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Chowdhury &amp; Alamgir (2021); Tamim &amp; Akter (2024)</w:t>
            </w:r>
          </w:p>
        </w:tc>
      </w:tr>
      <w:tr w:rsidR="00247196" w:rsidRPr="005B786B" w:rsidTr="005A51CA">
        <w:trPr>
          <w:cnfStyle w:val="000000100000"/>
        </w:trPr>
        <w:tc>
          <w:tcPr>
            <w:cnfStyle w:val="001000000000"/>
            <w:tcW w:w="1271" w:type="dxa"/>
            <w:vMerge w:val="restart"/>
            <w:hideMark/>
          </w:tcPr>
          <w:p w:rsidR="00247196" w:rsidRPr="005B786B" w:rsidRDefault="00247196" w:rsidP="005A51CA">
            <w:pPr>
              <w:spacing w:line="240" w:lineRule="auto"/>
              <w:rPr>
                <w:sz w:val="20"/>
                <w:szCs w:val="22"/>
                <w:lang w:bidi="bn-BD"/>
              </w:rPr>
            </w:pPr>
            <w:r w:rsidRPr="005B786B">
              <w:rPr>
                <w:sz w:val="20"/>
                <w:szCs w:val="22"/>
                <w:lang w:bidi="bn-BD"/>
              </w:rPr>
              <w:t xml:space="preserve">4.2.4.3 Market readiness, </w:t>
            </w:r>
            <w:r w:rsidRPr="005B786B">
              <w:rPr>
                <w:sz w:val="20"/>
                <w:szCs w:val="22"/>
                <w:lang w:bidi="bn-BD"/>
              </w:rPr>
              <w:lastRenderedPageBreak/>
              <w:t>availability and consistent quality</w:t>
            </w:r>
          </w:p>
        </w:tc>
        <w:tc>
          <w:tcPr>
            <w:tcW w:w="5812" w:type="dxa"/>
            <w:hideMark/>
          </w:tcPr>
          <w:p w:rsidR="00247196" w:rsidRPr="005B786B" w:rsidRDefault="00247196" w:rsidP="005A51CA">
            <w:pPr>
              <w:spacing w:line="240" w:lineRule="auto"/>
              <w:cnfStyle w:val="000000100000"/>
              <w:rPr>
                <w:sz w:val="20"/>
                <w:szCs w:val="22"/>
                <w:lang w:bidi="bn-BD"/>
              </w:rPr>
            </w:pPr>
            <w:r w:rsidRPr="005B786B">
              <w:rPr>
                <w:sz w:val="20"/>
                <w:szCs w:val="22"/>
                <w:lang w:bidi="bn-BD"/>
              </w:rPr>
              <w:lastRenderedPageBreak/>
              <w:t>Availability is a key factor in purchase intention; green products need to be visible and accessible in the market, which is often a challenge in emerging markets like Bangladesh.</w:t>
            </w:r>
          </w:p>
        </w:tc>
        <w:tc>
          <w:tcPr>
            <w:tcW w:w="1933" w:type="dxa"/>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 xml:space="preserve">Fahmida et al. (2020); Hasan et al. (2024); Tamim &amp; </w:t>
            </w:r>
            <w:r w:rsidRPr="005B786B">
              <w:rPr>
                <w:sz w:val="20"/>
                <w:szCs w:val="22"/>
                <w:lang w:bidi="bn-BD"/>
              </w:rPr>
              <w:lastRenderedPageBreak/>
              <w:t>Akter (2024)</w:t>
            </w:r>
          </w:p>
        </w:tc>
      </w:tr>
      <w:tr w:rsidR="00247196" w:rsidRPr="005B786B" w:rsidTr="005A51CA">
        <w:tc>
          <w:tcPr>
            <w:cnfStyle w:val="001000000000"/>
            <w:tcW w:w="1271" w:type="dxa"/>
            <w:vMerge/>
            <w:hideMark/>
          </w:tcPr>
          <w:p w:rsidR="00247196" w:rsidRPr="005B786B" w:rsidRDefault="00247196" w:rsidP="005A51CA">
            <w:pPr>
              <w:spacing w:line="240" w:lineRule="auto"/>
              <w:rPr>
                <w:sz w:val="20"/>
                <w:szCs w:val="22"/>
                <w:lang w:bidi="bn-BD"/>
              </w:rPr>
            </w:pPr>
          </w:p>
        </w:tc>
        <w:tc>
          <w:tcPr>
            <w:tcW w:w="5812" w:type="dxa"/>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Inconsistent quality and limited distribution infrastructure in emerging markets undermine the effectiveness of green marketing strategies, even when consumer attitudes are supportive.</w:t>
            </w:r>
          </w:p>
        </w:tc>
        <w:tc>
          <w:tcPr>
            <w:tcW w:w="1933" w:type="dxa"/>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Quang (2022); Nekmahmud&amp; Fekete-Farkas (2020)</w:t>
            </w:r>
          </w:p>
        </w:tc>
      </w:tr>
      <w:tr w:rsidR="00247196" w:rsidRPr="005B786B" w:rsidTr="005A51CA">
        <w:trPr>
          <w:cnfStyle w:val="000000100000"/>
          <w:trHeight w:val="1397"/>
        </w:trPr>
        <w:tc>
          <w:tcPr>
            <w:cnfStyle w:val="001000000000"/>
            <w:tcW w:w="1271" w:type="dxa"/>
            <w:vMerge w:val="restart"/>
            <w:hideMark/>
          </w:tcPr>
          <w:p w:rsidR="00247196" w:rsidRPr="005B786B" w:rsidRDefault="00247196" w:rsidP="005A51CA">
            <w:pPr>
              <w:spacing w:line="240" w:lineRule="auto"/>
              <w:rPr>
                <w:sz w:val="20"/>
                <w:szCs w:val="22"/>
                <w:lang w:bidi="bn-BD"/>
              </w:rPr>
            </w:pPr>
            <w:r w:rsidRPr="005B786B">
              <w:rPr>
                <w:sz w:val="20"/>
                <w:szCs w:val="22"/>
                <w:lang w:bidi="bn-BD"/>
              </w:rPr>
              <w:t>4.2.4.4 Segment differences and social influence across contexts</w:t>
            </w:r>
          </w:p>
        </w:tc>
        <w:tc>
          <w:tcPr>
            <w:tcW w:w="5812" w:type="dxa"/>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Youth-focused consumer segments in Bangladesh show strong green awareness and intention but face barriers like price and availability, indicating that social influence and market readiness play crucial roles in conversion.</w:t>
            </w:r>
          </w:p>
        </w:tc>
        <w:tc>
          <w:tcPr>
            <w:tcW w:w="1933" w:type="dxa"/>
            <w:hideMark/>
          </w:tcPr>
          <w:p w:rsidR="00247196" w:rsidRPr="005B786B" w:rsidRDefault="00247196" w:rsidP="005A51CA">
            <w:pPr>
              <w:spacing w:line="240" w:lineRule="auto"/>
              <w:cnfStyle w:val="000000100000"/>
              <w:rPr>
                <w:sz w:val="20"/>
                <w:szCs w:val="22"/>
                <w:lang w:bidi="bn-BD"/>
              </w:rPr>
            </w:pPr>
            <w:r w:rsidRPr="005B786B">
              <w:rPr>
                <w:sz w:val="20"/>
                <w:szCs w:val="22"/>
                <w:lang w:bidi="bn-BD"/>
              </w:rPr>
              <w:t>Chowdhury &amp; Alamgir (2021); Fahmida et al. (2020); Tamim &amp; Akter (2024); Khatun et al. (2025)</w:t>
            </w:r>
          </w:p>
        </w:tc>
      </w:tr>
      <w:tr w:rsidR="00247196" w:rsidRPr="005B786B" w:rsidTr="005A51CA">
        <w:tc>
          <w:tcPr>
            <w:cnfStyle w:val="001000000000"/>
            <w:tcW w:w="1271" w:type="dxa"/>
            <w:vMerge/>
            <w:hideMark/>
          </w:tcPr>
          <w:p w:rsidR="00247196" w:rsidRPr="005B786B" w:rsidRDefault="00247196" w:rsidP="005A51CA">
            <w:pPr>
              <w:spacing w:line="240" w:lineRule="auto"/>
              <w:rPr>
                <w:sz w:val="20"/>
                <w:szCs w:val="22"/>
                <w:lang w:bidi="bn-BD"/>
              </w:rPr>
            </w:pPr>
          </w:p>
        </w:tc>
        <w:tc>
          <w:tcPr>
            <w:tcW w:w="5812" w:type="dxa"/>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Social orientation, collective norms, and greenwashing perceptions vary by market, influencing the strength and consistency of green purchase intentions.</w:t>
            </w:r>
          </w:p>
        </w:tc>
        <w:tc>
          <w:tcPr>
            <w:tcW w:w="1933" w:type="dxa"/>
            <w:hideMark/>
          </w:tcPr>
          <w:p w:rsidR="00247196" w:rsidRPr="005B786B" w:rsidRDefault="00247196" w:rsidP="005A51CA">
            <w:pPr>
              <w:spacing w:line="240" w:lineRule="auto"/>
              <w:cnfStyle w:val="000000000000"/>
              <w:rPr>
                <w:sz w:val="20"/>
                <w:szCs w:val="22"/>
                <w:lang w:bidi="bn-BD"/>
              </w:rPr>
            </w:pPr>
            <w:r w:rsidRPr="005B786B">
              <w:rPr>
                <w:sz w:val="20"/>
                <w:szCs w:val="22"/>
                <w:lang w:bidi="bn-BD"/>
              </w:rPr>
              <w:t>Quang (2022); Van Hoang et al. (2025); Tshuma et al. (2023)</w:t>
            </w:r>
          </w:p>
        </w:tc>
      </w:tr>
    </w:tbl>
    <w:p w:rsidR="00247196" w:rsidRPr="001741E2" w:rsidRDefault="00247196" w:rsidP="00247196">
      <w:pPr>
        <w:pStyle w:val="Heading3"/>
      </w:pPr>
      <w:bookmarkStart w:id="66" w:name="_Toc220155790"/>
      <w:r w:rsidRPr="001741E2">
        <w:t>4.</w:t>
      </w:r>
      <w:r>
        <w:t>5</w:t>
      </w:r>
      <w:r w:rsidRPr="001741E2">
        <w:t>.1 INTENTION–BEHAVIOUR GAPS AND THE ROLE OF PERCEIVED BEHAVIOURAL CONTROL</w:t>
      </w:r>
      <w:bookmarkEnd w:id="66"/>
    </w:p>
    <w:p w:rsidR="00247196" w:rsidRPr="001741E2" w:rsidRDefault="00247196" w:rsidP="00247196">
      <w:r w:rsidRPr="001741E2">
        <w:t>A central theme in developing and emerging contexts is that intention does not always translate into action. Evidence on eco-friendly food purchasing in Bangladesh highlights a knowledge–behaviour gap, indicating consumers may be environmentally conscious yet struggle to convert that into consistent purchasing (Fahmida et al., 2020). This aligns with TPB logic that perceived behavioural control and feasibility matter. Evidence grounded in TPB confirms that attitude, subjective norms and perceived behavioural control predict intention, and intention predicts actual green purchase behaviour (Rahman et al., 2020). Read together, these studies show CPI can be a meaningful predictor, but the market environment must enable the behaviour through affordability, access, and trustworthy signals.</w:t>
      </w:r>
    </w:p>
    <w:p w:rsidR="00247196" w:rsidRPr="001741E2" w:rsidRDefault="00247196" w:rsidP="00247196">
      <w:pPr>
        <w:pStyle w:val="Heading3"/>
      </w:pPr>
      <w:bookmarkStart w:id="67" w:name="_Toc220155791"/>
      <w:r w:rsidRPr="001741E2">
        <w:t>4.</w:t>
      </w:r>
      <w:r>
        <w:t>5</w:t>
      </w:r>
      <w:r w:rsidRPr="001741E2">
        <w:t>.2 PRICE SENSITIVITY, PURCHASING POWER AND PREMIUM ACCEPTANCE</w:t>
      </w:r>
      <w:bookmarkEnd w:id="67"/>
    </w:p>
    <w:p w:rsidR="00247196" w:rsidRPr="001741E2" w:rsidRDefault="00247196" w:rsidP="00247196">
      <w:r w:rsidRPr="001741E2">
        <w:t>Affordability remains one of the most consistent constraints in emerging markets. Willingness to pay can support intention among young consumers, but only when consumers feel the premium is justified (Chowdhury and Alamgir, 2021). Evidence also shows price can weaken intention even when consumers have concern and knowledge (Hasan et al., 2024). Indian evidence similarly describes consumers as price conscious and highlights that higher eco-costs can reduce willingness to choose green alternatives (Reddy et al., 2023). The critical implication is that green pricing strategies must be carefully designed. A premium approach can work, but only with strong perceived value, credible claims, and realistic segment targeting.</w:t>
      </w:r>
    </w:p>
    <w:p w:rsidR="00247196" w:rsidRPr="001741E2" w:rsidRDefault="00247196" w:rsidP="00247196">
      <w:pPr>
        <w:pStyle w:val="Heading3"/>
      </w:pPr>
      <w:bookmarkStart w:id="68" w:name="_Toc220155792"/>
      <w:r w:rsidRPr="001741E2">
        <w:t>4.</w:t>
      </w:r>
      <w:r>
        <w:t>5</w:t>
      </w:r>
      <w:r w:rsidRPr="001741E2">
        <w:t>.3 MARKET READINESS, AVAILABILITY AND CONSISTENT QUALITY</w:t>
      </w:r>
      <w:bookmarkEnd w:id="68"/>
    </w:p>
    <w:p w:rsidR="00247196" w:rsidRPr="001741E2" w:rsidRDefault="00247196" w:rsidP="00247196">
      <w:r w:rsidRPr="001741E2">
        <w:t xml:space="preserve">Emerging-market constraints also include limited market readiness: weak availability, inconsistent quality, and uneven information infrastructure. Bangladesh evidence highlights </w:t>
      </w:r>
      <w:r w:rsidRPr="001741E2">
        <w:lastRenderedPageBreak/>
        <w:t>availability as both a barrier (limited availability) and a driver (when products are stocked, intention increases) depending on market conditions (Fahmida et al., 2020; Hasan et al., 2024). Wider developing-market evidence also points to extrinsic constraints like product pricing, quality performance, safety and promotion as key influences on green purchase decisions (Nekmahmud and Fekete-Farkas, 2020). Vietnam evidence adds that attitudes toward green FMCG are shaped by factors such as environmental concern and social orientation, which then influence purchase intention, but the market context still shapes feasibility and consistency of choice (Quang, 2022). So, green marketing effectiveness in emerging markets is partly an operations and distribution issue, not only a communication issue.</w:t>
      </w:r>
    </w:p>
    <w:p w:rsidR="00247196" w:rsidRPr="001741E2" w:rsidRDefault="00247196" w:rsidP="00247196">
      <w:pPr>
        <w:pStyle w:val="Heading3"/>
      </w:pPr>
      <w:bookmarkStart w:id="69" w:name="_Toc220155793"/>
      <w:r w:rsidRPr="001741E2">
        <w:t>4.</w:t>
      </w:r>
      <w:r>
        <w:t>5</w:t>
      </w:r>
      <w:r w:rsidRPr="001741E2">
        <w:t>.4 SEGMENT DIFFERENCES AND SOCIAL INFLUENCE ACROSS CONTEXTS</w:t>
      </w:r>
      <w:bookmarkEnd w:id="69"/>
    </w:p>
    <w:p w:rsidR="00247196" w:rsidRPr="001741E2" w:rsidRDefault="00247196" w:rsidP="00247196">
      <w:r w:rsidRPr="001741E2">
        <w:t>Finally, consumer response varies across segments and cultures. Youth-focused samples in Bangladesh often show strong awareness and relatively high stated intention, but they remain constrained by price and access (Chowdhury and Alamgir, 2021; Fahmida et al., 2020; Tamim and Akter, 2024; Khatun et al., 2025). Vietnam evidence highlights social orientation as an important driver shaping attitudes and intention, supporting the view that social influence and collective norms can matter strongly in some contexts (Quang, 2022). Other evidence suggests that perceived green marketing strategies influence intention primarily through trust, implying that baseline trust levels and greenwashing sensitivity may vary by market (Van Hoang et al., 2025). Zimbabwe evidence reinforces this by showing that greenwashing perceptions and confusion can undermine consumer responses, even when brands attempt to position themselves as green (Tshuma et al., 2023). This explains why findings sometimes differ across countries: structural constraints (price, access) and psychological constraints (trust, scepticism) interact with cultural and segment-level differences.</w:t>
      </w:r>
    </w:p>
    <w:p w:rsidR="00247196" w:rsidRPr="001741E2" w:rsidRDefault="00247196" w:rsidP="00247196">
      <w:r w:rsidRPr="001741E2">
        <w:t xml:space="preserve">Across the four themes, the evidence converges on a clear explanation of how green marketing affects CPI and longer-term brand outcomes. First, point-of-purchase cues such as packaging, product attributes and availability create fast evaluations, but they only translate into CPI when pricing is acceptable and claims are credible (Hasan et al., 2024; Ahmed et al., 2024). Second, communication tools, including advertising, eco-information and CSR, shape attitudes and intention primarily through credibility and trust, while greenwashing risk can weaken these effects (Khatun et al., 2025; Van Hoang et al., 2025; Tshuma et al., 2023). Third, long-term brand outcomes depend on consistent performance pathways such as trust, </w:t>
      </w:r>
      <w:r w:rsidRPr="001741E2">
        <w:lastRenderedPageBreak/>
        <w:t>satisfaction, loyalty, and advocacy, which extend beyond immediate purchase intention (Gani, 2017; Cai et al., 2025; Hue, 2024). Finally, emerging-market realities, particularly price sensitivity, limited availability and intention–behaviour gaps, explain why strong intentions do not always result in consistent purchasing (Fahmida et al., 2020; Rahman et al., 2020; Reddy et al., 2023).</w:t>
      </w:r>
    </w:p>
    <w:p w:rsidR="00247196" w:rsidRDefault="00247196" w:rsidP="00247196">
      <w:pPr>
        <w:pStyle w:val="Heading2"/>
        <w:rPr>
          <w:rFonts w:eastAsia="Times New Roman"/>
          <w:lang w:eastAsia="en-GB"/>
        </w:rPr>
      </w:pPr>
      <w:bookmarkStart w:id="70" w:name="_Toc220155794"/>
      <w:r>
        <w:rPr>
          <w:rFonts w:eastAsia="Times New Roman"/>
          <w:lang w:eastAsia="en-GB"/>
        </w:rPr>
        <w:t>4</w:t>
      </w:r>
      <w:r w:rsidRPr="00182ED7">
        <w:rPr>
          <w:rFonts w:eastAsia="Times New Roman"/>
          <w:lang w:eastAsia="en-GB"/>
        </w:rPr>
        <w:t>.</w:t>
      </w:r>
      <w:r>
        <w:rPr>
          <w:rFonts w:eastAsia="Times New Roman"/>
          <w:lang w:eastAsia="en-GB"/>
        </w:rPr>
        <w:t>3</w:t>
      </w:r>
      <w:r w:rsidRPr="00182ED7">
        <w:rPr>
          <w:rFonts w:eastAsia="Times New Roman"/>
          <w:lang w:eastAsia="en-GB"/>
        </w:rPr>
        <w:t xml:space="preserve"> CHAPTER SUMMARY</w:t>
      </w:r>
      <w:bookmarkEnd w:id="70"/>
    </w:p>
    <w:p w:rsidR="00247196" w:rsidRPr="00751C32" w:rsidRDefault="00247196" w:rsidP="00247196">
      <w:pPr>
        <w:rPr>
          <w:lang w:eastAsia="en-GB"/>
        </w:rPr>
      </w:pPr>
      <w:r w:rsidRPr="00751C32">
        <w:rPr>
          <w:lang w:eastAsia="en-GB"/>
        </w:rPr>
        <w:t>In this chapter, the findings from the review of 23 studies are organized into four major themes. The first theme explores how product attributes, packaging, pricing, and access cues serve as immediate signals of "greenness" that influence purchase intention. The second theme examines the role of communication tools, eco-labels, and CSR in shaping consumer attitudes and purchase intention, with a strong focus on credibility and trust. The third theme highlights the importance of green brand image, brand equity, and consumer satisfaction as key drivers of long-term brand performance. The fourth theme addresses the unique challenges in emerging markets, such as price sensitivity, market readiness, and the gap between intention and actual behaviour. Together, the studies reinforce the complex relationship between green marketing strategies, consumer behaviour, and brand performance, while also shedding light on the specific barriers faced in emerging-market contexts.</w:t>
      </w:r>
    </w:p>
    <w:p w:rsidR="00E978FD" w:rsidRDefault="00E978FD">
      <w:pPr>
        <w:spacing w:line="259" w:lineRule="auto"/>
        <w:jc w:val="left"/>
        <w:rPr>
          <w:lang w:eastAsia="en-GB"/>
        </w:rPr>
      </w:pPr>
      <w:r>
        <w:rPr>
          <w:lang w:eastAsia="en-GB"/>
        </w:rPr>
        <w:br w:type="page"/>
      </w:r>
    </w:p>
    <w:p w:rsidR="00C7158E" w:rsidRPr="00182ED7" w:rsidRDefault="00C7158E" w:rsidP="00C7158E">
      <w:pPr>
        <w:pStyle w:val="Heading1"/>
      </w:pPr>
      <w:bookmarkStart w:id="71" w:name="_Toc168212380"/>
      <w:bookmarkStart w:id="72" w:name="_Toc220155795"/>
      <w:r w:rsidRPr="00182ED7">
        <w:lastRenderedPageBreak/>
        <w:t>CHAPTER FOUR: DISCUSSION</w:t>
      </w:r>
      <w:bookmarkEnd w:id="71"/>
      <w:bookmarkEnd w:id="72"/>
    </w:p>
    <w:p w:rsidR="00C7158E" w:rsidRDefault="00E978FD" w:rsidP="00C7158E">
      <w:pPr>
        <w:pStyle w:val="Heading2"/>
      </w:pPr>
      <w:bookmarkStart w:id="73" w:name="_Toc168212381"/>
      <w:bookmarkStart w:id="74" w:name="_Toc220155796"/>
      <w:r>
        <w:t>5</w:t>
      </w:r>
      <w:r w:rsidR="00C7158E" w:rsidRPr="00182ED7">
        <w:t>.1 CHAPTER OVERVIEW</w:t>
      </w:r>
      <w:bookmarkEnd w:id="73"/>
      <w:bookmarkEnd w:id="74"/>
    </w:p>
    <w:p w:rsidR="00E978FD" w:rsidRPr="00E978FD" w:rsidRDefault="00E978FD" w:rsidP="00E978FD">
      <w:r w:rsidRPr="00E978FD">
        <w:t>This chapter discusses the findings presented in Chapter 4 and interprets them in relation to the study’s research questions on how green marketing strategies influence consumer purchase intention (CPI) and brand performance (BP) in Bangladesh’s FMCG sector. Drawing on the systematic review synthesis, the discussion explains why certain green marketing levers, such as eco-packaging cues, pricing fairness, and product availability, shape CPI more strongly than others in low-involvement FMCG categories. It also examines how credibility mechanisms, especially trust and perceived authenticity, determine whether green communication and CSR translate into behavioural intention rather than remaining surface-level awareness. Finally, the chapter links CPI to longer-term brand outcomes, including brand equity, satisfaction, loyalty, and word-of-mouth, while integrating the Theory of Planned Behaviour (TPB) and the Resource-Based View/Natural Resource-Based View (RBV/NRBV) to explain these relationships in an emerging-market context.</w:t>
      </w:r>
    </w:p>
    <w:p w:rsidR="00E978FD" w:rsidRDefault="00E978FD" w:rsidP="00E978FD">
      <w:pPr>
        <w:pStyle w:val="Heading2"/>
      </w:pPr>
      <w:bookmarkStart w:id="75" w:name="_Toc220155797"/>
      <w:r w:rsidRPr="00E978FD">
        <w:t>5.2 DISCUSSION ON FINDINGS</w:t>
      </w:r>
      <w:bookmarkEnd w:id="75"/>
    </w:p>
    <w:p w:rsidR="00E978FD" w:rsidRPr="00E978FD" w:rsidRDefault="00E978FD" w:rsidP="00E978FD">
      <w:r>
        <w:t xml:space="preserve">This section </w:t>
      </w:r>
      <w:r w:rsidRPr="00E978FD">
        <w:t>interprets the findings presented in Chapter 4 by directly linking them to the research questions and the theoretical foundations. Specifically, the discussion explains how identified themes, such as product and packaging cues, pricing fairness, availability, green communication, and CSR, shape consumer purchase intention in Bangladesh’s FMCG sector, and how purchase intention subsequently relates to brand performance outcomes including trust, loyalty, brand equity, and word-of-mouth. Using TPB to explain intention formation and RBV/NRBV to explain strategic brand outcomes, this section evaluates whether the findings align with prior literature and clarifies which green marketing strategies appear most effective</w:t>
      </w:r>
    </w:p>
    <w:p w:rsidR="00E978FD" w:rsidRPr="00E978FD" w:rsidRDefault="00E978FD" w:rsidP="00E978FD">
      <w:pPr>
        <w:pStyle w:val="Heading3"/>
      </w:pPr>
      <w:bookmarkStart w:id="76" w:name="_Toc220155798"/>
      <w:r w:rsidRPr="00E978FD">
        <w:t>5.2.1 HOW DO GREEN MARKETING STRATEGIES INFLUENCE CONSUMER PURCHASE INTENTION IN THE FMCG SECTOR IN BANGLADESH?</w:t>
      </w:r>
      <w:bookmarkEnd w:id="76"/>
    </w:p>
    <w:p w:rsidR="00E978FD" w:rsidRPr="00E978FD" w:rsidRDefault="00E978FD" w:rsidP="00E978FD">
      <w:r w:rsidRPr="00E978FD">
        <w:t xml:space="preserve">The findings show that CPI in Bangladesh’s FMCG context is primarily shaped by fast, visible cues and feasibility conditions rather than by abstract environmental values alone. Theme 1 highlights that product and packaging cues function as immediate “green signals”, particularly in low-involvement settings where decisions are quick and habitual (Hasan et al., 2024; Ahmed et al., 2024). This supports the view that consumers often rely on heuristic judgement at the point of purchase, using packaging colour, claims, and eco-design as </w:t>
      </w:r>
      <w:r w:rsidRPr="00E978FD">
        <w:lastRenderedPageBreak/>
        <w:t>simplified indicators of greenness. However, the evidence also makes a critical qualification: these cues only translate into CPI when they are credible and supported by trust (Hasan et al., 2024; Brahma and Debnath, 2025). In other words, packaging can attract attention, but it does not guarantee intention without confidence in the claim.</w:t>
      </w:r>
    </w:p>
    <w:p w:rsidR="00E978FD" w:rsidRPr="00E978FD" w:rsidRDefault="00E978FD" w:rsidP="00E978FD">
      <w:r w:rsidRPr="00E978FD">
        <w:t>TPB provides a clear explanation for this pattern. Green packaging and product attributes strengthen attitude towards buying green products because they make environmental benefits more concrete and easier to recognise (Ajzen, 1991). Yet TPB also implies that intention is constrained when consumers perceive barriers. This is exactly what the review shows. Findings under Theme 1 and Theme 4 consistently identify price fairness and perceived value as decisive conditions for CPI (Hasan et al., 2024; Tamim and Akter, 2024; Chowdhury and Alamgir, 2021). Even when consumers show awareness or positive evaluations, CPI weakens if the price premium is seen as unfair or unjustified. This is a critical emerging-market insight because it challenges a simplistic assumption that “green attributes automatically increase intention.” The evidence suggests that green claims must be embedded within a believable value proposition, where the premium is framed as reasonable and linked to tangible benefits (Tahir, 2021; Tamim and Akter, 2024). Notably, the findings also indicate that moral obligation does not consistently drive intention in some emerging-market contexts, whereas value and fairness remain central (Chowdhury and Alamgir, 2021). This implies that pro-environmental motivation may be present but insufficient when economic trade-offs feel too high.</w:t>
      </w:r>
    </w:p>
    <w:p w:rsidR="00E978FD" w:rsidRPr="00E978FD" w:rsidRDefault="00E978FD" w:rsidP="00E978FD">
      <w:r w:rsidRPr="00E978FD">
        <w:t>Beyond price, the findings show that availability and access are not secondary issues, they are core intention drivers in FMCG purchasing (Hasan et al., 2024; Tamim and Akter, 2024). This is theoretically important because it extends TPB beyond attitudinal prediction into feasibility conditions. In daily FMCG settings, consumers may intend to purchase greener options, but intention becomes fragile when products are not visible, not stocked, or not convenient to obtain (Fahmida et al., 2020; Hasan et al., 2024). Therefore, CPI is partly shaped by perceived behavioural control, not only by attitudes or social influence (Ajzen, 1991; Rahman et al., 2020). This aligns with Theme 4 evidence on the intention–behaviour gap, showing that knowledge and environmental concern do not reliably convert into consistent purchasing when affordability and access remain constrained (Fahmida et al., 2020).</w:t>
      </w:r>
    </w:p>
    <w:p w:rsidR="00E978FD" w:rsidRPr="00E978FD" w:rsidRDefault="00E978FD" w:rsidP="00E978FD">
      <w:r w:rsidRPr="00E978FD">
        <w:lastRenderedPageBreak/>
        <w:t>Theme 2 further demonstrates that communication works through credibility and trust, not through exposure alone. Advertising appeal can shape attitudes and support CPI when messages are clear and believable (Khatun et al., 2025; Reddy et al., 2023). Social media can amplify this effect by spreading messages through networks and peer engagement (Aslam et al., 2020). However, eco-labels and awareness tools operate mainly as uncertainty reducers, meaning they help consumers evaluate claims but do not replace trust or solve structural barriers (Nekmahmud and Fekete-Farkas, 2020; Hasan et al., 2024). In Bangladesh, awareness is positively related to intention, yet a knowledge–behaviour gap remains visible (Fahmida et al., 2020). This finding is critical because it implies that FMCG green marketing cannot rely on information campaigns alone; intention is shaped by a combination of credibility signals and real purchasing feasibility.</w:t>
      </w:r>
    </w:p>
    <w:p w:rsidR="00E978FD" w:rsidRPr="00E978FD" w:rsidRDefault="00E978FD" w:rsidP="00E978FD">
      <w:pPr>
        <w:pStyle w:val="Heading3"/>
      </w:pPr>
      <w:bookmarkStart w:id="77" w:name="_Toc220155799"/>
      <w:r w:rsidRPr="00E978FD">
        <w:t>5.2.2HOW DOES CONSUMER PURCHASE INTENTION RELATE TO BRAND PERFORMANCE IN THE FMCG SECTOR IN BANGLADESH?</w:t>
      </w:r>
      <w:bookmarkEnd w:id="77"/>
    </w:p>
    <w:p w:rsidR="00E978FD" w:rsidRPr="00E978FD" w:rsidRDefault="00E978FD" w:rsidP="00E978FD">
      <w:r w:rsidRPr="00E978FD">
        <w:t>The review shows that CPI is not only a short-term behavioural predictor, it also acts as an entry point into longer-term brand outcomes through trust, satisfaction, loyalty, and advocacy. Theme 3 explains that green marketing can strengthen green brand image, but image alone is not always sufficient to convert intention, especially when trust is weak (Tahir, 2021; Van Hoang et al., 2025). This is a key critical insight because it challenges “image-first” assumptions in branding. The evidence suggests green image may operate as a supportive condition that improves receptiveness, while trust performs the decisive conversion role (Van Hoang et al., 2025).</w:t>
      </w:r>
    </w:p>
    <w:p w:rsidR="00E978FD" w:rsidRPr="00E978FD" w:rsidRDefault="00E978FD" w:rsidP="00E978FD">
      <w:r w:rsidRPr="00E978FD">
        <w:t>Once CPI is formed and supported by positive experience, the pathway to BP becomes clearer. The findings show that trust mediates the relationship between green marketing and repeat outcomes, including buying behaviour and eWOM (Cai et al., 2025). Satisfaction grounded in past experience reinforces long-term behaviour and strengthens loyalty mechanisms (Gani, 2017; Basu et al., 2025). These findings imply that CPI becomes brand-relevant when it is supported by product performance and consistent delivery, creating a feedback loop where consumers verify green claims through lived experience rather than through marketing alone.</w:t>
      </w:r>
    </w:p>
    <w:p w:rsidR="00E978FD" w:rsidRPr="00E978FD" w:rsidRDefault="00E978FD" w:rsidP="00E978FD">
      <w:r w:rsidRPr="00E978FD">
        <w:t xml:space="preserve">RBV/NRBV strengthens the explanation of how CPI links to BP. From this perspective, brand performance improves when firms develop green resources and capabilities that are valuable, hard to imitate, and consistently delivered (Barney, 1991; Hart, 1995). The findings </w:t>
      </w:r>
      <w:r w:rsidRPr="00E978FD">
        <w:lastRenderedPageBreak/>
        <w:t>suggest that credible eco-packaging, reliable product quality, authentic CSR, and consistent green marketing mix execution form strategic assets that produce trust and green brand equity over time (Mathew and Jose, 2022; Hue, 2024). In this sense, CPI can be seen as the demand-side expression of the firm’s capability strength. When green capabilities are weak or inconsistent, CPI may exist at an attitudinal level but fails to translate into repeat purchase, loyalty, or advocacy.</w:t>
      </w:r>
    </w:p>
    <w:p w:rsidR="00E978FD" w:rsidRPr="00E978FD" w:rsidRDefault="00E978FD" w:rsidP="00E978FD">
      <w:r w:rsidRPr="00E978FD">
        <w:t>The review also highlights that word-of-mouth (WOM) and electronic WOM are practical indicators of long-term BP. Green brand equity contributes to WOM intention, and trust predicts positive online recommendations (Hue, 2024; Cai et al., 2025). This matters strategically because WOM reduces reliance on paid promotion and can scale credibility through peer influence, which is particularly valuable in markets where consumers are skeptical of green claims and where trust is costly to build.</w:t>
      </w:r>
    </w:p>
    <w:p w:rsidR="00E978FD" w:rsidRPr="00E978FD" w:rsidRDefault="00E978FD" w:rsidP="00E978FD">
      <w:pPr>
        <w:pStyle w:val="Heading3"/>
      </w:pPr>
      <w:bookmarkStart w:id="78" w:name="_Toc220155800"/>
      <w:r w:rsidRPr="00E978FD">
        <w:t>5.2.3WHICH GREEN MARKETING STRATEGIES APPEAR MOST EFFECTIVE FOR ENHANCING CONSUMER ENGAGEMENT AND BRAND PERFORMANCE IN CONDITIONS SIMILAR TO BANGLADESH’S FMCG MARKET?</w:t>
      </w:r>
      <w:bookmarkEnd w:id="78"/>
    </w:p>
    <w:p w:rsidR="00E978FD" w:rsidRPr="00E978FD" w:rsidRDefault="00E978FD" w:rsidP="00E978FD">
      <w:r w:rsidRPr="00E978FD">
        <w:t>Across the themes, the most effective strategies are not isolated actions, they are bundles that combine visibility, fairness, feasibility, and credibility. First, the evidence suggests that eco-packaging and product cues are high-impact for generating attention and shaping attitudes, but they must be paired with credibility and availability to stabilise CPI (Hasan et al., 2024; Brahma and Debnath, 2025). Second, pricing strategy is decisive in Bangladesh-like conditions. A premium can work only when perceived value is strong and fairness is clear, especially among youth segments who are intention-positive but financially constrained (Tamim and Akter, 2024; Chowdhury and Alamgir, 2021). Third, distribution and availability function as a practical gatekeeper. Without market access and consistent quality, even strong green attitudes and persuasive promotion struggle to generate repeatable purchasing (Fahmida et al., 2020; Nekmahmud and Fekete-Farkas, 2020; Quang, 2022).</w:t>
      </w:r>
    </w:p>
    <w:p w:rsidR="00E978FD" w:rsidRPr="00E978FD" w:rsidRDefault="00E978FD" w:rsidP="00E978FD">
      <w:r w:rsidRPr="00E978FD">
        <w:t xml:space="preserve">In terms of communication, the evidence supports credible advertising and social media amplification, but warns that eco-labels and CSR only work when they are trusted and verifiable (Khatun et al., 2025; Aslam et al., 2020; Tahir, 2021). The strongest cross-theme conclusion is that trust is the key mechanism connecting green marketing to CPI and then to BP, while greenwashing perceptions weaken both intention and engagement (Van Hoang et al., 2025; Tshuma et al., 2023). Therefore, the most effective strategy set in Bangladesh’s </w:t>
      </w:r>
      <w:r w:rsidRPr="00E978FD">
        <w:lastRenderedPageBreak/>
        <w:t>FMCG sector is likely one that combines transparent claims, consistent product performance, realistic pricing, and accessible distribution, supported by CSR that feels genuine rather than promotional.</w:t>
      </w:r>
    </w:p>
    <w:p w:rsidR="00E978FD" w:rsidRPr="00E978FD" w:rsidRDefault="00E978FD" w:rsidP="00E978FD">
      <w:pPr>
        <w:pStyle w:val="Heading2"/>
      </w:pPr>
      <w:bookmarkStart w:id="79" w:name="_Toc220155801"/>
      <w:r w:rsidRPr="00E978FD">
        <w:t>5.3 IMPLICATIONS FOR THE STUDY</w:t>
      </w:r>
      <w:bookmarkEnd w:id="79"/>
    </w:p>
    <w:p w:rsidR="00E978FD" w:rsidRPr="00E978FD" w:rsidRDefault="00E978FD" w:rsidP="00E978FD">
      <w:r w:rsidRPr="00E978FD">
        <w:t>The study contributes theoretically by showing that TPB explains CPI in Bangladesh’s FMCG context only when perceived behavioural control is treated as central rather than peripheral. The review indicates that positive attitude and awareness are often insufficient without feasibility conditions such as affordability and availability, reinforcing that intention formation is shaped by structural constraints in emerging markets (Ajzen, 1991; Rahman et al., 2020). In addition, RBV/NRBV helps explain how green marketing translates into BP by framing trust, green brand equity, and reputational credibility as outcomes of firm-level green capabilities that can generate sustained advantage (Barney, 1991; Hart, 1995).</w:t>
      </w:r>
    </w:p>
    <w:p w:rsidR="00E978FD" w:rsidRPr="00E978FD" w:rsidRDefault="00E978FD" w:rsidP="00E978FD">
      <w:r w:rsidRPr="00E978FD">
        <w:t>Practically, FMCG managers in Bangladesh should prioritise a credible green value proposition: visible eco-packaging backed by proof, price positioning that emphasises fairness and consumer value, and distribution strategies that improve access and consistency. Communication should focus on clarity and trust-building rather than volume, with strong safeguards against greenwashing. Policy implications include strengthening eco-labelling standards, monitoring misleading green claims, and encouraging packaging and waste-related guidelines that make sustainability signals more reliable for consumers.</w:t>
      </w:r>
    </w:p>
    <w:p w:rsidR="00E978FD" w:rsidRPr="00E978FD" w:rsidRDefault="00E978FD" w:rsidP="00E978FD">
      <w:pPr>
        <w:pStyle w:val="Heading2"/>
      </w:pPr>
      <w:bookmarkStart w:id="80" w:name="_Toc220155802"/>
      <w:r w:rsidRPr="00E978FD">
        <w:t>5.4 CHAPTER SUMMARY</w:t>
      </w:r>
      <w:bookmarkEnd w:id="80"/>
    </w:p>
    <w:p w:rsidR="00E978FD" w:rsidRPr="00E978FD" w:rsidRDefault="00E978FD" w:rsidP="00E978FD">
      <w:r w:rsidRPr="00E978FD">
        <w:t>This chapter discussed how green marketing strategies influence CPI and brand performance in Bangladesh’s FMCG sector, using the findings from Chapter 4 and integrating TPB with RBV/NRBV. The discussion showed that CPI is shaped most strongly by visible green cues, price fairness, and product availability, while trust acts as the critical mechanism converting green messages into intention. It also demonstrated that CPI supports brand performance mainly through trust, satisfaction, loyalty, and WOM/eWOM, with green brand equity developing through consistent delivery of the green marketing mix. Overall, the chapter emphasised that effective green marketing in Bangladesh-like markets requires strategy bundles that combine credibility, affordability, feasibility, and consistency. These insights offer direct managerial value for FMCG firms seeking to improve consumer engagement while building longer-term brand strength.</w:t>
      </w:r>
    </w:p>
    <w:p w:rsidR="00E978FD" w:rsidRDefault="00E978FD" w:rsidP="00E978FD"/>
    <w:p w:rsidR="00E978FD" w:rsidRDefault="00E978FD" w:rsidP="00E978FD"/>
    <w:p w:rsidR="00E978FD" w:rsidRPr="00E978FD" w:rsidRDefault="00E978FD" w:rsidP="00E978FD"/>
    <w:p w:rsidR="00E978FD" w:rsidRPr="00E978FD" w:rsidRDefault="00E978FD" w:rsidP="00E978FD">
      <w:pPr>
        <w:pStyle w:val="Heading1"/>
      </w:pPr>
      <w:bookmarkStart w:id="81" w:name="_Toc220155803"/>
      <w:bookmarkStart w:id="82" w:name="_Toc168212389"/>
      <w:r w:rsidRPr="00E978FD">
        <w:t>CHAPTER 6: CONCLUSION</w:t>
      </w:r>
      <w:r>
        <w:t xml:space="preserve"> AND RECOMMENDATIONS</w:t>
      </w:r>
      <w:bookmarkEnd w:id="81"/>
    </w:p>
    <w:p w:rsidR="00E978FD" w:rsidRPr="00E978FD" w:rsidRDefault="00E978FD" w:rsidP="00E978FD">
      <w:pPr>
        <w:pStyle w:val="Heading2"/>
      </w:pPr>
      <w:bookmarkStart w:id="83" w:name="_Toc220155804"/>
      <w:r w:rsidRPr="00E978FD">
        <w:t>6.1 CHAPTER OVERVIEW</w:t>
      </w:r>
      <w:bookmarkEnd w:id="83"/>
    </w:p>
    <w:p w:rsidR="00E978FD" w:rsidRDefault="00E978FD" w:rsidP="00E978FD">
      <w:r w:rsidRPr="00E978FD">
        <w:t>This chapter presents the final conclusion of the dissertation and draws the study to a close. The research examined how green marketing strategies influence consumer purchase intention and brand performance in Bangladesh’s FMCG sector through a structured, PRISMA-guided synthesis of prior empirical studies. Building on the findings (Chapter 4) and interpretation (Chapter 5), this chapter briefly consolidates what the evidence suggests about the strongest drivers shaping consumer response, especially credibility, affordability, availability, and trust. It then states the overall conclusions and confirms how the study met its aim, objectives, and research questions. Finally, it provides practical recommendations for FMCG managers in Bangladesh, acknowledges key limitations of the review-based design, and suggests focused directions for future research.</w:t>
      </w:r>
    </w:p>
    <w:p w:rsidR="00E978FD" w:rsidRPr="00E978FD" w:rsidRDefault="00E978FD" w:rsidP="00E978FD">
      <w:pPr>
        <w:pStyle w:val="Heading2"/>
      </w:pPr>
      <w:bookmarkStart w:id="84" w:name="_Toc220155805"/>
      <w:r w:rsidRPr="00E978FD">
        <w:t>6.2 CONCLUSION</w:t>
      </w:r>
      <w:bookmarkEnd w:id="84"/>
    </w:p>
    <w:p w:rsidR="00E978FD" w:rsidRDefault="00E978FD" w:rsidP="00E978FD">
      <w:r w:rsidRPr="00E978FD">
        <w:t xml:space="preserve">This dissertation set out to examine how green marketing strategies affect consumer purchase intention and brand performance in the FMCG sector in Bangladesh, using evidence from Bangladesh and comparable emerging markets. To do this, the study reviewed research linked to core green marketing levers, namely green product innovation, eco-packaging, environmental advertising and eco-labels, and CSR-related initiatives, and connected these to consumer purchase intention and downstream brand outcomes such as trust, loyalty, equity, and word-of-mouth. </w:t>
      </w:r>
    </w:p>
    <w:p w:rsidR="00E978FD" w:rsidRPr="00E978FD" w:rsidRDefault="00E978FD" w:rsidP="00E978FD">
      <w:r w:rsidRPr="00E978FD">
        <w:t>Across the synthesised evidence, the overall pattern is clear. Green marketing can strengthen consumer purchase intention in FMCG contexts, but the effect depends on whether consumers believe the claim, can afford the product, and can easily find it. In other words, credibility, affordability, availability, and trust repeatedly show up as the practical “gatekeepers” that decide whether green messages turn into real engagement. When consumers perceive green claims as credible and supported by concrete actions, they show higher willingness to consider green-packaged or green-positioned FMCG products. When claims feel vague, exaggerated, or inconsistent with the brand’s behaviour, trust drops and so does intention, even among consumers who express environmental concern.</w:t>
      </w:r>
    </w:p>
    <w:p w:rsidR="00E978FD" w:rsidRDefault="00E978FD" w:rsidP="00E978FD">
      <w:r w:rsidRPr="00E978FD">
        <w:lastRenderedPageBreak/>
        <w:t xml:space="preserve">Affordability emerged as a decisive constraint in the Bangladeshi FMCG setting. The reviewed evidence indicates that price sensitivity remains high, so even consumers with positive attitudes may not translate that into purchase intention when green options come with noticeable premiums. Availability works in the same way. If green alternatives are hard to find across common retail channels, or if distribution is inconsistent, purchase intention is weakened because the decision becomes inconvenient in a low-involvement category. Together, affordability and availability shape perceived behavioural control, which aligns with the logic of the Theory of Planned Behaviour used in this study. </w:t>
      </w:r>
    </w:p>
    <w:p w:rsidR="00E978FD" w:rsidRPr="00E978FD" w:rsidRDefault="00E978FD" w:rsidP="00E978FD">
      <w:r w:rsidRPr="00E978FD">
        <w:t>The discussion also supports the Resource-Based View and NRBV argument that credible green capabilities, sustained over time, can become strategic assets that strengthen brand performance through trust, loyalty, reputation, and advocacy. Put simply, when a brand’s green marketing is backed by real product and packaging improvements, transparent communication, and visible CSR, it is more likely to build trust, and trust is the bridge between intention and brand outcomes.</w:t>
      </w:r>
    </w:p>
    <w:p w:rsidR="00E978FD" w:rsidRDefault="00E978FD" w:rsidP="00E978FD">
      <w:pPr>
        <w:rPr>
          <w:rFonts w:eastAsiaTheme="majorEastAsia" w:cstheme="majorBidi"/>
          <w:b/>
          <w:szCs w:val="40"/>
        </w:rPr>
      </w:pPr>
      <w:r w:rsidRPr="00E978FD">
        <w:t xml:space="preserve">The study achieved its aim and objectives by consolidating fragmented findings into an integrated understanding of which green practices tend to work best in FMCG settings similar to Bangladesh, how they influence purchase intention, and how purchase intention links to brand performance outcomes. It also addressed all three research questions by (1) identifying how green marketing affects purchase intention, (2) clarifying the intention–brand performance relationship through mediators such as trust and equity, and (3) comparing which strategies appear most consistently effective under Bangladeshi market conditions. </w:t>
      </w:r>
    </w:p>
    <w:p w:rsidR="00E978FD" w:rsidRPr="00E978FD" w:rsidRDefault="00E978FD" w:rsidP="00E978FD">
      <w:pPr>
        <w:pStyle w:val="Heading2"/>
        <w:rPr>
          <w:bCs/>
        </w:rPr>
      </w:pPr>
      <w:bookmarkStart w:id="85" w:name="_Toc220155806"/>
      <w:r w:rsidRPr="00E978FD">
        <w:rPr>
          <w:bCs/>
        </w:rPr>
        <w:t>6.3 RECOMMENDATIONS</w:t>
      </w:r>
      <w:bookmarkEnd w:id="85"/>
    </w:p>
    <w:p w:rsidR="00E978FD" w:rsidRPr="00E978FD" w:rsidRDefault="00E978FD" w:rsidP="00E978FD">
      <w:r w:rsidRPr="00E978FD">
        <w:t>Based on the evidence synthesised in this dissertation, FMCG managers in Bangladesh should focus on green marketing that is believable, affordable, and easy to access, because these factors repeatedly shape consumer engagement and brand outcomes.</w:t>
      </w:r>
    </w:p>
    <w:p w:rsidR="00E978FD" w:rsidRPr="00E978FD" w:rsidRDefault="00E978FD" w:rsidP="00C17AE6">
      <w:pPr>
        <w:pStyle w:val="ListParagraph"/>
        <w:numPr>
          <w:ilvl w:val="0"/>
          <w:numId w:val="9"/>
        </w:numPr>
        <w:rPr>
          <w:bCs/>
        </w:rPr>
      </w:pPr>
      <w:r w:rsidRPr="00E978FD">
        <w:rPr>
          <w:bCs/>
        </w:rPr>
        <w:t>Build credibility first, then communicate.</w:t>
      </w:r>
      <w:r w:rsidRPr="00E978FD">
        <w:t xml:space="preserve"> Prioritise verifiable improvements in packaging (recyclability, reduced material use) and product design before running heavy “green” promotion. Support claims with simple proof points on-pack and online, such as measurable targets, lifecycle information, or recognised certification where feasible. This directly addresses the trust barrier that weakens purchase intention and harms brand equity.</w:t>
      </w:r>
    </w:p>
    <w:p w:rsidR="00E978FD" w:rsidRPr="00E978FD" w:rsidRDefault="00E978FD" w:rsidP="00C17AE6">
      <w:pPr>
        <w:pStyle w:val="ListParagraph"/>
        <w:numPr>
          <w:ilvl w:val="0"/>
          <w:numId w:val="8"/>
        </w:numPr>
        <w:rPr>
          <w:rFonts w:eastAsiaTheme="majorEastAsia" w:cstheme="majorBidi"/>
          <w:b/>
          <w:szCs w:val="40"/>
        </w:rPr>
      </w:pPr>
      <w:r w:rsidRPr="00E978FD">
        <w:rPr>
          <w:bCs/>
        </w:rPr>
        <w:lastRenderedPageBreak/>
        <w:t>Make green options price-realistic. Because FMCG buyers are highly price-sensitive, keep green variants within a narrow premium range, or use cost offsets such as lighter packaging, local sourcing efficiencies, and bundle promotions. Where premiums are unavoidable, clearly explain the consumer benefit (health, safety, durability, waste reduction), so the price feels justified rather than symbolic.</w:t>
      </w:r>
    </w:p>
    <w:p w:rsidR="00E978FD" w:rsidRPr="00E978FD" w:rsidRDefault="00E978FD" w:rsidP="00C17AE6">
      <w:pPr>
        <w:pStyle w:val="ListParagraph"/>
        <w:numPr>
          <w:ilvl w:val="0"/>
          <w:numId w:val="9"/>
        </w:numPr>
        <w:rPr>
          <w:bCs/>
        </w:rPr>
      </w:pPr>
      <w:r w:rsidRPr="00E978FD">
        <w:rPr>
          <w:bCs/>
        </w:rPr>
        <w:t>Fix availability gaps. Strengthen distribution so green products are consistently present in the channels people actually use, including traditional retail and fast-moving neighbourhood shops, not only modern trade. Availability should be treated as part of the green value proposition, because convenience strongly influences FMCG intention.</w:t>
      </w:r>
    </w:p>
    <w:p w:rsidR="00E978FD" w:rsidRPr="00E978FD" w:rsidRDefault="00E978FD" w:rsidP="00C17AE6">
      <w:pPr>
        <w:pStyle w:val="ListParagraph"/>
        <w:numPr>
          <w:ilvl w:val="0"/>
          <w:numId w:val="8"/>
        </w:numPr>
        <w:rPr>
          <w:rFonts w:eastAsiaTheme="majorEastAsia" w:cstheme="majorBidi"/>
          <w:b/>
          <w:szCs w:val="40"/>
        </w:rPr>
      </w:pPr>
      <w:r w:rsidRPr="00E978FD">
        <w:rPr>
          <w:bCs/>
        </w:rPr>
        <w:t>Use trust-building messaging, not vague slogans. Avoid broad claims like “100% eco-friendly” unless fully defensible. Instead, use specific, modest statements that reduce scepticism. Consistency matters more than hype.</w:t>
      </w:r>
    </w:p>
    <w:p w:rsidR="00E978FD" w:rsidRDefault="00E978FD" w:rsidP="00C17AE6">
      <w:pPr>
        <w:pStyle w:val="ListParagraph"/>
        <w:numPr>
          <w:ilvl w:val="0"/>
          <w:numId w:val="9"/>
        </w:numPr>
        <w:rPr>
          <w:bCs/>
        </w:rPr>
      </w:pPr>
      <w:r w:rsidRPr="00E978FD">
        <w:rPr>
          <w:bCs/>
        </w:rPr>
        <w:t>Link CSR to core FMCG waste problems. CSR should be tied to visible local environmental issues, especially plastic waste. Partnerships with recyclers, community collection drives, and take-back pilots help consumers connect CSR to real outcomes, strengthening brand credibility and advocacy.</w:t>
      </w:r>
    </w:p>
    <w:p w:rsidR="00E978FD" w:rsidRPr="00E978FD" w:rsidRDefault="00E978FD" w:rsidP="00E978FD">
      <w:pPr>
        <w:pStyle w:val="Heading2"/>
      </w:pPr>
      <w:bookmarkStart w:id="86" w:name="_Toc220155807"/>
      <w:r w:rsidRPr="00E978FD">
        <w:t>6.4 LIMITATIONS OF THE STUDY</w:t>
      </w:r>
      <w:bookmarkEnd w:id="86"/>
    </w:p>
    <w:p w:rsidR="00E978FD" w:rsidRPr="00E978FD" w:rsidRDefault="00E978FD" w:rsidP="00E978FD">
      <w:pPr>
        <w:rPr>
          <w:bCs/>
        </w:rPr>
      </w:pPr>
      <w:r w:rsidRPr="00E978FD">
        <w:rPr>
          <w:bCs/>
        </w:rPr>
        <w:t>This dissertation has limitations that should be considered when interpreting the findings. First, the study relied on secondary evidence, so conclusions are constrained by what prior studies measured and reported, including differences in constructs, samples, and analytical methods. Many reviewed studies in emerging markets use cross-sectional survey designs and convenience samples, often skewed toward students or urban youth, which can inflate positive attitudes and limit generalisability to the wider Bangladeshi FMCG consumer base. The geographical focus on Bangladesh also narrows transferability to other markets with different income levels, retail structures, or environmental regulation. Finally, the evidence base is relatively limited in longitudinal work and objective brand performance indicators, so long-term effects on loyalty, equity, and market share are harder to confirm.</w:t>
      </w:r>
    </w:p>
    <w:p w:rsidR="00E978FD" w:rsidRPr="00E978FD" w:rsidRDefault="00E978FD" w:rsidP="00E978FD">
      <w:pPr>
        <w:pStyle w:val="Heading2"/>
        <w:rPr>
          <w:bCs/>
        </w:rPr>
      </w:pPr>
      <w:bookmarkStart w:id="87" w:name="_Toc220155808"/>
      <w:r w:rsidRPr="00E978FD">
        <w:rPr>
          <w:bCs/>
        </w:rPr>
        <w:t>6.5 FUTURE RESEARCH DIRECTIONS</w:t>
      </w:r>
      <w:bookmarkEnd w:id="87"/>
    </w:p>
    <w:p w:rsidR="00E978FD" w:rsidRPr="00E978FD" w:rsidRDefault="00E978FD" w:rsidP="00E978FD">
      <w:r w:rsidRPr="00E978FD">
        <w:t xml:space="preserve">Future research can strengthen and extend the dissertation’s conclusions in several ways. First, scholars should test green marketing effects in other sectors beyond FMCG, and across additional emerging markets, to see whether the same “gatekeepers” of credibility, </w:t>
      </w:r>
      <w:r w:rsidRPr="00E978FD">
        <w:lastRenderedPageBreak/>
        <w:t>affordability, availability, and trust operate similarly in different purchase contexts. Second, more primary research is needed in Bangladesh, including mixed-method studies that combine surveys with experiments, retail observation, or purchase data, so the intention–behaviour gap can be examined more directly. Third, emerging technologies deserve focused attention. Research could examine how AI-driven personalisation influences green message effectiveness, or how blockchain and traceability tools affect credibility and consumer trust in environmental claims. Finally, longitudinal studies are needed to measure whether consistent green marketing and real sustainability capabilities produce lasting gains in brand loyalty, advocacy, and market outcomes, especially under inflationary pressure and shifting consumer budgets in Bangladesh.</w:t>
      </w:r>
    </w:p>
    <w:bookmarkEnd w:id="82"/>
    <w:p w:rsidR="00E978FD" w:rsidRDefault="00E978FD">
      <w:pPr>
        <w:spacing w:line="259" w:lineRule="auto"/>
        <w:jc w:val="left"/>
        <w:rPr>
          <w:rFonts w:eastAsiaTheme="majorEastAsia" w:cstheme="majorBidi"/>
          <w:b/>
          <w:sz w:val="28"/>
          <w:szCs w:val="50"/>
        </w:rPr>
      </w:pPr>
      <w:r>
        <w:br w:type="page"/>
      </w:r>
    </w:p>
    <w:p w:rsidR="00E978FD" w:rsidRDefault="00E978FD" w:rsidP="00E978FD">
      <w:pPr>
        <w:pStyle w:val="Heading1"/>
        <w:jc w:val="both"/>
      </w:pPr>
      <w:bookmarkStart w:id="88" w:name="_Toc220155809"/>
      <w:r w:rsidRPr="006A4D11">
        <w:lastRenderedPageBreak/>
        <w:t>REFERENCES</w:t>
      </w:r>
      <w:bookmarkEnd w:id="88"/>
    </w:p>
    <w:p w:rsidR="00247196" w:rsidRPr="001F7A65" w:rsidRDefault="00247196" w:rsidP="00E978FD">
      <w:pPr>
        <w:ind w:firstLine="567"/>
        <w:rPr>
          <w:rFonts w:cs="Times New Roman"/>
          <w:szCs w:val="24"/>
        </w:rPr>
      </w:pPr>
      <w:r w:rsidRPr="001F7A65">
        <w:rPr>
          <w:rFonts w:cs="Times New Roman"/>
          <w:szCs w:val="24"/>
        </w:rPr>
        <w:t xml:space="preserve">Abdullah, M. and Abedin, M.Z. (2024) ‘Assessment of plastic waste management in Bangladesh: a comprehensive perspective on sorting, production, separation, and recycling’, </w:t>
      </w:r>
      <w:r w:rsidRPr="001F7A65">
        <w:rPr>
          <w:rFonts w:cs="Times New Roman"/>
          <w:i/>
          <w:iCs/>
          <w:szCs w:val="24"/>
        </w:rPr>
        <w:t>Results in Surfaces and Interfaces</w:t>
      </w:r>
      <w:r w:rsidRPr="001F7A65">
        <w:rPr>
          <w:rFonts w:cs="Times New Roman"/>
          <w:szCs w:val="24"/>
        </w:rPr>
        <w:t>, 15, 100221.</w:t>
      </w:r>
    </w:p>
    <w:p w:rsidR="00247196" w:rsidRPr="005608F8" w:rsidRDefault="00247196" w:rsidP="00E978FD">
      <w:pPr>
        <w:ind w:firstLine="567"/>
        <w:rPr>
          <w:rFonts w:cs="Times New Roman"/>
          <w:szCs w:val="24"/>
        </w:rPr>
      </w:pPr>
      <w:r w:rsidRPr="005608F8">
        <w:rPr>
          <w:rFonts w:cs="Times New Roman"/>
          <w:szCs w:val="24"/>
        </w:rPr>
        <w:t xml:space="preserve">Adnan, M., Çakir, V., Naseer, U. and Khan, N. (2025) ‘Green purchase intentions in emerging markets: A theory of planned behavior perspective on consumer behavior and brand dynamics’, </w:t>
      </w:r>
      <w:r w:rsidRPr="005608F8">
        <w:rPr>
          <w:rFonts w:cs="Times New Roman"/>
          <w:i/>
          <w:iCs/>
          <w:szCs w:val="24"/>
        </w:rPr>
        <w:t>Journal of Innovative Research in Management Sciences</w:t>
      </w:r>
      <w:r w:rsidRPr="005608F8">
        <w:rPr>
          <w:rFonts w:cs="Times New Roman"/>
          <w:szCs w:val="24"/>
        </w:rPr>
        <w:t>, 6(1), pp. 20–40.</w:t>
      </w:r>
    </w:p>
    <w:p w:rsidR="00247196" w:rsidRPr="00147005" w:rsidRDefault="00247196" w:rsidP="00E978FD">
      <w:pPr>
        <w:spacing w:after="0"/>
        <w:ind w:firstLine="567"/>
        <w:rPr>
          <w:rFonts w:cs="Times New Roman"/>
          <w:szCs w:val="24"/>
        </w:rPr>
      </w:pPr>
      <w:r w:rsidRPr="00147005">
        <w:rPr>
          <w:rFonts w:cs="Times New Roman"/>
          <w:szCs w:val="24"/>
        </w:rPr>
        <w:t xml:space="preserve">Afrooz, N. (2022) </w:t>
      </w:r>
      <w:r w:rsidRPr="00147005">
        <w:rPr>
          <w:rFonts w:cs="Times New Roman"/>
          <w:i/>
          <w:iCs/>
          <w:szCs w:val="24"/>
        </w:rPr>
        <w:t>FMCG industry of Bangladesh: an overview of current challenges</w:t>
      </w:r>
      <w:r w:rsidRPr="00147005">
        <w:rPr>
          <w:rFonts w:cs="Times New Roman"/>
          <w:szCs w:val="24"/>
        </w:rPr>
        <w:t xml:space="preserve">. Emerging Credit Ratings Ltd., Vol. 1. Available at: </w:t>
      </w:r>
      <w:hyperlink r:id="rId14" w:tgtFrame="_new" w:history="1">
        <w:r w:rsidRPr="00147005">
          <w:rPr>
            <w:rStyle w:val="Hyperlink"/>
            <w:rFonts w:cs="Times New Roman"/>
            <w:szCs w:val="24"/>
          </w:rPr>
          <w:t>https://emergingrating.com/wp-content/uploads/2022/11/FMCG-Industry-of-Bangladesh_An-Overview-of-Current-Challenges.pdf</w:t>
        </w:r>
      </w:hyperlink>
    </w:p>
    <w:p w:rsidR="00247196" w:rsidRDefault="00247196" w:rsidP="00E978FD">
      <w:pPr>
        <w:ind w:firstLine="567"/>
        <w:rPr>
          <w:rFonts w:cs="Times New Roman"/>
          <w:szCs w:val="24"/>
        </w:rPr>
      </w:pPr>
      <w:r w:rsidRPr="001F7A65">
        <w:rPr>
          <w:rFonts w:cs="Times New Roman"/>
          <w:szCs w:val="24"/>
        </w:rPr>
        <w:t xml:space="preserve">Ahamed, R. (2024) </w:t>
      </w:r>
      <w:r w:rsidRPr="001F7A65">
        <w:rPr>
          <w:rFonts w:cs="Times New Roman"/>
          <w:i/>
          <w:iCs/>
          <w:szCs w:val="24"/>
        </w:rPr>
        <w:t>Exploring sustainability practices in ACI Toiletries’ product range through business, environmental, and economic perspectives</w:t>
      </w:r>
      <w:r w:rsidRPr="001F7A65">
        <w:rPr>
          <w:rFonts w:cs="Times New Roman"/>
          <w:szCs w:val="24"/>
        </w:rPr>
        <w:t xml:space="preserve">. BRAC University. Available at: </w:t>
      </w:r>
      <w:hyperlink r:id="rId15" w:tgtFrame="_new" w:history="1">
        <w:r w:rsidRPr="001F7A65">
          <w:rPr>
            <w:rStyle w:val="Hyperlink"/>
            <w:rFonts w:cs="Times New Roman"/>
            <w:szCs w:val="24"/>
          </w:rPr>
          <w:t>https://dspace.bracu.ac.bd/xmlui/bitstream/handle/10361/25198/18204045_BBS.pdf?isAllowed=y&amp;sequence=1</w:t>
        </w:r>
      </w:hyperlink>
      <w:r w:rsidRPr="001F7A6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t xml:space="preserve">Ahmed, R.R., Streimikiene, D., Qadir, H. and Streimikis, J. (2023) ‘Effect of green marketing mix, green customer value, and attitude on green purchase intention: evidence from the USA’, </w:t>
      </w:r>
      <w:r w:rsidRPr="00147005">
        <w:rPr>
          <w:rFonts w:cs="Times New Roman"/>
          <w:i/>
          <w:iCs/>
          <w:szCs w:val="24"/>
        </w:rPr>
        <w:t>Environmental Science and Pollution Research</w:t>
      </w:r>
      <w:r w:rsidRPr="00147005">
        <w:rPr>
          <w:rFonts w:cs="Times New Roman"/>
          <w:szCs w:val="24"/>
        </w:rPr>
        <w:t>, 30(5), pp. 11473–11495.</w:t>
      </w:r>
    </w:p>
    <w:p w:rsidR="00247196" w:rsidRDefault="00247196" w:rsidP="005E2EF6">
      <w:pPr>
        <w:rPr>
          <w:rFonts w:cs="Times New Roman"/>
          <w:szCs w:val="24"/>
        </w:rPr>
      </w:pPr>
      <w:r w:rsidRPr="005E2EF6">
        <w:rPr>
          <w:rFonts w:cs="Times New Roman"/>
          <w:szCs w:val="24"/>
        </w:rPr>
        <w:t>Ahmed, S. M. M., Zaman, S. U., &amp; Alam, S. H. (202</w:t>
      </w:r>
      <w:r>
        <w:rPr>
          <w:rFonts w:cs="Times New Roman"/>
          <w:szCs w:val="24"/>
        </w:rPr>
        <w:t>4</w:t>
      </w:r>
      <w:r w:rsidRPr="005E2EF6">
        <w:rPr>
          <w:rFonts w:cs="Times New Roman"/>
          <w:szCs w:val="24"/>
        </w:rPr>
        <w:t xml:space="preserve">). The Effect of Green Branding on Consumer Beliefs and Attitudes Toward Eco-Conscious Purchases. Journal of Social Sciences Review, 5(1), 281–299. </w:t>
      </w:r>
      <w:hyperlink r:id="rId16" w:history="1">
        <w:r w:rsidRPr="005E2EF6">
          <w:rPr>
            <w:rStyle w:val="Hyperlink"/>
            <w:rFonts w:cs="Times New Roman"/>
            <w:szCs w:val="24"/>
          </w:rPr>
          <w:t>https://doi.org/10.62843/jssr.v4i4.477</w:t>
        </w:r>
      </w:hyperlink>
    </w:p>
    <w:p w:rsidR="00247196" w:rsidRPr="005608F8" w:rsidRDefault="00247196" w:rsidP="00E978FD">
      <w:pPr>
        <w:ind w:firstLine="567"/>
        <w:rPr>
          <w:rFonts w:cs="Times New Roman"/>
          <w:szCs w:val="24"/>
        </w:rPr>
      </w:pPr>
      <w:r w:rsidRPr="005608F8">
        <w:rPr>
          <w:rFonts w:cs="Times New Roman"/>
          <w:szCs w:val="24"/>
        </w:rPr>
        <w:t xml:space="preserve">Ali, R., Eid, R. and Khalid, A. (2025) ‘A green step forward: The role of green marketing in nurturing green customer loyalty’, </w:t>
      </w:r>
      <w:r w:rsidRPr="005608F8">
        <w:rPr>
          <w:rFonts w:cs="Times New Roman"/>
          <w:i/>
          <w:iCs/>
          <w:szCs w:val="24"/>
        </w:rPr>
        <w:t>Marketing Intelligence &amp; Planning</w:t>
      </w:r>
      <w:r w:rsidRPr="005608F8">
        <w:rPr>
          <w:rFonts w:cs="Times New Roman"/>
          <w:szCs w:val="24"/>
        </w:rPr>
        <w:t xml:space="preserve">, 43(7), pp. 1476–1499. </w:t>
      </w:r>
      <w:hyperlink r:id="rId17" w:tgtFrame="_new" w:history="1">
        <w:r w:rsidRPr="005608F8">
          <w:rPr>
            <w:rStyle w:val="Hyperlink"/>
            <w:rFonts w:cs="Times New Roman"/>
            <w:szCs w:val="24"/>
          </w:rPr>
          <w:t>https://doi.org/10.1108/MIP-05-2024-0307</w:t>
        </w:r>
      </w:hyperlink>
    </w:p>
    <w:p w:rsidR="00247196" w:rsidRPr="00147005" w:rsidRDefault="00247196" w:rsidP="00E978FD">
      <w:pPr>
        <w:spacing w:after="0"/>
        <w:ind w:firstLine="567"/>
        <w:rPr>
          <w:rFonts w:cs="Times New Roman"/>
          <w:szCs w:val="24"/>
        </w:rPr>
      </w:pPr>
      <w:r w:rsidRPr="00147005">
        <w:rPr>
          <w:rFonts w:cs="Times New Roman"/>
          <w:szCs w:val="24"/>
        </w:rPr>
        <w:t xml:space="preserve">Aliyari, M. (2025) ‘The impact of green marketing on consumer purchase intention: the moderating role of environmental knowledge’, </w:t>
      </w:r>
      <w:r w:rsidRPr="00147005">
        <w:rPr>
          <w:rFonts w:cs="Times New Roman"/>
          <w:i/>
          <w:iCs/>
          <w:szCs w:val="24"/>
        </w:rPr>
        <w:t>International Journal of Applied Research in Management, Economics and Accounting</w:t>
      </w:r>
      <w:r w:rsidRPr="00147005">
        <w:rPr>
          <w:rFonts w:cs="Times New Roman"/>
          <w:szCs w:val="24"/>
        </w:rPr>
        <w:t>, 2(4), 117–125.</w:t>
      </w:r>
    </w:p>
    <w:p w:rsidR="00247196" w:rsidRPr="00147005" w:rsidRDefault="00247196" w:rsidP="00E978FD">
      <w:pPr>
        <w:ind w:firstLine="567"/>
        <w:rPr>
          <w:rFonts w:cs="Times New Roman"/>
          <w:szCs w:val="24"/>
        </w:rPr>
      </w:pPr>
      <w:r w:rsidRPr="00147005">
        <w:rPr>
          <w:rFonts w:cs="Times New Roman"/>
          <w:szCs w:val="24"/>
        </w:rPr>
        <w:t xml:space="preserve">Allen, S. et al. (2024) ‘Brand equity explained: how to build and measure success’. </w:t>
      </w:r>
      <w:r w:rsidRPr="00147005">
        <w:rPr>
          <w:rFonts w:cs="Times New Roman"/>
          <w:i/>
          <w:iCs/>
          <w:szCs w:val="24"/>
        </w:rPr>
        <w:t>Harvard Business School Online Blog</w:t>
      </w:r>
      <w:r w:rsidRPr="00147005">
        <w:rPr>
          <w:rFonts w:cs="Times New Roman"/>
          <w:szCs w:val="24"/>
        </w:rPr>
        <w:t xml:space="preserve">. Available at: </w:t>
      </w:r>
      <w:hyperlink r:id="rId18" w:tgtFrame="_new" w:history="1">
        <w:r w:rsidRPr="00147005">
          <w:rPr>
            <w:rStyle w:val="Hyperlink"/>
            <w:rFonts w:cs="Times New Roman"/>
            <w:szCs w:val="24"/>
          </w:rPr>
          <w:t>https://online.hbs.edu/blog/post/brand-equity</w:t>
        </w:r>
      </w:hyperlink>
      <w:r w:rsidRPr="00147005">
        <w:rPr>
          <w:rFonts w:cs="Times New Roman"/>
          <w:szCs w:val="24"/>
        </w:rPr>
        <w:t xml:space="preserve"> (Accessed: 19 November 2025).</w:t>
      </w:r>
    </w:p>
    <w:p w:rsidR="00247196" w:rsidRDefault="00247196" w:rsidP="005E2EF6">
      <w:pPr>
        <w:rPr>
          <w:rFonts w:cs="Times New Roman"/>
          <w:szCs w:val="24"/>
        </w:rPr>
      </w:pPr>
      <w:r w:rsidRPr="005E2EF6">
        <w:rPr>
          <w:rFonts w:cs="Times New Roman"/>
          <w:szCs w:val="24"/>
        </w:rPr>
        <w:lastRenderedPageBreak/>
        <w:t xml:space="preserve">Aslam, S., </w:t>
      </w:r>
      <w:r>
        <w:rPr>
          <w:rFonts w:cs="Times New Roman"/>
          <w:szCs w:val="24"/>
        </w:rPr>
        <w:t xml:space="preserve">et al. (2020) </w:t>
      </w:r>
      <w:r w:rsidRPr="005E2EF6">
        <w:rPr>
          <w:rFonts w:cs="Times New Roman"/>
          <w:szCs w:val="24"/>
        </w:rPr>
        <w:t>Social Media and Green Marketing impact on Customer’s buying behavior in fast food industry in Pakistan.International Journal of Innovation, Creativity and Change.14</w:t>
      </w:r>
      <w:r>
        <w:rPr>
          <w:rFonts w:cs="Times New Roman"/>
          <w:szCs w:val="24"/>
        </w:rPr>
        <w:t>(</w:t>
      </w:r>
      <w:r w:rsidRPr="005E2EF6">
        <w:rPr>
          <w:rFonts w:cs="Times New Roman"/>
          <w:szCs w:val="24"/>
        </w:rPr>
        <w:t>2</w:t>
      </w:r>
      <w:r>
        <w:rPr>
          <w:rFonts w:cs="Times New Roman"/>
          <w:szCs w:val="24"/>
        </w:rPr>
        <w:t>).</w:t>
      </w:r>
    </w:p>
    <w:p w:rsidR="00247196" w:rsidRPr="00147005" w:rsidRDefault="00247196" w:rsidP="00E978FD">
      <w:pPr>
        <w:spacing w:after="0"/>
        <w:ind w:firstLine="567"/>
        <w:rPr>
          <w:rFonts w:cs="Times New Roman"/>
          <w:szCs w:val="24"/>
        </w:rPr>
      </w:pPr>
      <w:r w:rsidRPr="00147005">
        <w:rPr>
          <w:rFonts w:cs="Times New Roman"/>
          <w:szCs w:val="24"/>
        </w:rPr>
        <w:t xml:space="preserve">Babu, U. M. (2024) ‘Despite economic pressure, FMCG industry still has room to grow’, </w:t>
      </w:r>
      <w:r w:rsidRPr="00147005">
        <w:rPr>
          <w:rFonts w:cs="Times New Roman"/>
          <w:i/>
          <w:iCs/>
          <w:szCs w:val="24"/>
        </w:rPr>
        <w:t>The Business Standard</w:t>
      </w:r>
      <w:r w:rsidRPr="00147005">
        <w:rPr>
          <w:rFonts w:cs="Times New Roman"/>
          <w:szCs w:val="24"/>
        </w:rPr>
        <w:t xml:space="preserve">. Available at: </w:t>
      </w:r>
      <w:hyperlink r:id="rId19" w:tgtFrame="_new" w:history="1">
        <w:r w:rsidRPr="00147005">
          <w:rPr>
            <w:rStyle w:val="Hyperlink"/>
            <w:rFonts w:cs="Times New Roman"/>
            <w:szCs w:val="24"/>
          </w:rPr>
          <w:t>https://www.tbsnews.net/supplement/despite-economic-pressure-fmcg-industry-still-has-room-grow-980941</w:t>
        </w:r>
      </w:hyperlink>
      <w:r w:rsidRPr="00147005">
        <w:rPr>
          <w:rFonts w:cs="Times New Roman"/>
          <w:szCs w:val="24"/>
        </w:rPr>
        <w:t xml:space="preserve"> (Accessed: 5 November 2025).</w:t>
      </w:r>
    </w:p>
    <w:p w:rsidR="00247196" w:rsidRPr="00147005" w:rsidRDefault="00247196" w:rsidP="00E978FD">
      <w:pPr>
        <w:ind w:firstLine="567"/>
        <w:rPr>
          <w:rFonts w:cs="Times New Roman"/>
          <w:szCs w:val="24"/>
        </w:rPr>
      </w:pPr>
      <w:r w:rsidRPr="00147005">
        <w:rPr>
          <w:rFonts w:cs="Times New Roman"/>
          <w:szCs w:val="24"/>
        </w:rPr>
        <w:t xml:space="preserve">Barney, J.B. (1991) ‘Firm resources and sustained competitive advantage’, </w:t>
      </w:r>
      <w:r w:rsidRPr="00147005">
        <w:rPr>
          <w:rFonts w:cs="Times New Roman"/>
          <w:i/>
          <w:iCs/>
          <w:szCs w:val="24"/>
        </w:rPr>
        <w:t>Journal of Management</w:t>
      </w:r>
      <w:r w:rsidRPr="00147005">
        <w:rPr>
          <w:rFonts w:cs="Times New Roman"/>
          <w:szCs w:val="24"/>
        </w:rPr>
        <w:t xml:space="preserve">, 17, pp. 99–120. Available at: </w:t>
      </w:r>
      <w:hyperlink r:id="rId20" w:tgtFrame="_new" w:history="1">
        <w:r w:rsidRPr="00147005">
          <w:rPr>
            <w:rStyle w:val="Hyperlink"/>
            <w:rFonts w:cs="Times New Roman"/>
            <w:szCs w:val="24"/>
          </w:rPr>
          <w:t>https://doi.org/10.1177/014920639101700108</w:t>
        </w:r>
      </w:hyperlink>
      <w:r w:rsidRPr="00147005">
        <w:rPr>
          <w:rFonts w:cs="Times New Roman"/>
          <w:szCs w:val="24"/>
        </w:rPr>
        <w:t xml:space="preserve"> (Accessed: 19 November 2025).</w:t>
      </w:r>
    </w:p>
    <w:p w:rsidR="00247196" w:rsidRDefault="00247196" w:rsidP="005E2EF6">
      <w:pPr>
        <w:rPr>
          <w:rFonts w:cs="Times New Roman"/>
          <w:szCs w:val="24"/>
        </w:rPr>
      </w:pPr>
      <w:r w:rsidRPr="005E2EF6">
        <w:rPr>
          <w:rFonts w:cs="Times New Roman"/>
          <w:szCs w:val="24"/>
        </w:rPr>
        <w:t>Bas, S., Rani, S., Sarker, R. K., &amp; Gupta, M. D. (2025). Influencing Factors Behind Green Consumer Choices for FMCGs in West Bengal: A Study towards Go Green. </w:t>
      </w:r>
      <w:r w:rsidRPr="005E2EF6">
        <w:rPr>
          <w:rFonts w:cs="Times New Roman"/>
          <w:i/>
          <w:iCs/>
          <w:szCs w:val="24"/>
        </w:rPr>
        <w:t>Current Research in Nutrition and Food Science Journal</w:t>
      </w:r>
      <w:r w:rsidRPr="005E2EF6">
        <w:rPr>
          <w:rFonts w:cs="Times New Roman"/>
          <w:szCs w:val="24"/>
        </w:rPr>
        <w:t>, </w:t>
      </w:r>
      <w:r w:rsidRPr="005E2EF6">
        <w:rPr>
          <w:rFonts w:cs="Times New Roman"/>
          <w:i/>
          <w:iCs/>
          <w:szCs w:val="24"/>
        </w:rPr>
        <w:t>13</w:t>
      </w:r>
      <w:r w:rsidRPr="005E2EF6">
        <w:rPr>
          <w:rFonts w:cs="Times New Roman"/>
          <w:szCs w:val="24"/>
        </w:rPr>
        <w:t>(2).</w:t>
      </w:r>
    </w:p>
    <w:p w:rsidR="00247196" w:rsidRPr="00147005" w:rsidRDefault="00247196" w:rsidP="00E978FD">
      <w:pPr>
        <w:ind w:firstLine="567"/>
        <w:rPr>
          <w:rFonts w:cs="Times New Roman"/>
          <w:szCs w:val="24"/>
        </w:rPr>
      </w:pPr>
      <w:r w:rsidRPr="00147005">
        <w:rPr>
          <w:rFonts w:cs="Times New Roman"/>
          <w:szCs w:val="24"/>
        </w:rPr>
        <w:t xml:space="preserve">Basu, M. and Basu, A. (2025) ‘Harmonizing business and planet: unveiling the nexus of corporate social responsibility and environmental sustainability for a symbiotic tomorrow’, in </w:t>
      </w:r>
      <w:r w:rsidRPr="00147005">
        <w:rPr>
          <w:rFonts w:cs="Times New Roman"/>
          <w:i/>
          <w:iCs/>
          <w:szCs w:val="24"/>
        </w:rPr>
        <w:t>Integrating environmental sustainability and corporate social responsibility: a move beyond profit: corporate social responsibility for environmental sustainability</w:t>
      </w:r>
      <w:r w:rsidRPr="00147005">
        <w:rPr>
          <w:rFonts w:cs="Times New Roman"/>
          <w:szCs w:val="24"/>
        </w:rPr>
        <w:t>. Cham: Springer Nature Switzerland, pp. 1–44.</w:t>
      </w:r>
    </w:p>
    <w:p w:rsidR="00247196" w:rsidRPr="001F7A65" w:rsidRDefault="00247196" w:rsidP="00E978FD">
      <w:pPr>
        <w:ind w:firstLine="567"/>
        <w:rPr>
          <w:rFonts w:cs="Times New Roman"/>
          <w:szCs w:val="24"/>
        </w:rPr>
      </w:pPr>
      <w:r w:rsidRPr="001F7A65">
        <w:rPr>
          <w:rFonts w:cs="Times New Roman"/>
          <w:szCs w:val="24"/>
        </w:rPr>
        <w:t xml:space="preserve">Bednarz, J. and Orelly, P. (2020) ‘The importance of social media on the FMCG market in Bangladesh’, </w:t>
      </w:r>
      <w:r w:rsidRPr="001F7A65">
        <w:rPr>
          <w:rFonts w:cs="Times New Roman"/>
          <w:i/>
          <w:iCs/>
          <w:szCs w:val="24"/>
        </w:rPr>
        <w:t>International Journal of Management and Economics</w:t>
      </w:r>
      <w:r w:rsidRPr="001F7A65">
        <w:rPr>
          <w:rFonts w:cs="Times New Roman"/>
          <w:szCs w:val="24"/>
        </w:rPr>
        <w:t>, 56(3), pp. 230–242.</w:t>
      </w:r>
    </w:p>
    <w:p w:rsidR="00247196" w:rsidRPr="00147005" w:rsidRDefault="00247196" w:rsidP="00E978FD">
      <w:pPr>
        <w:ind w:firstLine="567"/>
        <w:rPr>
          <w:rFonts w:cs="Times New Roman"/>
          <w:szCs w:val="24"/>
        </w:rPr>
      </w:pPr>
      <w:r w:rsidRPr="00147005">
        <w:rPr>
          <w:rFonts w:cs="Times New Roman"/>
          <w:szCs w:val="24"/>
        </w:rPr>
        <w:t xml:space="preserve">Belz, F.M., Peattie, K. and Onel, N. (2025) </w:t>
      </w:r>
      <w:r w:rsidRPr="00147005">
        <w:rPr>
          <w:rFonts w:cs="Times New Roman"/>
          <w:i/>
          <w:iCs/>
          <w:szCs w:val="24"/>
        </w:rPr>
        <w:t>Sustainability marketing: a global perspective</w:t>
      </w:r>
      <w:r w:rsidRPr="00147005">
        <w:rPr>
          <w:rFonts w:cs="Times New Roman"/>
          <w:szCs w:val="24"/>
        </w:rPr>
        <w:t>. Chichester: John Wiley &amp; Sons.</w:t>
      </w:r>
    </w:p>
    <w:p w:rsidR="00247196" w:rsidRPr="00147005" w:rsidRDefault="00247196" w:rsidP="00E978FD">
      <w:pPr>
        <w:ind w:firstLine="567"/>
        <w:rPr>
          <w:rFonts w:cs="Times New Roman"/>
          <w:szCs w:val="24"/>
        </w:rPr>
      </w:pPr>
      <w:r w:rsidRPr="00147005">
        <w:rPr>
          <w:rFonts w:cs="Times New Roman"/>
          <w:szCs w:val="24"/>
        </w:rPr>
        <w:t xml:space="preserve">Bosnjak, M., Ajzen, I. and Schmidt, P. (2020) ‘The theory of planned behavior: selected recent advances and applications’, </w:t>
      </w:r>
      <w:r w:rsidRPr="00147005">
        <w:rPr>
          <w:rFonts w:cs="Times New Roman"/>
          <w:i/>
          <w:iCs/>
          <w:szCs w:val="24"/>
        </w:rPr>
        <w:t>Europe’s Journal of Psychology</w:t>
      </w:r>
      <w:r w:rsidRPr="00147005">
        <w:rPr>
          <w:rFonts w:cs="Times New Roman"/>
          <w:szCs w:val="24"/>
        </w:rPr>
        <w:t xml:space="preserve">, 16(3), e3107. Available at: </w:t>
      </w:r>
      <w:hyperlink r:id="rId21" w:tgtFrame="_new" w:history="1">
        <w:r w:rsidRPr="00147005">
          <w:rPr>
            <w:rStyle w:val="Hyperlink"/>
            <w:rFonts w:cs="Times New Roman"/>
            <w:szCs w:val="24"/>
          </w:rPr>
          <w:t>https://doi.org/10.5964/ejop.v16i3.3107</w:t>
        </w:r>
      </w:hyperlink>
      <w:r w:rsidRPr="00147005">
        <w:rPr>
          <w:rFonts w:cs="Times New Roman"/>
          <w:szCs w:val="24"/>
        </w:rPr>
        <w:t xml:space="preserve"> (Accessed: 19 November 2025).</w:t>
      </w:r>
    </w:p>
    <w:p w:rsidR="00247196" w:rsidRDefault="00247196" w:rsidP="005E2EF6">
      <w:pPr>
        <w:rPr>
          <w:rFonts w:cs="Times New Roman"/>
          <w:szCs w:val="24"/>
        </w:rPr>
      </w:pPr>
      <w:r w:rsidRPr="005E2EF6">
        <w:rPr>
          <w:rFonts w:cs="Times New Roman"/>
          <w:szCs w:val="24"/>
        </w:rPr>
        <w:t>Brahma, A., &amp; Debnath, A. (2025). Evaluating the Factors Influencing Consumers’ Green Purchase Intention. </w:t>
      </w:r>
      <w:r w:rsidRPr="005E2EF6">
        <w:rPr>
          <w:rFonts w:cs="Times New Roman"/>
          <w:i/>
          <w:iCs/>
          <w:szCs w:val="24"/>
        </w:rPr>
        <w:t>Journal of Management</w:t>
      </w:r>
      <w:r w:rsidRPr="005E2EF6">
        <w:rPr>
          <w:rFonts w:cs="Times New Roman"/>
          <w:szCs w:val="24"/>
        </w:rPr>
        <w:t>, </w:t>
      </w:r>
      <w:r w:rsidRPr="005E2EF6">
        <w:rPr>
          <w:rFonts w:cs="Times New Roman"/>
          <w:i/>
          <w:iCs/>
          <w:szCs w:val="24"/>
        </w:rPr>
        <w:t>2</w:t>
      </w:r>
      <w:r w:rsidRPr="005E2EF6">
        <w:rPr>
          <w:rFonts w:cs="Times New Roman"/>
          <w:szCs w:val="24"/>
        </w:rPr>
        <w:t>, 399-407.</w:t>
      </w:r>
    </w:p>
    <w:p w:rsidR="00247196" w:rsidRPr="00147005" w:rsidRDefault="00247196" w:rsidP="00E978FD">
      <w:pPr>
        <w:ind w:firstLine="567"/>
        <w:rPr>
          <w:rFonts w:cs="Times New Roman"/>
          <w:szCs w:val="24"/>
        </w:rPr>
      </w:pPr>
      <w:r w:rsidRPr="00147005">
        <w:rPr>
          <w:rFonts w:cs="Times New Roman"/>
          <w:szCs w:val="24"/>
        </w:rPr>
        <w:t xml:space="preserve">Cai, S., Liu, Y., Aduldecha, S. and Junaidi, J. (2025) ‘Leveraging customer green behavior toward green marketing mix and electronic word-of-mouth’, </w:t>
      </w:r>
      <w:r w:rsidRPr="00147005">
        <w:rPr>
          <w:rFonts w:cs="Times New Roman"/>
          <w:i/>
          <w:iCs/>
          <w:szCs w:val="24"/>
        </w:rPr>
        <w:t>Sustainability</w:t>
      </w:r>
      <w:r w:rsidRPr="00147005">
        <w:rPr>
          <w:rFonts w:cs="Times New Roman"/>
          <w:szCs w:val="24"/>
        </w:rPr>
        <w:t>, 17(6), 2360.</w:t>
      </w:r>
    </w:p>
    <w:p w:rsidR="00247196" w:rsidRPr="00147005" w:rsidRDefault="00247196" w:rsidP="00E978FD">
      <w:pPr>
        <w:spacing w:after="0"/>
        <w:ind w:firstLine="567"/>
        <w:rPr>
          <w:rFonts w:cs="Times New Roman"/>
          <w:szCs w:val="24"/>
        </w:rPr>
      </w:pPr>
      <w:r w:rsidRPr="00147005">
        <w:rPr>
          <w:rFonts w:cs="Times New Roman"/>
          <w:szCs w:val="24"/>
        </w:rPr>
        <w:lastRenderedPageBreak/>
        <w:t xml:space="preserve">Carrión-Bósquez, N. G., Ortiz-Regalado, O., Veas-González, I., Naranjo-Armijo, F. G. and Guerra-Regalado, W. F. (2025) ‘The mediating role of attitude and environmental awareness in the influence of green advertising and eco-labels on green purchasing behaviors’, </w:t>
      </w:r>
      <w:r w:rsidRPr="00147005">
        <w:rPr>
          <w:rFonts w:cs="Times New Roman"/>
          <w:i/>
          <w:iCs/>
          <w:szCs w:val="24"/>
        </w:rPr>
        <w:t>Spanish Journal of Marketing-ESIC</w:t>
      </w:r>
      <w:r w:rsidRPr="00147005">
        <w:rPr>
          <w:rFonts w:cs="Times New Roman"/>
          <w:szCs w:val="24"/>
        </w:rPr>
        <w:t>, 29(3), 330–350.</w:t>
      </w:r>
    </w:p>
    <w:p w:rsidR="00247196" w:rsidRPr="00147005" w:rsidRDefault="00247196" w:rsidP="00E978FD">
      <w:pPr>
        <w:ind w:firstLine="567"/>
        <w:rPr>
          <w:rFonts w:cs="Times New Roman"/>
          <w:szCs w:val="24"/>
        </w:rPr>
      </w:pPr>
      <w:r w:rsidRPr="00147005">
        <w:rPr>
          <w:rFonts w:cs="Times New Roman"/>
          <w:szCs w:val="24"/>
        </w:rPr>
        <w:t xml:space="preserve">Chauhan, A. and Bodla, B.S. (2024) ‘Brand equity and financial performance: a bibliometric analysis’, </w:t>
      </w:r>
      <w:r w:rsidRPr="00147005">
        <w:rPr>
          <w:rFonts w:cs="Times New Roman"/>
          <w:i/>
          <w:iCs/>
          <w:szCs w:val="24"/>
        </w:rPr>
        <w:t>Journal of Marketing &amp; Social Research</w:t>
      </w:r>
      <w:r w:rsidRPr="00147005">
        <w:rPr>
          <w:rFonts w:cs="Times New Roman"/>
          <w:szCs w:val="24"/>
        </w:rPr>
        <w:t>, 1, pp. 18–27.</w:t>
      </w:r>
    </w:p>
    <w:p w:rsidR="00247196" w:rsidRPr="00147005" w:rsidRDefault="00247196" w:rsidP="00E978FD">
      <w:pPr>
        <w:ind w:firstLine="567"/>
        <w:rPr>
          <w:rFonts w:cs="Times New Roman"/>
          <w:szCs w:val="24"/>
        </w:rPr>
      </w:pPr>
      <w:r w:rsidRPr="00147005">
        <w:rPr>
          <w:rFonts w:cs="Times New Roman"/>
          <w:szCs w:val="24"/>
        </w:rPr>
        <w:t xml:space="preserve">Cheng, B. and Hou, S. (2024) ‘Brand equity and financial performance: an institutional view’, </w:t>
      </w:r>
      <w:r w:rsidRPr="00147005">
        <w:rPr>
          <w:rFonts w:cs="Times New Roman"/>
          <w:i/>
          <w:iCs/>
          <w:szCs w:val="24"/>
        </w:rPr>
        <w:t>Marketing Intelligence &amp; Planning</w:t>
      </w:r>
      <w:r w:rsidRPr="00147005">
        <w:rPr>
          <w:rFonts w:cs="Times New Roman"/>
          <w:szCs w:val="24"/>
        </w:rPr>
        <w:t>, 42(8), pp. 1433–1463.</w:t>
      </w:r>
    </w:p>
    <w:p w:rsidR="00247196" w:rsidRPr="00147005" w:rsidRDefault="00247196" w:rsidP="00E978FD">
      <w:pPr>
        <w:ind w:firstLine="567"/>
        <w:rPr>
          <w:rFonts w:cs="Times New Roman"/>
          <w:szCs w:val="24"/>
        </w:rPr>
      </w:pPr>
      <w:r w:rsidRPr="00147005">
        <w:rPr>
          <w:rFonts w:cs="Times New Roman"/>
          <w:szCs w:val="24"/>
        </w:rPr>
        <w:t xml:space="preserve">Chowdhury, I. and Alamgir, M. (2021) ‘Factors influencing green product purchase intention among young consumers in Bangladesh’, </w:t>
      </w:r>
      <w:r w:rsidRPr="00147005">
        <w:rPr>
          <w:rFonts w:cs="Times New Roman"/>
          <w:i/>
          <w:iCs/>
          <w:szCs w:val="24"/>
        </w:rPr>
        <w:t>Society &amp; Sustainability</w:t>
      </w:r>
      <w:r w:rsidRPr="00147005">
        <w:rPr>
          <w:rFonts w:cs="Times New Roman"/>
          <w:szCs w:val="24"/>
        </w:rPr>
        <w:t>, 3(2).</w:t>
      </w:r>
    </w:p>
    <w:p w:rsidR="00247196" w:rsidRPr="00147005" w:rsidRDefault="00247196" w:rsidP="00E978FD">
      <w:pPr>
        <w:spacing w:after="0"/>
        <w:ind w:firstLine="567"/>
        <w:rPr>
          <w:rFonts w:cs="Times New Roman"/>
          <w:szCs w:val="24"/>
        </w:rPr>
      </w:pPr>
      <w:r w:rsidRPr="00147005">
        <w:rPr>
          <w:rFonts w:cs="Times New Roman"/>
          <w:szCs w:val="24"/>
        </w:rPr>
        <w:t xml:space="preserve">Dhaka Tribune (2023) ‘Unilever Bangladesh wins Bangladesh Sustainability Excellence Award’. Available at: </w:t>
      </w:r>
      <w:hyperlink r:id="rId22" w:tgtFrame="_new" w:history="1">
        <w:r w:rsidRPr="00147005">
          <w:rPr>
            <w:rStyle w:val="Hyperlink"/>
            <w:rFonts w:cs="Times New Roman"/>
            <w:szCs w:val="24"/>
          </w:rPr>
          <w:t>https://www.dhakatribune.com/business/332956/unilever-bangladesh-wins-bangladesh-sustainability</w:t>
        </w:r>
      </w:hyperlink>
      <w:r w:rsidRPr="00147005">
        <w:rPr>
          <w:rFonts w:cs="Times New Roman"/>
          <w:szCs w:val="24"/>
        </w:rPr>
        <w:t xml:space="preserve"> (Accessed: 5 November 2025).</w:t>
      </w:r>
    </w:p>
    <w:p w:rsidR="00247196" w:rsidRPr="00147005" w:rsidRDefault="00247196" w:rsidP="00E978FD">
      <w:pPr>
        <w:spacing w:after="0"/>
        <w:ind w:firstLine="567"/>
        <w:rPr>
          <w:rFonts w:cs="Times New Roman"/>
          <w:szCs w:val="24"/>
        </w:rPr>
      </w:pPr>
      <w:r w:rsidRPr="00147005">
        <w:rPr>
          <w:rFonts w:cs="Times New Roman"/>
          <w:szCs w:val="24"/>
        </w:rPr>
        <w:t xml:space="preserve">Dorsamy, B. and Govender, J. P. (2023) ‘Consumer purchase intention and purchase behaviour for green fast moving consumer goods’, </w:t>
      </w:r>
      <w:r w:rsidRPr="00147005">
        <w:rPr>
          <w:rFonts w:cs="Times New Roman"/>
          <w:i/>
          <w:iCs/>
          <w:szCs w:val="24"/>
        </w:rPr>
        <w:t>Expert Journal of Marketing</w:t>
      </w:r>
      <w:r w:rsidRPr="00147005">
        <w:rPr>
          <w:rFonts w:cs="Times New Roman"/>
          <w:szCs w:val="24"/>
        </w:rPr>
        <w:t>, 11(2).</w:t>
      </w:r>
    </w:p>
    <w:p w:rsidR="00247196" w:rsidRDefault="00247196" w:rsidP="00247196">
      <w:pPr>
        <w:ind w:firstLine="567"/>
        <w:rPr>
          <w:rFonts w:cs="Times New Roman"/>
          <w:szCs w:val="24"/>
        </w:rPr>
      </w:pPr>
      <w:r w:rsidRPr="00147005">
        <w:rPr>
          <w:rFonts w:cs="Times New Roman"/>
          <w:szCs w:val="24"/>
        </w:rPr>
        <w:t xml:space="preserve">Duarte, P., Silva, S.C., Roza, A.S. and Dias, J.C. (2024) ‘Enhancing consumer purchase intentions for sustainable packaging products: an in-depth analysis of key determinants and strategic insights’, </w:t>
      </w:r>
      <w:r w:rsidRPr="00147005">
        <w:rPr>
          <w:rFonts w:cs="Times New Roman"/>
          <w:i/>
          <w:iCs/>
          <w:szCs w:val="24"/>
        </w:rPr>
        <w:t>Sustainable Futures</w:t>
      </w:r>
      <w:r w:rsidRPr="00147005">
        <w:rPr>
          <w:rFonts w:cs="Times New Roman"/>
          <w:szCs w:val="24"/>
        </w:rPr>
        <w:t>, 7, 100193.</w:t>
      </w:r>
    </w:p>
    <w:p w:rsidR="00247196" w:rsidRPr="00247196" w:rsidRDefault="00247196" w:rsidP="00247196">
      <w:pPr>
        <w:ind w:firstLine="567"/>
      </w:pPr>
      <w:r w:rsidRPr="00247196">
        <w:t>Fahmida, A., Palash, M. S., Alam, G. M., &amp; Amin, M. R. (2021)</w:t>
      </w:r>
      <w:r>
        <w:t xml:space="preserve"> ‘</w:t>
      </w:r>
      <w:r w:rsidRPr="00247196">
        <w:t>Young Consumers'eco-friendly food purchasing consciousness</w:t>
      </w:r>
      <w:r>
        <w:t xml:space="preserve"> B</w:t>
      </w:r>
      <w:r w:rsidRPr="00247196">
        <w:t xml:space="preserve">ehavior gap in </w:t>
      </w:r>
      <w:r>
        <w:t>B</w:t>
      </w:r>
      <w:r w:rsidRPr="00247196">
        <w:t>angladesh</w:t>
      </w:r>
      <w:r>
        <w:t>’,</w:t>
      </w:r>
      <w:r w:rsidRPr="00247196">
        <w:t> </w:t>
      </w:r>
      <w:r w:rsidRPr="00247196">
        <w:rPr>
          <w:i/>
          <w:iCs/>
        </w:rPr>
        <w:t>Bangladesh Journal of Agricultural Economics</w:t>
      </w:r>
      <w:r w:rsidRPr="00247196">
        <w:t>, </w:t>
      </w:r>
      <w:r w:rsidRPr="00247196">
        <w:rPr>
          <w:i/>
          <w:iCs/>
        </w:rPr>
        <w:t>41</w:t>
      </w:r>
      <w:r w:rsidRPr="00247196">
        <w:t>(2), 29-44.</w:t>
      </w:r>
    </w:p>
    <w:p w:rsidR="00247196" w:rsidRPr="00147005" w:rsidRDefault="00247196" w:rsidP="00E978FD">
      <w:pPr>
        <w:spacing w:after="0"/>
        <w:ind w:firstLine="567"/>
        <w:rPr>
          <w:rFonts w:cs="Times New Roman"/>
          <w:szCs w:val="24"/>
        </w:rPr>
      </w:pPr>
      <w:r w:rsidRPr="00147005">
        <w:rPr>
          <w:rFonts w:cs="Times New Roman"/>
          <w:szCs w:val="24"/>
        </w:rPr>
        <w:t xml:space="preserve">Faris, H. H. B. M., Puad, N. I. S. B. M., Nitin, V. V., Mayur, K., Lim, H. L., Ng, W. C., … and Kee11, D. M. H. (2024) ‘The effect of eco-friendly packaging on consumer purchase intention: a study of beverage sustainable packaging practices’, </w:t>
      </w:r>
      <w:r w:rsidRPr="00147005">
        <w:rPr>
          <w:rFonts w:cs="Times New Roman"/>
          <w:i/>
          <w:iCs/>
          <w:szCs w:val="24"/>
        </w:rPr>
        <w:t>J. Community Dev. Asia</w:t>
      </w:r>
      <w:r w:rsidRPr="00147005">
        <w:rPr>
          <w:rFonts w:cs="Times New Roman"/>
          <w:szCs w:val="24"/>
        </w:rPr>
        <w:t>, 7(1), 91–104.</w:t>
      </w:r>
    </w:p>
    <w:p w:rsidR="00247196" w:rsidRPr="001F7A65" w:rsidRDefault="00247196" w:rsidP="00E978FD">
      <w:pPr>
        <w:ind w:firstLine="567"/>
        <w:rPr>
          <w:rFonts w:cs="Times New Roman"/>
          <w:szCs w:val="24"/>
        </w:rPr>
      </w:pPr>
      <w:r w:rsidRPr="001F7A65">
        <w:rPr>
          <w:rFonts w:cs="Times New Roman"/>
          <w:szCs w:val="24"/>
        </w:rPr>
        <w:t xml:space="preserve">FICCI (2024) </w:t>
      </w:r>
      <w:r w:rsidRPr="001F7A65">
        <w:rPr>
          <w:rFonts w:cs="Times New Roman"/>
          <w:i/>
          <w:iCs/>
          <w:szCs w:val="24"/>
        </w:rPr>
        <w:t>Navigating growth and opportunities in the FMCG sector in Bangladesh: insights from Marico Bangladesh</w:t>
      </w:r>
      <w:r w:rsidRPr="001F7A65">
        <w:rPr>
          <w:rFonts w:cs="Times New Roman"/>
          <w:szCs w:val="24"/>
        </w:rPr>
        <w:t xml:space="preserve">. Foreign Investors’ Chamber of Commerce &amp; Industry (FICCI). Available at: </w:t>
      </w:r>
      <w:hyperlink r:id="rId23" w:tgtFrame="_new" w:history="1">
        <w:r w:rsidRPr="001F7A65">
          <w:rPr>
            <w:rStyle w:val="Hyperlink"/>
            <w:rFonts w:cs="Times New Roman"/>
            <w:szCs w:val="24"/>
          </w:rPr>
          <w:t>https://www.ficci.org.bd/ficci-stories/navigating-growth-and-opportunities-in-the-fmcg-sector-in-bangladesh-insights-from-marico-banglades</w:t>
        </w:r>
      </w:hyperlink>
      <w:r w:rsidRPr="001F7A6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lastRenderedPageBreak/>
        <w:t xml:space="preserve">Fida, I., Ziaullah, M., Zain, F., Danyal, A. and Sattar, Y. (2023) ‘Investigation of customer experience, customer engagement, corporate reputation and word of mouth in banking sector: evidence from Pakistan’, </w:t>
      </w:r>
      <w:r w:rsidRPr="00147005">
        <w:rPr>
          <w:rFonts w:cs="Times New Roman"/>
          <w:i/>
          <w:iCs/>
          <w:szCs w:val="24"/>
        </w:rPr>
        <w:t>Journal of Social Sciences Review</w:t>
      </w:r>
      <w:r w:rsidRPr="00147005">
        <w:rPr>
          <w:rFonts w:cs="Times New Roman"/>
          <w:szCs w:val="24"/>
        </w:rPr>
        <w:t>, 3(1), pp. 846–858.</w:t>
      </w:r>
    </w:p>
    <w:p w:rsidR="00247196" w:rsidRPr="00E978FD" w:rsidRDefault="00247196" w:rsidP="00E978FD">
      <w:r w:rsidRPr="005E2EF6">
        <w:t>Gan</w:t>
      </w:r>
      <w:r>
        <w:t>i</w:t>
      </w:r>
      <w:r w:rsidRPr="005E2EF6">
        <w:t>, S. H. (2017). Purchase Intentions and Consumers Attitude Environment: A study of Eco-friendly products in FMCG Sector. </w:t>
      </w:r>
      <w:r w:rsidRPr="005E2EF6">
        <w:rPr>
          <w:rFonts w:ascii="Arial" w:hAnsi="Arial" w:cs="Arial" w:hint="cs"/>
          <w:i/>
          <w:iCs/>
          <w:rtl/>
          <w:lang w:bidi="ar-SA"/>
        </w:rPr>
        <w:t>المجلةالعربيةللإدارة</w:t>
      </w:r>
      <w:r w:rsidRPr="005E2EF6">
        <w:t>, </w:t>
      </w:r>
      <w:r w:rsidRPr="005E2EF6">
        <w:rPr>
          <w:i/>
          <w:iCs/>
        </w:rPr>
        <w:t>37</w:t>
      </w:r>
      <w:r w:rsidRPr="005E2EF6">
        <w:t>(3), 213-230.</w:t>
      </w:r>
      <w:r w:rsidRPr="005E2EF6">
        <w:rPr>
          <w:rFonts w:ascii="Arial" w:hAnsi="Arial" w:cs="Arial" w:hint="cs"/>
          <w:cs/>
        </w:rPr>
        <w:t>‎</w:t>
      </w:r>
    </w:p>
    <w:p w:rsidR="00247196" w:rsidRPr="00147005" w:rsidRDefault="00247196" w:rsidP="00E978FD">
      <w:pPr>
        <w:spacing w:after="0"/>
        <w:ind w:firstLine="567"/>
        <w:rPr>
          <w:rFonts w:cs="Times New Roman"/>
          <w:szCs w:val="24"/>
        </w:rPr>
      </w:pPr>
      <w:r w:rsidRPr="00147005">
        <w:rPr>
          <w:rFonts w:cs="Times New Roman"/>
          <w:szCs w:val="24"/>
        </w:rPr>
        <w:t xml:space="preserve">Garcia, M. K. and Campos, K. (2022) ‘Consumers’ purchase intention towards eco-friendly packaging in Kidapawan City, Philippines’, </w:t>
      </w:r>
      <w:r w:rsidRPr="00147005">
        <w:rPr>
          <w:rFonts w:cs="Times New Roman"/>
          <w:i/>
          <w:iCs/>
          <w:szCs w:val="24"/>
        </w:rPr>
        <w:t>DISCERN: International Journal of Design for Social Change, Sustainable Innovation and Entrepreneurship</w:t>
      </w:r>
      <w:r w:rsidRPr="00147005">
        <w:rPr>
          <w:rFonts w:cs="Times New Roman"/>
          <w:szCs w:val="24"/>
        </w:rPr>
        <w:t>, 3(2), 28–37.</w:t>
      </w:r>
    </w:p>
    <w:p w:rsidR="00247196" w:rsidRPr="00147005" w:rsidRDefault="00247196" w:rsidP="00E978FD">
      <w:pPr>
        <w:ind w:firstLine="567"/>
        <w:rPr>
          <w:rFonts w:cs="Times New Roman"/>
          <w:szCs w:val="24"/>
        </w:rPr>
      </w:pPr>
      <w:r w:rsidRPr="00147005">
        <w:rPr>
          <w:rFonts w:cs="Times New Roman"/>
          <w:szCs w:val="24"/>
        </w:rPr>
        <w:t xml:space="preserve">Gupta, S. and Aggarwal, D. (2024) ‘Shrinking the capital costs and beta risk impediments through ESG: study of an emerging market’, </w:t>
      </w:r>
      <w:r w:rsidRPr="00147005">
        <w:rPr>
          <w:rFonts w:cs="Times New Roman"/>
          <w:i/>
          <w:iCs/>
          <w:szCs w:val="24"/>
        </w:rPr>
        <w:t>Asian Review of Accounting</w:t>
      </w:r>
      <w:r w:rsidRPr="00147005">
        <w:rPr>
          <w:rFonts w:cs="Times New Roman"/>
          <w:szCs w:val="24"/>
        </w:rPr>
        <w:t>, 32(2), pp. 249–277.</w:t>
      </w:r>
    </w:p>
    <w:p w:rsidR="00247196" w:rsidRPr="001F7A65" w:rsidRDefault="00247196" w:rsidP="00E978FD">
      <w:pPr>
        <w:ind w:firstLine="567"/>
        <w:rPr>
          <w:rFonts w:cs="Times New Roman"/>
          <w:szCs w:val="24"/>
        </w:rPr>
      </w:pPr>
      <w:r w:rsidRPr="001F7A65">
        <w:rPr>
          <w:rFonts w:cs="Times New Roman"/>
          <w:szCs w:val="24"/>
        </w:rPr>
        <w:t xml:space="preserve">Habib, A. (2023) ‘FMCG sales drop as inflation eats into consumption’, </w:t>
      </w:r>
      <w:r w:rsidRPr="001F7A65">
        <w:rPr>
          <w:rFonts w:cs="Times New Roman"/>
          <w:i/>
          <w:iCs/>
          <w:szCs w:val="24"/>
        </w:rPr>
        <w:t>The Daily Star</w:t>
      </w:r>
      <w:r w:rsidRPr="001F7A65">
        <w:rPr>
          <w:rFonts w:cs="Times New Roman"/>
          <w:szCs w:val="24"/>
        </w:rPr>
        <w:t xml:space="preserve">. Available at: </w:t>
      </w:r>
      <w:hyperlink r:id="rId24" w:tgtFrame="_new" w:history="1">
        <w:r w:rsidRPr="001F7A65">
          <w:rPr>
            <w:rStyle w:val="Hyperlink"/>
            <w:rFonts w:cs="Times New Roman"/>
            <w:szCs w:val="24"/>
          </w:rPr>
          <w:t>https://www.thedailystar.net/business/economy/news/fmcg-sales-drop-inflation-eats-consumption-3230821</w:t>
        </w:r>
      </w:hyperlink>
      <w:r w:rsidRPr="001F7A6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t xml:space="preserve">Hamdoun, M., Achabou, M.A. and Dekhili, S. (2022) ‘Could CSR improve the financial performance of developing countries’ firms? Analyses of mediating effect of intangible resources’, </w:t>
      </w:r>
      <w:r w:rsidRPr="00147005">
        <w:rPr>
          <w:rFonts w:cs="Times New Roman"/>
          <w:i/>
          <w:iCs/>
          <w:szCs w:val="24"/>
        </w:rPr>
        <w:t>European Business Review</w:t>
      </w:r>
      <w:r w:rsidRPr="00147005">
        <w:rPr>
          <w:rFonts w:cs="Times New Roman"/>
          <w:szCs w:val="24"/>
        </w:rPr>
        <w:t>, 34(1), pp. 41–61.</w:t>
      </w:r>
    </w:p>
    <w:p w:rsidR="00247196" w:rsidRPr="00247196" w:rsidRDefault="00247196" w:rsidP="00E978FD">
      <w:pPr>
        <w:ind w:firstLine="567"/>
        <w:rPr>
          <w:rFonts w:cs="Times New Roman"/>
          <w:szCs w:val="24"/>
        </w:rPr>
      </w:pPr>
      <w:r w:rsidRPr="00247196">
        <w:rPr>
          <w:rFonts w:cs="Times New Roman"/>
          <w:szCs w:val="24"/>
        </w:rPr>
        <w:t xml:space="preserve">Hanh, P.T.D., Ly, N.T.B. and Chi, N.Q. (2024) </w:t>
      </w:r>
      <w:r w:rsidRPr="00247196">
        <w:rPr>
          <w:rFonts w:cs="Times New Roman"/>
          <w:i/>
          <w:iCs/>
          <w:szCs w:val="24"/>
        </w:rPr>
        <w:t>The impact of green marketing mix and brand equity on cosmetic green purchase intention: A case study of Gen Z in Ho Chi Minh City</w:t>
      </w:r>
      <w:r w:rsidRPr="00247196">
        <w:rPr>
          <w:rFonts w:cs="Times New Roman"/>
          <w:szCs w:val="24"/>
        </w:rPr>
        <w:t>. In: Proceedings of the 11th International Conference on Emerging Challenges: Smart Business and Digital Economy (ICECH 2023). Paris: Atlantis Press, pp. 494–512.</w:t>
      </w:r>
    </w:p>
    <w:p w:rsidR="00247196" w:rsidRPr="001F7A65" w:rsidRDefault="00247196" w:rsidP="00E978FD">
      <w:pPr>
        <w:ind w:firstLine="567"/>
        <w:rPr>
          <w:rFonts w:cs="Times New Roman"/>
          <w:szCs w:val="24"/>
        </w:rPr>
      </w:pPr>
      <w:r w:rsidRPr="001F7A65">
        <w:rPr>
          <w:rFonts w:cs="Times New Roman"/>
          <w:szCs w:val="24"/>
        </w:rPr>
        <w:t xml:space="preserve">Haque, R. (2022) </w:t>
      </w:r>
      <w:r w:rsidRPr="001F7A65">
        <w:rPr>
          <w:rFonts w:cs="Times New Roman"/>
          <w:i/>
          <w:iCs/>
          <w:szCs w:val="24"/>
        </w:rPr>
        <w:t>Sachet waste in Bangladesh: a comprehensive analysis</w:t>
      </w:r>
      <w:r w:rsidRPr="001F7A65">
        <w:rPr>
          <w:rFonts w:cs="Times New Roman"/>
          <w:szCs w:val="24"/>
        </w:rPr>
        <w:t xml:space="preserve">. Probha Aurora. Available at: </w:t>
      </w:r>
      <w:hyperlink r:id="rId25" w:tgtFrame="_new" w:history="1">
        <w:r w:rsidRPr="001F7A65">
          <w:rPr>
            <w:rStyle w:val="Hyperlink"/>
            <w:rFonts w:cs="Times New Roman"/>
            <w:szCs w:val="24"/>
          </w:rPr>
          <w:t>https://probhaaurora.com/wp-content/uploads/2024/02/Sachet_Waste_in_Bangladesh.pdf</w:t>
        </w:r>
      </w:hyperlink>
      <w:r w:rsidRPr="001F7A6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t xml:space="preserve">Hart, C. (2018) </w:t>
      </w:r>
      <w:r w:rsidRPr="00147005">
        <w:rPr>
          <w:rFonts w:cs="Times New Roman"/>
          <w:i/>
          <w:iCs/>
          <w:szCs w:val="24"/>
        </w:rPr>
        <w:t>Doing a literature review: releasing the research imagination</w:t>
      </w:r>
      <w:r w:rsidRPr="00147005">
        <w:rPr>
          <w:rFonts w:cs="Times New Roman"/>
          <w:szCs w:val="24"/>
        </w:rPr>
        <w:t>. 2nd edn. London: Sage.</w:t>
      </w:r>
    </w:p>
    <w:p w:rsidR="00247196" w:rsidRPr="00147005" w:rsidRDefault="00247196" w:rsidP="00E978FD">
      <w:pPr>
        <w:ind w:firstLine="567"/>
        <w:rPr>
          <w:rFonts w:cs="Times New Roman"/>
          <w:szCs w:val="24"/>
        </w:rPr>
      </w:pPr>
      <w:r w:rsidRPr="00147005">
        <w:rPr>
          <w:rFonts w:cs="Times New Roman"/>
          <w:szCs w:val="24"/>
        </w:rPr>
        <w:t xml:space="preserve">Hart, S.L. (1995) ‘A natural-resource-based view of the firm’, </w:t>
      </w:r>
      <w:r w:rsidRPr="00147005">
        <w:rPr>
          <w:rFonts w:cs="Times New Roman"/>
          <w:i/>
          <w:iCs/>
          <w:szCs w:val="24"/>
        </w:rPr>
        <w:t>Academy of Management Review</w:t>
      </w:r>
      <w:r w:rsidRPr="00147005">
        <w:rPr>
          <w:rFonts w:cs="Times New Roman"/>
          <w:szCs w:val="24"/>
        </w:rPr>
        <w:t>, 20(4), pp. 986–1014.</w:t>
      </w:r>
    </w:p>
    <w:p w:rsidR="00247196" w:rsidRPr="00147005" w:rsidRDefault="00247196" w:rsidP="00E978FD">
      <w:pPr>
        <w:ind w:firstLine="567"/>
        <w:rPr>
          <w:rFonts w:cs="Times New Roman"/>
          <w:szCs w:val="24"/>
        </w:rPr>
      </w:pPr>
      <w:r w:rsidRPr="00147005">
        <w:rPr>
          <w:rFonts w:cs="Times New Roman"/>
          <w:szCs w:val="24"/>
        </w:rPr>
        <w:lastRenderedPageBreak/>
        <w:t xml:space="preserve">Hasan, M., Islam, M. and Shanta, S. (2024) ‘Measuring the impact of green packaging on consumer purchase intention: a study on selected convenience goods in Bangladesh’, </w:t>
      </w:r>
      <w:r w:rsidRPr="00147005">
        <w:rPr>
          <w:rFonts w:cs="Times New Roman"/>
          <w:i/>
          <w:iCs/>
          <w:szCs w:val="24"/>
        </w:rPr>
        <w:t>World Journal of Advanced Research and Reviews</w:t>
      </w:r>
      <w:r w:rsidRPr="00147005">
        <w:rPr>
          <w:rFonts w:cs="Times New Roman"/>
          <w:szCs w:val="24"/>
        </w:rPr>
        <w:t>, 23, pp. 721–735. Available at: https://doi.org/10.30574/wjarr.2024.23.3.2627 (Accessed: 19 November 2025).</w:t>
      </w:r>
    </w:p>
    <w:p w:rsidR="00247196" w:rsidRPr="00147005" w:rsidRDefault="00247196" w:rsidP="00E978FD">
      <w:pPr>
        <w:spacing w:after="0"/>
        <w:ind w:firstLine="567"/>
        <w:rPr>
          <w:rFonts w:cs="Times New Roman"/>
          <w:szCs w:val="24"/>
        </w:rPr>
      </w:pPr>
      <w:r w:rsidRPr="00147005">
        <w:rPr>
          <w:rFonts w:cs="Times New Roman"/>
          <w:szCs w:val="24"/>
        </w:rPr>
        <w:t xml:space="preserve">Hesari, A. E., Shadiardehaei, E. and Shahrabi, B. (2021) ‘The effect of corporate social responsibility on brand performance with the mediating role of corporate reputation, resource commitment and green creativity’, </w:t>
      </w:r>
      <w:r w:rsidRPr="00147005">
        <w:rPr>
          <w:rFonts w:cs="Times New Roman"/>
          <w:i/>
          <w:iCs/>
          <w:szCs w:val="24"/>
        </w:rPr>
        <w:t>Tehničkiglasnik</w:t>
      </w:r>
      <w:r w:rsidRPr="00147005">
        <w:rPr>
          <w:rFonts w:cs="Times New Roman"/>
          <w:szCs w:val="24"/>
        </w:rPr>
        <w:t>, 15(1), 84–91.</w:t>
      </w:r>
    </w:p>
    <w:p w:rsidR="00247196" w:rsidRPr="00247196" w:rsidRDefault="00247196" w:rsidP="00E978FD">
      <w:pPr>
        <w:spacing w:after="0"/>
      </w:pPr>
      <w:r w:rsidRPr="00247196">
        <w:t>Hue, T. T. (2024). Uncovering green brand equity and word-of-mouth intentions in Vietnam. Asian Journal of Business Research Volume, 14(2).</w:t>
      </w:r>
    </w:p>
    <w:p w:rsidR="00247196" w:rsidRPr="00147005" w:rsidRDefault="00247196" w:rsidP="00E978FD">
      <w:pPr>
        <w:spacing w:after="0"/>
        <w:ind w:firstLine="567"/>
        <w:rPr>
          <w:rFonts w:cs="Times New Roman"/>
          <w:szCs w:val="24"/>
        </w:rPr>
      </w:pPr>
      <w:r w:rsidRPr="00147005">
        <w:rPr>
          <w:rFonts w:cs="Times New Roman"/>
          <w:szCs w:val="24"/>
        </w:rPr>
        <w:t xml:space="preserve">ICE (2025) ‘The rise of affordable sustainability in consumer goods’, </w:t>
      </w:r>
      <w:r w:rsidRPr="00147005">
        <w:rPr>
          <w:rFonts w:cs="Times New Roman"/>
          <w:i/>
          <w:iCs/>
          <w:szCs w:val="24"/>
        </w:rPr>
        <w:t>ICE Business Times</w:t>
      </w:r>
      <w:r w:rsidRPr="00147005">
        <w:rPr>
          <w:rFonts w:cs="Times New Roman"/>
          <w:szCs w:val="24"/>
        </w:rPr>
        <w:t xml:space="preserve">. Available at: </w:t>
      </w:r>
      <w:hyperlink r:id="rId26" w:tgtFrame="_new" w:history="1">
        <w:r w:rsidRPr="00147005">
          <w:rPr>
            <w:rStyle w:val="Hyperlink"/>
            <w:rFonts w:cs="Times New Roman"/>
            <w:szCs w:val="24"/>
          </w:rPr>
          <w:t>https://ibtbd.net/the-rise-of-affordable-sustainability-in-consumer-goods/</w:t>
        </w:r>
      </w:hyperlink>
      <w:r w:rsidRPr="00147005">
        <w:rPr>
          <w:rFonts w:cs="Times New Roman"/>
          <w:szCs w:val="24"/>
        </w:rPr>
        <w:t xml:space="preserve"> (Accessed: 5 November 2025).</w:t>
      </w:r>
    </w:p>
    <w:p w:rsidR="00247196" w:rsidRPr="001F7A65" w:rsidRDefault="00247196" w:rsidP="00E978FD">
      <w:pPr>
        <w:ind w:firstLine="567"/>
        <w:rPr>
          <w:rFonts w:cs="Times New Roman"/>
          <w:szCs w:val="24"/>
        </w:rPr>
      </w:pPr>
      <w:r w:rsidRPr="001F7A65">
        <w:rPr>
          <w:rFonts w:cs="Times New Roman"/>
          <w:szCs w:val="24"/>
        </w:rPr>
        <w:t xml:space="preserve">Innovision (2022) </w:t>
      </w:r>
      <w:r w:rsidRPr="001F7A65">
        <w:rPr>
          <w:rFonts w:cs="Times New Roman"/>
          <w:i/>
          <w:iCs/>
          <w:szCs w:val="24"/>
        </w:rPr>
        <w:t>Supermarket and hypermarket trends in the retail market of Bangladesh</w:t>
      </w:r>
      <w:r w:rsidRPr="001F7A65">
        <w:rPr>
          <w:rFonts w:cs="Times New Roman"/>
          <w:szCs w:val="24"/>
        </w:rPr>
        <w:t xml:space="preserve">. Available at: </w:t>
      </w:r>
      <w:hyperlink r:id="rId27" w:tgtFrame="_new" w:history="1">
        <w:r w:rsidRPr="001F7A65">
          <w:rPr>
            <w:rStyle w:val="Hyperlink"/>
            <w:rFonts w:cs="Times New Roman"/>
            <w:szCs w:val="24"/>
          </w:rPr>
          <w:t>https://innovision-bd.com/wp-content/uploads/2022/07/Supermarket-and-Hypermarket-Trends-in-the-Retail-Industry-of-Bangladesh.pdf</w:t>
        </w:r>
      </w:hyperlink>
      <w:r w:rsidRPr="001F7A65">
        <w:rPr>
          <w:rFonts w:cs="Times New Roman"/>
          <w:szCs w:val="24"/>
        </w:rPr>
        <w:t xml:space="preserve"> (Accessed: 19 November 2025).</w:t>
      </w:r>
    </w:p>
    <w:p w:rsidR="00247196" w:rsidRPr="001F7A65" w:rsidRDefault="00247196" w:rsidP="00E978FD">
      <w:pPr>
        <w:ind w:firstLine="567"/>
        <w:rPr>
          <w:rFonts w:cs="Times New Roman"/>
          <w:szCs w:val="24"/>
        </w:rPr>
      </w:pPr>
      <w:r w:rsidRPr="001F7A65">
        <w:rPr>
          <w:rFonts w:cs="Times New Roman"/>
          <w:szCs w:val="24"/>
        </w:rPr>
        <w:t xml:space="preserve">Invest Bangladesh (2023) ‘Overview of the FMCG sector’. Invest Bangladesh. Available at: </w:t>
      </w:r>
      <w:hyperlink r:id="rId28" w:tgtFrame="_new" w:history="1">
        <w:r w:rsidRPr="001F7A65">
          <w:rPr>
            <w:rStyle w:val="Hyperlink"/>
            <w:rFonts w:cs="Times New Roman"/>
            <w:szCs w:val="24"/>
          </w:rPr>
          <w:t>https://investbangladesh.co/fmcg/</w:t>
        </w:r>
      </w:hyperlink>
      <w:r w:rsidRPr="001F7A65">
        <w:rPr>
          <w:rFonts w:cs="Times New Roman"/>
          <w:szCs w:val="24"/>
        </w:rPr>
        <w:t xml:space="preserve"> (Accessed: 19 November 2025).</w:t>
      </w:r>
    </w:p>
    <w:p w:rsidR="00247196" w:rsidRPr="001F7A65" w:rsidRDefault="00247196" w:rsidP="00E978FD">
      <w:pPr>
        <w:ind w:firstLine="567"/>
        <w:rPr>
          <w:rFonts w:cs="Times New Roman"/>
          <w:szCs w:val="24"/>
        </w:rPr>
      </w:pPr>
      <w:r w:rsidRPr="001F7A65">
        <w:rPr>
          <w:rFonts w:cs="Times New Roman"/>
          <w:szCs w:val="24"/>
        </w:rPr>
        <w:t xml:space="preserve">Iqbal, S. (2024) ‘Grocery retail in Bangladesh: trends, opportunities, and challenges’. ShoyebIqbal.com. Available at: </w:t>
      </w:r>
      <w:hyperlink r:id="rId29" w:tgtFrame="_new" w:history="1">
        <w:r w:rsidRPr="001F7A65">
          <w:rPr>
            <w:rStyle w:val="Hyperlink"/>
            <w:rFonts w:cs="Times New Roman"/>
            <w:szCs w:val="24"/>
          </w:rPr>
          <w:t>https://shoyebiqbal.com/index.php/2024/10/14/grocery-retail-in-bangladesh</w:t>
        </w:r>
      </w:hyperlink>
      <w:r w:rsidRPr="001F7A65">
        <w:rPr>
          <w:rFonts w:cs="Times New Roman"/>
          <w:szCs w:val="24"/>
        </w:rPr>
        <w:t xml:space="preserve"> (Accessed: 19 November 2025).</w:t>
      </w:r>
    </w:p>
    <w:p w:rsidR="00247196" w:rsidRPr="00147005" w:rsidRDefault="00247196" w:rsidP="00E978FD">
      <w:pPr>
        <w:spacing w:after="0"/>
        <w:ind w:firstLine="567"/>
        <w:rPr>
          <w:rFonts w:cs="Times New Roman"/>
          <w:szCs w:val="24"/>
        </w:rPr>
      </w:pPr>
      <w:r w:rsidRPr="00147005">
        <w:rPr>
          <w:rFonts w:cs="Times New Roman"/>
          <w:szCs w:val="24"/>
        </w:rPr>
        <w:t xml:space="preserve">Jabeen, R., Khan, K. U., Zain, F. and Atlas, F. (2023) ‘Buy green only: interplay between green marketing, corporate social responsibility and green purchase intention; the mediating role of green brand image’, </w:t>
      </w:r>
      <w:r w:rsidRPr="00147005">
        <w:rPr>
          <w:rFonts w:cs="Times New Roman"/>
          <w:i/>
          <w:iCs/>
          <w:szCs w:val="24"/>
        </w:rPr>
        <w:t>Business Strategy &amp; Development</w:t>
      </w:r>
      <w:r w:rsidRPr="00147005">
        <w:rPr>
          <w:rFonts w:cs="Times New Roman"/>
          <w:szCs w:val="24"/>
        </w:rPr>
        <w:t>, 6(3), 503–518.</w:t>
      </w:r>
    </w:p>
    <w:p w:rsidR="00247196" w:rsidRPr="001F7A65" w:rsidRDefault="00247196" w:rsidP="00E978FD">
      <w:pPr>
        <w:ind w:firstLine="567"/>
        <w:rPr>
          <w:rFonts w:cs="Times New Roman"/>
          <w:szCs w:val="24"/>
        </w:rPr>
      </w:pPr>
      <w:r w:rsidRPr="001F7A65">
        <w:rPr>
          <w:rFonts w:cs="Times New Roman"/>
          <w:szCs w:val="24"/>
        </w:rPr>
        <w:t xml:space="preserve">Jamil, M.H. (2023) </w:t>
      </w:r>
      <w:r w:rsidRPr="001F7A65">
        <w:rPr>
          <w:rFonts w:cs="Times New Roman"/>
          <w:i/>
          <w:iCs/>
          <w:szCs w:val="24"/>
        </w:rPr>
        <w:t>F-commerce prospects in Bangladesh: a hands-on practice through SMART BUY BD platform</w:t>
      </w:r>
      <w:r w:rsidRPr="001F7A65">
        <w:rPr>
          <w:rFonts w:cs="Times New Roman"/>
          <w:szCs w:val="24"/>
        </w:rPr>
        <w:t xml:space="preserve">. United International University. Available at: </w:t>
      </w:r>
      <w:hyperlink r:id="rId30" w:tgtFrame="_new" w:history="1">
        <w:r w:rsidRPr="001F7A65">
          <w:rPr>
            <w:rStyle w:val="Hyperlink"/>
            <w:rFonts w:cs="Times New Roman"/>
            <w:szCs w:val="24"/>
          </w:rPr>
          <w:t>https://dspace.uiu.ac.bd/bitstream/handle/52243/2788/Dspace_%20F-COMMERCE%20PROSPECTS%20IN%20BANGLADESH%20A%20HANDS-ON%20PRACTICE%20THROUGH%20SMART%20BUY%20BD%20PLATFORM%20%281%29.pdf?isAllowed=y&amp;sequence=1</w:t>
        </w:r>
      </w:hyperlink>
      <w:r w:rsidRPr="001F7A6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lastRenderedPageBreak/>
        <w:t xml:space="preserve">Keller, K.L. (1993) ‘Conceptualizing, measuring, and managing customer-based brand equity’, </w:t>
      </w:r>
      <w:r w:rsidRPr="00147005">
        <w:rPr>
          <w:rFonts w:cs="Times New Roman"/>
          <w:i/>
          <w:iCs/>
          <w:szCs w:val="24"/>
        </w:rPr>
        <w:t>Journal of Marketing</w:t>
      </w:r>
      <w:r w:rsidRPr="00147005">
        <w:rPr>
          <w:rFonts w:cs="Times New Roman"/>
          <w:szCs w:val="24"/>
        </w:rPr>
        <w:t xml:space="preserve">, 57, pp. 1–22. Available at: </w:t>
      </w:r>
      <w:hyperlink r:id="rId31" w:tgtFrame="_new" w:history="1">
        <w:r w:rsidRPr="00147005">
          <w:rPr>
            <w:rStyle w:val="Hyperlink"/>
            <w:rFonts w:cs="Times New Roman"/>
            <w:szCs w:val="24"/>
          </w:rPr>
          <w:t>http://dx.doi.org/10.2307/1252054</w:t>
        </w:r>
      </w:hyperlink>
      <w:r w:rsidRPr="00147005">
        <w:rPr>
          <w:rFonts w:cs="Times New Roman"/>
          <w:szCs w:val="24"/>
        </w:rPr>
        <w:t xml:space="preserve"> (Accessed: 19 November 2025).</w:t>
      </w:r>
    </w:p>
    <w:p w:rsidR="00247196" w:rsidRDefault="00247196" w:rsidP="00247196">
      <w:pPr>
        <w:ind w:firstLine="567"/>
        <w:rPr>
          <w:rFonts w:cs="Times New Roman"/>
          <w:szCs w:val="24"/>
        </w:rPr>
      </w:pPr>
      <w:r w:rsidRPr="001F7A65">
        <w:rPr>
          <w:rFonts w:cs="Times New Roman"/>
          <w:szCs w:val="24"/>
        </w:rPr>
        <w:t xml:space="preserve">Khatun, F. et al. (2023) </w:t>
      </w:r>
      <w:r w:rsidRPr="001F7A65">
        <w:rPr>
          <w:rFonts w:cs="Times New Roman"/>
          <w:i/>
          <w:iCs/>
          <w:szCs w:val="24"/>
        </w:rPr>
        <w:t>Plastic pollution in Bangladesh: drivers, impacts and solutions</w:t>
      </w:r>
      <w:r w:rsidRPr="001F7A65">
        <w:rPr>
          <w:rFonts w:cs="Times New Roman"/>
          <w:szCs w:val="24"/>
        </w:rPr>
        <w:t xml:space="preserve">. Centre for Policy Dialogue (CPD). Available at: </w:t>
      </w:r>
      <w:hyperlink r:id="rId32" w:tgtFrame="_new" w:history="1">
        <w:r w:rsidRPr="001F7A65">
          <w:rPr>
            <w:rStyle w:val="Hyperlink"/>
            <w:rFonts w:cs="Times New Roman"/>
            <w:szCs w:val="24"/>
          </w:rPr>
          <w:t>https://cpd.org.bd/resources/2023/04/Plastic-Pollution-in-Bangladesh-Drivers-Impacts-and-Solutions.pdf</w:t>
        </w:r>
      </w:hyperlink>
      <w:r w:rsidRPr="001F7A65">
        <w:rPr>
          <w:rFonts w:cs="Times New Roman"/>
          <w:szCs w:val="24"/>
        </w:rPr>
        <w:t xml:space="preserve"> (Accessed: 19 November 2025).</w:t>
      </w:r>
    </w:p>
    <w:p w:rsidR="00247196" w:rsidRPr="00147005" w:rsidRDefault="00247196" w:rsidP="00247196">
      <w:pPr>
        <w:ind w:firstLine="567"/>
        <w:rPr>
          <w:rFonts w:cs="Times New Roman"/>
          <w:szCs w:val="24"/>
        </w:rPr>
      </w:pPr>
      <w:r w:rsidRPr="00A52DDC">
        <w:rPr>
          <w:rFonts w:cs="Times New Roman"/>
          <w:szCs w:val="24"/>
        </w:rPr>
        <w:t>KHATUN, L., MAHMUD, S., Akter, M. F., &amp; KABIR, M. R. (2025)</w:t>
      </w:r>
      <w:r>
        <w:rPr>
          <w:rFonts w:cs="Times New Roman"/>
          <w:szCs w:val="24"/>
        </w:rPr>
        <w:t xml:space="preserve"> ‘</w:t>
      </w:r>
      <w:r w:rsidRPr="00A52DDC">
        <w:rPr>
          <w:rFonts w:cs="Times New Roman"/>
          <w:szCs w:val="24"/>
        </w:rPr>
        <w:t>Exploring the Impact of Green Advertising on Consumers' Purchase Intention: A Study on Eco-Conscious Youth in Bangladesh</w:t>
      </w:r>
      <w:r>
        <w:rPr>
          <w:rFonts w:cs="Times New Roman"/>
          <w:szCs w:val="24"/>
        </w:rPr>
        <w:t>’,</w:t>
      </w:r>
      <w:r w:rsidRPr="00A52DDC">
        <w:rPr>
          <w:rFonts w:cs="Times New Roman"/>
          <w:szCs w:val="24"/>
        </w:rPr>
        <w:t> </w:t>
      </w:r>
      <w:r w:rsidRPr="00A52DDC">
        <w:rPr>
          <w:rFonts w:cs="Times New Roman"/>
          <w:i/>
          <w:iCs/>
          <w:szCs w:val="24"/>
        </w:rPr>
        <w:t>International Journal of Economics and Management Systems</w:t>
      </w:r>
      <w:r w:rsidRPr="00A52DDC">
        <w:rPr>
          <w:rFonts w:cs="Times New Roman"/>
          <w:szCs w:val="24"/>
        </w:rPr>
        <w:t>, </w:t>
      </w:r>
      <w:r w:rsidRPr="00A52DDC">
        <w:rPr>
          <w:rFonts w:cs="Times New Roman"/>
          <w:i/>
          <w:iCs/>
          <w:szCs w:val="24"/>
        </w:rPr>
        <w:t>10</w:t>
      </w:r>
      <w:r w:rsidRPr="00A52DDC">
        <w:rPr>
          <w:rFonts w:cs="Times New Roman"/>
          <w:szCs w:val="24"/>
        </w:rPr>
        <w:t>, 202-222.</w:t>
      </w:r>
    </w:p>
    <w:p w:rsidR="00247196" w:rsidRPr="001F7A65" w:rsidRDefault="00247196" w:rsidP="00E978FD">
      <w:pPr>
        <w:ind w:firstLine="567"/>
        <w:rPr>
          <w:rFonts w:cs="Times New Roman"/>
          <w:szCs w:val="24"/>
        </w:rPr>
      </w:pPr>
      <w:r w:rsidRPr="001F7A65">
        <w:rPr>
          <w:rFonts w:cs="Times New Roman"/>
          <w:szCs w:val="24"/>
        </w:rPr>
        <w:t xml:space="preserve">Kothay (2025) ‘FMCG companies in Bangladesh: top players and industry overview’. Kothay Resources. Available at: </w:t>
      </w:r>
      <w:hyperlink r:id="rId33" w:tgtFrame="_new" w:history="1">
        <w:r w:rsidRPr="001F7A65">
          <w:rPr>
            <w:rStyle w:val="Hyperlink"/>
            <w:rFonts w:cs="Times New Roman"/>
            <w:szCs w:val="24"/>
          </w:rPr>
          <w:t>https://resources.kothay.app/best-fmcg-companies-in-bangladesh/</w:t>
        </w:r>
      </w:hyperlink>
      <w:r w:rsidRPr="001F7A6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t xml:space="preserve">Kumar, K., Singh, L.H., Singh, K.P. and Mishra, P. (2024) ‘To examine the influence of digital marketing and celebrity endorsement on consumer purchase intention of mutual funds’, in </w:t>
      </w:r>
      <w:r w:rsidRPr="00147005">
        <w:rPr>
          <w:rFonts w:cs="Times New Roman"/>
          <w:i/>
          <w:iCs/>
          <w:szCs w:val="24"/>
        </w:rPr>
        <w:t>Multidisciplinary approach to information technology in library and information science</w:t>
      </w:r>
      <w:r w:rsidRPr="00147005">
        <w:rPr>
          <w:rFonts w:cs="Times New Roman"/>
          <w:szCs w:val="24"/>
        </w:rPr>
        <w:t>. Hershey, PA: IGI Global, pp. 192–209.</w:t>
      </w:r>
    </w:p>
    <w:p w:rsidR="00247196" w:rsidRPr="00147005" w:rsidRDefault="00247196" w:rsidP="00E978FD">
      <w:pPr>
        <w:spacing w:after="0"/>
        <w:ind w:firstLine="567"/>
        <w:rPr>
          <w:rFonts w:cs="Times New Roman"/>
          <w:szCs w:val="24"/>
        </w:rPr>
      </w:pPr>
      <w:r w:rsidRPr="00147005">
        <w:rPr>
          <w:rFonts w:cs="Times New Roman"/>
          <w:szCs w:val="24"/>
        </w:rPr>
        <w:t xml:space="preserve">Li, D. (2025) ‘Impact of green advertisement and environmental knowledge on intention of consumers to buy green products’, </w:t>
      </w:r>
      <w:r w:rsidRPr="00147005">
        <w:rPr>
          <w:rFonts w:cs="Times New Roman"/>
          <w:i/>
          <w:iCs/>
          <w:szCs w:val="24"/>
        </w:rPr>
        <w:t>BMC Psychology</w:t>
      </w:r>
      <w:r w:rsidRPr="00147005">
        <w:rPr>
          <w:rFonts w:cs="Times New Roman"/>
          <w:szCs w:val="24"/>
        </w:rPr>
        <w:t xml:space="preserve">, 13, 220. </w:t>
      </w:r>
      <w:hyperlink r:id="rId34" w:tgtFrame="_new" w:history="1">
        <w:r w:rsidRPr="00147005">
          <w:rPr>
            <w:rStyle w:val="Hyperlink"/>
            <w:rFonts w:cs="Times New Roman"/>
            <w:szCs w:val="24"/>
          </w:rPr>
          <w:t>https://doi.org/10.1186/s40359-025-02538-x</w:t>
        </w:r>
      </w:hyperlink>
    </w:p>
    <w:p w:rsidR="00247196" w:rsidRPr="00147005" w:rsidRDefault="00247196" w:rsidP="00E978FD">
      <w:pPr>
        <w:spacing w:after="0"/>
        <w:ind w:firstLine="567"/>
        <w:rPr>
          <w:rFonts w:cs="Times New Roman"/>
          <w:szCs w:val="24"/>
        </w:rPr>
      </w:pPr>
      <w:r w:rsidRPr="00147005">
        <w:rPr>
          <w:rFonts w:cs="Times New Roman"/>
          <w:szCs w:val="24"/>
        </w:rPr>
        <w:t xml:space="preserve">Li, H., Haq, I. U., Nadeem, H., Albasher, G., Alqatani, W., Nawaz, A. and Hameed, J. (2020) ‘How environmental awareness relates to green purchase intentions can affect brand evangelism? Altruism and environmental consciousness as mediators’, </w:t>
      </w:r>
      <w:r w:rsidRPr="00147005">
        <w:rPr>
          <w:rFonts w:cs="Times New Roman"/>
          <w:i/>
          <w:iCs/>
          <w:szCs w:val="24"/>
        </w:rPr>
        <w:t>Revista Argentina de ClínicaPsicológica</w:t>
      </w:r>
      <w:r w:rsidRPr="00147005">
        <w:rPr>
          <w:rFonts w:cs="Times New Roman"/>
          <w:szCs w:val="24"/>
        </w:rPr>
        <w:t>, 29(5), 811–825.</w:t>
      </w:r>
    </w:p>
    <w:p w:rsidR="00247196" w:rsidRPr="001F7A65" w:rsidRDefault="00247196" w:rsidP="00E978FD">
      <w:pPr>
        <w:ind w:firstLine="567"/>
        <w:rPr>
          <w:rFonts w:cs="Times New Roman"/>
          <w:szCs w:val="24"/>
        </w:rPr>
      </w:pPr>
      <w:r w:rsidRPr="001F7A65">
        <w:rPr>
          <w:rFonts w:cs="Times New Roman"/>
          <w:szCs w:val="24"/>
        </w:rPr>
        <w:t xml:space="preserve">LightCastle Partners (2019) ‘Fast moving consumer goods (FMCG)—a beacon of economic stability?’ LightCastle Partners. Available at: </w:t>
      </w:r>
      <w:hyperlink r:id="rId35" w:tgtFrame="_new" w:history="1">
        <w:r w:rsidRPr="001F7A65">
          <w:rPr>
            <w:rStyle w:val="Hyperlink"/>
            <w:rFonts w:cs="Times New Roman"/>
            <w:szCs w:val="24"/>
          </w:rPr>
          <w:t>https://lightcastlepartners.com/insights/2019/07/fmcg-bangladesh/</w:t>
        </w:r>
      </w:hyperlink>
      <w:r w:rsidRPr="001F7A65">
        <w:rPr>
          <w:rFonts w:cs="Times New Roman"/>
          <w:szCs w:val="24"/>
        </w:rPr>
        <w:t xml:space="preserve"> (Accessed: 19 November 2025).</w:t>
      </w:r>
    </w:p>
    <w:p w:rsidR="00247196" w:rsidRPr="00147005" w:rsidRDefault="00247196" w:rsidP="00E978FD">
      <w:pPr>
        <w:spacing w:after="0"/>
        <w:ind w:firstLine="567"/>
        <w:rPr>
          <w:rFonts w:cs="Times New Roman"/>
          <w:szCs w:val="24"/>
        </w:rPr>
      </w:pPr>
      <w:r w:rsidRPr="00147005">
        <w:rPr>
          <w:rFonts w:cs="Times New Roman"/>
          <w:szCs w:val="24"/>
        </w:rPr>
        <w:t xml:space="preserve">Liu, X. and Kim, D. (2025) ‘The effect of green marketing mix on outdoor brand attitude and loyalty: a bifactor structural model approach with a moderator of outdoor involvement’, </w:t>
      </w:r>
      <w:r w:rsidRPr="00147005">
        <w:rPr>
          <w:rFonts w:cs="Times New Roman"/>
          <w:i/>
          <w:iCs/>
          <w:szCs w:val="24"/>
        </w:rPr>
        <w:t>Sustainability</w:t>
      </w:r>
      <w:r w:rsidRPr="00147005">
        <w:rPr>
          <w:rFonts w:cs="Times New Roman"/>
          <w:szCs w:val="24"/>
        </w:rPr>
        <w:t xml:space="preserve">, 17(9), 4216. </w:t>
      </w:r>
      <w:hyperlink r:id="rId36" w:tgtFrame="_new" w:history="1">
        <w:r w:rsidRPr="00147005">
          <w:rPr>
            <w:rStyle w:val="Hyperlink"/>
            <w:rFonts w:cs="Times New Roman"/>
            <w:szCs w:val="24"/>
          </w:rPr>
          <w:t>https://doi.org/10.3390/su17094216</w:t>
        </w:r>
      </w:hyperlink>
    </w:p>
    <w:p w:rsidR="00247196" w:rsidRPr="00147005" w:rsidRDefault="00247196" w:rsidP="00E978FD">
      <w:pPr>
        <w:ind w:firstLine="567"/>
        <w:rPr>
          <w:rFonts w:cs="Times New Roman"/>
          <w:szCs w:val="24"/>
        </w:rPr>
      </w:pPr>
      <w:r w:rsidRPr="00147005">
        <w:rPr>
          <w:rFonts w:cs="Times New Roman"/>
          <w:szCs w:val="24"/>
        </w:rPr>
        <w:lastRenderedPageBreak/>
        <w:t>Longo, D. and Magnusson, M. (2024) ‘Combining innovation and sustainability: exploring green marketing strategies in SMEs’. Unpublished manuscript.</w:t>
      </w:r>
    </w:p>
    <w:p w:rsidR="00247196" w:rsidRDefault="00247196" w:rsidP="00247196">
      <w:pPr>
        <w:spacing w:after="0"/>
        <w:ind w:firstLine="567"/>
      </w:pPr>
      <w:r w:rsidRPr="00147005">
        <w:rPr>
          <w:rFonts w:cs="Times New Roman"/>
          <w:szCs w:val="24"/>
        </w:rPr>
        <w:t xml:space="preserve">Majeed, M. U., Aslam, S., Murtaza, S. A., Attila, S. and Molnár, E. (2022) ‘Green marketing approaches and their impact on green purchase intentions: mediating role of green brand image and consumer beliefs towards the environment’, </w:t>
      </w:r>
      <w:r w:rsidRPr="00147005">
        <w:rPr>
          <w:rFonts w:cs="Times New Roman"/>
          <w:i/>
          <w:iCs/>
          <w:szCs w:val="24"/>
        </w:rPr>
        <w:t>Sustainability</w:t>
      </w:r>
      <w:r w:rsidRPr="00147005">
        <w:rPr>
          <w:rFonts w:cs="Times New Roman"/>
          <w:szCs w:val="24"/>
        </w:rPr>
        <w:t xml:space="preserve">, 14(18), 11703. </w:t>
      </w:r>
      <w:hyperlink r:id="rId37" w:tgtFrame="_new" w:history="1">
        <w:r w:rsidRPr="00147005">
          <w:rPr>
            <w:rStyle w:val="Hyperlink"/>
            <w:rFonts w:cs="Times New Roman"/>
            <w:szCs w:val="24"/>
          </w:rPr>
          <w:t>https://doi.org/10.3390/su141811703</w:t>
        </w:r>
      </w:hyperlink>
    </w:p>
    <w:p w:rsidR="00247196" w:rsidRDefault="00247196" w:rsidP="00247196">
      <w:pPr>
        <w:spacing w:after="0"/>
        <w:ind w:firstLine="567"/>
        <w:rPr>
          <w:rFonts w:cs="Times New Roman"/>
          <w:szCs w:val="24"/>
        </w:rPr>
      </w:pPr>
      <w:r w:rsidRPr="00A52DDC">
        <w:rPr>
          <w:rFonts w:cs="Times New Roman"/>
          <w:szCs w:val="24"/>
        </w:rPr>
        <w:t>Mathew, R., &amp; Jose, A. (2022)</w:t>
      </w:r>
      <w:r>
        <w:rPr>
          <w:rFonts w:cs="Times New Roman"/>
          <w:szCs w:val="24"/>
        </w:rPr>
        <w:t xml:space="preserve"> ‘</w:t>
      </w:r>
      <w:r w:rsidRPr="00A52DDC">
        <w:rPr>
          <w:rFonts w:cs="Times New Roman"/>
          <w:szCs w:val="24"/>
        </w:rPr>
        <w:t>The Influence of Green Marketing on Brand Equity–Analyzing the 4 P’s</w:t>
      </w:r>
      <w:r>
        <w:rPr>
          <w:rFonts w:cs="Times New Roman"/>
          <w:szCs w:val="24"/>
        </w:rPr>
        <w:t>’,</w:t>
      </w:r>
      <w:r w:rsidRPr="00A52DDC">
        <w:rPr>
          <w:rFonts w:cs="Times New Roman"/>
          <w:szCs w:val="24"/>
        </w:rPr>
        <w:t> </w:t>
      </w:r>
      <w:r w:rsidRPr="00A52DDC">
        <w:rPr>
          <w:rFonts w:cs="Times New Roman"/>
          <w:i/>
          <w:iCs/>
          <w:szCs w:val="24"/>
        </w:rPr>
        <w:t xml:space="preserve"> SSRN 4285120</w:t>
      </w:r>
      <w:r w:rsidRPr="00A52DDC">
        <w:rPr>
          <w:rFonts w:cs="Times New Roman"/>
          <w:szCs w:val="24"/>
        </w:rPr>
        <w:t>.</w:t>
      </w:r>
    </w:p>
    <w:p w:rsidR="00247196" w:rsidRPr="00147005" w:rsidRDefault="00247196" w:rsidP="00E978FD">
      <w:pPr>
        <w:ind w:firstLine="567"/>
        <w:rPr>
          <w:rFonts w:cs="Times New Roman"/>
          <w:szCs w:val="24"/>
        </w:rPr>
      </w:pPr>
      <w:r w:rsidRPr="00147005">
        <w:rPr>
          <w:rFonts w:cs="Times New Roman"/>
          <w:szCs w:val="24"/>
        </w:rPr>
        <w:t xml:space="preserve">Mo, X., Boadu, F., Liu, Y., Chen, Z. and Ofori, A.S. (2022) ‘Corporate social responsibility activities and green innovation performance in organizations: do managerial environmental concerns and green absorptive capacity matter?’, </w:t>
      </w:r>
      <w:r w:rsidRPr="00147005">
        <w:rPr>
          <w:rFonts w:cs="Times New Roman"/>
          <w:i/>
          <w:iCs/>
          <w:szCs w:val="24"/>
        </w:rPr>
        <w:t>Frontiers in Psychology</w:t>
      </w:r>
      <w:r w:rsidRPr="00147005">
        <w:rPr>
          <w:rFonts w:cs="Times New Roman"/>
          <w:szCs w:val="24"/>
        </w:rPr>
        <w:t>, 13, 938682. Available at: https://doi.org/10.3389/fpsyg.2022.938682 (Accessed: 19 November 2025).</w:t>
      </w:r>
    </w:p>
    <w:p w:rsidR="00247196" w:rsidRPr="00147005" w:rsidRDefault="00247196" w:rsidP="00E978FD">
      <w:pPr>
        <w:ind w:firstLine="567"/>
        <w:rPr>
          <w:rFonts w:cs="Times New Roman"/>
          <w:szCs w:val="24"/>
        </w:rPr>
      </w:pPr>
      <w:r w:rsidRPr="00147005">
        <w:rPr>
          <w:rFonts w:cs="Times New Roman"/>
          <w:szCs w:val="24"/>
        </w:rPr>
        <w:t xml:space="preserve">Naskar, S.T. and Lindahl, J.M.M. (2025) ‘Forty years of the theory of planned behavior: a bibliometric analysis (1985–2024)’, </w:t>
      </w:r>
      <w:r w:rsidRPr="00147005">
        <w:rPr>
          <w:rFonts w:cs="Times New Roman"/>
          <w:i/>
          <w:iCs/>
          <w:szCs w:val="24"/>
        </w:rPr>
        <w:t>Management Review Quarterly</w:t>
      </w:r>
      <w:r w:rsidRPr="00147005">
        <w:rPr>
          <w:rFonts w:cs="Times New Roman"/>
          <w:szCs w:val="24"/>
        </w:rPr>
        <w:t xml:space="preserve">. Available at: </w:t>
      </w:r>
      <w:hyperlink r:id="rId38" w:tgtFrame="_new" w:history="1">
        <w:r w:rsidRPr="00147005">
          <w:rPr>
            <w:rStyle w:val="Hyperlink"/>
            <w:rFonts w:cs="Times New Roman"/>
            <w:szCs w:val="24"/>
          </w:rPr>
          <w:t>https://doi.org/10.1007/s11301-025-00487-8</w:t>
        </w:r>
      </w:hyperlink>
      <w:r w:rsidRPr="00147005">
        <w:rPr>
          <w:rFonts w:cs="Times New Roman"/>
          <w:szCs w:val="24"/>
        </w:rPr>
        <w:t xml:space="preserve"> (Accessed: 19 November 2025).</w:t>
      </w:r>
    </w:p>
    <w:p w:rsidR="00247196" w:rsidRDefault="00247196" w:rsidP="00247196">
      <w:pPr>
        <w:ind w:firstLine="567"/>
        <w:rPr>
          <w:rFonts w:cs="Times New Roman"/>
          <w:szCs w:val="24"/>
        </w:rPr>
      </w:pPr>
      <w:r w:rsidRPr="00147005">
        <w:rPr>
          <w:rFonts w:cs="Times New Roman"/>
          <w:szCs w:val="24"/>
        </w:rPr>
        <w:t xml:space="preserve">Ncube, L.K., Ude, A.U., Ogunmuyiwa, E.N., Zulkifli, R. and Beas, I.N. (2021) ‘An overview of plastic waste generation and management in food packaging industries’, </w:t>
      </w:r>
      <w:r w:rsidRPr="00147005">
        <w:rPr>
          <w:rFonts w:cs="Times New Roman"/>
          <w:i/>
          <w:iCs/>
          <w:szCs w:val="24"/>
        </w:rPr>
        <w:t>Recycling</w:t>
      </w:r>
      <w:r w:rsidRPr="00147005">
        <w:rPr>
          <w:rFonts w:cs="Times New Roman"/>
          <w:szCs w:val="24"/>
        </w:rPr>
        <w:t>, 6(1), 12.</w:t>
      </w:r>
    </w:p>
    <w:p w:rsidR="00247196" w:rsidRDefault="00247196" w:rsidP="00247196">
      <w:pPr>
        <w:ind w:firstLine="567"/>
        <w:rPr>
          <w:rFonts w:cs="Times New Roman"/>
          <w:szCs w:val="24"/>
        </w:rPr>
      </w:pPr>
      <w:r w:rsidRPr="00A52DDC">
        <w:rPr>
          <w:rFonts w:cs="Times New Roman"/>
          <w:szCs w:val="24"/>
        </w:rPr>
        <w:t>Nekmahmud, M., &amp; Fekete-Farkas, M. (2020)</w:t>
      </w:r>
      <w:r>
        <w:rPr>
          <w:rFonts w:cs="Times New Roman"/>
          <w:szCs w:val="24"/>
        </w:rPr>
        <w:t xml:space="preserve"> ‘</w:t>
      </w:r>
      <w:r w:rsidRPr="00A52DDC">
        <w:rPr>
          <w:rFonts w:cs="Times New Roman"/>
          <w:szCs w:val="24"/>
        </w:rPr>
        <w:t>Why not green marketing? Determinates of consumers’ intention to green purchase decision in a new developing nation</w:t>
      </w:r>
      <w:r>
        <w:rPr>
          <w:rFonts w:cs="Times New Roman"/>
          <w:szCs w:val="24"/>
        </w:rPr>
        <w:t>’</w:t>
      </w:r>
      <w:r w:rsidRPr="00A52DDC">
        <w:rPr>
          <w:rFonts w:cs="Times New Roman"/>
          <w:szCs w:val="24"/>
        </w:rPr>
        <w:t> </w:t>
      </w:r>
      <w:r w:rsidRPr="00A52DDC">
        <w:rPr>
          <w:rFonts w:cs="Times New Roman"/>
          <w:i/>
          <w:iCs/>
          <w:szCs w:val="24"/>
        </w:rPr>
        <w:t>Sustainability</w:t>
      </w:r>
      <w:r w:rsidRPr="00A52DDC">
        <w:rPr>
          <w:rFonts w:cs="Times New Roman"/>
          <w:szCs w:val="24"/>
        </w:rPr>
        <w:t>, </w:t>
      </w:r>
      <w:r w:rsidRPr="00A52DDC">
        <w:rPr>
          <w:rFonts w:cs="Times New Roman"/>
          <w:i/>
          <w:iCs/>
          <w:szCs w:val="24"/>
        </w:rPr>
        <w:t>12</w:t>
      </w:r>
      <w:r w:rsidRPr="00A52DDC">
        <w:rPr>
          <w:rFonts w:cs="Times New Roman"/>
          <w:szCs w:val="24"/>
        </w:rPr>
        <w:t>(19), 7880.</w:t>
      </w:r>
    </w:p>
    <w:p w:rsidR="00247196" w:rsidRPr="00147005" w:rsidRDefault="00247196" w:rsidP="00E978FD">
      <w:pPr>
        <w:spacing w:after="0"/>
        <w:ind w:firstLine="567"/>
        <w:rPr>
          <w:rFonts w:cs="Times New Roman"/>
          <w:szCs w:val="24"/>
        </w:rPr>
      </w:pPr>
      <w:r w:rsidRPr="00147005">
        <w:rPr>
          <w:rFonts w:cs="Times New Roman"/>
          <w:szCs w:val="24"/>
        </w:rPr>
        <w:t xml:space="preserve">Nurapni, S., Ibrahim, S. S., Pratiwi, D. and Munawar, M. R. K. (2024) ‘The influence of environmental awareness, green marketing, and green attributes transparency on purchase intention through corporate brand image as a mediating variable: a case study on Unilever consumers’, </w:t>
      </w:r>
      <w:r w:rsidRPr="00147005">
        <w:rPr>
          <w:rFonts w:cs="Times New Roman"/>
          <w:i/>
          <w:iCs/>
          <w:szCs w:val="24"/>
        </w:rPr>
        <w:t>International Journal of Business, Law, and Education</w:t>
      </w:r>
      <w:r w:rsidRPr="00147005">
        <w:rPr>
          <w:rFonts w:cs="Times New Roman"/>
          <w:szCs w:val="24"/>
        </w:rPr>
        <w:t>, 5(1), 486–500.</w:t>
      </w:r>
    </w:p>
    <w:p w:rsidR="00247196" w:rsidRPr="00147005" w:rsidRDefault="00247196" w:rsidP="00E978FD">
      <w:pPr>
        <w:spacing w:after="0"/>
        <w:ind w:firstLine="567"/>
        <w:rPr>
          <w:rFonts w:cs="Times New Roman"/>
          <w:szCs w:val="24"/>
        </w:rPr>
      </w:pPr>
      <w:r w:rsidRPr="00147005">
        <w:rPr>
          <w:rFonts w:cs="Times New Roman"/>
          <w:szCs w:val="24"/>
        </w:rPr>
        <w:t xml:space="preserve">Nwabekee, U. S., Abdul-Azeez, O. Y., Agu, E. E. and Ijomah, T. I. (2024) ‘Innovative sustainability initiatives in the FMCG industry: a review of challenges and successes’, </w:t>
      </w:r>
      <w:r w:rsidRPr="00147005">
        <w:rPr>
          <w:rFonts w:cs="Times New Roman"/>
          <w:i/>
          <w:iCs/>
          <w:szCs w:val="24"/>
        </w:rPr>
        <w:t>International Journal of Applied Research in Social Science</w:t>
      </w:r>
      <w:r w:rsidRPr="00147005">
        <w:rPr>
          <w:rFonts w:cs="Times New Roman"/>
          <w:szCs w:val="24"/>
        </w:rPr>
        <w:t>, 6, 1990–2017.</w:t>
      </w:r>
    </w:p>
    <w:p w:rsidR="00247196" w:rsidRPr="00147005" w:rsidRDefault="00247196" w:rsidP="00E978FD">
      <w:pPr>
        <w:ind w:firstLine="567"/>
        <w:rPr>
          <w:rFonts w:cs="Times New Roman"/>
          <w:szCs w:val="24"/>
        </w:rPr>
      </w:pPr>
      <w:r w:rsidRPr="00147005">
        <w:rPr>
          <w:rFonts w:cs="Times New Roman"/>
          <w:szCs w:val="24"/>
        </w:rPr>
        <w:t xml:space="preserve">Our World in Data (2024) ‘Packaging is the source of 40% of the planet’s plastic waste’. </w:t>
      </w:r>
      <w:r w:rsidRPr="00147005">
        <w:rPr>
          <w:rFonts w:cs="Times New Roman"/>
          <w:i/>
          <w:iCs/>
          <w:szCs w:val="24"/>
        </w:rPr>
        <w:t>Our World in Data</w:t>
      </w:r>
      <w:r w:rsidRPr="00147005">
        <w:rPr>
          <w:rFonts w:cs="Times New Roman"/>
          <w:szCs w:val="24"/>
        </w:rPr>
        <w:t xml:space="preserve">. Available at: </w:t>
      </w:r>
      <w:hyperlink r:id="rId39" w:tgtFrame="_new" w:history="1">
        <w:r w:rsidRPr="00147005">
          <w:rPr>
            <w:rStyle w:val="Hyperlink"/>
            <w:rFonts w:cs="Times New Roman"/>
            <w:szCs w:val="24"/>
          </w:rPr>
          <w:t>https://ourworldindata.org/data-insights/packaging-is-the-source-of-40-of-the-planets-plastic-waste</w:t>
        </w:r>
      </w:hyperlink>
      <w:r w:rsidRPr="0014700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lastRenderedPageBreak/>
        <w:t xml:space="preserve">Page, M.J. et al. (2021) ‘The PRISMA 2020 statement: an updated guideline for reporting systematic reviews’, </w:t>
      </w:r>
      <w:r w:rsidRPr="00147005">
        <w:rPr>
          <w:rFonts w:cs="Times New Roman"/>
          <w:i/>
          <w:iCs/>
          <w:szCs w:val="24"/>
        </w:rPr>
        <w:t>Systematic Reviews</w:t>
      </w:r>
      <w:r w:rsidRPr="00147005">
        <w:rPr>
          <w:rFonts w:cs="Times New Roman"/>
          <w:szCs w:val="24"/>
        </w:rPr>
        <w:t xml:space="preserve">, 10, Article 89. Available at: </w:t>
      </w:r>
      <w:hyperlink r:id="rId40" w:tgtFrame="_new" w:history="1">
        <w:r w:rsidRPr="00147005">
          <w:rPr>
            <w:rStyle w:val="Hyperlink"/>
            <w:rFonts w:cs="Times New Roman"/>
            <w:szCs w:val="24"/>
          </w:rPr>
          <w:t>https://doi.org/10.1186/s13643-021-01626-4</w:t>
        </w:r>
      </w:hyperlink>
      <w:r w:rsidRPr="0014700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t xml:space="preserve">Paul, S.M. and Bhattacharyya, P.R. (2023) ‘Effect of attitude-behavior gap and its repercussion on purchasing green vehicles to support sustainable consumption: perspectives from India’, </w:t>
      </w:r>
      <w:r w:rsidRPr="00147005">
        <w:rPr>
          <w:rFonts w:cs="Times New Roman"/>
          <w:i/>
          <w:iCs/>
          <w:szCs w:val="24"/>
        </w:rPr>
        <w:t>Academy of Marketing Studies Journal</w:t>
      </w:r>
      <w:r w:rsidRPr="00147005">
        <w:rPr>
          <w:rFonts w:cs="Times New Roman"/>
          <w:szCs w:val="24"/>
        </w:rPr>
        <w:t>, 27(2).</w:t>
      </w:r>
    </w:p>
    <w:p w:rsidR="00247196" w:rsidRPr="00147005" w:rsidRDefault="00247196" w:rsidP="00E978FD">
      <w:pPr>
        <w:ind w:firstLine="567"/>
        <w:rPr>
          <w:rFonts w:cs="Times New Roman"/>
          <w:szCs w:val="24"/>
        </w:rPr>
      </w:pPr>
      <w:r w:rsidRPr="00147005">
        <w:rPr>
          <w:rFonts w:cs="Times New Roman"/>
          <w:szCs w:val="24"/>
        </w:rPr>
        <w:t xml:space="preserve">Polonsky, M.J. (2008) ‘An introduction to green marketing’, </w:t>
      </w:r>
      <w:r w:rsidRPr="00147005">
        <w:rPr>
          <w:rFonts w:cs="Times New Roman"/>
          <w:i/>
          <w:iCs/>
          <w:szCs w:val="24"/>
        </w:rPr>
        <w:t>Global Environment: Problems and Policies</w:t>
      </w:r>
      <w:r w:rsidRPr="00147005">
        <w:rPr>
          <w:rFonts w:cs="Times New Roman"/>
          <w:szCs w:val="24"/>
        </w:rPr>
        <w:t>, 2(1), pp. 1–10.</w:t>
      </w:r>
    </w:p>
    <w:p w:rsidR="00247196" w:rsidRPr="00147005" w:rsidRDefault="00247196" w:rsidP="00E978FD">
      <w:pPr>
        <w:ind w:firstLine="567"/>
        <w:rPr>
          <w:rFonts w:cs="Times New Roman"/>
          <w:szCs w:val="24"/>
        </w:rPr>
      </w:pPr>
      <w:r w:rsidRPr="00147005">
        <w:rPr>
          <w:rFonts w:cs="Times New Roman"/>
          <w:szCs w:val="24"/>
        </w:rPr>
        <w:t xml:space="preserve">Popay, J., Roberts, H., Sowden, A., Petticrew, M., Arai, L., Rodgers, M., Britten, N. and Duffy, S. (2006) </w:t>
      </w:r>
      <w:r w:rsidRPr="00147005">
        <w:rPr>
          <w:rFonts w:cs="Times New Roman"/>
          <w:i/>
          <w:iCs/>
          <w:szCs w:val="24"/>
        </w:rPr>
        <w:t>Guidance on the conduct of narrative synthesis in systematic reviews</w:t>
      </w:r>
      <w:r w:rsidRPr="00147005">
        <w:rPr>
          <w:rFonts w:cs="Times New Roman"/>
          <w:szCs w:val="24"/>
        </w:rPr>
        <w:t>. ESRC Methods Programme.</w:t>
      </w:r>
    </w:p>
    <w:p w:rsidR="00247196" w:rsidRPr="001F7A65" w:rsidRDefault="00247196" w:rsidP="00E978FD">
      <w:pPr>
        <w:ind w:firstLine="567"/>
        <w:rPr>
          <w:rFonts w:cs="Times New Roman"/>
          <w:szCs w:val="24"/>
        </w:rPr>
      </w:pPr>
      <w:r w:rsidRPr="001F7A65">
        <w:rPr>
          <w:rFonts w:cs="Times New Roman"/>
          <w:szCs w:val="24"/>
        </w:rPr>
        <w:t xml:space="preserve">PRAN (2025) ‘Environment’. PRAN Foods. Available at: </w:t>
      </w:r>
      <w:hyperlink r:id="rId41" w:tgtFrame="_new" w:history="1">
        <w:r w:rsidRPr="001F7A65">
          <w:rPr>
            <w:rStyle w:val="Hyperlink"/>
            <w:rFonts w:cs="Times New Roman"/>
            <w:szCs w:val="24"/>
          </w:rPr>
          <w:t>https://www.pranfoods.net/environment</w:t>
        </w:r>
      </w:hyperlink>
      <w:r w:rsidRPr="001F7A6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t xml:space="preserve">Pride, W.M. and Ferrell, O.C. (1993) </w:t>
      </w:r>
      <w:r w:rsidRPr="00147005">
        <w:rPr>
          <w:rFonts w:cs="Times New Roman"/>
          <w:i/>
          <w:iCs/>
          <w:szCs w:val="24"/>
        </w:rPr>
        <w:t>Marketing: study guide</w:t>
      </w:r>
      <w:r w:rsidRPr="00147005">
        <w:rPr>
          <w:rFonts w:cs="Times New Roman"/>
          <w:szCs w:val="24"/>
        </w:rPr>
        <w:t>. Houghton Mifflin School.</w:t>
      </w:r>
    </w:p>
    <w:p w:rsidR="00247196" w:rsidRDefault="00247196" w:rsidP="00247196">
      <w:pPr>
        <w:spacing w:after="0"/>
        <w:ind w:firstLine="567"/>
        <w:rPr>
          <w:rFonts w:cs="Times New Roman"/>
          <w:szCs w:val="24"/>
        </w:rPr>
      </w:pPr>
      <w:r w:rsidRPr="00147005">
        <w:rPr>
          <w:rFonts w:cs="Times New Roman"/>
          <w:szCs w:val="24"/>
        </w:rPr>
        <w:t xml:space="preserve">Putri, A., Sugandini, D. and Sutiono, H. (2024) ‘Green marketing and green innovation on green purchase intention through green brand image in consumer skincare’, </w:t>
      </w:r>
      <w:r w:rsidRPr="00147005">
        <w:rPr>
          <w:rFonts w:cs="Times New Roman"/>
          <w:i/>
          <w:iCs/>
          <w:szCs w:val="24"/>
        </w:rPr>
        <w:t>West Science Business and Management</w:t>
      </w:r>
      <w:r w:rsidRPr="00147005">
        <w:rPr>
          <w:rFonts w:cs="Times New Roman"/>
          <w:szCs w:val="24"/>
        </w:rPr>
        <w:t xml:space="preserve">, 2, 681–688. </w:t>
      </w:r>
      <w:hyperlink r:id="rId42" w:history="1">
        <w:r w:rsidRPr="00FB22E0">
          <w:rPr>
            <w:rStyle w:val="Hyperlink"/>
            <w:rFonts w:cs="Times New Roman"/>
            <w:szCs w:val="24"/>
          </w:rPr>
          <w:t>https://doi.org/10.58812/wsbm.v2i02.1010</w:t>
        </w:r>
      </w:hyperlink>
    </w:p>
    <w:p w:rsidR="00247196" w:rsidRDefault="00247196" w:rsidP="00247196">
      <w:pPr>
        <w:spacing w:after="0"/>
        <w:ind w:firstLine="567"/>
        <w:rPr>
          <w:rFonts w:cs="Times New Roman"/>
          <w:szCs w:val="24"/>
        </w:rPr>
      </w:pPr>
      <w:r w:rsidRPr="00A52DDC">
        <w:rPr>
          <w:rFonts w:cs="Times New Roman"/>
          <w:szCs w:val="24"/>
        </w:rPr>
        <w:t>Quang, N. N. (2022)</w:t>
      </w:r>
      <w:r>
        <w:rPr>
          <w:rFonts w:cs="Times New Roman"/>
          <w:szCs w:val="24"/>
        </w:rPr>
        <w:t xml:space="preserve"> ‘</w:t>
      </w:r>
      <w:r w:rsidRPr="00A52DDC">
        <w:rPr>
          <w:rFonts w:cs="Times New Roman"/>
          <w:szCs w:val="24"/>
        </w:rPr>
        <w:t>Factors AfectingGreeFmcg Attitude and Purchase Intention in Vietnam</w:t>
      </w:r>
      <w:r>
        <w:rPr>
          <w:rFonts w:cs="Times New Roman"/>
          <w:szCs w:val="24"/>
        </w:rPr>
        <w:t>’,</w:t>
      </w:r>
      <w:r w:rsidRPr="00A52DDC">
        <w:rPr>
          <w:rFonts w:cs="Times New Roman"/>
          <w:szCs w:val="24"/>
        </w:rPr>
        <w:t> </w:t>
      </w:r>
      <w:r w:rsidRPr="00A52DDC">
        <w:rPr>
          <w:rFonts w:cs="Times New Roman"/>
          <w:i/>
          <w:iCs/>
          <w:szCs w:val="24"/>
        </w:rPr>
        <w:t>Mathematical Statistician and Engineering Applications</w:t>
      </w:r>
      <w:r w:rsidRPr="00A52DDC">
        <w:rPr>
          <w:rFonts w:cs="Times New Roman"/>
          <w:szCs w:val="24"/>
        </w:rPr>
        <w:t>, </w:t>
      </w:r>
      <w:r w:rsidRPr="00A52DDC">
        <w:rPr>
          <w:rFonts w:cs="Times New Roman"/>
          <w:i/>
          <w:iCs/>
          <w:szCs w:val="24"/>
        </w:rPr>
        <w:t>71</w:t>
      </w:r>
      <w:r w:rsidRPr="00A52DDC">
        <w:rPr>
          <w:rFonts w:cs="Times New Roman"/>
          <w:szCs w:val="24"/>
        </w:rPr>
        <w:t>(3s), 1383-1399.</w:t>
      </w:r>
    </w:p>
    <w:p w:rsidR="00247196" w:rsidRDefault="00247196" w:rsidP="00247196">
      <w:pPr>
        <w:spacing w:after="0"/>
        <w:ind w:firstLine="567"/>
        <w:rPr>
          <w:rFonts w:cs="Times New Roman"/>
          <w:szCs w:val="24"/>
        </w:rPr>
      </w:pPr>
      <w:r w:rsidRPr="00A52DDC">
        <w:rPr>
          <w:rFonts w:cs="Times New Roman"/>
          <w:szCs w:val="24"/>
        </w:rPr>
        <w:t>Rahman, M. S., Ara, M. A., Alim, M. A., Jee, T. W., &amp; Lim, R. T. H. (2020).</w:t>
      </w:r>
      <w:r>
        <w:rPr>
          <w:rFonts w:cs="Times New Roman"/>
          <w:szCs w:val="24"/>
        </w:rPr>
        <w:t>‘</w:t>
      </w:r>
      <w:r w:rsidRPr="00A52DDC">
        <w:rPr>
          <w:rFonts w:cs="Times New Roman"/>
          <w:szCs w:val="24"/>
        </w:rPr>
        <w:t>Consumers’ actual purchase behaviour towards green products in Bangladesh</w:t>
      </w:r>
      <w:r>
        <w:rPr>
          <w:rFonts w:cs="Times New Roman"/>
          <w:szCs w:val="24"/>
        </w:rPr>
        <w:t>’,</w:t>
      </w:r>
      <w:r w:rsidRPr="00A52DDC">
        <w:rPr>
          <w:rFonts w:cs="Times New Roman"/>
          <w:szCs w:val="24"/>
        </w:rPr>
        <w:t> </w:t>
      </w:r>
      <w:r w:rsidRPr="00A52DDC">
        <w:rPr>
          <w:rFonts w:cs="Times New Roman"/>
          <w:i/>
          <w:iCs/>
          <w:szCs w:val="24"/>
        </w:rPr>
        <w:t>Malaysian Journal of Consumer and Family Economics</w:t>
      </w:r>
      <w:r w:rsidRPr="00A52DDC">
        <w:rPr>
          <w:rFonts w:cs="Times New Roman"/>
          <w:szCs w:val="24"/>
        </w:rPr>
        <w:t>, </w:t>
      </w:r>
      <w:r w:rsidRPr="00A52DDC">
        <w:rPr>
          <w:rFonts w:cs="Times New Roman"/>
          <w:i/>
          <w:iCs/>
          <w:szCs w:val="24"/>
        </w:rPr>
        <w:t>25</w:t>
      </w:r>
      <w:r w:rsidRPr="00A52DDC">
        <w:rPr>
          <w:rFonts w:cs="Times New Roman"/>
          <w:szCs w:val="24"/>
        </w:rPr>
        <w:t>, 92-120.</w:t>
      </w:r>
    </w:p>
    <w:p w:rsidR="00247196" w:rsidRDefault="00247196" w:rsidP="00247196">
      <w:pPr>
        <w:ind w:firstLine="567"/>
        <w:rPr>
          <w:rFonts w:cs="Times New Roman"/>
          <w:szCs w:val="24"/>
        </w:rPr>
      </w:pPr>
      <w:r w:rsidRPr="001F7A65">
        <w:rPr>
          <w:rFonts w:cs="Times New Roman"/>
          <w:szCs w:val="24"/>
        </w:rPr>
        <w:t xml:space="preserve">Rahman, T. et al. (2023) </w:t>
      </w:r>
      <w:r w:rsidRPr="001F7A65">
        <w:rPr>
          <w:rFonts w:cs="Times New Roman"/>
          <w:i/>
          <w:iCs/>
          <w:szCs w:val="24"/>
        </w:rPr>
        <w:t>Behavioural insights for plastic waste management in Bangladesh</w:t>
      </w:r>
      <w:r w:rsidRPr="001F7A65">
        <w:rPr>
          <w:rFonts w:cs="Times New Roman"/>
          <w:szCs w:val="24"/>
        </w:rPr>
        <w:t xml:space="preserve">. The World Bank. Available at: </w:t>
      </w:r>
      <w:hyperlink r:id="rId43" w:tgtFrame="_new" w:history="1">
        <w:r w:rsidRPr="001F7A65">
          <w:rPr>
            <w:rStyle w:val="Hyperlink"/>
            <w:rFonts w:cs="Times New Roman"/>
            <w:szCs w:val="24"/>
          </w:rPr>
          <w:t>https://documents1.worldbank.org/curated/en/099121624201026230/pdf/P175908-1bde3cb2-57ca-4519-adf5-c5e451fc4454.pdf</w:t>
        </w:r>
      </w:hyperlink>
      <w:r w:rsidRPr="001F7A65">
        <w:rPr>
          <w:rFonts w:cs="Times New Roman"/>
          <w:szCs w:val="24"/>
        </w:rPr>
        <w:t xml:space="preserve"> (Accessed: 19 November 2025).</w:t>
      </w:r>
    </w:p>
    <w:p w:rsidR="00247196" w:rsidRDefault="00247196" w:rsidP="00247196">
      <w:pPr>
        <w:ind w:firstLine="567"/>
        <w:rPr>
          <w:rFonts w:cs="Times New Roman"/>
          <w:szCs w:val="24"/>
        </w:rPr>
      </w:pPr>
      <w:r w:rsidRPr="00A52DDC">
        <w:rPr>
          <w:rFonts w:cs="Times New Roman"/>
          <w:szCs w:val="24"/>
        </w:rPr>
        <w:t>Reddy, K. P., Chandu, V., Srilakshmi, S., Thagaram, E., Sahyaja, C., &amp; Osei, B. (2023)</w:t>
      </w:r>
      <w:r>
        <w:rPr>
          <w:rFonts w:cs="Times New Roman"/>
          <w:szCs w:val="24"/>
        </w:rPr>
        <w:t xml:space="preserve"> ‘</w:t>
      </w:r>
      <w:r w:rsidRPr="00A52DDC">
        <w:rPr>
          <w:rFonts w:cs="Times New Roman"/>
          <w:szCs w:val="24"/>
        </w:rPr>
        <w:t>Consumers perception on green marketing towards eco-friendly fast moving consumer goods</w:t>
      </w:r>
      <w:r>
        <w:rPr>
          <w:rFonts w:cs="Times New Roman"/>
          <w:szCs w:val="24"/>
        </w:rPr>
        <w:t>’,</w:t>
      </w:r>
      <w:r w:rsidRPr="00A52DDC">
        <w:rPr>
          <w:rFonts w:cs="Times New Roman"/>
          <w:szCs w:val="24"/>
        </w:rPr>
        <w:t> </w:t>
      </w:r>
      <w:r w:rsidRPr="00A52DDC">
        <w:rPr>
          <w:rFonts w:cs="Times New Roman"/>
          <w:i/>
          <w:iCs/>
          <w:szCs w:val="24"/>
        </w:rPr>
        <w:t>International Journal of Engineering Business Management</w:t>
      </w:r>
      <w:r w:rsidRPr="00A52DDC">
        <w:rPr>
          <w:rFonts w:cs="Times New Roman"/>
          <w:szCs w:val="24"/>
        </w:rPr>
        <w:t>, </w:t>
      </w:r>
      <w:r w:rsidRPr="00A52DDC">
        <w:rPr>
          <w:rFonts w:cs="Times New Roman"/>
          <w:i/>
          <w:iCs/>
          <w:szCs w:val="24"/>
        </w:rPr>
        <w:t>15</w:t>
      </w:r>
      <w:r w:rsidRPr="00A52DDC">
        <w:rPr>
          <w:rFonts w:cs="Times New Roman"/>
          <w:szCs w:val="24"/>
        </w:rPr>
        <w:t>, 18479790231170962.</w:t>
      </w:r>
    </w:p>
    <w:p w:rsidR="00247196" w:rsidRDefault="00247196" w:rsidP="00247196">
      <w:pPr>
        <w:ind w:firstLine="567"/>
        <w:rPr>
          <w:rFonts w:cs="Times New Roman"/>
          <w:szCs w:val="24"/>
        </w:rPr>
      </w:pPr>
      <w:r w:rsidRPr="00A52DDC">
        <w:rPr>
          <w:rFonts w:cs="Times New Roman"/>
          <w:szCs w:val="24"/>
        </w:rPr>
        <w:lastRenderedPageBreak/>
        <w:t xml:space="preserve">SajiniM. </w:t>
      </w:r>
      <w:r>
        <w:rPr>
          <w:rFonts w:cs="Times New Roman"/>
          <w:szCs w:val="24"/>
        </w:rPr>
        <w:t>V</w:t>
      </w:r>
      <w:r w:rsidRPr="00A52DDC">
        <w:rPr>
          <w:rFonts w:cs="Times New Roman"/>
          <w:szCs w:val="24"/>
        </w:rPr>
        <w:t>.</w:t>
      </w:r>
      <w:r>
        <w:rPr>
          <w:rFonts w:cs="Times New Roman"/>
          <w:szCs w:val="24"/>
        </w:rPr>
        <w:t>&amp;</w:t>
      </w:r>
      <w:r w:rsidRPr="001741E2">
        <w:t>Swarupa</w:t>
      </w:r>
      <w:r>
        <w:rPr>
          <w:rFonts w:cs="Times New Roman"/>
          <w:szCs w:val="24"/>
        </w:rPr>
        <w:t xml:space="preserve">R. </w:t>
      </w:r>
      <w:r w:rsidRPr="00A52DDC">
        <w:rPr>
          <w:rFonts w:cs="Times New Roman"/>
          <w:szCs w:val="24"/>
        </w:rPr>
        <w:t>(2025)</w:t>
      </w:r>
      <w:r>
        <w:rPr>
          <w:rFonts w:cs="Times New Roman"/>
          <w:szCs w:val="24"/>
        </w:rPr>
        <w:t xml:space="preserve"> ‘</w:t>
      </w:r>
      <w:r w:rsidRPr="00A52DDC">
        <w:rPr>
          <w:rFonts w:cs="Times New Roman"/>
          <w:szCs w:val="24"/>
        </w:rPr>
        <w:t>Sustainable consumption: the role of environmental and health consciousness on green purchase intention of FMCG customers in Kerala</w:t>
      </w:r>
      <w:r>
        <w:rPr>
          <w:rFonts w:cs="Times New Roman"/>
          <w:szCs w:val="24"/>
        </w:rPr>
        <w:t>’,</w:t>
      </w:r>
      <w:r w:rsidRPr="00A52DDC">
        <w:rPr>
          <w:rFonts w:cs="Times New Roman"/>
          <w:szCs w:val="24"/>
        </w:rPr>
        <w:t> </w:t>
      </w:r>
      <w:r w:rsidRPr="00A52DDC">
        <w:rPr>
          <w:rFonts w:cs="Times New Roman"/>
          <w:i/>
          <w:iCs/>
          <w:szCs w:val="24"/>
        </w:rPr>
        <w:t>Al-Shodhana</w:t>
      </w:r>
      <w:r w:rsidRPr="00A52DDC">
        <w:rPr>
          <w:rFonts w:cs="Times New Roman"/>
          <w:szCs w:val="24"/>
        </w:rPr>
        <w:t>, </w:t>
      </w:r>
      <w:r w:rsidRPr="00A52DDC">
        <w:rPr>
          <w:rFonts w:cs="Times New Roman"/>
          <w:i/>
          <w:iCs/>
          <w:szCs w:val="24"/>
        </w:rPr>
        <w:t>13</w:t>
      </w:r>
      <w:r w:rsidRPr="00A52DDC">
        <w:rPr>
          <w:rFonts w:cs="Times New Roman"/>
          <w:szCs w:val="24"/>
        </w:rPr>
        <w:t>(2), 112-122.</w:t>
      </w:r>
    </w:p>
    <w:p w:rsidR="00247196" w:rsidRPr="00147005" w:rsidRDefault="00247196" w:rsidP="00E978FD">
      <w:pPr>
        <w:ind w:firstLine="567"/>
        <w:rPr>
          <w:rFonts w:cs="Times New Roman"/>
          <w:szCs w:val="24"/>
        </w:rPr>
      </w:pPr>
      <w:r w:rsidRPr="00147005">
        <w:rPr>
          <w:rFonts w:cs="Times New Roman"/>
          <w:szCs w:val="24"/>
        </w:rPr>
        <w:t xml:space="preserve">Saunders, M.N.K., Lewis, P. and Thornhill, A. (2019) </w:t>
      </w:r>
      <w:r w:rsidRPr="00147005">
        <w:rPr>
          <w:rFonts w:cs="Times New Roman"/>
          <w:i/>
          <w:iCs/>
          <w:szCs w:val="24"/>
        </w:rPr>
        <w:t>Research methods for business students</w:t>
      </w:r>
      <w:r w:rsidRPr="00147005">
        <w:rPr>
          <w:rFonts w:cs="Times New Roman"/>
          <w:szCs w:val="24"/>
        </w:rPr>
        <w:t>. 8th edn. New York: Pearson Education.</w:t>
      </w:r>
    </w:p>
    <w:p w:rsidR="00247196" w:rsidRPr="001F7A65" w:rsidRDefault="00247196" w:rsidP="00E978FD">
      <w:pPr>
        <w:ind w:firstLine="567"/>
        <w:rPr>
          <w:rFonts w:cs="Times New Roman"/>
          <w:szCs w:val="24"/>
        </w:rPr>
      </w:pPr>
      <w:r w:rsidRPr="001F7A65">
        <w:rPr>
          <w:rFonts w:cs="Times New Roman"/>
          <w:szCs w:val="24"/>
        </w:rPr>
        <w:t xml:space="preserve">Shovon, A.J. (2023) ‘The future of e-commerce’. e-CAB Blog. Available at: </w:t>
      </w:r>
      <w:hyperlink r:id="rId44" w:tgtFrame="_new" w:history="1">
        <w:r w:rsidRPr="001F7A65">
          <w:rPr>
            <w:rStyle w:val="Hyperlink"/>
            <w:rFonts w:cs="Times New Roman"/>
            <w:szCs w:val="24"/>
          </w:rPr>
          <w:t>https://e-cab.net/blog/The-Future-of-e-Commerce</w:t>
        </w:r>
      </w:hyperlink>
      <w:r w:rsidRPr="001F7A6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t xml:space="preserve">Singh, A. (2021) ‘Green marketing: an upcoming approach to sustainable development’, </w:t>
      </w:r>
      <w:r w:rsidRPr="00147005">
        <w:rPr>
          <w:rFonts w:cs="Times New Roman"/>
          <w:i/>
          <w:iCs/>
          <w:szCs w:val="24"/>
        </w:rPr>
        <w:t>JETIR</w:t>
      </w:r>
      <w:r w:rsidRPr="00147005">
        <w:rPr>
          <w:rFonts w:cs="Times New Roman"/>
          <w:szCs w:val="24"/>
        </w:rPr>
        <w:t xml:space="preserve">, 8(12). Available at: </w:t>
      </w:r>
      <w:hyperlink r:id="rId45" w:tgtFrame="_new" w:history="1">
        <w:r w:rsidRPr="00147005">
          <w:rPr>
            <w:rStyle w:val="Hyperlink"/>
            <w:rFonts w:cs="Times New Roman"/>
            <w:szCs w:val="24"/>
          </w:rPr>
          <w:t>https://www.jetir.org/papers/JETIR2112204.pdf</w:t>
        </w:r>
      </w:hyperlink>
      <w:r w:rsidRPr="00147005">
        <w:rPr>
          <w:rFonts w:cs="Times New Roman"/>
          <w:szCs w:val="24"/>
        </w:rPr>
        <w:t xml:space="preserve"> (Accessed: 19 November 2025).</w:t>
      </w:r>
    </w:p>
    <w:p w:rsidR="00247196" w:rsidRPr="00147005" w:rsidRDefault="00247196" w:rsidP="00E978FD">
      <w:pPr>
        <w:ind w:firstLine="567"/>
        <w:rPr>
          <w:rFonts w:cs="Times New Roman"/>
          <w:szCs w:val="24"/>
        </w:rPr>
      </w:pPr>
      <w:r w:rsidRPr="00147005">
        <w:rPr>
          <w:rFonts w:cs="Times New Roman"/>
          <w:szCs w:val="24"/>
        </w:rPr>
        <w:t xml:space="preserve">Snyder, H. (2019) ‘Literature review as a research methodology: an overview and guidelines’, </w:t>
      </w:r>
      <w:r w:rsidRPr="00147005">
        <w:rPr>
          <w:rFonts w:cs="Times New Roman"/>
          <w:i/>
          <w:iCs/>
          <w:szCs w:val="24"/>
        </w:rPr>
        <w:t>Journal of Business Research</w:t>
      </w:r>
      <w:r w:rsidRPr="00147005">
        <w:rPr>
          <w:rFonts w:cs="Times New Roman"/>
          <w:szCs w:val="24"/>
        </w:rPr>
        <w:t xml:space="preserve">, 104, pp. 333–339. Available at: </w:t>
      </w:r>
      <w:hyperlink r:id="rId46" w:tgtFrame="_new" w:history="1">
        <w:r w:rsidRPr="00147005">
          <w:rPr>
            <w:rStyle w:val="Hyperlink"/>
            <w:rFonts w:cs="Times New Roman"/>
            <w:szCs w:val="24"/>
          </w:rPr>
          <w:t>https://doi.org/10.1016/j.jbusres.2019.07.039</w:t>
        </w:r>
      </w:hyperlink>
      <w:r w:rsidRPr="00147005">
        <w:rPr>
          <w:rFonts w:cs="Times New Roman"/>
          <w:szCs w:val="24"/>
        </w:rPr>
        <w:t xml:space="preserve"> (Accessed: 19 November 2025).</w:t>
      </w:r>
    </w:p>
    <w:p w:rsidR="00247196" w:rsidRPr="00147005" w:rsidRDefault="00247196" w:rsidP="00E978FD">
      <w:pPr>
        <w:spacing w:after="0"/>
        <w:ind w:firstLine="567"/>
        <w:rPr>
          <w:rFonts w:cs="Times New Roman"/>
          <w:szCs w:val="24"/>
        </w:rPr>
      </w:pPr>
      <w:r w:rsidRPr="00147005">
        <w:rPr>
          <w:rFonts w:cs="Times New Roman"/>
          <w:szCs w:val="24"/>
        </w:rPr>
        <w:t xml:space="preserve">Sokrio (2023) </w:t>
      </w:r>
      <w:r w:rsidRPr="00147005">
        <w:rPr>
          <w:rFonts w:cs="Times New Roman"/>
          <w:i/>
          <w:iCs/>
          <w:szCs w:val="24"/>
        </w:rPr>
        <w:t>How can FMCG companies chase growth in the rural markets of Bangladesh?</w:t>
      </w:r>
      <w:r w:rsidRPr="00147005">
        <w:rPr>
          <w:rFonts w:cs="Times New Roman"/>
          <w:szCs w:val="24"/>
        </w:rPr>
        <w:t xml:space="preserve"> Available at: </w:t>
      </w:r>
      <w:hyperlink r:id="rId47" w:tgtFrame="_new" w:history="1">
        <w:r w:rsidRPr="00147005">
          <w:rPr>
            <w:rStyle w:val="Hyperlink"/>
            <w:rFonts w:cs="Times New Roman"/>
            <w:szCs w:val="24"/>
          </w:rPr>
          <w:t>https://www.sokrio.com/fmcg-companies-chase-growth-in-the-rural-markets-of-bangladesh/</w:t>
        </w:r>
      </w:hyperlink>
      <w:r w:rsidRPr="00147005">
        <w:rPr>
          <w:rFonts w:cs="Times New Roman"/>
          <w:szCs w:val="24"/>
        </w:rPr>
        <w:t xml:space="preserve"> (Accessed: 5 November 2025).</w:t>
      </w:r>
    </w:p>
    <w:p w:rsidR="00247196" w:rsidRPr="00147005" w:rsidRDefault="00247196" w:rsidP="00E978FD">
      <w:pPr>
        <w:ind w:firstLine="567"/>
        <w:rPr>
          <w:rFonts w:cs="Times New Roman"/>
          <w:szCs w:val="24"/>
        </w:rPr>
      </w:pPr>
      <w:r w:rsidRPr="00147005">
        <w:rPr>
          <w:rFonts w:cs="Times New Roman"/>
          <w:szCs w:val="24"/>
        </w:rPr>
        <w:t xml:space="preserve">Spender, J.C. and Kraaijenbrink, J. (2022) ‘The paradox of strategizing: embracing managerial agency without throttling it’, </w:t>
      </w:r>
      <w:r w:rsidRPr="00147005">
        <w:rPr>
          <w:rFonts w:cs="Times New Roman"/>
          <w:i/>
          <w:iCs/>
          <w:szCs w:val="24"/>
        </w:rPr>
        <w:t>Journal of Business Strategy Finance and Management</w:t>
      </w:r>
      <w:r w:rsidRPr="00147005">
        <w:rPr>
          <w:rFonts w:cs="Times New Roman"/>
          <w:szCs w:val="24"/>
        </w:rPr>
        <w:t>, 4(1), p. 12.</w:t>
      </w:r>
    </w:p>
    <w:p w:rsidR="00247196" w:rsidRPr="00147005" w:rsidRDefault="00247196" w:rsidP="00E978FD">
      <w:pPr>
        <w:spacing w:after="0"/>
        <w:ind w:firstLine="567"/>
        <w:rPr>
          <w:rFonts w:cs="Times New Roman"/>
          <w:szCs w:val="24"/>
        </w:rPr>
      </w:pPr>
      <w:r w:rsidRPr="00147005">
        <w:rPr>
          <w:rFonts w:cs="Times New Roman"/>
          <w:szCs w:val="24"/>
        </w:rPr>
        <w:t xml:space="preserve">Sultana, I. (2022) ‘Top 7 FMCG (Fast Moving Consumer Goods) companies in Bangladesh’, </w:t>
      </w:r>
      <w:r w:rsidRPr="00147005">
        <w:rPr>
          <w:rFonts w:cs="Times New Roman"/>
          <w:i/>
          <w:iCs/>
          <w:szCs w:val="24"/>
        </w:rPr>
        <w:t>Business Inspection</w:t>
      </w:r>
      <w:r w:rsidRPr="00147005">
        <w:rPr>
          <w:rFonts w:cs="Times New Roman"/>
          <w:szCs w:val="24"/>
        </w:rPr>
        <w:t xml:space="preserve">. Available at: </w:t>
      </w:r>
      <w:hyperlink r:id="rId48" w:tgtFrame="_new" w:history="1">
        <w:r w:rsidRPr="00147005">
          <w:rPr>
            <w:rStyle w:val="Hyperlink"/>
            <w:rFonts w:cs="Times New Roman"/>
            <w:szCs w:val="24"/>
          </w:rPr>
          <w:t>https://businessinspection.com.bd/top-fmcg-companies-in-bangladesh/</w:t>
        </w:r>
      </w:hyperlink>
      <w:r w:rsidRPr="00147005">
        <w:rPr>
          <w:rFonts w:cs="Times New Roman"/>
          <w:szCs w:val="24"/>
        </w:rPr>
        <w:t xml:space="preserve"> (Accessed: 5 November 2025).</w:t>
      </w:r>
    </w:p>
    <w:p w:rsidR="00247196" w:rsidRPr="00147005" w:rsidRDefault="00247196" w:rsidP="00E978FD">
      <w:pPr>
        <w:ind w:firstLine="567"/>
        <w:rPr>
          <w:rFonts w:cs="Times New Roman"/>
          <w:szCs w:val="24"/>
        </w:rPr>
      </w:pPr>
      <w:r w:rsidRPr="00147005">
        <w:rPr>
          <w:rFonts w:cs="Times New Roman"/>
          <w:szCs w:val="24"/>
        </w:rPr>
        <w:t xml:space="preserve">Surbakti, F.P.S., Hutahaean, H.A., Inderawati, M.M.W., Madjid, J.M., Sely, L.E. and Yee, Y.M. (2025) ‘How AI-driven personalization shapes green purchasing behavior among youth in Java Island’, </w:t>
      </w:r>
      <w:r w:rsidRPr="00147005">
        <w:rPr>
          <w:rFonts w:cs="Times New Roman"/>
          <w:i/>
          <w:iCs/>
          <w:szCs w:val="24"/>
        </w:rPr>
        <w:t>Sustainability</w:t>
      </w:r>
      <w:r w:rsidRPr="00147005">
        <w:rPr>
          <w:rFonts w:cs="Times New Roman"/>
          <w:szCs w:val="24"/>
        </w:rPr>
        <w:t>, 17(21), 9600.</w:t>
      </w:r>
    </w:p>
    <w:p w:rsidR="00247196" w:rsidRDefault="00247196" w:rsidP="005E2EF6">
      <w:pPr>
        <w:rPr>
          <w:rFonts w:cs="Times New Roman"/>
          <w:szCs w:val="24"/>
        </w:rPr>
      </w:pPr>
      <w:r w:rsidRPr="00A52DDC">
        <w:rPr>
          <w:rFonts w:cs="Times New Roman"/>
          <w:szCs w:val="24"/>
        </w:rPr>
        <w:t>Tahir, A. R. (2021). Impact of green marketing on consumer purchase intention. </w:t>
      </w:r>
      <w:r w:rsidRPr="00A52DDC">
        <w:rPr>
          <w:rFonts w:cs="Times New Roman"/>
          <w:i/>
          <w:iCs/>
          <w:szCs w:val="24"/>
        </w:rPr>
        <w:t>Bulletin of Business and Economics (BBE)</w:t>
      </w:r>
      <w:r w:rsidRPr="00A52DDC">
        <w:rPr>
          <w:rFonts w:cs="Times New Roman"/>
          <w:szCs w:val="24"/>
        </w:rPr>
        <w:t>, </w:t>
      </w:r>
      <w:r w:rsidRPr="00A52DDC">
        <w:rPr>
          <w:rFonts w:cs="Times New Roman"/>
          <w:i/>
          <w:iCs/>
          <w:szCs w:val="24"/>
        </w:rPr>
        <w:t>10</w:t>
      </w:r>
      <w:r w:rsidRPr="00A52DDC">
        <w:rPr>
          <w:rFonts w:cs="Times New Roman"/>
          <w:szCs w:val="24"/>
        </w:rPr>
        <w:t>(2), 76-84.</w:t>
      </w:r>
    </w:p>
    <w:p w:rsidR="00247196" w:rsidRDefault="00247196" w:rsidP="005E2EF6">
      <w:pPr>
        <w:rPr>
          <w:rFonts w:cs="Times New Roman"/>
          <w:szCs w:val="24"/>
        </w:rPr>
      </w:pPr>
      <w:r w:rsidRPr="00A52DDC">
        <w:rPr>
          <w:rFonts w:cs="Times New Roman"/>
          <w:szCs w:val="24"/>
        </w:rPr>
        <w:t>Tamim, M. S., &amp; Akter, L. (2024)</w:t>
      </w:r>
      <w:r>
        <w:rPr>
          <w:rFonts w:cs="Times New Roman"/>
          <w:szCs w:val="24"/>
        </w:rPr>
        <w:t xml:space="preserve"> ‘</w:t>
      </w:r>
      <w:r w:rsidRPr="00A52DDC">
        <w:rPr>
          <w:rFonts w:cs="Times New Roman"/>
          <w:szCs w:val="24"/>
        </w:rPr>
        <w:t>Green marketing impact on youth purchasing: Bangladesh district-wise study on consumer intentions</w:t>
      </w:r>
      <w:r>
        <w:rPr>
          <w:rFonts w:cs="Times New Roman"/>
          <w:szCs w:val="24"/>
        </w:rPr>
        <w:t>’,</w:t>
      </w:r>
      <w:r w:rsidRPr="00A52DDC">
        <w:rPr>
          <w:rFonts w:cs="Times New Roman"/>
          <w:szCs w:val="24"/>
        </w:rPr>
        <w:t> </w:t>
      </w:r>
      <w:r w:rsidRPr="00A52DDC">
        <w:rPr>
          <w:rFonts w:cs="Times New Roman"/>
          <w:i/>
          <w:iCs/>
          <w:szCs w:val="24"/>
        </w:rPr>
        <w:t>Annals of Management and Organization Research</w:t>
      </w:r>
      <w:r w:rsidRPr="00A52DDC">
        <w:rPr>
          <w:rFonts w:cs="Times New Roman"/>
          <w:szCs w:val="24"/>
        </w:rPr>
        <w:t>, </w:t>
      </w:r>
      <w:r w:rsidRPr="00A52DDC">
        <w:rPr>
          <w:rFonts w:cs="Times New Roman"/>
          <w:i/>
          <w:iCs/>
          <w:szCs w:val="24"/>
        </w:rPr>
        <w:t>5</w:t>
      </w:r>
      <w:r w:rsidRPr="00A52DDC">
        <w:rPr>
          <w:rFonts w:cs="Times New Roman"/>
          <w:szCs w:val="24"/>
        </w:rPr>
        <w:t>(3), 205-217.</w:t>
      </w:r>
    </w:p>
    <w:p w:rsidR="00247196" w:rsidRPr="00147005" w:rsidRDefault="00247196" w:rsidP="00E978FD">
      <w:pPr>
        <w:ind w:firstLine="567"/>
        <w:rPr>
          <w:rFonts w:cs="Times New Roman"/>
          <w:szCs w:val="24"/>
        </w:rPr>
      </w:pPr>
      <w:r w:rsidRPr="00147005">
        <w:rPr>
          <w:rFonts w:cs="Times New Roman"/>
          <w:szCs w:val="24"/>
        </w:rPr>
        <w:lastRenderedPageBreak/>
        <w:t xml:space="preserve">Tamim, M.S. and Akter, L. (2024) ‘Green marketing impact on youth purchasing: Bangladesh district-wise study on consumer intentions’, </w:t>
      </w:r>
      <w:r w:rsidRPr="00147005">
        <w:rPr>
          <w:rFonts w:cs="Times New Roman"/>
          <w:i/>
          <w:iCs/>
          <w:szCs w:val="24"/>
        </w:rPr>
        <w:t>Annals of Management and Organization Research</w:t>
      </w:r>
      <w:r w:rsidRPr="00147005">
        <w:rPr>
          <w:rFonts w:cs="Times New Roman"/>
          <w:szCs w:val="24"/>
        </w:rPr>
        <w:t>, 5(3), pp. 205–217.</w:t>
      </w:r>
    </w:p>
    <w:p w:rsidR="00247196" w:rsidRPr="001F7A65" w:rsidRDefault="00247196" w:rsidP="00E978FD">
      <w:pPr>
        <w:ind w:firstLine="567"/>
        <w:rPr>
          <w:rFonts w:cs="Times New Roman"/>
          <w:szCs w:val="24"/>
        </w:rPr>
      </w:pPr>
      <w:r w:rsidRPr="001F7A65">
        <w:rPr>
          <w:rFonts w:cs="Times New Roman"/>
          <w:szCs w:val="24"/>
        </w:rPr>
        <w:t xml:space="preserve">Tanjim, N. (2024) ‘Fast-moving consumer goods for fast-paced lives’, </w:t>
      </w:r>
      <w:r w:rsidRPr="001F7A65">
        <w:rPr>
          <w:rFonts w:cs="Times New Roman"/>
          <w:i/>
          <w:iCs/>
          <w:szCs w:val="24"/>
        </w:rPr>
        <w:t>The Business Standard</w:t>
      </w:r>
      <w:r w:rsidRPr="001F7A65">
        <w:rPr>
          <w:rFonts w:cs="Times New Roman"/>
          <w:szCs w:val="24"/>
        </w:rPr>
        <w:t xml:space="preserve">. Available at: </w:t>
      </w:r>
      <w:hyperlink r:id="rId49" w:tgtFrame="_new" w:history="1">
        <w:r w:rsidRPr="001F7A65">
          <w:rPr>
            <w:rStyle w:val="Hyperlink"/>
            <w:rFonts w:cs="Times New Roman"/>
            <w:szCs w:val="24"/>
          </w:rPr>
          <w:t>https://www.tbsnews.net/supplement/fast-moving-consumer-goods-fast-paced-lives-980916</w:t>
        </w:r>
      </w:hyperlink>
      <w:r w:rsidRPr="001F7A65">
        <w:rPr>
          <w:rFonts w:cs="Times New Roman"/>
          <w:szCs w:val="24"/>
        </w:rPr>
        <w:t xml:space="preserve"> (Accessed: 19 November 2025).</w:t>
      </w:r>
    </w:p>
    <w:p w:rsidR="00247196" w:rsidRDefault="00247196" w:rsidP="00247196">
      <w:pPr>
        <w:ind w:firstLine="567"/>
        <w:rPr>
          <w:rFonts w:cs="Times New Roman"/>
          <w:szCs w:val="24"/>
        </w:rPr>
      </w:pPr>
      <w:r w:rsidRPr="00147005">
        <w:rPr>
          <w:rFonts w:cs="Times New Roman"/>
          <w:szCs w:val="24"/>
        </w:rPr>
        <w:t xml:space="preserve">Thakkar, R. (2021) ‘Green marketing and sustainable development: challenges and opportunities’, </w:t>
      </w:r>
      <w:r w:rsidRPr="00147005">
        <w:rPr>
          <w:rFonts w:cs="Times New Roman"/>
          <w:i/>
          <w:iCs/>
          <w:szCs w:val="24"/>
        </w:rPr>
        <w:t>International Journal of Management, Public Policy and Research</w:t>
      </w:r>
      <w:r w:rsidRPr="00147005">
        <w:rPr>
          <w:rFonts w:cs="Times New Roman"/>
          <w:szCs w:val="24"/>
        </w:rPr>
        <w:t>, 1(1), pp. 15–23.</w:t>
      </w:r>
    </w:p>
    <w:p w:rsidR="00247196" w:rsidRDefault="00247196" w:rsidP="00247196">
      <w:pPr>
        <w:ind w:firstLine="567"/>
        <w:rPr>
          <w:rFonts w:cs="Times New Roman"/>
          <w:szCs w:val="24"/>
        </w:rPr>
      </w:pPr>
      <w:r w:rsidRPr="00A52DDC">
        <w:rPr>
          <w:rFonts w:cs="Times New Roman"/>
          <w:szCs w:val="24"/>
        </w:rPr>
        <w:t>Thakur, R., Singh, A., &amp; Singh, A. G. (2025)</w:t>
      </w:r>
      <w:r>
        <w:rPr>
          <w:rFonts w:cs="Times New Roman"/>
          <w:szCs w:val="24"/>
        </w:rPr>
        <w:t xml:space="preserve"> ‘</w:t>
      </w:r>
      <w:r w:rsidRPr="00A52DDC">
        <w:rPr>
          <w:rFonts w:cs="Times New Roman"/>
          <w:szCs w:val="24"/>
        </w:rPr>
        <w:t>Customer’s Attitude towards Green Brand Image in the Fast-Moving Consumer Goods Sector</w:t>
      </w:r>
      <w:r>
        <w:rPr>
          <w:rFonts w:cs="Times New Roman"/>
          <w:szCs w:val="24"/>
        </w:rPr>
        <w:t>’,</w:t>
      </w:r>
      <w:r w:rsidRPr="00A52DDC">
        <w:rPr>
          <w:rFonts w:cs="Times New Roman"/>
          <w:szCs w:val="24"/>
        </w:rPr>
        <w:t> </w:t>
      </w:r>
      <w:r w:rsidRPr="00A52DDC">
        <w:rPr>
          <w:rFonts w:cs="Times New Roman"/>
          <w:i/>
          <w:iCs/>
          <w:szCs w:val="24"/>
        </w:rPr>
        <w:t>Advances in Consumer Research</w:t>
      </w:r>
      <w:r w:rsidRPr="00A52DDC">
        <w:rPr>
          <w:rFonts w:cs="Times New Roman"/>
          <w:szCs w:val="24"/>
        </w:rPr>
        <w:t>, </w:t>
      </w:r>
      <w:r w:rsidRPr="00A52DDC">
        <w:rPr>
          <w:rFonts w:cs="Times New Roman"/>
          <w:i/>
          <w:iCs/>
          <w:szCs w:val="24"/>
        </w:rPr>
        <w:t>2</w:t>
      </w:r>
      <w:r w:rsidRPr="00A52DDC">
        <w:rPr>
          <w:rFonts w:cs="Times New Roman"/>
          <w:szCs w:val="24"/>
        </w:rPr>
        <w:t>, 973-981.</w:t>
      </w:r>
    </w:p>
    <w:p w:rsidR="00247196" w:rsidRDefault="00247196" w:rsidP="00247196">
      <w:pPr>
        <w:ind w:firstLine="567"/>
        <w:rPr>
          <w:rFonts w:cs="Times New Roman"/>
          <w:szCs w:val="24"/>
        </w:rPr>
      </w:pPr>
      <w:r w:rsidRPr="00147005">
        <w:rPr>
          <w:rFonts w:cs="Times New Roman"/>
          <w:szCs w:val="24"/>
        </w:rPr>
        <w:t xml:space="preserve">Tranfield, D., Denyer, D. and Smart, P. (2003) ‘Towards a methodology for developing evidence-informed management knowledge by means of systematic review’, </w:t>
      </w:r>
      <w:r w:rsidRPr="00147005">
        <w:rPr>
          <w:rFonts w:cs="Times New Roman"/>
          <w:i/>
          <w:iCs/>
          <w:szCs w:val="24"/>
        </w:rPr>
        <w:t>British Journal of Management</w:t>
      </w:r>
      <w:r w:rsidRPr="00147005">
        <w:rPr>
          <w:rFonts w:cs="Times New Roman"/>
          <w:szCs w:val="24"/>
        </w:rPr>
        <w:t xml:space="preserve">, 14, pp. 207–222. Available at: </w:t>
      </w:r>
      <w:hyperlink r:id="rId50" w:tgtFrame="_new" w:history="1">
        <w:r w:rsidRPr="00147005">
          <w:rPr>
            <w:rStyle w:val="Hyperlink"/>
            <w:rFonts w:cs="Times New Roman"/>
            <w:szCs w:val="24"/>
          </w:rPr>
          <w:t>http://dx.doi.org/10.1111/1467-8551.00375</w:t>
        </w:r>
      </w:hyperlink>
      <w:r w:rsidRPr="00147005">
        <w:rPr>
          <w:rFonts w:cs="Times New Roman"/>
          <w:szCs w:val="24"/>
        </w:rPr>
        <w:t xml:space="preserve"> (Accessed: 19 November 2025).</w:t>
      </w:r>
    </w:p>
    <w:p w:rsidR="00247196" w:rsidRDefault="00247196" w:rsidP="00247196">
      <w:pPr>
        <w:ind w:firstLine="567"/>
        <w:rPr>
          <w:rFonts w:cs="Times New Roman"/>
          <w:szCs w:val="24"/>
        </w:rPr>
      </w:pPr>
      <w:r w:rsidRPr="00A52DDC">
        <w:rPr>
          <w:rFonts w:cs="Times New Roman"/>
          <w:szCs w:val="24"/>
        </w:rPr>
        <w:t>Tshuma, S., Muchowe, R., Delight, R., &amp; Dube, M. (2023)</w:t>
      </w:r>
      <w:r>
        <w:rPr>
          <w:rFonts w:cs="Times New Roman"/>
          <w:szCs w:val="24"/>
        </w:rPr>
        <w:t xml:space="preserve"> ‘</w:t>
      </w:r>
      <w:r w:rsidRPr="00A52DDC">
        <w:rPr>
          <w:rFonts w:cs="Times New Roman"/>
          <w:szCs w:val="24"/>
        </w:rPr>
        <w:t>Green Branding Influence on Consumer Purchase Intentions on Fast Moving Consumer Goods (FMCGs) in Zimbabwe</w:t>
      </w:r>
      <w:r>
        <w:rPr>
          <w:rFonts w:cs="Times New Roman"/>
          <w:szCs w:val="24"/>
        </w:rPr>
        <w:t>’,</w:t>
      </w:r>
      <w:r w:rsidRPr="00A52DDC">
        <w:rPr>
          <w:rFonts w:cs="Times New Roman"/>
          <w:szCs w:val="24"/>
        </w:rPr>
        <w:t> </w:t>
      </w:r>
      <w:r w:rsidRPr="00A52DDC">
        <w:rPr>
          <w:rFonts w:cs="Times New Roman"/>
          <w:i/>
          <w:iCs/>
          <w:szCs w:val="24"/>
        </w:rPr>
        <w:t>Zimbabwe Journal of Business, Economics and Management</w:t>
      </w:r>
      <w:r w:rsidRPr="00A52DDC">
        <w:rPr>
          <w:rFonts w:cs="Times New Roman"/>
          <w:szCs w:val="24"/>
        </w:rPr>
        <w:t>, </w:t>
      </w:r>
      <w:r w:rsidRPr="00A52DDC">
        <w:rPr>
          <w:rFonts w:cs="Times New Roman"/>
          <w:i/>
          <w:iCs/>
          <w:szCs w:val="24"/>
        </w:rPr>
        <w:t>1</w:t>
      </w:r>
      <w:r w:rsidRPr="00A52DDC">
        <w:rPr>
          <w:rFonts w:cs="Times New Roman"/>
          <w:szCs w:val="24"/>
        </w:rPr>
        <w:t>(2), 158-169.</w:t>
      </w:r>
    </w:p>
    <w:p w:rsidR="00247196" w:rsidRPr="00147005" w:rsidRDefault="00247196" w:rsidP="00E978FD">
      <w:pPr>
        <w:spacing w:after="0"/>
        <w:ind w:firstLine="567"/>
        <w:rPr>
          <w:rFonts w:cs="Times New Roman"/>
          <w:szCs w:val="24"/>
        </w:rPr>
      </w:pPr>
      <w:r w:rsidRPr="00147005">
        <w:rPr>
          <w:rFonts w:cs="Times New Roman"/>
          <w:szCs w:val="24"/>
        </w:rPr>
        <w:t xml:space="preserve">Udayanti, I., Hidayat, A. M., Widodo, A. and Rubiyanti, N. (2025) ‘The influence of green marketing on purchase intention mediated by brand image: Corkcicle products’, </w:t>
      </w:r>
      <w:r w:rsidRPr="00147005">
        <w:rPr>
          <w:rFonts w:cs="Times New Roman"/>
          <w:i/>
          <w:iCs/>
          <w:szCs w:val="24"/>
        </w:rPr>
        <w:t>East Asian Journal of Multidisciplinary Research</w:t>
      </w:r>
      <w:r w:rsidRPr="00147005">
        <w:rPr>
          <w:rFonts w:cs="Times New Roman"/>
          <w:szCs w:val="24"/>
        </w:rPr>
        <w:t>, 4(5), 2055–2068.</w:t>
      </w:r>
    </w:p>
    <w:p w:rsidR="00247196" w:rsidRPr="001F7A65" w:rsidRDefault="00247196" w:rsidP="00E978FD">
      <w:pPr>
        <w:ind w:firstLine="567"/>
        <w:rPr>
          <w:rFonts w:cs="Times New Roman"/>
          <w:szCs w:val="24"/>
        </w:rPr>
      </w:pPr>
      <w:r w:rsidRPr="001F7A65">
        <w:rPr>
          <w:rFonts w:cs="Times New Roman"/>
          <w:szCs w:val="24"/>
        </w:rPr>
        <w:t xml:space="preserve">Uddin, S. and Akhter, N. (2024) ‘Buying orientation of Bangladesh urban middle class consumers towards low involvement products’, </w:t>
      </w:r>
      <w:r w:rsidRPr="001F7A65">
        <w:rPr>
          <w:rFonts w:cs="Times New Roman"/>
          <w:i/>
          <w:iCs/>
          <w:szCs w:val="24"/>
        </w:rPr>
        <w:t>Dhaka University Journal of Business Studies</w:t>
      </w:r>
      <w:r w:rsidRPr="001F7A65">
        <w:rPr>
          <w:rFonts w:cs="Times New Roman"/>
          <w:szCs w:val="24"/>
        </w:rPr>
        <w:t>, 20, pp. 191–217.</w:t>
      </w:r>
    </w:p>
    <w:p w:rsidR="00247196" w:rsidRPr="00147005" w:rsidRDefault="00247196" w:rsidP="00E978FD">
      <w:pPr>
        <w:spacing w:after="0"/>
        <w:ind w:firstLine="567"/>
        <w:rPr>
          <w:rFonts w:cs="Times New Roman"/>
          <w:szCs w:val="24"/>
        </w:rPr>
      </w:pPr>
      <w:r w:rsidRPr="00147005">
        <w:rPr>
          <w:rFonts w:cs="Times New Roman"/>
          <w:szCs w:val="24"/>
        </w:rPr>
        <w:t xml:space="preserve">Unilever (2024) </w:t>
      </w:r>
      <w:r w:rsidRPr="00147005">
        <w:rPr>
          <w:rFonts w:cs="Times New Roman"/>
          <w:i/>
          <w:iCs/>
          <w:szCs w:val="24"/>
        </w:rPr>
        <w:t>Unilever Bangladesh recognised for leadership in sustainability</w:t>
      </w:r>
      <w:r w:rsidRPr="00147005">
        <w:rPr>
          <w:rFonts w:cs="Times New Roman"/>
          <w:szCs w:val="24"/>
        </w:rPr>
        <w:t xml:space="preserve">. Available at: </w:t>
      </w:r>
      <w:hyperlink r:id="rId51" w:tgtFrame="_new" w:history="1">
        <w:r w:rsidRPr="00147005">
          <w:rPr>
            <w:rStyle w:val="Hyperlink"/>
            <w:rFonts w:cs="Times New Roman"/>
            <w:szCs w:val="24"/>
          </w:rPr>
          <w:t>https://www.unilever.com.bd/news/2024/unilever-bangladesh-recognised-for-leadership-in-sustainability/</w:t>
        </w:r>
      </w:hyperlink>
      <w:r w:rsidRPr="00147005">
        <w:rPr>
          <w:rFonts w:cs="Times New Roman"/>
          <w:szCs w:val="24"/>
        </w:rPr>
        <w:t xml:space="preserve"> (Accessed: 5 November 2025).</w:t>
      </w:r>
    </w:p>
    <w:p w:rsidR="00247196" w:rsidRPr="001F7A65" w:rsidRDefault="00247196" w:rsidP="00E978FD">
      <w:pPr>
        <w:ind w:firstLine="567"/>
        <w:rPr>
          <w:rFonts w:cs="Times New Roman"/>
          <w:szCs w:val="24"/>
        </w:rPr>
      </w:pPr>
      <w:r w:rsidRPr="001F7A65">
        <w:rPr>
          <w:rFonts w:cs="Times New Roman"/>
          <w:szCs w:val="24"/>
        </w:rPr>
        <w:t xml:space="preserve">Unilever Bangladesh (2024a) ‘Waste-free world’. Unilever Bangladesh. Available at: </w:t>
      </w:r>
      <w:hyperlink r:id="rId52" w:tgtFrame="_new" w:history="1">
        <w:r w:rsidRPr="001F7A65">
          <w:rPr>
            <w:rStyle w:val="Hyperlink"/>
            <w:rFonts w:cs="Times New Roman"/>
            <w:szCs w:val="24"/>
          </w:rPr>
          <w:t>https://www.unilever.com.bd/sustainability/waste-free-world/</w:t>
        </w:r>
      </w:hyperlink>
      <w:r w:rsidRPr="001F7A65">
        <w:rPr>
          <w:rFonts w:cs="Times New Roman"/>
          <w:szCs w:val="24"/>
        </w:rPr>
        <w:t xml:space="preserve"> (Accessed: 19 November 2025).</w:t>
      </w:r>
    </w:p>
    <w:p w:rsidR="00247196" w:rsidRPr="001F7A65" w:rsidRDefault="00247196" w:rsidP="00E978FD">
      <w:pPr>
        <w:ind w:firstLine="567"/>
        <w:rPr>
          <w:rFonts w:cs="Times New Roman"/>
          <w:szCs w:val="24"/>
        </w:rPr>
      </w:pPr>
      <w:r w:rsidRPr="001F7A65">
        <w:rPr>
          <w:rFonts w:cs="Times New Roman"/>
          <w:szCs w:val="24"/>
        </w:rPr>
        <w:lastRenderedPageBreak/>
        <w:t xml:space="preserve">Unilever Bangladesh (2024b) </w:t>
      </w:r>
      <w:r w:rsidRPr="001F7A65">
        <w:rPr>
          <w:rFonts w:cs="Times New Roman"/>
          <w:i/>
          <w:iCs/>
          <w:szCs w:val="24"/>
        </w:rPr>
        <w:t>Bangladesh sustainability blue book 2024</w:t>
      </w:r>
      <w:r w:rsidRPr="001F7A65">
        <w:rPr>
          <w:rFonts w:cs="Times New Roman"/>
          <w:szCs w:val="24"/>
        </w:rPr>
        <w:t xml:space="preserve">. Unilever Bangladesh. Available at: </w:t>
      </w:r>
      <w:hyperlink r:id="rId53" w:tgtFrame="_new" w:history="1">
        <w:r w:rsidRPr="001F7A65">
          <w:rPr>
            <w:rStyle w:val="Hyperlink"/>
            <w:rFonts w:cs="Times New Roman"/>
            <w:szCs w:val="24"/>
          </w:rPr>
          <w:t>https://www.unilever.com.bd/files/bangladesh-sustainability-blue-book.pdf</w:t>
        </w:r>
      </w:hyperlink>
      <w:r w:rsidRPr="001F7A65">
        <w:rPr>
          <w:rFonts w:cs="Times New Roman"/>
          <w:szCs w:val="24"/>
        </w:rPr>
        <w:t xml:space="preserve"> (Accessed: 19 November 2025).</w:t>
      </w:r>
    </w:p>
    <w:p w:rsidR="00247196" w:rsidRDefault="00247196" w:rsidP="00247196">
      <w:pPr>
        <w:spacing w:after="0"/>
        <w:ind w:firstLine="567"/>
      </w:pPr>
      <w:r w:rsidRPr="00147005">
        <w:rPr>
          <w:rFonts w:cs="Times New Roman"/>
          <w:szCs w:val="24"/>
        </w:rPr>
        <w:t xml:space="preserve">Van Hoang, D., Ngoc Ngan Anh, N., Thi Xuan, N., Ngoc Han, P., Phuong Ngan, D., Le Khanh Linh, N., Nguyen Khoi, L., Thiet Tung, V. and Duong, T. T.-T. (2025) ‘Pathways to green purchase intention in FMCG industry: a combined approach of PLS-SEM and fsQCA’, </w:t>
      </w:r>
      <w:r w:rsidRPr="00147005">
        <w:rPr>
          <w:rFonts w:cs="Times New Roman"/>
          <w:i/>
          <w:iCs/>
          <w:szCs w:val="24"/>
        </w:rPr>
        <w:t>SAGE Open</w:t>
      </w:r>
      <w:r w:rsidRPr="00147005">
        <w:rPr>
          <w:rFonts w:cs="Times New Roman"/>
          <w:szCs w:val="24"/>
        </w:rPr>
        <w:t xml:space="preserve">, 15(3). </w:t>
      </w:r>
      <w:hyperlink r:id="rId54" w:tgtFrame="_new" w:history="1">
        <w:r w:rsidRPr="00147005">
          <w:rPr>
            <w:rStyle w:val="Hyperlink"/>
            <w:rFonts w:cs="Times New Roman"/>
            <w:szCs w:val="24"/>
          </w:rPr>
          <w:t>https://doi.org/10.1177/21582440251378964</w:t>
        </w:r>
      </w:hyperlink>
    </w:p>
    <w:p w:rsidR="00247196" w:rsidRDefault="00247196" w:rsidP="00247196">
      <w:pPr>
        <w:spacing w:after="0"/>
        <w:ind w:firstLine="567"/>
        <w:rPr>
          <w:rFonts w:cs="Times New Roman"/>
          <w:szCs w:val="24"/>
        </w:rPr>
      </w:pPr>
      <w:r w:rsidRPr="00A52DDC">
        <w:rPr>
          <w:rFonts w:cs="Times New Roman"/>
          <w:szCs w:val="24"/>
        </w:rPr>
        <w:t>Van Hoang, D., Ngoc Ngan Anh, N., Thi Xuan, N., Ngoc Han, P., Phuong Ngan, D., Le Khanh Linh, N., ... &amp; Duong, T. T. T. (2025)</w:t>
      </w:r>
      <w:r>
        <w:rPr>
          <w:rFonts w:cs="Times New Roman"/>
          <w:szCs w:val="24"/>
        </w:rPr>
        <w:t xml:space="preserve"> ‘</w:t>
      </w:r>
      <w:r w:rsidRPr="00A52DDC">
        <w:rPr>
          <w:rFonts w:cs="Times New Roman"/>
          <w:szCs w:val="24"/>
        </w:rPr>
        <w:t>Pathways to Green Purchase Intention in FMCG Industry: A Combined Approach of PLS-SEM and FSQCA</w:t>
      </w:r>
      <w:r>
        <w:rPr>
          <w:rFonts w:cs="Times New Roman"/>
          <w:szCs w:val="24"/>
        </w:rPr>
        <w:t xml:space="preserve">’, </w:t>
      </w:r>
      <w:r w:rsidRPr="00A52DDC">
        <w:rPr>
          <w:rFonts w:cs="Times New Roman"/>
          <w:szCs w:val="24"/>
        </w:rPr>
        <w:t> </w:t>
      </w:r>
      <w:r w:rsidRPr="00A52DDC">
        <w:rPr>
          <w:rFonts w:cs="Times New Roman"/>
          <w:i/>
          <w:iCs/>
          <w:szCs w:val="24"/>
        </w:rPr>
        <w:t>Sage Open</w:t>
      </w:r>
      <w:r w:rsidRPr="00A52DDC">
        <w:rPr>
          <w:rFonts w:cs="Times New Roman"/>
          <w:szCs w:val="24"/>
        </w:rPr>
        <w:t>, </w:t>
      </w:r>
      <w:r w:rsidRPr="00A52DDC">
        <w:rPr>
          <w:rFonts w:cs="Times New Roman"/>
          <w:i/>
          <w:iCs/>
          <w:szCs w:val="24"/>
        </w:rPr>
        <w:t>15</w:t>
      </w:r>
      <w:r w:rsidRPr="00A52DDC">
        <w:rPr>
          <w:rFonts w:cs="Times New Roman"/>
          <w:szCs w:val="24"/>
        </w:rPr>
        <w:t>(3), 21582440251378964.</w:t>
      </w:r>
    </w:p>
    <w:p w:rsidR="00247196" w:rsidRPr="00147005" w:rsidRDefault="00247196" w:rsidP="00E978FD">
      <w:pPr>
        <w:spacing w:after="0"/>
        <w:ind w:firstLine="567"/>
        <w:rPr>
          <w:rFonts w:cs="Times New Roman"/>
          <w:szCs w:val="24"/>
        </w:rPr>
      </w:pPr>
      <w:r w:rsidRPr="00147005">
        <w:rPr>
          <w:rFonts w:cs="Times New Roman"/>
          <w:szCs w:val="24"/>
        </w:rPr>
        <w:t xml:space="preserve">Vehbi, A., Farmanesh, P. and Solati Dehkordi, N. (2025) ‘Nexus amid green marketing, green business strategy, and competitive business among the fashion industry: does environmental turbulence matter?’, </w:t>
      </w:r>
      <w:r w:rsidRPr="00147005">
        <w:rPr>
          <w:rFonts w:cs="Times New Roman"/>
          <w:i/>
          <w:iCs/>
          <w:szCs w:val="24"/>
        </w:rPr>
        <w:t>Sustainability</w:t>
      </w:r>
      <w:r w:rsidRPr="00147005">
        <w:rPr>
          <w:rFonts w:cs="Times New Roman"/>
          <w:szCs w:val="24"/>
        </w:rPr>
        <w:t xml:space="preserve">, 17(5), 1769. </w:t>
      </w:r>
      <w:hyperlink r:id="rId55" w:tgtFrame="_new" w:history="1">
        <w:r w:rsidRPr="00147005">
          <w:rPr>
            <w:rStyle w:val="Hyperlink"/>
            <w:rFonts w:cs="Times New Roman"/>
            <w:szCs w:val="24"/>
          </w:rPr>
          <w:t>https://doi.org/10.3390/su17051769</w:t>
        </w:r>
      </w:hyperlink>
    </w:p>
    <w:p w:rsidR="00247196" w:rsidRPr="00147005" w:rsidRDefault="00247196" w:rsidP="00E978FD">
      <w:pPr>
        <w:ind w:firstLine="567"/>
        <w:rPr>
          <w:rFonts w:cs="Times New Roman"/>
          <w:szCs w:val="24"/>
        </w:rPr>
      </w:pPr>
      <w:r w:rsidRPr="00147005">
        <w:rPr>
          <w:rFonts w:cs="Times New Roman"/>
          <w:szCs w:val="24"/>
        </w:rPr>
        <w:t xml:space="preserve">Wernerfelt, B. (1984) ‘A resource-based view of the firm’, </w:t>
      </w:r>
      <w:r w:rsidRPr="00147005">
        <w:rPr>
          <w:rFonts w:cs="Times New Roman"/>
          <w:i/>
          <w:iCs/>
          <w:szCs w:val="24"/>
        </w:rPr>
        <w:t>Strategic Management Journal</w:t>
      </w:r>
      <w:r w:rsidRPr="00147005">
        <w:rPr>
          <w:rFonts w:cs="Times New Roman"/>
          <w:szCs w:val="24"/>
        </w:rPr>
        <w:t>, 5, pp. 171–180.</w:t>
      </w:r>
    </w:p>
    <w:p w:rsidR="00247196" w:rsidRDefault="00247196" w:rsidP="00E978FD">
      <w:pPr>
        <w:ind w:firstLine="567"/>
        <w:rPr>
          <w:rFonts w:cs="Times New Roman"/>
          <w:szCs w:val="24"/>
        </w:rPr>
      </w:pPr>
      <w:r w:rsidRPr="00147005">
        <w:rPr>
          <w:rFonts w:cs="Times New Roman"/>
          <w:szCs w:val="24"/>
        </w:rPr>
        <w:t xml:space="preserve">Zhuo, Z., Ren, Z. and Zhu, Z. (2022) ‘Attitude-behavior gap in green consumption behavior: a review’, </w:t>
      </w:r>
      <w:r w:rsidRPr="00147005">
        <w:rPr>
          <w:rFonts w:cs="Times New Roman"/>
          <w:i/>
          <w:iCs/>
          <w:szCs w:val="24"/>
        </w:rPr>
        <w:t>Journal of Economics, Management and Trade</w:t>
      </w:r>
      <w:r w:rsidRPr="00147005">
        <w:rPr>
          <w:rFonts w:cs="Times New Roman"/>
          <w:szCs w:val="24"/>
        </w:rPr>
        <w:t>, 28(12), pp. 12–28.</w:t>
      </w:r>
    </w:p>
    <w:sectPr w:rsidR="00247196" w:rsidSect="008921A2">
      <w:footerReference w:type="default" r:id="rId56"/>
      <w:footerReference w:type="first" r:id="rId57"/>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A63" w:rsidRDefault="00404A63" w:rsidP="001F59A6">
      <w:pPr>
        <w:spacing w:after="0" w:line="240" w:lineRule="auto"/>
      </w:pPr>
      <w:r>
        <w:separator/>
      </w:r>
    </w:p>
  </w:endnote>
  <w:endnote w:type="continuationSeparator" w:id="1">
    <w:p w:rsidR="00404A63" w:rsidRDefault="00404A63" w:rsidP="001F59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4594885"/>
      <w:docPartObj>
        <w:docPartGallery w:val="Page Numbers (Bottom of Page)"/>
        <w:docPartUnique/>
      </w:docPartObj>
    </w:sdtPr>
    <w:sdtEndPr>
      <w:rPr>
        <w:color w:val="7F7F7F" w:themeColor="background1" w:themeShade="7F"/>
        <w:spacing w:val="60"/>
      </w:rPr>
    </w:sdtEndPr>
    <w:sdtContent>
      <w:p w:rsidR="005A51CA" w:rsidRDefault="00E2587C">
        <w:pPr>
          <w:pStyle w:val="Footer"/>
          <w:pBdr>
            <w:top w:val="single" w:sz="4" w:space="1" w:color="D9D9D9" w:themeColor="background1" w:themeShade="D9"/>
          </w:pBdr>
          <w:jc w:val="right"/>
        </w:pPr>
        <w:fldSimple w:instr=" PAGE   \* MERGEFORMAT ">
          <w:r w:rsidR="00681EF2">
            <w:rPr>
              <w:noProof/>
            </w:rPr>
            <w:t>iii</w:t>
          </w:r>
        </w:fldSimple>
        <w:r w:rsidR="005A51CA">
          <w:t xml:space="preserve"> | </w:t>
        </w:r>
        <w:r w:rsidR="005A51CA">
          <w:rPr>
            <w:color w:val="7F7F7F" w:themeColor="background1" w:themeShade="7F"/>
            <w:spacing w:val="60"/>
          </w:rPr>
          <w:t>Page</w:t>
        </w:r>
      </w:p>
    </w:sdtContent>
  </w:sdt>
  <w:p w:rsidR="005A51CA" w:rsidRDefault="005A51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1CA" w:rsidRDefault="00E2587C">
    <w:pPr>
      <w:pStyle w:val="Footer"/>
      <w:pBdr>
        <w:top w:val="single" w:sz="4" w:space="1" w:color="D9D9D9" w:themeColor="background1" w:themeShade="D9"/>
      </w:pBdr>
      <w:jc w:val="right"/>
    </w:pPr>
    <w:fldSimple w:instr=" PAGE   \* MERGEFORMAT ">
      <w:r w:rsidR="00681EF2">
        <w:rPr>
          <w:noProof/>
        </w:rPr>
        <w:t>2</w:t>
      </w:r>
    </w:fldSimple>
    <w:r w:rsidR="005A51CA">
      <w:t xml:space="preserve"> | </w:t>
    </w:r>
    <w:r w:rsidR="005A51CA">
      <w:rPr>
        <w:color w:val="7F7F7F" w:themeColor="background1" w:themeShade="7F"/>
        <w:spacing w:val="60"/>
      </w:rPr>
      <w:t>Page</w:t>
    </w:r>
  </w:p>
  <w:p w:rsidR="005A51CA" w:rsidRDefault="005A51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1CA" w:rsidRDefault="00E2587C">
    <w:pPr>
      <w:pStyle w:val="Footer"/>
      <w:pBdr>
        <w:top w:val="single" w:sz="4" w:space="1" w:color="D9D9D9" w:themeColor="background1" w:themeShade="D9"/>
      </w:pBdr>
      <w:jc w:val="right"/>
    </w:pPr>
    <w:fldSimple w:instr=" PAGE   \* MERGEFORMAT ">
      <w:r w:rsidR="00681EF2">
        <w:rPr>
          <w:noProof/>
        </w:rPr>
        <w:t>1</w:t>
      </w:r>
    </w:fldSimple>
    <w:r w:rsidR="005A51CA">
      <w:t xml:space="preserve"> | </w:t>
    </w:r>
    <w:r w:rsidR="005A51CA">
      <w:rPr>
        <w:color w:val="7F7F7F" w:themeColor="background1" w:themeShade="7F"/>
        <w:spacing w:val="60"/>
      </w:rPr>
      <w:t>Page</w:t>
    </w:r>
  </w:p>
  <w:p w:rsidR="005A51CA" w:rsidRDefault="005A51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A63" w:rsidRDefault="00404A63" w:rsidP="001F59A6">
      <w:pPr>
        <w:spacing w:after="0" w:line="240" w:lineRule="auto"/>
      </w:pPr>
      <w:r>
        <w:separator/>
      </w:r>
    </w:p>
  </w:footnote>
  <w:footnote w:type="continuationSeparator" w:id="1">
    <w:p w:rsidR="00404A63" w:rsidRDefault="00404A63" w:rsidP="001F59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D35E20"/>
    <w:multiLevelType w:val="multilevel"/>
    <w:tmpl w:val="5CD6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CA5231"/>
    <w:multiLevelType w:val="hybridMultilevel"/>
    <w:tmpl w:val="D28E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4208F0"/>
    <w:multiLevelType w:val="multilevel"/>
    <w:tmpl w:val="38B85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9D5221"/>
    <w:multiLevelType w:val="hybridMultilevel"/>
    <w:tmpl w:val="F7901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633801"/>
    <w:multiLevelType w:val="multilevel"/>
    <w:tmpl w:val="5A365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BD5B0D"/>
    <w:multiLevelType w:val="multilevel"/>
    <w:tmpl w:val="7CFC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106101"/>
    <w:multiLevelType w:val="multilevel"/>
    <w:tmpl w:val="3E781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AE814DA"/>
    <w:multiLevelType w:val="multilevel"/>
    <w:tmpl w:val="695EA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8753A9"/>
    <w:multiLevelType w:val="multilevel"/>
    <w:tmpl w:val="82CE7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8"/>
  </w:num>
  <w:num w:numId="4">
    <w:abstractNumId w:val="1"/>
  </w:num>
  <w:num w:numId="5">
    <w:abstractNumId w:val="2"/>
  </w:num>
  <w:num w:numId="6">
    <w:abstractNumId w:val="0"/>
  </w:num>
  <w:num w:numId="7">
    <w:abstractNumId w:val="4"/>
  </w:num>
  <w:num w:numId="8">
    <w:abstractNumId w:val="6"/>
  </w:num>
  <w:num w:numId="9">
    <w:abstractNumId w:val="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12290"/>
  </w:hdrShapeDefaults>
  <w:footnotePr>
    <w:footnote w:id="0"/>
    <w:footnote w:id="1"/>
  </w:footnotePr>
  <w:endnotePr>
    <w:endnote w:id="0"/>
    <w:endnote w:id="1"/>
  </w:endnotePr>
  <w:compat/>
  <w:rsids>
    <w:rsidRoot w:val="001F59A6"/>
    <w:rsid w:val="00006597"/>
    <w:rsid w:val="00013D0A"/>
    <w:rsid w:val="00037EFF"/>
    <w:rsid w:val="000644F8"/>
    <w:rsid w:val="00073FD0"/>
    <w:rsid w:val="000B68AA"/>
    <w:rsid w:val="000F5E4F"/>
    <w:rsid w:val="00143306"/>
    <w:rsid w:val="00144C44"/>
    <w:rsid w:val="00147005"/>
    <w:rsid w:val="00150613"/>
    <w:rsid w:val="001542DA"/>
    <w:rsid w:val="001741E2"/>
    <w:rsid w:val="00186125"/>
    <w:rsid w:val="001B482D"/>
    <w:rsid w:val="001E6FFC"/>
    <w:rsid w:val="001F59A6"/>
    <w:rsid w:val="001F62CC"/>
    <w:rsid w:val="001F7A65"/>
    <w:rsid w:val="00224956"/>
    <w:rsid w:val="00247196"/>
    <w:rsid w:val="00292783"/>
    <w:rsid w:val="00294418"/>
    <w:rsid w:val="002C58D0"/>
    <w:rsid w:val="002E1062"/>
    <w:rsid w:val="00301D20"/>
    <w:rsid w:val="00316705"/>
    <w:rsid w:val="00331096"/>
    <w:rsid w:val="00346E29"/>
    <w:rsid w:val="003924B7"/>
    <w:rsid w:val="00401676"/>
    <w:rsid w:val="00404A63"/>
    <w:rsid w:val="00447163"/>
    <w:rsid w:val="004671E9"/>
    <w:rsid w:val="00481D6C"/>
    <w:rsid w:val="004F585F"/>
    <w:rsid w:val="00554302"/>
    <w:rsid w:val="005608F8"/>
    <w:rsid w:val="0057209C"/>
    <w:rsid w:val="005A51CA"/>
    <w:rsid w:val="005C176C"/>
    <w:rsid w:val="005C4E0A"/>
    <w:rsid w:val="005E2EF6"/>
    <w:rsid w:val="0063517F"/>
    <w:rsid w:val="00655EED"/>
    <w:rsid w:val="00681EF2"/>
    <w:rsid w:val="006A4D11"/>
    <w:rsid w:val="006A5319"/>
    <w:rsid w:val="006B7A97"/>
    <w:rsid w:val="006E4B7B"/>
    <w:rsid w:val="00700099"/>
    <w:rsid w:val="007175EA"/>
    <w:rsid w:val="00744C80"/>
    <w:rsid w:val="00747726"/>
    <w:rsid w:val="00766345"/>
    <w:rsid w:val="00776DDF"/>
    <w:rsid w:val="00787812"/>
    <w:rsid w:val="00793C93"/>
    <w:rsid w:val="007B30F2"/>
    <w:rsid w:val="007D1E56"/>
    <w:rsid w:val="007F57B6"/>
    <w:rsid w:val="008177AE"/>
    <w:rsid w:val="00823AE9"/>
    <w:rsid w:val="00833677"/>
    <w:rsid w:val="00835596"/>
    <w:rsid w:val="00881A6A"/>
    <w:rsid w:val="008921A2"/>
    <w:rsid w:val="00897756"/>
    <w:rsid w:val="008A3BF2"/>
    <w:rsid w:val="008A7F13"/>
    <w:rsid w:val="008D4A51"/>
    <w:rsid w:val="00931E2A"/>
    <w:rsid w:val="00943C77"/>
    <w:rsid w:val="00975D22"/>
    <w:rsid w:val="00976986"/>
    <w:rsid w:val="009E13AF"/>
    <w:rsid w:val="009E6373"/>
    <w:rsid w:val="00A10B0D"/>
    <w:rsid w:val="00A214D7"/>
    <w:rsid w:val="00A32267"/>
    <w:rsid w:val="00A51A7A"/>
    <w:rsid w:val="00A52DDC"/>
    <w:rsid w:val="00A957E8"/>
    <w:rsid w:val="00AD3BC0"/>
    <w:rsid w:val="00B24D25"/>
    <w:rsid w:val="00B25AD2"/>
    <w:rsid w:val="00B31823"/>
    <w:rsid w:val="00B31A0C"/>
    <w:rsid w:val="00B377F6"/>
    <w:rsid w:val="00B57A59"/>
    <w:rsid w:val="00B77B98"/>
    <w:rsid w:val="00B93EA4"/>
    <w:rsid w:val="00BC1534"/>
    <w:rsid w:val="00BE2995"/>
    <w:rsid w:val="00BE72FB"/>
    <w:rsid w:val="00C17AE6"/>
    <w:rsid w:val="00C35BAC"/>
    <w:rsid w:val="00C45C20"/>
    <w:rsid w:val="00C473F6"/>
    <w:rsid w:val="00C7119D"/>
    <w:rsid w:val="00C7158E"/>
    <w:rsid w:val="00C95297"/>
    <w:rsid w:val="00CA431E"/>
    <w:rsid w:val="00CB39ED"/>
    <w:rsid w:val="00CB67C9"/>
    <w:rsid w:val="00CC5652"/>
    <w:rsid w:val="00CD0E9E"/>
    <w:rsid w:val="00CE4F3C"/>
    <w:rsid w:val="00D46D37"/>
    <w:rsid w:val="00D54483"/>
    <w:rsid w:val="00D5484D"/>
    <w:rsid w:val="00D663E6"/>
    <w:rsid w:val="00D7664B"/>
    <w:rsid w:val="00D97575"/>
    <w:rsid w:val="00DF0063"/>
    <w:rsid w:val="00E103AC"/>
    <w:rsid w:val="00E139BA"/>
    <w:rsid w:val="00E15FEE"/>
    <w:rsid w:val="00E22B2B"/>
    <w:rsid w:val="00E2587C"/>
    <w:rsid w:val="00E266F7"/>
    <w:rsid w:val="00E427B3"/>
    <w:rsid w:val="00E72299"/>
    <w:rsid w:val="00E77D4D"/>
    <w:rsid w:val="00E9027D"/>
    <w:rsid w:val="00E978FD"/>
    <w:rsid w:val="00EB37E3"/>
    <w:rsid w:val="00EF591B"/>
    <w:rsid w:val="00F00713"/>
    <w:rsid w:val="00F4735B"/>
    <w:rsid w:val="00F941BF"/>
    <w:rsid w:val="00FA38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8"/>
        <w:lang w:val="en-GB"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9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644F8"/>
    <w:pPr>
      <w:keepNext/>
      <w:keepLines/>
      <w:spacing w:before="360" w:after="80"/>
      <w:jc w:val="center"/>
      <w:outlineLvl w:val="0"/>
    </w:pPr>
    <w:rPr>
      <w:rFonts w:eastAsiaTheme="majorEastAsia" w:cstheme="majorBidi"/>
      <w:b/>
      <w:sz w:val="28"/>
      <w:szCs w:val="50"/>
    </w:rPr>
  </w:style>
  <w:style w:type="paragraph" w:styleId="Heading2">
    <w:name w:val="heading 2"/>
    <w:basedOn w:val="Normal"/>
    <w:next w:val="Normal"/>
    <w:link w:val="Heading2Char"/>
    <w:uiPriority w:val="9"/>
    <w:unhideWhenUsed/>
    <w:qFormat/>
    <w:rsid w:val="00A214D7"/>
    <w:pPr>
      <w:keepNext/>
      <w:keepLines/>
      <w:spacing w:before="160" w:after="80"/>
      <w:outlineLvl w:val="1"/>
    </w:pPr>
    <w:rPr>
      <w:rFonts w:eastAsiaTheme="majorEastAsia" w:cstheme="majorBidi"/>
      <w:b/>
      <w:szCs w:val="40"/>
    </w:rPr>
  </w:style>
  <w:style w:type="paragraph" w:styleId="Heading3">
    <w:name w:val="heading 3"/>
    <w:basedOn w:val="Normal"/>
    <w:next w:val="Normal"/>
    <w:link w:val="Heading3Char"/>
    <w:uiPriority w:val="9"/>
    <w:unhideWhenUsed/>
    <w:qFormat/>
    <w:rsid w:val="001E6FFC"/>
    <w:pPr>
      <w:keepNext/>
      <w:keepLines/>
      <w:spacing w:before="160" w:after="80"/>
      <w:outlineLvl w:val="2"/>
    </w:pPr>
    <w:rPr>
      <w:rFonts w:eastAsiaTheme="majorEastAsia" w:cstheme="majorBidi"/>
      <w:i/>
      <w:szCs w:val="35"/>
    </w:rPr>
  </w:style>
  <w:style w:type="paragraph" w:styleId="Heading4">
    <w:name w:val="heading 4"/>
    <w:basedOn w:val="Normal"/>
    <w:next w:val="Normal"/>
    <w:link w:val="Heading4Char"/>
    <w:uiPriority w:val="9"/>
    <w:unhideWhenUsed/>
    <w:qFormat/>
    <w:rsid w:val="00186125"/>
    <w:pPr>
      <w:keepNext/>
      <w:keepLines/>
      <w:spacing w:before="80" w:after="40"/>
      <w:jc w:val="center"/>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1F59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5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4F8"/>
    <w:rPr>
      <w:rFonts w:ascii="Times New Roman" w:eastAsiaTheme="majorEastAsia" w:hAnsi="Times New Roman" w:cstheme="majorBidi"/>
      <w:b/>
      <w:sz w:val="28"/>
      <w:szCs w:val="50"/>
    </w:rPr>
  </w:style>
  <w:style w:type="character" w:customStyle="1" w:styleId="Heading2Char">
    <w:name w:val="Heading 2 Char"/>
    <w:basedOn w:val="DefaultParagraphFont"/>
    <w:link w:val="Heading2"/>
    <w:uiPriority w:val="9"/>
    <w:rsid w:val="00A214D7"/>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1E6FFC"/>
    <w:rPr>
      <w:rFonts w:ascii="Times New Roman" w:eastAsiaTheme="majorEastAsia" w:hAnsi="Times New Roman" w:cstheme="majorBidi"/>
      <w:i/>
      <w:sz w:val="24"/>
      <w:szCs w:val="35"/>
    </w:rPr>
  </w:style>
  <w:style w:type="character" w:customStyle="1" w:styleId="Heading4Char">
    <w:name w:val="Heading 4 Char"/>
    <w:basedOn w:val="DefaultParagraphFont"/>
    <w:link w:val="Heading4"/>
    <w:uiPriority w:val="9"/>
    <w:rsid w:val="00186125"/>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semiHidden/>
    <w:rsid w:val="001F59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5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A6"/>
    <w:rPr>
      <w:rFonts w:eastAsiaTheme="majorEastAsia" w:cstheme="majorBidi"/>
      <w:color w:val="272727" w:themeColor="text1" w:themeTint="D8"/>
    </w:rPr>
  </w:style>
  <w:style w:type="paragraph" w:styleId="Title">
    <w:name w:val="Title"/>
    <w:basedOn w:val="Normal"/>
    <w:next w:val="Normal"/>
    <w:link w:val="TitleChar"/>
    <w:uiPriority w:val="10"/>
    <w:qFormat/>
    <w:rsid w:val="001F59A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F59A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F59A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F59A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F59A6"/>
    <w:pPr>
      <w:spacing w:before="160"/>
      <w:jc w:val="center"/>
    </w:pPr>
    <w:rPr>
      <w:i/>
      <w:iCs/>
      <w:color w:val="404040" w:themeColor="text1" w:themeTint="BF"/>
    </w:rPr>
  </w:style>
  <w:style w:type="character" w:customStyle="1" w:styleId="QuoteChar">
    <w:name w:val="Quote Char"/>
    <w:basedOn w:val="DefaultParagraphFont"/>
    <w:link w:val="Quote"/>
    <w:uiPriority w:val="29"/>
    <w:rsid w:val="001F59A6"/>
    <w:rPr>
      <w:i/>
      <w:iCs/>
      <w:color w:val="404040" w:themeColor="text1" w:themeTint="BF"/>
    </w:rPr>
  </w:style>
  <w:style w:type="paragraph" w:styleId="ListParagraph">
    <w:name w:val="List Paragraph"/>
    <w:basedOn w:val="Normal"/>
    <w:uiPriority w:val="34"/>
    <w:qFormat/>
    <w:rsid w:val="001F59A6"/>
    <w:pPr>
      <w:ind w:left="720"/>
      <w:contextualSpacing/>
    </w:pPr>
  </w:style>
  <w:style w:type="character" w:styleId="IntenseEmphasis">
    <w:name w:val="Intense Emphasis"/>
    <w:basedOn w:val="DefaultParagraphFont"/>
    <w:uiPriority w:val="21"/>
    <w:qFormat/>
    <w:rsid w:val="001F59A6"/>
    <w:rPr>
      <w:i/>
      <w:iCs/>
      <w:color w:val="2F5496" w:themeColor="accent1" w:themeShade="BF"/>
    </w:rPr>
  </w:style>
  <w:style w:type="paragraph" w:styleId="IntenseQuote">
    <w:name w:val="Intense Quote"/>
    <w:basedOn w:val="Normal"/>
    <w:next w:val="Normal"/>
    <w:link w:val="IntenseQuoteChar"/>
    <w:uiPriority w:val="30"/>
    <w:qFormat/>
    <w:rsid w:val="001F59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59A6"/>
    <w:rPr>
      <w:i/>
      <w:iCs/>
      <w:color w:val="2F5496" w:themeColor="accent1" w:themeShade="BF"/>
    </w:rPr>
  </w:style>
  <w:style w:type="character" w:styleId="IntenseReference">
    <w:name w:val="Intense Reference"/>
    <w:basedOn w:val="DefaultParagraphFont"/>
    <w:uiPriority w:val="32"/>
    <w:qFormat/>
    <w:rsid w:val="001F59A6"/>
    <w:rPr>
      <w:b/>
      <w:bCs/>
      <w:smallCaps/>
      <w:color w:val="2F5496" w:themeColor="accent1" w:themeShade="BF"/>
      <w:spacing w:val="5"/>
    </w:rPr>
  </w:style>
  <w:style w:type="paragraph" w:styleId="Header">
    <w:name w:val="header"/>
    <w:basedOn w:val="Normal"/>
    <w:link w:val="HeaderChar"/>
    <w:uiPriority w:val="99"/>
    <w:unhideWhenUsed/>
    <w:rsid w:val="001F5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9A6"/>
  </w:style>
  <w:style w:type="paragraph" w:styleId="Footer">
    <w:name w:val="footer"/>
    <w:basedOn w:val="Normal"/>
    <w:link w:val="FooterChar"/>
    <w:uiPriority w:val="99"/>
    <w:unhideWhenUsed/>
    <w:rsid w:val="001F5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9A6"/>
  </w:style>
  <w:style w:type="character" w:styleId="Strong">
    <w:name w:val="Strong"/>
    <w:basedOn w:val="DefaultParagraphFont"/>
    <w:uiPriority w:val="22"/>
    <w:qFormat/>
    <w:rsid w:val="001F59A6"/>
    <w:rPr>
      <w:b/>
      <w:bCs/>
    </w:rPr>
  </w:style>
  <w:style w:type="paragraph" w:styleId="NormalWeb">
    <w:name w:val="Normal (Web)"/>
    <w:basedOn w:val="Normal"/>
    <w:uiPriority w:val="99"/>
    <w:unhideWhenUsed/>
    <w:rsid w:val="001F59A6"/>
    <w:pPr>
      <w:spacing w:before="100" w:beforeAutospacing="1" w:after="100" w:afterAutospacing="1" w:line="240" w:lineRule="auto"/>
      <w:jc w:val="left"/>
    </w:pPr>
    <w:rPr>
      <w:rFonts w:eastAsia="Times New Roman" w:cs="Times New Roman"/>
      <w:kern w:val="0"/>
      <w:szCs w:val="24"/>
      <w:lang w:eastAsia="en-GB" w:bidi="hi-IN"/>
    </w:rPr>
  </w:style>
  <w:style w:type="character" w:styleId="Hyperlink">
    <w:name w:val="Hyperlink"/>
    <w:basedOn w:val="DefaultParagraphFont"/>
    <w:uiPriority w:val="99"/>
    <w:unhideWhenUsed/>
    <w:rsid w:val="008177AE"/>
    <w:rPr>
      <w:color w:val="0563C1" w:themeColor="hyperlink"/>
      <w:u w:val="single"/>
    </w:rPr>
  </w:style>
  <w:style w:type="character" w:customStyle="1" w:styleId="UnresolvedMention">
    <w:name w:val="Unresolved Mention"/>
    <w:basedOn w:val="DefaultParagraphFont"/>
    <w:uiPriority w:val="99"/>
    <w:semiHidden/>
    <w:unhideWhenUsed/>
    <w:rsid w:val="008177AE"/>
    <w:rPr>
      <w:color w:val="605E5C"/>
      <w:shd w:val="clear" w:color="auto" w:fill="E1DFDD"/>
    </w:rPr>
  </w:style>
  <w:style w:type="paragraph" w:styleId="TOCHeading">
    <w:name w:val="TOC Heading"/>
    <w:basedOn w:val="Heading1"/>
    <w:next w:val="Normal"/>
    <w:uiPriority w:val="39"/>
    <w:unhideWhenUsed/>
    <w:qFormat/>
    <w:rsid w:val="008921A2"/>
    <w:pPr>
      <w:spacing w:before="240" w:after="0"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2">
    <w:name w:val="toc 2"/>
    <w:basedOn w:val="Normal"/>
    <w:next w:val="Normal"/>
    <w:autoRedefine/>
    <w:uiPriority w:val="39"/>
    <w:unhideWhenUsed/>
    <w:rsid w:val="008921A2"/>
    <w:pPr>
      <w:spacing w:after="100"/>
      <w:ind w:left="240"/>
    </w:pPr>
  </w:style>
  <w:style w:type="paragraph" w:styleId="TOC1">
    <w:name w:val="toc 1"/>
    <w:basedOn w:val="Normal"/>
    <w:next w:val="Normal"/>
    <w:autoRedefine/>
    <w:uiPriority w:val="39"/>
    <w:unhideWhenUsed/>
    <w:rsid w:val="008921A2"/>
    <w:pPr>
      <w:spacing w:after="100"/>
    </w:pPr>
  </w:style>
  <w:style w:type="table" w:customStyle="1" w:styleId="GridTable5DarkAccent5">
    <w:name w:val="Grid Table 5 Dark Accent 5"/>
    <w:basedOn w:val="TableNormal"/>
    <w:uiPriority w:val="50"/>
    <w:rsid w:val="00D5484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3">
    <w:name w:val="toc 3"/>
    <w:basedOn w:val="Normal"/>
    <w:next w:val="Normal"/>
    <w:autoRedefine/>
    <w:uiPriority w:val="39"/>
    <w:unhideWhenUsed/>
    <w:rsid w:val="00C95297"/>
    <w:pPr>
      <w:spacing w:after="100"/>
      <w:ind w:left="480"/>
    </w:pPr>
  </w:style>
  <w:style w:type="table" w:customStyle="1" w:styleId="GridTable5Dark-Accent51">
    <w:name w:val="Grid Table 5 Dark - Accent 51"/>
    <w:basedOn w:val="TableNormal"/>
    <w:uiPriority w:val="50"/>
    <w:rsid w:val="00C7158E"/>
    <w:pPr>
      <w:spacing w:after="0" w:line="240" w:lineRule="auto"/>
    </w:pPr>
    <w:rPr>
      <w:lang w:val="en-US" w:bidi="bn-IN"/>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Grid">
    <w:name w:val="Table Grid"/>
    <w:basedOn w:val="TableNormal"/>
    <w:uiPriority w:val="39"/>
    <w:rsid w:val="001F62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735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4735B"/>
    <w:rPr>
      <w:rFonts w:ascii="Tahoma" w:hAnsi="Tahoma" w:cs="Tahoma"/>
      <w:sz w:val="16"/>
      <w:szCs w:val="20"/>
    </w:rPr>
  </w:style>
</w:styles>
</file>

<file path=word/webSettings.xml><?xml version="1.0" encoding="utf-8"?>
<w:webSettings xmlns:r="http://schemas.openxmlformats.org/officeDocument/2006/relationships" xmlns:w="http://schemas.openxmlformats.org/wordprocessingml/2006/main">
  <w:divs>
    <w:div w:id="178587900">
      <w:marLeft w:val="0"/>
      <w:marRight w:val="0"/>
      <w:marTop w:val="0"/>
      <w:marBottom w:val="0"/>
      <w:divBdr>
        <w:top w:val="none" w:sz="0" w:space="0" w:color="auto"/>
        <w:left w:val="none" w:sz="0" w:space="0" w:color="auto"/>
        <w:bottom w:val="none" w:sz="0" w:space="0" w:color="auto"/>
        <w:right w:val="none" w:sz="0" w:space="0" w:color="auto"/>
      </w:divBdr>
    </w:div>
    <w:div w:id="15646385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online.hbs.edu/blog/post/brand-equity" TargetMode="External"/><Relationship Id="rId26" Type="http://schemas.openxmlformats.org/officeDocument/2006/relationships/hyperlink" Target="https://ibtbd.net/the-rise-of-affordable-sustainability-in-consumer-goods/" TargetMode="External"/><Relationship Id="rId39" Type="http://schemas.openxmlformats.org/officeDocument/2006/relationships/hyperlink" Target="https://ourworldindata.org/data-insights/packaging-is-the-source-of-40-of-the-planets-plastic-waste" TargetMode="External"/><Relationship Id="rId21" Type="http://schemas.openxmlformats.org/officeDocument/2006/relationships/hyperlink" Target="https://doi.org/10.5964/ejop.v16i3.3107" TargetMode="External"/><Relationship Id="rId34" Type="http://schemas.openxmlformats.org/officeDocument/2006/relationships/hyperlink" Target="https://doi.org/10.1186/s40359-025-02538-x" TargetMode="External"/><Relationship Id="rId42" Type="http://schemas.openxmlformats.org/officeDocument/2006/relationships/hyperlink" Target="https://doi.org/10.58812/wsbm.v2i02.1010" TargetMode="External"/><Relationship Id="rId47" Type="http://schemas.openxmlformats.org/officeDocument/2006/relationships/hyperlink" Target="https://www.sokrio.com/fmcg-companies-chase-growth-in-the-rural-markets-of-bangladesh/" TargetMode="External"/><Relationship Id="rId50" Type="http://schemas.openxmlformats.org/officeDocument/2006/relationships/hyperlink" Target="http://dx.doi.org/10.1111/1467-8551.00375" TargetMode="External"/><Relationship Id="rId55" Type="http://schemas.openxmlformats.org/officeDocument/2006/relationships/hyperlink" Target="https://doi.org/10.3390/su1705176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108/MIP-05-2024-0307" TargetMode="External"/><Relationship Id="rId25" Type="http://schemas.openxmlformats.org/officeDocument/2006/relationships/hyperlink" Target="https://probhaaurora.com/wp-content/uploads/2024/02/Sachet_Waste_in_Bangladesh.pdf" TargetMode="External"/><Relationship Id="rId33" Type="http://schemas.openxmlformats.org/officeDocument/2006/relationships/hyperlink" Target="https://resources.kothay.app/best-fmcg-companies-in-bangladesh/" TargetMode="External"/><Relationship Id="rId38" Type="http://schemas.openxmlformats.org/officeDocument/2006/relationships/hyperlink" Target="https://doi.org/10.1007/s11301-025-00487-8" TargetMode="External"/><Relationship Id="rId46" Type="http://schemas.openxmlformats.org/officeDocument/2006/relationships/hyperlink" Target="https://doi.org/10.1016/j.jbusres.2019.07.039"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62843/jssr.v4i4.477" TargetMode="External"/><Relationship Id="rId20" Type="http://schemas.openxmlformats.org/officeDocument/2006/relationships/hyperlink" Target="https://doi.org/10.1177/014920639101700108" TargetMode="External"/><Relationship Id="rId29" Type="http://schemas.openxmlformats.org/officeDocument/2006/relationships/hyperlink" Target="https://shoyebiqbal.com/index.php/2024/10/14/grocery-retail-in-bangladesh" TargetMode="External"/><Relationship Id="rId41" Type="http://schemas.openxmlformats.org/officeDocument/2006/relationships/hyperlink" Target="https://www.pranfoods.net/environment" TargetMode="External"/><Relationship Id="rId54" Type="http://schemas.openxmlformats.org/officeDocument/2006/relationships/hyperlink" Target="https://doi.org/10.1177/215824402513789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www.thedailystar.net/business/economy/news/fmcg-sales-drop-inflation-eats-consumption-3230821" TargetMode="External"/><Relationship Id="rId32" Type="http://schemas.openxmlformats.org/officeDocument/2006/relationships/hyperlink" Target="https://cpd.org.bd/resources/2023/04/Plastic-Pollution-in-Bangladesh-Drivers-Impacts-and-Solutions.pdf" TargetMode="External"/><Relationship Id="rId37" Type="http://schemas.openxmlformats.org/officeDocument/2006/relationships/hyperlink" Target="https://doi.org/10.3390/su141811703" TargetMode="External"/><Relationship Id="rId40" Type="http://schemas.openxmlformats.org/officeDocument/2006/relationships/hyperlink" Target="https://doi.org/10.1186/s13643-021-01626-4" TargetMode="External"/><Relationship Id="rId45" Type="http://schemas.openxmlformats.org/officeDocument/2006/relationships/hyperlink" Target="https://www.jetir.org/papers/JETIR2112204.pdf" TargetMode="External"/><Relationship Id="rId53" Type="http://schemas.openxmlformats.org/officeDocument/2006/relationships/hyperlink" Target="https://www.unilever.com.bd/files/bangladesh-sustainability-blue-book.pdf"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space.bracu.ac.bd/xmlui/bitstream/handle/10361/25198/18204045_BBS.pdf?isAllowed=y&amp;sequence=1" TargetMode="External"/><Relationship Id="rId23" Type="http://schemas.openxmlformats.org/officeDocument/2006/relationships/hyperlink" Target="https://www.ficci.org.bd/ficci-stories/navigating-growth-and-opportunities-in-the-fmcg-sector-in-bangladesh-insights-from-marico-banglades" TargetMode="External"/><Relationship Id="rId28" Type="http://schemas.openxmlformats.org/officeDocument/2006/relationships/hyperlink" Target="https://investbangladesh.co/fmcg/" TargetMode="External"/><Relationship Id="rId36" Type="http://schemas.openxmlformats.org/officeDocument/2006/relationships/hyperlink" Target="https://doi.org/10.3390/su17094216" TargetMode="External"/><Relationship Id="rId49" Type="http://schemas.openxmlformats.org/officeDocument/2006/relationships/hyperlink" Target="https://www.tbsnews.net/supplement/fast-moving-consumer-goods-fast-paced-lives-980916" TargetMode="External"/><Relationship Id="rId57"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www.tbsnews.net/supplement/despite-economic-pressure-fmcg-industry-still-has-room-grow-980941" TargetMode="External"/><Relationship Id="rId31" Type="http://schemas.openxmlformats.org/officeDocument/2006/relationships/hyperlink" Target="http://dx.doi.org/10.2307/1252054" TargetMode="External"/><Relationship Id="rId44" Type="http://schemas.openxmlformats.org/officeDocument/2006/relationships/hyperlink" Target="https://e-cab.net/blog/The-Future-of-e-Commerce" TargetMode="External"/><Relationship Id="rId52" Type="http://schemas.openxmlformats.org/officeDocument/2006/relationships/hyperlink" Target="https://www.unilever.com.bd/sustainability/waste-free-worl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mergingrating.com/wp-content/uploads/2022/11/FMCG-Industry-of-Bangladesh_An-Overview-of-Current-Challenges.pdf" TargetMode="External"/><Relationship Id="rId22" Type="http://schemas.openxmlformats.org/officeDocument/2006/relationships/hyperlink" Target="https://www.dhakatribune.com/business/332956/unilever-bangladesh-wins-bangladesh-sustainability" TargetMode="External"/><Relationship Id="rId27" Type="http://schemas.openxmlformats.org/officeDocument/2006/relationships/hyperlink" Target="https://innovision-bd.com/wp-content/uploads/2022/07/Supermarket-and-Hypermarket-Trends-in-the-Retail-Industry-of-Bangladesh.pdf" TargetMode="External"/><Relationship Id="rId30" Type="http://schemas.openxmlformats.org/officeDocument/2006/relationships/hyperlink" Target="https://dspace.uiu.ac.bd/bitstream/handle/52243/2788/Dspace_%20F-COMMERCE%20PROSPECTS%20IN%20BANGLADESH%20A%20HANDS-ON%20PRACTICE%20THROUGH%20SMART%20BUY%20BD%20PLATFORM%20%281%29.pdf?isAllowed=y&amp;sequence=1" TargetMode="External"/><Relationship Id="rId35" Type="http://schemas.openxmlformats.org/officeDocument/2006/relationships/hyperlink" Target="https://lightcastlepartners.com/insights/2019/07/fmcg-bangladesh/" TargetMode="External"/><Relationship Id="rId43" Type="http://schemas.openxmlformats.org/officeDocument/2006/relationships/hyperlink" Target="https://documents1.worldbank.org/curated/en/099121624201026230/pdf/P175908-1bde3cb2-57ca-4519-adf5-c5e451fc4454.pdf" TargetMode="External"/><Relationship Id="rId48" Type="http://schemas.openxmlformats.org/officeDocument/2006/relationships/hyperlink" Target="https://businessinspection.com.bd/top-fmcg-companies-in-bangladesh/" TargetMode="External"/><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www.unilever.com.bd/news/2024/unilever-bangladesh-recognised-for-leadership-in-sustainabilit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C1159-E02A-4ECC-ADA3-D92A46F8C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25586</Words>
  <Characters>145844</Characters>
  <Application>Microsoft Office Word</Application>
  <DocSecurity>0</DocSecurity>
  <Lines>1215</Lines>
  <Paragraphs>342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2026-02-03T02:30:00Z</dcterms:created>
  <dcterms:modified xsi:type="dcterms:W3CDTF">2026-02-03T02:41:00Z</dcterms:modified>
</cp:coreProperties>
</file>