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How has the organisational culture in policing changed due to professionalisation, and how can organisational culture affect officers’ wellbeing and resilience? Your answer must be based on academic research rather than personal experience.</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British policing has undergone a number of changes in recent years, most notably with the introduction of the degree framework as a requirement to entry into the profession, although following criticism, this requirement has now been stopped and an entry route more similar to the traditional IPLDP will be opening again from April 2024 (College of Policing, 2024). In this essay, I will look at how this change has affected policing in the UK and how other such programmes have worked abroad.</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In 2020, the College of Policing created a requirement for all new starters to have a degree either before joining, or to have one completed within 3 years after joining, thus turning policing into a graduate profession, along with the likes of lawyers, engineers and doctors, who require a degree to begin their careers. This is the biggest step taken to professionalise police officers in the last few decades, and we will use this to try and assess the effects it has had on policing in the UK. Ongoing efforts to professionalise the police have seen mixed reception, with officers trying to contend that it is an established profession that does not need more professionalisation, whilst government leaders want to introduce more reform and education requirements (Lumsden, 2017).</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Due to the fairly recent nature of the introduction of the PCDA/DHEP routes, there is limited research available on their effectiveness and the impact that they have had.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We need to establish what organisational culture is. Organisational culture was defined in the early 1980’s by an MIT researcher as “basic assumptions” that a certain group has developed or adapted, to deal with problems faced by the organisation, that have worked well enough they are taught to new starters as the correct way to deal with those problems (Schein, 1983). From this, we can say that organisational culture in policing refers to the thought processes and ways of dealing with situations that have been adapted by police officers as a way to cope with the situations they face.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Understanding organisational culture in policing is important as it helps us see how police officers act and are anticipated to act in situations - from this, we can look at how these actions and thoughts affect wellbeing and resilience.</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Although police officers generally start with a positive outlook and wanting to help others (Chan, 2001), they become more cynical and suspicious overtime as they are continuously exposed to policing culture and incidents (Worden, 1990). This culture negatively impacts on their mental health and resilience, and police officers increasingly find themselves suffering due to the occupational stressors they face. A review of these stressors and their relationship with police officers mental health found that there is evidence between officers developing depression, PTSD, burnout and other mental health conditions due to this exposure - interestingly, it grouped organisational culture as its own category, and found that the extent of which organisational culture and structure create these stressors cannot be underestimated (Purba </w:t>
      </w:r>
      <w:r w:rsidDel="00000000" w:rsidR="00000000" w:rsidRPr="00000000">
        <w:rPr>
          <w:i w:val="1"/>
          <w:rtl w:val="0"/>
        </w:rPr>
        <w:t xml:space="preserve">et al</w:t>
      </w:r>
      <w:r w:rsidDel="00000000" w:rsidR="00000000" w:rsidRPr="00000000">
        <w:rPr>
          <w:rtl w:val="0"/>
        </w:rPr>
        <w:t xml:space="preserve">, 2019). It also found that organisational changes in how officers treat others, and leadership change to focus on officer welfare, were some of the most effective ways of dealing with these stressors.</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Police officers generally see themselves as separate from the public, in a very much “us &amp; them” mentality. A study conducted with policing degree students found that they differentiated themselves from other students, citing requirements for more “professionalism” and a commitment to a career in the police, and reflected this in their behaviour (Cox and Kirby, 2018). They found that whilst they conducted themselves more professionally than other students, they were also more isolated socially, as a result of the policing degree. They were more inclined to challenge and avoid situations where unlawful activity occurred (i.e. drugs, drink driving, drunk and disorderly behaviour), and as a result were also left out by other students not wanting to invite them to their parties. This resulted in the policing students forming a more cohesive bond between themselves, strengthening the “us &amp; them” mentality.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Linking back to professionalisation, and how this has affected this culture, higher education has been linked to better communication skills for police officers (Roberg and Bonn, 2004), with officers being less authoritative and having improved attitudes towards individuals from black or ethnic minority backgrounds (Parker </w:t>
      </w:r>
      <w:r w:rsidDel="00000000" w:rsidR="00000000" w:rsidRPr="00000000">
        <w:rPr>
          <w:i w:val="1"/>
          <w:rtl w:val="0"/>
        </w:rPr>
        <w:t xml:space="preserve">et al</w:t>
      </w:r>
      <w:r w:rsidDel="00000000" w:rsidR="00000000" w:rsidRPr="00000000">
        <w:rPr>
          <w:rtl w:val="0"/>
        </w:rPr>
        <w:t xml:space="preserve">., 1976), with the benefit of higher education giving police officers more critical thinking skills (Lee </w:t>
      </w:r>
      <w:r w:rsidDel="00000000" w:rsidR="00000000" w:rsidRPr="00000000">
        <w:rPr>
          <w:i w:val="1"/>
          <w:rtl w:val="0"/>
        </w:rPr>
        <w:t xml:space="preserve">et al., </w:t>
      </w:r>
      <w:r w:rsidDel="00000000" w:rsidR="00000000" w:rsidRPr="00000000">
        <w:rPr>
          <w:rtl w:val="0"/>
        </w:rPr>
        <w:t xml:space="preserve">2004) that they can apply to policing, resulting in better outcomes.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Culture has an obvious affect on officer’s wellbeing, as mentioned previously (Purba, 2019). A positive police culture can have many improved effects not only on the officers wellbeing, but their families and the community that they police. Poor mental and physical wellbeing can decrease morale, productivity and can lead to increased instances of abuse of position and unlawful arrest or detention, more sickness time taken for stress and a general increased negative perception from the public due to their interaction with an officer who is feeling poorly, and acts poorly (Purba, 2019).</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In conclusion, organisational culture has changed as a result of professionalisation of the police in the UK, resulting in a class of officers which have received higher education, although whether for the positive or negative is still to be seen - there are some clear positives, such as increased critical thinking and communication skills, but police culture is so strong that the university programmes need to learn to adapt to it to tackle it more effectively, so that students are seen as students, and not police officers (Cox and Kirby, 2018). Organisational culture has a clear knock-on effect on officers individual wellbeing, and everyone that they interact with - a positive culture that focuses on individual resilience will lead to improved outcomes for police officers when dealing with the community (Purba, 2019).</w:t>
      </w:r>
    </w:p>
    <w:p w:rsidR="00000000" w:rsidDel="00000000" w:rsidP="00000000" w:rsidRDefault="00000000" w:rsidRPr="00000000" w14:paraId="00000017">
      <w:pPr>
        <w:rPr/>
      </w:pPr>
      <w:r w:rsidDel="00000000" w:rsidR="00000000" w:rsidRPr="00000000">
        <w:rPr>
          <w:b w:val="1"/>
          <w:rtl w:val="0"/>
        </w:rPr>
        <w:t xml:space="preserve">Words - 966</w:t>
      </w: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b w:val="1"/>
        </w:rPr>
      </w:pPr>
      <w:r w:rsidDel="00000000" w:rsidR="00000000" w:rsidRPr="00000000">
        <w:rPr>
          <w:b w:val="1"/>
          <w:rtl w:val="0"/>
        </w:rPr>
        <w:t xml:space="preserve">Evaluate the effectiveness of cognitive interviews as a strategy for obtaining initial accounts from victims and witnesses.</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The incorrect identification by witnesses has led to more miscarriages of justice than by any other means combined (Sobel, 1973) - so it is critical that witness and victim statements contain accurate information to bring the right person to justice.</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The cognitive interview was written about in the 1980’s during a study conducted by Edward Geiselman in the United States when he decided to test the then new interview procedure. He found that the cognitive interview process had significantly more correct information than the previous method of police interviewing (Geiselman, 1986), who found it to be “effective, efficient and legally acceptable”. So what is cognitive interviewing?</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The cognitive interview, in summary, is a way to encourage the witness to recall the version of events freely, after building rapport, and then ask clarifying questions after they have recalled their version of events.This interviewing method is taught to police officers in the UK as the PEACE model of interviewing (College of Policing, 2024). PEACE stands for Planning and preparation (part of which includes the rapport building stage, and the stage where routines and expectations are set out), Engage and explain, Account clarification and challenge (which is the body of the interview), Closure and Evaluation.</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Next, we will look at the effectiveness of the cognitive interview method as a way to obtain information. In its original form, the cognitive interview resulted in 41.2% of correct information being recalled, compared to the standard interview percentage of 29.4% (Geiselman, 1986). A further study in 1989 comparing 9 cognitive interview trained officers with 9 untrained, found that the trained officers gained 47% more information after receiving the training, and 63% more than the untrained officers. Although cognitive interviewing increases the amount of information retrieved by the victim, it has also been found to increase the amount of incorrect information slightly - a meta review of 2500 interviews using both cognitive interviewing and non-cognitive interviewing found strong evidence for the increase in correctly recalled details, but a small increase in the amount of incorrectly recalled details also - this however was proportionate to the amount of information recalled (as you recall more information, the chances of recalling incorrect information also increases), with 85% accuracy for cognitive interviews and 82% for non-cognitive interviews, even with the increased amount of details recalled (Kohnken </w:t>
      </w:r>
      <w:r w:rsidDel="00000000" w:rsidR="00000000" w:rsidRPr="00000000">
        <w:rPr>
          <w:i w:val="1"/>
          <w:rtl w:val="0"/>
        </w:rPr>
        <w:t xml:space="preserve">et al., </w:t>
      </w:r>
      <w:r w:rsidDel="00000000" w:rsidR="00000000" w:rsidRPr="00000000">
        <w:rPr>
          <w:rtl w:val="0"/>
        </w:rPr>
        <w:t xml:space="preserve">1999). We can see that cognitive interviewing is an effective way to gain information from witnesses and victims, and increases the amount of details recalled. Whilst this does also increase the chance of making mistakes, these are not disproportionate to not using the interview method.</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How is cognitive interviewing applied in practice? Within the UK, there are 5 tiers of interviewers - tier 1 is the most basic level, at which all police officers are trained when they leave training school. Tier 1 interviewing is designed for volume and priority crime, with the higher tiers going up for more serious offences, (i.e. tier 2 being for serious and complex crime, tier 5 for counter-terrorism interviewing). The most common interviewers are likely to be Tier 1 interviewers, as they deal with the majority of crime in the UK. A study in 2008 of 221 new police officers, not holding a specialist interviewing role (i.e. tier 2 or above) reported that none applied the procedure in its entirety (Dando </w:t>
      </w:r>
      <w:r w:rsidDel="00000000" w:rsidR="00000000" w:rsidRPr="00000000">
        <w:rPr>
          <w:i w:val="1"/>
          <w:rtl w:val="0"/>
        </w:rPr>
        <w:t xml:space="preserve">et al.</w:t>
      </w:r>
      <w:r w:rsidDel="00000000" w:rsidR="00000000" w:rsidRPr="00000000">
        <w:rPr>
          <w:rtl w:val="0"/>
        </w:rPr>
        <w:t xml:space="preserve">, 2008). In 1996, a similar study found that only 58% of officers applied the procedure in the 12 weeks post-PEACE training. A study conducted with detectives (tier 2 and above interviewers) in 2005 found that 62% reported using all components of cognitive interviewing - this study also found that cognitive interviewing was beneficial when interviewing older adults or those with ‘reduced cognitive ability’ and provided greater recall (Wright and Holliday, 2007).</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A study conducted with 48 new police officers, and 48 mock witnesses was conducted to assess the application of PEACE interviewing in 2009. Again, no officer applied the PEACE procedure fully, much like the Dando study in 2008. Most frequently used were the ‘free recall’ and ‘witness compatible questioning’ phases, with the ‘mental reinstatement of context’ and ‘encourage concentration’ being the least frequently used (Dando</w:t>
      </w:r>
      <w:r w:rsidDel="00000000" w:rsidR="00000000" w:rsidRPr="00000000">
        <w:rPr>
          <w:i w:val="1"/>
          <w:rtl w:val="0"/>
        </w:rPr>
        <w:t xml:space="preserve"> et al., </w:t>
      </w:r>
      <w:r w:rsidDel="00000000" w:rsidR="00000000" w:rsidRPr="00000000">
        <w:rPr>
          <w:rtl w:val="0"/>
        </w:rPr>
        <w:t xml:space="preserve">2009). This more recent study argued that the tier 1 PEACE interview was too complex to be taught to new officers who had no experience of interviewing, as they found it was never applied in its entirety, and suggested a more simplified version of the PEACE interview being taught in training to enable all components of the cognitive interview to be included.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Overall, cognitive interviewing provides officers with an effective tool to increase memory recall in witnesses and victims, and should be used as a standard in interview practice. Witness and victim accounts are crucial to the functioning of the criminal justice system, and it is paramount that they are accurate as they are often key evidence in securing convictions. The interview process provides an increased amount of information to investigators, as part of the principle of recalling everything, no matter how small or insignificant. Whilst this results in more information, and with it, the increase in the risk of recall of incorrect information, this is not disproportionate to the amount of information retrieved. It also works well with older adults and those with reduced cognitive abilities. </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The full process however is very rarely applied in full, and I agree with the position in the study of Coral Dando in 2009 that it should be simplified for new interviewers to learn, as the current format is very clearly not being remembered and parts are being discarded. Missing out certain components may lead to details being missed, which could be crucial in an investigation.</w:t>
      </w:r>
    </w:p>
    <w:p w:rsidR="00000000" w:rsidDel="00000000" w:rsidP="00000000" w:rsidRDefault="00000000" w:rsidRPr="00000000" w14:paraId="0000002F">
      <w:pPr>
        <w:rPr/>
      </w:pPr>
      <w:r w:rsidDel="00000000" w:rsidR="00000000" w:rsidRPr="00000000">
        <w:rPr>
          <w:b w:val="1"/>
          <w:rtl w:val="0"/>
        </w:rPr>
        <w:t xml:space="preserve">Words - 946</w:t>
      </w: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ind w:left="0" w:firstLine="0"/>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2">
      <w:pPr>
        <w:rPr>
          <w:rFonts w:ascii="Roboto" w:cs="Roboto" w:eastAsia="Roboto" w:hAnsi="Roboto"/>
          <w:color w:val="212121"/>
          <w:sz w:val="24"/>
          <w:szCs w:val="24"/>
          <w:highlight w:val="white"/>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b w:val="1"/>
        </w:rPr>
      </w:pPr>
      <w:r w:rsidDel="00000000" w:rsidR="00000000" w:rsidRPr="00000000">
        <w:rPr>
          <w:b w:val="1"/>
          <w:rtl w:val="0"/>
        </w:rPr>
        <w:t xml:space="preserve">How effective are the processes used to evaluate and analyse information and intelligence (e.g. National Intelligence Model) in order to minimise the impact of personal bias?</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Firstly, we must define intelligence and information for the purposes of this essay. Information is in its traditional sense, information of any sort received by the police. Intelligence is a product of information that has undergone a sanitization process, meaning that it is ready for use in policing operations. Information may not have enough time to be sanitised if it is received as part of a dynamic incident. Information is </w:t>
      </w:r>
      <w:r w:rsidDel="00000000" w:rsidR="00000000" w:rsidRPr="00000000">
        <w:rPr>
          <w:rtl w:val="0"/>
        </w:rPr>
        <w:t xml:space="preserve">sanitized</w:t>
      </w:r>
      <w:r w:rsidDel="00000000" w:rsidR="00000000" w:rsidRPr="00000000">
        <w:rPr>
          <w:rtl w:val="0"/>
        </w:rPr>
        <w:t xml:space="preserve"> through the National Intelligence Model.</w:t>
      </w:r>
    </w:p>
    <w:p w:rsidR="00000000" w:rsidDel="00000000" w:rsidP="00000000" w:rsidRDefault="00000000" w:rsidRPr="00000000" w14:paraId="00000041">
      <w:pPr>
        <w:ind w:left="0" w:firstLine="0"/>
        <w:rPr/>
      </w:pPr>
      <w:r w:rsidDel="00000000" w:rsidR="00000000" w:rsidRPr="00000000">
        <w:rPr>
          <w:rtl w:val="0"/>
        </w:rPr>
      </w:r>
    </w:p>
    <w:p w:rsidR="00000000" w:rsidDel="00000000" w:rsidP="00000000" w:rsidRDefault="00000000" w:rsidRPr="00000000" w14:paraId="00000042">
      <w:pPr>
        <w:ind w:left="0" w:firstLine="0"/>
        <w:rPr/>
      </w:pPr>
      <w:r w:rsidDel="00000000" w:rsidR="00000000" w:rsidRPr="00000000">
        <w:rPr>
          <w:rtl w:val="0"/>
        </w:rPr>
        <w:t xml:space="preserve">The National Intelligence Model is, by its own admission, a “business type” model designed to have the most impact with the least amount of resources in order to support operational policing and deliver on community objectives (National Centre for Police Excellence, 2005). It is designed to process intelligence and assess its reliability and use for policing purposes. Minimum requirements are set out, including the setting up of groups and training requirements, appointing officers to oversee the process and having sufficient assets to support the NIM.</w:t>
      </w:r>
    </w:p>
    <w:p w:rsidR="00000000" w:rsidDel="00000000" w:rsidP="00000000" w:rsidRDefault="00000000" w:rsidRPr="00000000" w14:paraId="00000043">
      <w:pPr>
        <w:ind w:left="0" w:firstLine="0"/>
        <w:rPr/>
      </w:pPr>
      <w:r w:rsidDel="00000000" w:rsidR="00000000" w:rsidRPr="00000000">
        <w:rPr>
          <w:rtl w:val="0"/>
        </w:rPr>
      </w:r>
    </w:p>
    <w:p w:rsidR="00000000" w:rsidDel="00000000" w:rsidP="00000000" w:rsidRDefault="00000000" w:rsidRPr="00000000" w14:paraId="00000044">
      <w:pPr>
        <w:ind w:left="0" w:firstLine="0"/>
        <w:rPr/>
      </w:pPr>
      <w:r w:rsidDel="00000000" w:rsidR="00000000" w:rsidRPr="00000000">
        <w:rPr>
          <w:rtl w:val="0"/>
        </w:rPr>
        <w:t xml:space="preserve">There are 3 tiers to the NIM - Level 1 deals with issues that impact local areas, such as communities, towns and cities, Level 2 are issues that impact the force area and cross police boundaries, and Level 3 deals with issues that cross multiple force boundaries or international borders (National Centre for Police Excellence, 2005). The NIM requires forces to set up Strategic and Tactical Tasking and Coordination Groups (S/T-TCG) to assess development of crime trends on the respective command level.</w:t>
      </w:r>
    </w:p>
    <w:p w:rsidR="00000000" w:rsidDel="00000000" w:rsidP="00000000" w:rsidRDefault="00000000" w:rsidRPr="00000000" w14:paraId="00000045">
      <w:pPr>
        <w:ind w:left="0" w:firstLine="0"/>
        <w:rPr/>
      </w:pPr>
      <w:r w:rsidDel="00000000" w:rsidR="00000000" w:rsidRPr="00000000">
        <w:rPr>
          <w:rtl w:val="0"/>
        </w:rPr>
      </w:r>
    </w:p>
    <w:p w:rsidR="00000000" w:rsidDel="00000000" w:rsidP="00000000" w:rsidRDefault="00000000" w:rsidRPr="00000000" w14:paraId="00000046">
      <w:pPr>
        <w:ind w:left="0" w:firstLine="0"/>
        <w:rPr/>
      </w:pPr>
      <w:r w:rsidDel="00000000" w:rsidR="00000000" w:rsidRPr="00000000">
        <w:rPr>
          <w:rtl w:val="0"/>
        </w:rPr>
        <w:t xml:space="preserve">The NIM provides 4 products directly as a result of its processes. Strategic assessments, which are produced every 3 months, set out medium to long term issues covering Level 2 and the most pressing Level 1 intelligence developments and trends. Tactical assessments, are produced when required by the S/T-TCG produce reports on short-term issues and provide suggested police actions based on the available intelligence. Target or Problem profiles can be generated based on request for an intelligence picture and suggested actions on a target (i.e. individual, place) or problem (crime series or trend) (National Centre for Police Excellence, 2005).</w:t>
      </w:r>
    </w:p>
    <w:p w:rsidR="00000000" w:rsidDel="00000000" w:rsidP="00000000" w:rsidRDefault="00000000" w:rsidRPr="00000000" w14:paraId="00000047">
      <w:pPr>
        <w:ind w:left="0" w:firstLine="0"/>
        <w:rPr/>
      </w:pPr>
      <w:r w:rsidDel="00000000" w:rsidR="00000000" w:rsidRPr="00000000">
        <w:rPr>
          <w:rtl w:val="0"/>
        </w:rPr>
      </w:r>
    </w:p>
    <w:p w:rsidR="00000000" w:rsidDel="00000000" w:rsidP="00000000" w:rsidRDefault="00000000" w:rsidRPr="00000000" w14:paraId="00000048">
      <w:pPr>
        <w:ind w:left="0" w:firstLine="0"/>
        <w:rPr/>
      </w:pPr>
      <w:r w:rsidDel="00000000" w:rsidR="00000000" w:rsidRPr="00000000">
        <w:rPr>
          <w:rtl w:val="0"/>
        </w:rPr>
        <w:t xml:space="preserve">The process of gathering intelligence was described by Lord Butler in his 2004 report as having 4 processes - collection (that is to say, receiving or gathering the information by one way or another), validation (ensuring the information has been produced through a valid process), analysis (actual examination of the substance of the information), and assessment (which is where the intelligence is looked at as part of the wider picture in the intelligence sphere). Lord Butler described UK intelligence gathering (although referring to the security services in particular, he described it as a nation-wide process), as “all-source” meaning that every piece of intelligence is examined, even if it goes against the hypothesis currently present for any particular factor (Butler, 2004). </w:t>
      </w:r>
    </w:p>
    <w:p w:rsidR="00000000" w:rsidDel="00000000" w:rsidP="00000000" w:rsidRDefault="00000000" w:rsidRPr="00000000" w14:paraId="00000049">
      <w:pPr>
        <w:ind w:left="0" w:firstLine="0"/>
        <w:rPr/>
      </w:pPr>
      <w:r w:rsidDel="00000000" w:rsidR="00000000" w:rsidRPr="00000000">
        <w:rPr>
          <w:rtl w:val="0"/>
        </w:rPr>
      </w:r>
    </w:p>
    <w:p w:rsidR="00000000" w:rsidDel="00000000" w:rsidP="00000000" w:rsidRDefault="00000000" w:rsidRPr="00000000" w14:paraId="0000004A">
      <w:pPr>
        <w:ind w:left="0" w:firstLine="0"/>
        <w:rPr/>
      </w:pPr>
      <w:r w:rsidDel="00000000" w:rsidR="00000000" w:rsidRPr="00000000">
        <w:rPr>
          <w:rtl w:val="0"/>
        </w:rPr>
        <w:t xml:space="preserve">Another process used to take information and intelligence and process it is the National Decision Model (NDM). This is not an input-output model in the sense that it transforms information to intelligence like the NIM, but it is rather a decision aid to help officers consider the available information and reach a decision. It consists of 5 stages, with the Police Code of Ethics at the centre (to symbolise it being considered at each stage) - gather information and intelligence, assess threat and develop working strategy, consider powers and policy, identify options and contingencies and taking action (also reviewing what happened). It is a cyclical model, and can be considered several times in succession. It is designed to be used in both slower paced environments, and in situations where officers need to make quick decisions (College of Policing, 2013).</w:t>
      </w:r>
    </w:p>
    <w:p w:rsidR="00000000" w:rsidDel="00000000" w:rsidP="00000000" w:rsidRDefault="00000000" w:rsidRPr="00000000" w14:paraId="0000004B">
      <w:pPr>
        <w:ind w:left="0" w:firstLine="0"/>
        <w:rPr/>
      </w:pPr>
      <w:r w:rsidDel="00000000" w:rsidR="00000000" w:rsidRPr="00000000">
        <w:rPr>
          <w:rtl w:val="0"/>
        </w:rPr>
      </w:r>
    </w:p>
    <w:p w:rsidR="00000000" w:rsidDel="00000000" w:rsidP="00000000" w:rsidRDefault="00000000" w:rsidRPr="00000000" w14:paraId="0000004C">
      <w:pPr>
        <w:ind w:left="0" w:firstLine="0"/>
        <w:rPr/>
      </w:pPr>
      <w:r w:rsidDel="00000000" w:rsidR="00000000" w:rsidRPr="00000000">
        <w:rPr>
          <w:rtl w:val="0"/>
        </w:rPr>
        <w:t xml:space="preserve">Police officers have described the model as something that occurs “intuitively” and, in critical situations where they are presented, is often an afterthought where they look back and see themselves going through the NDM processes, although not consciously so at the time (Edwards, 2021). The officers described it as the foundation of “every decision that they make”. The officers in this study interestingly didn’t make particular reference to the Code of Ethics, but stated that they consider their “own code”, with one officer saying “integrity is absolutely core… and I don’t need a model to do that for me.”. </w:t>
      </w:r>
    </w:p>
    <w:p w:rsidR="00000000" w:rsidDel="00000000" w:rsidP="00000000" w:rsidRDefault="00000000" w:rsidRPr="00000000" w14:paraId="0000004D">
      <w:pPr>
        <w:ind w:left="0" w:firstLine="0"/>
        <w:rPr/>
      </w:pPr>
      <w:r w:rsidDel="00000000" w:rsidR="00000000" w:rsidRPr="00000000">
        <w:rPr>
          <w:rtl w:val="0"/>
        </w:rPr>
      </w:r>
    </w:p>
    <w:p w:rsidR="00000000" w:rsidDel="00000000" w:rsidP="00000000" w:rsidRDefault="00000000" w:rsidRPr="00000000" w14:paraId="0000004E">
      <w:pPr>
        <w:ind w:left="0" w:firstLine="0"/>
        <w:rPr/>
      </w:pPr>
      <w:r w:rsidDel="00000000" w:rsidR="00000000" w:rsidRPr="00000000">
        <w:rPr>
          <w:rtl w:val="0"/>
        </w:rPr>
        <w:t xml:space="preserve">The NDM is used throughout both dynamic (response-type) incidents, and for slower investigations that are protracted throughout the criminal justice process. Examples of these included being faced with a weapon, considering lines of enquiry in a burglary, and 7 and 28 day homicide reviews (Edwards, 2021). Although this study didn’t touch on bias explicitly, it did consider how hypothesis work within the NDM, stating that officers who used the NDM to test hypothesis found it to be a more effective way of eliminating biases in identifying lines of enquiry, as the NDM encouraged officers to be accountable and provide rationale for their action (or inaction).</w:t>
      </w:r>
    </w:p>
    <w:p w:rsidR="00000000" w:rsidDel="00000000" w:rsidP="00000000" w:rsidRDefault="00000000" w:rsidRPr="00000000" w14:paraId="0000004F">
      <w:pPr>
        <w:ind w:left="0" w:firstLine="0"/>
        <w:rPr/>
      </w:pPr>
      <w:r w:rsidDel="00000000" w:rsidR="00000000" w:rsidRPr="00000000">
        <w:rPr>
          <w:rtl w:val="0"/>
        </w:rPr>
      </w:r>
    </w:p>
    <w:p w:rsidR="00000000" w:rsidDel="00000000" w:rsidP="00000000" w:rsidRDefault="00000000" w:rsidRPr="00000000" w14:paraId="00000050">
      <w:pPr>
        <w:ind w:left="0" w:firstLine="0"/>
        <w:rPr/>
      </w:pPr>
      <w:r w:rsidDel="00000000" w:rsidR="00000000" w:rsidRPr="00000000">
        <w:rPr>
          <w:rtl w:val="0"/>
        </w:rPr>
        <w:t xml:space="preserve">Regular ‘critical’ reviews have also been found to reduce bias in police officers, reducing ‘tunnel vision’ experienced by officers when they have formed a particular hypothesis and begin to ignore other lines of enquiry (Salet and Terpstra, 2014). The NDM can be used within this context, not only when dealing with crime but when dealing with other situations involving the public - the need for accountability within the NDM (and the Code of Ethics) presses the need to be transparent. </w:t>
      </w:r>
    </w:p>
    <w:p w:rsidR="00000000" w:rsidDel="00000000" w:rsidP="00000000" w:rsidRDefault="00000000" w:rsidRPr="00000000" w14:paraId="00000051">
      <w:pPr>
        <w:ind w:left="0" w:firstLine="0"/>
        <w:rPr/>
      </w:pPr>
      <w:r w:rsidDel="00000000" w:rsidR="00000000" w:rsidRPr="00000000">
        <w:rPr>
          <w:rtl w:val="0"/>
        </w:rPr>
      </w:r>
    </w:p>
    <w:p w:rsidR="00000000" w:rsidDel="00000000" w:rsidP="00000000" w:rsidRDefault="00000000" w:rsidRPr="00000000" w14:paraId="00000052">
      <w:pPr>
        <w:ind w:left="0" w:firstLine="0"/>
        <w:rPr/>
      </w:pPr>
      <w:r w:rsidDel="00000000" w:rsidR="00000000" w:rsidRPr="00000000">
        <w:rPr>
          <w:rtl w:val="0"/>
        </w:rPr>
        <w:t xml:space="preserve">Although I could not find any literature on the effects of the NIM on personal bias, I will draw on comments from Lord Butler in his review, in moving to multi-strand intelligence analysis, analysts are able to draw on the bigger picture which will help reduce personal bias as multiple analysts and sources are unlikely to have the same biases (and some sources cannot have a bias, like photos). Personal bias will always be present, even in the smallest amount (Pannucci and Wilkins, 2010), but effective control methods to reduce it can be put in place.</w:t>
      </w:r>
    </w:p>
    <w:p w:rsidR="00000000" w:rsidDel="00000000" w:rsidP="00000000" w:rsidRDefault="00000000" w:rsidRPr="00000000" w14:paraId="00000053">
      <w:pPr>
        <w:ind w:left="0" w:firstLine="0"/>
        <w:rPr/>
      </w:pPr>
      <w:r w:rsidDel="00000000" w:rsidR="00000000" w:rsidRPr="00000000">
        <w:rPr>
          <w:rtl w:val="0"/>
        </w:rPr>
      </w:r>
    </w:p>
    <w:p w:rsidR="00000000" w:rsidDel="00000000" w:rsidP="00000000" w:rsidRDefault="00000000" w:rsidRPr="00000000" w14:paraId="00000054">
      <w:pPr>
        <w:ind w:left="0" w:firstLine="0"/>
        <w:rPr/>
      </w:pPr>
      <w:r w:rsidDel="00000000" w:rsidR="00000000" w:rsidRPr="00000000">
        <w:rPr>
          <w:rtl w:val="0"/>
        </w:rPr>
        <w:t xml:space="preserve">Both the NDM and NIM are processes that provide a structure for decision making (although for different areas of policing), which allow decisions and analysis to be made through a framework that considers multiple factors (legislation, intelligence provenance, threat assessments). Doing so helps remove personal bias from the decision making process - it will always be present, sometimes with parts being substituted by the officer’s own moral code (Edwards, 2021), but both the NIM and NDM provide an effective source of mitigation for personal bias.</w:t>
      </w:r>
    </w:p>
    <w:p w:rsidR="00000000" w:rsidDel="00000000" w:rsidP="00000000" w:rsidRDefault="00000000" w:rsidRPr="00000000" w14:paraId="00000055">
      <w:pPr>
        <w:ind w:left="0" w:firstLine="0"/>
        <w:rPr/>
      </w:pPr>
      <w:r w:rsidDel="00000000" w:rsidR="00000000" w:rsidRPr="00000000">
        <w:rPr>
          <w:b w:val="1"/>
          <w:rtl w:val="0"/>
        </w:rPr>
        <w:t xml:space="preserve">Words - 1064</w:t>
      </w:r>
      <w:r w:rsidDel="00000000" w:rsidR="00000000" w:rsidRPr="00000000">
        <w:rPr>
          <w:rtl w:val="0"/>
        </w:rPr>
      </w:r>
    </w:p>
    <w:p w:rsidR="00000000" w:rsidDel="00000000" w:rsidP="00000000" w:rsidRDefault="00000000" w:rsidRPr="00000000" w14:paraId="00000056">
      <w:pPr>
        <w:ind w:left="0" w:firstLine="0"/>
        <w:rPr>
          <w:b w:val="1"/>
        </w:rPr>
      </w:pPr>
      <w:r w:rsidDel="00000000" w:rsidR="00000000" w:rsidRPr="00000000">
        <w:rPr>
          <w:b w:val="1"/>
          <w:rtl w:val="0"/>
        </w:rPr>
        <w:t xml:space="preserve">“Despite some progress, the system of juvenile justice in the United Kingdom remains excessively punitive. The state's response to juvenile crime should focus more on rehabilitation” (Hammarberg, 2012). Examine the effectiveness of rehabilitation and/or restorative justice as a means of reducing re-offending among young offenders. </w:t>
      </w:r>
    </w:p>
    <w:p w:rsidR="00000000" w:rsidDel="00000000" w:rsidP="00000000" w:rsidRDefault="00000000" w:rsidRPr="00000000" w14:paraId="00000057">
      <w:pPr>
        <w:rPr>
          <w:b w:val="1"/>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In the year 2020-2021, there were 13,800 children that received a caution or sentence in the UK. 8,000 children entered the Criminal Justice System (CJS) for the first time, and 31.2% of convicted young persons re-offended. Looking specifically at re-offending, the average reoffending child commits 3.54 offences after being released. Year on year re-offending has decreased from 2011, with over 140,000 offences being committed by reoffenders at the start of the data, to under 10,000 in 2021. The time when the Hammarberg study was quoted, would’ve been when there were still over 40,000 child re-offenders (Home Office, 2022).</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The Government policy on rehabilitation is to enable “good quality supervision, case management… holistic approaches to support … reintegration” (House of Lords Library, 2022). Although it finds certain programmes have mixed effectiveness, its most effective measures include behaviour programmes and drug interventions (House of Lords Library, 2022). Prisoners are provided with support workers to help deal with addiction, having pre-planned ‘resettlement passports’ (a package for resettlement) are some of the measures introduced to help adult offenders rehabilitate.</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Restorative justice was looked at by a Home Office researcher, Tony Marshall, and was defined as a “process whereby parties with a stake in a specific offence collectively resolve how to deal with the aftermath of the offence and its implications for the future”. Marshall accompanied this with a diagram, showing justice agencies at the centre, with the victim, offender and the local community at points around the centre, all connected to each other. It was aimed at reducing workload for the criminal justice system and helping offenders reintegrate to society by working together with the victim to find a solution (Marshall, 1999).</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Young persons who come into adverse contact with the police or courts system are managed by local Youth Offending Teams (YOT) which work under the wider umbrella of the Youth Justice System (YJS). The YOT uses face-to-face meetings, group work and programmes or packages to help address re-offending by young persons - the process is specific to the individual child, following a risk assessment by the YOT (Ministry of Justice, 2013). These packages may include a variety of approaches.</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A meta study conducted by the Scottish Violence Reduction Unit (SVRU, 2022) found some of the least effective methods include deterrent and disciplinary approaches, with young offenders just as likely to offend as those in prison when exposed to scare tactics (O’Connor </w:t>
      </w:r>
      <w:r w:rsidDel="00000000" w:rsidR="00000000" w:rsidRPr="00000000">
        <w:rPr>
          <w:i w:val="1"/>
          <w:rtl w:val="0"/>
        </w:rPr>
        <w:t xml:space="preserve">et al., </w:t>
      </w:r>
      <w:r w:rsidDel="00000000" w:rsidR="00000000" w:rsidRPr="00000000">
        <w:rPr>
          <w:rtl w:val="0"/>
        </w:rPr>
        <w:t xml:space="preserve">2015). Counselling, skill building and diversion programmes are some of the most effective. Counselling aimed at building a relationship with the young person were more effective than peer counselling (O’Connor </w:t>
      </w:r>
      <w:r w:rsidDel="00000000" w:rsidR="00000000" w:rsidRPr="00000000">
        <w:rPr>
          <w:i w:val="1"/>
          <w:rtl w:val="0"/>
        </w:rPr>
        <w:t xml:space="preserve">et al., </w:t>
      </w:r>
      <w:r w:rsidDel="00000000" w:rsidR="00000000" w:rsidRPr="00000000">
        <w:rPr>
          <w:rtl w:val="0"/>
        </w:rPr>
        <w:t xml:space="preserve">2015). The O’Connor study also found that with skill building programmes, the most successful ones focused on </w:t>
      </w:r>
      <w:r w:rsidDel="00000000" w:rsidR="00000000" w:rsidRPr="00000000">
        <w:rPr>
          <w:i w:val="1"/>
          <w:rtl w:val="0"/>
        </w:rPr>
        <w:t xml:space="preserve">social</w:t>
      </w:r>
      <w:r w:rsidDel="00000000" w:rsidR="00000000" w:rsidRPr="00000000">
        <w:rPr>
          <w:rtl w:val="0"/>
        </w:rPr>
        <w:t xml:space="preserve"> rather than </w:t>
      </w:r>
      <w:r w:rsidDel="00000000" w:rsidR="00000000" w:rsidRPr="00000000">
        <w:rPr>
          <w:i w:val="1"/>
          <w:rtl w:val="0"/>
        </w:rPr>
        <w:t xml:space="preserve">job-related</w:t>
      </w:r>
      <w:r w:rsidDel="00000000" w:rsidR="00000000" w:rsidRPr="00000000">
        <w:rPr>
          <w:rtl w:val="0"/>
        </w:rPr>
        <w:t xml:space="preserve"> skills, and favourable outcomes were seen in programmes that looked at the development of anger management and other life skills. Diversionary approaches (including restorative justice) on the whole were effective in reducing reoffending. Some saw mixed success depending on the approach used (Adler </w:t>
      </w:r>
      <w:r w:rsidDel="00000000" w:rsidR="00000000" w:rsidRPr="00000000">
        <w:rPr>
          <w:i w:val="1"/>
          <w:rtl w:val="0"/>
        </w:rPr>
        <w:t xml:space="preserve">et al.,</w:t>
      </w:r>
      <w:r w:rsidDel="00000000" w:rsidR="00000000" w:rsidRPr="00000000">
        <w:rPr>
          <w:rtl w:val="0"/>
        </w:rPr>
        <w:t xml:space="preserve"> 2016). The SVRU review concluded that individual-focused programmes that looked at behavioural issues were the most effective (SVRU, 2022).</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Restorative justice as a method of rehabilitation has been looked at by Roxana Willis in a 2016 paper which included a case study on a young offender called Drew (a pseudonym) (Willis, 2016). Willis states that community is an important aspect of the application of restorative justice, and uses Drew’s case to demonstrate how restorative justice can work. </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Drew had a childhood full of adverse childhood experiences (ACE). His mum left him when he was young to care for his brothers without any electricity, and Drew had to steal for food to feed himself. There is a link between ACEs and offending, with offenders having experienced about 4x the amount of ACEs as non-offenders (Reavis </w:t>
      </w:r>
      <w:r w:rsidDel="00000000" w:rsidR="00000000" w:rsidRPr="00000000">
        <w:rPr>
          <w:i w:val="1"/>
          <w:rtl w:val="0"/>
        </w:rPr>
        <w:t xml:space="preserve">et al.</w:t>
      </w:r>
      <w:r w:rsidDel="00000000" w:rsidR="00000000" w:rsidRPr="00000000">
        <w:rPr>
          <w:rtl w:val="0"/>
        </w:rPr>
        <w:t xml:space="preserve">, 2013). Drew began becoming involved in low-level criminality such as shoplifting, and was eventually arrested for burglary where he received a rehabilitation order, and carried out repetitive work and appeared in front of the youth offender panel, but never had the chance to discuss with the victim the crime and why he did it, or to understand how the victim felt.</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Drew stated he felt nervous to attend the meetings because the panel could send him back to court. Willis states that Drew did not associate the panel with the community, and it failed to have the desired impact on him. Drew later committed criminal damage by smashing a community centre - this time he received a conditional caution and went to apologise to the victim, who did not want to criminalise him. Drew and the victim (John) talked about the offence, and Drew apologised. John praised him for this and wanted him to become part of the centre, letting him take reparative work in the form of painting, which is something that Drew enjoyed. Drew and John built a relationship and a rapport, and Drew had apologised, and in the eyes of his victim, had made reparations. He was then given an opportunity to continue to contribute to the community, which he did. Willis says that this gave him more social relationships which were law abiding and gave him a better chance at rehabilitation. Drew stated that he would “never do anything major again”, and hasn’t, but continues to be involved in lower-level criminality like shoplifting and driving offences. </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Willis stated that it was a powerful intervention, but not a “silver bullet”, and more work needed to be done to tear Drew away from the path he was on.</w:t>
      </w: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In conclusion, rehabilitation is the most effective approach available to reduce re-offending in young offenders (SVRU, 2022). There needs to be a multi-disciplinary approach focused to the individual in order for it to be effective, and for the person to be re-introduced to the community as a member of it (Willis, 2016). The current reoffending statistics show that the process is working, and that youth offenders are being successfully rehabilitated.</w:t>
      </w:r>
    </w:p>
    <w:p w:rsidR="00000000" w:rsidDel="00000000" w:rsidP="00000000" w:rsidRDefault="00000000" w:rsidRPr="00000000" w14:paraId="0000006B">
      <w:pPr>
        <w:rPr/>
      </w:pPr>
      <w:r w:rsidDel="00000000" w:rsidR="00000000" w:rsidRPr="00000000">
        <w:rPr>
          <w:b w:val="1"/>
          <w:rtl w:val="0"/>
        </w:rPr>
        <w:t xml:space="preserve">Words - 1000</w:t>
      </w: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jc w:val="center"/>
        <w:rPr/>
      </w:pPr>
      <w:r w:rsidDel="00000000" w:rsidR="00000000" w:rsidRPr="00000000">
        <w:rPr>
          <w:b w:val="1"/>
          <w:u w:val="single"/>
          <w:rtl w:val="0"/>
        </w:rPr>
        <w:t xml:space="preserve">Bibliography</w:t>
      </w: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Adler, J. R., Edwards, S. K., Scally, M., Gill, D., Puniskis, M. J., Gekoski, A., &amp; Horvath, M. A. H. (2016). </w:t>
      </w:r>
      <w:r w:rsidDel="00000000" w:rsidR="00000000" w:rsidRPr="00000000">
        <w:rPr>
          <w:i w:val="1"/>
          <w:rtl w:val="0"/>
        </w:rPr>
        <w:t xml:space="preserve">What Works in Managing Young People who Offend? A Summary of the International Evidence.</w:t>
      </w:r>
      <w:r w:rsidDel="00000000" w:rsidR="00000000" w:rsidRPr="00000000">
        <w:rPr>
          <w:rtl w:val="0"/>
        </w:rPr>
        <w:t xml:space="preserve"> Forensic Psychological Services at Middlesex University Ministry of Justice Analytical Series.</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Butler (2004) </w:t>
      </w:r>
      <w:r w:rsidDel="00000000" w:rsidR="00000000" w:rsidRPr="00000000">
        <w:rPr>
          <w:i w:val="1"/>
          <w:rtl w:val="0"/>
        </w:rPr>
        <w:t xml:space="preserve">Review of Intelligence on Weapons of Mass Destruction - Report of a Committee of Privy Counsellors</w:t>
      </w:r>
      <w:r w:rsidDel="00000000" w:rsidR="00000000" w:rsidRPr="00000000">
        <w:rPr>
          <w:rtl w:val="0"/>
        </w:rPr>
        <w:t xml:space="preserve">, House of Commons, p. 20 -58. Available at: </w:t>
      </w:r>
      <w:r w:rsidDel="00000000" w:rsidR="00000000" w:rsidRPr="00000000">
        <w:rPr>
          <w:rtl w:val="0"/>
        </w:rPr>
        <w:t xml:space="preserve">https://irp.fas.org/world/uk/butler071404.pdf</w:t>
      </w: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highlight w:val="white"/>
          <w:rtl w:val="0"/>
        </w:rPr>
        <w:t xml:space="preserve">Chan, J. (2001). Negotiating the Field: New Observations on the Making of Police Officers. </w:t>
      </w:r>
      <w:r w:rsidDel="00000000" w:rsidR="00000000" w:rsidRPr="00000000">
        <w:rPr>
          <w:i w:val="1"/>
          <w:highlight w:val="white"/>
          <w:rtl w:val="0"/>
        </w:rPr>
        <w:t xml:space="preserve">Australian &amp; New Zealand Journal of Criminology</w:t>
      </w:r>
      <w:r w:rsidDel="00000000" w:rsidR="00000000" w:rsidRPr="00000000">
        <w:rPr>
          <w:highlight w:val="white"/>
          <w:rtl w:val="0"/>
        </w:rPr>
        <w:t xml:space="preserve">, </w:t>
      </w:r>
      <w:r w:rsidDel="00000000" w:rsidR="00000000" w:rsidRPr="00000000">
        <w:rPr>
          <w:i w:val="1"/>
          <w:highlight w:val="white"/>
          <w:rtl w:val="0"/>
        </w:rPr>
        <w:t xml:space="preserve">34</w:t>
      </w:r>
      <w:r w:rsidDel="00000000" w:rsidR="00000000" w:rsidRPr="00000000">
        <w:rPr>
          <w:highlight w:val="white"/>
          <w:rtl w:val="0"/>
        </w:rPr>
        <w:t xml:space="preserve">(2), 114-133</w:t>
      </w: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spacing w:after="240" w:before="240" w:lineRule="auto"/>
        <w:rPr/>
      </w:pPr>
      <w:r w:rsidDel="00000000" w:rsidR="00000000" w:rsidRPr="00000000">
        <w:rPr>
          <w:rtl w:val="0"/>
        </w:rPr>
        <w:t xml:space="preserve">College of Policing, (2013) </w:t>
      </w:r>
      <w:r w:rsidDel="00000000" w:rsidR="00000000" w:rsidRPr="00000000">
        <w:rPr>
          <w:i w:val="1"/>
          <w:rtl w:val="0"/>
        </w:rPr>
        <w:t xml:space="preserve">National Decision Model</w:t>
      </w:r>
      <w:r w:rsidDel="00000000" w:rsidR="00000000" w:rsidRPr="00000000">
        <w:rPr>
          <w:rtl w:val="0"/>
        </w:rPr>
        <w:t xml:space="preserve">. Available at: https://www.college.police.uk/app/national-decision-model/national-decision-model (Accessed: 04 March 2024). </w:t>
      </w:r>
    </w:p>
    <w:p w:rsidR="00000000" w:rsidDel="00000000" w:rsidP="00000000" w:rsidRDefault="00000000" w:rsidRPr="00000000" w14:paraId="0000007E">
      <w:pPr>
        <w:spacing w:after="240" w:before="240" w:lineRule="auto"/>
        <w:rPr/>
      </w:pPr>
      <w:r w:rsidDel="00000000" w:rsidR="00000000" w:rsidRPr="00000000">
        <w:rPr>
          <w:rtl w:val="0"/>
        </w:rPr>
        <w:t xml:space="preserve">College of Policing, (2013) </w:t>
      </w:r>
      <w:r w:rsidDel="00000000" w:rsidR="00000000" w:rsidRPr="00000000">
        <w:rPr>
          <w:i w:val="1"/>
          <w:rtl w:val="0"/>
        </w:rPr>
        <w:t xml:space="preserve">Investigative Interviewing - Authorised Professional Practice</w:t>
      </w:r>
      <w:r w:rsidDel="00000000" w:rsidR="00000000" w:rsidRPr="00000000">
        <w:rPr>
          <w:rtl w:val="0"/>
        </w:rPr>
        <w:t xml:space="preserve">. Available at: https://www.college.police.uk/app/investigation/investigative-interviewing/investigative-interviewing (Accessed: 04 March 2024). </w:t>
      </w:r>
    </w:p>
    <w:p w:rsidR="00000000" w:rsidDel="00000000" w:rsidP="00000000" w:rsidRDefault="00000000" w:rsidRPr="00000000" w14:paraId="0000007F">
      <w:pPr>
        <w:spacing w:after="240" w:before="240" w:lineRule="auto"/>
        <w:rPr/>
      </w:pPr>
      <w:r w:rsidDel="00000000" w:rsidR="00000000" w:rsidRPr="00000000">
        <w:rPr>
          <w:rtl w:val="0"/>
        </w:rPr>
        <w:t xml:space="preserve">College of Policing, (2024) </w:t>
      </w:r>
      <w:r w:rsidDel="00000000" w:rsidR="00000000" w:rsidRPr="00000000">
        <w:rPr>
          <w:i w:val="1"/>
          <w:rtl w:val="0"/>
        </w:rPr>
        <w:t xml:space="preserve">Joining the police as a new police officer</w:t>
      </w:r>
      <w:r w:rsidDel="00000000" w:rsidR="00000000" w:rsidRPr="00000000">
        <w:rPr>
          <w:rtl w:val="0"/>
        </w:rPr>
        <w:t xml:space="preserve">. Available at: https://www.college.police.uk/career-learning/joining-police/joining-new-pc (Accessed: 04 March 2024). </w:t>
      </w:r>
    </w:p>
    <w:p w:rsidR="00000000" w:rsidDel="00000000" w:rsidP="00000000" w:rsidRDefault="00000000" w:rsidRPr="00000000" w14:paraId="00000080">
      <w:pPr>
        <w:rPr>
          <w:highlight w:val="white"/>
        </w:rPr>
      </w:pPr>
      <w:r w:rsidDel="00000000" w:rsidR="00000000" w:rsidRPr="00000000">
        <w:rPr>
          <w:highlight w:val="white"/>
          <w:rtl w:val="0"/>
        </w:rPr>
        <w:t xml:space="preserve">Cox, C., Kirby, S., (2018) </w:t>
      </w:r>
      <w:r w:rsidDel="00000000" w:rsidR="00000000" w:rsidRPr="00000000">
        <w:rPr>
          <w:i w:val="1"/>
          <w:highlight w:val="white"/>
          <w:rtl w:val="0"/>
        </w:rPr>
        <w:t xml:space="preserve">Can higher education reduce the negative consequences of police occupational culture amongst new recruits?</w:t>
      </w:r>
      <w:r w:rsidDel="00000000" w:rsidR="00000000" w:rsidRPr="00000000">
        <w:rPr>
          <w:highlight w:val="white"/>
          <w:rtl w:val="0"/>
        </w:rPr>
        <w:t xml:space="preserve"> Policing,</w:t>
      </w:r>
      <w:r w:rsidDel="00000000" w:rsidR="00000000" w:rsidRPr="00000000">
        <w:rPr>
          <w:i w:val="1"/>
          <w:highlight w:val="white"/>
          <w:rtl w:val="0"/>
        </w:rPr>
        <w:t xml:space="preserve"> </w:t>
      </w:r>
      <w:r w:rsidDel="00000000" w:rsidR="00000000" w:rsidRPr="00000000">
        <w:rPr>
          <w:highlight w:val="white"/>
          <w:rtl w:val="0"/>
        </w:rPr>
        <w:t xml:space="preserve">41(5), pp. 550-562.</w:t>
      </w:r>
    </w:p>
    <w:p w:rsidR="00000000" w:rsidDel="00000000" w:rsidP="00000000" w:rsidRDefault="00000000" w:rsidRPr="00000000" w14:paraId="00000081">
      <w:pPr>
        <w:rPr>
          <w:highlight w:val="white"/>
        </w:rPr>
      </w:pPr>
      <w:r w:rsidDel="00000000" w:rsidR="00000000" w:rsidRPr="00000000">
        <w:rPr>
          <w:rtl w:val="0"/>
        </w:rPr>
      </w:r>
    </w:p>
    <w:p w:rsidR="00000000" w:rsidDel="00000000" w:rsidP="00000000" w:rsidRDefault="00000000" w:rsidRPr="00000000" w14:paraId="00000082">
      <w:pPr>
        <w:rPr>
          <w:highlight w:val="white"/>
        </w:rPr>
      </w:pPr>
      <w:r w:rsidDel="00000000" w:rsidR="00000000" w:rsidRPr="00000000">
        <w:rPr>
          <w:highlight w:val="white"/>
          <w:rtl w:val="0"/>
        </w:rPr>
        <w:t xml:space="preserve">Dando, C., Wilcock, R., &amp; Milne, R. (2008). </w:t>
      </w:r>
      <w:r w:rsidDel="00000000" w:rsidR="00000000" w:rsidRPr="00000000">
        <w:rPr>
          <w:i w:val="1"/>
          <w:highlight w:val="white"/>
          <w:rtl w:val="0"/>
        </w:rPr>
        <w:t xml:space="preserve">The cognitive interview: Inexperienced police officers' perceptions of their witness/victim interviewing practices</w:t>
      </w:r>
      <w:r w:rsidDel="00000000" w:rsidR="00000000" w:rsidRPr="00000000">
        <w:rPr>
          <w:highlight w:val="white"/>
          <w:rtl w:val="0"/>
        </w:rPr>
        <w:t xml:space="preserve">. Legal and Criminological Psychology,</w:t>
      </w:r>
      <w:r w:rsidDel="00000000" w:rsidR="00000000" w:rsidRPr="00000000">
        <w:rPr>
          <w:i w:val="1"/>
          <w:highlight w:val="white"/>
          <w:rtl w:val="0"/>
        </w:rPr>
        <w:t xml:space="preserve"> 13</w:t>
      </w:r>
      <w:r w:rsidDel="00000000" w:rsidR="00000000" w:rsidRPr="00000000">
        <w:rPr>
          <w:highlight w:val="white"/>
          <w:rtl w:val="0"/>
        </w:rPr>
        <w:t xml:space="preserve">(1), 59–70.</w:t>
      </w:r>
    </w:p>
    <w:p w:rsidR="00000000" w:rsidDel="00000000" w:rsidP="00000000" w:rsidRDefault="00000000" w:rsidRPr="00000000" w14:paraId="00000083">
      <w:pPr>
        <w:rPr>
          <w:highlight w:val="white"/>
        </w:rPr>
      </w:pPr>
      <w:r w:rsidDel="00000000" w:rsidR="00000000" w:rsidRPr="00000000">
        <w:rPr>
          <w:rtl w:val="0"/>
        </w:rPr>
      </w:r>
    </w:p>
    <w:p w:rsidR="00000000" w:rsidDel="00000000" w:rsidP="00000000" w:rsidRDefault="00000000" w:rsidRPr="00000000" w14:paraId="00000084">
      <w:pPr>
        <w:pBdr>
          <w:top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highlight w:val="white"/>
          <w:rtl w:val="0"/>
        </w:rPr>
        <w:t xml:space="preserve">Dando, C., Wilcock, R., &amp; Milne, R. (2009) </w:t>
      </w:r>
      <w:r w:rsidDel="00000000" w:rsidR="00000000" w:rsidRPr="00000000">
        <w:rPr>
          <w:i w:val="1"/>
          <w:highlight w:val="white"/>
          <w:rtl w:val="0"/>
        </w:rPr>
        <w:t xml:space="preserve">The Cognitive Interview: novice police officers' witness/victim interviewing practices,</w:t>
      </w:r>
      <w:r w:rsidDel="00000000" w:rsidR="00000000" w:rsidRPr="00000000">
        <w:rPr>
          <w:highlight w:val="white"/>
          <w:rtl w:val="0"/>
        </w:rPr>
        <w:t xml:space="preserve"> Psychology, Crime &amp; Law, 15:8, 679-696.</w:t>
      </w:r>
    </w:p>
    <w:p w:rsidR="00000000" w:rsidDel="00000000" w:rsidP="00000000" w:rsidRDefault="00000000" w:rsidRPr="00000000" w14:paraId="00000085">
      <w:pPr>
        <w:rPr>
          <w:b w:val="1"/>
          <w:highlight w:val="white"/>
        </w:rPr>
      </w:pPr>
      <w:r w:rsidDel="00000000" w:rsidR="00000000" w:rsidRPr="00000000">
        <w:rPr>
          <w:rtl w:val="0"/>
        </w:rPr>
      </w:r>
    </w:p>
    <w:p w:rsidR="00000000" w:rsidDel="00000000" w:rsidP="00000000" w:rsidRDefault="00000000" w:rsidRPr="00000000" w14:paraId="00000086">
      <w:pPr>
        <w:rPr>
          <w:highlight w:val="white"/>
        </w:rPr>
      </w:pPr>
      <w:r w:rsidDel="00000000" w:rsidR="00000000" w:rsidRPr="00000000">
        <w:rPr>
          <w:highlight w:val="white"/>
          <w:rtl w:val="0"/>
        </w:rPr>
        <w:t xml:space="preserve">Edwards, J., (2021). </w:t>
      </w:r>
      <w:r w:rsidDel="00000000" w:rsidR="00000000" w:rsidRPr="00000000">
        <w:rPr>
          <w:i w:val="1"/>
          <w:highlight w:val="white"/>
          <w:rtl w:val="0"/>
        </w:rPr>
        <w:t xml:space="preserve">Practitioner Perspectives of the Utility of the National Decision Model in Relation to Criminal Investigations and Response Policing</w:t>
      </w:r>
      <w:r w:rsidDel="00000000" w:rsidR="00000000" w:rsidRPr="00000000">
        <w:rPr>
          <w:highlight w:val="white"/>
          <w:rtl w:val="0"/>
        </w:rPr>
        <w:t xml:space="preserve">, Canterbury Christ Church University (United Kingdom).</w:t>
      </w:r>
    </w:p>
    <w:p w:rsidR="00000000" w:rsidDel="00000000" w:rsidP="00000000" w:rsidRDefault="00000000" w:rsidRPr="00000000" w14:paraId="00000087">
      <w:pPr>
        <w:rPr>
          <w:highlight w:val="white"/>
        </w:rPr>
      </w:pPr>
      <w:r w:rsidDel="00000000" w:rsidR="00000000" w:rsidRPr="00000000">
        <w:rPr>
          <w:rtl w:val="0"/>
        </w:rPr>
      </w:r>
    </w:p>
    <w:p w:rsidR="00000000" w:rsidDel="00000000" w:rsidP="00000000" w:rsidRDefault="00000000" w:rsidRPr="00000000" w14:paraId="00000088">
      <w:pPr>
        <w:rPr>
          <w:highlight w:val="white"/>
        </w:rPr>
      </w:pPr>
      <w:r w:rsidDel="00000000" w:rsidR="00000000" w:rsidRPr="00000000">
        <w:rPr>
          <w:rtl w:val="0"/>
        </w:rPr>
        <w:t xml:space="preserve">Emsley, C. (2008), “The birth and development of the police”, in Newburn, T. (Ed.), Handbook of Policing, 2nd ed., Willan Publishing, London, pp. 72-89.</w:t>
      </w:r>
      <w:r w:rsidDel="00000000" w:rsidR="00000000" w:rsidRPr="00000000">
        <w:rPr>
          <w:rtl w:val="0"/>
        </w:rPr>
      </w:r>
    </w:p>
    <w:p w:rsidR="00000000" w:rsidDel="00000000" w:rsidP="00000000" w:rsidRDefault="00000000" w:rsidRPr="00000000" w14:paraId="00000089">
      <w:pPr>
        <w:rPr>
          <w:highlight w:val="white"/>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Geiselman, R. E., Fisher, R. P., MacKinnon, D. P., &amp; Holland, H. L. (1986). Enhancement of Eyewitness Memory with the Cognitive Interview. </w:t>
      </w:r>
      <w:r w:rsidDel="00000000" w:rsidR="00000000" w:rsidRPr="00000000">
        <w:rPr>
          <w:i w:val="1"/>
          <w:rtl w:val="0"/>
        </w:rPr>
        <w:t xml:space="preserve">The American Journal of Psychology</w:t>
      </w:r>
      <w:r w:rsidDel="00000000" w:rsidR="00000000" w:rsidRPr="00000000">
        <w:rPr>
          <w:rtl w:val="0"/>
        </w:rPr>
        <w:t xml:space="preserve">, </w:t>
      </w:r>
      <w:r w:rsidDel="00000000" w:rsidR="00000000" w:rsidRPr="00000000">
        <w:rPr>
          <w:i w:val="1"/>
          <w:rtl w:val="0"/>
        </w:rPr>
        <w:t xml:space="preserve">99</w:t>
      </w:r>
      <w:r w:rsidDel="00000000" w:rsidR="00000000" w:rsidRPr="00000000">
        <w:rPr>
          <w:rtl w:val="0"/>
        </w:rPr>
        <w:t xml:space="preserve">(3), 385–401.</w:t>
      </w:r>
    </w:p>
    <w:p w:rsidR="00000000" w:rsidDel="00000000" w:rsidP="00000000" w:rsidRDefault="00000000" w:rsidRPr="00000000" w14:paraId="0000008B">
      <w:pPr>
        <w:rPr>
          <w:highlight w:val="white"/>
        </w:rPr>
      </w:pPr>
      <w:r w:rsidDel="00000000" w:rsidR="00000000" w:rsidRPr="00000000">
        <w:rPr>
          <w:rtl w:val="0"/>
        </w:rPr>
      </w:r>
    </w:p>
    <w:p w:rsidR="00000000" w:rsidDel="00000000" w:rsidP="00000000" w:rsidRDefault="00000000" w:rsidRPr="00000000" w14:paraId="0000008C">
      <w:pPr>
        <w:rPr>
          <w:highlight w:val="white"/>
        </w:rPr>
      </w:pPr>
      <w:r w:rsidDel="00000000" w:rsidR="00000000" w:rsidRPr="00000000">
        <w:rPr>
          <w:highlight w:val="white"/>
          <w:rtl w:val="0"/>
        </w:rPr>
        <w:t xml:space="preserve">Geiselman R.E., Fisher R.P., Amador M. (1989) </w:t>
      </w:r>
      <w:r w:rsidDel="00000000" w:rsidR="00000000" w:rsidRPr="00000000">
        <w:rPr>
          <w:i w:val="1"/>
          <w:highlight w:val="white"/>
          <w:rtl w:val="0"/>
        </w:rPr>
        <w:t xml:space="preserve">Field test of the Cognitive Interview: enhancing the recollection of actual victims and witnesses of crime</w:t>
      </w:r>
      <w:r w:rsidDel="00000000" w:rsidR="00000000" w:rsidRPr="00000000">
        <w:rPr>
          <w:highlight w:val="white"/>
          <w:rtl w:val="0"/>
        </w:rPr>
        <w:t xml:space="preserve">. J Appl Psychol. 1989 Oct;74(5):722-7. </w:t>
      </w:r>
    </w:p>
    <w:p w:rsidR="00000000" w:rsidDel="00000000" w:rsidP="00000000" w:rsidRDefault="00000000" w:rsidRPr="00000000" w14:paraId="0000008D">
      <w:pPr>
        <w:spacing w:after="240" w:before="240" w:lineRule="auto"/>
        <w:rPr/>
      </w:pPr>
      <w:r w:rsidDel="00000000" w:rsidR="00000000" w:rsidRPr="00000000">
        <w:rPr>
          <w:rtl w:val="0"/>
        </w:rPr>
        <w:t xml:space="preserve">Home Office (2022) </w:t>
      </w:r>
      <w:r w:rsidDel="00000000" w:rsidR="00000000" w:rsidRPr="00000000">
        <w:rPr>
          <w:i w:val="1"/>
          <w:rtl w:val="0"/>
        </w:rPr>
        <w:t xml:space="preserve">Youth justice statistics: 2021 to 2022 (accessible version)</w:t>
      </w:r>
      <w:r w:rsidDel="00000000" w:rsidR="00000000" w:rsidRPr="00000000">
        <w:rPr>
          <w:rtl w:val="0"/>
        </w:rPr>
        <w:t xml:space="preserve"> </w:t>
      </w:r>
      <w:r w:rsidDel="00000000" w:rsidR="00000000" w:rsidRPr="00000000">
        <w:rPr>
          <w:i w:val="1"/>
          <w:rtl w:val="0"/>
        </w:rPr>
        <w:t xml:space="preserve">GOV.UK</w:t>
      </w:r>
      <w:r w:rsidDel="00000000" w:rsidR="00000000" w:rsidRPr="00000000">
        <w:rPr>
          <w:rtl w:val="0"/>
        </w:rPr>
        <w:t xml:space="preserve">. Available at: https://www.gov.uk/government/statistics/youth-justice-statistics-2021-to-2022/youth-justice-statistics-2021-to-2022-accessible-version#proven-reoffending-by-children (Accessed: 04 March 2024). </w:t>
      </w:r>
    </w:p>
    <w:p w:rsidR="00000000" w:rsidDel="00000000" w:rsidP="00000000" w:rsidRDefault="00000000" w:rsidRPr="00000000" w14:paraId="0000008E">
      <w:pPr>
        <w:spacing w:after="240" w:before="240" w:lineRule="auto"/>
        <w:rPr/>
      </w:pPr>
      <w:r w:rsidDel="00000000" w:rsidR="00000000" w:rsidRPr="00000000">
        <w:rPr>
          <w:rtl w:val="0"/>
        </w:rPr>
        <w:t xml:space="preserve">House of Lords Library, (2022) </w:t>
      </w:r>
      <w:r w:rsidDel="00000000" w:rsidR="00000000" w:rsidRPr="00000000">
        <w:rPr>
          <w:i w:val="1"/>
          <w:rtl w:val="0"/>
        </w:rPr>
        <w:t xml:space="preserve">Crime and rehabilitation: An overview - house of lords library</w:t>
      </w:r>
      <w:r w:rsidDel="00000000" w:rsidR="00000000" w:rsidRPr="00000000">
        <w:rPr>
          <w:rtl w:val="0"/>
        </w:rPr>
        <w:t xml:space="preserve">. Available at: https://lordslibrary.parliament.uk/crime-and-rehabilitation-an-overview/ (Accessed: 04 March 2024). </w:t>
      </w:r>
    </w:p>
    <w:p w:rsidR="00000000" w:rsidDel="00000000" w:rsidP="00000000" w:rsidRDefault="00000000" w:rsidRPr="00000000" w14:paraId="0000008F">
      <w:pPr>
        <w:rPr/>
      </w:pPr>
      <w:r w:rsidDel="00000000" w:rsidR="00000000" w:rsidRPr="00000000">
        <w:rPr>
          <w:highlight w:val="white"/>
          <w:rtl w:val="0"/>
        </w:rPr>
        <w:t xml:space="preserve">Köhnken, Günter &amp; Milne, Rebecca &amp; Memon, Amina &amp; Bull, Ray. (1999). </w:t>
      </w:r>
      <w:r w:rsidDel="00000000" w:rsidR="00000000" w:rsidRPr="00000000">
        <w:rPr>
          <w:i w:val="1"/>
          <w:highlight w:val="white"/>
          <w:rtl w:val="0"/>
        </w:rPr>
        <w:t xml:space="preserve">The Cognitive Interview: A Meta-Analysis. Psychology Crime &amp; Law -</w:t>
      </w:r>
      <w:r w:rsidDel="00000000" w:rsidR="00000000" w:rsidRPr="00000000">
        <w:rPr>
          <w:highlight w:val="white"/>
          <w:rtl w:val="0"/>
        </w:rPr>
        <w:t xml:space="preserve"> PSYCHOL CRIME LAW. 5. 3-27. </w:t>
      </w: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Longford , G.P. (1996) </w:t>
      </w:r>
      <w:r w:rsidDel="00000000" w:rsidR="00000000" w:rsidRPr="00000000">
        <w:rPr>
          <w:i w:val="1"/>
          <w:rtl w:val="0"/>
        </w:rPr>
        <w:t xml:space="preserve">The use of the cognitive interview by police officers trained on the national investigative interviewing course</w:t>
      </w:r>
      <w:r w:rsidDel="00000000" w:rsidR="00000000" w:rsidRPr="00000000">
        <w:rPr>
          <w:rtl w:val="0"/>
        </w:rPr>
        <w:t xml:space="preserve">. Unpublished Masters dissertation, Institute of Police and Criminological Studies, University of Portsmouth.</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Lee, M. and Punch, M. (2004) </w:t>
      </w:r>
      <w:r w:rsidDel="00000000" w:rsidR="00000000" w:rsidRPr="00000000">
        <w:rPr>
          <w:i w:val="1"/>
          <w:rtl w:val="0"/>
        </w:rPr>
        <w:t xml:space="preserve">Policing by degrees: police officers’ experience of university education.</w:t>
      </w:r>
      <w:r w:rsidDel="00000000" w:rsidR="00000000" w:rsidRPr="00000000">
        <w:rPr>
          <w:rtl w:val="0"/>
        </w:rPr>
        <w:t xml:space="preserve"> Policing &amp; Society, 14, 3, 233–49.</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highlight w:val="white"/>
          <w:rtl w:val="0"/>
        </w:rPr>
        <w:t xml:space="preserve">Lumsden, K. (2017). ‘</w:t>
      </w:r>
      <w:r w:rsidDel="00000000" w:rsidR="00000000" w:rsidRPr="00000000">
        <w:rPr>
          <w:i w:val="1"/>
          <w:highlight w:val="white"/>
          <w:rtl w:val="0"/>
        </w:rPr>
        <w:t xml:space="preserve">It’s a Profession, it Isn’t a Job’: Police Officers’ Views on the Professionalisation of Policing in England.</w:t>
      </w:r>
      <w:r w:rsidDel="00000000" w:rsidR="00000000" w:rsidRPr="00000000">
        <w:rPr>
          <w:highlight w:val="white"/>
          <w:rtl w:val="0"/>
        </w:rPr>
        <w:t xml:space="preserve"> Sociological Research Online, </w:t>
      </w:r>
      <w:r w:rsidDel="00000000" w:rsidR="00000000" w:rsidRPr="00000000">
        <w:rPr>
          <w:i w:val="1"/>
          <w:highlight w:val="white"/>
          <w:rtl w:val="0"/>
        </w:rPr>
        <w:t xml:space="preserve">22</w:t>
      </w:r>
      <w:r w:rsidDel="00000000" w:rsidR="00000000" w:rsidRPr="00000000">
        <w:rPr>
          <w:highlight w:val="white"/>
          <w:rtl w:val="0"/>
        </w:rPr>
        <w:t xml:space="preserve">(3), 4-20. </w:t>
      </w:r>
      <w:r w:rsidDel="00000000" w:rsidR="00000000" w:rsidRPr="00000000">
        <w:rPr>
          <w:rtl w:val="0"/>
        </w:rPr>
      </w:r>
    </w:p>
    <w:p w:rsidR="00000000" w:rsidDel="00000000" w:rsidP="00000000" w:rsidRDefault="00000000" w:rsidRPr="00000000" w14:paraId="00000095">
      <w:pPr>
        <w:spacing w:after="240" w:before="240" w:lineRule="auto"/>
        <w:rPr/>
      </w:pPr>
      <w:r w:rsidDel="00000000" w:rsidR="00000000" w:rsidRPr="00000000">
        <w:rPr>
          <w:rtl w:val="0"/>
        </w:rPr>
        <w:t xml:space="preserve">National Centre for Police Excellence, (2005) </w:t>
      </w:r>
      <w:r w:rsidDel="00000000" w:rsidR="00000000" w:rsidRPr="00000000">
        <w:rPr>
          <w:i w:val="1"/>
          <w:rtl w:val="0"/>
        </w:rPr>
        <w:t xml:space="preserve">National Intelligence Model - Code of Practice</w:t>
      </w:r>
      <w:r w:rsidDel="00000000" w:rsidR="00000000" w:rsidRPr="00000000">
        <w:rPr>
          <w:rtl w:val="0"/>
        </w:rPr>
        <w:t xml:space="preserve">. Available at: https://library.college.police.uk/docs/npia/NIM-Code-of-Practice.pdf (Accessed: 04 March 2024). </w:t>
      </w:r>
    </w:p>
    <w:p w:rsidR="00000000" w:rsidDel="00000000" w:rsidP="00000000" w:rsidRDefault="00000000" w:rsidRPr="00000000" w14:paraId="00000096">
      <w:pPr>
        <w:rPr/>
      </w:pPr>
      <w:r w:rsidDel="00000000" w:rsidR="00000000" w:rsidRPr="00000000">
        <w:rPr>
          <w:rtl w:val="0"/>
        </w:rPr>
        <w:t xml:space="preserve">O'Connor, R. M., &amp; Waddell, S. (2015). What works to prevent gang involvement, youth violence and crime. A rapid review of interventions delivered in the UK and abroad. The Early Intervention Foundation, Home Office. </w:t>
      </w:r>
    </w:p>
    <w:p w:rsidR="00000000" w:rsidDel="00000000" w:rsidP="00000000" w:rsidRDefault="00000000" w:rsidRPr="00000000" w14:paraId="00000097">
      <w:pPr>
        <w:rPr>
          <w:highlight w:val="white"/>
        </w:rPr>
      </w:pPr>
      <w:r w:rsidDel="00000000" w:rsidR="00000000" w:rsidRPr="00000000">
        <w:rPr>
          <w:rtl w:val="0"/>
        </w:rPr>
      </w:r>
    </w:p>
    <w:p w:rsidR="00000000" w:rsidDel="00000000" w:rsidP="00000000" w:rsidRDefault="00000000" w:rsidRPr="00000000" w14:paraId="00000098">
      <w:pPr>
        <w:rPr>
          <w:highlight w:val="white"/>
        </w:rPr>
      </w:pPr>
      <w:r w:rsidDel="00000000" w:rsidR="00000000" w:rsidRPr="00000000">
        <w:rPr>
          <w:highlight w:val="white"/>
          <w:rtl w:val="0"/>
        </w:rPr>
        <w:t xml:space="preserve">Pannucci CJ, Wilkins EG. (2010) Identifying and avoiding bias in research. Plast Reconstr Surg. 2010 Aug;126(2):619-625.</w:t>
      </w:r>
    </w:p>
    <w:p w:rsidR="00000000" w:rsidDel="00000000" w:rsidP="00000000" w:rsidRDefault="00000000" w:rsidRPr="00000000" w14:paraId="00000099">
      <w:pPr>
        <w:rPr>
          <w:highlight w:val="white"/>
        </w:rPr>
      </w:pPr>
      <w:r w:rsidDel="00000000" w:rsidR="00000000" w:rsidRPr="00000000">
        <w:rPr>
          <w:rtl w:val="0"/>
        </w:rPr>
      </w:r>
    </w:p>
    <w:p w:rsidR="00000000" w:rsidDel="00000000" w:rsidP="00000000" w:rsidRDefault="00000000" w:rsidRPr="00000000" w14:paraId="0000009A">
      <w:pPr>
        <w:rPr>
          <w:highlight w:val="white"/>
        </w:rPr>
      </w:pPr>
      <w:r w:rsidDel="00000000" w:rsidR="00000000" w:rsidRPr="00000000">
        <w:rPr>
          <w:rtl w:val="0"/>
        </w:rPr>
        <w:t xml:space="preserve">Parker, L. Donnelly, M. Gerwitz, D. Marcus, J. and Kowalewski, V. (1976) </w:t>
      </w:r>
      <w:r w:rsidDel="00000000" w:rsidR="00000000" w:rsidRPr="00000000">
        <w:rPr>
          <w:i w:val="1"/>
          <w:rtl w:val="0"/>
        </w:rPr>
        <w:t xml:space="preserve">Higher education: its impact on police attitudes. </w:t>
      </w:r>
      <w:r w:rsidDel="00000000" w:rsidR="00000000" w:rsidRPr="00000000">
        <w:rPr>
          <w:rtl w:val="0"/>
        </w:rPr>
        <w:t xml:space="preserve">The Police Chief, 43, 7, 33-35. </w:t>
      </w:r>
      <w:r w:rsidDel="00000000" w:rsidR="00000000" w:rsidRPr="00000000">
        <w:rPr>
          <w:rtl w:val="0"/>
        </w:rPr>
      </w:r>
    </w:p>
    <w:p w:rsidR="00000000" w:rsidDel="00000000" w:rsidP="00000000" w:rsidRDefault="00000000" w:rsidRPr="00000000" w14:paraId="0000009B">
      <w:pPr>
        <w:rPr>
          <w:highlight w:val="white"/>
        </w:rPr>
      </w:pPr>
      <w:r w:rsidDel="00000000" w:rsidR="00000000" w:rsidRPr="00000000">
        <w:rPr>
          <w:rtl w:val="0"/>
        </w:rPr>
      </w:r>
    </w:p>
    <w:p w:rsidR="00000000" w:rsidDel="00000000" w:rsidP="00000000" w:rsidRDefault="00000000" w:rsidRPr="00000000" w14:paraId="0000009C">
      <w:pPr>
        <w:rPr>
          <w:highlight w:val="white"/>
        </w:rPr>
      </w:pPr>
      <w:r w:rsidDel="00000000" w:rsidR="00000000" w:rsidRPr="00000000">
        <w:rPr>
          <w:highlight w:val="white"/>
          <w:rtl w:val="0"/>
        </w:rPr>
        <w:t xml:space="preserve">Purba, A., Demou, E (2019). T</w:t>
      </w:r>
      <w:r w:rsidDel="00000000" w:rsidR="00000000" w:rsidRPr="00000000">
        <w:rPr>
          <w:i w:val="1"/>
          <w:highlight w:val="white"/>
          <w:rtl w:val="0"/>
        </w:rPr>
        <w:t xml:space="preserve">he relationship between organisational stressors and mental wellbeing within police officers: a systematic review</w:t>
      </w:r>
      <w:r w:rsidDel="00000000" w:rsidR="00000000" w:rsidRPr="00000000">
        <w:rPr>
          <w:highlight w:val="white"/>
          <w:rtl w:val="0"/>
        </w:rPr>
        <w:t xml:space="preserve">. BMC Public Health 19, 1286 (2019). </w:t>
      </w:r>
    </w:p>
    <w:p w:rsidR="00000000" w:rsidDel="00000000" w:rsidP="00000000" w:rsidRDefault="00000000" w:rsidRPr="00000000" w14:paraId="0000009D">
      <w:pPr>
        <w:rPr>
          <w:highlight w:val="white"/>
        </w:rPr>
      </w:pPr>
      <w:r w:rsidDel="00000000" w:rsidR="00000000" w:rsidRPr="00000000">
        <w:rPr>
          <w:rtl w:val="0"/>
        </w:rPr>
      </w:r>
    </w:p>
    <w:p w:rsidR="00000000" w:rsidDel="00000000" w:rsidP="00000000" w:rsidRDefault="00000000" w:rsidRPr="00000000" w14:paraId="0000009E">
      <w:pPr>
        <w:rPr>
          <w:highlight w:val="white"/>
        </w:rPr>
      </w:pPr>
      <w:r w:rsidDel="00000000" w:rsidR="00000000" w:rsidRPr="00000000">
        <w:rPr>
          <w:highlight w:val="white"/>
          <w:rtl w:val="0"/>
        </w:rPr>
        <w:t xml:space="preserve">Reavis J.A, Looman J, Franco K.A, Rojas B. (2013) </w:t>
      </w:r>
      <w:r w:rsidDel="00000000" w:rsidR="00000000" w:rsidRPr="00000000">
        <w:rPr>
          <w:i w:val="1"/>
          <w:highlight w:val="white"/>
          <w:rtl w:val="0"/>
        </w:rPr>
        <w:t xml:space="preserve">Adverse childhood experiences and adult criminality: how long must we live before we possess our own lives?</w:t>
      </w:r>
      <w:r w:rsidDel="00000000" w:rsidR="00000000" w:rsidRPr="00000000">
        <w:rPr>
          <w:highlight w:val="white"/>
          <w:rtl w:val="0"/>
        </w:rPr>
        <w:t xml:space="preserve"> Perm J. 2013 Spring;17(2):44-8. </w:t>
      </w:r>
    </w:p>
    <w:p w:rsidR="00000000" w:rsidDel="00000000" w:rsidP="00000000" w:rsidRDefault="00000000" w:rsidRPr="00000000" w14:paraId="0000009F">
      <w:pPr>
        <w:rPr>
          <w:highlight w:val="white"/>
        </w:rPr>
      </w:pPr>
      <w:r w:rsidDel="00000000" w:rsidR="00000000" w:rsidRPr="00000000">
        <w:rPr>
          <w:rtl w:val="0"/>
        </w:rPr>
      </w:r>
    </w:p>
    <w:p w:rsidR="00000000" w:rsidDel="00000000" w:rsidP="00000000" w:rsidRDefault="00000000" w:rsidRPr="00000000" w14:paraId="000000A0">
      <w:pPr>
        <w:rPr>
          <w:highlight w:val="white"/>
        </w:rPr>
      </w:pPr>
      <w:r w:rsidDel="00000000" w:rsidR="00000000" w:rsidRPr="00000000">
        <w:rPr>
          <w:highlight w:val="white"/>
          <w:rtl w:val="0"/>
        </w:rPr>
        <w:t xml:space="preserve">Renze Salet, Jan Terpstra, (2014) Critical Review in Criminal Investigation: Evaluation of a Measure to Prevent Tunnel Vision, </w:t>
      </w:r>
      <w:r w:rsidDel="00000000" w:rsidR="00000000" w:rsidRPr="00000000">
        <w:rPr>
          <w:i w:val="1"/>
          <w:highlight w:val="white"/>
          <w:rtl w:val="0"/>
        </w:rPr>
        <w:t xml:space="preserve">Policing: A Journal of Policy and Practice</w:t>
      </w:r>
      <w:r w:rsidDel="00000000" w:rsidR="00000000" w:rsidRPr="00000000">
        <w:rPr>
          <w:highlight w:val="white"/>
          <w:rtl w:val="0"/>
        </w:rPr>
        <w:t xml:space="preserve">, Volume 8, Issue 1, March 2014, Pages 43–50.</w:t>
      </w:r>
    </w:p>
    <w:p w:rsidR="00000000" w:rsidDel="00000000" w:rsidP="00000000" w:rsidRDefault="00000000" w:rsidRPr="00000000" w14:paraId="000000A1">
      <w:pPr>
        <w:rPr>
          <w:highlight w:val="white"/>
        </w:rPr>
      </w:pPr>
      <w:r w:rsidDel="00000000" w:rsidR="00000000" w:rsidRPr="00000000">
        <w:rPr>
          <w:rtl w:val="0"/>
        </w:rPr>
      </w:r>
    </w:p>
    <w:p w:rsidR="00000000" w:rsidDel="00000000" w:rsidP="00000000" w:rsidRDefault="00000000" w:rsidRPr="00000000" w14:paraId="000000A2">
      <w:pPr>
        <w:rPr>
          <w:highlight w:val="white"/>
        </w:rPr>
      </w:pPr>
      <w:hyperlink r:id="rId6">
        <w:r w:rsidDel="00000000" w:rsidR="00000000" w:rsidRPr="00000000">
          <w:rPr>
            <w:highlight w:val="white"/>
            <w:rtl w:val="0"/>
          </w:rPr>
          <w:t xml:space="preserve">Roberg, R.</w:t>
        </w:r>
      </w:hyperlink>
      <w:r w:rsidDel="00000000" w:rsidR="00000000" w:rsidRPr="00000000">
        <w:rPr>
          <w:highlight w:val="white"/>
          <w:rtl w:val="0"/>
        </w:rPr>
        <w:t xml:space="preserve"> and </w:t>
      </w:r>
      <w:hyperlink r:id="rId7">
        <w:r w:rsidDel="00000000" w:rsidR="00000000" w:rsidRPr="00000000">
          <w:rPr>
            <w:highlight w:val="white"/>
            <w:rtl w:val="0"/>
          </w:rPr>
          <w:t xml:space="preserve">Bonn, S.</w:t>
        </w:r>
      </w:hyperlink>
      <w:r w:rsidDel="00000000" w:rsidR="00000000" w:rsidRPr="00000000">
        <w:rPr>
          <w:highlight w:val="white"/>
          <w:rtl w:val="0"/>
        </w:rPr>
        <w:t xml:space="preserve"> (2004),</w:t>
      </w:r>
      <w:r w:rsidDel="00000000" w:rsidR="00000000" w:rsidRPr="00000000">
        <w:rPr>
          <w:i w:val="1"/>
          <w:highlight w:val="white"/>
          <w:rtl w:val="0"/>
        </w:rPr>
        <w:t xml:space="preserve"> "Higher education and policing: where are we now?"</w:t>
      </w:r>
      <w:r w:rsidDel="00000000" w:rsidR="00000000" w:rsidRPr="00000000">
        <w:rPr>
          <w:highlight w:val="white"/>
          <w:rtl w:val="0"/>
        </w:rPr>
        <w:t xml:space="preserve">, </w:t>
      </w:r>
      <w:hyperlink r:id="rId8">
        <w:r w:rsidDel="00000000" w:rsidR="00000000" w:rsidRPr="00000000">
          <w:rPr>
            <w:highlight w:val="white"/>
            <w:rtl w:val="0"/>
          </w:rPr>
          <w:t xml:space="preserve">Policing: An International Journal</w:t>
        </w:r>
      </w:hyperlink>
      <w:r w:rsidDel="00000000" w:rsidR="00000000" w:rsidRPr="00000000">
        <w:rPr>
          <w:highlight w:val="white"/>
          <w:rtl w:val="0"/>
        </w:rPr>
        <w:t xml:space="preserve">, Vol. 27 No. 4, pp. 469-486.</w:t>
      </w:r>
    </w:p>
    <w:p w:rsidR="00000000" w:rsidDel="00000000" w:rsidP="00000000" w:rsidRDefault="00000000" w:rsidRPr="00000000" w14:paraId="000000A3">
      <w:pPr>
        <w:rPr>
          <w:highlight w:val="white"/>
        </w:rPr>
      </w:pPr>
      <w:r w:rsidDel="00000000" w:rsidR="00000000" w:rsidRPr="00000000">
        <w:rPr>
          <w:rtl w:val="0"/>
        </w:rPr>
      </w:r>
    </w:p>
    <w:p w:rsidR="00000000" w:rsidDel="00000000" w:rsidP="00000000" w:rsidRDefault="00000000" w:rsidRPr="00000000" w14:paraId="000000A4">
      <w:pPr>
        <w:rPr>
          <w:highlight w:val="white"/>
        </w:rPr>
      </w:pPr>
      <w:r w:rsidDel="00000000" w:rsidR="00000000" w:rsidRPr="00000000">
        <w:rPr>
          <w:highlight w:val="white"/>
          <w:rtl w:val="0"/>
        </w:rPr>
        <w:t xml:space="preserve">Roxana Willis (2016) </w:t>
      </w:r>
      <w:r w:rsidDel="00000000" w:rsidR="00000000" w:rsidRPr="00000000">
        <w:rPr>
          <w:i w:val="1"/>
          <w:highlight w:val="white"/>
          <w:rtl w:val="0"/>
        </w:rPr>
        <w:t xml:space="preserve">Three approaches to community in restorative justice, explored through a young person’s experiences of a youth offender team in England</w:t>
      </w:r>
      <w:r w:rsidDel="00000000" w:rsidR="00000000" w:rsidRPr="00000000">
        <w:rPr>
          <w:highlight w:val="white"/>
          <w:rtl w:val="0"/>
        </w:rPr>
        <w:t xml:space="preserve">, Restorative Justice, 4:2, 168-194</w:t>
      </w:r>
    </w:p>
    <w:p w:rsidR="00000000" w:rsidDel="00000000" w:rsidP="00000000" w:rsidRDefault="00000000" w:rsidRPr="00000000" w14:paraId="000000A5">
      <w:pPr>
        <w:rPr>
          <w:highlight w:val="white"/>
        </w:rPr>
      </w:pPr>
      <w:r w:rsidDel="00000000" w:rsidR="00000000" w:rsidRPr="00000000">
        <w:rPr>
          <w:rtl w:val="0"/>
        </w:rPr>
      </w:r>
    </w:p>
    <w:p w:rsidR="00000000" w:rsidDel="00000000" w:rsidP="00000000" w:rsidRDefault="00000000" w:rsidRPr="00000000" w14:paraId="000000A6">
      <w:pPr>
        <w:rPr>
          <w:highlight w:val="white"/>
        </w:rPr>
      </w:pPr>
      <w:r w:rsidDel="00000000" w:rsidR="00000000" w:rsidRPr="00000000">
        <w:rPr>
          <w:rtl w:val="0"/>
        </w:rPr>
        <w:t xml:space="preserve">Schein, E.H. (1983) </w:t>
      </w:r>
      <w:r w:rsidDel="00000000" w:rsidR="00000000" w:rsidRPr="00000000">
        <w:rPr>
          <w:i w:val="1"/>
          <w:rtl w:val="0"/>
        </w:rPr>
        <w:t xml:space="preserve">Organisational culture: a dynamic model</w:t>
      </w:r>
      <w:r w:rsidDel="00000000" w:rsidR="00000000" w:rsidRPr="00000000">
        <w:rPr>
          <w:rtl w:val="0"/>
        </w:rPr>
        <w:t xml:space="preserve">, </w:t>
      </w:r>
      <w:r w:rsidDel="00000000" w:rsidR="00000000" w:rsidRPr="00000000">
        <w:rPr>
          <w:highlight w:val="white"/>
          <w:rtl w:val="0"/>
        </w:rPr>
        <w:t xml:space="preserve">Issue 83, Volume 412 of Working paper (Alfred P. Sloan School of Management)</w:t>
      </w:r>
    </w:p>
    <w:p w:rsidR="00000000" w:rsidDel="00000000" w:rsidP="00000000" w:rsidRDefault="00000000" w:rsidRPr="00000000" w14:paraId="000000A7">
      <w:pPr>
        <w:rPr>
          <w:highlight w:val="white"/>
        </w:rPr>
      </w:pPr>
      <w:r w:rsidDel="00000000" w:rsidR="00000000" w:rsidRPr="00000000">
        <w:rPr>
          <w:rtl w:val="0"/>
        </w:rPr>
      </w:r>
    </w:p>
    <w:p w:rsidR="00000000" w:rsidDel="00000000" w:rsidP="00000000" w:rsidRDefault="00000000" w:rsidRPr="00000000" w14:paraId="000000A8">
      <w:pPr>
        <w:rPr>
          <w:highlight w:val="white"/>
        </w:rPr>
      </w:pPr>
      <w:r w:rsidDel="00000000" w:rsidR="00000000" w:rsidRPr="00000000">
        <w:rPr>
          <w:highlight w:val="white"/>
          <w:rtl w:val="0"/>
        </w:rPr>
        <w:t xml:space="preserve">Sobel, H., Trankell, A. (1973) </w:t>
      </w:r>
      <w:r w:rsidDel="00000000" w:rsidR="00000000" w:rsidRPr="00000000">
        <w:rPr>
          <w:i w:val="1"/>
          <w:highlight w:val="white"/>
          <w:rtl w:val="0"/>
        </w:rPr>
        <w:t xml:space="preserve">"Eye-Witness Identification: Legal and Practical Problems</w:t>
      </w:r>
      <w:r w:rsidDel="00000000" w:rsidR="00000000" w:rsidRPr="00000000">
        <w:rPr>
          <w:highlight w:val="white"/>
          <w:rtl w:val="0"/>
        </w:rPr>
        <w:t xml:space="preserve">, by Nathan Sobel; </w:t>
      </w:r>
      <w:r w:rsidDel="00000000" w:rsidR="00000000" w:rsidRPr="00000000">
        <w:rPr>
          <w:i w:val="1"/>
          <w:highlight w:val="white"/>
          <w:rtl w:val="0"/>
        </w:rPr>
        <w:t xml:space="preserve">Reliability of Evidence</w:t>
      </w:r>
      <w:r w:rsidDel="00000000" w:rsidR="00000000" w:rsidRPr="00000000">
        <w:rPr>
          <w:highlight w:val="white"/>
          <w:rtl w:val="0"/>
        </w:rPr>
        <w:t xml:space="preserve">, by Arne Trankell,"</w:t>
      </w:r>
      <w:r w:rsidDel="00000000" w:rsidR="00000000" w:rsidRPr="00000000">
        <w:rPr>
          <w:i w:val="1"/>
          <w:highlight w:val="white"/>
          <w:rtl w:val="0"/>
        </w:rPr>
        <w:t xml:space="preserve"> Indiana Law Journal</w:t>
      </w:r>
      <w:r w:rsidDel="00000000" w:rsidR="00000000" w:rsidRPr="00000000">
        <w:rPr>
          <w:highlight w:val="white"/>
          <w:rtl w:val="0"/>
        </w:rPr>
        <w:t xml:space="preserve">: Vol. 48: Iss. 3, Article 11.</w:t>
      </w:r>
    </w:p>
    <w:p w:rsidR="00000000" w:rsidDel="00000000" w:rsidP="00000000" w:rsidRDefault="00000000" w:rsidRPr="00000000" w14:paraId="000000A9">
      <w:pPr>
        <w:spacing w:after="240" w:before="240" w:lineRule="auto"/>
        <w:rPr/>
      </w:pPr>
      <w:r w:rsidDel="00000000" w:rsidR="00000000" w:rsidRPr="00000000">
        <w:rPr>
          <w:rtl w:val="0"/>
        </w:rPr>
        <w:t xml:space="preserve">SVRU (2022) </w:t>
      </w:r>
      <w:r w:rsidDel="00000000" w:rsidR="00000000" w:rsidRPr="00000000">
        <w:rPr>
          <w:i w:val="1"/>
          <w:rtl w:val="0"/>
        </w:rPr>
        <w:t xml:space="preserve">Effectiveness of approaches to prevent re-offending in ...</w:t>
      </w:r>
      <w:r w:rsidDel="00000000" w:rsidR="00000000" w:rsidRPr="00000000">
        <w:rPr>
          <w:rtl w:val="0"/>
        </w:rPr>
        <w:t xml:space="preserve">, </w:t>
      </w:r>
      <w:r w:rsidDel="00000000" w:rsidR="00000000" w:rsidRPr="00000000">
        <w:rPr>
          <w:i w:val="1"/>
          <w:rtl w:val="0"/>
        </w:rPr>
        <w:t xml:space="preserve">Youth Offending Evidence Review</w:t>
      </w:r>
      <w:r w:rsidDel="00000000" w:rsidR="00000000" w:rsidRPr="00000000">
        <w:rPr>
          <w:rtl w:val="0"/>
        </w:rPr>
        <w:t xml:space="preserve">. Available at: https://www.svru.co.uk/wp-content/uploads/2022/05/Martina-Manica-Approaches-to-reducing-violent-youth-offending-Evidence-Review-.pdf (Accessed: 04 March 2024). </w:t>
      </w:r>
    </w:p>
    <w:p w:rsidR="00000000" w:rsidDel="00000000" w:rsidP="00000000" w:rsidRDefault="00000000" w:rsidRPr="00000000" w14:paraId="000000AA">
      <w:pPr>
        <w:rPr>
          <w:highlight w:val="white"/>
        </w:rPr>
      </w:pPr>
      <w:r w:rsidDel="00000000" w:rsidR="00000000" w:rsidRPr="00000000">
        <w:rPr>
          <w:highlight w:val="white"/>
          <w:rtl w:val="0"/>
        </w:rPr>
        <w:t xml:space="preserve">Weaver, B. (2015). </w:t>
      </w:r>
      <w:r w:rsidDel="00000000" w:rsidR="00000000" w:rsidRPr="00000000">
        <w:rPr>
          <w:i w:val="1"/>
          <w:highlight w:val="white"/>
          <w:rtl w:val="0"/>
        </w:rPr>
        <w:t xml:space="preserve">Offending and desistance: the importance of social relations</w:t>
      </w:r>
      <w:r w:rsidDel="00000000" w:rsidR="00000000" w:rsidRPr="00000000">
        <w:rPr>
          <w:highlight w:val="white"/>
          <w:rtl w:val="0"/>
        </w:rPr>
        <w:t xml:space="preserve">. New York: Routledge.</w:t>
      </w:r>
    </w:p>
    <w:p w:rsidR="00000000" w:rsidDel="00000000" w:rsidP="00000000" w:rsidRDefault="00000000" w:rsidRPr="00000000" w14:paraId="000000AB">
      <w:pPr>
        <w:rPr>
          <w:highlight w:val="white"/>
        </w:rPr>
      </w:pPr>
      <w:r w:rsidDel="00000000" w:rsidR="00000000" w:rsidRPr="00000000">
        <w:rPr>
          <w:rtl w:val="0"/>
        </w:rPr>
      </w:r>
    </w:p>
    <w:p w:rsidR="00000000" w:rsidDel="00000000" w:rsidP="00000000" w:rsidRDefault="00000000" w:rsidRPr="00000000" w14:paraId="000000AC">
      <w:pPr>
        <w:rPr>
          <w:highlight w:val="white"/>
        </w:rPr>
      </w:pPr>
      <w:r w:rsidDel="00000000" w:rsidR="00000000" w:rsidRPr="00000000">
        <w:rPr>
          <w:rtl w:val="0"/>
        </w:rPr>
        <w:t xml:space="preserve">Worden, R.E. (1990), </w:t>
      </w:r>
      <w:r w:rsidDel="00000000" w:rsidR="00000000" w:rsidRPr="00000000">
        <w:rPr>
          <w:i w:val="1"/>
          <w:rtl w:val="0"/>
        </w:rPr>
        <w:t xml:space="preserve">“A badge and a baccalaureate: policies, hypotheses, and further evidence”</w:t>
      </w:r>
      <w:r w:rsidDel="00000000" w:rsidR="00000000" w:rsidRPr="00000000">
        <w:rPr>
          <w:rtl w:val="0"/>
        </w:rPr>
        <w:t xml:space="preserve">, Justice Quarterly, Vol. 7 No. 3, pp. 565-592</w:t>
      </w:r>
      <w:r w:rsidDel="00000000" w:rsidR="00000000" w:rsidRPr="00000000">
        <w:rPr>
          <w:rtl w:val="0"/>
        </w:rPr>
      </w:r>
    </w:p>
    <w:p w:rsidR="00000000" w:rsidDel="00000000" w:rsidP="00000000" w:rsidRDefault="00000000" w:rsidRPr="00000000" w14:paraId="000000AD">
      <w:pPr>
        <w:rPr>
          <w:highlight w:val="white"/>
        </w:rPr>
      </w:pPr>
      <w:r w:rsidDel="00000000" w:rsidR="00000000" w:rsidRPr="00000000">
        <w:rPr>
          <w:rtl w:val="0"/>
        </w:rPr>
      </w:r>
    </w:p>
    <w:p w:rsidR="00000000" w:rsidDel="00000000" w:rsidP="00000000" w:rsidRDefault="00000000" w:rsidRPr="00000000" w14:paraId="000000AE">
      <w:pPr>
        <w:rPr>
          <w:highlight w:val="white"/>
        </w:rPr>
      </w:pPr>
      <w:r w:rsidDel="00000000" w:rsidR="00000000" w:rsidRPr="00000000">
        <w:rPr>
          <w:highlight w:val="white"/>
          <w:rtl w:val="0"/>
        </w:rPr>
        <w:t xml:space="preserve">Wright A.M., Holliday R.E. (2007). </w:t>
      </w:r>
      <w:r w:rsidDel="00000000" w:rsidR="00000000" w:rsidRPr="00000000">
        <w:rPr>
          <w:i w:val="1"/>
          <w:highlight w:val="white"/>
          <w:rtl w:val="0"/>
        </w:rPr>
        <w:t xml:space="preserve">Interviewing cognitively impaired older adults: how useful is a cognitive interview</w:t>
      </w:r>
      <w:r w:rsidDel="00000000" w:rsidR="00000000" w:rsidRPr="00000000">
        <w:rPr>
          <w:highlight w:val="white"/>
          <w:rtl w:val="0"/>
        </w:rPr>
        <w:t xml:space="preserve">? Memory. 2007 Jan;15(1):17-33. </w:t>
      </w:r>
    </w:p>
    <w:p w:rsidR="00000000" w:rsidDel="00000000" w:rsidP="00000000" w:rsidRDefault="00000000" w:rsidRPr="00000000" w14:paraId="000000AF">
      <w:pPr>
        <w:rPr>
          <w:highlight w:val="white"/>
        </w:rPr>
      </w:pPr>
      <w:r w:rsidDel="00000000" w:rsidR="00000000" w:rsidRPr="00000000">
        <w:rPr>
          <w:rtl w:val="0"/>
        </w:rPr>
      </w:r>
    </w:p>
    <w:p w:rsidR="00000000" w:rsidDel="00000000" w:rsidP="00000000" w:rsidRDefault="00000000" w:rsidRPr="00000000" w14:paraId="000000B0">
      <w:pPr>
        <w:spacing w:after="240" w:before="240" w:lineRule="auto"/>
        <w:rPr/>
      </w:pPr>
      <w:r w:rsidDel="00000000" w:rsidR="00000000" w:rsidRPr="00000000">
        <w:rPr>
          <w:rtl w:val="0"/>
        </w:rPr>
      </w:r>
    </w:p>
    <w:p w:rsidR="00000000" w:rsidDel="00000000" w:rsidP="00000000" w:rsidRDefault="00000000" w:rsidRPr="00000000" w14:paraId="000000B1">
      <w:pPr>
        <w:spacing w:after="240" w:before="240" w:lineRule="auto"/>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emerald.com/insight/search?q=Roy%20Roberg" TargetMode="External"/><Relationship Id="rId7" Type="http://schemas.openxmlformats.org/officeDocument/2006/relationships/hyperlink" Target="https://www.emerald.com/insight/search?q=Scott%20Bonn" TargetMode="External"/><Relationship Id="rId8" Type="http://schemas.openxmlformats.org/officeDocument/2006/relationships/hyperlink" Target="https://www.emerald.com/insight/publication/issn/1363-951X"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