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70ADD" w14:textId="77777777" w:rsidR="008C383A" w:rsidRDefault="008C383A">
      <w:pPr>
        <w:rPr>
          <w:sz w:val="24"/>
          <w:u w:val="single"/>
        </w:rPr>
      </w:pPr>
      <w:r w:rsidRPr="008C383A">
        <w:rPr>
          <w:sz w:val="24"/>
          <w:u w:val="single"/>
        </w:rPr>
        <w:t>Ancient Erotic Poetry: Gobbet 2: Propertius 4.3:</w:t>
      </w:r>
    </w:p>
    <w:p w14:paraId="2E188957" w14:textId="77777777" w:rsidR="00142830" w:rsidRDefault="008C383A">
      <w:r>
        <w:t>Latin love elegy provides scholars with endless questions to investigate. Is the mistress based on someone real and tangible?</w:t>
      </w:r>
      <w:r w:rsidR="005B7698">
        <w:t xml:space="preserve"> To what degree is the eroticism a rebellion against hard hitting moral legislation? How was the genre developed</w:t>
      </w:r>
      <w:r w:rsidR="00142830">
        <w:t xml:space="preserve"> </w:t>
      </w:r>
      <w:r w:rsidR="005B7698">
        <w:t xml:space="preserve">and </w:t>
      </w:r>
      <w:r w:rsidR="00142830">
        <w:t>who by</w:t>
      </w:r>
      <w:r w:rsidR="005B7698">
        <w:t xml:space="preserve">? Such questions have served scholars as motivation for countless interpretations, debates and controversies. </w:t>
      </w:r>
      <w:r w:rsidR="00142830">
        <w:t>Perhaps o</w:t>
      </w:r>
      <w:r w:rsidR="005B7698">
        <w:t xml:space="preserve">ne of the most perplexing collections comes from the poet Propertius in his, </w:t>
      </w:r>
      <w:r w:rsidR="005B7698">
        <w:rPr>
          <w:i/>
        </w:rPr>
        <w:t>Elegies: Book 4.</w:t>
      </w:r>
      <w:r w:rsidR="005B7698">
        <w:t xml:space="preserve"> Whilst some regard this final book of elegiac poetry, “thoroughly bad”,</w:t>
      </w:r>
      <w:r w:rsidR="005B7698">
        <w:rPr>
          <w:rStyle w:val="FootnoteReference"/>
        </w:rPr>
        <w:footnoteReference w:id="1"/>
      </w:r>
      <w:r w:rsidR="005B7698">
        <w:t xml:space="preserve"> others praise it </w:t>
      </w:r>
      <w:r w:rsidR="00142830">
        <w:t>for being the work of a, “restless pioneer”.</w:t>
      </w:r>
      <w:r w:rsidR="00142830">
        <w:rPr>
          <w:rStyle w:val="FootnoteReference"/>
        </w:rPr>
        <w:footnoteReference w:id="2"/>
      </w:r>
      <w:r w:rsidR="00142830">
        <w:t xml:space="preserve"> Clearly then this book and the poems held within, indeed the poet himself, offer ample opportunity for closer analysis. The passage to be investigated here comes from the third poem of book four and in</w:t>
      </w:r>
      <w:r w:rsidR="00DE62FB">
        <w:t xml:space="preserve"> order for</w:t>
      </w:r>
      <w:r w:rsidR="00142830">
        <w:t xml:space="preserve"> sufficient analysis context is required. </w:t>
      </w:r>
    </w:p>
    <w:p w14:paraId="7E59AC43" w14:textId="742DDF1F" w:rsidR="00DE62FB" w:rsidRDefault="00142830">
      <w:r>
        <w:t>The entirety of book four can initially seem out of place within the wider scope of Pr</w:t>
      </w:r>
      <w:r w:rsidR="004045EF">
        <w:t>opertius’ elegiac work.</w:t>
      </w:r>
      <w:r w:rsidR="00837591">
        <w:rPr>
          <w:rStyle w:val="FootnoteReference"/>
        </w:rPr>
        <w:footnoteReference w:id="3"/>
      </w:r>
      <w:r w:rsidR="004045EF">
        <w:t xml:space="preserve"> Having lost his ‘sweetheart’ (2.8.1-2) as inspiration</w:t>
      </w:r>
      <w:r w:rsidR="005F284E">
        <w:t xml:space="preserve"> in book three,</w:t>
      </w:r>
      <w:r w:rsidR="004045EF">
        <w:t xml:space="preserve"> following his </w:t>
      </w:r>
      <w:r w:rsidR="005F284E">
        <w:t>renunciation</w:t>
      </w:r>
      <w:r w:rsidR="004045EF">
        <w:t xml:space="preserve"> of her, he turns his </w:t>
      </w:r>
      <w:r w:rsidR="005F284E">
        <w:t>attention and therefore his poetry</w:t>
      </w:r>
      <w:r w:rsidR="004045EF">
        <w:t xml:space="preserve"> to broader topics.</w:t>
      </w:r>
      <w:r w:rsidR="005F284E">
        <w:t xml:space="preserve"> Now the focus is to be on aetiological poetry with an emphasis on, ‘rites and deities and ancient names’ (4.1.68-70). Such subject matters are arguably better suited to </w:t>
      </w:r>
      <w:r w:rsidR="00C354E6">
        <w:t xml:space="preserve">other </w:t>
      </w:r>
      <w:r w:rsidR="005F284E">
        <w:t>genre</w:t>
      </w:r>
      <w:r w:rsidR="00C354E6">
        <w:t xml:space="preserve">s, epic for example. Propertius </w:t>
      </w:r>
      <w:r w:rsidR="005F284E">
        <w:t>is</w:t>
      </w:r>
      <w:r w:rsidR="00C354E6">
        <w:t xml:space="preserve"> attempting something both</w:t>
      </w:r>
      <w:r w:rsidR="005F284E">
        <w:t xml:space="preserve"> </w:t>
      </w:r>
      <w:r w:rsidR="00C354E6">
        <w:t xml:space="preserve">unusual and </w:t>
      </w:r>
      <w:r w:rsidR="005F284E">
        <w:t>unexpected</w:t>
      </w:r>
      <w:r w:rsidR="00C354E6">
        <w:t>. Himself and his readers would have been very aware of the inherent</w:t>
      </w:r>
      <w:r w:rsidR="00C354E6" w:rsidRPr="00C354E6">
        <w:t xml:space="preserve"> </w:t>
      </w:r>
      <w:r w:rsidR="00C354E6">
        <w:t xml:space="preserve">contradiction caused by a love elegist undertaking such a task. The </w:t>
      </w:r>
      <w:proofErr w:type="spellStart"/>
      <w:r w:rsidR="00C354E6">
        <w:rPr>
          <w:i/>
        </w:rPr>
        <w:t>rescusatio</w:t>
      </w:r>
      <w:proofErr w:type="spellEnd"/>
      <w:r w:rsidR="00C354E6">
        <w:rPr>
          <w:i/>
        </w:rPr>
        <w:t xml:space="preserve"> </w:t>
      </w:r>
      <w:r w:rsidR="00C354E6">
        <w:t>(refusal) is a standard motif of the genre of love elegy and one</w:t>
      </w:r>
      <w:r w:rsidR="00837591">
        <w:t xml:space="preserve"> in</w:t>
      </w:r>
      <w:r w:rsidR="00C354E6">
        <w:t xml:space="preserve"> which Propertius had himself partaken</w:t>
      </w:r>
      <w:r w:rsidR="00837591">
        <w:t>.</w:t>
      </w:r>
      <w:r w:rsidR="00837591">
        <w:rPr>
          <w:rStyle w:val="FootnoteReference"/>
        </w:rPr>
        <w:footnoteReference w:id="4"/>
      </w:r>
      <w:r w:rsidR="00DE62FB">
        <w:t xml:space="preserve"> It is arguably somewhat bizarre</w:t>
      </w:r>
      <w:r w:rsidR="00DE62FB" w:rsidRPr="00DE62FB">
        <w:t xml:space="preserve"> </w:t>
      </w:r>
      <w:r w:rsidR="00DE62FB">
        <w:t>then</w:t>
      </w:r>
      <w:r w:rsidR="00091380">
        <w:t>,</w:t>
      </w:r>
      <w:r w:rsidR="00DE62FB">
        <w:t xml:space="preserve"> that he now begins to write about that which he had previously declared himself unable. Having drawn attention to this conflict of generic interest</w:t>
      </w:r>
      <w:r w:rsidR="00C16D8C">
        <w:t>,</w:t>
      </w:r>
      <w:r w:rsidR="00DE62FB">
        <w:t xml:space="preserve"> Propertius then uses it as the central basis for book 4. He continues to combine and contrast elegiac and epic themes and stylistic features. It is for this reason some consider book four an experimentation in the, “poetics of polarity”.</w:t>
      </w:r>
      <w:r w:rsidR="00DE62FB">
        <w:rPr>
          <w:rStyle w:val="FootnoteReference"/>
        </w:rPr>
        <w:footnoteReference w:id="5"/>
      </w:r>
      <w:r w:rsidR="00C16D8C">
        <w:t xml:space="preserve"> It is pertinent to keep this in mind when reading any poem of book four and so too for analysing our passage.</w:t>
      </w:r>
    </w:p>
    <w:p w14:paraId="5132887D" w14:textId="5590251D" w:rsidR="00C57494" w:rsidRDefault="00C16D8C">
      <w:r>
        <w:t xml:space="preserve">The third poem, from which we get our passage, is presented as a letter written by Arethusa to </w:t>
      </w:r>
      <w:proofErr w:type="spellStart"/>
      <w:r>
        <w:t>Lycotas</w:t>
      </w:r>
      <w:proofErr w:type="spellEnd"/>
      <w:r>
        <w:t>.</w:t>
      </w:r>
      <w:r w:rsidR="00011C8D">
        <w:t xml:space="preserve"> </w:t>
      </w:r>
      <w:r w:rsidR="00C57494">
        <w:t>Whilst the style of the poem, being written in first person, invites the reader to imagine this as a genuine message from a female narrator, care should be taken to remember the real author behind such work is in fact Propertius.</w:t>
      </w:r>
      <w:r w:rsidR="00011C8D">
        <w:t xml:space="preserve"> Despite being a poem containing a love letter, Propertius is able to remain within the constraints of his new subject matter, a blending of aetiological and amorous elegy, through an emphasis placed on military matters.</w:t>
      </w:r>
      <w:r w:rsidR="00011C8D" w:rsidRPr="00011C8D">
        <w:t xml:space="preserve"> </w:t>
      </w:r>
      <w:r w:rsidR="00011C8D">
        <w:t>It seems that Arethusa’s lover, possibly her husband, has left on a military campaign and been gone for a number of years. The passage includes a list of Arethusa</w:t>
      </w:r>
      <w:r w:rsidR="00091380">
        <w:t>’s</w:t>
      </w:r>
      <w:r w:rsidR="00011C8D">
        <w:t xml:space="preserve"> efforts to remain involved in her lover’s life despite this.</w:t>
      </w:r>
    </w:p>
    <w:p w14:paraId="1AAB10E2" w14:textId="77777777" w:rsidR="00067771" w:rsidRDefault="00C57494">
      <w:r>
        <w:t xml:space="preserve">Going above traditional expectation she makes a dedicated attempt to enter into the military world, wanting to feel close to her lover, </w:t>
      </w:r>
      <w:r w:rsidR="00B07697">
        <w:t>however,</w:t>
      </w:r>
      <w:r>
        <w:t xml:space="preserve"> doesn’t get it quite right. </w:t>
      </w:r>
      <w:r w:rsidR="00C16D8C">
        <w:t xml:space="preserve">She confesses to having spent her long nights alone working on a, ‘military cloak’ (33-34). </w:t>
      </w:r>
      <w:r>
        <w:t>Specifically,</w:t>
      </w:r>
      <w:r w:rsidR="00C16D8C">
        <w:t xml:space="preserve"> she has used, ‘Tyrian wool’ (33) which suggests a luxurious</w:t>
      </w:r>
      <w:r>
        <w:t xml:space="preserve"> item. R</w:t>
      </w:r>
      <w:r w:rsidR="00C16D8C">
        <w:t xml:space="preserve">ather an odd choice for a military </w:t>
      </w:r>
      <w:r>
        <w:t>cloak and not the typical expectation.</w:t>
      </w:r>
      <w:r w:rsidR="00B07697">
        <w:t xml:space="preserve"> She feels herself, ‘constrained to learn’ (37), the miles a horse can cover, countries on a map, what the weather might be and the winds for sailing (37-39). This attention to detail verges on obsession. It is not enough for her to merely know his expedition she must </w:t>
      </w:r>
      <w:r w:rsidR="00011C8D">
        <w:t>research</w:t>
      </w:r>
      <w:r w:rsidR="00067771">
        <w:t>,</w:t>
      </w:r>
      <w:r w:rsidR="00067771" w:rsidRPr="00067771">
        <w:t xml:space="preserve"> </w:t>
      </w:r>
      <w:r w:rsidR="00067771">
        <w:t>for herself,</w:t>
      </w:r>
      <w:r w:rsidR="00B07697">
        <w:t xml:space="preserve"> every aspect of it.</w:t>
      </w:r>
      <w:r w:rsidR="00067771">
        <w:t xml:space="preserve"> </w:t>
      </w:r>
    </w:p>
    <w:p w14:paraId="2FB3700A" w14:textId="77777777" w:rsidR="00EB407D" w:rsidRDefault="00067771">
      <w:r>
        <w:lastRenderedPageBreak/>
        <w:t>So desperate is she to be at once reunited she even wishes, ‘camps admitted Roman girls’ (45). Pushing the constraints of her gender she considers herself following in the footsteps of, ‘happy Hippolyta’ (44)</w:t>
      </w:r>
      <w:r w:rsidR="00011C8D">
        <w:t>,</w:t>
      </w:r>
      <w:r>
        <w:t xml:space="preserve"> known famously as queen of the Amazons. </w:t>
      </w:r>
      <w:r w:rsidR="00011C8D">
        <w:t>However, it is made clear that such d</w:t>
      </w:r>
      <w:r>
        <w:t xml:space="preserve">rastic measures are only considered out of longing brought about by the sustained absence of </w:t>
      </w:r>
      <w:proofErr w:type="spellStart"/>
      <w:r>
        <w:t>Lycotas</w:t>
      </w:r>
      <w:proofErr w:type="spellEnd"/>
      <w:r>
        <w:t xml:space="preserve">. An almost crazed compulsion to become her lovers, ‘trusty </w:t>
      </w:r>
      <w:proofErr w:type="spellStart"/>
      <w:r>
        <w:t>packload</w:t>
      </w:r>
      <w:proofErr w:type="spellEnd"/>
      <w:r>
        <w:t>’ (45) is said to have been born of a passion, ‘fanned into flame by Venus’ (50).</w:t>
      </w:r>
      <w:r w:rsidR="00EB407D">
        <w:t xml:space="preserve"> </w:t>
      </w:r>
    </w:p>
    <w:p w14:paraId="11DE037B" w14:textId="15ECBA3B" w:rsidR="00AD05E0" w:rsidRDefault="00EB407D">
      <w:r>
        <w:t xml:space="preserve">Allusion to both a queen and obsessive passions at the hands of Venus forces to the forefront the, then recent, </w:t>
      </w:r>
      <w:r>
        <w:rPr>
          <w:i/>
        </w:rPr>
        <w:t>Aeneid</w:t>
      </w:r>
      <w:r>
        <w:t xml:space="preserve"> which contains the tragic story of Dido. Propertius is purposefully prompting the reader to compare his poem with that of book 4 within Vergil’s work. Dido is represented within the </w:t>
      </w:r>
      <w:r>
        <w:rPr>
          <w:i/>
        </w:rPr>
        <w:t>Aeneid</w:t>
      </w:r>
      <w:r>
        <w:t xml:space="preserve"> initially as a rather masculine figure. She is a competent ruler who is successfully establishing her kingdom</w:t>
      </w:r>
      <w:r w:rsidR="00686917">
        <w:t>. Her arc is one of tragedy and reflects well the sorrows of the love elegist, it is no coincidence Propertius utilises her for comparison. Upon meeting the hero Aeneas, she is stuck by Cupid and becomes, ‘infected’ (</w:t>
      </w:r>
      <w:r w:rsidR="00686917">
        <w:rPr>
          <w:i/>
        </w:rPr>
        <w:t xml:space="preserve">Aeneid, </w:t>
      </w:r>
      <w:r w:rsidR="00686917">
        <w:t>4.91) by a lover’s passion which is said to be, ‘sweeping away (…) her reputation’ (</w:t>
      </w:r>
      <w:r w:rsidR="00686917">
        <w:rPr>
          <w:i/>
        </w:rPr>
        <w:t xml:space="preserve">Aeneid, </w:t>
      </w:r>
      <w:r w:rsidR="00686917">
        <w:t>4.92). In her infatuation she becomes so fixated on Aeneas that everything else falls away to the extent that she is unable to continue building up her city and its defences. As such her characterisation shifts and she takes up more feminine qualities</w:t>
      </w:r>
      <w:r w:rsidR="00AD05E0">
        <w:t xml:space="preserve"> familiar to the elegist. Dido can be seen to display both, “epic masculinity as well as elegiac femininity”.</w:t>
      </w:r>
      <w:r w:rsidR="00AD05E0">
        <w:rPr>
          <w:rStyle w:val="FootnoteReference"/>
        </w:rPr>
        <w:footnoteReference w:id="6"/>
      </w:r>
      <w:r w:rsidR="00AD05E0">
        <w:t xml:space="preserve"> </w:t>
      </w:r>
    </w:p>
    <w:p w14:paraId="0D3842FA" w14:textId="311D1071" w:rsidR="001205B6" w:rsidRDefault="00AD05E0">
      <w:r>
        <w:t xml:space="preserve">Forcing the reader to consider this comparison brings to light new interpretations and approaches regarding the poem as a whole. Given that a clear parallel is being drawn between Arethusa and Dido are we to believe the, ‘husband’ (11) and ‘wedding’ (12) mentioned are fictitious? It is made obvious in the </w:t>
      </w:r>
      <w:r>
        <w:rPr>
          <w:i/>
        </w:rPr>
        <w:t>Aeneid</w:t>
      </w:r>
      <w:r>
        <w:t xml:space="preserve"> that whilst Dido believes herself married this is not the case. Are</w:t>
      </w:r>
      <w:r w:rsidR="001205B6">
        <w:t xml:space="preserve"> </w:t>
      </w:r>
      <w:r>
        <w:t xml:space="preserve">we now led to question the relationship between Arethusa and </w:t>
      </w:r>
      <w:proofErr w:type="spellStart"/>
      <w:r>
        <w:t>Lycotas</w:t>
      </w:r>
      <w:proofErr w:type="spellEnd"/>
      <w:r>
        <w:t>?</w:t>
      </w:r>
      <w:r w:rsidR="001205B6">
        <w:t xml:space="preserve"> How we determine this impact</w:t>
      </w:r>
      <w:r w:rsidR="00091380">
        <w:t>s our</w:t>
      </w:r>
      <w:r w:rsidR="001205B6">
        <w:t xml:space="preserve"> understanding of the poem significantly. No longer a devoted wife acting out of desperation Arethusa can be seen as a pathetic lover left behind and clinging to false hope. The dynamic of the poem shifts dramatically as a result of this.</w:t>
      </w:r>
    </w:p>
    <w:p w14:paraId="14BA6170" w14:textId="7BB4E789" w:rsidR="00091380" w:rsidRDefault="00091380"/>
    <w:p w14:paraId="66236BDA" w14:textId="1D12DE25" w:rsidR="00091380" w:rsidRDefault="00091380">
      <w:r w:rsidRPr="00091380">
        <w:rPr>
          <w:sz w:val="24"/>
          <w:u w:val="single"/>
        </w:rPr>
        <w:t>Bibliography</w:t>
      </w:r>
      <w:r>
        <w:t>:</w:t>
      </w:r>
    </w:p>
    <w:p w14:paraId="77E10176" w14:textId="1F039D17" w:rsidR="00091380" w:rsidRDefault="00091380">
      <w:pPr>
        <w:rPr>
          <w:u w:val="single"/>
        </w:rPr>
      </w:pPr>
      <w:r>
        <w:rPr>
          <w:u w:val="single"/>
        </w:rPr>
        <w:t>Ancient Sources:</w:t>
      </w:r>
    </w:p>
    <w:p w14:paraId="68AE3892" w14:textId="70B140EB" w:rsidR="00091380" w:rsidRDefault="00091380">
      <w:r>
        <w:t xml:space="preserve">Propertius, </w:t>
      </w:r>
      <w:r>
        <w:rPr>
          <w:i/>
        </w:rPr>
        <w:t>Elegies</w:t>
      </w:r>
      <w:r>
        <w:t xml:space="preserve">. </w:t>
      </w:r>
      <w:r w:rsidR="00640363">
        <w:t xml:space="preserve">G.P. </w:t>
      </w:r>
      <w:proofErr w:type="spellStart"/>
      <w:r w:rsidR="00640363">
        <w:t>Goold</w:t>
      </w:r>
      <w:proofErr w:type="spellEnd"/>
      <w:r w:rsidR="00640363">
        <w:t>. (trans.). 1990. Cambridge MA: Harvard University Press.</w:t>
      </w:r>
    </w:p>
    <w:p w14:paraId="5B146716" w14:textId="1C1F9ABA" w:rsidR="00640363" w:rsidRDefault="00640363">
      <w:r>
        <w:t xml:space="preserve">Virgil, </w:t>
      </w:r>
      <w:r>
        <w:rPr>
          <w:i/>
        </w:rPr>
        <w:t xml:space="preserve">The Aeneid. </w:t>
      </w:r>
      <w:r>
        <w:t>D. West. (trans.). 1991. London: Penguin Group.</w:t>
      </w:r>
    </w:p>
    <w:p w14:paraId="037FA352" w14:textId="5EAE861A" w:rsidR="00640363" w:rsidRDefault="00640363">
      <w:pPr>
        <w:rPr>
          <w:u w:val="single"/>
        </w:rPr>
      </w:pPr>
      <w:r>
        <w:rPr>
          <w:u w:val="single"/>
        </w:rPr>
        <w:t>Modern Scholarship:</w:t>
      </w:r>
    </w:p>
    <w:p w14:paraId="685B7500" w14:textId="1C8FA165" w:rsidR="00640363" w:rsidRDefault="00640363">
      <w:r>
        <w:t xml:space="preserve">Hubbard, M. (1974). </w:t>
      </w:r>
      <w:r>
        <w:rPr>
          <w:i/>
        </w:rPr>
        <w:t xml:space="preserve">Propertius. </w:t>
      </w:r>
      <w:r>
        <w:t>Class. Life and Letters. London: Duckworth.</w:t>
      </w:r>
    </w:p>
    <w:p w14:paraId="4D2F6DC4" w14:textId="4AE3CF11" w:rsidR="00640363" w:rsidRDefault="00640363">
      <w:proofErr w:type="spellStart"/>
      <w:r>
        <w:t>Mendell</w:t>
      </w:r>
      <w:proofErr w:type="spellEnd"/>
      <w:r>
        <w:t xml:space="preserve">, C.W. (1965). </w:t>
      </w:r>
      <w:r>
        <w:rPr>
          <w:i/>
        </w:rPr>
        <w:t xml:space="preserve">Latin Poetry: The New Poets &amp; The Augustans. </w:t>
      </w:r>
      <w:r>
        <w:t>New Haven &amp; London: Yale University Press.</w:t>
      </w:r>
    </w:p>
    <w:p w14:paraId="208BA89A" w14:textId="119085A4" w:rsidR="00640363" w:rsidRDefault="008C3F65">
      <w:r>
        <w:t xml:space="preserve">Williams, G. (1968). </w:t>
      </w:r>
      <w:r>
        <w:rPr>
          <w:i/>
        </w:rPr>
        <w:t xml:space="preserve">Tradition and Originality in Roman Poetry. </w:t>
      </w:r>
      <w:r>
        <w:t>Oxford: Clarendon Press.</w:t>
      </w:r>
    </w:p>
    <w:p w14:paraId="70638E89" w14:textId="76D2205A" w:rsidR="008C3F65" w:rsidRDefault="008C3F65">
      <w:r>
        <w:t xml:space="preserve">Wyke, M. (2002). 3: </w:t>
      </w:r>
      <w:r>
        <w:rPr>
          <w:i/>
        </w:rPr>
        <w:t xml:space="preserve">The Roman Mistress: Ancient and Modern Representations. </w:t>
      </w:r>
      <w:r>
        <w:t>Oxford University Press.</w:t>
      </w:r>
    </w:p>
    <w:p w14:paraId="763021FD" w14:textId="0E4B746A" w:rsidR="008C3F65" w:rsidRPr="008C3F65" w:rsidRDefault="008C3F65">
      <w:proofErr w:type="spellStart"/>
      <w:r>
        <w:lastRenderedPageBreak/>
        <w:t>Xinyue</w:t>
      </w:r>
      <w:proofErr w:type="spellEnd"/>
      <w:r>
        <w:t xml:space="preserve">, B. (2018). ‘The Dido’s of Book 4: Gender, Genre and </w:t>
      </w:r>
      <w:r>
        <w:rPr>
          <w:i/>
        </w:rPr>
        <w:t xml:space="preserve">Aeneid </w:t>
      </w:r>
      <w:r>
        <w:t xml:space="preserve">in Propertius 4.3 and 4.4. </w:t>
      </w:r>
      <w:r>
        <w:rPr>
          <w:i/>
        </w:rPr>
        <w:t xml:space="preserve">Greece and Rome. </w:t>
      </w:r>
      <w:r>
        <w:t>65. 2. 218-241.</w:t>
      </w:r>
      <w:bookmarkStart w:id="0" w:name="_GoBack"/>
      <w:bookmarkEnd w:id="0"/>
    </w:p>
    <w:sectPr w:rsidR="008C3F65" w:rsidRPr="008C3F65">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56BB9" w14:textId="77777777" w:rsidR="00995D2D" w:rsidRDefault="00995D2D" w:rsidP="008C383A">
      <w:pPr>
        <w:spacing w:after="0" w:line="240" w:lineRule="auto"/>
      </w:pPr>
      <w:r>
        <w:separator/>
      </w:r>
    </w:p>
  </w:endnote>
  <w:endnote w:type="continuationSeparator" w:id="0">
    <w:p w14:paraId="37C2FEC7" w14:textId="77777777" w:rsidR="00995D2D" w:rsidRDefault="00995D2D" w:rsidP="008C3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6B812" w14:textId="77777777" w:rsidR="00995D2D" w:rsidRDefault="00995D2D" w:rsidP="008C383A">
      <w:pPr>
        <w:spacing w:after="0" w:line="240" w:lineRule="auto"/>
      </w:pPr>
      <w:r>
        <w:separator/>
      </w:r>
    </w:p>
  </w:footnote>
  <w:footnote w:type="continuationSeparator" w:id="0">
    <w:p w14:paraId="73374D7C" w14:textId="77777777" w:rsidR="00995D2D" w:rsidRDefault="00995D2D" w:rsidP="008C383A">
      <w:pPr>
        <w:spacing w:after="0" w:line="240" w:lineRule="auto"/>
      </w:pPr>
      <w:r>
        <w:continuationSeparator/>
      </w:r>
    </w:p>
  </w:footnote>
  <w:footnote w:id="1">
    <w:p w14:paraId="3275F812" w14:textId="77777777" w:rsidR="005B7698" w:rsidRDefault="005B7698">
      <w:pPr>
        <w:pStyle w:val="FootnoteText"/>
      </w:pPr>
      <w:r>
        <w:rPr>
          <w:rStyle w:val="FootnoteReference"/>
        </w:rPr>
        <w:footnoteRef/>
      </w:r>
      <w:r>
        <w:t xml:space="preserve"> Williams, (1968).</w:t>
      </w:r>
    </w:p>
  </w:footnote>
  <w:footnote w:id="2">
    <w:p w14:paraId="72BA8D5F" w14:textId="77777777" w:rsidR="00142830" w:rsidRDefault="00142830">
      <w:pPr>
        <w:pStyle w:val="FootnoteText"/>
      </w:pPr>
      <w:r>
        <w:rPr>
          <w:rStyle w:val="FootnoteReference"/>
        </w:rPr>
        <w:footnoteRef/>
      </w:r>
      <w:r>
        <w:t xml:space="preserve"> </w:t>
      </w:r>
      <w:proofErr w:type="spellStart"/>
      <w:r>
        <w:t>Mendell</w:t>
      </w:r>
      <w:proofErr w:type="spellEnd"/>
      <w:r>
        <w:t>, (1965). 208.</w:t>
      </w:r>
    </w:p>
  </w:footnote>
  <w:footnote w:id="3">
    <w:p w14:paraId="79CE769C" w14:textId="77777777" w:rsidR="00837591" w:rsidRDefault="00837591">
      <w:pPr>
        <w:pStyle w:val="FootnoteText"/>
      </w:pPr>
      <w:r>
        <w:rPr>
          <w:rStyle w:val="FootnoteReference"/>
        </w:rPr>
        <w:footnoteRef/>
      </w:r>
      <w:r>
        <w:t xml:space="preserve"> Hubbard, (1974), 117.</w:t>
      </w:r>
    </w:p>
  </w:footnote>
  <w:footnote w:id="4">
    <w:p w14:paraId="00A93DAE" w14:textId="77777777" w:rsidR="00837591" w:rsidRPr="00837591" w:rsidRDefault="00837591">
      <w:pPr>
        <w:pStyle w:val="FootnoteText"/>
      </w:pPr>
      <w:r>
        <w:rPr>
          <w:rStyle w:val="FootnoteReference"/>
        </w:rPr>
        <w:footnoteRef/>
      </w:r>
      <w:r>
        <w:t xml:space="preserve"> Propertius, </w:t>
      </w:r>
      <w:r>
        <w:rPr>
          <w:i/>
        </w:rPr>
        <w:t xml:space="preserve">Elegies, </w:t>
      </w:r>
      <w:r>
        <w:t>2.34.61-2.; 3.1.1-7.</w:t>
      </w:r>
    </w:p>
  </w:footnote>
  <w:footnote w:id="5">
    <w:p w14:paraId="77AFEB30" w14:textId="77777777" w:rsidR="00DE62FB" w:rsidRDefault="00DE62FB">
      <w:pPr>
        <w:pStyle w:val="FootnoteText"/>
      </w:pPr>
      <w:r>
        <w:rPr>
          <w:rStyle w:val="FootnoteReference"/>
        </w:rPr>
        <w:footnoteRef/>
      </w:r>
      <w:r>
        <w:t xml:space="preserve"> Wyke, (2002), 83-4. </w:t>
      </w:r>
    </w:p>
  </w:footnote>
  <w:footnote w:id="6">
    <w:p w14:paraId="32DE8C5F" w14:textId="77777777" w:rsidR="00AD05E0" w:rsidRDefault="00AD05E0">
      <w:pPr>
        <w:pStyle w:val="FootnoteText"/>
      </w:pPr>
      <w:r>
        <w:rPr>
          <w:rStyle w:val="FootnoteReference"/>
        </w:rPr>
        <w:footnoteRef/>
      </w:r>
      <w:r>
        <w:t xml:space="preserve"> </w:t>
      </w:r>
      <w:proofErr w:type="spellStart"/>
      <w:r>
        <w:t>Xlnyue</w:t>
      </w:r>
      <w:proofErr w:type="spellEnd"/>
      <w:r>
        <w:t>, (2018), 223.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182DB" w14:textId="77777777" w:rsidR="008C383A" w:rsidRDefault="008C383A">
    <w:pPr>
      <w:pStyle w:val="Header"/>
    </w:pPr>
    <w:r>
      <w:ptab w:relativeTo="margin" w:alignment="center" w:leader="none"/>
    </w:r>
    <w:r>
      <w:ptab w:relativeTo="margin" w:alignment="right" w:leader="none"/>
    </w:r>
    <w:r>
      <w:t>Sophie Taylor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83A"/>
    <w:rsid w:val="00011C8D"/>
    <w:rsid w:val="00067771"/>
    <w:rsid w:val="00091380"/>
    <w:rsid w:val="001205B6"/>
    <w:rsid w:val="00142830"/>
    <w:rsid w:val="004045EF"/>
    <w:rsid w:val="005B7698"/>
    <w:rsid w:val="005F284E"/>
    <w:rsid w:val="00640363"/>
    <w:rsid w:val="00686917"/>
    <w:rsid w:val="00837591"/>
    <w:rsid w:val="008C383A"/>
    <w:rsid w:val="008C3F65"/>
    <w:rsid w:val="00995D2D"/>
    <w:rsid w:val="00AD05E0"/>
    <w:rsid w:val="00B07697"/>
    <w:rsid w:val="00B170EA"/>
    <w:rsid w:val="00C16D8C"/>
    <w:rsid w:val="00C354E6"/>
    <w:rsid w:val="00C57494"/>
    <w:rsid w:val="00DE62FB"/>
    <w:rsid w:val="00EB4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00669"/>
  <w15:chartTrackingRefBased/>
  <w15:docId w15:val="{4C5B3206-9D82-44F6-AB18-FCECE00F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3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83A"/>
  </w:style>
  <w:style w:type="paragraph" w:styleId="Footer">
    <w:name w:val="footer"/>
    <w:basedOn w:val="Normal"/>
    <w:link w:val="FooterChar"/>
    <w:uiPriority w:val="99"/>
    <w:unhideWhenUsed/>
    <w:rsid w:val="008C3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83A"/>
  </w:style>
  <w:style w:type="paragraph" w:styleId="FootnoteText">
    <w:name w:val="footnote text"/>
    <w:basedOn w:val="Normal"/>
    <w:link w:val="FootnoteTextChar"/>
    <w:uiPriority w:val="99"/>
    <w:semiHidden/>
    <w:unhideWhenUsed/>
    <w:rsid w:val="005B76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7698"/>
    <w:rPr>
      <w:sz w:val="20"/>
      <w:szCs w:val="20"/>
    </w:rPr>
  </w:style>
  <w:style w:type="character" w:styleId="FootnoteReference">
    <w:name w:val="footnote reference"/>
    <w:basedOn w:val="DefaultParagraphFont"/>
    <w:uiPriority w:val="99"/>
    <w:semiHidden/>
    <w:unhideWhenUsed/>
    <w:rsid w:val="005B76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194</TotalTime>
  <Pages>3</Pages>
  <Words>1017</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2</cp:revision>
  <dcterms:created xsi:type="dcterms:W3CDTF">2019-05-24T14:25:00Z</dcterms:created>
  <dcterms:modified xsi:type="dcterms:W3CDTF">2019-05-24T19:45:00Z</dcterms:modified>
</cp:coreProperties>
</file>