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FA67A73" w14:textId="77777777" w:rsidR="009A396D" w:rsidRDefault="009A396D">
      <w:pPr>
        <w:rPr>
          <w:rFonts w:eastAsia="Times New Roman" w:cs="Times New Roman"/>
          <w:b/>
          <w:szCs w:val="24"/>
        </w:rPr>
      </w:pPr>
    </w:p>
    <w:p w14:paraId="40B47255" w14:textId="77777777" w:rsidR="009A396D" w:rsidRDefault="009A396D">
      <w:pPr>
        <w:rPr>
          <w:rFonts w:eastAsia="Times New Roman" w:cs="Times New Roman"/>
          <w:b/>
          <w:szCs w:val="24"/>
        </w:rPr>
      </w:pPr>
    </w:p>
    <w:p w14:paraId="6592F793" w14:textId="77777777" w:rsidR="009A396D" w:rsidRDefault="009A396D">
      <w:pPr>
        <w:rPr>
          <w:rFonts w:eastAsia="Times New Roman" w:cs="Times New Roman"/>
          <w:b/>
          <w:szCs w:val="24"/>
        </w:rPr>
      </w:pPr>
    </w:p>
    <w:p w14:paraId="5230B44B" w14:textId="77777777" w:rsidR="009A396D" w:rsidRDefault="009A396D">
      <w:pPr>
        <w:rPr>
          <w:rFonts w:eastAsia="Times New Roman" w:cs="Times New Roman"/>
          <w:b/>
          <w:szCs w:val="24"/>
        </w:rPr>
      </w:pPr>
    </w:p>
    <w:p w14:paraId="31817EAF" w14:textId="77777777" w:rsidR="009A396D" w:rsidRDefault="009A396D">
      <w:pPr>
        <w:rPr>
          <w:rFonts w:eastAsia="Times New Roman" w:cs="Times New Roman"/>
          <w:b/>
          <w:szCs w:val="24"/>
        </w:rPr>
      </w:pPr>
    </w:p>
    <w:p w14:paraId="4FE5C675" w14:textId="77777777" w:rsidR="009A396D" w:rsidRDefault="009A396D">
      <w:pPr>
        <w:rPr>
          <w:rFonts w:eastAsia="Times New Roman" w:cs="Times New Roman"/>
          <w:b/>
          <w:szCs w:val="24"/>
        </w:rPr>
      </w:pPr>
    </w:p>
    <w:p w14:paraId="3CFB49E6" w14:textId="77777777" w:rsidR="009A396D" w:rsidRDefault="009A396D">
      <w:pPr>
        <w:rPr>
          <w:rFonts w:eastAsia="Times New Roman" w:cs="Times New Roman"/>
          <w:b/>
          <w:szCs w:val="24"/>
        </w:rPr>
      </w:pPr>
    </w:p>
    <w:p w14:paraId="0F4EDCC4" w14:textId="77777777" w:rsidR="009A396D" w:rsidRDefault="009A396D">
      <w:pPr>
        <w:rPr>
          <w:rFonts w:eastAsia="Times New Roman" w:cs="Times New Roman"/>
          <w:b/>
          <w:szCs w:val="24"/>
        </w:rPr>
      </w:pPr>
    </w:p>
    <w:p w14:paraId="5F78075E" w14:textId="77777777" w:rsidR="009A396D" w:rsidRDefault="009A396D">
      <w:pPr>
        <w:rPr>
          <w:rFonts w:eastAsia="Times New Roman" w:cs="Times New Roman"/>
          <w:b/>
          <w:szCs w:val="24"/>
        </w:rPr>
      </w:pPr>
    </w:p>
    <w:p w14:paraId="1ABF9BE2" w14:textId="77777777" w:rsidR="009A396D" w:rsidRDefault="009A396D">
      <w:pPr>
        <w:rPr>
          <w:rFonts w:eastAsia="Times New Roman" w:cs="Times New Roman"/>
          <w:b/>
          <w:szCs w:val="24"/>
        </w:rPr>
      </w:pPr>
    </w:p>
    <w:p w14:paraId="43CBF4CF" w14:textId="77777777" w:rsidR="009A396D" w:rsidRPr="00EE2520" w:rsidRDefault="009A396D">
      <w:pPr>
        <w:rPr>
          <w:rFonts w:eastAsia="Times New Roman" w:cs="Times New Roman"/>
          <w:b/>
          <w:sz w:val="32"/>
          <w:szCs w:val="32"/>
        </w:rPr>
      </w:pPr>
    </w:p>
    <w:p w14:paraId="027B7C86" w14:textId="77777777" w:rsidR="009A396D" w:rsidRPr="00EE2520" w:rsidRDefault="009A396D">
      <w:pPr>
        <w:rPr>
          <w:rFonts w:eastAsia="Times New Roman" w:cs="Times New Roman"/>
          <w:b/>
          <w:sz w:val="32"/>
          <w:szCs w:val="32"/>
        </w:rPr>
      </w:pPr>
    </w:p>
    <w:p w14:paraId="5664D38E" w14:textId="77777777" w:rsidR="009A396D" w:rsidRDefault="00B52976">
      <w:pPr>
        <w:jc w:val="center"/>
        <w:rPr>
          <w:rFonts w:eastAsia="Times New Roman" w:cs="Times New Roman"/>
          <w:b/>
          <w:sz w:val="32"/>
          <w:szCs w:val="32"/>
        </w:rPr>
      </w:pPr>
      <w:r w:rsidRPr="00EE2520">
        <w:rPr>
          <w:rFonts w:eastAsia="Times New Roman" w:cs="Times New Roman"/>
          <w:b/>
          <w:sz w:val="32"/>
          <w:szCs w:val="32"/>
        </w:rPr>
        <w:t xml:space="preserve">Module Name: Accounting Fundamentals </w:t>
      </w:r>
    </w:p>
    <w:p w14:paraId="3697197E" w14:textId="25B848C2" w:rsidR="00EE2520" w:rsidRDefault="00EE2520">
      <w:pPr>
        <w:jc w:val="center"/>
        <w:rPr>
          <w:rFonts w:eastAsia="Times New Roman" w:cs="Times New Roman"/>
          <w:b/>
          <w:sz w:val="32"/>
          <w:szCs w:val="32"/>
        </w:rPr>
      </w:pPr>
      <w:r>
        <w:rPr>
          <w:rFonts w:eastAsia="Times New Roman" w:cs="Times New Roman"/>
          <w:b/>
          <w:sz w:val="32"/>
          <w:szCs w:val="32"/>
        </w:rPr>
        <w:t>Module Code: LCBB0041</w:t>
      </w:r>
    </w:p>
    <w:p w14:paraId="29CC0315" w14:textId="416228C5" w:rsidR="00EE2520" w:rsidRPr="00EE2520" w:rsidRDefault="00EE2520">
      <w:pPr>
        <w:jc w:val="center"/>
        <w:rPr>
          <w:rFonts w:eastAsia="Times New Roman" w:cs="Times New Roman"/>
          <w:b/>
          <w:sz w:val="32"/>
          <w:szCs w:val="32"/>
        </w:rPr>
      </w:pPr>
      <w:r>
        <w:rPr>
          <w:rFonts w:eastAsia="Times New Roman" w:cs="Times New Roman"/>
          <w:b/>
          <w:sz w:val="32"/>
          <w:szCs w:val="32"/>
        </w:rPr>
        <w:t>Assessment Title: Assessment 1</w:t>
      </w:r>
    </w:p>
    <w:p w14:paraId="7514D53D" w14:textId="72CD60AC" w:rsidR="009A396D" w:rsidRPr="00EE2520" w:rsidRDefault="00B52976">
      <w:pPr>
        <w:jc w:val="center"/>
        <w:rPr>
          <w:rFonts w:eastAsia="Times New Roman" w:cs="Times New Roman"/>
          <w:b/>
          <w:sz w:val="32"/>
          <w:szCs w:val="32"/>
        </w:rPr>
      </w:pPr>
      <w:r w:rsidRPr="00EE2520">
        <w:rPr>
          <w:rFonts w:eastAsia="Times New Roman" w:cs="Times New Roman"/>
          <w:b/>
          <w:sz w:val="32"/>
          <w:szCs w:val="32"/>
        </w:rPr>
        <w:t>Student Name:</w:t>
      </w:r>
      <w:r w:rsidR="00EE2520">
        <w:rPr>
          <w:rFonts w:eastAsia="Times New Roman" w:cs="Times New Roman"/>
          <w:b/>
          <w:sz w:val="32"/>
          <w:szCs w:val="32"/>
        </w:rPr>
        <w:t xml:space="preserve"> Georgiana </w:t>
      </w:r>
      <w:proofErr w:type="spellStart"/>
      <w:r w:rsidR="00EE2520">
        <w:rPr>
          <w:rFonts w:eastAsia="Times New Roman" w:cs="Times New Roman"/>
          <w:b/>
          <w:sz w:val="32"/>
          <w:szCs w:val="32"/>
        </w:rPr>
        <w:t>Repciuc</w:t>
      </w:r>
      <w:proofErr w:type="spellEnd"/>
    </w:p>
    <w:p w14:paraId="3B457029" w14:textId="4C029ED2" w:rsidR="009A396D" w:rsidRPr="00EE2520" w:rsidRDefault="00B52976">
      <w:pPr>
        <w:jc w:val="center"/>
        <w:rPr>
          <w:rFonts w:eastAsia="Times New Roman" w:cs="Times New Roman"/>
          <w:b/>
          <w:sz w:val="32"/>
          <w:szCs w:val="32"/>
        </w:rPr>
      </w:pPr>
      <w:r w:rsidRPr="00EE2520">
        <w:rPr>
          <w:rFonts w:eastAsia="Times New Roman" w:cs="Times New Roman"/>
          <w:b/>
          <w:sz w:val="32"/>
          <w:szCs w:val="32"/>
        </w:rPr>
        <w:t xml:space="preserve">Student ID: </w:t>
      </w:r>
      <w:r w:rsidR="00EE2520">
        <w:rPr>
          <w:rFonts w:eastAsia="Times New Roman" w:cs="Times New Roman"/>
          <w:b/>
          <w:sz w:val="32"/>
          <w:szCs w:val="32"/>
        </w:rPr>
        <w:t>2123846</w:t>
      </w:r>
    </w:p>
    <w:p w14:paraId="71EC970E" w14:textId="77777777" w:rsidR="009A396D" w:rsidRDefault="00B52976">
      <w:pPr>
        <w:rPr>
          <w:rFonts w:eastAsia="Times New Roman" w:cs="Times New Roman"/>
          <w:b/>
          <w:szCs w:val="24"/>
        </w:rPr>
      </w:pPr>
      <w:r>
        <w:rPr>
          <w:rFonts w:eastAsia="Times New Roman" w:cs="Times New Roman"/>
          <w:b/>
          <w:szCs w:val="24"/>
        </w:rPr>
        <w:br w:type="page"/>
      </w:r>
    </w:p>
    <w:p w14:paraId="1C6BDCD7" w14:textId="77777777" w:rsidR="009A396D" w:rsidRPr="00EE2520" w:rsidRDefault="00B52976" w:rsidP="00EE2520">
      <w:pPr>
        <w:pStyle w:val="TOCHeading"/>
        <w:spacing w:line="360" w:lineRule="auto"/>
        <w:jc w:val="center"/>
        <w:rPr>
          <w:color w:val="36363D"/>
          <w:sz w:val="28"/>
          <w:szCs w:val="28"/>
        </w:rPr>
      </w:pPr>
      <w:bookmarkStart w:id="0" w:name="_Toc121339302"/>
      <w:r w:rsidRPr="00EE2520">
        <w:rPr>
          <w:rFonts w:ascii="Times New Roman" w:eastAsia="Arial" w:hAnsi="Times New Roman" w:cs="Arial"/>
          <w:b/>
          <w:bCs/>
          <w:color w:val="auto"/>
          <w:sz w:val="28"/>
          <w:szCs w:val="28"/>
          <w:lang w:eastAsia="en-IN"/>
        </w:rPr>
        <w:lastRenderedPageBreak/>
        <w:t xml:space="preserve">Table of Contents </w:t>
      </w:r>
    </w:p>
    <w:p w14:paraId="7103D52E" w14:textId="77777777" w:rsidR="009A396D" w:rsidRPr="00EE2520" w:rsidRDefault="00B52976" w:rsidP="00EE2520">
      <w:pPr>
        <w:pStyle w:val="TOC1"/>
        <w:tabs>
          <w:tab w:val="right" w:leader="dot" w:pos="9350"/>
        </w:tabs>
        <w:spacing w:line="360" w:lineRule="auto"/>
        <w:rPr>
          <w:rFonts w:ascii="Cambria" w:eastAsia="SimSun" w:hAnsi="Cambria" w:cs="SimSun"/>
          <w:noProof/>
          <w:sz w:val="28"/>
          <w:szCs w:val="28"/>
          <w:lang w:val="en-GB" w:eastAsia="en-GB"/>
        </w:rPr>
      </w:pPr>
      <w:r w:rsidRPr="00EE2520">
        <w:rPr>
          <w:sz w:val="28"/>
          <w:szCs w:val="28"/>
        </w:rPr>
        <w:fldChar w:fldCharType="begin"/>
      </w:r>
      <w:r w:rsidRPr="00EE2520">
        <w:rPr>
          <w:sz w:val="28"/>
          <w:szCs w:val="28"/>
        </w:rPr>
        <w:instrText xml:space="preserve"> TOC \o "1-3" \h \z \u </w:instrText>
      </w:r>
      <w:r w:rsidRPr="00EE2520">
        <w:rPr>
          <w:sz w:val="28"/>
          <w:szCs w:val="28"/>
        </w:rPr>
        <w:fldChar w:fldCharType="separate"/>
      </w:r>
      <w:hyperlink w:anchor="_Toc121344033" w:history="1">
        <w:r w:rsidRPr="00EE2520">
          <w:rPr>
            <w:rStyle w:val="Hyperlink"/>
            <w:noProof/>
            <w:sz w:val="28"/>
            <w:szCs w:val="28"/>
          </w:rPr>
          <w:t>Introduction</w:t>
        </w:r>
        <w:r w:rsidRPr="00EE2520">
          <w:rPr>
            <w:noProof/>
            <w:webHidden/>
            <w:sz w:val="28"/>
            <w:szCs w:val="28"/>
          </w:rPr>
          <w:tab/>
        </w:r>
        <w:r w:rsidRPr="00EE2520">
          <w:rPr>
            <w:noProof/>
            <w:webHidden/>
            <w:sz w:val="28"/>
            <w:szCs w:val="28"/>
          </w:rPr>
          <w:fldChar w:fldCharType="begin"/>
        </w:r>
        <w:r w:rsidRPr="00EE2520">
          <w:rPr>
            <w:noProof/>
            <w:webHidden/>
            <w:sz w:val="28"/>
            <w:szCs w:val="28"/>
          </w:rPr>
          <w:instrText xml:space="preserve"> PAGEREF _Toc121344033 \h </w:instrText>
        </w:r>
        <w:r w:rsidRPr="00EE2520">
          <w:rPr>
            <w:noProof/>
            <w:webHidden/>
            <w:sz w:val="28"/>
            <w:szCs w:val="28"/>
          </w:rPr>
        </w:r>
        <w:r w:rsidRPr="00EE2520">
          <w:rPr>
            <w:noProof/>
            <w:webHidden/>
            <w:sz w:val="28"/>
            <w:szCs w:val="28"/>
          </w:rPr>
          <w:fldChar w:fldCharType="separate"/>
        </w:r>
        <w:r w:rsidRPr="00EE2520">
          <w:rPr>
            <w:noProof/>
            <w:webHidden/>
            <w:sz w:val="28"/>
            <w:szCs w:val="28"/>
          </w:rPr>
          <w:t>3</w:t>
        </w:r>
        <w:r w:rsidRPr="00EE2520">
          <w:rPr>
            <w:noProof/>
            <w:webHidden/>
            <w:sz w:val="28"/>
            <w:szCs w:val="28"/>
          </w:rPr>
          <w:fldChar w:fldCharType="end"/>
        </w:r>
      </w:hyperlink>
    </w:p>
    <w:p w14:paraId="3B1644F1" w14:textId="77777777" w:rsidR="009A396D" w:rsidRPr="00EE2520" w:rsidRDefault="00B52976" w:rsidP="00EE2520">
      <w:pPr>
        <w:pStyle w:val="TOC2"/>
        <w:tabs>
          <w:tab w:val="right" w:leader="dot" w:pos="9350"/>
        </w:tabs>
        <w:spacing w:line="360" w:lineRule="auto"/>
        <w:rPr>
          <w:rFonts w:ascii="Cambria" w:eastAsia="SimSun" w:hAnsi="Cambria" w:cs="SimSun"/>
          <w:noProof/>
          <w:sz w:val="28"/>
          <w:szCs w:val="28"/>
          <w:lang w:val="en-GB" w:eastAsia="en-GB"/>
        </w:rPr>
      </w:pPr>
      <w:hyperlink w:anchor="_Toc121344034" w:history="1">
        <w:r w:rsidRPr="00EE2520">
          <w:rPr>
            <w:rStyle w:val="Hyperlink"/>
            <w:noProof/>
            <w:sz w:val="28"/>
            <w:szCs w:val="28"/>
          </w:rPr>
          <w:t>Users of financial statements and their needs</w:t>
        </w:r>
        <w:r w:rsidRPr="00EE2520">
          <w:rPr>
            <w:noProof/>
            <w:webHidden/>
            <w:sz w:val="28"/>
            <w:szCs w:val="28"/>
          </w:rPr>
          <w:tab/>
        </w:r>
        <w:r w:rsidRPr="00EE2520">
          <w:rPr>
            <w:noProof/>
            <w:webHidden/>
            <w:sz w:val="28"/>
            <w:szCs w:val="28"/>
          </w:rPr>
          <w:fldChar w:fldCharType="begin"/>
        </w:r>
        <w:r w:rsidRPr="00EE2520">
          <w:rPr>
            <w:noProof/>
            <w:webHidden/>
            <w:sz w:val="28"/>
            <w:szCs w:val="28"/>
          </w:rPr>
          <w:instrText xml:space="preserve"> PAGEREF _Toc121344034 \h </w:instrText>
        </w:r>
        <w:r w:rsidRPr="00EE2520">
          <w:rPr>
            <w:noProof/>
            <w:webHidden/>
            <w:sz w:val="28"/>
            <w:szCs w:val="28"/>
          </w:rPr>
        </w:r>
        <w:r w:rsidRPr="00EE2520">
          <w:rPr>
            <w:noProof/>
            <w:webHidden/>
            <w:sz w:val="28"/>
            <w:szCs w:val="28"/>
          </w:rPr>
          <w:fldChar w:fldCharType="separate"/>
        </w:r>
        <w:r w:rsidRPr="00EE2520">
          <w:rPr>
            <w:noProof/>
            <w:webHidden/>
            <w:sz w:val="28"/>
            <w:szCs w:val="28"/>
          </w:rPr>
          <w:t>4</w:t>
        </w:r>
        <w:r w:rsidRPr="00EE2520">
          <w:rPr>
            <w:noProof/>
            <w:webHidden/>
            <w:sz w:val="28"/>
            <w:szCs w:val="28"/>
          </w:rPr>
          <w:fldChar w:fldCharType="end"/>
        </w:r>
      </w:hyperlink>
    </w:p>
    <w:p w14:paraId="605F9582" w14:textId="77777777" w:rsidR="009A396D" w:rsidRPr="00EE2520" w:rsidRDefault="00B52976" w:rsidP="00EE2520">
      <w:pPr>
        <w:pStyle w:val="TOC2"/>
        <w:tabs>
          <w:tab w:val="right" w:leader="dot" w:pos="9350"/>
        </w:tabs>
        <w:spacing w:line="360" w:lineRule="auto"/>
        <w:rPr>
          <w:rFonts w:ascii="Cambria" w:eastAsia="SimSun" w:hAnsi="Cambria" w:cs="SimSun"/>
          <w:noProof/>
          <w:sz w:val="28"/>
          <w:szCs w:val="28"/>
          <w:lang w:val="en-GB" w:eastAsia="en-GB"/>
        </w:rPr>
      </w:pPr>
      <w:hyperlink w:anchor="_Toc121344035" w:history="1">
        <w:r w:rsidRPr="00EE2520">
          <w:rPr>
            <w:rStyle w:val="Hyperlink"/>
            <w:noProof/>
            <w:sz w:val="28"/>
            <w:szCs w:val="28"/>
          </w:rPr>
          <w:t>Principles in financial statement</w:t>
        </w:r>
        <w:r w:rsidRPr="00EE2520">
          <w:rPr>
            <w:noProof/>
            <w:webHidden/>
            <w:sz w:val="28"/>
            <w:szCs w:val="28"/>
          </w:rPr>
          <w:tab/>
        </w:r>
        <w:r w:rsidRPr="00EE2520">
          <w:rPr>
            <w:noProof/>
            <w:webHidden/>
            <w:sz w:val="28"/>
            <w:szCs w:val="28"/>
          </w:rPr>
          <w:fldChar w:fldCharType="begin"/>
        </w:r>
        <w:r w:rsidRPr="00EE2520">
          <w:rPr>
            <w:noProof/>
            <w:webHidden/>
            <w:sz w:val="28"/>
            <w:szCs w:val="28"/>
          </w:rPr>
          <w:instrText xml:space="preserve"> PAGEREF _Toc121344035 \h </w:instrText>
        </w:r>
        <w:r w:rsidRPr="00EE2520">
          <w:rPr>
            <w:noProof/>
            <w:webHidden/>
            <w:sz w:val="28"/>
            <w:szCs w:val="28"/>
          </w:rPr>
        </w:r>
        <w:r w:rsidRPr="00EE2520">
          <w:rPr>
            <w:noProof/>
            <w:webHidden/>
            <w:sz w:val="28"/>
            <w:szCs w:val="28"/>
          </w:rPr>
          <w:fldChar w:fldCharType="separate"/>
        </w:r>
        <w:r w:rsidRPr="00EE2520">
          <w:rPr>
            <w:noProof/>
            <w:webHidden/>
            <w:sz w:val="28"/>
            <w:szCs w:val="28"/>
          </w:rPr>
          <w:t>6</w:t>
        </w:r>
        <w:r w:rsidRPr="00EE2520">
          <w:rPr>
            <w:noProof/>
            <w:webHidden/>
            <w:sz w:val="28"/>
            <w:szCs w:val="28"/>
          </w:rPr>
          <w:fldChar w:fldCharType="end"/>
        </w:r>
      </w:hyperlink>
    </w:p>
    <w:p w14:paraId="4DF792C3" w14:textId="77777777" w:rsidR="009A396D" w:rsidRPr="00EE2520" w:rsidRDefault="00B52976" w:rsidP="00EE2520">
      <w:pPr>
        <w:pStyle w:val="TOC2"/>
        <w:tabs>
          <w:tab w:val="right" w:leader="dot" w:pos="9350"/>
        </w:tabs>
        <w:spacing w:line="360" w:lineRule="auto"/>
        <w:rPr>
          <w:rFonts w:ascii="Cambria" w:eastAsia="SimSun" w:hAnsi="Cambria" w:cs="SimSun"/>
          <w:noProof/>
          <w:sz w:val="28"/>
          <w:szCs w:val="28"/>
          <w:lang w:val="en-GB" w:eastAsia="en-GB"/>
        </w:rPr>
      </w:pPr>
      <w:hyperlink w:anchor="_Toc121344036" w:history="1">
        <w:r w:rsidRPr="00EE2520">
          <w:rPr>
            <w:rStyle w:val="Hyperlink"/>
            <w:noProof/>
            <w:sz w:val="28"/>
            <w:szCs w:val="28"/>
          </w:rPr>
          <w:t>Recognize the measuring problems arising in financial accounting</w:t>
        </w:r>
        <w:r w:rsidRPr="00EE2520">
          <w:rPr>
            <w:noProof/>
            <w:webHidden/>
            <w:sz w:val="28"/>
            <w:szCs w:val="28"/>
          </w:rPr>
          <w:tab/>
        </w:r>
        <w:r w:rsidRPr="00EE2520">
          <w:rPr>
            <w:noProof/>
            <w:webHidden/>
            <w:sz w:val="28"/>
            <w:szCs w:val="28"/>
          </w:rPr>
          <w:fldChar w:fldCharType="begin"/>
        </w:r>
        <w:r w:rsidRPr="00EE2520">
          <w:rPr>
            <w:noProof/>
            <w:webHidden/>
            <w:sz w:val="28"/>
            <w:szCs w:val="28"/>
          </w:rPr>
          <w:instrText xml:space="preserve"> PAGEREF _Toc121344036 \h </w:instrText>
        </w:r>
        <w:r w:rsidRPr="00EE2520">
          <w:rPr>
            <w:noProof/>
            <w:webHidden/>
            <w:sz w:val="28"/>
            <w:szCs w:val="28"/>
          </w:rPr>
        </w:r>
        <w:r w:rsidRPr="00EE2520">
          <w:rPr>
            <w:noProof/>
            <w:webHidden/>
            <w:sz w:val="28"/>
            <w:szCs w:val="28"/>
          </w:rPr>
          <w:fldChar w:fldCharType="separate"/>
        </w:r>
        <w:r w:rsidRPr="00EE2520">
          <w:rPr>
            <w:noProof/>
            <w:webHidden/>
            <w:sz w:val="28"/>
            <w:szCs w:val="28"/>
          </w:rPr>
          <w:t>7</w:t>
        </w:r>
        <w:r w:rsidRPr="00EE2520">
          <w:rPr>
            <w:noProof/>
            <w:webHidden/>
            <w:sz w:val="28"/>
            <w:szCs w:val="28"/>
          </w:rPr>
          <w:fldChar w:fldCharType="end"/>
        </w:r>
      </w:hyperlink>
    </w:p>
    <w:p w14:paraId="2DC62A51" w14:textId="77777777" w:rsidR="009A396D" w:rsidRPr="00EE2520" w:rsidRDefault="00B52976" w:rsidP="00EE2520">
      <w:pPr>
        <w:pStyle w:val="TOC2"/>
        <w:tabs>
          <w:tab w:val="right" w:leader="dot" w:pos="9350"/>
        </w:tabs>
        <w:spacing w:line="360" w:lineRule="auto"/>
        <w:rPr>
          <w:rFonts w:ascii="Cambria" w:eastAsia="SimSun" w:hAnsi="Cambria" w:cs="SimSun"/>
          <w:noProof/>
          <w:sz w:val="28"/>
          <w:szCs w:val="28"/>
          <w:lang w:val="en-GB" w:eastAsia="en-GB"/>
        </w:rPr>
      </w:pPr>
      <w:hyperlink w:anchor="_Toc121344037" w:history="1">
        <w:r w:rsidRPr="00EE2520">
          <w:rPr>
            <w:rStyle w:val="Hyperlink"/>
            <w:noProof/>
            <w:sz w:val="28"/>
            <w:szCs w:val="28"/>
          </w:rPr>
          <w:t>Income statement and financial p</w:t>
        </w:r>
        <w:r w:rsidRPr="00EE2520">
          <w:rPr>
            <w:rStyle w:val="Hyperlink"/>
            <w:noProof/>
            <w:sz w:val="28"/>
            <w:szCs w:val="28"/>
          </w:rPr>
          <w:t>osition for Wales Plc</w:t>
        </w:r>
        <w:r w:rsidRPr="00EE2520">
          <w:rPr>
            <w:noProof/>
            <w:webHidden/>
            <w:sz w:val="28"/>
            <w:szCs w:val="28"/>
          </w:rPr>
          <w:tab/>
        </w:r>
        <w:r w:rsidRPr="00EE2520">
          <w:rPr>
            <w:noProof/>
            <w:webHidden/>
            <w:sz w:val="28"/>
            <w:szCs w:val="28"/>
          </w:rPr>
          <w:fldChar w:fldCharType="begin"/>
        </w:r>
        <w:r w:rsidRPr="00EE2520">
          <w:rPr>
            <w:noProof/>
            <w:webHidden/>
            <w:sz w:val="28"/>
            <w:szCs w:val="28"/>
          </w:rPr>
          <w:instrText xml:space="preserve"> PAGEREF _Toc121344037 \h </w:instrText>
        </w:r>
        <w:r w:rsidRPr="00EE2520">
          <w:rPr>
            <w:noProof/>
            <w:webHidden/>
            <w:sz w:val="28"/>
            <w:szCs w:val="28"/>
          </w:rPr>
        </w:r>
        <w:r w:rsidRPr="00EE2520">
          <w:rPr>
            <w:noProof/>
            <w:webHidden/>
            <w:sz w:val="28"/>
            <w:szCs w:val="28"/>
          </w:rPr>
          <w:fldChar w:fldCharType="separate"/>
        </w:r>
        <w:r w:rsidRPr="00EE2520">
          <w:rPr>
            <w:noProof/>
            <w:webHidden/>
            <w:sz w:val="28"/>
            <w:szCs w:val="28"/>
          </w:rPr>
          <w:t>8</w:t>
        </w:r>
        <w:r w:rsidRPr="00EE2520">
          <w:rPr>
            <w:noProof/>
            <w:webHidden/>
            <w:sz w:val="28"/>
            <w:szCs w:val="28"/>
          </w:rPr>
          <w:fldChar w:fldCharType="end"/>
        </w:r>
      </w:hyperlink>
    </w:p>
    <w:p w14:paraId="26523959" w14:textId="77777777" w:rsidR="009A396D" w:rsidRPr="00EE2520" w:rsidRDefault="00B52976" w:rsidP="00EE2520">
      <w:pPr>
        <w:pStyle w:val="TOC3"/>
        <w:tabs>
          <w:tab w:val="right" w:leader="dot" w:pos="9350"/>
        </w:tabs>
        <w:spacing w:line="360" w:lineRule="auto"/>
        <w:rPr>
          <w:rFonts w:ascii="Cambria" w:eastAsia="SimSun" w:hAnsi="Cambria" w:cs="SimSun"/>
          <w:noProof/>
          <w:sz w:val="28"/>
          <w:szCs w:val="28"/>
          <w:lang w:val="en-GB" w:eastAsia="en-GB"/>
        </w:rPr>
      </w:pPr>
      <w:hyperlink w:anchor="_Toc121344038" w:history="1">
        <w:r w:rsidRPr="00EE2520">
          <w:rPr>
            <w:rStyle w:val="Hyperlink"/>
            <w:noProof/>
            <w:sz w:val="28"/>
            <w:szCs w:val="28"/>
          </w:rPr>
          <w:t>Calculating the Income Statement of Wales Plc</w:t>
        </w:r>
        <w:r w:rsidRPr="00EE2520">
          <w:rPr>
            <w:noProof/>
            <w:webHidden/>
            <w:sz w:val="28"/>
            <w:szCs w:val="28"/>
          </w:rPr>
          <w:tab/>
        </w:r>
        <w:r w:rsidRPr="00EE2520">
          <w:rPr>
            <w:noProof/>
            <w:webHidden/>
            <w:sz w:val="28"/>
            <w:szCs w:val="28"/>
          </w:rPr>
          <w:fldChar w:fldCharType="begin"/>
        </w:r>
        <w:r w:rsidRPr="00EE2520">
          <w:rPr>
            <w:noProof/>
            <w:webHidden/>
            <w:sz w:val="28"/>
            <w:szCs w:val="28"/>
          </w:rPr>
          <w:instrText xml:space="preserve"> PAGEREF _Toc121344038 \h </w:instrText>
        </w:r>
        <w:r w:rsidRPr="00EE2520">
          <w:rPr>
            <w:noProof/>
            <w:webHidden/>
            <w:sz w:val="28"/>
            <w:szCs w:val="28"/>
          </w:rPr>
        </w:r>
        <w:r w:rsidRPr="00EE2520">
          <w:rPr>
            <w:noProof/>
            <w:webHidden/>
            <w:sz w:val="28"/>
            <w:szCs w:val="28"/>
          </w:rPr>
          <w:fldChar w:fldCharType="separate"/>
        </w:r>
        <w:r w:rsidRPr="00EE2520">
          <w:rPr>
            <w:noProof/>
            <w:webHidden/>
            <w:sz w:val="28"/>
            <w:szCs w:val="28"/>
          </w:rPr>
          <w:t>8</w:t>
        </w:r>
        <w:r w:rsidRPr="00EE2520">
          <w:rPr>
            <w:noProof/>
            <w:webHidden/>
            <w:sz w:val="28"/>
            <w:szCs w:val="28"/>
          </w:rPr>
          <w:fldChar w:fldCharType="end"/>
        </w:r>
      </w:hyperlink>
    </w:p>
    <w:p w14:paraId="3B6ECF98" w14:textId="77777777" w:rsidR="009A396D" w:rsidRPr="00EE2520" w:rsidRDefault="00B52976" w:rsidP="00EE2520">
      <w:pPr>
        <w:pStyle w:val="TOC3"/>
        <w:tabs>
          <w:tab w:val="right" w:leader="dot" w:pos="9350"/>
        </w:tabs>
        <w:spacing w:line="360" w:lineRule="auto"/>
        <w:rPr>
          <w:rFonts w:ascii="Cambria" w:eastAsia="SimSun" w:hAnsi="Cambria" w:cs="SimSun"/>
          <w:noProof/>
          <w:sz w:val="28"/>
          <w:szCs w:val="28"/>
          <w:lang w:val="en-GB" w:eastAsia="en-GB"/>
        </w:rPr>
      </w:pPr>
      <w:hyperlink w:anchor="_Toc121344039" w:history="1">
        <w:r w:rsidRPr="00EE2520">
          <w:rPr>
            <w:rStyle w:val="Hyperlink"/>
            <w:noProof/>
            <w:sz w:val="28"/>
            <w:szCs w:val="28"/>
          </w:rPr>
          <w:t>Calculating the Financial Position Statement of Wales Plc</w:t>
        </w:r>
        <w:r w:rsidRPr="00EE2520">
          <w:rPr>
            <w:noProof/>
            <w:webHidden/>
            <w:sz w:val="28"/>
            <w:szCs w:val="28"/>
          </w:rPr>
          <w:tab/>
        </w:r>
        <w:r w:rsidRPr="00EE2520">
          <w:rPr>
            <w:noProof/>
            <w:webHidden/>
            <w:sz w:val="28"/>
            <w:szCs w:val="28"/>
          </w:rPr>
          <w:fldChar w:fldCharType="begin"/>
        </w:r>
        <w:r w:rsidRPr="00EE2520">
          <w:rPr>
            <w:noProof/>
            <w:webHidden/>
            <w:sz w:val="28"/>
            <w:szCs w:val="28"/>
          </w:rPr>
          <w:instrText xml:space="preserve"> PAGEREF _Toc121344039 \h </w:instrText>
        </w:r>
        <w:r w:rsidRPr="00EE2520">
          <w:rPr>
            <w:noProof/>
            <w:webHidden/>
            <w:sz w:val="28"/>
            <w:szCs w:val="28"/>
          </w:rPr>
        </w:r>
        <w:r w:rsidRPr="00EE2520">
          <w:rPr>
            <w:noProof/>
            <w:webHidden/>
            <w:sz w:val="28"/>
            <w:szCs w:val="28"/>
          </w:rPr>
          <w:fldChar w:fldCharType="separate"/>
        </w:r>
        <w:r w:rsidRPr="00EE2520">
          <w:rPr>
            <w:noProof/>
            <w:webHidden/>
            <w:sz w:val="28"/>
            <w:szCs w:val="28"/>
          </w:rPr>
          <w:t>9</w:t>
        </w:r>
        <w:r w:rsidRPr="00EE2520">
          <w:rPr>
            <w:noProof/>
            <w:webHidden/>
            <w:sz w:val="28"/>
            <w:szCs w:val="28"/>
          </w:rPr>
          <w:fldChar w:fldCharType="end"/>
        </w:r>
      </w:hyperlink>
    </w:p>
    <w:p w14:paraId="251EBFE7" w14:textId="77777777" w:rsidR="009A396D" w:rsidRPr="00EE2520" w:rsidRDefault="00B52976" w:rsidP="00EE2520">
      <w:pPr>
        <w:pStyle w:val="TOC3"/>
        <w:tabs>
          <w:tab w:val="right" w:leader="dot" w:pos="9350"/>
        </w:tabs>
        <w:spacing w:line="360" w:lineRule="auto"/>
        <w:rPr>
          <w:rFonts w:ascii="Cambria" w:eastAsia="SimSun" w:hAnsi="Cambria" w:cs="SimSun"/>
          <w:noProof/>
          <w:sz w:val="28"/>
          <w:szCs w:val="28"/>
          <w:lang w:val="en-GB" w:eastAsia="en-GB"/>
        </w:rPr>
      </w:pPr>
      <w:hyperlink w:anchor="_Toc121344040" w:history="1">
        <w:r w:rsidRPr="00EE2520">
          <w:rPr>
            <w:rStyle w:val="Hyperlink"/>
            <w:noProof/>
            <w:sz w:val="28"/>
            <w:szCs w:val="28"/>
          </w:rPr>
          <w:t>Re</w:t>
        </w:r>
        <w:r w:rsidRPr="00EE2520">
          <w:rPr>
            <w:rStyle w:val="Hyperlink"/>
            <w:noProof/>
            <w:sz w:val="28"/>
            <w:szCs w:val="28"/>
          </w:rPr>
          <w:t>ason for evaluating financial position statement</w:t>
        </w:r>
        <w:r w:rsidRPr="00EE2520">
          <w:rPr>
            <w:noProof/>
            <w:webHidden/>
            <w:sz w:val="28"/>
            <w:szCs w:val="28"/>
          </w:rPr>
          <w:tab/>
        </w:r>
        <w:r w:rsidRPr="00EE2520">
          <w:rPr>
            <w:noProof/>
            <w:webHidden/>
            <w:sz w:val="28"/>
            <w:szCs w:val="28"/>
          </w:rPr>
          <w:fldChar w:fldCharType="begin"/>
        </w:r>
        <w:r w:rsidRPr="00EE2520">
          <w:rPr>
            <w:noProof/>
            <w:webHidden/>
            <w:sz w:val="28"/>
            <w:szCs w:val="28"/>
          </w:rPr>
          <w:instrText xml:space="preserve"> PAGEREF _Toc121344040 \h </w:instrText>
        </w:r>
        <w:r w:rsidRPr="00EE2520">
          <w:rPr>
            <w:noProof/>
            <w:webHidden/>
            <w:sz w:val="28"/>
            <w:szCs w:val="28"/>
          </w:rPr>
        </w:r>
        <w:r w:rsidRPr="00EE2520">
          <w:rPr>
            <w:noProof/>
            <w:webHidden/>
            <w:sz w:val="28"/>
            <w:szCs w:val="28"/>
          </w:rPr>
          <w:fldChar w:fldCharType="separate"/>
        </w:r>
        <w:r w:rsidRPr="00EE2520">
          <w:rPr>
            <w:noProof/>
            <w:webHidden/>
            <w:sz w:val="28"/>
            <w:szCs w:val="28"/>
          </w:rPr>
          <w:t>11</w:t>
        </w:r>
        <w:r w:rsidRPr="00EE2520">
          <w:rPr>
            <w:noProof/>
            <w:webHidden/>
            <w:sz w:val="28"/>
            <w:szCs w:val="28"/>
          </w:rPr>
          <w:fldChar w:fldCharType="end"/>
        </w:r>
      </w:hyperlink>
    </w:p>
    <w:p w14:paraId="27B4D7E9" w14:textId="77777777" w:rsidR="009A396D" w:rsidRPr="00EE2520" w:rsidRDefault="00B52976" w:rsidP="00EE2520">
      <w:pPr>
        <w:pStyle w:val="TOC2"/>
        <w:tabs>
          <w:tab w:val="right" w:leader="dot" w:pos="9350"/>
        </w:tabs>
        <w:spacing w:line="360" w:lineRule="auto"/>
        <w:rPr>
          <w:rFonts w:ascii="Cambria" w:eastAsia="SimSun" w:hAnsi="Cambria" w:cs="SimSun"/>
          <w:noProof/>
          <w:sz w:val="28"/>
          <w:szCs w:val="28"/>
          <w:lang w:val="en-GB" w:eastAsia="en-GB"/>
        </w:rPr>
      </w:pPr>
      <w:hyperlink w:anchor="_Toc121344041" w:history="1">
        <w:r w:rsidRPr="00EE2520">
          <w:rPr>
            <w:rStyle w:val="Hyperlink"/>
            <w:noProof/>
            <w:sz w:val="28"/>
            <w:szCs w:val="28"/>
          </w:rPr>
          <w:t>Ratio Analysis</w:t>
        </w:r>
        <w:r w:rsidRPr="00EE2520">
          <w:rPr>
            <w:noProof/>
            <w:webHidden/>
            <w:sz w:val="28"/>
            <w:szCs w:val="28"/>
          </w:rPr>
          <w:tab/>
        </w:r>
        <w:r w:rsidRPr="00EE2520">
          <w:rPr>
            <w:noProof/>
            <w:webHidden/>
            <w:sz w:val="28"/>
            <w:szCs w:val="28"/>
          </w:rPr>
          <w:fldChar w:fldCharType="begin"/>
        </w:r>
        <w:r w:rsidRPr="00EE2520">
          <w:rPr>
            <w:noProof/>
            <w:webHidden/>
            <w:sz w:val="28"/>
            <w:szCs w:val="28"/>
          </w:rPr>
          <w:instrText xml:space="preserve"> PAGEREF _Toc121344041 \h </w:instrText>
        </w:r>
        <w:r w:rsidRPr="00EE2520">
          <w:rPr>
            <w:noProof/>
            <w:webHidden/>
            <w:sz w:val="28"/>
            <w:szCs w:val="28"/>
          </w:rPr>
        </w:r>
        <w:r w:rsidRPr="00EE2520">
          <w:rPr>
            <w:noProof/>
            <w:webHidden/>
            <w:sz w:val="28"/>
            <w:szCs w:val="28"/>
          </w:rPr>
          <w:fldChar w:fldCharType="separate"/>
        </w:r>
        <w:r w:rsidRPr="00EE2520">
          <w:rPr>
            <w:noProof/>
            <w:webHidden/>
            <w:sz w:val="28"/>
            <w:szCs w:val="28"/>
          </w:rPr>
          <w:t>13</w:t>
        </w:r>
        <w:r w:rsidRPr="00EE2520">
          <w:rPr>
            <w:noProof/>
            <w:webHidden/>
            <w:sz w:val="28"/>
            <w:szCs w:val="28"/>
          </w:rPr>
          <w:fldChar w:fldCharType="end"/>
        </w:r>
      </w:hyperlink>
    </w:p>
    <w:p w14:paraId="5FCBDB10" w14:textId="77777777" w:rsidR="009A396D" w:rsidRPr="00EE2520" w:rsidRDefault="00B52976" w:rsidP="00EE2520">
      <w:pPr>
        <w:pStyle w:val="TOC3"/>
        <w:tabs>
          <w:tab w:val="right" w:leader="dot" w:pos="9350"/>
        </w:tabs>
        <w:spacing w:line="360" w:lineRule="auto"/>
        <w:rPr>
          <w:rFonts w:ascii="Cambria" w:eastAsia="SimSun" w:hAnsi="Cambria" w:cs="SimSun"/>
          <w:noProof/>
          <w:sz w:val="28"/>
          <w:szCs w:val="28"/>
          <w:lang w:val="en-GB" w:eastAsia="en-GB"/>
        </w:rPr>
      </w:pPr>
      <w:hyperlink w:anchor="_Toc121344042" w:history="1">
        <w:r w:rsidRPr="00EE2520">
          <w:rPr>
            <w:rStyle w:val="Hyperlink"/>
            <w:noProof/>
            <w:sz w:val="28"/>
            <w:szCs w:val="28"/>
          </w:rPr>
          <w:t>Interpreting the financial statement and ratio calculation, comment on the financial performance and position of Sweets Plc</w:t>
        </w:r>
        <w:r w:rsidRPr="00EE2520">
          <w:rPr>
            <w:noProof/>
            <w:webHidden/>
            <w:sz w:val="28"/>
            <w:szCs w:val="28"/>
          </w:rPr>
          <w:tab/>
        </w:r>
        <w:r w:rsidRPr="00EE2520">
          <w:rPr>
            <w:noProof/>
            <w:webHidden/>
            <w:sz w:val="28"/>
            <w:szCs w:val="28"/>
          </w:rPr>
          <w:fldChar w:fldCharType="begin"/>
        </w:r>
        <w:r w:rsidRPr="00EE2520">
          <w:rPr>
            <w:noProof/>
            <w:webHidden/>
            <w:sz w:val="28"/>
            <w:szCs w:val="28"/>
          </w:rPr>
          <w:instrText xml:space="preserve"> PAGEREF _Toc121344042 \h </w:instrText>
        </w:r>
        <w:r w:rsidRPr="00EE2520">
          <w:rPr>
            <w:noProof/>
            <w:webHidden/>
            <w:sz w:val="28"/>
            <w:szCs w:val="28"/>
          </w:rPr>
        </w:r>
        <w:r w:rsidRPr="00EE2520">
          <w:rPr>
            <w:noProof/>
            <w:webHidden/>
            <w:sz w:val="28"/>
            <w:szCs w:val="28"/>
          </w:rPr>
          <w:fldChar w:fldCharType="separate"/>
        </w:r>
        <w:r w:rsidRPr="00EE2520">
          <w:rPr>
            <w:noProof/>
            <w:webHidden/>
            <w:sz w:val="28"/>
            <w:szCs w:val="28"/>
          </w:rPr>
          <w:t>17</w:t>
        </w:r>
        <w:r w:rsidRPr="00EE2520">
          <w:rPr>
            <w:noProof/>
            <w:webHidden/>
            <w:sz w:val="28"/>
            <w:szCs w:val="28"/>
          </w:rPr>
          <w:fldChar w:fldCharType="end"/>
        </w:r>
      </w:hyperlink>
    </w:p>
    <w:p w14:paraId="2A9FD15A" w14:textId="77777777" w:rsidR="009A396D" w:rsidRPr="00EE2520" w:rsidRDefault="00B52976" w:rsidP="00EE2520">
      <w:pPr>
        <w:pStyle w:val="TOC1"/>
        <w:tabs>
          <w:tab w:val="right" w:leader="dot" w:pos="9350"/>
        </w:tabs>
        <w:spacing w:line="360" w:lineRule="auto"/>
        <w:rPr>
          <w:rFonts w:ascii="Cambria" w:eastAsia="SimSun" w:hAnsi="Cambria" w:cs="SimSun"/>
          <w:noProof/>
          <w:sz w:val="28"/>
          <w:szCs w:val="28"/>
          <w:lang w:val="en-GB" w:eastAsia="en-GB"/>
        </w:rPr>
      </w:pPr>
      <w:hyperlink w:anchor="_Toc121344043" w:history="1">
        <w:r w:rsidRPr="00EE2520">
          <w:rPr>
            <w:rStyle w:val="Hyperlink"/>
            <w:noProof/>
            <w:sz w:val="28"/>
            <w:szCs w:val="28"/>
          </w:rPr>
          <w:t>Conclusion</w:t>
        </w:r>
        <w:r w:rsidRPr="00EE2520">
          <w:rPr>
            <w:noProof/>
            <w:webHidden/>
            <w:sz w:val="28"/>
            <w:szCs w:val="28"/>
          </w:rPr>
          <w:tab/>
        </w:r>
        <w:r w:rsidRPr="00EE2520">
          <w:rPr>
            <w:noProof/>
            <w:webHidden/>
            <w:sz w:val="28"/>
            <w:szCs w:val="28"/>
          </w:rPr>
          <w:fldChar w:fldCharType="begin"/>
        </w:r>
        <w:r w:rsidRPr="00EE2520">
          <w:rPr>
            <w:noProof/>
            <w:webHidden/>
            <w:sz w:val="28"/>
            <w:szCs w:val="28"/>
          </w:rPr>
          <w:instrText xml:space="preserve"> PAGEREF _Toc121344043 \h </w:instrText>
        </w:r>
        <w:r w:rsidRPr="00EE2520">
          <w:rPr>
            <w:noProof/>
            <w:webHidden/>
            <w:sz w:val="28"/>
            <w:szCs w:val="28"/>
          </w:rPr>
        </w:r>
        <w:r w:rsidRPr="00EE2520">
          <w:rPr>
            <w:noProof/>
            <w:webHidden/>
            <w:sz w:val="28"/>
            <w:szCs w:val="28"/>
          </w:rPr>
          <w:fldChar w:fldCharType="separate"/>
        </w:r>
        <w:r w:rsidRPr="00EE2520">
          <w:rPr>
            <w:noProof/>
            <w:webHidden/>
            <w:sz w:val="28"/>
            <w:szCs w:val="28"/>
          </w:rPr>
          <w:t>21</w:t>
        </w:r>
        <w:r w:rsidRPr="00EE2520">
          <w:rPr>
            <w:noProof/>
            <w:webHidden/>
            <w:sz w:val="28"/>
            <w:szCs w:val="28"/>
          </w:rPr>
          <w:fldChar w:fldCharType="end"/>
        </w:r>
      </w:hyperlink>
    </w:p>
    <w:p w14:paraId="502F29AF" w14:textId="77777777" w:rsidR="009A396D" w:rsidRPr="00EE2520" w:rsidRDefault="00B52976" w:rsidP="00EE2520">
      <w:pPr>
        <w:pStyle w:val="TOC1"/>
        <w:tabs>
          <w:tab w:val="right" w:leader="dot" w:pos="9350"/>
        </w:tabs>
        <w:spacing w:line="360" w:lineRule="auto"/>
        <w:rPr>
          <w:rFonts w:ascii="Cambria" w:eastAsia="SimSun" w:hAnsi="Cambria" w:cs="SimSun"/>
          <w:noProof/>
          <w:sz w:val="28"/>
          <w:szCs w:val="28"/>
          <w:lang w:val="en-GB" w:eastAsia="en-GB"/>
        </w:rPr>
      </w:pPr>
      <w:hyperlink w:anchor="_Toc121344044" w:history="1">
        <w:r w:rsidRPr="00EE2520">
          <w:rPr>
            <w:rStyle w:val="Hyperlink"/>
            <w:noProof/>
            <w:sz w:val="28"/>
            <w:szCs w:val="28"/>
          </w:rPr>
          <w:t>References</w:t>
        </w:r>
        <w:r w:rsidRPr="00EE2520">
          <w:rPr>
            <w:noProof/>
            <w:webHidden/>
            <w:sz w:val="28"/>
            <w:szCs w:val="28"/>
          </w:rPr>
          <w:tab/>
        </w:r>
        <w:r w:rsidRPr="00EE2520">
          <w:rPr>
            <w:noProof/>
            <w:webHidden/>
            <w:sz w:val="28"/>
            <w:szCs w:val="28"/>
          </w:rPr>
          <w:fldChar w:fldCharType="begin"/>
        </w:r>
        <w:r w:rsidRPr="00EE2520">
          <w:rPr>
            <w:noProof/>
            <w:webHidden/>
            <w:sz w:val="28"/>
            <w:szCs w:val="28"/>
          </w:rPr>
          <w:instrText xml:space="preserve"> PAGEREF </w:instrText>
        </w:r>
        <w:r w:rsidRPr="00EE2520">
          <w:rPr>
            <w:noProof/>
            <w:webHidden/>
            <w:sz w:val="28"/>
            <w:szCs w:val="28"/>
          </w:rPr>
          <w:instrText xml:space="preserve">_Toc121344044 \h </w:instrText>
        </w:r>
        <w:r w:rsidRPr="00EE2520">
          <w:rPr>
            <w:noProof/>
            <w:webHidden/>
            <w:sz w:val="28"/>
            <w:szCs w:val="28"/>
          </w:rPr>
        </w:r>
        <w:r w:rsidRPr="00EE2520">
          <w:rPr>
            <w:noProof/>
            <w:webHidden/>
            <w:sz w:val="28"/>
            <w:szCs w:val="28"/>
          </w:rPr>
          <w:fldChar w:fldCharType="separate"/>
        </w:r>
        <w:r w:rsidRPr="00EE2520">
          <w:rPr>
            <w:noProof/>
            <w:webHidden/>
            <w:sz w:val="28"/>
            <w:szCs w:val="28"/>
          </w:rPr>
          <w:t>22</w:t>
        </w:r>
        <w:r w:rsidRPr="00EE2520">
          <w:rPr>
            <w:noProof/>
            <w:webHidden/>
            <w:sz w:val="28"/>
            <w:szCs w:val="28"/>
          </w:rPr>
          <w:fldChar w:fldCharType="end"/>
        </w:r>
      </w:hyperlink>
    </w:p>
    <w:p w14:paraId="3C5EFD0F" w14:textId="77777777" w:rsidR="009A396D" w:rsidRDefault="00B52976" w:rsidP="00EE2520">
      <w:pPr>
        <w:spacing w:line="360" w:lineRule="auto"/>
      </w:pPr>
      <w:r w:rsidRPr="00EE2520">
        <w:rPr>
          <w:b/>
          <w:bCs/>
          <w:noProof/>
          <w:sz w:val="28"/>
          <w:szCs w:val="28"/>
        </w:rPr>
        <w:fldChar w:fldCharType="end"/>
      </w:r>
    </w:p>
    <w:p w14:paraId="231F042A" w14:textId="77777777" w:rsidR="009A396D" w:rsidRDefault="00B52976">
      <w:pPr>
        <w:spacing w:line="276" w:lineRule="auto"/>
        <w:jc w:val="left"/>
        <w:rPr>
          <w:rFonts w:eastAsia="Times New Roman" w:cs="Times New Roman"/>
          <w:b/>
          <w:sz w:val="28"/>
          <w:szCs w:val="28"/>
        </w:rPr>
      </w:pPr>
      <w:r>
        <w:br w:type="page"/>
      </w:r>
    </w:p>
    <w:p w14:paraId="0598121D" w14:textId="3E914D4C" w:rsidR="00EE2520" w:rsidRDefault="00B52976" w:rsidP="00EE2520">
      <w:pPr>
        <w:pStyle w:val="Heading1"/>
        <w:spacing w:line="360" w:lineRule="auto"/>
      </w:pPr>
      <w:bookmarkStart w:id="1" w:name="_Toc121344033"/>
      <w:r w:rsidRPr="00EE2520">
        <w:lastRenderedPageBreak/>
        <w:t>Introduction</w:t>
      </w:r>
      <w:bookmarkEnd w:id="0"/>
      <w:bookmarkEnd w:id="1"/>
      <w:r w:rsidR="00EE2520">
        <w:t>:</w:t>
      </w:r>
      <w:bookmarkStart w:id="2" w:name="_GoBack"/>
      <w:bookmarkEnd w:id="2"/>
    </w:p>
    <w:p w14:paraId="3A91B5C0" w14:textId="77777777" w:rsidR="00EE2520" w:rsidRPr="00EE2520" w:rsidRDefault="00EE2520" w:rsidP="00EE2520"/>
    <w:p w14:paraId="6D03EC43" w14:textId="195D2B8B" w:rsidR="009A396D" w:rsidRPr="00EE2520" w:rsidRDefault="00B52976" w:rsidP="00EE2520">
      <w:pPr>
        <w:spacing w:line="360" w:lineRule="auto"/>
        <w:rPr>
          <w:sz w:val="28"/>
          <w:szCs w:val="28"/>
        </w:rPr>
      </w:pPr>
      <w:r w:rsidRPr="00EE2520">
        <w:rPr>
          <w:sz w:val="28"/>
          <w:szCs w:val="28"/>
        </w:rPr>
        <w:t>The accounting fundamentals are concerning the different concepts of record keeping which is considered to be an important function in accounting pra</w:t>
      </w:r>
      <w:r w:rsidRPr="00EE2520">
        <w:rPr>
          <w:sz w:val="28"/>
          <w:szCs w:val="28"/>
        </w:rPr>
        <w:t>ctices. Businesses or industries should compile all of their finances as well as the accounting operations with the standard forms of retaining, analysing, storing as well as interpreting financial information. The organisation's accountants are divided in</w:t>
      </w:r>
      <w:r w:rsidRPr="00EE2520">
        <w:rPr>
          <w:sz w:val="28"/>
          <w:szCs w:val="28"/>
        </w:rPr>
        <w:t>to three different parts such as financial, managerial as well as income taxes. The following report has focused on the aspects of financial accounting which is mainly related to the preparation as well as the interpretation of different financial statemen</w:t>
      </w:r>
      <w:r w:rsidRPr="00EE2520">
        <w:rPr>
          <w:sz w:val="28"/>
          <w:szCs w:val="28"/>
        </w:rPr>
        <w:t>ts of the business organisation.</w:t>
      </w:r>
    </w:p>
    <w:p w14:paraId="41B7127D" w14:textId="77777777" w:rsidR="00EE2520" w:rsidRDefault="00EE2520" w:rsidP="009B0E0E"/>
    <w:p w14:paraId="274D156F" w14:textId="77777777" w:rsidR="00EE2520" w:rsidRDefault="00EE2520" w:rsidP="009B0E0E"/>
    <w:p w14:paraId="533C1CDD" w14:textId="77777777" w:rsidR="00EE2520" w:rsidRDefault="00EE2520" w:rsidP="009B0E0E"/>
    <w:p w14:paraId="442C2672" w14:textId="77777777" w:rsidR="00EE2520" w:rsidRDefault="00EE2520" w:rsidP="009B0E0E"/>
    <w:p w14:paraId="6CCBCD49" w14:textId="77777777" w:rsidR="00EE2520" w:rsidRDefault="00EE2520" w:rsidP="009B0E0E"/>
    <w:p w14:paraId="618F5C9C" w14:textId="77777777" w:rsidR="00EE2520" w:rsidRDefault="00EE2520" w:rsidP="009B0E0E"/>
    <w:p w14:paraId="53E0A683" w14:textId="77777777" w:rsidR="00EE2520" w:rsidRDefault="00EE2520" w:rsidP="009B0E0E"/>
    <w:p w14:paraId="6C60C142" w14:textId="77777777" w:rsidR="00EE2520" w:rsidRDefault="00EE2520" w:rsidP="009B0E0E"/>
    <w:p w14:paraId="56E300BA" w14:textId="77777777" w:rsidR="00EE2520" w:rsidRDefault="00EE2520" w:rsidP="009B0E0E"/>
    <w:p w14:paraId="5D9FD43B" w14:textId="77777777" w:rsidR="00EE2520" w:rsidRDefault="00EE2520" w:rsidP="009B0E0E"/>
    <w:p w14:paraId="579DD484" w14:textId="77777777" w:rsidR="00EE2520" w:rsidRDefault="00EE2520" w:rsidP="009B0E0E"/>
    <w:p w14:paraId="5CEEBA2C" w14:textId="77777777" w:rsidR="00EE2520" w:rsidRPr="009B0E0E" w:rsidRDefault="00EE2520" w:rsidP="009B0E0E"/>
    <w:p w14:paraId="4A8BBB14" w14:textId="77777777" w:rsidR="009A396D" w:rsidRPr="00EE2520" w:rsidRDefault="00B52976" w:rsidP="00EE2520">
      <w:pPr>
        <w:pStyle w:val="Heading2"/>
        <w:spacing w:line="360" w:lineRule="auto"/>
        <w:rPr>
          <w:sz w:val="28"/>
          <w:szCs w:val="28"/>
        </w:rPr>
      </w:pPr>
      <w:bookmarkStart w:id="3" w:name="_Toc121339303"/>
      <w:bookmarkStart w:id="4" w:name="_Toc121344034"/>
      <w:r w:rsidRPr="00EE2520">
        <w:rPr>
          <w:sz w:val="28"/>
          <w:szCs w:val="28"/>
        </w:rPr>
        <w:lastRenderedPageBreak/>
        <w:t>Users of financial statements and their needs</w:t>
      </w:r>
      <w:bookmarkEnd w:id="3"/>
      <w:bookmarkEnd w:id="4"/>
      <w:r w:rsidRPr="00EE2520">
        <w:rPr>
          <w:sz w:val="28"/>
          <w:szCs w:val="28"/>
        </w:rPr>
        <w:t xml:space="preserve"> </w:t>
      </w:r>
    </w:p>
    <w:p w14:paraId="6D94C81A" w14:textId="77777777" w:rsidR="009A396D" w:rsidRPr="00EE2520" w:rsidRDefault="00B52976" w:rsidP="00EE2520">
      <w:pPr>
        <w:spacing w:line="360" w:lineRule="auto"/>
        <w:rPr>
          <w:sz w:val="28"/>
          <w:szCs w:val="28"/>
        </w:rPr>
      </w:pPr>
      <w:r w:rsidRPr="00EE2520">
        <w:rPr>
          <w:sz w:val="28"/>
          <w:szCs w:val="28"/>
        </w:rPr>
        <w:t>The financial statements of the business organisation are utilised by the organisation's stakeholders who are related to the financial aspects such as the investors, market ana</w:t>
      </w:r>
      <w:r w:rsidRPr="00EE2520">
        <w:rPr>
          <w:sz w:val="28"/>
          <w:szCs w:val="28"/>
        </w:rPr>
        <w:t>lysts along with that creditors. This function ensures that the organisations can easily access the financial position of the businesses (</w:t>
      </w:r>
      <w:r w:rsidRPr="00EE2520">
        <w:rPr>
          <w:sz w:val="28"/>
          <w:szCs w:val="28"/>
          <w:shd w:val="clear" w:color="auto" w:fill="FFFFFF"/>
        </w:rPr>
        <w:t>Osadchy et al., 2018)</w:t>
      </w:r>
      <w:r w:rsidRPr="00EE2520">
        <w:rPr>
          <w:sz w:val="28"/>
          <w:szCs w:val="28"/>
        </w:rPr>
        <w:t xml:space="preserve">. The organisation's ability to take control over the financial resources is also assessed using </w:t>
      </w:r>
      <w:r w:rsidRPr="00EE2520">
        <w:rPr>
          <w:sz w:val="28"/>
          <w:szCs w:val="28"/>
        </w:rPr>
        <w:t xml:space="preserve">financial functions. Apart from these three financial users, the management, customers, and competitors are also considered to be the users of financial users who take their own financial decisions in different situations. There are two different parts of </w:t>
      </w:r>
      <w:r w:rsidRPr="00EE2520">
        <w:rPr>
          <w:sz w:val="28"/>
          <w:szCs w:val="28"/>
        </w:rPr>
        <w:t>the financial statements such as the external as well as the internal user. As the name suggests that the internal users are the ones who are internally linked with the operational activities (</w:t>
      </w:r>
      <w:r w:rsidRPr="00EE2520">
        <w:rPr>
          <w:sz w:val="28"/>
          <w:szCs w:val="28"/>
          <w:shd w:val="clear" w:color="auto" w:fill="FFFFFF"/>
        </w:rPr>
        <w:t>Nani, 2019)</w:t>
      </w:r>
      <w:r w:rsidRPr="00EE2520">
        <w:rPr>
          <w:sz w:val="28"/>
          <w:szCs w:val="28"/>
        </w:rPr>
        <w:t xml:space="preserve">. </w:t>
      </w:r>
    </w:p>
    <w:p w14:paraId="7FCD857A" w14:textId="77777777" w:rsidR="009A396D" w:rsidRPr="00EE2520" w:rsidRDefault="00B52976" w:rsidP="00EE2520">
      <w:pPr>
        <w:spacing w:line="360" w:lineRule="auto"/>
        <w:rPr>
          <w:sz w:val="28"/>
          <w:szCs w:val="28"/>
        </w:rPr>
      </w:pPr>
      <w:r w:rsidRPr="00EE2520">
        <w:rPr>
          <w:sz w:val="28"/>
          <w:szCs w:val="28"/>
        </w:rPr>
        <w:t>The external users on the other hand imply the stakeholders who are externally associated with the business process such as the customers, investors and the other leaders of the business. Based on different literature, it has been stated that if individual</w:t>
      </w:r>
      <w:r w:rsidRPr="00EE2520">
        <w:rPr>
          <w:sz w:val="28"/>
          <w:szCs w:val="28"/>
        </w:rPr>
        <w:t>s interpret the data wrong or any kind of misinformation is supported, it could lead to drastic changes in business operations. Therefore, it can be said that the financial statements of the organisations need to be rechecked and that can help in analysing</w:t>
      </w:r>
      <w:r w:rsidRPr="00EE2520">
        <w:rPr>
          <w:sz w:val="28"/>
          <w:szCs w:val="28"/>
        </w:rPr>
        <w:t xml:space="preserve"> their financial position (</w:t>
      </w:r>
      <w:r w:rsidRPr="00EE2520">
        <w:rPr>
          <w:sz w:val="28"/>
          <w:szCs w:val="28"/>
          <w:shd w:val="clear" w:color="auto" w:fill="FFFFFF"/>
        </w:rPr>
        <w:t>Palepu et al., 2020)</w:t>
      </w:r>
      <w:r w:rsidRPr="00EE2520">
        <w:rPr>
          <w:sz w:val="28"/>
          <w:szCs w:val="28"/>
        </w:rPr>
        <w:t xml:space="preserve">. The preparation of the financial statements is mainly required by the ones who are completely associated with the business organisation and that is needed to be analysed effectively. </w:t>
      </w:r>
    </w:p>
    <w:p w14:paraId="68B0FBF1" w14:textId="3927866E" w:rsidR="009A396D" w:rsidRPr="00EE2520" w:rsidRDefault="00B52976" w:rsidP="00EE2520">
      <w:pPr>
        <w:spacing w:line="360" w:lineRule="auto"/>
        <w:rPr>
          <w:sz w:val="28"/>
          <w:szCs w:val="28"/>
        </w:rPr>
      </w:pPr>
      <w:r w:rsidRPr="00EE2520">
        <w:rPr>
          <w:sz w:val="28"/>
          <w:szCs w:val="28"/>
        </w:rPr>
        <w:t>The financial statement</w:t>
      </w:r>
      <w:r w:rsidRPr="00EE2520">
        <w:rPr>
          <w:sz w:val="28"/>
          <w:szCs w:val="28"/>
        </w:rPr>
        <w:t>s also include different measurements that are related to the financial health of the businesses which can help in getting a deeper insight into the performance of the businesses, their operational activities and their cash flows (</w:t>
      </w:r>
      <w:r w:rsidRPr="00EE2520">
        <w:rPr>
          <w:sz w:val="28"/>
          <w:szCs w:val="28"/>
          <w:shd w:val="clear" w:color="auto" w:fill="FFFFFF"/>
        </w:rPr>
        <w:t>Fridson and Alvarez, 2022</w:t>
      </w:r>
      <w:r w:rsidRPr="00EE2520">
        <w:rPr>
          <w:sz w:val="28"/>
          <w:szCs w:val="28"/>
          <w:shd w:val="clear" w:color="auto" w:fill="FFFFFF"/>
        </w:rPr>
        <w:t>)</w:t>
      </w:r>
      <w:r w:rsidRPr="00EE2520">
        <w:rPr>
          <w:sz w:val="28"/>
          <w:szCs w:val="28"/>
        </w:rPr>
        <w:t xml:space="preserve">. It has already been mentioned in the above section that there are three different types of financial statements that are associated with </w:t>
      </w:r>
      <w:r w:rsidRPr="00EE2520">
        <w:rPr>
          <w:sz w:val="28"/>
          <w:szCs w:val="28"/>
        </w:rPr>
        <w:lastRenderedPageBreak/>
        <w:t xml:space="preserve">the income statement, balance sheet and cash flow. These financial aspects provide an in-dept analysis of the total </w:t>
      </w:r>
      <w:r w:rsidRPr="00EE2520">
        <w:rPr>
          <w:sz w:val="28"/>
          <w:szCs w:val="28"/>
        </w:rPr>
        <w:t xml:space="preserve">income, assets along with liabilities of the business organisations. </w:t>
      </w:r>
    </w:p>
    <w:p w14:paraId="68BE3D64" w14:textId="77777777" w:rsidR="009A396D" w:rsidRPr="00EE2520" w:rsidRDefault="00B52976" w:rsidP="00EE2520">
      <w:pPr>
        <w:pStyle w:val="Heading2"/>
        <w:spacing w:line="360" w:lineRule="auto"/>
        <w:rPr>
          <w:sz w:val="28"/>
          <w:szCs w:val="28"/>
        </w:rPr>
      </w:pPr>
      <w:bookmarkStart w:id="5" w:name="_Toc121339304"/>
      <w:bookmarkStart w:id="6" w:name="_Toc121344035"/>
      <w:r w:rsidRPr="00EE2520">
        <w:rPr>
          <w:sz w:val="28"/>
          <w:szCs w:val="28"/>
        </w:rPr>
        <w:t>Principles in financial statement</w:t>
      </w:r>
      <w:bookmarkEnd w:id="5"/>
      <w:bookmarkEnd w:id="6"/>
      <w:r w:rsidRPr="00EE2520">
        <w:rPr>
          <w:sz w:val="28"/>
          <w:szCs w:val="28"/>
        </w:rPr>
        <w:t xml:space="preserve"> </w:t>
      </w:r>
    </w:p>
    <w:p w14:paraId="6546144C" w14:textId="77777777" w:rsidR="009A396D" w:rsidRPr="00EE2520" w:rsidRDefault="00B52976" w:rsidP="00EE2520">
      <w:pPr>
        <w:spacing w:line="360" w:lineRule="auto"/>
        <w:rPr>
          <w:sz w:val="28"/>
          <w:szCs w:val="28"/>
        </w:rPr>
      </w:pPr>
      <w:r w:rsidRPr="00EE2520">
        <w:rPr>
          <w:sz w:val="28"/>
          <w:szCs w:val="28"/>
        </w:rPr>
        <w:t>The principles of financial accounting according to the different books, and journals have been defined as the core process that allows businesses to m</w:t>
      </w:r>
      <w:r w:rsidRPr="00EE2520">
        <w:rPr>
          <w:sz w:val="28"/>
          <w:szCs w:val="28"/>
        </w:rPr>
        <w:t>anage the financial aspects including the annual budget of the business organisation. Five different principles are related to the businesses and are associated with consistency, justification, certification, timelessness, and of certification (</w:t>
      </w:r>
      <w:r w:rsidRPr="00EE2520">
        <w:rPr>
          <w:sz w:val="28"/>
          <w:szCs w:val="28"/>
          <w:shd w:val="clear" w:color="auto" w:fill="FFFFFF"/>
        </w:rPr>
        <w:t>JOHN, 2022)</w:t>
      </w:r>
      <w:r w:rsidRPr="00EE2520">
        <w:rPr>
          <w:sz w:val="28"/>
          <w:szCs w:val="28"/>
        </w:rPr>
        <w:t>. The main for maintaining the financial principles which often underlie the financial statements is basically to guide the businesses as well as the managers to make the right investments and that can help them to generate revenues. Further, among the dif</w:t>
      </w:r>
      <w:r w:rsidRPr="00EE2520">
        <w:rPr>
          <w:sz w:val="28"/>
          <w:szCs w:val="28"/>
        </w:rPr>
        <w:t>ferent financial principles, it is very important to highlight and maintain a great cash flow. This shall enable the financial managers to create an alert for the financial managers regarding any negative cash flow and that can help in avoiding different r</w:t>
      </w:r>
      <w:r w:rsidRPr="00EE2520">
        <w:rPr>
          <w:sz w:val="28"/>
          <w:szCs w:val="28"/>
        </w:rPr>
        <w:t>isks related to the process (</w:t>
      </w:r>
      <w:r w:rsidRPr="00EE2520">
        <w:rPr>
          <w:sz w:val="28"/>
          <w:szCs w:val="28"/>
          <w:shd w:val="clear" w:color="auto" w:fill="FFFFFF"/>
        </w:rPr>
        <w:t>Robinson, 2020)</w:t>
      </w:r>
      <w:r w:rsidRPr="00EE2520">
        <w:rPr>
          <w:sz w:val="28"/>
          <w:szCs w:val="28"/>
        </w:rPr>
        <w:t>.</w:t>
      </w:r>
    </w:p>
    <w:p w14:paraId="4C8581D3" w14:textId="3524BCFF" w:rsidR="009A396D" w:rsidRPr="00EE2520" w:rsidRDefault="00B52976" w:rsidP="00EE2520">
      <w:pPr>
        <w:spacing w:line="360" w:lineRule="auto"/>
        <w:rPr>
          <w:rFonts w:eastAsia="Times New Roman" w:cs="Times New Roman"/>
          <w:b/>
          <w:sz w:val="28"/>
          <w:szCs w:val="28"/>
        </w:rPr>
      </w:pPr>
      <w:r w:rsidRPr="00EE2520">
        <w:rPr>
          <w:sz w:val="28"/>
          <w:szCs w:val="28"/>
        </w:rPr>
        <w:t>Accounting principles can help in guiding businesses in preparing for the vast and various financial statements through which they can maintain consistency with different comparisons. Further, computing the fin</w:t>
      </w:r>
      <w:r w:rsidRPr="00EE2520">
        <w:rPr>
          <w:sz w:val="28"/>
          <w:szCs w:val="28"/>
        </w:rPr>
        <w:t xml:space="preserve">ancial statements can help in enhancing the income statements using which can draw the attention of the investors towards the process and that could help in getting engaged towards the important process. They shall also be able to enhance and increase the </w:t>
      </w:r>
      <w:r w:rsidRPr="00EE2520">
        <w:rPr>
          <w:sz w:val="28"/>
          <w:szCs w:val="28"/>
        </w:rPr>
        <w:t>efficiency of the work process (</w:t>
      </w:r>
      <w:r w:rsidRPr="00EE2520">
        <w:rPr>
          <w:sz w:val="28"/>
          <w:szCs w:val="28"/>
          <w:shd w:val="clear" w:color="auto" w:fill="FFFFFF"/>
        </w:rPr>
        <w:t>Fenyves et al., 2018)</w:t>
      </w:r>
      <w:r w:rsidRPr="00EE2520">
        <w:rPr>
          <w:sz w:val="28"/>
          <w:szCs w:val="28"/>
        </w:rPr>
        <w:t xml:space="preserve">. </w:t>
      </w:r>
    </w:p>
    <w:p w14:paraId="38D249CE" w14:textId="797E7F81" w:rsidR="009A396D" w:rsidRPr="00EE2520" w:rsidRDefault="00B52976" w:rsidP="00EE2520">
      <w:pPr>
        <w:pStyle w:val="Heading2"/>
        <w:spacing w:line="360" w:lineRule="auto"/>
        <w:rPr>
          <w:sz w:val="28"/>
          <w:szCs w:val="28"/>
        </w:rPr>
      </w:pPr>
      <w:bookmarkStart w:id="7" w:name="_Toc121339305"/>
      <w:bookmarkStart w:id="8" w:name="_Toc121344036"/>
      <w:r w:rsidRPr="00EE2520">
        <w:rPr>
          <w:sz w:val="28"/>
          <w:szCs w:val="28"/>
        </w:rPr>
        <w:lastRenderedPageBreak/>
        <w:t>Recognize the measuring problems arising in financial accounting</w:t>
      </w:r>
      <w:bookmarkEnd w:id="7"/>
      <w:bookmarkEnd w:id="8"/>
      <w:r w:rsidRPr="00EE2520">
        <w:rPr>
          <w:sz w:val="28"/>
          <w:szCs w:val="28"/>
        </w:rPr>
        <w:t xml:space="preserve"> </w:t>
      </w:r>
    </w:p>
    <w:p w14:paraId="7666289E" w14:textId="77777777" w:rsidR="009A396D" w:rsidRPr="00EE2520" w:rsidRDefault="00B52976" w:rsidP="00EE2520">
      <w:pPr>
        <w:spacing w:line="360" w:lineRule="auto"/>
        <w:rPr>
          <w:sz w:val="28"/>
          <w:szCs w:val="28"/>
        </w:rPr>
      </w:pPr>
      <w:r w:rsidRPr="00EE2520">
        <w:rPr>
          <w:sz w:val="28"/>
          <w:szCs w:val="28"/>
        </w:rPr>
        <w:t xml:space="preserve">The financial assessment is often the one that is related to </w:t>
      </w:r>
      <w:proofErr w:type="gramStart"/>
      <w:r w:rsidRPr="00EE2520">
        <w:rPr>
          <w:sz w:val="28"/>
          <w:szCs w:val="28"/>
        </w:rPr>
        <w:t>conversing</w:t>
      </w:r>
      <w:proofErr w:type="gramEnd"/>
      <w:r w:rsidRPr="00EE2520">
        <w:rPr>
          <w:sz w:val="28"/>
          <w:szCs w:val="28"/>
        </w:rPr>
        <w:t xml:space="preserve"> the financial as well as the economic data into different mone</w:t>
      </w:r>
      <w:r w:rsidRPr="00EE2520">
        <w:rPr>
          <w:sz w:val="28"/>
          <w:szCs w:val="28"/>
        </w:rPr>
        <w:t>tary, hourly and other units. Accounting measuring methods help in comparing and evaluating the information related to accounting. Different issues can often impact the different financial reporting measurement bases like the value towards the firm, the fa</w:t>
      </w:r>
      <w:r w:rsidRPr="00EE2520">
        <w:rPr>
          <w:sz w:val="28"/>
          <w:szCs w:val="28"/>
        </w:rPr>
        <w:t>ir value, the net realizable value and absorption costing (</w:t>
      </w:r>
      <w:r w:rsidRPr="00EE2520">
        <w:rPr>
          <w:sz w:val="28"/>
          <w:szCs w:val="28"/>
          <w:shd w:val="clear" w:color="auto" w:fill="FFFFFF"/>
        </w:rPr>
        <w:t>Jean-Paul and Martine, 2018)</w:t>
      </w:r>
      <w:r w:rsidRPr="00EE2520">
        <w:rPr>
          <w:sz w:val="28"/>
          <w:szCs w:val="28"/>
        </w:rPr>
        <w:t xml:space="preserve">. Three different issues are also associated with this that can often make an impact on the accounting process and these are related to making mistakes in the financial </w:t>
      </w:r>
      <w:r w:rsidRPr="00EE2520">
        <w:rPr>
          <w:sz w:val="28"/>
          <w:szCs w:val="28"/>
        </w:rPr>
        <w:t xml:space="preserve">statement, differences in judgements and the misreporting system. These mistakes can make an impact on the business features and that can result in the overall business process through which one can aim at enhancing the existing business features. </w:t>
      </w:r>
    </w:p>
    <w:p w14:paraId="19557798" w14:textId="77777777" w:rsidR="00EE2520" w:rsidRDefault="00B52976" w:rsidP="00EE2520">
      <w:pPr>
        <w:spacing w:line="360" w:lineRule="auto"/>
        <w:rPr>
          <w:sz w:val="28"/>
          <w:szCs w:val="28"/>
        </w:rPr>
      </w:pPr>
      <w:r w:rsidRPr="00EE2520">
        <w:rPr>
          <w:sz w:val="28"/>
          <w:szCs w:val="28"/>
        </w:rPr>
        <w:t>Differe</w:t>
      </w:r>
      <w:r w:rsidRPr="00EE2520">
        <w:rPr>
          <w:sz w:val="28"/>
          <w:szCs w:val="28"/>
        </w:rPr>
        <w:t>nt researchers as well as scholars have been able to demonstrate significant reasons or the different causes that can impact the leaders in a greater way. It shall also enhance the existing activities of the business situation. Inaccurate knowledge about f</w:t>
      </w:r>
      <w:r w:rsidRPr="00EE2520">
        <w:rPr>
          <w:sz w:val="28"/>
          <w:szCs w:val="28"/>
        </w:rPr>
        <w:t>inancial accounting can also result in such an activity that might often reduce the significant chances for the business to create an impact within the overall competitive sphere (</w:t>
      </w:r>
      <w:r w:rsidRPr="00EE2520">
        <w:rPr>
          <w:sz w:val="28"/>
          <w:szCs w:val="28"/>
          <w:shd w:val="clear" w:color="auto" w:fill="FFFFFF"/>
        </w:rPr>
        <w:t>Kaydos, 2020)</w:t>
      </w:r>
      <w:r w:rsidRPr="00EE2520">
        <w:rPr>
          <w:sz w:val="28"/>
          <w:szCs w:val="28"/>
        </w:rPr>
        <w:t>. Bad investments and huge losses incurred by the business orga</w:t>
      </w:r>
      <w:r w:rsidRPr="00EE2520">
        <w:rPr>
          <w:sz w:val="28"/>
          <w:szCs w:val="28"/>
        </w:rPr>
        <w:t>nisation can also make an impact within the business organisation and that shall reduce the effective opportunities for them to sustain in the competitive sphere. Hence, it is recommended the businesses suggest different measures to the organisation to ens</w:t>
      </w:r>
      <w:r w:rsidRPr="00EE2520">
        <w:rPr>
          <w:sz w:val="28"/>
          <w:szCs w:val="28"/>
        </w:rPr>
        <w:t>ure that they can take up the correct financial process. They are also able to enhance and create their positioning in the competitive sphere through which they could reduce the significant business aspects in the complete process.</w:t>
      </w:r>
    </w:p>
    <w:p w14:paraId="216C7782" w14:textId="7ED9CF04" w:rsidR="009A396D" w:rsidRPr="00EE2520" w:rsidRDefault="00B52976" w:rsidP="00EE2520">
      <w:pPr>
        <w:spacing w:line="360" w:lineRule="auto"/>
        <w:rPr>
          <w:sz w:val="28"/>
          <w:szCs w:val="28"/>
        </w:rPr>
      </w:pPr>
      <w:r w:rsidRPr="00EE2520">
        <w:rPr>
          <w:sz w:val="28"/>
          <w:szCs w:val="28"/>
        </w:rPr>
        <w:lastRenderedPageBreak/>
        <w:t xml:space="preserve"> In this way, it can help</w:t>
      </w:r>
      <w:r w:rsidRPr="00EE2520">
        <w:rPr>
          <w:sz w:val="28"/>
          <w:szCs w:val="28"/>
        </w:rPr>
        <w:t xml:space="preserve"> in the preparation and the involvement of different business attributes that can generate higher revenues for the overall business features.</w:t>
      </w:r>
      <w:r w:rsidR="009B0E0E" w:rsidRPr="00EE2520">
        <w:rPr>
          <w:sz w:val="28"/>
          <w:szCs w:val="28"/>
        </w:rPr>
        <w:t xml:space="preserve"> </w:t>
      </w:r>
      <w:bookmarkStart w:id="9" w:name="_Toc121339306"/>
      <w:bookmarkStart w:id="10" w:name="_Toc121344037"/>
      <w:proofErr w:type="gramStart"/>
      <w:r w:rsidRPr="00EE2520">
        <w:rPr>
          <w:sz w:val="28"/>
          <w:szCs w:val="28"/>
        </w:rPr>
        <w:t>Income statement and financial position for Wales Plc</w:t>
      </w:r>
      <w:bookmarkEnd w:id="9"/>
      <w:bookmarkEnd w:id="10"/>
      <w:r w:rsidR="00EE2520">
        <w:rPr>
          <w:sz w:val="28"/>
          <w:szCs w:val="28"/>
        </w:rPr>
        <w:t>.</w:t>
      </w:r>
      <w:proofErr w:type="gramEnd"/>
    </w:p>
    <w:p w14:paraId="58774723" w14:textId="2AA6818E" w:rsidR="009A396D" w:rsidRPr="00EE2520" w:rsidRDefault="00B52976" w:rsidP="009B0E0E">
      <w:pPr>
        <w:pStyle w:val="Heading3"/>
        <w:rPr>
          <w:sz w:val="28"/>
        </w:rPr>
      </w:pPr>
      <w:bookmarkStart w:id="11" w:name="_Toc121339307"/>
      <w:bookmarkStart w:id="12" w:name="_Toc121344038"/>
      <w:r w:rsidRPr="00EE2520">
        <w:rPr>
          <w:sz w:val="28"/>
        </w:rPr>
        <w:t>Calculating the Income Statement of Wales Plc</w:t>
      </w:r>
      <w:bookmarkEnd w:id="11"/>
      <w:bookmarkEnd w:id="12"/>
      <w:r w:rsidRPr="00EE2520">
        <w:rPr>
          <w:sz w:val="28"/>
        </w:rPr>
        <w:t xml:space="preserve"> </w:t>
      </w:r>
    </w:p>
    <w:tbl>
      <w:tblPr>
        <w:tblStyle w:val="a"/>
        <w:tblW w:w="573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4050"/>
        <w:gridCol w:w="1680"/>
      </w:tblGrid>
      <w:tr w:rsidR="009A396D" w:rsidRPr="00EE2520" w14:paraId="21A68A1C" w14:textId="77777777" w:rsidTr="009B0E0E">
        <w:trPr>
          <w:trHeight w:val="515"/>
          <w:jc w:val="center"/>
        </w:trPr>
        <w:tc>
          <w:tcPr>
            <w:tcW w:w="5730" w:type="dxa"/>
            <w:gridSpan w:val="2"/>
            <w:shd w:val="clear" w:color="auto" w:fill="FFC000"/>
            <w:tcMar>
              <w:top w:w="100" w:type="dxa"/>
              <w:left w:w="100" w:type="dxa"/>
              <w:bottom w:w="100" w:type="dxa"/>
              <w:right w:w="100" w:type="dxa"/>
            </w:tcMar>
            <w:vAlign w:val="bottom"/>
          </w:tcPr>
          <w:p w14:paraId="72F0F9A8" w14:textId="77777777" w:rsidR="009A396D" w:rsidRPr="00EE2520" w:rsidRDefault="00B52976">
            <w:pPr>
              <w:spacing w:before="240"/>
              <w:jc w:val="center"/>
              <w:rPr>
                <w:rFonts w:eastAsia="Times New Roman" w:cs="Times New Roman"/>
                <w:b/>
                <w:sz w:val="28"/>
                <w:szCs w:val="28"/>
              </w:rPr>
            </w:pPr>
            <w:r w:rsidRPr="00EE2520">
              <w:rPr>
                <w:rFonts w:eastAsia="Times New Roman" w:cs="Times New Roman"/>
                <w:b/>
                <w:sz w:val="28"/>
                <w:szCs w:val="28"/>
              </w:rPr>
              <w:t xml:space="preserve">“Computation </w:t>
            </w:r>
            <w:r w:rsidRPr="00EE2520">
              <w:rPr>
                <w:rFonts w:eastAsia="Times New Roman" w:cs="Times New Roman"/>
                <w:b/>
                <w:sz w:val="28"/>
                <w:szCs w:val="28"/>
              </w:rPr>
              <w:t>of Income Statement of Wales Plc”</w:t>
            </w:r>
          </w:p>
        </w:tc>
      </w:tr>
      <w:tr w:rsidR="009A396D" w:rsidRPr="00EE2520" w14:paraId="7CEACF5E" w14:textId="77777777" w:rsidTr="009B0E0E">
        <w:trPr>
          <w:trHeight w:val="515"/>
          <w:jc w:val="center"/>
        </w:trPr>
        <w:tc>
          <w:tcPr>
            <w:tcW w:w="4050" w:type="dxa"/>
            <w:shd w:val="clear" w:color="auto" w:fill="00B050"/>
            <w:tcMar>
              <w:top w:w="100" w:type="dxa"/>
              <w:left w:w="100" w:type="dxa"/>
              <w:bottom w:w="100" w:type="dxa"/>
              <w:right w:w="100" w:type="dxa"/>
            </w:tcMar>
            <w:vAlign w:val="bottom"/>
          </w:tcPr>
          <w:p w14:paraId="0D0D1331" w14:textId="77777777" w:rsidR="009A396D" w:rsidRPr="00EE2520" w:rsidRDefault="00B52976">
            <w:pPr>
              <w:spacing w:before="240"/>
              <w:jc w:val="center"/>
              <w:rPr>
                <w:rFonts w:eastAsia="Times New Roman" w:cs="Times New Roman"/>
                <w:b/>
                <w:sz w:val="28"/>
                <w:szCs w:val="28"/>
              </w:rPr>
            </w:pPr>
            <w:r w:rsidRPr="00EE2520">
              <w:rPr>
                <w:rFonts w:eastAsia="Times New Roman" w:cs="Times New Roman"/>
                <w:b/>
                <w:sz w:val="28"/>
                <w:szCs w:val="28"/>
              </w:rPr>
              <w:t>Particulars</w:t>
            </w:r>
          </w:p>
        </w:tc>
        <w:tc>
          <w:tcPr>
            <w:tcW w:w="1680" w:type="dxa"/>
            <w:shd w:val="clear" w:color="auto" w:fill="00B050"/>
            <w:tcMar>
              <w:top w:w="100" w:type="dxa"/>
              <w:left w:w="100" w:type="dxa"/>
              <w:bottom w:w="100" w:type="dxa"/>
              <w:right w:w="100" w:type="dxa"/>
            </w:tcMar>
            <w:vAlign w:val="bottom"/>
          </w:tcPr>
          <w:p w14:paraId="49A5E90F" w14:textId="77777777" w:rsidR="009A396D" w:rsidRPr="00EE2520" w:rsidRDefault="00B52976">
            <w:pPr>
              <w:spacing w:before="240"/>
              <w:jc w:val="center"/>
              <w:rPr>
                <w:rFonts w:eastAsia="Times New Roman" w:cs="Times New Roman"/>
                <w:b/>
                <w:sz w:val="28"/>
                <w:szCs w:val="28"/>
              </w:rPr>
            </w:pPr>
            <w:r w:rsidRPr="00EE2520">
              <w:rPr>
                <w:rFonts w:eastAsia="Times New Roman" w:cs="Times New Roman"/>
                <w:b/>
                <w:sz w:val="28"/>
                <w:szCs w:val="28"/>
              </w:rPr>
              <w:t>Amount</w:t>
            </w:r>
          </w:p>
        </w:tc>
      </w:tr>
      <w:tr w:rsidR="009A396D" w:rsidRPr="00EE2520" w14:paraId="6A67F104" w14:textId="77777777" w:rsidTr="009B0E0E">
        <w:trPr>
          <w:trHeight w:val="515"/>
          <w:jc w:val="center"/>
        </w:trPr>
        <w:tc>
          <w:tcPr>
            <w:tcW w:w="4050" w:type="dxa"/>
            <w:shd w:val="clear" w:color="auto" w:fill="auto"/>
            <w:tcMar>
              <w:top w:w="100" w:type="dxa"/>
              <w:left w:w="100" w:type="dxa"/>
              <w:bottom w:w="100" w:type="dxa"/>
              <w:right w:w="100" w:type="dxa"/>
            </w:tcMar>
          </w:tcPr>
          <w:p w14:paraId="57225111"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“Revenue”</w:t>
            </w:r>
          </w:p>
        </w:tc>
        <w:tc>
          <w:tcPr>
            <w:tcW w:w="1680" w:type="dxa"/>
            <w:shd w:val="clear" w:color="auto" w:fill="auto"/>
            <w:tcMar>
              <w:top w:w="100" w:type="dxa"/>
              <w:left w:w="100" w:type="dxa"/>
              <w:bottom w:w="100" w:type="dxa"/>
              <w:right w:w="100" w:type="dxa"/>
            </w:tcMar>
          </w:tcPr>
          <w:p w14:paraId="5A8CE632"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8,00,000</w:t>
            </w:r>
          </w:p>
        </w:tc>
      </w:tr>
      <w:tr w:rsidR="009A396D" w:rsidRPr="00EE2520" w14:paraId="198A8F6E" w14:textId="77777777" w:rsidTr="009B0E0E">
        <w:trPr>
          <w:trHeight w:val="500"/>
          <w:jc w:val="center"/>
        </w:trPr>
        <w:tc>
          <w:tcPr>
            <w:tcW w:w="4050" w:type="dxa"/>
            <w:shd w:val="clear" w:color="auto" w:fill="auto"/>
            <w:tcMar>
              <w:top w:w="100" w:type="dxa"/>
              <w:left w:w="100" w:type="dxa"/>
              <w:bottom w:w="100" w:type="dxa"/>
              <w:right w:w="100" w:type="dxa"/>
            </w:tcMar>
          </w:tcPr>
          <w:p w14:paraId="30961307"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“Cost of sales”</w:t>
            </w:r>
          </w:p>
        </w:tc>
        <w:tc>
          <w:tcPr>
            <w:tcW w:w="1680" w:type="dxa"/>
            <w:shd w:val="clear" w:color="auto" w:fill="auto"/>
            <w:tcMar>
              <w:top w:w="100" w:type="dxa"/>
              <w:left w:w="100" w:type="dxa"/>
              <w:bottom w:w="100" w:type="dxa"/>
              <w:right w:w="100" w:type="dxa"/>
            </w:tcMar>
          </w:tcPr>
          <w:p w14:paraId="0864AE97"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5,78,650</w:t>
            </w:r>
          </w:p>
        </w:tc>
      </w:tr>
      <w:tr w:rsidR="009A396D" w:rsidRPr="00EE2520" w14:paraId="7248A51F" w14:textId="77777777" w:rsidTr="009B0E0E">
        <w:trPr>
          <w:trHeight w:val="500"/>
          <w:jc w:val="center"/>
        </w:trPr>
        <w:tc>
          <w:tcPr>
            <w:tcW w:w="4050" w:type="dxa"/>
            <w:shd w:val="clear" w:color="auto" w:fill="auto"/>
            <w:tcMar>
              <w:top w:w="100" w:type="dxa"/>
              <w:left w:w="100" w:type="dxa"/>
              <w:bottom w:w="100" w:type="dxa"/>
              <w:right w:w="100" w:type="dxa"/>
            </w:tcMar>
          </w:tcPr>
          <w:p w14:paraId="73AD27C1"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“Gross profit”</w:t>
            </w:r>
          </w:p>
        </w:tc>
        <w:tc>
          <w:tcPr>
            <w:tcW w:w="1680" w:type="dxa"/>
            <w:shd w:val="clear" w:color="auto" w:fill="auto"/>
            <w:tcMar>
              <w:top w:w="100" w:type="dxa"/>
              <w:left w:w="100" w:type="dxa"/>
              <w:bottom w:w="100" w:type="dxa"/>
              <w:right w:w="100" w:type="dxa"/>
            </w:tcMar>
          </w:tcPr>
          <w:p w14:paraId="54DB0B2D"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221350</w:t>
            </w:r>
          </w:p>
        </w:tc>
      </w:tr>
      <w:tr w:rsidR="009A396D" w:rsidRPr="00EE2520" w14:paraId="09B7F541" w14:textId="77777777" w:rsidTr="009B0E0E">
        <w:trPr>
          <w:trHeight w:val="500"/>
          <w:jc w:val="center"/>
        </w:trPr>
        <w:tc>
          <w:tcPr>
            <w:tcW w:w="4050" w:type="dxa"/>
            <w:shd w:val="clear" w:color="auto" w:fill="auto"/>
            <w:tcMar>
              <w:top w:w="100" w:type="dxa"/>
              <w:left w:w="100" w:type="dxa"/>
              <w:bottom w:w="100" w:type="dxa"/>
              <w:right w:w="100" w:type="dxa"/>
            </w:tcMar>
          </w:tcPr>
          <w:p w14:paraId="67F3860D"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“Administrative expenses”</w:t>
            </w:r>
          </w:p>
        </w:tc>
        <w:tc>
          <w:tcPr>
            <w:tcW w:w="1680" w:type="dxa"/>
            <w:shd w:val="clear" w:color="auto" w:fill="auto"/>
            <w:tcMar>
              <w:top w:w="100" w:type="dxa"/>
              <w:left w:w="100" w:type="dxa"/>
              <w:bottom w:w="100" w:type="dxa"/>
              <w:right w:w="100" w:type="dxa"/>
            </w:tcMar>
          </w:tcPr>
          <w:p w14:paraId="046AA13B"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30,000</w:t>
            </w:r>
          </w:p>
        </w:tc>
      </w:tr>
      <w:tr w:rsidR="009A396D" w:rsidRPr="00EE2520" w14:paraId="08C468AA" w14:textId="77777777" w:rsidTr="009B0E0E">
        <w:trPr>
          <w:trHeight w:val="500"/>
          <w:jc w:val="center"/>
        </w:trPr>
        <w:tc>
          <w:tcPr>
            <w:tcW w:w="4050" w:type="dxa"/>
            <w:shd w:val="clear" w:color="auto" w:fill="auto"/>
            <w:tcMar>
              <w:top w:w="100" w:type="dxa"/>
              <w:left w:w="100" w:type="dxa"/>
              <w:bottom w:w="100" w:type="dxa"/>
              <w:right w:w="100" w:type="dxa"/>
            </w:tcMar>
          </w:tcPr>
          <w:p w14:paraId="71488784"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“Interest paid”</w:t>
            </w:r>
          </w:p>
        </w:tc>
        <w:tc>
          <w:tcPr>
            <w:tcW w:w="1680" w:type="dxa"/>
            <w:shd w:val="clear" w:color="auto" w:fill="auto"/>
            <w:tcMar>
              <w:top w:w="100" w:type="dxa"/>
              <w:left w:w="100" w:type="dxa"/>
              <w:bottom w:w="100" w:type="dxa"/>
              <w:right w:w="100" w:type="dxa"/>
            </w:tcMar>
          </w:tcPr>
          <w:p w14:paraId="0683C90B"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2,000</w:t>
            </w:r>
          </w:p>
        </w:tc>
      </w:tr>
      <w:tr w:rsidR="009A396D" w:rsidRPr="00EE2520" w14:paraId="3617379E" w14:textId="77777777" w:rsidTr="009B0E0E">
        <w:trPr>
          <w:trHeight w:val="500"/>
          <w:jc w:val="center"/>
        </w:trPr>
        <w:tc>
          <w:tcPr>
            <w:tcW w:w="4050" w:type="dxa"/>
            <w:shd w:val="clear" w:color="auto" w:fill="auto"/>
            <w:tcMar>
              <w:top w:w="100" w:type="dxa"/>
              <w:left w:w="100" w:type="dxa"/>
              <w:bottom w:w="100" w:type="dxa"/>
              <w:right w:w="100" w:type="dxa"/>
            </w:tcMar>
          </w:tcPr>
          <w:p w14:paraId="71F0080A"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“Directors' remuneration”</w:t>
            </w:r>
          </w:p>
        </w:tc>
        <w:tc>
          <w:tcPr>
            <w:tcW w:w="1680" w:type="dxa"/>
            <w:shd w:val="clear" w:color="auto" w:fill="auto"/>
            <w:tcMar>
              <w:top w:w="100" w:type="dxa"/>
              <w:left w:w="100" w:type="dxa"/>
              <w:bottom w:w="100" w:type="dxa"/>
              <w:right w:w="100" w:type="dxa"/>
            </w:tcMar>
          </w:tcPr>
          <w:p w14:paraId="20715003"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5,000</w:t>
            </w:r>
          </w:p>
        </w:tc>
      </w:tr>
      <w:tr w:rsidR="009A396D" w:rsidRPr="00EE2520" w14:paraId="7AF1F745" w14:textId="77777777" w:rsidTr="009B0E0E">
        <w:trPr>
          <w:trHeight w:val="500"/>
          <w:jc w:val="center"/>
        </w:trPr>
        <w:tc>
          <w:tcPr>
            <w:tcW w:w="4050" w:type="dxa"/>
            <w:shd w:val="clear" w:color="auto" w:fill="auto"/>
            <w:tcMar>
              <w:top w:w="100" w:type="dxa"/>
              <w:left w:w="100" w:type="dxa"/>
              <w:bottom w:w="100" w:type="dxa"/>
              <w:right w:w="100" w:type="dxa"/>
            </w:tcMar>
          </w:tcPr>
          <w:p w14:paraId="33BD688A"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lastRenderedPageBreak/>
              <w:t>“Distribution costs”</w:t>
            </w:r>
          </w:p>
        </w:tc>
        <w:tc>
          <w:tcPr>
            <w:tcW w:w="1680" w:type="dxa"/>
            <w:shd w:val="clear" w:color="auto" w:fill="auto"/>
            <w:tcMar>
              <w:top w:w="100" w:type="dxa"/>
              <w:left w:w="100" w:type="dxa"/>
              <w:bottom w:w="100" w:type="dxa"/>
              <w:right w:w="100" w:type="dxa"/>
            </w:tcMar>
          </w:tcPr>
          <w:p w14:paraId="04603C32"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28,000</w:t>
            </w:r>
          </w:p>
        </w:tc>
      </w:tr>
      <w:tr w:rsidR="009A396D" w:rsidRPr="00EE2520" w14:paraId="70E78E70" w14:textId="77777777" w:rsidTr="009B0E0E">
        <w:trPr>
          <w:trHeight w:val="500"/>
          <w:jc w:val="center"/>
        </w:trPr>
        <w:tc>
          <w:tcPr>
            <w:tcW w:w="4050" w:type="dxa"/>
            <w:shd w:val="clear" w:color="auto" w:fill="auto"/>
            <w:tcMar>
              <w:top w:w="100" w:type="dxa"/>
              <w:left w:w="100" w:type="dxa"/>
              <w:bottom w:w="100" w:type="dxa"/>
              <w:right w:w="100" w:type="dxa"/>
            </w:tcMar>
          </w:tcPr>
          <w:p w14:paraId="2FA7F93E"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 xml:space="preserve">“Operating </w:t>
            </w:r>
            <w:r w:rsidRPr="00EE2520">
              <w:rPr>
                <w:rFonts w:eastAsia="Times New Roman" w:cs="Times New Roman"/>
                <w:sz w:val="28"/>
                <w:szCs w:val="28"/>
              </w:rPr>
              <w:t>profit”</w:t>
            </w:r>
          </w:p>
        </w:tc>
        <w:tc>
          <w:tcPr>
            <w:tcW w:w="1680" w:type="dxa"/>
            <w:shd w:val="clear" w:color="auto" w:fill="auto"/>
            <w:tcMar>
              <w:top w:w="100" w:type="dxa"/>
              <w:left w:w="100" w:type="dxa"/>
              <w:bottom w:w="100" w:type="dxa"/>
              <w:right w:w="100" w:type="dxa"/>
            </w:tcMar>
          </w:tcPr>
          <w:p w14:paraId="5A119E02"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132000</w:t>
            </w:r>
          </w:p>
        </w:tc>
      </w:tr>
      <w:tr w:rsidR="009A396D" w:rsidRPr="00EE2520" w14:paraId="6A7DF772" w14:textId="77777777" w:rsidTr="009B0E0E">
        <w:trPr>
          <w:trHeight w:val="515"/>
          <w:jc w:val="center"/>
        </w:trPr>
        <w:tc>
          <w:tcPr>
            <w:tcW w:w="4050" w:type="dxa"/>
            <w:shd w:val="clear" w:color="auto" w:fill="auto"/>
            <w:tcMar>
              <w:top w:w="100" w:type="dxa"/>
              <w:left w:w="100" w:type="dxa"/>
              <w:bottom w:w="100" w:type="dxa"/>
              <w:right w:w="100" w:type="dxa"/>
            </w:tcMar>
          </w:tcPr>
          <w:p w14:paraId="7E50451C"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“Profit before tax”</w:t>
            </w:r>
          </w:p>
        </w:tc>
        <w:tc>
          <w:tcPr>
            <w:tcW w:w="1680" w:type="dxa"/>
            <w:shd w:val="clear" w:color="auto" w:fill="auto"/>
            <w:tcMar>
              <w:top w:w="100" w:type="dxa"/>
              <w:left w:w="100" w:type="dxa"/>
              <w:bottom w:w="100" w:type="dxa"/>
              <w:right w:w="100" w:type="dxa"/>
            </w:tcMar>
          </w:tcPr>
          <w:p w14:paraId="68784F10"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353350</w:t>
            </w:r>
          </w:p>
        </w:tc>
      </w:tr>
      <w:tr w:rsidR="009A396D" w:rsidRPr="00EE2520" w14:paraId="76EE7DE9" w14:textId="77777777" w:rsidTr="009B0E0E">
        <w:trPr>
          <w:trHeight w:val="500"/>
          <w:jc w:val="center"/>
        </w:trPr>
        <w:tc>
          <w:tcPr>
            <w:tcW w:w="4050" w:type="dxa"/>
            <w:shd w:val="clear" w:color="auto" w:fill="auto"/>
            <w:tcMar>
              <w:top w:w="100" w:type="dxa"/>
              <w:left w:w="100" w:type="dxa"/>
              <w:bottom w:w="100" w:type="dxa"/>
              <w:right w:w="100" w:type="dxa"/>
            </w:tcMar>
          </w:tcPr>
          <w:p w14:paraId="7D8ABA0F"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“Taxation”</w:t>
            </w:r>
          </w:p>
        </w:tc>
        <w:tc>
          <w:tcPr>
            <w:tcW w:w="1680" w:type="dxa"/>
            <w:shd w:val="clear" w:color="auto" w:fill="auto"/>
            <w:tcMar>
              <w:top w:w="100" w:type="dxa"/>
              <w:left w:w="100" w:type="dxa"/>
              <w:bottom w:w="100" w:type="dxa"/>
              <w:right w:w="100" w:type="dxa"/>
            </w:tcMar>
          </w:tcPr>
          <w:p w14:paraId="4E10D5FF" w14:textId="77777777" w:rsidR="009A396D" w:rsidRPr="00EE2520" w:rsidRDefault="00B52976">
            <w:pPr>
              <w:spacing w:before="240"/>
              <w:jc w:val="right"/>
              <w:rPr>
                <w:rFonts w:eastAsia="Times New Roman" w:cs="Times New Roman"/>
                <w:b/>
                <w:sz w:val="28"/>
                <w:szCs w:val="28"/>
              </w:rPr>
            </w:pPr>
            <w:r w:rsidRPr="00EE2520">
              <w:rPr>
                <w:rFonts w:eastAsia="Times New Roman" w:cs="Times New Roman"/>
                <w:b/>
                <w:sz w:val="28"/>
                <w:szCs w:val="28"/>
              </w:rPr>
              <w:t>100000</w:t>
            </w:r>
          </w:p>
        </w:tc>
      </w:tr>
      <w:tr w:rsidR="009A396D" w:rsidRPr="00EE2520" w14:paraId="5486C4A4" w14:textId="77777777" w:rsidTr="009B0E0E">
        <w:trPr>
          <w:trHeight w:val="500"/>
          <w:jc w:val="center"/>
        </w:trPr>
        <w:tc>
          <w:tcPr>
            <w:tcW w:w="4050" w:type="dxa"/>
            <w:shd w:val="clear" w:color="auto" w:fill="auto"/>
            <w:tcMar>
              <w:top w:w="100" w:type="dxa"/>
              <w:left w:w="100" w:type="dxa"/>
              <w:bottom w:w="100" w:type="dxa"/>
              <w:right w:w="100" w:type="dxa"/>
            </w:tcMar>
          </w:tcPr>
          <w:p w14:paraId="36615186"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“Profit for the period”</w:t>
            </w:r>
          </w:p>
        </w:tc>
        <w:tc>
          <w:tcPr>
            <w:tcW w:w="1680" w:type="dxa"/>
            <w:shd w:val="clear" w:color="auto" w:fill="auto"/>
            <w:tcMar>
              <w:top w:w="100" w:type="dxa"/>
              <w:left w:w="100" w:type="dxa"/>
              <w:bottom w:w="100" w:type="dxa"/>
              <w:right w:w="100" w:type="dxa"/>
            </w:tcMar>
          </w:tcPr>
          <w:p w14:paraId="4E816183" w14:textId="77777777" w:rsidR="009A396D" w:rsidRPr="00EE2520" w:rsidRDefault="00B52976">
            <w:pPr>
              <w:spacing w:before="240"/>
              <w:jc w:val="right"/>
              <w:rPr>
                <w:rFonts w:eastAsia="Times New Roman" w:cs="Times New Roman"/>
                <w:b/>
                <w:sz w:val="28"/>
                <w:szCs w:val="28"/>
              </w:rPr>
            </w:pPr>
            <w:r w:rsidRPr="00EE2520">
              <w:rPr>
                <w:rFonts w:eastAsia="Times New Roman" w:cs="Times New Roman"/>
                <w:b/>
                <w:sz w:val="28"/>
                <w:szCs w:val="28"/>
              </w:rPr>
              <w:t>253350</w:t>
            </w:r>
          </w:p>
        </w:tc>
      </w:tr>
    </w:tbl>
    <w:p w14:paraId="5132B08D" w14:textId="77777777" w:rsidR="009A396D" w:rsidRDefault="009A396D">
      <w:pPr>
        <w:rPr>
          <w:rFonts w:eastAsia="Times New Roman" w:cs="Times New Roman"/>
          <w:b/>
          <w:szCs w:val="24"/>
        </w:rPr>
      </w:pPr>
    </w:p>
    <w:p w14:paraId="20ABFD6C" w14:textId="77777777" w:rsidR="009A396D" w:rsidRPr="00EE2520" w:rsidRDefault="00B52976">
      <w:pPr>
        <w:jc w:val="center"/>
        <w:rPr>
          <w:rFonts w:eastAsia="Times New Roman" w:cs="Times New Roman"/>
          <w:b/>
          <w:sz w:val="28"/>
          <w:szCs w:val="28"/>
        </w:rPr>
      </w:pPr>
      <w:r w:rsidRPr="00EE2520">
        <w:rPr>
          <w:rFonts w:eastAsia="Times New Roman" w:cs="Times New Roman"/>
          <w:b/>
          <w:sz w:val="28"/>
          <w:szCs w:val="28"/>
        </w:rPr>
        <w:t>Table 1: Computation of Income Statement of Wales Plc.</w:t>
      </w:r>
    </w:p>
    <w:p w14:paraId="23AE43A7" w14:textId="31ED64AF" w:rsidR="009A396D" w:rsidRPr="00EE2520" w:rsidRDefault="00B52976" w:rsidP="009B0E0E">
      <w:pPr>
        <w:jc w:val="center"/>
        <w:rPr>
          <w:rFonts w:eastAsia="Times New Roman" w:cs="Times New Roman"/>
          <w:b/>
          <w:sz w:val="28"/>
          <w:szCs w:val="28"/>
        </w:rPr>
      </w:pPr>
      <w:r w:rsidRPr="00EE2520">
        <w:rPr>
          <w:rFonts w:eastAsia="Times New Roman" w:cs="Times New Roman"/>
          <w:sz w:val="28"/>
          <w:szCs w:val="28"/>
        </w:rPr>
        <w:t>(Source: Self-Developed)</w:t>
      </w:r>
    </w:p>
    <w:p w14:paraId="6F661497" w14:textId="77777777" w:rsidR="009A396D" w:rsidRPr="00EE2520" w:rsidRDefault="00B52976">
      <w:pPr>
        <w:pStyle w:val="Heading3"/>
        <w:rPr>
          <w:sz w:val="28"/>
        </w:rPr>
      </w:pPr>
      <w:bookmarkStart w:id="13" w:name="_Toc121339308"/>
      <w:bookmarkStart w:id="14" w:name="_Toc121344039"/>
      <w:r w:rsidRPr="00EE2520">
        <w:rPr>
          <w:sz w:val="28"/>
        </w:rPr>
        <w:t>Calculating the Financial Position Statement of Wales Plc</w:t>
      </w:r>
      <w:bookmarkEnd w:id="13"/>
      <w:bookmarkEnd w:id="14"/>
      <w:r w:rsidRPr="00EE2520">
        <w:rPr>
          <w:sz w:val="28"/>
        </w:rPr>
        <w:t xml:space="preserve"> </w:t>
      </w:r>
    </w:p>
    <w:tbl>
      <w:tblPr>
        <w:tblStyle w:val="a0"/>
        <w:tblW w:w="721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4455"/>
        <w:gridCol w:w="2760"/>
      </w:tblGrid>
      <w:tr w:rsidR="009A396D" w14:paraId="7D9B9714" w14:textId="77777777" w:rsidTr="009B0E0E">
        <w:trPr>
          <w:trHeight w:val="515"/>
          <w:jc w:val="center"/>
        </w:trPr>
        <w:tc>
          <w:tcPr>
            <w:tcW w:w="7215" w:type="dxa"/>
            <w:gridSpan w:val="2"/>
            <w:shd w:val="clear" w:color="auto" w:fill="FFC000"/>
            <w:tcMar>
              <w:top w:w="100" w:type="dxa"/>
              <w:left w:w="100" w:type="dxa"/>
              <w:bottom w:w="100" w:type="dxa"/>
              <w:right w:w="100" w:type="dxa"/>
            </w:tcMar>
            <w:vAlign w:val="bottom"/>
          </w:tcPr>
          <w:p w14:paraId="3A30CFAB" w14:textId="77777777" w:rsidR="009A396D" w:rsidRPr="00EE2520" w:rsidRDefault="00B52976">
            <w:pPr>
              <w:spacing w:before="240"/>
              <w:jc w:val="center"/>
              <w:rPr>
                <w:rFonts w:eastAsia="Times New Roman" w:cs="Times New Roman"/>
                <w:b/>
                <w:sz w:val="28"/>
                <w:szCs w:val="28"/>
              </w:rPr>
            </w:pPr>
            <w:r w:rsidRPr="00EE2520">
              <w:rPr>
                <w:rFonts w:eastAsia="Times New Roman" w:cs="Times New Roman"/>
                <w:b/>
                <w:sz w:val="28"/>
                <w:szCs w:val="28"/>
              </w:rPr>
              <w:t xml:space="preserve">“Computation of </w:t>
            </w:r>
            <w:r w:rsidRPr="00EE2520">
              <w:rPr>
                <w:rFonts w:eastAsia="Times New Roman" w:cs="Times New Roman"/>
                <w:b/>
                <w:sz w:val="28"/>
                <w:szCs w:val="28"/>
              </w:rPr>
              <w:t>Financial Position Statement of Wales Plc”</w:t>
            </w:r>
          </w:p>
        </w:tc>
      </w:tr>
      <w:tr w:rsidR="009A396D" w14:paraId="3D1410F0" w14:textId="77777777" w:rsidTr="009B0E0E">
        <w:trPr>
          <w:trHeight w:val="515"/>
          <w:jc w:val="center"/>
        </w:trPr>
        <w:tc>
          <w:tcPr>
            <w:tcW w:w="4455" w:type="dxa"/>
            <w:shd w:val="clear" w:color="auto" w:fill="92D050"/>
            <w:tcMar>
              <w:top w:w="100" w:type="dxa"/>
              <w:left w:w="100" w:type="dxa"/>
              <w:bottom w:w="100" w:type="dxa"/>
              <w:right w:w="100" w:type="dxa"/>
            </w:tcMar>
            <w:vAlign w:val="bottom"/>
          </w:tcPr>
          <w:p w14:paraId="54FFD0CD"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Particulars</w:t>
            </w:r>
          </w:p>
        </w:tc>
        <w:tc>
          <w:tcPr>
            <w:tcW w:w="2760" w:type="dxa"/>
            <w:shd w:val="clear" w:color="auto" w:fill="92D050"/>
            <w:tcMar>
              <w:top w:w="100" w:type="dxa"/>
              <w:left w:w="100" w:type="dxa"/>
              <w:bottom w:w="100" w:type="dxa"/>
              <w:right w:w="100" w:type="dxa"/>
            </w:tcMar>
            <w:vAlign w:val="bottom"/>
          </w:tcPr>
          <w:p w14:paraId="74FA3018" w14:textId="77777777" w:rsidR="009A396D" w:rsidRPr="00EE2520" w:rsidRDefault="00B52976">
            <w:pPr>
              <w:spacing w:before="240"/>
              <w:jc w:val="center"/>
              <w:rPr>
                <w:rFonts w:eastAsia="Times New Roman" w:cs="Times New Roman"/>
                <w:b/>
                <w:sz w:val="28"/>
                <w:szCs w:val="28"/>
              </w:rPr>
            </w:pPr>
            <w:r w:rsidRPr="00EE2520">
              <w:rPr>
                <w:rFonts w:eastAsia="Times New Roman" w:cs="Times New Roman"/>
                <w:b/>
                <w:sz w:val="28"/>
                <w:szCs w:val="28"/>
              </w:rPr>
              <w:t>Amount</w:t>
            </w:r>
          </w:p>
        </w:tc>
      </w:tr>
      <w:tr w:rsidR="009A396D" w14:paraId="568021B0" w14:textId="77777777" w:rsidTr="009B0E0E">
        <w:trPr>
          <w:trHeight w:val="515"/>
          <w:jc w:val="center"/>
        </w:trPr>
        <w:tc>
          <w:tcPr>
            <w:tcW w:w="4455" w:type="dxa"/>
            <w:shd w:val="clear" w:color="auto" w:fill="auto"/>
            <w:tcMar>
              <w:top w:w="100" w:type="dxa"/>
              <w:left w:w="100" w:type="dxa"/>
              <w:bottom w:w="100" w:type="dxa"/>
              <w:right w:w="100" w:type="dxa"/>
            </w:tcMar>
          </w:tcPr>
          <w:p w14:paraId="45DAA9B8" w14:textId="77777777" w:rsidR="009A396D" w:rsidRPr="00EE2520" w:rsidRDefault="00B52976">
            <w:pPr>
              <w:spacing w:before="240"/>
              <w:rPr>
                <w:rFonts w:eastAsia="Times New Roman" w:cs="Times New Roman"/>
                <w:b/>
                <w:i/>
                <w:sz w:val="28"/>
                <w:szCs w:val="28"/>
                <w:u w:val="single"/>
              </w:rPr>
            </w:pPr>
            <w:r w:rsidRPr="00EE2520">
              <w:rPr>
                <w:rFonts w:eastAsia="Times New Roman" w:cs="Times New Roman"/>
                <w:b/>
                <w:i/>
                <w:sz w:val="28"/>
                <w:szCs w:val="28"/>
                <w:u w:val="single"/>
              </w:rPr>
              <w:t>“Assets”</w:t>
            </w:r>
          </w:p>
        </w:tc>
        <w:tc>
          <w:tcPr>
            <w:tcW w:w="2760" w:type="dxa"/>
            <w:shd w:val="clear" w:color="auto" w:fill="auto"/>
            <w:tcMar>
              <w:top w:w="100" w:type="dxa"/>
              <w:left w:w="100" w:type="dxa"/>
              <w:bottom w:w="100" w:type="dxa"/>
              <w:right w:w="100" w:type="dxa"/>
            </w:tcMar>
          </w:tcPr>
          <w:p w14:paraId="70ADCC36"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 xml:space="preserve"> </w:t>
            </w:r>
          </w:p>
        </w:tc>
      </w:tr>
      <w:tr w:rsidR="009A396D" w14:paraId="0D62E787" w14:textId="77777777" w:rsidTr="009B0E0E">
        <w:trPr>
          <w:trHeight w:val="500"/>
          <w:jc w:val="center"/>
        </w:trPr>
        <w:tc>
          <w:tcPr>
            <w:tcW w:w="4455" w:type="dxa"/>
            <w:shd w:val="clear" w:color="auto" w:fill="auto"/>
            <w:tcMar>
              <w:top w:w="100" w:type="dxa"/>
              <w:left w:w="100" w:type="dxa"/>
              <w:bottom w:w="100" w:type="dxa"/>
              <w:right w:w="100" w:type="dxa"/>
            </w:tcMar>
          </w:tcPr>
          <w:p w14:paraId="0C993056"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lastRenderedPageBreak/>
              <w:t>“Noncurrent assets”</w:t>
            </w:r>
          </w:p>
        </w:tc>
        <w:tc>
          <w:tcPr>
            <w:tcW w:w="2760" w:type="dxa"/>
            <w:shd w:val="clear" w:color="auto" w:fill="auto"/>
            <w:tcMar>
              <w:top w:w="100" w:type="dxa"/>
              <w:left w:w="100" w:type="dxa"/>
              <w:bottom w:w="100" w:type="dxa"/>
              <w:right w:w="100" w:type="dxa"/>
            </w:tcMar>
          </w:tcPr>
          <w:p w14:paraId="6BE00D16"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 xml:space="preserve"> </w:t>
            </w:r>
          </w:p>
        </w:tc>
      </w:tr>
      <w:tr w:rsidR="009A396D" w:rsidRPr="00EE2520" w14:paraId="699BBF2B" w14:textId="77777777" w:rsidTr="009B0E0E">
        <w:trPr>
          <w:trHeight w:val="500"/>
          <w:jc w:val="center"/>
        </w:trPr>
        <w:tc>
          <w:tcPr>
            <w:tcW w:w="4455" w:type="dxa"/>
            <w:shd w:val="clear" w:color="auto" w:fill="auto"/>
            <w:tcMar>
              <w:top w:w="100" w:type="dxa"/>
              <w:left w:w="100" w:type="dxa"/>
              <w:bottom w:w="100" w:type="dxa"/>
              <w:right w:w="100" w:type="dxa"/>
            </w:tcMar>
          </w:tcPr>
          <w:p w14:paraId="2658D420"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“Property and equipment”</w:t>
            </w:r>
          </w:p>
        </w:tc>
        <w:tc>
          <w:tcPr>
            <w:tcW w:w="2760" w:type="dxa"/>
            <w:shd w:val="clear" w:color="auto" w:fill="auto"/>
            <w:tcMar>
              <w:top w:w="100" w:type="dxa"/>
              <w:left w:w="100" w:type="dxa"/>
              <w:bottom w:w="100" w:type="dxa"/>
              <w:right w:w="100" w:type="dxa"/>
            </w:tcMar>
          </w:tcPr>
          <w:p w14:paraId="38CE9E4D"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6,32,730</w:t>
            </w:r>
          </w:p>
        </w:tc>
      </w:tr>
      <w:tr w:rsidR="009A396D" w:rsidRPr="00EE2520" w14:paraId="5DFE2FDE" w14:textId="77777777" w:rsidTr="009B0E0E">
        <w:trPr>
          <w:trHeight w:val="500"/>
          <w:jc w:val="center"/>
        </w:trPr>
        <w:tc>
          <w:tcPr>
            <w:tcW w:w="4455" w:type="dxa"/>
            <w:shd w:val="clear" w:color="auto" w:fill="auto"/>
            <w:tcMar>
              <w:top w:w="100" w:type="dxa"/>
              <w:left w:w="100" w:type="dxa"/>
              <w:bottom w:w="100" w:type="dxa"/>
              <w:right w:w="100" w:type="dxa"/>
            </w:tcMar>
          </w:tcPr>
          <w:p w14:paraId="1701D49A"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“Current assets”</w:t>
            </w:r>
          </w:p>
        </w:tc>
        <w:tc>
          <w:tcPr>
            <w:tcW w:w="2760" w:type="dxa"/>
            <w:shd w:val="clear" w:color="auto" w:fill="auto"/>
            <w:tcMar>
              <w:top w:w="100" w:type="dxa"/>
              <w:left w:w="100" w:type="dxa"/>
              <w:bottom w:w="100" w:type="dxa"/>
              <w:right w:w="100" w:type="dxa"/>
            </w:tcMar>
          </w:tcPr>
          <w:p w14:paraId="3C45D4B6"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 xml:space="preserve"> </w:t>
            </w:r>
          </w:p>
        </w:tc>
      </w:tr>
      <w:tr w:rsidR="009A396D" w:rsidRPr="00EE2520" w14:paraId="639027A0" w14:textId="77777777" w:rsidTr="009B0E0E">
        <w:trPr>
          <w:trHeight w:val="500"/>
          <w:jc w:val="center"/>
        </w:trPr>
        <w:tc>
          <w:tcPr>
            <w:tcW w:w="4455" w:type="dxa"/>
            <w:shd w:val="clear" w:color="auto" w:fill="auto"/>
            <w:tcMar>
              <w:top w:w="100" w:type="dxa"/>
              <w:left w:w="100" w:type="dxa"/>
              <w:bottom w:w="100" w:type="dxa"/>
              <w:right w:w="100" w:type="dxa"/>
            </w:tcMar>
          </w:tcPr>
          <w:p w14:paraId="7B7F4B1C"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“Inventories”</w:t>
            </w:r>
          </w:p>
        </w:tc>
        <w:tc>
          <w:tcPr>
            <w:tcW w:w="2760" w:type="dxa"/>
            <w:shd w:val="clear" w:color="auto" w:fill="auto"/>
            <w:tcMar>
              <w:top w:w="100" w:type="dxa"/>
              <w:left w:w="100" w:type="dxa"/>
              <w:bottom w:w="100" w:type="dxa"/>
              <w:right w:w="100" w:type="dxa"/>
            </w:tcMar>
          </w:tcPr>
          <w:p w14:paraId="5D716DDA"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3,30,600</w:t>
            </w:r>
          </w:p>
        </w:tc>
      </w:tr>
      <w:tr w:rsidR="009A396D" w:rsidRPr="00EE2520" w14:paraId="3307F3BB" w14:textId="77777777" w:rsidTr="009B0E0E">
        <w:trPr>
          <w:trHeight w:val="500"/>
          <w:jc w:val="center"/>
        </w:trPr>
        <w:tc>
          <w:tcPr>
            <w:tcW w:w="4455" w:type="dxa"/>
            <w:shd w:val="clear" w:color="auto" w:fill="auto"/>
            <w:tcMar>
              <w:top w:w="100" w:type="dxa"/>
              <w:left w:w="100" w:type="dxa"/>
              <w:bottom w:w="100" w:type="dxa"/>
              <w:right w:w="100" w:type="dxa"/>
            </w:tcMar>
          </w:tcPr>
          <w:p w14:paraId="2C4D0064"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“Debtors”</w:t>
            </w:r>
          </w:p>
        </w:tc>
        <w:tc>
          <w:tcPr>
            <w:tcW w:w="2760" w:type="dxa"/>
            <w:shd w:val="clear" w:color="auto" w:fill="auto"/>
            <w:tcMar>
              <w:top w:w="100" w:type="dxa"/>
              <w:left w:w="100" w:type="dxa"/>
              <w:bottom w:w="100" w:type="dxa"/>
              <w:right w:w="100" w:type="dxa"/>
            </w:tcMar>
          </w:tcPr>
          <w:p w14:paraId="2114B8F3"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171105</w:t>
            </w:r>
          </w:p>
        </w:tc>
      </w:tr>
      <w:tr w:rsidR="009A396D" w:rsidRPr="00EE2520" w14:paraId="4E5A5AE5" w14:textId="77777777" w:rsidTr="009B0E0E">
        <w:trPr>
          <w:trHeight w:val="500"/>
          <w:jc w:val="center"/>
        </w:trPr>
        <w:tc>
          <w:tcPr>
            <w:tcW w:w="4455" w:type="dxa"/>
            <w:shd w:val="clear" w:color="auto" w:fill="auto"/>
            <w:tcMar>
              <w:top w:w="100" w:type="dxa"/>
              <w:left w:w="100" w:type="dxa"/>
              <w:bottom w:w="100" w:type="dxa"/>
              <w:right w:w="100" w:type="dxa"/>
            </w:tcMar>
          </w:tcPr>
          <w:p w14:paraId="531E2247"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“Cash and bank”</w:t>
            </w:r>
          </w:p>
        </w:tc>
        <w:tc>
          <w:tcPr>
            <w:tcW w:w="2760" w:type="dxa"/>
            <w:shd w:val="clear" w:color="auto" w:fill="auto"/>
            <w:tcMar>
              <w:top w:w="100" w:type="dxa"/>
              <w:left w:w="100" w:type="dxa"/>
              <w:bottom w:w="100" w:type="dxa"/>
              <w:right w:w="100" w:type="dxa"/>
            </w:tcMar>
          </w:tcPr>
          <w:p w14:paraId="4615D35C"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76,250</w:t>
            </w:r>
          </w:p>
        </w:tc>
      </w:tr>
      <w:tr w:rsidR="009A396D" w:rsidRPr="00EE2520" w14:paraId="1D5B9400" w14:textId="77777777" w:rsidTr="009B0E0E">
        <w:trPr>
          <w:trHeight w:val="500"/>
          <w:jc w:val="center"/>
        </w:trPr>
        <w:tc>
          <w:tcPr>
            <w:tcW w:w="4455" w:type="dxa"/>
            <w:shd w:val="clear" w:color="auto" w:fill="B4C6E7"/>
            <w:tcMar>
              <w:top w:w="100" w:type="dxa"/>
              <w:left w:w="100" w:type="dxa"/>
              <w:bottom w:w="100" w:type="dxa"/>
              <w:right w:w="100" w:type="dxa"/>
            </w:tcMar>
          </w:tcPr>
          <w:p w14:paraId="7B5DE14C"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“Total assets”</w:t>
            </w:r>
          </w:p>
        </w:tc>
        <w:tc>
          <w:tcPr>
            <w:tcW w:w="2760" w:type="dxa"/>
            <w:shd w:val="clear" w:color="auto" w:fill="B4C6E7"/>
            <w:tcMar>
              <w:top w:w="100" w:type="dxa"/>
              <w:left w:w="100" w:type="dxa"/>
              <w:bottom w:w="100" w:type="dxa"/>
              <w:right w:w="100" w:type="dxa"/>
            </w:tcMar>
          </w:tcPr>
          <w:p w14:paraId="5B992635" w14:textId="77777777" w:rsidR="009A396D" w:rsidRPr="00EE2520" w:rsidRDefault="00B52976">
            <w:pPr>
              <w:spacing w:before="240"/>
              <w:jc w:val="right"/>
              <w:rPr>
                <w:rFonts w:eastAsia="Times New Roman" w:cs="Times New Roman"/>
                <w:b/>
                <w:sz w:val="28"/>
                <w:szCs w:val="28"/>
              </w:rPr>
            </w:pPr>
            <w:r w:rsidRPr="00EE2520">
              <w:rPr>
                <w:rFonts w:eastAsia="Times New Roman" w:cs="Times New Roman"/>
                <w:b/>
                <w:sz w:val="28"/>
                <w:szCs w:val="28"/>
              </w:rPr>
              <w:t>12,10,685</w:t>
            </w:r>
          </w:p>
        </w:tc>
      </w:tr>
      <w:tr w:rsidR="009A396D" w:rsidRPr="00EE2520" w14:paraId="6714AB47" w14:textId="77777777" w:rsidTr="009B0E0E">
        <w:trPr>
          <w:trHeight w:val="515"/>
          <w:jc w:val="center"/>
        </w:trPr>
        <w:tc>
          <w:tcPr>
            <w:tcW w:w="4455" w:type="dxa"/>
            <w:shd w:val="clear" w:color="auto" w:fill="auto"/>
            <w:tcMar>
              <w:top w:w="100" w:type="dxa"/>
              <w:left w:w="100" w:type="dxa"/>
              <w:bottom w:w="100" w:type="dxa"/>
              <w:right w:w="100" w:type="dxa"/>
            </w:tcMar>
          </w:tcPr>
          <w:p w14:paraId="5D49882F" w14:textId="77777777" w:rsidR="009A396D" w:rsidRPr="00EE2520" w:rsidRDefault="00B52976">
            <w:pPr>
              <w:spacing w:before="240"/>
              <w:rPr>
                <w:rFonts w:eastAsia="Times New Roman" w:cs="Times New Roman"/>
                <w:b/>
                <w:i/>
                <w:sz w:val="28"/>
                <w:szCs w:val="28"/>
                <w:u w:val="single"/>
              </w:rPr>
            </w:pPr>
            <w:r w:rsidRPr="00EE2520">
              <w:rPr>
                <w:rFonts w:eastAsia="Times New Roman" w:cs="Times New Roman"/>
                <w:b/>
                <w:i/>
                <w:sz w:val="28"/>
                <w:szCs w:val="28"/>
                <w:u w:val="single"/>
              </w:rPr>
              <w:t>“Liabilities”</w:t>
            </w:r>
          </w:p>
        </w:tc>
        <w:tc>
          <w:tcPr>
            <w:tcW w:w="2760" w:type="dxa"/>
            <w:shd w:val="clear" w:color="auto" w:fill="auto"/>
            <w:tcMar>
              <w:top w:w="100" w:type="dxa"/>
              <w:left w:w="100" w:type="dxa"/>
              <w:bottom w:w="100" w:type="dxa"/>
              <w:right w:w="100" w:type="dxa"/>
            </w:tcMar>
          </w:tcPr>
          <w:p w14:paraId="68FA5826" w14:textId="77777777" w:rsidR="009A396D" w:rsidRPr="00EE2520" w:rsidRDefault="00B52976">
            <w:pPr>
              <w:spacing w:before="240"/>
              <w:jc w:val="right"/>
              <w:rPr>
                <w:rFonts w:eastAsia="Times New Roman" w:cs="Times New Roman"/>
                <w:b/>
                <w:sz w:val="28"/>
                <w:szCs w:val="28"/>
              </w:rPr>
            </w:pPr>
            <w:r w:rsidRPr="00EE2520">
              <w:rPr>
                <w:rFonts w:eastAsia="Times New Roman" w:cs="Times New Roman"/>
                <w:b/>
                <w:sz w:val="28"/>
                <w:szCs w:val="28"/>
              </w:rPr>
              <w:t xml:space="preserve"> </w:t>
            </w:r>
          </w:p>
        </w:tc>
      </w:tr>
      <w:tr w:rsidR="009A396D" w:rsidRPr="00EE2520" w14:paraId="6E1D7115" w14:textId="77777777" w:rsidTr="009B0E0E">
        <w:trPr>
          <w:trHeight w:val="500"/>
          <w:jc w:val="center"/>
        </w:trPr>
        <w:tc>
          <w:tcPr>
            <w:tcW w:w="4455" w:type="dxa"/>
            <w:shd w:val="clear" w:color="auto" w:fill="auto"/>
            <w:tcMar>
              <w:top w:w="100" w:type="dxa"/>
              <w:left w:w="100" w:type="dxa"/>
              <w:bottom w:w="100" w:type="dxa"/>
              <w:right w:w="100" w:type="dxa"/>
            </w:tcMar>
          </w:tcPr>
          <w:p w14:paraId="1EFBBE34"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“Current liabilities”</w:t>
            </w:r>
          </w:p>
        </w:tc>
        <w:tc>
          <w:tcPr>
            <w:tcW w:w="2760" w:type="dxa"/>
            <w:shd w:val="clear" w:color="auto" w:fill="auto"/>
            <w:tcMar>
              <w:top w:w="100" w:type="dxa"/>
              <w:left w:w="100" w:type="dxa"/>
              <w:bottom w:w="100" w:type="dxa"/>
              <w:right w:w="100" w:type="dxa"/>
            </w:tcMar>
          </w:tcPr>
          <w:p w14:paraId="3ABC8A96"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 xml:space="preserve"> </w:t>
            </w:r>
          </w:p>
        </w:tc>
      </w:tr>
      <w:tr w:rsidR="009A396D" w:rsidRPr="00EE2520" w14:paraId="1E640525" w14:textId="77777777" w:rsidTr="009B0E0E">
        <w:trPr>
          <w:trHeight w:val="500"/>
          <w:jc w:val="center"/>
        </w:trPr>
        <w:tc>
          <w:tcPr>
            <w:tcW w:w="4455" w:type="dxa"/>
            <w:shd w:val="clear" w:color="auto" w:fill="auto"/>
            <w:tcMar>
              <w:top w:w="100" w:type="dxa"/>
              <w:left w:w="100" w:type="dxa"/>
              <w:bottom w:w="100" w:type="dxa"/>
              <w:right w:w="100" w:type="dxa"/>
            </w:tcMar>
          </w:tcPr>
          <w:p w14:paraId="7A88359A"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“Trade payable”</w:t>
            </w:r>
          </w:p>
        </w:tc>
        <w:tc>
          <w:tcPr>
            <w:tcW w:w="2760" w:type="dxa"/>
            <w:shd w:val="clear" w:color="auto" w:fill="auto"/>
            <w:tcMar>
              <w:top w:w="100" w:type="dxa"/>
              <w:left w:w="100" w:type="dxa"/>
              <w:bottom w:w="100" w:type="dxa"/>
              <w:right w:w="100" w:type="dxa"/>
            </w:tcMar>
          </w:tcPr>
          <w:p w14:paraId="567D4244"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1,71,355</w:t>
            </w:r>
          </w:p>
        </w:tc>
      </w:tr>
      <w:tr w:rsidR="009A396D" w:rsidRPr="00EE2520" w14:paraId="6EA16C02" w14:textId="77777777" w:rsidTr="009B0E0E">
        <w:trPr>
          <w:trHeight w:val="500"/>
          <w:jc w:val="center"/>
        </w:trPr>
        <w:tc>
          <w:tcPr>
            <w:tcW w:w="4455" w:type="dxa"/>
            <w:shd w:val="clear" w:color="auto" w:fill="auto"/>
            <w:tcMar>
              <w:top w:w="100" w:type="dxa"/>
              <w:left w:w="100" w:type="dxa"/>
              <w:bottom w:w="100" w:type="dxa"/>
              <w:right w:w="100" w:type="dxa"/>
            </w:tcMar>
          </w:tcPr>
          <w:p w14:paraId="7E261921"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“Ordinary dividend paid”</w:t>
            </w:r>
          </w:p>
        </w:tc>
        <w:tc>
          <w:tcPr>
            <w:tcW w:w="2760" w:type="dxa"/>
            <w:shd w:val="clear" w:color="auto" w:fill="auto"/>
            <w:tcMar>
              <w:top w:w="100" w:type="dxa"/>
              <w:left w:w="100" w:type="dxa"/>
              <w:bottom w:w="100" w:type="dxa"/>
              <w:right w:w="100" w:type="dxa"/>
            </w:tcMar>
          </w:tcPr>
          <w:p w14:paraId="169F0C24"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20000</w:t>
            </w:r>
          </w:p>
        </w:tc>
      </w:tr>
      <w:tr w:rsidR="009A396D" w:rsidRPr="00EE2520" w14:paraId="6371BB42" w14:textId="77777777" w:rsidTr="009B0E0E">
        <w:trPr>
          <w:trHeight w:val="500"/>
          <w:jc w:val="center"/>
        </w:trPr>
        <w:tc>
          <w:tcPr>
            <w:tcW w:w="4455" w:type="dxa"/>
            <w:shd w:val="clear" w:color="auto" w:fill="auto"/>
            <w:tcMar>
              <w:top w:w="100" w:type="dxa"/>
              <w:left w:w="100" w:type="dxa"/>
              <w:bottom w:w="100" w:type="dxa"/>
              <w:right w:w="100" w:type="dxa"/>
            </w:tcMar>
          </w:tcPr>
          <w:p w14:paraId="41B98C00"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lastRenderedPageBreak/>
              <w:t>“Preference dividends paid”</w:t>
            </w:r>
          </w:p>
        </w:tc>
        <w:tc>
          <w:tcPr>
            <w:tcW w:w="2760" w:type="dxa"/>
            <w:shd w:val="clear" w:color="auto" w:fill="auto"/>
            <w:tcMar>
              <w:top w:w="100" w:type="dxa"/>
              <w:left w:w="100" w:type="dxa"/>
              <w:bottom w:w="100" w:type="dxa"/>
              <w:right w:w="100" w:type="dxa"/>
            </w:tcMar>
          </w:tcPr>
          <w:p w14:paraId="063CBED6"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30000</w:t>
            </w:r>
          </w:p>
        </w:tc>
      </w:tr>
      <w:tr w:rsidR="009A396D" w:rsidRPr="00EE2520" w14:paraId="0ED33882" w14:textId="77777777" w:rsidTr="009B0E0E">
        <w:trPr>
          <w:trHeight w:val="500"/>
          <w:jc w:val="center"/>
        </w:trPr>
        <w:tc>
          <w:tcPr>
            <w:tcW w:w="4455" w:type="dxa"/>
            <w:shd w:val="clear" w:color="auto" w:fill="auto"/>
            <w:tcMar>
              <w:top w:w="100" w:type="dxa"/>
              <w:left w:w="100" w:type="dxa"/>
              <w:bottom w:w="100" w:type="dxa"/>
              <w:right w:w="100" w:type="dxa"/>
            </w:tcMar>
          </w:tcPr>
          <w:p w14:paraId="1D29B090"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“Commission owed”</w:t>
            </w:r>
          </w:p>
        </w:tc>
        <w:tc>
          <w:tcPr>
            <w:tcW w:w="2760" w:type="dxa"/>
            <w:shd w:val="clear" w:color="auto" w:fill="auto"/>
            <w:tcMar>
              <w:top w:w="100" w:type="dxa"/>
              <w:left w:w="100" w:type="dxa"/>
              <w:bottom w:w="100" w:type="dxa"/>
              <w:right w:w="100" w:type="dxa"/>
            </w:tcMar>
          </w:tcPr>
          <w:p w14:paraId="63675921"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3000</w:t>
            </w:r>
          </w:p>
        </w:tc>
      </w:tr>
      <w:tr w:rsidR="009A396D" w:rsidRPr="00EE2520" w14:paraId="22E17FD1" w14:textId="77777777" w:rsidTr="009B0E0E">
        <w:trPr>
          <w:trHeight w:val="500"/>
          <w:jc w:val="center"/>
        </w:trPr>
        <w:tc>
          <w:tcPr>
            <w:tcW w:w="4455" w:type="dxa"/>
            <w:shd w:val="clear" w:color="auto" w:fill="auto"/>
            <w:tcMar>
              <w:top w:w="100" w:type="dxa"/>
              <w:left w:w="100" w:type="dxa"/>
              <w:bottom w:w="100" w:type="dxa"/>
              <w:right w:w="100" w:type="dxa"/>
            </w:tcMar>
          </w:tcPr>
          <w:p w14:paraId="582B8DD2" w14:textId="77777777" w:rsidR="009A396D" w:rsidRPr="00EE2520" w:rsidRDefault="00B52976">
            <w:pPr>
              <w:spacing w:before="240"/>
              <w:rPr>
                <w:rFonts w:eastAsia="Times New Roman" w:cs="Times New Roman"/>
                <w:b/>
                <w:bCs/>
                <w:sz w:val="28"/>
                <w:szCs w:val="28"/>
              </w:rPr>
            </w:pPr>
            <w:r w:rsidRPr="00EE2520">
              <w:rPr>
                <w:rFonts w:eastAsia="Times New Roman" w:cs="Times New Roman"/>
                <w:b/>
                <w:bCs/>
                <w:sz w:val="28"/>
                <w:szCs w:val="28"/>
              </w:rPr>
              <w:t>“Non-current liabilities”</w:t>
            </w:r>
          </w:p>
        </w:tc>
        <w:tc>
          <w:tcPr>
            <w:tcW w:w="2760" w:type="dxa"/>
            <w:shd w:val="clear" w:color="auto" w:fill="auto"/>
            <w:tcMar>
              <w:top w:w="100" w:type="dxa"/>
              <w:left w:w="100" w:type="dxa"/>
              <w:bottom w:w="100" w:type="dxa"/>
              <w:right w:w="100" w:type="dxa"/>
            </w:tcMar>
          </w:tcPr>
          <w:p w14:paraId="19EC8CC7"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 xml:space="preserve"> </w:t>
            </w:r>
          </w:p>
        </w:tc>
      </w:tr>
      <w:tr w:rsidR="009A396D" w:rsidRPr="00EE2520" w14:paraId="14DEADC3" w14:textId="77777777" w:rsidTr="009B0E0E">
        <w:trPr>
          <w:trHeight w:val="500"/>
          <w:jc w:val="center"/>
        </w:trPr>
        <w:tc>
          <w:tcPr>
            <w:tcW w:w="4455" w:type="dxa"/>
            <w:shd w:val="clear" w:color="auto" w:fill="auto"/>
            <w:tcMar>
              <w:top w:w="100" w:type="dxa"/>
              <w:left w:w="100" w:type="dxa"/>
              <w:bottom w:w="100" w:type="dxa"/>
              <w:right w:w="100" w:type="dxa"/>
            </w:tcMar>
          </w:tcPr>
          <w:p w14:paraId="3FF14061"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“4% Debentures”</w:t>
            </w:r>
          </w:p>
        </w:tc>
        <w:tc>
          <w:tcPr>
            <w:tcW w:w="2760" w:type="dxa"/>
            <w:shd w:val="clear" w:color="auto" w:fill="auto"/>
            <w:tcMar>
              <w:top w:w="100" w:type="dxa"/>
              <w:left w:w="100" w:type="dxa"/>
              <w:bottom w:w="100" w:type="dxa"/>
              <w:right w:w="100" w:type="dxa"/>
            </w:tcMar>
          </w:tcPr>
          <w:p w14:paraId="253F9FB5"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32,980</w:t>
            </w:r>
          </w:p>
        </w:tc>
      </w:tr>
      <w:tr w:rsidR="009A396D" w:rsidRPr="00EE2520" w14:paraId="461FA26C" w14:textId="77777777" w:rsidTr="009B0E0E">
        <w:trPr>
          <w:trHeight w:val="500"/>
          <w:jc w:val="center"/>
        </w:trPr>
        <w:tc>
          <w:tcPr>
            <w:tcW w:w="4455" w:type="dxa"/>
            <w:shd w:val="clear" w:color="auto" w:fill="B4C6E7"/>
            <w:tcMar>
              <w:top w:w="100" w:type="dxa"/>
              <w:left w:w="100" w:type="dxa"/>
              <w:bottom w:w="100" w:type="dxa"/>
              <w:right w:w="100" w:type="dxa"/>
            </w:tcMar>
          </w:tcPr>
          <w:p w14:paraId="3DBCBE7F"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“Total liabilities”</w:t>
            </w:r>
          </w:p>
        </w:tc>
        <w:tc>
          <w:tcPr>
            <w:tcW w:w="2760" w:type="dxa"/>
            <w:shd w:val="clear" w:color="auto" w:fill="B4C6E7"/>
            <w:tcMar>
              <w:top w:w="100" w:type="dxa"/>
              <w:left w:w="100" w:type="dxa"/>
              <w:bottom w:w="100" w:type="dxa"/>
              <w:right w:w="100" w:type="dxa"/>
            </w:tcMar>
          </w:tcPr>
          <w:p w14:paraId="0CE4F1DF" w14:textId="77777777" w:rsidR="009A396D" w:rsidRPr="00EE2520" w:rsidRDefault="00B52976">
            <w:pPr>
              <w:spacing w:before="240"/>
              <w:jc w:val="right"/>
              <w:rPr>
                <w:rFonts w:eastAsia="Times New Roman" w:cs="Times New Roman"/>
                <w:b/>
                <w:sz w:val="28"/>
                <w:szCs w:val="28"/>
              </w:rPr>
            </w:pPr>
            <w:r w:rsidRPr="00EE2520">
              <w:rPr>
                <w:rFonts w:eastAsia="Times New Roman" w:cs="Times New Roman"/>
                <w:b/>
                <w:sz w:val="28"/>
                <w:szCs w:val="28"/>
              </w:rPr>
              <w:t>2,57,335</w:t>
            </w:r>
          </w:p>
        </w:tc>
      </w:tr>
      <w:tr w:rsidR="009A396D" w:rsidRPr="00EE2520" w14:paraId="17BA5482" w14:textId="77777777" w:rsidTr="009B0E0E">
        <w:trPr>
          <w:trHeight w:val="515"/>
          <w:jc w:val="center"/>
        </w:trPr>
        <w:tc>
          <w:tcPr>
            <w:tcW w:w="4455" w:type="dxa"/>
            <w:shd w:val="clear" w:color="auto" w:fill="auto"/>
            <w:tcMar>
              <w:top w:w="100" w:type="dxa"/>
              <w:left w:w="100" w:type="dxa"/>
              <w:bottom w:w="100" w:type="dxa"/>
              <w:right w:w="100" w:type="dxa"/>
            </w:tcMar>
          </w:tcPr>
          <w:p w14:paraId="46A6DBBB" w14:textId="77777777" w:rsidR="009A396D" w:rsidRPr="00EE2520" w:rsidRDefault="00B52976">
            <w:pPr>
              <w:spacing w:before="240"/>
              <w:rPr>
                <w:rFonts w:eastAsia="Times New Roman" w:cs="Times New Roman"/>
                <w:b/>
                <w:i/>
                <w:sz w:val="28"/>
                <w:szCs w:val="28"/>
                <w:u w:val="single"/>
              </w:rPr>
            </w:pPr>
            <w:r w:rsidRPr="00EE2520">
              <w:rPr>
                <w:rFonts w:eastAsia="Times New Roman" w:cs="Times New Roman"/>
                <w:b/>
                <w:i/>
                <w:sz w:val="28"/>
                <w:szCs w:val="28"/>
                <w:u w:val="single"/>
              </w:rPr>
              <w:t>“Equity”</w:t>
            </w:r>
          </w:p>
        </w:tc>
        <w:tc>
          <w:tcPr>
            <w:tcW w:w="2760" w:type="dxa"/>
            <w:shd w:val="clear" w:color="auto" w:fill="auto"/>
            <w:tcMar>
              <w:top w:w="100" w:type="dxa"/>
              <w:left w:w="100" w:type="dxa"/>
              <w:bottom w:w="100" w:type="dxa"/>
              <w:right w:w="100" w:type="dxa"/>
            </w:tcMar>
          </w:tcPr>
          <w:p w14:paraId="0A486E40" w14:textId="77777777" w:rsidR="009A396D" w:rsidRPr="00EE2520" w:rsidRDefault="00B52976">
            <w:pPr>
              <w:spacing w:before="240"/>
              <w:jc w:val="right"/>
              <w:rPr>
                <w:rFonts w:eastAsia="Times New Roman" w:cs="Times New Roman"/>
                <w:b/>
                <w:sz w:val="28"/>
                <w:szCs w:val="28"/>
              </w:rPr>
            </w:pPr>
            <w:r w:rsidRPr="00EE2520">
              <w:rPr>
                <w:rFonts w:eastAsia="Times New Roman" w:cs="Times New Roman"/>
                <w:b/>
                <w:sz w:val="28"/>
                <w:szCs w:val="28"/>
              </w:rPr>
              <w:t xml:space="preserve"> </w:t>
            </w:r>
          </w:p>
        </w:tc>
      </w:tr>
      <w:tr w:rsidR="009A396D" w:rsidRPr="00EE2520" w14:paraId="476284C3" w14:textId="77777777" w:rsidTr="009B0E0E">
        <w:trPr>
          <w:trHeight w:val="500"/>
          <w:jc w:val="center"/>
        </w:trPr>
        <w:tc>
          <w:tcPr>
            <w:tcW w:w="4455" w:type="dxa"/>
            <w:shd w:val="clear" w:color="auto" w:fill="auto"/>
            <w:tcMar>
              <w:top w:w="100" w:type="dxa"/>
              <w:left w:w="100" w:type="dxa"/>
              <w:bottom w:w="100" w:type="dxa"/>
              <w:right w:w="100" w:type="dxa"/>
            </w:tcMar>
          </w:tcPr>
          <w:p w14:paraId="6248CF19"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“Ordinary shares”</w:t>
            </w:r>
          </w:p>
        </w:tc>
        <w:tc>
          <w:tcPr>
            <w:tcW w:w="2760" w:type="dxa"/>
            <w:shd w:val="clear" w:color="auto" w:fill="auto"/>
            <w:tcMar>
              <w:top w:w="100" w:type="dxa"/>
              <w:left w:w="100" w:type="dxa"/>
              <w:bottom w:w="100" w:type="dxa"/>
              <w:right w:w="100" w:type="dxa"/>
            </w:tcMar>
          </w:tcPr>
          <w:p w14:paraId="1E3DE40D"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4,00,000</w:t>
            </w:r>
          </w:p>
        </w:tc>
      </w:tr>
      <w:tr w:rsidR="009A396D" w:rsidRPr="00EE2520" w14:paraId="17A2A330" w14:textId="77777777" w:rsidTr="009B0E0E">
        <w:trPr>
          <w:trHeight w:val="500"/>
          <w:jc w:val="center"/>
        </w:trPr>
        <w:tc>
          <w:tcPr>
            <w:tcW w:w="4455" w:type="dxa"/>
            <w:shd w:val="clear" w:color="auto" w:fill="auto"/>
            <w:tcMar>
              <w:top w:w="100" w:type="dxa"/>
              <w:left w:w="100" w:type="dxa"/>
              <w:bottom w:w="100" w:type="dxa"/>
              <w:right w:w="100" w:type="dxa"/>
            </w:tcMar>
          </w:tcPr>
          <w:p w14:paraId="298C15F7"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“Preference shares”</w:t>
            </w:r>
          </w:p>
        </w:tc>
        <w:tc>
          <w:tcPr>
            <w:tcW w:w="2760" w:type="dxa"/>
            <w:shd w:val="clear" w:color="auto" w:fill="auto"/>
            <w:tcMar>
              <w:top w:w="100" w:type="dxa"/>
              <w:left w:w="100" w:type="dxa"/>
              <w:bottom w:w="100" w:type="dxa"/>
              <w:right w:w="100" w:type="dxa"/>
            </w:tcMar>
          </w:tcPr>
          <w:p w14:paraId="7E33787F"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300000</w:t>
            </w:r>
          </w:p>
        </w:tc>
      </w:tr>
      <w:tr w:rsidR="009A396D" w:rsidRPr="00EE2520" w14:paraId="00EDA6E6" w14:textId="77777777" w:rsidTr="009B0E0E">
        <w:trPr>
          <w:trHeight w:val="500"/>
          <w:jc w:val="center"/>
        </w:trPr>
        <w:tc>
          <w:tcPr>
            <w:tcW w:w="4455" w:type="dxa"/>
            <w:shd w:val="clear" w:color="auto" w:fill="auto"/>
            <w:tcMar>
              <w:top w:w="100" w:type="dxa"/>
              <w:left w:w="100" w:type="dxa"/>
              <w:bottom w:w="100" w:type="dxa"/>
              <w:right w:w="100" w:type="dxa"/>
            </w:tcMar>
          </w:tcPr>
          <w:p w14:paraId="555B3670"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“Retained earnings”</w:t>
            </w:r>
          </w:p>
        </w:tc>
        <w:tc>
          <w:tcPr>
            <w:tcW w:w="2760" w:type="dxa"/>
            <w:shd w:val="clear" w:color="auto" w:fill="auto"/>
            <w:tcMar>
              <w:top w:w="100" w:type="dxa"/>
              <w:left w:w="100" w:type="dxa"/>
              <w:bottom w:w="100" w:type="dxa"/>
              <w:right w:w="100" w:type="dxa"/>
            </w:tcMar>
          </w:tcPr>
          <w:p w14:paraId="274443E6"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253350</w:t>
            </w:r>
          </w:p>
        </w:tc>
      </w:tr>
      <w:tr w:rsidR="009A396D" w:rsidRPr="00EE2520" w14:paraId="4BA934FB" w14:textId="77777777" w:rsidTr="009B0E0E">
        <w:trPr>
          <w:trHeight w:val="500"/>
          <w:jc w:val="center"/>
        </w:trPr>
        <w:tc>
          <w:tcPr>
            <w:tcW w:w="4455" w:type="dxa"/>
            <w:shd w:val="clear" w:color="auto" w:fill="B4C6E7"/>
            <w:tcMar>
              <w:top w:w="100" w:type="dxa"/>
              <w:left w:w="100" w:type="dxa"/>
              <w:bottom w:w="100" w:type="dxa"/>
              <w:right w:w="100" w:type="dxa"/>
            </w:tcMar>
          </w:tcPr>
          <w:p w14:paraId="38287EF3"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“Total equity”</w:t>
            </w:r>
          </w:p>
        </w:tc>
        <w:tc>
          <w:tcPr>
            <w:tcW w:w="2760" w:type="dxa"/>
            <w:shd w:val="clear" w:color="auto" w:fill="B4C6E7"/>
            <w:tcMar>
              <w:top w:w="100" w:type="dxa"/>
              <w:left w:w="100" w:type="dxa"/>
              <w:bottom w:w="100" w:type="dxa"/>
              <w:right w:w="100" w:type="dxa"/>
            </w:tcMar>
          </w:tcPr>
          <w:p w14:paraId="049B0F5E" w14:textId="77777777" w:rsidR="009A396D" w:rsidRPr="00EE2520" w:rsidRDefault="00B52976">
            <w:pPr>
              <w:spacing w:before="240"/>
              <w:jc w:val="right"/>
              <w:rPr>
                <w:rFonts w:eastAsia="Times New Roman" w:cs="Times New Roman"/>
                <w:b/>
                <w:sz w:val="28"/>
                <w:szCs w:val="28"/>
              </w:rPr>
            </w:pPr>
            <w:r w:rsidRPr="00EE2520">
              <w:rPr>
                <w:rFonts w:eastAsia="Times New Roman" w:cs="Times New Roman"/>
                <w:b/>
                <w:sz w:val="28"/>
                <w:szCs w:val="28"/>
              </w:rPr>
              <w:t>9,53,350</w:t>
            </w:r>
          </w:p>
        </w:tc>
      </w:tr>
      <w:tr w:rsidR="009A396D" w:rsidRPr="00EE2520" w14:paraId="2F50760B" w14:textId="77777777" w:rsidTr="009B0E0E">
        <w:trPr>
          <w:trHeight w:val="500"/>
          <w:jc w:val="center"/>
        </w:trPr>
        <w:tc>
          <w:tcPr>
            <w:tcW w:w="4455" w:type="dxa"/>
            <w:shd w:val="clear" w:color="auto" w:fill="B4C6E7"/>
            <w:tcMar>
              <w:top w:w="100" w:type="dxa"/>
              <w:left w:w="100" w:type="dxa"/>
              <w:bottom w:w="100" w:type="dxa"/>
              <w:right w:w="100" w:type="dxa"/>
            </w:tcMar>
          </w:tcPr>
          <w:p w14:paraId="356264FD"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“Total equity and liability”</w:t>
            </w:r>
          </w:p>
        </w:tc>
        <w:tc>
          <w:tcPr>
            <w:tcW w:w="2760" w:type="dxa"/>
            <w:shd w:val="clear" w:color="auto" w:fill="B4C6E7"/>
            <w:tcMar>
              <w:top w:w="100" w:type="dxa"/>
              <w:left w:w="100" w:type="dxa"/>
              <w:bottom w:w="100" w:type="dxa"/>
              <w:right w:w="100" w:type="dxa"/>
            </w:tcMar>
          </w:tcPr>
          <w:p w14:paraId="1AC915A7" w14:textId="77777777" w:rsidR="009A396D" w:rsidRPr="00EE2520" w:rsidRDefault="00B52976">
            <w:pPr>
              <w:spacing w:before="240"/>
              <w:jc w:val="right"/>
              <w:rPr>
                <w:rFonts w:eastAsia="Times New Roman" w:cs="Times New Roman"/>
                <w:b/>
                <w:sz w:val="28"/>
                <w:szCs w:val="28"/>
              </w:rPr>
            </w:pPr>
            <w:r w:rsidRPr="00EE2520">
              <w:rPr>
                <w:rFonts w:eastAsia="Times New Roman" w:cs="Times New Roman"/>
                <w:b/>
                <w:sz w:val="28"/>
                <w:szCs w:val="28"/>
              </w:rPr>
              <w:t>12,10,685</w:t>
            </w:r>
          </w:p>
        </w:tc>
      </w:tr>
    </w:tbl>
    <w:p w14:paraId="3CCD5DB0" w14:textId="77777777" w:rsidR="009A396D" w:rsidRDefault="009A396D">
      <w:pPr>
        <w:rPr>
          <w:rFonts w:eastAsia="Times New Roman" w:cs="Times New Roman"/>
          <w:b/>
          <w:szCs w:val="24"/>
        </w:rPr>
      </w:pPr>
    </w:p>
    <w:p w14:paraId="2D8FECAD" w14:textId="77777777" w:rsidR="009A396D" w:rsidRPr="00EE2520" w:rsidRDefault="00B52976" w:rsidP="00EE2520">
      <w:pPr>
        <w:spacing w:line="360" w:lineRule="auto"/>
        <w:jc w:val="center"/>
        <w:rPr>
          <w:rFonts w:eastAsia="Times New Roman" w:cs="Times New Roman"/>
          <w:b/>
          <w:sz w:val="28"/>
          <w:szCs w:val="28"/>
        </w:rPr>
      </w:pPr>
      <w:r w:rsidRPr="00EE2520">
        <w:rPr>
          <w:rFonts w:eastAsia="Times New Roman" w:cs="Times New Roman"/>
          <w:b/>
          <w:sz w:val="28"/>
          <w:szCs w:val="28"/>
        </w:rPr>
        <w:lastRenderedPageBreak/>
        <w:t>“Table 2: Computation of Financial Position of Wales Plc.”</w:t>
      </w:r>
    </w:p>
    <w:p w14:paraId="0577641F" w14:textId="77777777" w:rsidR="009A396D" w:rsidRPr="00EE2520" w:rsidRDefault="00B52976" w:rsidP="00EE2520">
      <w:pPr>
        <w:spacing w:line="360" w:lineRule="auto"/>
        <w:jc w:val="center"/>
        <w:rPr>
          <w:rFonts w:eastAsia="Times New Roman" w:cs="Times New Roman"/>
          <w:b/>
          <w:sz w:val="28"/>
          <w:szCs w:val="28"/>
        </w:rPr>
      </w:pPr>
      <w:r w:rsidRPr="00EE2520">
        <w:rPr>
          <w:rFonts w:eastAsia="Times New Roman" w:cs="Times New Roman"/>
          <w:sz w:val="28"/>
          <w:szCs w:val="28"/>
        </w:rPr>
        <w:t>(Source: Self-Developed)</w:t>
      </w:r>
    </w:p>
    <w:p w14:paraId="5048A060" w14:textId="77777777" w:rsidR="009A396D" w:rsidRPr="00EE2520" w:rsidRDefault="00B52976" w:rsidP="00EE2520">
      <w:pPr>
        <w:pStyle w:val="Heading3"/>
        <w:spacing w:line="360" w:lineRule="auto"/>
        <w:rPr>
          <w:sz w:val="28"/>
        </w:rPr>
      </w:pPr>
      <w:bookmarkStart w:id="15" w:name="_Toc121339309"/>
      <w:bookmarkStart w:id="16" w:name="_Toc121344040"/>
      <w:r w:rsidRPr="00EE2520">
        <w:rPr>
          <w:sz w:val="28"/>
        </w:rPr>
        <w:t xml:space="preserve">Reason for evaluating </w:t>
      </w:r>
      <w:r w:rsidRPr="00EE2520">
        <w:rPr>
          <w:sz w:val="28"/>
        </w:rPr>
        <w:t>financial position statement</w:t>
      </w:r>
      <w:bookmarkEnd w:id="15"/>
      <w:bookmarkEnd w:id="16"/>
    </w:p>
    <w:p w14:paraId="0D3D55AD" w14:textId="77777777" w:rsidR="009A396D" w:rsidRPr="00EE2520" w:rsidRDefault="00B52976" w:rsidP="00EE2520">
      <w:pPr>
        <w:spacing w:line="360" w:lineRule="auto"/>
        <w:rPr>
          <w:sz w:val="28"/>
          <w:szCs w:val="28"/>
        </w:rPr>
      </w:pPr>
      <w:r w:rsidRPr="00EE2520">
        <w:rPr>
          <w:sz w:val="28"/>
          <w:szCs w:val="28"/>
        </w:rPr>
        <w:t>It has been demonstrated that the economic structure of the report helps in managing the businesses for controlling important aspects and their money and that helps in maintaining the connections associated with the clients and</w:t>
      </w:r>
      <w:r w:rsidRPr="00EE2520">
        <w:rPr>
          <w:sz w:val="28"/>
          <w:szCs w:val="28"/>
        </w:rPr>
        <w:t xml:space="preserve"> the other vendors of the businesses. The positioning statement of the business is also balanced according to the ideas related to the double entry accounting and that can be understood easily by the audiences to whom it has been directed (</w:t>
      </w:r>
      <w:r w:rsidRPr="00EE2520">
        <w:rPr>
          <w:sz w:val="28"/>
          <w:szCs w:val="28"/>
          <w:shd w:val="clear" w:color="auto" w:fill="FFFFFF"/>
        </w:rPr>
        <w:t xml:space="preserve">Mullens et al., </w:t>
      </w:r>
      <w:r w:rsidRPr="00EE2520">
        <w:rPr>
          <w:sz w:val="28"/>
          <w:szCs w:val="28"/>
          <w:shd w:val="clear" w:color="auto" w:fill="FFFFFF"/>
        </w:rPr>
        <w:t>2019)</w:t>
      </w:r>
      <w:r w:rsidRPr="00EE2520">
        <w:rPr>
          <w:sz w:val="28"/>
          <w:szCs w:val="28"/>
        </w:rPr>
        <w:t xml:space="preserve">. Furthermore, the worth of all the resources helps in reasonably expected to be turned into cash within the next years and that can enable individuals to support the existing operational activities and that can be important for analysing the current </w:t>
      </w:r>
      <w:r w:rsidRPr="00EE2520">
        <w:rPr>
          <w:sz w:val="28"/>
          <w:szCs w:val="28"/>
        </w:rPr>
        <w:t xml:space="preserve">costs of the businesses and their assets.  </w:t>
      </w:r>
    </w:p>
    <w:p w14:paraId="5EEE1F2B" w14:textId="77777777" w:rsidR="00EE2520" w:rsidRDefault="00B52976" w:rsidP="00EE2520">
      <w:pPr>
        <w:spacing w:line="360" w:lineRule="auto"/>
        <w:rPr>
          <w:sz w:val="28"/>
          <w:szCs w:val="28"/>
        </w:rPr>
      </w:pPr>
      <w:r w:rsidRPr="00EE2520">
        <w:rPr>
          <w:sz w:val="28"/>
          <w:szCs w:val="28"/>
        </w:rPr>
        <w:t>Speaking about liabilities, it can be stated that these are the firm’s past transactions and the recovery of which help in creating the reduction of the macro-economic values of the businesses. The current and th</w:t>
      </w:r>
      <w:r w:rsidRPr="00EE2520">
        <w:rPr>
          <w:sz w:val="28"/>
          <w:szCs w:val="28"/>
        </w:rPr>
        <w:t>e non-current obligations are the different types of liabilities. Contrasting this, it can be stated that the assets of the businesses are often valued and together with the values of the liabilities, it can help in documenting the firm’s financial positio</w:t>
      </w:r>
      <w:r w:rsidRPr="00EE2520">
        <w:rPr>
          <w:sz w:val="28"/>
          <w:szCs w:val="28"/>
        </w:rPr>
        <w:t>n (</w:t>
      </w:r>
      <w:r w:rsidRPr="00EE2520">
        <w:rPr>
          <w:sz w:val="28"/>
          <w:szCs w:val="28"/>
          <w:shd w:val="clear" w:color="auto" w:fill="FFFFFF"/>
        </w:rPr>
        <w:t>Hayes et al., 2019)</w:t>
      </w:r>
      <w:r w:rsidRPr="00EE2520">
        <w:rPr>
          <w:sz w:val="28"/>
          <w:szCs w:val="28"/>
        </w:rPr>
        <w:t xml:space="preserve">. The asset is the depiction of the resources that are controllable by the organisations and that have the ability for incurring different economic advancements. Two different types of assets are there which is based on the frequency </w:t>
      </w:r>
      <w:r w:rsidRPr="00EE2520">
        <w:rPr>
          <w:sz w:val="28"/>
          <w:szCs w:val="28"/>
        </w:rPr>
        <w:t>or the number of times those assets are utilised by the businesses. In this way, it helps in increasing the confidence within the business feature and that can create significant advances in the business attribute that might generate and earn important rev</w:t>
      </w:r>
      <w:r w:rsidRPr="00EE2520">
        <w:rPr>
          <w:sz w:val="28"/>
          <w:szCs w:val="28"/>
        </w:rPr>
        <w:t xml:space="preserve">enues throughout the processes. </w:t>
      </w:r>
    </w:p>
    <w:p w14:paraId="4B0B8C6A" w14:textId="702E9B1F" w:rsidR="009A396D" w:rsidRPr="00EE2520" w:rsidRDefault="00B52976" w:rsidP="00EE2520">
      <w:pPr>
        <w:spacing w:line="360" w:lineRule="auto"/>
        <w:rPr>
          <w:rFonts w:eastAsia="Times New Roman" w:cs="Times New Roman"/>
          <w:sz w:val="28"/>
          <w:szCs w:val="28"/>
        </w:rPr>
      </w:pPr>
      <w:r w:rsidRPr="00EE2520">
        <w:rPr>
          <w:sz w:val="28"/>
          <w:szCs w:val="28"/>
        </w:rPr>
        <w:lastRenderedPageBreak/>
        <w:t>They shall also be reliable towards the effective business features and that can help in monitoring important business functions and throughout which they can generate important business advances throughout which can enhance</w:t>
      </w:r>
      <w:r w:rsidRPr="00EE2520">
        <w:rPr>
          <w:sz w:val="28"/>
          <w:szCs w:val="28"/>
        </w:rPr>
        <w:t xml:space="preserve"> and create their business position. These assets can also help in analysing important business transactions using which they can enhance and make their contributions towards a wider business segment. Hence, they can monitor and effectively carry out the f</w:t>
      </w:r>
      <w:r w:rsidRPr="00EE2520">
        <w:rPr>
          <w:sz w:val="28"/>
          <w:szCs w:val="28"/>
        </w:rPr>
        <w:t xml:space="preserve">inancial functions in the complete business process. It can also help in the management of the business affairs which can help in increasing the important resolutions during the businesses. </w:t>
      </w:r>
    </w:p>
    <w:p w14:paraId="1F9A379A" w14:textId="6CB70258" w:rsidR="009A396D" w:rsidRPr="00EE2520" w:rsidRDefault="00B52976" w:rsidP="009B0E0E">
      <w:pPr>
        <w:pStyle w:val="Heading2"/>
        <w:rPr>
          <w:sz w:val="28"/>
          <w:szCs w:val="28"/>
        </w:rPr>
      </w:pPr>
      <w:bookmarkStart w:id="17" w:name="_Toc121339310"/>
      <w:bookmarkStart w:id="18" w:name="_Toc121344041"/>
      <w:r w:rsidRPr="00EE2520">
        <w:rPr>
          <w:sz w:val="28"/>
          <w:szCs w:val="28"/>
        </w:rPr>
        <w:t>Ratio Analysis</w:t>
      </w:r>
      <w:bookmarkEnd w:id="17"/>
      <w:bookmarkEnd w:id="18"/>
      <w:r w:rsidRPr="00EE2520">
        <w:rPr>
          <w:sz w:val="28"/>
          <w:szCs w:val="28"/>
        </w:rPr>
        <w:t xml:space="preserve"> </w:t>
      </w:r>
    </w:p>
    <w:tbl>
      <w:tblPr>
        <w:tblStyle w:val="a1"/>
        <w:tblW w:w="882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7065"/>
        <w:gridCol w:w="945"/>
        <w:gridCol w:w="810"/>
      </w:tblGrid>
      <w:tr w:rsidR="009A396D" w14:paraId="7A5F1A84" w14:textId="77777777" w:rsidTr="009B0E0E">
        <w:trPr>
          <w:trHeight w:val="485"/>
          <w:jc w:val="center"/>
        </w:trPr>
        <w:tc>
          <w:tcPr>
            <w:tcW w:w="8820" w:type="dxa"/>
            <w:gridSpan w:val="3"/>
            <w:shd w:val="clear" w:color="auto" w:fill="FFFF00"/>
            <w:tcMar>
              <w:top w:w="100" w:type="dxa"/>
              <w:left w:w="100" w:type="dxa"/>
              <w:bottom w:w="100" w:type="dxa"/>
              <w:right w:w="100" w:type="dxa"/>
            </w:tcMar>
            <w:vAlign w:val="bottom"/>
          </w:tcPr>
          <w:p w14:paraId="7A53C2A5" w14:textId="77777777" w:rsidR="009A396D" w:rsidRPr="00EE2520" w:rsidRDefault="00B52976">
            <w:pPr>
              <w:spacing w:before="240"/>
              <w:jc w:val="center"/>
              <w:rPr>
                <w:rFonts w:eastAsia="Times New Roman" w:cs="Times New Roman"/>
                <w:b/>
                <w:sz w:val="28"/>
                <w:szCs w:val="28"/>
              </w:rPr>
            </w:pPr>
            <w:r w:rsidRPr="00EE2520">
              <w:rPr>
                <w:rFonts w:eastAsia="Times New Roman" w:cs="Times New Roman"/>
                <w:b/>
                <w:sz w:val="28"/>
                <w:szCs w:val="28"/>
              </w:rPr>
              <w:t>Computation of Ratio Analysis</w:t>
            </w:r>
          </w:p>
        </w:tc>
      </w:tr>
      <w:tr w:rsidR="009A396D" w14:paraId="7BDBC5CD" w14:textId="77777777" w:rsidTr="009B0E0E">
        <w:trPr>
          <w:trHeight w:val="485"/>
          <w:jc w:val="center"/>
        </w:trPr>
        <w:tc>
          <w:tcPr>
            <w:tcW w:w="7065" w:type="dxa"/>
            <w:shd w:val="clear" w:color="auto" w:fill="B4C6E7"/>
            <w:tcMar>
              <w:top w:w="100" w:type="dxa"/>
              <w:left w:w="100" w:type="dxa"/>
              <w:bottom w:w="100" w:type="dxa"/>
              <w:right w:w="100" w:type="dxa"/>
            </w:tcMar>
            <w:vAlign w:val="bottom"/>
          </w:tcPr>
          <w:p w14:paraId="2D892D6B"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Particulars</w:t>
            </w:r>
          </w:p>
        </w:tc>
        <w:tc>
          <w:tcPr>
            <w:tcW w:w="945" w:type="dxa"/>
            <w:shd w:val="clear" w:color="auto" w:fill="B4C6E7"/>
            <w:tcMar>
              <w:top w:w="100" w:type="dxa"/>
              <w:left w:w="100" w:type="dxa"/>
              <w:bottom w:w="100" w:type="dxa"/>
              <w:right w:w="100" w:type="dxa"/>
            </w:tcMar>
            <w:vAlign w:val="bottom"/>
          </w:tcPr>
          <w:p w14:paraId="02A03844" w14:textId="77777777" w:rsidR="009A396D" w:rsidRPr="00EE2520" w:rsidRDefault="00B52976">
            <w:pPr>
              <w:spacing w:before="240"/>
              <w:jc w:val="center"/>
              <w:rPr>
                <w:rFonts w:eastAsia="Times New Roman" w:cs="Times New Roman"/>
                <w:b/>
                <w:sz w:val="28"/>
                <w:szCs w:val="28"/>
              </w:rPr>
            </w:pPr>
            <w:r w:rsidRPr="00EE2520">
              <w:rPr>
                <w:rFonts w:eastAsia="Times New Roman" w:cs="Times New Roman"/>
                <w:b/>
                <w:sz w:val="28"/>
                <w:szCs w:val="28"/>
              </w:rPr>
              <w:t>2020</w:t>
            </w:r>
          </w:p>
        </w:tc>
        <w:tc>
          <w:tcPr>
            <w:tcW w:w="810" w:type="dxa"/>
            <w:shd w:val="clear" w:color="auto" w:fill="B4C6E7"/>
            <w:tcMar>
              <w:top w:w="100" w:type="dxa"/>
              <w:left w:w="100" w:type="dxa"/>
              <w:bottom w:w="100" w:type="dxa"/>
              <w:right w:w="100" w:type="dxa"/>
            </w:tcMar>
            <w:vAlign w:val="bottom"/>
          </w:tcPr>
          <w:p w14:paraId="579B4CBD" w14:textId="77777777" w:rsidR="009A396D" w:rsidRPr="00EE2520" w:rsidRDefault="00B52976">
            <w:pPr>
              <w:spacing w:before="240"/>
              <w:jc w:val="center"/>
              <w:rPr>
                <w:rFonts w:eastAsia="Times New Roman" w:cs="Times New Roman"/>
                <w:b/>
                <w:sz w:val="28"/>
                <w:szCs w:val="28"/>
              </w:rPr>
            </w:pPr>
            <w:r w:rsidRPr="00EE2520">
              <w:rPr>
                <w:rFonts w:eastAsia="Times New Roman" w:cs="Times New Roman"/>
                <w:b/>
                <w:sz w:val="28"/>
                <w:szCs w:val="28"/>
              </w:rPr>
              <w:t>2021</w:t>
            </w:r>
          </w:p>
        </w:tc>
      </w:tr>
      <w:tr w:rsidR="009A396D" w14:paraId="71770DAE" w14:textId="77777777" w:rsidTr="009B0E0E">
        <w:trPr>
          <w:trHeight w:val="485"/>
          <w:jc w:val="center"/>
        </w:trPr>
        <w:tc>
          <w:tcPr>
            <w:tcW w:w="8820" w:type="dxa"/>
            <w:gridSpan w:val="3"/>
            <w:shd w:val="clear" w:color="auto" w:fill="auto"/>
            <w:tcMar>
              <w:top w:w="100" w:type="dxa"/>
              <w:left w:w="100" w:type="dxa"/>
              <w:bottom w:w="100" w:type="dxa"/>
              <w:right w:w="100" w:type="dxa"/>
            </w:tcMar>
            <w:vAlign w:val="bottom"/>
          </w:tcPr>
          <w:p w14:paraId="394043D5" w14:textId="77777777" w:rsidR="009A396D" w:rsidRPr="00EE2520" w:rsidRDefault="00B52976">
            <w:pPr>
              <w:spacing w:before="240"/>
              <w:rPr>
                <w:rFonts w:eastAsia="Times New Roman" w:cs="Times New Roman"/>
                <w:b/>
                <w:i/>
                <w:sz w:val="28"/>
                <w:szCs w:val="28"/>
                <w:u w:val="single"/>
              </w:rPr>
            </w:pPr>
            <w:r w:rsidRPr="00EE2520">
              <w:rPr>
                <w:rFonts w:eastAsia="Times New Roman" w:cs="Times New Roman"/>
                <w:b/>
                <w:i/>
                <w:sz w:val="28"/>
                <w:szCs w:val="28"/>
                <w:u w:val="single"/>
              </w:rPr>
              <w:t>ROCE</w:t>
            </w:r>
          </w:p>
        </w:tc>
      </w:tr>
      <w:tr w:rsidR="009A396D" w14:paraId="709ACE0D" w14:textId="77777777" w:rsidTr="009B0E0E">
        <w:trPr>
          <w:trHeight w:val="485"/>
          <w:jc w:val="center"/>
        </w:trPr>
        <w:tc>
          <w:tcPr>
            <w:tcW w:w="8820" w:type="dxa"/>
            <w:gridSpan w:val="3"/>
            <w:shd w:val="clear" w:color="auto" w:fill="auto"/>
            <w:tcMar>
              <w:top w:w="100" w:type="dxa"/>
              <w:left w:w="100" w:type="dxa"/>
              <w:bottom w:w="100" w:type="dxa"/>
              <w:right w:w="100" w:type="dxa"/>
            </w:tcMar>
            <w:vAlign w:val="bottom"/>
          </w:tcPr>
          <w:p w14:paraId="7F54BB1A"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Formula of ROCE = Total Assets- Current Liabilities</w:t>
            </w:r>
          </w:p>
        </w:tc>
      </w:tr>
      <w:tr w:rsidR="009A396D" w14:paraId="7C5645B6"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7DDFC16E" w14:textId="77777777" w:rsidR="009A396D" w:rsidRPr="00EE2520" w:rsidRDefault="00B52976">
            <w:pPr>
              <w:spacing w:before="240"/>
              <w:rPr>
                <w:rFonts w:eastAsia="Times New Roman" w:cs="Times New Roman"/>
                <w:i/>
                <w:sz w:val="28"/>
                <w:szCs w:val="28"/>
              </w:rPr>
            </w:pPr>
            <w:r w:rsidRPr="00EE2520">
              <w:rPr>
                <w:rFonts w:eastAsia="Times New Roman" w:cs="Times New Roman"/>
                <w:i/>
                <w:sz w:val="28"/>
                <w:szCs w:val="28"/>
              </w:rPr>
              <w:t>Total Assets</w:t>
            </w:r>
          </w:p>
        </w:tc>
        <w:tc>
          <w:tcPr>
            <w:tcW w:w="945" w:type="dxa"/>
            <w:shd w:val="clear" w:color="auto" w:fill="auto"/>
            <w:tcMar>
              <w:top w:w="100" w:type="dxa"/>
              <w:left w:w="100" w:type="dxa"/>
              <w:bottom w:w="100" w:type="dxa"/>
              <w:right w:w="100" w:type="dxa"/>
            </w:tcMar>
            <w:vAlign w:val="bottom"/>
          </w:tcPr>
          <w:p w14:paraId="0C0C8AC8"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10087</w:t>
            </w:r>
          </w:p>
        </w:tc>
        <w:tc>
          <w:tcPr>
            <w:tcW w:w="810" w:type="dxa"/>
            <w:shd w:val="clear" w:color="auto" w:fill="auto"/>
            <w:tcMar>
              <w:top w:w="100" w:type="dxa"/>
              <w:left w:w="100" w:type="dxa"/>
              <w:bottom w:w="100" w:type="dxa"/>
              <w:right w:w="100" w:type="dxa"/>
            </w:tcMar>
            <w:vAlign w:val="bottom"/>
          </w:tcPr>
          <w:p w14:paraId="5834CAD6"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9736</w:t>
            </w:r>
          </w:p>
        </w:tc>
      </w:tr>
      <w:tr w:rsidR="009A396D" w14:paraId="076EAC7E"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14BD4C62" w14:textId="77777777" w:rsidR="009A396D" w:rsidRPr="00EE2520" w:rsidRDefault="00B52976">
            <w:pPr>
              <w:spacing w:before="240"/>
              <w:rPr>
                <w:rFonts w:eastAsia="Times New Roman" w:cs="Times New Roman"/>
                <w:i/>
                <w:sz w:val="28"/>
                <w:szCs w:val="28"/>
              </w:rPr>
            </w:pPr>
            <w:r w:rsidRPr="00EE2520">
              <w:rPr>
                <w:rFonts w:eastAsia="Times New Roman" w:cs="Times New Roman"/>
                <w:i/>
                <w:sz w:val="28"/>
                <w:szCs w:val="28"/>
              </w:rPr>
              <w:t>Current Liabilities</w:t>
            </w:r>
          </w:p>
        </w:tc>
        <w:tc>
          <w:tcPr>
            <w:tcW w:w="945" w:type="dxa"/>
            <w:shd w:val="clear" w:color="auto" w:fill="auto"/>
            <w:tcMar>
              <w:top w:w="100" w:type="dxa"/>
              <w:left w:w="100" w:type="dxa"/>
              <w:bottom w:w="100" w:type="dxa"/>
              <w:right w:w="100" w:type="dxa"/>
            </w:tcMar>
            <w:vAlign w:val="bottom"/>
          </w:tcPr>
          <w:p w14:paraId="3D28096B"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2355</w:t>
            </w:r>
          </w:p>
        </w:tc>
        <w:tc>
          <w:tcPr>
            <w:tcW w:w="810" w:type="dxa"/>
            <w:shd w:val="clear" w:color="auto" w:fill="auto"/>
            <w:tcMar>
              <w:top w:w="100" w:type="dxa"/>
              <w:left w:w="100" w:type="dxa"/>
              <w:bottom w:w="100" w:type="dxa"/>
              <w:right w:w="100" w:type="dxa"/>
            </w:tcMar>
            <w:vAlign w:val="bottom"/>
          </w:tcPr>
          <w:p w14:paraId="43FE2217"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2303</w:t>
            </w:r>
          </w:p>
        </w:tc>
      </w:tr>
      <w:tr w:rsidR="009A396D" w14:paraId="728EC683"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3BDC12F9"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lastRenderedPageBreak/>
              <w:t>ROCE</w:t>
            </w:r>
          </w:p>
        </w:tc>
        <w:tc>
          <w:tcPr>
            <w:tcW w:w="945" w:type="dxa"/>
            <w:shd w:val="clear" w:color="auto" w:fill="auto"/>
            <w:tcMar>
              <w:top w:w="100" w:type="dxa"/>
              <w:left w:w="100" w:type="dxa"/>
              <w:bottom w:w="100" w:type="dxa"/>
              <w:right w:w="100" w:type="dxa"/>
            </w:tcMar>
            <w:vAlign w:val="bottom"/>
          </w:tcPr>
          <w:p w14:paraId="04D0B2F4" w14:textId="77777777" w:rsidR="009A396D" w:rsidRPr="00EE2520" w:rsidRDefault="00B52976">
            <w:pPr>
              <w:spacing w:before="240"/>
              <w:jc w:val="right"/>
              <w:rPr>
                <w:rFonts w:eastAsia="Times New Roman" w:cs="Times New Roman"/>
                <w:b/>
                <w:sz w:val="28"/>
                <w:szCs w:val="28"/>
              </w:rPr>
            </w:pPr>
            <w:r w:rsidRPr="00EE2520">
              <w:rPr>
                <w:rFonts w:eastAsia="Times New Roman" w:cs="Times New Roman"/>
                <w:b/>
                <w:sz w:val="28"/>
                <w:szCs w:val="28"/>
              </w:rPr>
              <w:t>12%</w:t>
            </w:r>
          </w:p>
        </w:tc>
        <w:tc>
          <w:tcPr>
            <w:tcW w:w="810" w:type="dxa"/>
            <w:shd w:val="clear" w:color="auto" w:fill="auto"/>
            <w:tcMar>
              <w:top w:w="100" w:type="dxa"/>
              <w:left w:w="100" w:type="dxa"/>
              <w:bottom w:w="100" w:type="dxa"/>
              <w:right w:w="100" w:type="dxa"/>
            </w:tcMar>
            <w:vAlign w:val="bottom"/>
          </w:tcPr>
          <w:p w14:paraId="556DDB9C" w14:textId="77777777" w:rsidR="009A396D" w:rsidRPr="00EE2520" w:rsidRDefault="00B52976">
            <w:pPr>
              <w:spacing w:before="240"/>
              <w:jc w:val="right"/>
              <w:rPr>
                <w:rFonts w:eastAsia="Times New Roman" w:cs="Times New Roman"/>
                <w:b/>
                <w:sz w:val="28"/>
                <w:szCs w:val="28"/>
              </w:rPr>
            </w:pPr>
            <w:r w:rsidRPr="00EE2520">
              <w:rPr>
                <w:rFonts w:eastAsia="Times New Roman" w:cs="Times New Roman"/>
                <w:b/>
                <w:sz w:val="28"/>
                <w:szCs w:val="28"/>
              </w:rPr>
              <w:t>11%</w:t>
            </w:r>
          </w:p>
        </w:tc>
      </w:tr>
      <w:tr w:rsidR="009A396D" w14:paraId="2745B4AC"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6A627D6F" w14:textId="77777777" w:rsidR="009A396D" w:rsidRPr="00EE2520" w:rsidRDefault="00B52976">
            <w:pPr>
              <w:spacing w:before="240"/>
              <w:rPr>
                <w:rFonts w:eastAsia="Times New Roman" w:cs="Times New Roman"/>
                <w:b/>
                <w:i/>
                <w:sz w:val="28"/>
                <w:szCs w:val="28"/>
                <w:u w:val="single"/>
              </w:rPr>
            </w:pPr>
            <w:r w:rsidRPr="00EE2520">
              <w:rPr>
                <w:rFonts w:eastAsia="Times New Roman" w:cs="Times New Roman"/>
                <w:b/>
                <w:i/>
                <w:sz w:val="28"/>
                <w:szCs w:val="28"/>
                <w:u w:val="single"/>
              </w:rPr>
              <w:t>ROE</w:t>
            </w:r>
          </w:p>
        </w:tc>
        <w:tc>
          <w:tcPr>
            <w:tcW w:w="945" w:type="dxa"/>
            <w:shd w:val="clear" w:color="auto" w:fill="auto"/>
            <w:tcMar>
              <w:top w:w="100" w:type="dxa"/>
              <w:left w:w="100" w:type="dxa"/>
              <w:bottom w:w="100" w:type="dxa"/>
              <w:right w:w="100" w:type="dxa"/>
            </w:tcMar>
            <w:vAlign w:val="bottom"/>
          </w:tcPr>
          <w:p w14:paraId="5F72F040"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 xml:space="preserve"> </w:t>
            </w:r>
          </w:p>
        </w:tc>
        <w:tc>
          <w:tcPr>
            <w:tcW w:w="810" w:type="dxa"/>
            <w:shd w:val="clear" w:color="auto" w:fill="auto"/>
            <w:tcMar>
              <w:top w:w="100" w:type="dxa"/>
              <w:left w:w="100" w:type="dxa"/>
              <w:bottom w:w="100" w:type="dxa"/>
              <w:right w:w="100" w:type="dxa"/>
            </w:tcMar>
            <w:vAlign w:val="bottom"/>
          </w:tcPr>
          <w:p w14:paraId="5777BACA"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 xml:space="preserve"> </w:t>
            </w:r>
          </w:p>
        </w:tc>
      </w:tr>
      <w:tr w:rsidR="009A396D" w14:paraId="070EA036"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3830E36E"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Formula of ROE = Net Income / Equity</w:t>
            </w:r>
          </w:p>
        </w:tc>
        <w:tc>
          <w:tcPr>
            <w:tcW w:w="945" w:type="dxa"/>
            <w:shd w:val="clear" w:color="auto" w:fill="auto"/>
            <w:tcMar>
              <w:top w:w="100" w:type="dxa"/>
              <w:left w:w="100" w:type="dxa"/>
              <w:bottom w:w="100" w:type="dxa"/>
              <w:right w:w="100" w:type="dxa"/>
            </w:tcMar>
            <w:vAlign w:val="bottom"/>
          </w:tcPr>
          <w:p w14:paraId="4691CE99"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 xml:space="preserve"> </w:t>
            </w:r>
          </w:p>
        </w:tc>
        <w:tc>
          <w:tcPr>
            <w:tcW w:w="810" w:type="dxa"/>
            <w:shd w:val="clear" w:color="auto" w:fill="auto"/>
            <w:tcMar>
              <w:top w:w="100" w:type="dxa"/>
              <w:left w:w="100" w:type="dxa"/>
              <w:bottom w:w="100" w:type="dxa"/>
              <w:right w:w="100" w:type="dxa"/>
            </w:tcMar>
            <w:vAlign w:val="bottom"/>
          </w:tcPr>
          <w:p w14:paraId="62AFA30A"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 xml:space="preserve"> </w:t>
            </w:r>
          </w:p>
        </w:tc>
      </w:tr>
      <w:tr w:rsidR="009A396D" w14:paraId="52E99BF9"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5724E878" w14:textId="77777777" w:rsidR="009A396D" w:rsidRPr="00EE2520" w:rsidRDefault="00B52976">
            <w:pPr>
              <w:spacing w:before="240"/>
              <w:rPr>
                <w:rFonts w:eastAsia="Times New Roman" w:cs="Times New Roman"/>
                <w:i/>
                <w:sz w:val="28"/>
                <w:szCs w:val="28"/>
              </w:rPr>
            </w:pPr>
            <w:r w:rsidRPr="00EE2520">
              <w:rPr>
                <w:rFonts w:eastAsia="Times New Roman" w:cs="Times New Roman"/>
                <w:i/>
                <w:sz w:val="28"/>
                <w:szCs w:val="28"/>
              </w:rPr>
              <w:t>Net Income</w:t>
            </w:r>
          </w:p>
        </w:tc>
        <w:tc>
          <w:tcPr>
            <w:tcW w:w="945" w:type="dxa"/>
            <w:shd w:val="clear" w:color="auto" w:fill="auto"/>
            <w:tcMar>
              <w:top w:w="100" w:type="dxa"/>
              <w:left w:w="100" w:type="dxa"/>
              <w:bottom w:w="100" w:type="dxa"/>
              <w:right w:w="100" w:type="dxa"/>
            </w:tcMar>
            <w:vAlign w:val="bottom"/>
          </w:tcPr>
          <w:p w14:paraId="3DF72DEB"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366</w:t>
            </w:r>
          </w:p>
        </w:tc>
        <w:tc>
          <w:tcPr>
            <w:tcW w:w="810" w:type="dxa"/>
            <w:shd w:val="clear" w:color="auto" w:fill="auto"/>
            <w:tcMar>
              <w:top w:w="100" w:type="dxa"/>
              <w:left w:w="100" w:type="dxa"/>
              <w:bottom w:w="100" w:type="dxa"/>
              <w:right w:w="100" w:type="dxa"/>
            </w:tcMar>
            <w:vAlign w:val="bottom"/>
          </w:tcPr>
          <w:p w14:paraId="4EA9608B"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431</w:t>
            </w:r>
          </w:p>
        </w:tc>
      </w:tr>
      <w:tr w:rsidR="009A396D" w14:paraId="055F3A12"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67117360" w14:textId="77777777" w:rsidR="009A396D" w:rsidRPr="00EE2520" w:rsidRDefault="00B52976">
            <w:pPr>
              <w:spacing w:before="240"/>
              <w:rPr>
                <w:rFonts w:eastAsia="Times New Roman" w:cs="Times New Roman"/>
                <w:i/>
                <w:sz w:val="28"/>
                <w:szCs w:val="28"/>
              </w:rPr>
            </w:pPr>
            <w:r w:rsidRPr="00EE2520">
              <w:rPr>
                <w:rFonts w:eastAsia="Times New Roman" w:cs="Times New Roman"/>
                <w:i/>
                <w:sz w:val="28"/>
                <w:szCs w:val="28"/>
              </w:rPr>
              <w:t>Equity</w:t>
            </w:r>
          </w:p>
        </w:tc>
        <w:tc>
          <w:tcPr>
            <w:tcW w:w="945" w:type="dxa"/>
            <w:shd w:val="clear" w:color="auto" w:fill="auto"/>
            <w:tcMar>
              <w:top w:w="100" w:type="dxa"/>
              <w:left w:w="100" w:type="dxa"/>
              <w:bottom w:w="100" w:type="dxa"/>
              <w:right w:w="100" w:type="dxa"/>
            </w:tcMar>
            <w:vAlign w:val="bottom"/>
          </w:tcPr>
          <w:p w14:paraId="23841480"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2912</w:t>
            </w:r>
          </w:p>
        </w:tc>
        <w:tc>
          <w:tcPr>
            <w:tcW w:w="810" w:type="dxa"/>
            <w:shd w:val="clear" w:color="auto" w:fill="auto"/>
            <w:tcMar>
              <w:top w:w="100" w:type="dxa"/>
              <w:left w:w="100" w:type="dxa"/>
              <w:bottom w:w="100" w:type="dxa"/>
              <w:right w:w="100" w:type="dxa"/>
            </w:tcMar>
            <w:vAlign w:val="bottom"/>
          </w:tcPr>
          <w:p w14:paraId="1D133830"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3088</w:t>
            </w:r>
          </w:p>
        </w:tc>
      </w:tr>
      <w:tr w:rsidR="009A396D" w14:paraId="5AF737B7"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31437398"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ROE</w:t>
            </w:r>
          </w:p>
        </w:tc>
        <w:tc>
          <w:tcPr>
            <w:tcW w:w="945" w:type="dxa"/>
            <w:shd w:val="clear" w:color="auto" w:fill="auto"/>
            <w:tcMar>
              <w:top w:w="100" w:type="dxa"/>
              <w:left w:w="100" w:type="dxa"/>
              <w:bottom w:w="100" w:type="dxa"/>
              <w:right w:w="100" w:type="dxa"/>
            </w:tcMar>
            <w:vAlign w:val="bottom"/>
          </w:tcPr>
          <w:p w14:paraId="03B66AC2" w14:textId="77777777" w:rsidR="009A396D" w:rsidRPr="00EE2520" w:rsidRDefault="00B52976">
            <w:pPr>
              <w:spacing w:before="240"/>
              <w:jc w:val="right"/>
              <w:rPr>
                <w:rFonts w:eastAsia="Times New Roman" w:cs="Times New Roman"/>
                <w:b/>
                <w:sz w:val="28"/>
                <w:szCs w:val="28"/>
              </w:rPr>
            </w:pPr>
            <w:r w:rsidRPr="00EE2520">
              <w:rPr>
                <w:rFonts w:eastAsia="Times New Roman" w:cs="Times New Roman"/>
                <w:b/>
                <w:sz w:val="28"/>
                <w:szCs w:val="28"/>
              </w:rPr>
              <w:t>13%</w:t>
            </w:r>
          </w:p>
        </w:tc>
        <w:tc>
          <w:tcPr>
            <w:tcW w:w="810" w:type="dxa"/>
            <w:shd w:val="clear" w:color="auto" w:fill="auto"/>
            <w:tcMar>
              <w:top w:w="100" w:type="dxa"/>
              <w:left w:w="100" w:type="dxa"/>
              <w:bottom w:w="100" w:type="dxa"/>
              <w:right w:w="100" w:type="dxa"/>
            </w:tcMar>
            <w:vAlign w:val="bottom"/>
          </w:tcPr>
          <w:p w14:paraId="082A5478" w14:textId="77777777" w:rsidR="009A396D" w:rsidRPr="00EE2520" w:rsidRDefault="00B52976">
            <w:pPr>
              <w:spacing w:before="240"/>
              <w:jc w:val="right"/>
              <w:rPr>
                <w:rFonts w:eastAsia="Times New Roman" w:cs="Times New Roman"/>
                <w:b/>
                <w:sz w:val="28"/>
                <w:szCs w:val="28"/>
              </w:rPr>
            </w:pPr>
            <w:r w:rsidRPr="00EE2520">
              <w:rPr>
                <w:rFonts w:eastAsia="Times New Roman" w:cs="Times New Roman"/>
                <w:b/>
                <w:sz w:val="28"/>
                <w:szCs w:val="28"/>
              </w:rPr>
              <w:t>14%</w:t>
            </w:r>
          </w:p>
        </w:tc>
      </w:tr>
      <w:tr w:rsidR="009A396D" w14:paraId="6C1B953A" w14:textId="77777777" w:rsidTr="009B0E0E">
        <w:trPr>
          <w:trHeight w:val="485"/>
          <w:jc w:val="center"/>
        </w:trPr>
        <w:tc>
          <w:tcPr>
            <w:tcW w:w="8820" w:type="dxa"/>
            <w:gridSpan w:val="3"/>
            <w:shd w:val="clear" w:color="auto" w:fill="auto"/>
            <w:tcMar>
              <w:top w:w="100" w:type="dxa"/>
              <w:left w:w="100" w:type="dxa"/>
              <w:bottom w:w="100" w:type="dxa"/>
              <w:right w:w="100" w:type="dxa"/>
            </w:tcMar>
            <w:vAlign w:val="bottom"/>
          </w:tcPr>
          <w:p w14:paraId="59214331" w14:textId="77777777" w:rsidR="009A396D" w:rsidRPr="00EE2520" w:rsidRDefault="00B52976">
            <w:pPr>
              <w:spacing w:before="240"/>
              <w:rPr>
                <w:rFonts w:eastAsia="Times New Roman" w:cs="Times New Roman"/>
                <w:b/>
                <w:i/>
                <w:sz w:val="28"/>
                <w:szCs w:val="28"/>
                <w:u w:val="single"/>
              </w:rPr>
            </w:pPr>
            <w:r w:rsidRPr="00EE2520">
              <w:rPr>
                <w:rFonts w:eastAsia="Times New Roman" w:cs="Times New Roman"/>
                <w:b/>
                <w:i/>
                <w:sz w:val="28"/>
                <w:szCs w:val="28"/>
                <w:u w:val="single"/>
              </w:rPr>
              <w:t>Earnings Per Share</w:t>
            </w:r>
          </w:p>
        </w:tc>
      </w:tr>
      <w:tr w:rsidR="009A396D" w14:paraId="0FE5676D" w14:textId="77777777" w:rsidTr="009B0E0E">
        <w:trPr>
          <w:trHeight w:val="1265"/>
          <w:jc w:val="center"/>
        </w:trPr>
        <w:tc>
          <w:tcPr>
            <w:tcW w:w="8820" w:type="dxa"/>
            <w:gridSpan w:val="3"/>
            <w:shd w:val="clear" w:color="auto" w:fill="auto"/>
            <w:tcMar>
              <w:top w:w="100" w:type="dxa"/>
              <w:left w:w="100" w:type="dxa"/>
              <w:bottom w:w="100" w:type="dxa"/>
              <w:right w:w="100" w:type="dxa"/>
            </w:tcMar>
          </w:tcPr>
          <w:p w14:paraId="7938B785"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“Formula of Earning Per Share = Net Income -preferred Dividend  / Number of Common Shares Outstanding”</w:t>
            </w:r>
          </w:p>
        </w:tc>
      </w:tr>
      <w:tr w:rsidR="009A396D" w14:paraId="1CEE78F8"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6EBD68AF" w14:textId="77777777" w:rsidR="009A396D" w:rsidRPr="00EE2520" w:rsidRDefault="00B52976">
            <w:pPr>
              <w:spacing w:before="240"/>
              <w:rPr>
                <w:rFonts w:eastAsia="Times New Roman" w:cs="Times New Roman"/>
                <w:i/>
                <w:sz w:val="28"/>
                <w:szCs w:val="28"/>
              </w:rPr>
            </w:pPr>
            <w:r w:rsidRPr="00EE2520">
              <w:rPr>
                <w:rFonts w:eastAsia="Times New Roman" w:cs="Times New Roman"/>
                <w:i/>
                <w:sz w:val="28"/>
                <w:szCs w:val="28"/>
              </w:rPr>
              <w:t>Net Income</w:t>
            </w:r>
          </w:p>
        </w:tc>
        <w:tc>
          <w:tcPr>
            <w:tcW w:w="945" w:type="dxa"/>
            <w:shd w:val="clear" w:color="auto" w:fill="auto"/>
            <w:tcMar>
              <w:top w:w="100" w:type="dxa"/>
              <w:left w:w="100" w:type="dxa"/>
              <w:bottom w:w="100" w:type="dxa"/>
              <w:right w:w="100" w:type="dxa"/>
            </w:tcMar>
            <w:vAlign w:val="bottom"/>
          </w:tcPr>
          <w:p w14:paraId="7365E23B"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366</w:t>
            </w:r>
          </w:p>
        </w:tc>
        <w:tc>
          <w:tcPr>
            <w:tcW w:w="810" w:type="dxa"/>
            <w:shd w:val="clear" w:color="auto" w:fill="auto"/>
            <w:tcMar>
              <w:top w:w="100" w:type="dxa"/>
              <w:left w:w="100" w:type="dxa"/>
              <w:bottom w:w="100" w:type="dxa"/>
              <w:right w:w="100" w:type="dxa"/>
            </w:tcMar>
            <w:vAlign w:val="bottom"/>
          </w:tcPr>
          <w:p w14:paraId="26A4D790"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431</w:t>
            </w:r>
          </w:p>
        </w:tc>
      </w:tr>
      <w:tr w:rsidR="009A396D" w14:paraId="00EB40D7"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03A38AC7" w14:textId="77777777" w:rsidR="009A396D" w:rsidRPr="00EE2520" w:rsidRDefault="00B52976">
            <w:pPr>
              <w:spacing w:before="240"/>
              <w:rPr>
                <w:rFonts w:eastAsia="Times New Roman" w:cs="Times New Roman"/>
                <w:i/>
                <w:sz w:val="28"/>
                <w:szCs w:val="28"/>
              </w:rPr>
            </w:pPr>
            <w:r w:rsidRPr="00EE2520">
              <w:rPr>
                <w:rFonts w:eastAsia="Times New Roman" w:cs="Times New Roman"/>
                <w:i/>
                <w:sz w:val="28"/>
                <w:szCs w:val="28"/>
              </w:rPr>
              <w:t>preferred Dividend</w:t>
            </w:r>
          </w:p>
        </w:tc>
        <w:tc>
          <w:tcPr>
            <w:tcW w:w="945" w:type="dxa"/>
            <w:shd w:val="clear" w:color="auto" w:fill="auto"/>
            <w:tcMar>
              <w:top w:w="100" w:type="dxa"/>
              <w:left w:w="100" w:type="dxa"/>
              <w:bottom w:w="100" w:type="dxa"/>
              <w:right w:w="100" w:type="dxa"/>
            </w:tcMar>
            <w:vAlign w:val="bottom"/>
          </w:tcPr>
          <w:p w14:paraId="340FAF1D"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242</w:t>
            </w:r>
          </w:p>
        </w:tc>
        <w:tc>
          <w:tcPr>
            <w:tcW w:w="810" w:type="dxa"/>
            <w:shd w:val="clear" w:color="auto" w:fill="auto"/>
            <w:tcMar>
              <w:top w:w="100" w:type="dxa"/>
              <w:left w:w="100" w:type="dxa"/>
              <w:bottom w:w="100" w:type="dxa"/>
              <w:right w:w="100" w:type="dxa"/>
            </w:tcMar>
            <w:vAlign w:val="bottom"/>
          </w:tcPr>
          <w:p w14:paraId="58BDB590"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255</w:t>
            </w:r>
          </w:p>
        </w:tc>
      </w:tr>
      <w:tr w:rsidR="009A396D" w14:paraId="3EACD5D6"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5C231E51" w14:textId="77777777" w:rsidR="009A396D" w:rsidRPr="00EE2520" w:rsidRDefault="00B52976">
            <w:pPr>
              <w:spacing w:before="240"/>
              <w:rPr>
                <w:rFonts w:eastAsia="Times New Roman" w:cs="Times New Roman"/>
                <w:i/>
                <w:sz w:val="28"/>
                <w:szCs w:val="28"/>
              </w:rPr>
            </w:pPr>
            <w:r w:rsidRPr="00EE2520">
              <w:rPr>
                <w:rFonts w:eastAsia="Times New Roman" w:cs="Times New Roman"/>
                <w:i/>
                <w:sz w:val="28"/>
                <w:szCs w:val="28"/>
              </w:rPr>
              <w:t>Number of Common Shares Outstanding</w:t>
            </w:r>
          </w:p>
        </w:tc>
        <w:tc>
          <w:tcPr>
            <w:tcW w:w="945" w:type="dxa"/>
            <w:shd w:val="clear" w:color="auto" w:fill="auto"/>
            <w:tcMar>
              <w:top w:w="100" w:type="dxa"/>
              <w:left w:w="100" w:type="dxa"/>
              <w:bottom w:w="100" w:type="dxa"/>
              <w:right w:w="100" w:type="dxa"/>
            </w:tcMar>
            <w:vAlign w:val="bottom"/>
          </w:tcPr>
          <w:p w14:paraId="4A4EFBB1"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300</w:t>
            </w:r>
          </w:p>
        </w:tc>
        <w:tc>
          <w:tcPr>
            <w:tcW w:w="810" w:type="dxa"/>
            <w:shd w:val="clear" w:color="auto" w:fill="auto"/>
            <w:tcMar>
              <w:top w:w="100" w:type="dxa"/>
              <w:left w:w="100" w:type="dxa"/>
              <w:bottom w:w="100" w:type="dxa"/>
              <w:right w:w="100" w:type="dxa"/>
            </w:tcMar>
            <w:vAlign w:val="bottom"/>
          </w:tcPr>
          <w:p w14:paraId="531A9AAE"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300</w:t>
            </w:r>
          </w:p>
        </w:tc>
      </w:tr>
      <w:tr w:rsidR="009A396D" w14:paraId="4A0D28ED"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0794374E"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lastRenderedPageBreak/>
              <w:t>Earnings Per Share</w:t>
            </w:r>
          </w:p>
        </w:tc>
        <w:tc>
          <w:tcPr>
            <w:tcW w:w="945" w:type="dxa"/>
            <w:shd w:val="clear" w:color="auto" w:fill="auto"/>
            <w:tcMar>
              <w:top w:w="100" w:type="dxa"/>
              <w:left w:w="100" w:type="dxa"/>
              <w:bottom w:w="100" w:type="dxa"/>
              <w:right w:w="100" w:type="dxa"/>
            </w:tcMar>
            <w:vAlign w:val="bottom"/>
          </w:tcPr>
          <w:p w14:paraId="5C1A6687" w14:textId="77777777" w:rsidR="009A396D" w:rsidRPr="00EE2520" w:rsidRDefault="00B52976">
            <w:pPr>
              <w:spacing w:before="240"/>
              <w:jc w:val="right"/>
              <w:rPr>
                <w:rFonts w:eastAsia="Times New Roman" w:cs="Times New Roman"/>
                <w:b/>
                <w:sz w:val="28"/>
                <w:szCs w:val="28"/>
              </w:rPr>
            </w:pPr>
            <w:r w:rsidRPr="00EE2520">
              <w:rPr>
                <w:rFonts w:eastAsia="Times New Roman" w:cs="Times New Roman"/>
                <w:b/>
                <w:sz w:val="28"/>
                <w:szCs w:val="28"/>
              </w:rPr>
              <w:t>41%</w:t>
            </w:r>
          </w:p>
        </w:tc>
        <w:tc>
          <w:tcPr>
            <w:tcW w:w="810" w:type="dxa"/>
            <w:shd w:val="clear" w:color="auto" w:fill="auto"/>
            <w:tcMar>
              <w:top w:w="100" w:type="dxa"/>
              <w:left w:w="100" w:type="dxa"/>
              <w:bottom w:w="100" w:type="dxa"/>
              <w:right w:w="100" w:type="dxa"/>
            </w:tcMar>
            <w:vAlign w:val="bottom"/>
          </w:tcPr>
          <w:p w14:paraId="7BDC35E9" w14:textId="77777777" w:rsidR="009A396D" w:rsidRPr="00EE2520" w:rsidRDefault="00B52976">
            <w:pPr>
              <w:spacing w:before="240"/>
              <w:jc w:val="right"/>
              <w:rPr>
                <w:rFonts w:eastAsia="Times New Roman" w:cs="Times New Roman"/>
                <w:b/>
                <w:sz w:val="28"/>
                <w:szCs w:val="28"/>
              </w:rPr>
            </w:pPr>
            <w:r w:rsidRPr="00EE2520">
              <w:rPr>
                <w:rFonts w:eastAsia="Times New Roman" w:cs="Times New Roman"/>
                <w:b/>
                <w:sz w:val="28"/>
                <w:szCs w:val="28"/>
              </w:rPr>
              <w:t>59%</w:t>
            </w:r>
          </w:p>
        </w:tc>
      </w:tr>
      <w:tr w:rsidR="009A396D" w14:paraId="5AB80D84" w14:textId="77777777" w:rsidTr="009B0E0E">
        <w:trPr>
          <w:trHeight w:val="485"/>
          <w:jc w:val="center"/>
        </w:trPr>
        <w:tc>
          <w:tcPr>
            <w:tcW w:w="8820" w:type="dxa"/>
            <w:gridSpan w:val="3"/>
            <w:shd w:val="clear" w:color="auto" w:fill="auto"/>
            <w:tcMar>
              <w:top w:w="100" w:type="dxa"/>
              <w:left w:w="100" w:type="dxa"/>
              <w:bottom w:w="100" w:type="dxa"/>
              <w:right w:w="100" w:type="dxa"/>
            </w:tcMar>
            <w:vAlign w:val="bottom"/>
          </w:tcPr>
          <w:p w14:paraId="75E7DA8B" w14:textId="77777777" w:rsidR="009A396D" w:rsidRPr="00EE2520" w:rsidRDefault="00B52976">
            <w:pPr>
              <w:spacing w:before="240"/>
              <w:rPr>
                <w:rFonts w:eastAsia="Times New Roman" w:cs="Times New Roman"/>
                <w:b/>
                <w:i/>
                <w:sz w:val="28"/>
                <w:szCs w:val="28"/>
                <w:u w:val="single"/>
              </w:rPr>
            </w:pPr>
            <w:r w:rsidRPr="00EE2520">
              <w:rPr>
                <w:rFonts w:eastAsia="Times New Roman" w:cs="Times New Roman"/>
                <w:b/>
                <w:i/>
                <w:sz w:val="28"/>
                <w:szCs w:val="28"/>
                <w:u w:val="single"/>
              </w:rPr>
              <w:t>Net Profit Margin</w:t>
            </w:r>
          </w:p>
        </w:tc>
      </w:tr>
      <w:tr w:rsidR="009A396D" w14:paraId="1EDE5A36" w14:textId="77777777" w:rsidTr="009B0E0E">
        <w:trPr>
          <w:trHeight w:val="875"/>
          <w:jc w:val="center"/>
        </w:trPr>
        <w:tc>
          <w:tcPr>
            <w:tcW w:w="8820" w:type="dxa"/>
            <w:gridSpan w:val="3"/>
            <w:shd w:val="clear" w:color="auto" w:fill="auto"/>
            <w:tcMar>
              <w:top w:w="100" w:type="dxa"/>
              <w:left w:w="100" w:type="dxa"/>
              <w:bottom w:w="100" w:type="dxa"/>
              <w:right w:w="100" w:type="dxa"/>
            </w:tcMar>
            <w:vAlign w:val="bottom"/>
          </w:tcPr>
          <w:p w14:paraId="61EB6714"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 xml:space="preserve">Formula of </w:t>
            </w:r>
            <w:r w:rsidRPr="00EE2520">
              <w:rPr>
                <w:rFonts w:eastAsia="Times New Roman" w:cs="Times New Roman"/>
                <w:sz w:val="28"/>
                <w:szCs w:val="28"/>
              </w:rPr>
              <w:t>Net Profit Margin = Revenue - Cost /  Revenue</w:t>
            </w:r>
          </w:p>
        </w:tc>
      </w:tr>
      <w:tr w:rsidR="009A396D" w14:paraId="7D68F397"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53378B54" w14:textId="77777777" w:rsidR="009A396D" w:rsidRPr="00EE2520" w:rsidRDefault="00B52976">
            <w:pPr>
              <w:spacing w:before="240"/>
              <w:rPr>
                <w:rFonts w:eastAsia="Times New Roman" w:cs="Times New Roman"/>
                <w:i/>
                <w:sz w:val="28"/>
                <w:szCs w:val="28"/>
              </w:rPr>
            </w:pPr>
            <w:r w:rsidRPr="00EE2520">
              <w:rPr>
                <w:rFonts w:eastAsia="Times New Roman" w:cs="Times New Roman"/>
                <w:i/>
                <w:sz w:val="28"/>
                <w:szCs w:val="28"/>
              </w:rPr>
              <w:t>Revenue</w:t>
            </w:r>
          </w:p>
        </w:tc>
        <w:tc>
          <w:tcPr>
            <w:tcW w:w="945" w:type="dxa"/>
            <w:shd w:val="clear" w:color="auto" w:fill="auto"/>
            <w:tcMar>
              <w:top w:w="100" w:type="dxa"/>
              <w:left w:w="100" w:type="dxa"/>
              <w:bottom w:w="100" w:type="dxa"/>
              <w:right w:w="100" w:type="dxa"/>
            </w:tcMar>
            <w:vAlign w:val="bottom"/>
          </w:tcPr>
          <w:p w14:paraId="14E8FAD2"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6441</w:t>
            </w:r>
          </w:p>
        </w:tc>
        <w:tc>
          <w:tcPr>
            <w:tcW w:w="810" w:type="dxa"/>
            <w:shd w:val="clear" w:color="auto" w:fill="auto"/>
            <w:tcMar>
              <w:top w:w="100" w:type="dxa"/>
              <w:left w:w="100" w:type="dxa"/>
              <w:bottom w:w="100" w:type="dxa"/>
              <w:right w:w="100" w:type="dxa"/>
            </w:tcMar>
            <w:vAlign w:val="bottom"/>
          </w:tcPr>
          <w:p w14:paraId="48EB13F1"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6738</w:t>
            </w:r>
          </w:p>
        </w:tc>
      </w:tr>
      <w:tr w:rsidR="009A396D" w14:paraId="550099A8"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3E55EF67" w14:textId="77777777" w:rsidR="009A396D" w:rsidRPr="00EE2520" w:rsidRDefault="00B52976">
            <w:pPr>
              <w:spacing w:before="240"/>
              <w:rPr>
                <w:rFonts w:eastAsia="Times New Roman" w:cs="Times New Roman"/>
                <w:i/>
                <w:sz w:val="28"/>
                <w:szCs w:val="28"/>
              </w:rPr>
            </w:pPr>
            <w:r w:rsidRPr="00EE2520">
              <w:rPr>
                <w:rFonts w:eastAsia="Times New Roman" w:cs="Times New Roman"/>
                <w:i/>
                <w:sz w:val="28"/>
                <w:szCs w:val="28"/>
              </w:rPr>
              <w:t>Cost</w:t>
            </w:r>
          </w:p>
        </w:tc>
        <w:tc>
          <w:tcPr>
            <w:tcW w:w="945" w:type="dxa"/>
            <w:shd w:val="clear" w:color="auto" w:fill="auto"/>
            <w:tcMar>
              <w:top w:w="100" w:type="dxa"/>
              <w:left w:w="100" w:type="dxa"/>
              <w:bottom w:w="100" w:type="dxa"/>
              <w:right w:w="100" w:type="dxa"/>
            </w:tcMar>
            <w:vAlign w:val="bottom"/>
          </w:tcPr>
          <w:p w14:paraId="01CE0C87"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2646</w:t>
            </w:r>
          </w:p>
        </w:tc>
        <w:tc>
          <w:tcPr>
            <w:tcW w:w="810" w:type="dxa"/>
            <w:shd w:val="clear" w:color="auto" w:fill="auto"/>
            <w:tcMar>
              <w:top w:w="100" w:type="dxa"/>
              <w:left w:w="100" w:type="dxa"/>
              <w:bottom w:w="100" w:type="dxa"/>
              <w:right w:w="100" w:type="dxa"/>
            </w:tcMar>
            <w:vAlign w:val="bottom"/>
          </w:tcPr>
          <w:p w14:paraId="58C33CCE"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2698</w:t>
            </w:r>
          </w:p>
        </w:tc>
      </w:tr>
      <w:tr w:rsidR="009A396D" w14:paraId="13B1F895"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1313A550"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Net Profit Margin</w:t>
            </w:r>
          </w:p>
        </w:tc>
        <w:tc>
          <w:tcPr>
            <w:tcW w:w="945" w:type="dxa"/>
            <w:shd w:val="clear" w:color="auto" w:fill="auto"/>
            <w:tcMar>
              <w:top w:w="100" w:type="dxa"/>
              <w:left w:w="100" w:type="dxa"/>
              <w:bottom w:w="100" w:type="dxa"/>
              <w:right w:w="100" w:type="dxa"/>
            </w:tcMar>
            <w:vAlign w:val="bottom"/>
          </w:tcPr>
          <w:p w14:paraId="73B9BB63" w14:textId="77777777" w:rsidR="009A396D" w:rsidRPr="00EE2520" w:rsidRDefault="00B52976">
            <w:pPr>
              <w:spacing w:before="240"/>
              <w:jc w:val="right"/>
              <w:rPr>
                <w:rFonts w:eastAsia="Times New Roman" w:cs="Times New Roman"/>
                <w:b/>
                <w:sz w:val="28"/>
                <w:szCs w:val="28"/>
              </w:rPr>
            </w:pPr>
            <w:r w:rsidRPr="00EE2520">
              <w:rPr>
                <w:rFonts w:eastAsia="Times New Roman" w:cs="Times New Roman"/>
                <w:b/>
                <w:sz w:val="28"/>
                <w:szCs w:val="28"/>
              </w:rPr>
              <w:t>0.59</w:t>
            </w:r>
          </w:p>
        </w:tc>
        <w:tc>
          <w:tcPr>
            <w:tcW w:w="810" w:type="dxa"/>
            <w:shd w:val="clear" w:color="auto" w:fill="auto"/>
            <w:tcMar>
              <w:top w:w="100" w:type="dxa"/>
              <w:left w:w="100" w:type="dxa"/>
              <w:bottom w:w="100" w:type="dxa"/>
              <w:right w:w="100" w:type="dxa"/>
            </w:tcMar>
            <w:vAlign w:val="bottom"/>
          </w:tcPr>
          <w:p w14:paraId="3756B030" w14:textId="77777777" w:rsidR="009A396D" w:rsidRPr="00EE2520" w:rsidRDefault="00B52976">
            <w:pPr>
              <w:spacing w:before="240"/>
              <w:jc w:val="right"/>
              <w:rPr>
                <w:rFonts w:eastAsia="Times New Roman" w:cs="Times New Roman"/>
                <w:b/>
                <w:sz w:val="28"/>
                <w:szCs w:val="28"/>
              </w:rPr>
            </w:pPr>
            <w:r w:rsidRPr="00EE2520">
              <w:rPr>
                <w:rFonts w:eastAsia="Times New Roman" w:cs="Times New Roman"/>
                <w:b/>
                <w:sz w:val="28"/>
                <w:szCs w:val="28"/>
              </w:rPr>
              <w:t>0.60</w:t>
            </w:r>
          </w:p>
        </w:tc>
      </w:tr>
      <w:tr w:rsidR="009A396D" w14:paraId="167DBB62"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2D9A291F" w14:textId="77777777" w:rsidR="009A396D" w:rsidRPr="00EE2520" w:rsidRDefault="00B52976">
            <w:pPr>
              <w:spacing w:before="240"/>
              <w:rPr>
                <w:rFonts w:eastAsia="Times New Roman" w:cs="Times New Roman"/>
                <w:b/>
                <w:i/>
                <w:sz w:val="28"/>
                <w:szCs w:val="28"/>
                <w:u w:val="single"/>
              </w:rPr>
            </w:pPr>
            <w:r w:rsidRPr="00EE2520">
              <w:rPr>
                <w:rFonts w:eastAsia="Times New Roman" w:cs="Times New Roman"/>
                <w:b/>
                <w:i/>
                <w:sz w:val="28"/>
                <w:szCs w:val="28"/>
                <w:u w:val="single"/>
              </w:rPr>
              <w:t>“Asset Turnover Ratio”</w:t>
            </w:r>
          </w:p>
        </w:tc>
        <w:tc>
          <w:tcPr>
            <w:tcW w:w="945" w:type="dxa"/>
            <w:shd w:val="clear" w:color="auto" w:fill="auto"/>
            <w:tcMar>
              <w:top w:w="100" w:type="dxa"/>
              <w:left w:w="100" w:type="dxa"/>
              <w:bottom w:w="100" w:type="dxa"/>
              <w:right w:w="100" w:type="dxa"/>
            </w:tcMar>
            <w:vAlign w:val="bottom"/>
          </w:tcPr>
          <w:p w14:paraId="0E285E8F"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 xml:space="preserve"> </w:t>
            </w:r>
          </w:p>
        </w:tc>
        <w:tc>
          <w:tcPr>
            <w:tcW w:w="810" w:type="dxa"/>
            <w:shd w:val="clear" w:color="auto" w:fill="auto"/>
            <w:tcMar>
              <w:top w:w="100" w:type="dxa"/>
              <w:left w:w="100" w:type="dxa"/>
              <w:bottom w:w="100" w:type="dxa"/>
              <w:right w:w="100" w:type="dxa"/>
            </w:tcMar>
            <w:vAlign w:val="bottom"/>
          </w:tcPr>
          <w:p w14:paraId="3DC054B0"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 xml:space="preserve"> </w:t>
            </w:r>
          </w:p>
        </w:tc>
      </w:tr>
      <w:tr w:rsidR="009A396D" w14:paraId="049F433B" w14:textId="77777777" w:rsidTr="009B0E0E">
        <w:trPr>
          <w:trHeight w:val="890"/>
          <w:jc w:val="center"/>
        </w:trPr>
        <w:tc>
          <w:tcPr>
            <w:tcW w:w="7065" w:type="dxa"/>
            <w:shd w:val="clear" w:color="auto" w:fill="auto"/>
            <w:tcMar>
              <w:top w:w="100" w:type="dxa"/>
              <w:left w:w="100" w:type="dxa"/>
              <w:bottom w:w="100" w:type="dxa"/>
              <w:right w:w="100" w:type="dxa"/>
            </w:tcMar>
            <w:vAlign w:val="bottom"/>
          </w:tcPr>
          <w:p w14:paraId="708A511A"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“Formula of Asset Turnover Ratio =  Revenue - Total Asset”</w:t>
            </w:r>
          </w:p>
        </w:tc>
        <w:tc>
          <w:tcPr>
            <w:tcW w:w="945" w:type="dxa"/>
            <w:shd w:val="clear" w:color="auto" w:fill="auto"/>
            <w:tcMar>
              <w:top w:w="100" w:type="dxa"/>
              <w:left w:w="100" w:type="dxa"/>
              <w:bottom w:w="100" w:type="dxa"/>
              <w:right w:w="100" w:type="dxa"/>
            </w:tcMar>
            <w:vAlign w:val="bottom"/>
          </w:tcPr>
          <w:p w14:paraId="05563C9F"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 xml:space="preserve"> </w:t>
            </w:r>
          </w:p>
        </w:tc>
        <w:tc>
          <w:tcPr>
            <w:tcW w:w="810" w:type="dxa"/>
            <w:shd w:val="clear" w:color="auto" w:fill="auto"/>
            <w:tcMar>
              <w:top w:w="100" w:type="dxa"/>
              <w:left w:w="100" w:type="dxa"/>
              <w:bottom w:w="100" w:type="dxa"/>
              <w:right w:w="100" w:type="dxa"/>
            </w:tcMar>
            <w:vAlign w:val="bottom"/>
          </w:tcPr>
          <w:p w14:paraId="58606212"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 xml:space="preserve"> </w:t>
            </w:r>
          </w:p>
        </w:tc>
      </w:tr>
      <w:tr w:rsidR="009A396D" w14:paraId="7B3D4FB1"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6CE2D71E" w14:textId="77777777" w:rsidR="009A396D" w:rsidRPr="00EE2520" w:rsidRDefault="00B52976">
            <w:pPr>
              <w:spacing w:before="240"/>
              <w:rPr>
                <w:rFonts w:eastAsia="Times New Roman" w:cs="Times New Roman"/>
                <w:i/>
                <w:sz w:val="28"/>
                <w:szCs w:val="28"/>
              </w:rPr>
            </w:pPr>
            <w:r w:rsidRPr="00EE2520">
              <w:rPr>
                <w:rFonts w:eastAsia="Times New Roman" w:cs="Times New Roman"/>
                <w:i/>
                <w:sz w:val="28"/>
                <w:szCs w:val="28"/>
              </w:rPr>
              <w:t>Revenue</w:t>
            </w:r>
          </w:p>
        </w:tc>
        <w:tc>
          <w:tcPr>
            <w:tcW w:w="945" w:type="dxa"/>
            <w:shd w:val="clear" w:color="auto" w:fill="auto"/>
            <w:tcMar>
              <w:top w:w="100" w:type="dxa"/>
              <w:left w:w="100" w:type="dxa"/>
              <w:bottom w:w="100" w:type="dxa"/>
              <w:right w:w="100" w:type="dxa"/>
            </w:tcMar>
            <w:vAlign w:val="bottom"/>
          </w:tcPr>
          <w:p w14:paraId="55638BF0"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6441</w:t>
            </w:r>
          </w:p>
        </w:tc>
        <w:tc>
          <w:tcPr>
            <w:tcW w:w="810" w:type="dxa"/>
            <w:shd w:val="clear" w:color="auto" w:fill="auto"/>
            <w:tcMar>
              <w:top w:w="100" w:type="dxa"/>
              <w:left w:w="100" w:type="dxa"/>
              <w:bottom w:w="100" w:type="dxa"/>
              <w:right w:w="100" w:type="dxa"/>
            </w:tcMar>
            <w:vAlign w:val="bottom"/>
          </w:tcPr>
          <w:p w14:paraId="66FC61B5"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6738</w:t>
            </w:r>
          </w:p>
        </w:tc>
      </w:tr>
      <w:tr w:rsidR="009A396D" w14:paraId="5808272A"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7A272B90" w14:textId="77777777" w:rsidR="009A396D" w:rsidRPr="00EE2520" w:rsidRDefault="00B52976">
            <w:pPr>
              <w:spacing w:before="240"/>
              <w:rPr>
                <w:rFonts w:eastAsia="Times New Roman" w:cs="Times New Roman"/>
                <w:i/>
                <w:sz w:val="28"/>
                <w:szCs w:val="28"/>
              </w:rPr>
            </w:pPr>
            <w:r w:rsidRPr="00EE2520">
              <w:rPr>
                <w:rFonts w:eastAsia="Times New Roman" w:cs="Times New Roman"/>
                <w:i/>
                <w:sz w:val="28"/>
                <w:szCs w:val="28"/>
              </w:rPr>
              <w:t>“Total Assets”</w:t>
            </w:r>
          </w:p>
        </w:tc>
        <w:tc>
          <w:tcPr>
            <w:tcW w:w="945" w:type="dxa"/>
            <w:shd w:val="clear" w:color="auto" w:fill="auto"/>
            <w:tcMar>
              <w:top w:w="100" w:type="dxa"/>
              <w:left w:w="100" w:type="dxa"/>
              <w:bottom w:w="100" w:type="dxa"/>
              <w:right w:w="100" w:type="dxa"/>
            </w:tcMar>
            <w:vAlign w:val="bottom"/>
          </w:tcPr>
          <w:p w14:paraId="4BBF33AA"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10087</w:t>
            </w:r>
          </w:p>
        </w:tc>
        <w:tc>
          <w:tcPr>
            <w:tcW w:w="810" w:type="dxa"/>
            <w:shd w:val="clear" w:color="auto" w:fill="auto"/>
            <w:tcMar>
              <w:top w:w="100" w:type="dxa"/>
              <w:left w:w="100" w:type="dxa"/>
              <w:bottom w:w="100" w:type="dxa"/>
              <w:right w:w="100" w:type="dxa"/>
            </w:tcMar>
            <w:vAlign w:val="bottom"/>
          </w:tcPr>
          <w:p w14:paraId="012DE072"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9736</w:t>
            </w:r>
          </w:p>
        </w:tc>
      </w:tr>
      <w:tr w:rsidR="009A396D" w14:paraId="05935CA0"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4BD3677A"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 xml:space="preserve">“Asset </w:t>
            </w:r>
            <w:r w:rsidRPr="00EE2520">
              <w:rPr>
                <w:rFonts w:eastAsia="Times New Roman" w:cs="Times New Roman"/>
                <w:b/>
                <w:sz w:val="28"/>
                <w:szCs w:val="28"/>
              </w:rPr>
              <w:t>Turnover Ratio”</w:t>
            </w:r>
          </w:p>
        </w:tc>
        <w:tc>
          <w:tcPr>
            <w:tcW w:w="945" w:type="dxa"/>
            <w:shd w:val="clear" w:color="auto" w:fill="auto"/>
            <w:tcMar>
              <w:top w:w="100" w:type="dxa"/>
              <w:left w:w="100" w:type="dxa"/>
              <w:bottom w:w="100" w:type="dxa"/>
              <w:right w:w="100" w:type="dxa"/>
            </w:tcMar>
            <w:vAlign w:val="bottom"/>
          </w:tcPr>
          <w:p w14:paraId="083583DF" w14:textId="77777777" w:rsidR="009A396D" w:rsidRPr="00EE2520" w:rsidRDefault="00B52976">
            <w:pPr>
              <w:spacing w:before="240"/>
              <w:jc w:val="right"/>
              <w:rPr>
                <w:rFonts w:eastAsia="Times New Roman" w:cs="Times New Roman"/>
                <w:b/>
                <w:sz w:val="28"/>
                <w:szCs w:val="28"/>
              </w:rPr>
            </w:pPr>
            <w:r w:rsidRPr="00EE2520">
              <w:rPr>
                <w:rFonts w:eastAsia="Times New Roman" w:cs="Times New Roman"/>
                <w:b/>
                <w:sz w:val="28"/>
                <w:szCs w:val="28"/>
              </w:rPr>
              <w:t>0.64</w:t>
            </w:r>
          </w:p>
        </w:tc>
        <w:tc>
          <w:tcPr>
            <w:tcW w:w="810" w:type="dxa"/>
            <w:shd w:val="clear" w:color="auto" w:fill="auto"/>
            <w:tcMar>
              <w:top w:w="100" w:type="dxa"/>
              <w:left w:w="100" w:type="dxa"/>
              <w:bottom w:w="100" w:type="dxa"/>
              <w:right w:w="100" w:type="dxa"/>
            </w:tcMar>
            <w:vAlign w:val="bottom"/>
          </w:tcPr>
          <w:p w14:paraId="0810BF9B" w14:textId="77777777" w:rsidR="009A396D" w:rsidRPr="00EE2520" w:rsidRDefault="00B52976">
            <w:pPr>
              <w:spacing w:before="240"/>
              <w:jc w:val="right"/>
              <w:rPr>
                <w:rFonts w:eastAsia="Times New Roman" w:cs="Times New Roman"/>
                <w:b/>
                <w:sz w:val="28"/>
                <w:szCs w:val="28"/>
              </w:rPr>
            </w:pPr>
            <w:r w:rsidRPr="00EE2520">
              <w:rPr>
                <w:rFonts w:eastAsia="Times New Roman" w:cs="Times New Roman"/>
                <w:b/>
                <w:sz w:val="28"/>
                <w:szCs w:val="28"/>
              </w:rPr>
              <w:t>0.69</w:t>
            </w:r>
          </w:p>
        </w:tc>
      </w:tr>
      <w:tr w:rsidR="009A396D" w14:paraId="3B8FBA6A" w14:textId="77777777" w:rsidTr="009B0E0E">
        <w:trPr>
          <w:trHeight w:val="485"/>
          <w:jc w:val="center"/>
        </w:trPr>
        <w:tc>
          <w:tcPr>
            <w:tcW w:w="8820" w:type="dxa"/>
            <w:gridSpan w:val="3"/>
            <w:shd w:val="clear" w:color="auto" w:fill="auto"/>
            <w:tcMar>
              <w:top w:w="100" w:type="dxa"/>
              <w:left w:w="100" w:type="dxa"/>
              <w:bottom w:w="100" w:type="dxa"/>
              <w:right w:w="100" w:type="dxa"/>
            </w:tcMar>
            <w:vAlign w:val="bottom"/>
          </w:tcPr>
          <w:p w14:paraId="01552C43" w14:textId="77777777" w:rsidR="009A396D" w:rsidRPr="00EE2520" w:rsidRDefault="00B52976">
            <w:pPr>
              <w:spacing w:before="240"/>
              <w:rPr>
                <w:rFonts w:eastAsia="Times New Roman" w:cs="Times New Roman"/>
                <w:b/>
                <w:i/>
                <w:sz w:val="28"/>
                <w:szCs w:val="28"/>
                <w:u w:val="single"/>
              </w:rPr>
            </w:pPr>
            <w:r w:rsidRPr="00EE2520">
              <w:rPr>
                <w:rFonts w:eastAsia="Times New Roman" w:cs="Times New Roman"/>
                <w:b/>
                <w:i/>
                <w:sz w:val="28"/>
                <w:szCs w:val="28"/>
                <w:u w:val="single"/>
              </w:rPr>
              <w:lastRenderedPageBreak/>
              <w:t>“Stock Holding Days”</w:t>
            </w:r>
          </w:p>
        </w:tc>
      </w:tr>
      <w:tr w:rsidR="009A396D" w14:paraId="5FFF198F" w14:textId="77777777" w:rsidTr="009B0E0E">
        <w:trPr>
          <w:trHeight w:val="905"/>
          <w:jc w:val="center"/>
        </w:trPr>
        <w:tc>
          <w:tcPr>
            <w:tcW w:w="8820" w:type="dxa"/>
            <w:gridSpan w:val="3"/>
            <w:shd w:val="clear" w:color="auto" w:fill="auto"/>
            <w:tcMar>
              <w:top w:w="100" w:type="dxa"/>
              <w:left w:w="100" w:type="dxa"/>
              <w:bottom w:w="100" w:type="dxa"/>
              <w:right w:w="100" w:type="dxa"/>
            </w:tcMar>
          </w:tcPr>
          <w:p w14:paraId="13EF5791"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“Formula of Stock Holding Days = Inventory / Cost of Goods Sold x 365”</w:t>
            </w:r>
          </w:p>
        </w:tc>
      </w:tr>
      <w:tr w:rsidR="009A396D" w14:paraId="2831B66D"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58847284" w14:textId="77777777" w:rsidR="009A396D" w:rsidRPr="00EE2520" w:rsidRDefault="00B52976">
            <w:pPr>
              <w:spacing w:before="240"/>
              <w:rPr>
                <w:rFonts w:eastAsia="Times New Roman" w:cs="Times New Roman"/>
                <w:i/>
                <w:sz w:val="28"/>
                <w:szCs w:val="28"/>
              </w:rPr>
            </w:pPr>
            <w:r w:rsidRPr="00EE2520">
              <w:rPr>
                <w:rFonts w:eastAsia="Times New Roman" w:cs="Times New Roman"/>
                <w:i/>
                <w:sz w:val="28"/>
                <w:szCs w:val="28"/>
              </w:rPr>
              <w:t>Inventory</w:t>
            </w:r>
          </w:p>
        </w:tc>
        <w:tc>
          <w:tcPr>
            <w:tcW w:w="945" w:type="dxa"/>
            <w:shd w:val="clear" w:color="auto" w:fill="auto"/>
            <w:tcMar>
              <w:top w:w="100" w:type="dxa"/>
              <w:left w:w="100" w:type="dxa"/>
              <w:bottom w:w="100" w:type="dxa"/>
              <w:right w:w="100" w:type="dxa"/>
            </w:tcMar>
            <w:vAlign w:val="bottom"/>
          </w:tcPr>
          <w:p w14:paraId="6C2A1D8C"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659</w:t>
            </w:r>
          </w:p>
        </w:tc>
        <w:tc>
          <w:tcPr>
            <w:tcW w:w="810" w:type="dxa"/>
            <w:shd w:val="clear" w:color="auto" w:fill="auto"/>
            <w:tcMar>
              <w:top w:w="100" w:type="dxa"/>
              <w:left w:w="100" w:type="dxa"/>
              <w:bottom w:w="100" w:type="dxa"/>
              <w:right w:w="100" w:type="dxa"/>
            </w:tcMar>
            <w:vAlign w:val="bottom"/>
          </w:tcPr>
          <w:p w14:paraId="26BC7DC5"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708</w:t>
            </w:r>
          </w:p>
        </w:tc>
      </w:tr>
      <w:tr w:rsidR="009A396D" w14:paraId="42D0DB0C"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16302E7F" w14:textId="77777777" w:rsidR="009A396D" w:rsidRPr="00EE2520" w:rsidRDefault="00B52976">
            <w:pPr>
              <w:spacing w:before="240"/>
              <w:rPr>
                <w:rFonts w:eastAsia="Times New Roman" w:cs="Times New Roman"/>
                <w:i/>
                <w:sz w:val="28"/>
                <w:szCs w:val="28"/>
              </w:rPr>
            </w:pPr>
            <w:r w:rsidRPr="00EE2520">
              <w:rPr>
                <w:rFonts w:eastAsia="Times New Roman" w:cs="Times New Roman"/>
                <w:i/>
                <w:sz w:val="28"/>
                <w:szCs w:val="28"/>
              </w:rPr>
              <w:t>“Cost of Goods Sold”</w:t>
            </w:r>
          </w:p>
        </w:tc>
        <w:tc>
          <w:tcPr>
            <w:tcW w:w="945" w:type="dxa"/>
            <w:shd w:val="clear" w:color="auto" w:fill="auto"/>
            <w:tcMar>
              <w:top w:w="100" w:type="dxa"/>
              <w:left w:w="100" w:type="dxa"/>
              <w:bottom w:w="100" w:type="dxa"/>
              <w:right w:w="100" w:type="dxa"/>
            </w:tcMar>
            <w:vAlign w:val="bottom"/>
          </w:tcPr>
          <w:p w14:paraId="517468C5"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3097</w:t>
            </w:r>
          </w:p>
        </w:tc>
        <w:tc>
          <w:tcPr>
            <w:tcW w:w="810" w:type="dxa"/>
            <w:shd w:val="clear" w:color="auto" w:fill="auto"/>
            <w:tcMar>
              <w:top w:w="100" w:type="dxa"/>
              <w:left w:w="100" w:type="dxa"/>
              <w:bottom w:w="100" w:type="dxa"/>
              <w:right w:w="100" w:type="dxa"/>
            </w:tcMar>
            <w:vAlign w:val="bottom"/>
          </w:tcPr>
          <w:p w14:paraId="79E434F7"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3235</w:t>
            </w:r>
          </w:p>
        </w:tc>
      </w:tr>
      <w:tr w:rsidR="009A396D" w14:paraId="26CE6E8E"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617023D0"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“Stock Holding Days”</w:t>
            </w:r>
          </w:p>
        </w:tc>
        <w:tc>
          <w:tcPr>
            <w:tcW w:w="945" w:type="dxa"/>
            <w:shd w:val="clear" w:color="auto" w:fill="auto"/>
            <w:tcMar>
              <w:top w:w="100" w:type="dxa"/>
              <w:left w:w="100" w:type="dxa"/>
              <w:bottom w:w="100" w:type="dxa"/>
              <w:right w:w="100" w:type="dxa"/>
            </w:tcMar>
            <w:vAlign w:val="bottom"/>
          </w:tcPr>
          <w:p w14:paraId="261AD534" w14:textId="77777777" w:rsidR="009A396D" w:rsidRPr="00EE2520" w:rsidRDefault="00B52976">
            <w:pPr>
              <w:spacing w:before="240"/>
              <w:jc w:val="right"/>
              <w:rPr>
                <w:rFonts w:eastAsia="Times New Roman" w:cs="Times New Roman"/>
                <w:b/>
                <w:sz w:val="28"/>
                <w:szCs w:val="28"/>
              </w:rPr>
            </w:pPr>
            <w:r w:rsidRPr="00EE2520">
              <w:rPr>
                <w:rFonts w:eastAsia="Times New Roman" w:cs="Times New Roman"/>
                <w:b/>
                <w:sz w:val="28"/>
                <w:szCs w:val="28"/>
              </w:rPr>
              <w:t>78</w:t>
            </w:r>
          </w:p>
        </w:tc>
        <w:tc>
          <w:tcPr>
            <w:tcW w:w="810" w:type="dxa"/>
            <w:shd w:val="clear" w:color="auto" w:fill="auto"/>
            <w:tcMar>
              <w:top w:w="100" w:type="dxa"/>
              <w:left w:w="100" w:type="dxa"/>
              <w:bottom w:w="100" w:type="dxa"/>
              <w:right w:w="100" w:type="dxa"/>
            </w:tcMar>
            <w:vAlign w:val="bottom"/>
          </w:tcPr>
          <w:p w14:paraId="6E720248" w14:textId="77777777" w:rsidR="009A396D" w:rsidRPr="00EE2520" w:rsidRDefault="00B52976">
            <w:pPr>
              <w:spacing w:before="240"/>
              <w:jc w:val="right"/>
              <w:rPr>
                <w:rFonts w:eastAsia="Times New Roman" w:cs="Times New Roman"/>
                <w:b/>
                <w:sz w:val="28"/>
                <w:szCs w:val="28"/>
              </w:rPr>
            </w:pPr>
            <w:r w:rsidRPr="00EE2520">
              <w:rPr>
                <w:rFonts w:eastAsia="Times New Roman" w:cs="Times New Roman"/>
                <w:b/>
                <w:sz w:val="28"/>
                <w:szCs w:val="28"/>
              </w:rPr>
              <w:t>80</w:t>
            </w:r>
          </w:p>
        </w:tc>
      </w:tr>
      <w:tr w:rsidR="009A396D" w14:paraId="784C06EC" w14:textId="77777777" w:rsidTr="009B0E0E">
        <w:trPr>
          <w:trHeight w:val="485"/>
          <w:jc w:val="center"/>
        </w:trPr>
        <w:tc>
          <w:tcPr>
            <w:tcW w:w="8820" w:type="dxa"/>
            <w:gridSpan w:val="3"/>
            <w:shd w:val="clear" w:color="auto" w:fill="auto"/>
            <w:tcMar>
              <w:top w:w="100" w:type="dxa"/>
              <w:left w:w="100" w:type="dxa"/>
              <w:bottom w:w="100" w:type="dxa"/>
              <w:right w:w="100" w:type="dxa"/>
            </w:tcMar>
            <w:vAlign w:val="bottom"/>
          </w:tcPr>
          <w:p w14:paraId="587414BA" w14:textId="77777777" w:rsidR="009A396D" w:rsidRPr="00EE2520" w:rsidRDefault="00B52976">
            <w:pPr>
              <w:spacing w:before="240"/>
              <w:rPr>
                <w:rFonts w:eastAsia="Times New Roman" w:cs="Times New Roman"/>
                <w:b/>
                <w:i/>
                <w:sz w:val="28"/>
                <w:szCs w:val="28"/>
                <w:u w:val="single"/>
              </w:rPr>
            </w:pPr>
            <w:r w:rsidRPr="00EE2520">
              <w:rPr>
                <w:rFonts w:eastAsia="Times New Roman" w:cs="Times New Roman"/>
                <w:b/>
                <w:i/>
                <w:sz w:val="28"/>
                <w:szCs w:val="28"/>
                <w:u w:val="single"/>
              </w:rPr>
              <w:t>“Debtors Collection Period”</w:t>
            </w:r>
          </w:p>
        </w:tc>
      </w:tr>
      <w:tr w:rsidR="009A396D" w14:paraId="36DA9181" w14:textId="77777777" w:rsidTr="009B0E0E">
        <w:trPr>
          <w:trHeight w:val="935"/>
          <w:jc w:val="center"/>
        </w:trPr>
        <w:tc>
          <w:tcPr>
            <w:tcW w:w="8820" w:type="dxa"/>
            <w:gridSpan w:val="3"/>
            <w:shd w:val="clear" w:color="auto" w:fill="auto"/>
            <w:tcMar>
              <w:top w:w="100" w:type="dxa"/>
              <w:left w:w="100" w:type="dxa"/>
              <w:bottom w:w="100" w:type="dxa"/>
              <w:right w:w="100" w:type="dxa"/>
            </w:tcMar>
          </w:tcPr>
          <w:p w14:paraId="17B28665"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 xml:space="preserve">The formula of Debtors </w:t>
            </w:r>
            <w:r w:rsidRPr="00EE2520">
              <w:rPr>
                <w:rFonts w:eastAsia="Times New Roman" w:cs="Times New Roman"/>
                <w:b/>
                <w:sz w:val="28"/>
                <w:szCs w:val="28"/>
              </w:rPr>
              <w:t>Collection  Days = Debtors/ Sales Turnover x 365</w:t>
            </w:r>
          </w:p>
        </w:tc>
      </w:tr>
      <w:tr w:rsidR="009A396D" w14:paraId="12A0225C"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7A0CE045" w14:textId="77777777" w:rsidR="009A396D" w:rsidRPr="00EE2520" w:rsidRDefault="00B52976">
            <w:pPr>
              <w:spacing w:before="240"/>
              <w:rPr>
                <w:rFonts w:eastAsia="Times New Roman" w:cs="Times New Roman"/>
                <w:i/>
                <w:sz w:val="28"/>
                <w:szCs w:val="28"/>
              </w:rPr>
            </w:pPr>
            <w:r w:rsidRPr="00EE2520">
              <w:rPr>
                <w:rFonts w:eastAsia="Times New Roman" w:cs="Times New Roman"/>
                <w:i/>
                <w:sz w:val="28"/>
                <w:szCs w:val="28"/>
              </w:rPr>
              <w:t>Debtors</w:t>
            </w:r>
          </w:p>
        </w:tc>
        <w:tc>
          <w:tcPr>
            <w:tcW w:w="945" w:type="dxa"/>
            <w:shd w:val="clear" w:color="auto" w:fill="auto"/>
            <w:tcMar>
              <w:top w:w="100" w:type="dxa"/>
              <w:left w:w="100" w:type="dxa"/>
              <w:bottom w:w="100" w:type="dxa"/>
              <w:right w:w="100" w:type="dxa"/>
            </w:tcMar>
            <w:vAlign w:val="bottom"/>
          </w:tcPr>
          <w:p w14:paraId="5B04B22C"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1278</w:t>
            </w:r>
          </w:p>
        </w:tc>
        <w:tc>
          <w:tcPr>
            <w:tcW w:w="810" w:type="dxa"/>
            <w:shd w:val="clear" w:color="auto" w:fill="auto"/>
            <w:tcMar>
              <w:top w:w="100" w:type="dxa"/>
              <w:left w:w="100" w:type="dxa"/>
              <w:bottom w:w="100" w:type="dxa"/>
              <w:right w:w="100" w:type="dxa"/>
            </w:tcMar>
            <w:vAlign w:val="bottom"/>
          </w:tcPr>
          <w:p w14:paraId="5E342C9B"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1249</w:t>
            </w:r>
          </w:p>
        </w:tc>
      </w:tr>
      <w:tr w:rsidR="009A396D" w14:paraId="2DED3663"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2452D40D" w14:textId="77777777" w:rsidR="009A396D" w:rsidRPr="00EE2520" w:rsidRDefault="00B52976">
            <w:pPr>
              <w:spacing w:before="240"/>
              <w:rPr>
                <w:rFonts w:eastAsia="Times New Roman" w:cs="Times New Roman"/>
                <w:i/>
                <w:sz w:val="28"/>
                <w:szCs w:val="28"/>
              </w:rPr>
            </w:pPr>
            <w:r w:rsidRPr="00EE2520">
              <w:rPr>
                <w:rFonts w:eastAsia="Times New Roman" w:cs="Times New Roman"/>
                <w:i/>
                <w:sz w:val="28"/>
                <w:szCs w:val="28"/>
              </w:rPr>
              <w:t>Sales Turnover</w:t>
            </w:r>
          </w:p>
        </w:tc>
        <w:tc>
          <w:tcPr>
            <w:tcW w:w="945" w:type="dxa"/>
            <w:shd w:val="clear" w:color="auto" w:fill="auto"/>
            <w:tcMar>
              <w:top w:w="100" w:type="dxa"/>
              <w:left w:w="100" w:type="dxa"/>
              <w:bottom w:w="100" w:type="dxa"/>
              <w:right w:w="100" w:type="dxa"/>
            </w:tcMar>
            <w:vAlign w:val="bottom"/>
          </w:tcPr>
          <w:p w14:paraId="189DCC25"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6441</w:t>
            </w:r>
          </w:p>
        </w:tc>
        <w:tc>
          <w:tcPr>
            <w:tcW w:w="810" w:type="dxa"/>
            <w:shd w:val="clear" w:color="auto" w:fill="auto"/>
            <w:tcMar>
              <w:top w:w="100" w:type="dxa"/>
              <w:left w:w="100" w:type="dxa"/>
              <w:bottom w:w="100" w:type="dxa"/>
              <w:right w:w="100" w:type="dxa"/>
            </w:tcMar>
            <w:vAlign w:val="bottom"/>
          </w:tcPr>
          <w:p w14:paraId="78AD5D9D"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6738</w:t>
            </w:r>
          </w:p>
        </w:tc>
      </w:tr>
      <w:tr w:rsidR="009A396D" w14:paraId="1051CBFB"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004C529A"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Debtors Collection Period</w:t>
            </w:r>
          </w:p>
        </w:tc>
        <w:tc>
          <w:tcPr>
            <w:tcW w:w="945" w:type="dxa"/>
            <w:shd w:val="clear" w:color="auto" w:fill="auto"/>
            <w:tcMar>
              <w:top w:w="100" w:type="dxa"/>
              <w:left w:w="100" w:type="dxa"/>
              <w:bottom w:w="100" w:type="dxa"/>
              <w:right w:w="100" w:type="dxa"/>
            </w:tcMar>
            <w:vAlign w:val="bottom"/>
          </w:tcPr>
          <w:p w14:paraId="0B09A13C"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72</w:t>
            </w:r>
          </w:p>
        </w:tc>
        <w:tc>
          <w:tcPr>
            <w:tcW w:w="810" w:type="dxa"/>
            <w:shd w:val="clear" w:color="auto" w:fill="auto"/>
            <w:tcMar>
              <w:top w:w="100" w:type="dxa"/>
              <w:left w:w="100" w:type="dxa"/>
              <w:bottom w:w="100" w:type="dxa"/>
              <w:right w:w="100" w:type="dxa"/>
            </w:tcMar>
            <w:vAlign w:val="bottom"/>
          </w:tcPr>
          <w:p w14:paraId="0B7B32A0"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68</w:t>
            </w:r>
          </w:p>
        </w:tc>
      </w:tr>
      <w:tr w:rsidR="009A396D" w14:paraId="1DBE9C83" w14:textId="77777777" w:rsidTr="009B0E0E">
        <w:trPr>
          <w:trHeight w:val="485"/>
          <w:jc w:val="center"/>
        </w:trPr>
        <w:tc>
          <w:tcPr>
            <w:tcW w:w="8820" w:type="dxa"/>
            <w:gridSpan w:val="3"/>
            <w:shd w:val="clear" w:color="auto" w:fill="auto"/>
            <w:tcMar>
              <w:top w:w="100" w:type="dxa"/>
              <w:left w:w="100" w:type="dxa"/>
              <w:bottom w:w="100" w:type="dxa"/>
              <w:right w:w="100" w:type="dxa"/>
            </w:tcMar>
            <w:vAlign w:val="bottom"/>
          </w:tcPr>
          <w:p w14:paraId="2D0B18AE" w14:textId="77777777" w:rsidR="009A396D" w:rsidRPr="00EE2520" w:rsidRDefault="00B52976">
            <w:pPr>
              <w:spacing w:before="240"/>
              <w:rPr>
                <w:rFonts w:eastAsia="Times New Roman" w:cs="Times New Roman"/>
                <w:b/>
                <w:i/>
                <w:sz w:val="28"/>
                <w:szCs w:val="28"/>
                <w:u w:val="single"/>
              </w:rPr>
            </w:pPr>
            <w:r w:rsidRPr="00EE2520">
              <w:rPr>
                <w:rFonts w:eastAsia="Times New Roman" w:cs="Times New Roman"/>
                <w:b/>
                <w:i/>
                <w:sz w:val="28"/>
                <w:szCs w:val="28"/>
                <w:u w:val="single"/>
              </w:rPr>
              <w:lastRenderedPageBreak/>
              <w:t>“Current Ratio”</w:t>
            </w:r>
          </w:p>
        </w:tc>
      </w:tr>
      <w:tr w:rsidR="009A396D" w14:paraId="3AB6958C" w14:textId="77777777" w:rsidTr="009B0E0E">
        <w:trPr>
          <w:trHeight w:val="875"/>
          <w:jc w:val="center"/>
        </w:trPr>
        <w:tc>
          <w:tcPr>
            <w:tcW w:w="8820" w:type="dxa"/>
            <w:gridSpan w:val="3"/>
            <w:shd w:val="clear" w:color="auto" w:fill="auto"/>
            <w:tcMar>
              <w:top w:w="100" w:type="dxa"/>
              <w:left w:w="100" w:type="dxa"/>
              <w:bottom w:w="100" w:type="dxa"/>
              <w:right w:w="100" w:type="dxa"/>
            </w:tcMar>
          </w:tcPr>
          <w:p w14:paraId="34870423"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“Formula of Current Ratio = Current Assets / Current Liabilities”</w:t>
            </w:r>
          </w:p>
        </w:tc>
      </w:tr>
      <w:tr w:rsidR="009A396D" w14:paraId="460F24E8"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0993E5BE" w14:textId="77777777" w:rsidR="009A396D" w:rsidRPr="00EE2520" w:rsidRDefault="00B52976">
            <w:pPr>
              <w:spacing w:before="240"/>
              <w:rPr>
                <w:rFonts w:eastAsia="Times New Roman" w:cs="Times New Roman"/>
                <w:i/>
                <w:sz w:val="28"/>
                <w:szCs w:val="28"/>
              </w:rPr>
            </w:pPr>
            <w:r w:rsidRPr="00EE2520">
              <w:rPr>
                <w:rFonts w:eastAsia="Times New Roman" w:cs="Times New Roman"/>
                <w:i/>
                <w:sz w:val="28"/>
                <w:szCs w:val="28"/>
              </w:rPr>
              <w:t>“Current Assets”</w:t>
            </w:r>
          </w:p>
        </w:tc>
        <w:tc>
          <w:tcPr>
            <w:tcW w:w="945" w:type="dxa"/>
            <w:shd w:val="clear" w:color="auto" w:fill="auto"/>
            <w:tcMar>
              <w:top w:w="100" w:type="dxa"/>
              <w:left w:w="100" w:type="dxa"/>
              <w:bottom w:w="100" w:type="dxa"/>
              <w:right w:w="100" w:type="dxa"/>
            </w:tcMar>
            <w:vAlign w:val="bottom"/>
          </w:tcPr>
          <w:p w14:paraId="09E16140"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2355</w:t>
            </w:r>
          </w:p>
        </w:tc>
        <w:tc>
          <w:tcPr>
            <w:tcW w:w="810" w:type="dxa"/>
            <w:shd w:val="clear" w:color="auto" w:fill="auto"/>
            <w:tcMar>
              <w:top w:w="100" w:type="dxa"/>
              <w:left w:w="100" w:type="dxa"/>
              <w:bottom w:w="100" w:type="dxa"/>
              <w:right w:w="100" w:type="dxa"/>
            </w:tcMar>
            <w:vAlign w:val="bottom"/>
          </w:tcPr>
          <w:p w14:paraId="265C82B5"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2305</w:t>
            </w:r>
          </w:p>
        </w:tc>
      </w:tr>
      <w:tr w:rsidR="009A396D" w14:paraId="5C5AB178"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4E07B93D" w14:textId="77777777" w:rsidR="009A396D" w:rsidRPr="00EE2520" w:rsidRDefault="00B52976">
            <w:pPr>
              <w:spacing w:before="240"/>
              <w:rPr>
                <w:rFonts w:eastAsia="Times New Roman" w:cs="Times New Roman"/>
                <w:i/>
                <w:sz w:val="28"/>
                <w:szCs w:val="28"/>
              </w:rPr>
            </w:pPr>
            <w:r w:rsidRPr="00EE2520">
              <w:rPr>
                <w:rFonts w:eastAsia="Times New Roman" w:cs="Times New Roman"/>
                <w:i/>
                <w:sz w:val="28"/>
                <w:szCs w:val="28"/>
              </w:rPr>
              <w:t xml:space="preserve">“Current </w:t>
            </w:r>
            <w:r w:rsidRPr="00EE2520">
              <w:rPr>
                <w:rFonts w:eastAsia="Times New Roman" w:cs="Times New Roman"/>
                <w:i/>
                <w:sz w:val="28"/>
                <w:szCs w:val="28"/>
              </w:rPr>
              <w:t>Liabilities”</w:t>
            </w:r>
          </w:p>
        </w:tc>
        <w:tc>
          <w:tcPr>
            <w:tcW w:w="945" w:type="dxa"/>
            <w:shd w:val="clear" w:color="auto" w:fill="auto"/>
            <w:tcMar>
              <w:top w:w="100" w:type="dxa"/>
              <w:left w:w="100" w:type="dxa"/>
              <w:bottom w:w="100" w:type="dxa"/>
              <w:right w:w="100" w:type="dxa"/>
            </w:tcMar>
            <w:vAlign w:val="bottom"/>
          </w:tcPr>
          <w:p w14:paraId="195A34A6"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3046</w:t>
            </w:r>
          </w:p>
        </w:tc>
        <w:tc>
          <w:tcPr>
            <w:tcW w:w="810" w:type="dxa"/>
            <w:shd w:val="clear" w:color="auto" w:fill="auto"/>
            <w:tcMar>
              <w:top w:w="100" w:type="dxa"/>
              <w:left w:w="100" w:type="dxa"/>
              <w:bottom w:w="100" w:type="dxa"/>
              <w:right w:w="100" w:type="dxa"/>
            </w:tcMar>
            <w:vAlign w:val="bottom"/>
          </w:tcPr>
          <w:p w14:paraId="34A295D4"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2511</w:t>
            </w:r>
          </w:p>
        </w:tc>
      </w:tr>
      <w:tr w:rsidR="009A396D" w14:paraId="01DA86A6"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1E571F10" w14:textId="77777777" w:rsidR="009A396D" w:rsidRPr="00EE2520" w:rsidRDefault="00B52976">
            <w:pPr>
              <w:spacing w:before="240"/>
              <w:rPr>
                <w:rFonts w:eastAsia="Times New Roman" w:cs="Times New Roman"/>
                <w:sz w:val="28"/>
                <w:szCs w:val="28"/>
              </w:rPr>
            </w:pPr>
            <w:r w:rsidRPr="00EE2520">
              <w:rPr>
                <w:rFonts w:eastAsia="Times New Roman" w:cs="Times New Roman"/>
                <w:sz w:val="28"/>
                <w:szCs w:val="28"/>
              </w:rPr>
              <w:t>Debtors Collection Period</w:t>
            </w:r>
          </w:p>
        </w:tc>
        <w:tc>
          <w:tcPr>
            <w:tcW w:w="945" w:type="dxa"/>
            <w:shd w:val="clear" w:color="auto" w:fill="auto"/>
            <w:tcMar>
              <w:top w:w="100" w:type="dxa"/>
              <w:left w:w="100" w:type="dxa"/>
              <w:bottom w:w="100" w:type="dxa"/>
              <w:right w:w="100" w:type="dxa"/>
            </w:tcMar>
            <w:vAlign w:val="bottom"/>
          </w:tcPr>
          <w:p w14:paraId="0F4F73D2"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0.77</w:t>
            </w:r>
          </w:p>
        </w:tc>
        <w:tc>
          <w:tcPr>
            <w:tcW w:w="810" w:type="dxa"/>
            <w:shd w:val="clear" w:color="auto" w:fill="auto"/>
            <w:tcMar>
              <w:top w:w="100" w:type="dxa"/>
              <w:left w:w="100" w:type="dxa"/>
              <w:bottom w:w="100" w:type="dxa"/>
              <w:right w:w="100" w:type="dxa"/>
            </w:tcMar>
            <w:vAlign w:val="bottom"/>
          </w:tcPr>
          <w:p w14:paraId="761AEBF1"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0.92</w:t>
            </w:r>
          </w:p>
        </w:tc>
      </w:tr>
      <w:tr w:rsidR="009A396D" w14:paraId="0E33A47A"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376C38CA" w14:textId="77777777" w:rsidR="009A396D" w:rsidRPr="00EE2520" w:rsidRDefault="00B52976">
            <w:pPr>
              <w:spacing w:before="240"/>
              <w:rPr>
                <w:rFonts w:eastAsia="Times New Roman" w:cs="Times New Roman"/>
                <w:b/>
                <w:i/>
                <w:sz w:val="28"/>
                <w:szCs w:val="28"/>
                <w:u w:val="single"/>
              </w:rPr>
            </w:pPr>
            <w:r w:rsidRPr="00EE2520">
              <w:rPr>
                <w:rFonts w:eastAsia="Times New Roman" w:cs="Times New Roman"/>
                <w:b/>
                <w:i/>
                <w:sz w:val="28"/>
                <w:szCs w:val="28"/>
                <w:u w:val="single"/>
              </w:rPr>
              <w:t>Gearing Ratio</w:t>
            </w:r>
          </w:p>
        </w:tc>
        <w:tc>
          <w:tcPr>
            <w:tcW w:w="945" w:type="dxa"/>
            <w:shd w:val="clear" w:color="auto" w:fill="auto"/>
            <w:tcMar>
              <w:top w:w="100" w:type="dxa"/>
              <w:left w:w="100" w:type="dxa"/>
              <w:bottom w:w="100" w:type="dxa"/>
              <w:right w:w="100" w:type="dxa"/>
            </w:tcMar>
            <w:vAlign w:val="bottom"/>
          </w:tcPr>
          <w:p w14:paraId="4DCB76D9"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 xml:space="preserve"> </w:t>
            </w:r>
          </w:p>
        </w:tc>
        <w:tc>
          <w:tcPr>
            <w:tcW w:w="810" w:type="dxa"/>
            <w:shd w:val="clear" w:color="auto" w:fill="auto"/>
            <w:tcMar>
              <w:top w:w="100" w:type="dxa"/>
              <w:left w:w="100" w:type="dxa"/>
              <w:bottom w:w="100" w:type="dxa"/>
              <w:right w:w="100" w:type="dxa"/>
            </w:tcMar>
            <w:vAlign w:val="bottom"/>
          </w:tcPr>
          <w:p w14:paraId="119B4F08"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 xml:space="preserve"> </w:t>
            </w:r>
          </w:p>
        </w:tc>
      </w:tr>
      <w:tr w:rsidR="009A396D" w14:paraId="5D6A5830" w14:textId="77777777" w:rsidTr="009B0E0E">
        <w:trPr>
          <w:trHeight w:val="485"/>
          <w:jc w:val="center"/>
        </w:trPr>
        <w:tc>
          <w:tcPr>
            <w:tcW w:w="7065" w:type="dxa"/>
            <w:shd w:val="clear" w:color="auto" w:fill="auto"/>
            <w:tcMar>
              <w:top w:w="100" w:type="dxa"/>
              <w:left w:w="100" w:type="dxa"/>
              <w:bottom w:w="100" w:type="dxa"/>
              <w:right w:w="100" w:type="dxa"/>
            </w:tcMar>
          </w:tcPr>
          <w:p w14:paraId="6E398321"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Formula of Gearing Ratio = Debt +Debt / Equity</w:t>
            </w:r>
          </w:p>
        </w:tc>
        <w:tc>
          <w:tcPr>
            <w:tcW w:w="945" w:type="dxa"/>
            <w:shd w:val="clear" w:color="auto" w:fill="auto"/>
            <w:tcMar>
              <w:top w:w="100" w:type="dxa"/>
              <w:left w:w="100" w:type="dxa"/>
              <w:bottom w:w="100" w:type="dxa"/>
              <w:right w:w="100" w:type="dxa"/>
            </w:tcMar>
            <w:vAlign w:val="bottom"/>
          </w:tcPr>
          <w:p w14:paraId="2F688CA3"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 xml:space="preserve"> </w:t>
            </w:r>
          </w:p>
        </w:tc>
        <w:tc>
          <w:tcPr>
            <w:tcW w:w="810" w:type="dxa"/>
            <w:shd w:val="clear" w:color="auto" w:fill="auto"/>
            <w:tcMar>
              <w:top w:w="100" w:type="dxa"/>
              <w:left w:w="100" w:type="dxa"/>
              <w:bottom w:w="100" w:type="dxa"/>
              <w:right w:w="100" w:type="dxa"/>
            </w:tcMar>
            <w:vAlign w:val="bottom"/>
          </w:tcPr>
          <w:p w14:paraId="58E82899"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 xml:space="preserve"> </w:t>
            </w:r>
          </w:p>
        </w:tc>
      </w:tr>
      <w:tr w:rsidR="009A396D" w14:paraId="7516081D"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53C604C6" w14:textId="77777777" w:rsidR="009A396D" w:rsidRPr="00EE2520" w:rsidRDefault="00B52976">
            <w:pPr>
              <w:spacing w:before="240"/>
              <w:rPr>
                <w:rFonts w:eastAsia="Times New Roman" w:cs="Times New Roman"/>
                <w:i/>
                <w:sz w:val="28"/>
                <w:szCs w:val="28"/>
              </w:rPr>
            </w:pPr>
            <w:r w:rsidRPr="00EE2520">
              <w:rPr>
                <w:rFonts w:eastAsia="Times New Roman" w:cs="Times New Roman"/>
                <w:i/>
                <w:sz w:val="28"/>
                <w:szCs w:val="28"/>
              </w:rPr>
              <w:t>Debt</w:t>
            </w:r>
          </w:p>
        </w:tc>
        <w:tc>
          <w:tcPr>
            <w:tcW w:w="945" w:type="dxa"/>
            <w:shd w:val="clear" w:color="auto" w:fill="auto"/>
            <w:tcMar>
              <w:top w:w="100" w:type="dxa"/>
              <w:left w:w="100" w:type="dxa"/>
              <w:bottom w:w="100" w:type="dxa"/>
              <w:right w:w="100" w:type="dxa"/>
            </w:tcMar>
            <w:vAlign w:val="bottom"/>
          </w:tcPr>
          <w:p w14:paraId="6EB209E0"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7175</w:t>
            </w:r>
          </w:p>
        </w:tc>
        <w:tc>
          <w:tcPr>
            <w:tcW w:w="810" w:type="dxa"/>
            <w:shd w:val="clear" w:color="auto" w:fill="auto"/>
            <w:tcMar>
              <w:top w:w="100" w:type="dxa"/>
              <w:left w:w="100" w:type="dxa"/>
              <w:bottom w:w="100" w:type="dxa"/>
              <w:right w:w="100" w:type="dxa"/>
            </w:tcMar>
            <w:vAlign w:val="bottom"/>
          </w:tcPr>
          <w:p w14:paraId="3F31D06F"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6648</w:t>
            </w:r>
          </w:p>
        </w:tc>
      </w:tr>
      <w:tr w:rsidR="009A396D" w14:paraId="3A8BB510"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69423FE9" w14:textId="77777777" w:rsidR="009A396D" w:rsidRPr="00EE2520" w:rsidRDefault="00B52976">
            <w:pPr>
              <w:spacing w:before="240"/>
              <w:rPr>
                <w:rFonts w:eastAsia="Times New Roman" w:cs="Times New Roman"/>
                <w:i/>
                <w:sz w:val="28"/>
                <w:szCs w:val="28"/>
              </w:rPr>
            </w:pPr>
            <w:r w:rsidRPr="00EE2520">
              <w:rPr>
                <w:rFonts w:eastAsia="Times New Roman" w:cs="Times New Roman"/>
                <w:i/>
                <w:sz w:val="28"/>
                <w:szCs w:val="28"/>
              </w:rPr>
              <w:t>Equity</w:t>
            </w:r>
          </w:p>
        </w:tc>
        <w:tc>
          <w:tcPr>
            <w:tcW w:w="945" w:type="dxa"/>
            <w:shd w:val="clear" w:color="auto" w:fill="auto"/>
            <w:tcMar>
              <w:top w:w="100" w:type="dxa"/>
              <w:left w:w="100" w:type="dxa"/>
              <w:bottom w:w="100" w:type="dxa"/>
              <w:right w:w="100" w:type="dxa"/>
            </w:tcMar>
            <w:vAlign w:val="bottom"/>
          </w:tcPr>
          <w:p w14:paraId="2D9AC5C2"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10087</w:t>
            </w:r>
          </w:p>
        </w:tc>
        <w:tc>
          <w:tcPr>
            <w:tcW w:w="810" w:type="dxa"/>
            <w:shd w:val="clear" w:color="auto" w:fill="auto"/>
            <w:tcMar>
              <w:top w:w="100" w:type="dxa"/>
              <w:left w:w="100" w:type="dxa"/>
              <w:bottom w:w="100" w:type="dxa"/>
              <w:right w:w="100" w:type="dxa"/>
            </w:tcMar>
            <w:vAlign w:val="bottom"/>
          </w:tcPr>
          <w:p w14:paraId="25A15D79"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9736</w:t>
            </w:r>
          </w:p>
        </w:tc>
      </w:tr>
      <w:tr w:rsidR="009A396D" w14:paraId="582D61C1"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1CADF2F1"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Gearing Ratio</w:t>
            </w:r>
          </w:p>
        </w:tc>
        <w:tc>
          <w:tcPr>
            <w:tcW w:w="945" w:type="dxa"/>
            <w:shd w:val="clear" w:color="auto" w:fill="auto"/>
            <w:tcMar>
              <w:top w:w="100" w:type="dxa"/>
              <w:left w:w="100" w:type="dxa"/>
              <w:bottom w:w="100" w:type="dxa"/>
              <w:right w:w="100" w:type="dxa"/>
            </w:tcMar>
            <w:vAlign w:val="bottom"/>
          </w:tcPr>
          <w:p w14:paraId="584DD001"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1.42</w:t>
            </w:r>
          </w:p>
        </w:tc>
        <w:tc>
          <w:tcPr>
            <w:tcW w:w="810" w:type="dxa"/>
            <w:shd w:val="clear" w:color="auto" w:fill="auto"/>
            <w:tcMar>
              <w:top w:w="100" w:type="dxa"/>
              <w:left w:w="100" w:type="dxa"/>
              <w:bottom w:w="100" w:type="dxa"/>
              <w:right w:w="100" w:type="dxa"/>
            </w:tcMar>
            <w:vAlign w:val="bottom"/>
          </w:tcPr>
          <w:p w14:paraId="3C31A901"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1.37</w:t>
            </w:r>
          </w:p>
        </w:tc>
      </w:tr>
      <w:tr w:rsidR="009A396D" w14:paraId="4A555FBB" w14:textId="77777777" w:rsidTr="009B0E0E">
        <w:trPr>
          <w:trHeight w:val="485"/>
          <w:jc w:val="center"/>
        </w:trPr>
        <w:tc>
          <w:tcPr>
            <w:tcW w:w="8820" w:type="dxa"/>
            <w:gridSpan w:val="3"/>
            <w:shd w:val="clear" w:color="auto" w:fill="auto"/>
            <w:tcMar>
              <w:top w:w="100" w:type="dxa"/>
              <w:left w:w="100" w:type="dxa"/>
              <w:bottom w:w="100" w:type="dxa"/>
              <w:right w:w="100" w:type="dxa"/>
            </w:tcMar>
            <w:vAlign w:val="bottom"/>
          </w:tcPr>
          <w:p w14:paraId="600C1383" w14:textId="77777777" w:rsidR="009A396D" w:rsidRPr="00EE2520" w:rsidRDefault="00B52976">
            <w:pPr>
              <w:spacing w:before="240"/>
              <w:rPr>
                <w:rFonts w:eastAsia="Times New Roman" w:cs="Times New Roman"/>
                <w:b/>
                <w:i/>
                <w:sz w:val="28"/>
                <w:szCs w:val="28"/>
                <w:u w:val="single"/>
              </w:rPr>
            </w:pPr>
            <w:r w:rsidRPr="00EE2520">
              <w:rPr>
                <w:rFonts w:eastAsia="Times New Roman" w:cs="Times New Roman"/>
                <w:b/>
                <w:i/>
                <w:sz w:val="28"/>
                <w:szCs w:val="28"/>
                <w:u w:val="single"/>
              </w:rPr>
              <w:t>Interest Cover Ratio</w:t>
            </w:r>
          </w:p>
        </w:tc>
      </w:tr>
      <w:tr w:rsidR="009A396D" w14:paraId="50B5272D" w14:textId="77777777" w:rsidTr="009B0E0E">
        <w:trPr>
          <w:trHeight w:val="770"/>
          <w:jc w:val="center"/>
        </w:trPr>
        <w:tc>
          <w:tcPr>
            <w:tcW w:w="8820" w:type="dxa"/>
            <w:gridSpan w:val="3"/>
            <w:shd w:val="clear" w:color="auto" w:fill="auto"/>
            <w:tcMar>
              <w:top w:w="100" w:type="dxa"/>
              <w:left w:w="100" w:type="dxa"/>
              <w:bottom w:w="100" w:type="dxa"/>
              <w:right w:w="100" w:type="dxa"/>
            </w:tcMar>
          </w:tcPr>
          <w:p w14:paraId="48466C4A"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lastRenderedPageBreak/>
              <w:t>“Formula of Interest Cover Ratio = Current</w:t>
            </w:r>
            <w:r w:rsidRPr="00EE2520">
              <w:rPr>
                <w:rFonts w:eastAsia="Times New Roman" w:cs="Times New Roman"/>
                <w:b/>
                <w:sz w:val="28"/>
                <w:szCs w:val="28"/>
              </w:rPr>
              <w:t xml:space="preserve"> Assets - Current Liabilities / Inventories”</w:t>
            </w:r>
          </w:p>
        </w:tc>
      </w:tr>
      <w:tr w:rsidR="009A396D" w14:paraId="4A5DFF6D"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50ACD073" w14:textId="77777777" w:rsidR="009A396D" w:rsidRPr="00EE2520" w:rsidRDefault="00B52976">
            <w:pPr>
              <w:spacing w:before="240"/>
              <w:rPr>
                <w:rFonts w:eastAsia="Times New Roman" w:cs="Times New Roman"/>
                <w:i/>
                <w:sz w:val="28"/>
                <w:szCs w:val="28"/>
              </w:rPr>
            </w:pPr>
            <w:r w:rsidRPr="00EE2520">
              <w:rPr>
                <w:rFonts w:eastAsia="Times New Roman" w:cs="Times New Roman"/>
                <w:i/>
                <w:sz w:val="28"/>
                <w:szCs w:val="28"/>
              </w:rPr>
              <w:t>“Current Assets”</w:t>
            </w:r>
          </w:p>
        </w:tc>
        <w:tc>
          <w:tcPr>
            <w:tcW w:w="945" w:type="dxa"/>
            <w:shd w:val="clear" w:color="auto" w:fill="auto"/>
            <w:tcMar>
              <w:top w:w="100" w:type="dxa"/>
              <w:left w:w="100" w:type="dxa"/>
              <w:bottom w:w="100" w:type="dxa"/>
              <w:right w:w="100" w:type="dxa"/>
            </w:tcMar>
            <w:vAlign w:val="bottom"/>
          </w:tcPr>
          <w:p w14:paraId="10C5A339"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2355</w:t>
            </w:r>
          </w:p>
        </w:tc>
        <w:tc>
          <w:tcPr>
            <w:tcW w:w="810" w:type="dxa"/>
            <w:shd w:val="clear" w:color="auto" w:fill="auto"/>
            <w:tcMar>
              <w:top w:w="100" w:type="dxa"/>
              <w:left w:w="100" w:type="dxa"/>
              <w:bottom w:w="100" w:type="dxa"/>
              <w:right w:w="100" w:type="dxa"/>
            </w:tcMar>
            <w:vAlign w:val="bottom"/>
          </w:tcPr>
          <w:p w14:paraId="09137436"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2305</w:t>
            </w:r>
          </w:p>
        </w:tc>
      </w:tr>
      <w:tr w:rsidR="009A396D" w14:paraId="762E8FBB"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131CE133" w14:textId="77777777" w:rsidR="009A396D" w:rsidRPr="00EE2520" w:rsidRDefault="00B52976">
            <w:pPr>
              <w:spacing w:before="240"/>
              <w:rPr>
                <w:rFonts w:eastAsia="Times New Roman" w:cs="Times New Roman"/>
                <w:i/>
                <w:sz w:val="28"/>
                <w:szCs w:val="28"/>
              </w:rPr>
            </w:pPr>
            <w:r w:rsidRPr="00EE2520">
              <w:rPr>
                <w:rFonts w:eastAsia="Times New Roman" w:cs="Times New Roman"/>
                <w:i/>
                <w:sz w:val="28"/>
                <w:szCs w:val="28"/>
              </w:rPr>
              <w:t>“Current Liabilities”</w:t>
            </w:r>
          </w:p>
        </w:tc>
        <w:tc>
          <w:tcPr>
            <w:tcW w:w="945" w:type="dxa"/>
            <w:shd w:val="clear" w:color="auto" w:fill="auto"/>
            <w:tcMar>
              <w:top w:w="100" w:type="dxa"/>
              <w:left w:w="100" w:type="dxa"/>
              <w:bottom w:w="100" w:type="dxa"/>
              <w:right w:w="100" w:type="dxa"/>
            </w:tcMar>
            <w:vAlign w:val="bottom"/>
          </w:tcPr>
          <w:p w14:paraId="55F82AE2"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3046</w:t>
            </w:r>
          </w:p>
        </w:tc>
        <w:tc>
          <w:tcPr>
            <w:tcW w:w="810" w:type="dxa"/>
            <w:shd w:val="clear" w:color="auto" w:fill="auto"/>
            <w:tcMar>
              <w:top w:w="100" w:type="dxa"/>
              <w:left w:w="100" w:type="dxa"/>
              <w:bottom w:w="100" w:type="dxa"/>
              <w:right w:w="100" w:type="dxa"/>
            </w:tcMar>
            <w:vAlign w:val="bottom"/>
          </w:tcPr>
          <w:p w14:paraId="2C91F346"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2511</w:t>
            </w:r>
          </w:p>
        </w:tc>
      </w:tr>
      <w:tr w:rsidR="009A396D" w14:paraId="3B50F251"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734CE7D3" w14:textId="77777777" w:rsidR="009A396D" w:rsidRPr="00EE2520" w:rsidRDefault="00B52976">
            <w:pPr>
              <w:spacing w:before="240"/>
              <w:rPr>
                <w:rFonts w:eastAsia="Times New Roman" w:cs="Times New Roman"/>
                <w:i/>
                <w:sz w:val="28"/>
                <w:szCs w:val="28"/>
              </w:rPr>
            </w:pPr>
            <w:r w:rsidRPr="00EE2520">
              <w:rPr>
                <w:rFonts w:eastAsia="Times New Roman" w:cs="Times New Roman"/>
                <w:i/>
                <w:sz w:val="28"/>
                <w:szCs w:val="28"/>
              </w:rPr>
              <w:t>Inventories</w:t>
            </w:r>
          </w:p>
        </w:tc>
        <w:tc>
          <w:tcPr>
            <w:tcW w:w="945" w:type="dxa"/>
            <w:shd w:val="clear" w:color="auto" w:fill="auto"/>
            <w:tcMar>
              <w:top w:w="100" w:type="dxa"/>
              <w:left w:w="100" w:type="dxa"/>
              <w:bottom w:w="100" w:type="dxa"/>
              <w:right w:w="100" w:type="dxa"/>
            </w:tcMar>
            <w:vAlign w:val="bottom"/>
          </w:tcPr>
          <w:p w14:paraId="68668342"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659</w:t>
            </w:r>
          </w:p>
        </w:tc>
        <w:tc>
          <w:tcPr>
            <w:tcW w:w="810" w:type="dxa"/>
            <w:shd w:val="clear" w:color="auto" w:fill="auto"/>
            <w:tcMar>
              <w:top w:w="100" w:type="dxa"/>
              <w:left w:w="100" w:type="dxa"/>
              <w:bottom w:w="100" w:type="dxa"/>
              <w:right w:w="100" w:type="dxa"/>
            </w:tcMar>
            <w:vAlign w:val="bottom"/>
          </w:tcPr>
          <w:p w14:paraId="3FC673B0" w14:textId="77777777" w:rsidR="009A396D" w:rsidRPr="00EE2520" w:rsidRDefault="00B52976">
            <w:pPr>
              <w:spacing w:before="240"/>
              <w:jc w:val="right"/>
              <w:rPr>
                <w:rFonts w:eastAsia="Times New Roman" w:cs="Times New Roman"/>
                <w:sz w:val="28"/>
                <w:szCs w:val="28"/>
              </w:rPr>
            </w:pPr>
            <w:r w:rsidRPr="00EE2520">
              <w:rPr>
                <w:rFonts w:eastAsia="Times New Roman" w:cs="Times New Roman"/>
                <w:sz w:val="28"/>
                <w:szCs w:val="28"/>
              </w:rPr>
              <w:t>708</w:t>
            </w:r>
          </w:p>
        </w:tc>
      </w:tr>
      <w:tr w:rsidR="009A396D" w14:paraId="49E3A3F2" w14:textId="77777777" w:rsidTr="009B0E0E">
        <w:trPr>
          <w:trHeight w:val="485"/>
          <w:jc w:val="center"/>
        </w:trPr>
        <w:tc>
          <w:tcPr>
            <w:tcW w:w="7065" w:type="dxa"/>
            <w:shd w:val="clear" w:color="auto" w:fill="auto"/>
            <w:tcMar>
              <w:top w:w="100" w:type="dxa"/>
              <w:left w:w="100" w:type="dxa"/>
              <w:bottom w:w="100" w:type="dxa"/>
              <w:right w:w="100" w:type="dxa"/>
            </w:tcMar>
            <w:vAlign w:val="bottom"/>
          </w:tcPr>
          <w:p w14:paraId="2B6CDCED" w14:textId="77777777" w:rsidR="009A396D" w:rsidRPr="00EE2520" w:rsidRDefault="00B52976">
            <w:pPr>
              <w:spacing w:before="240"/>
              <w:rPr>
                <w:rFonts w:eastAsia="Times New Roman" w:cs="Times New Roman"/>
                <w:b/>
                <w:sz w:val="28"/>
                <w:szCs w:val="28"/>
              </w:rPr>
            </w:pPr>
            <w:r w:rsidRPr="00EE2520">
              <w:rPr>
                <w:rFonts w:eastAsia="Times New Roman" w:cs="Times New Roman"/>
                <w:b/>
                <w:sz w:val="28"/>
                <w:szCs w:val="28"/>
              </w:rPr>
              <w:t>Interest Cover Ratio</w:t>
            </w:r>
          </w:p>
        </w:tc>
        <w:tc>
          <w:tcPr>
            <w:tcW w:w="945" w:type="dxa"/>
            <w:shd w:val="clear" w:color="auto" w:fill="auto"/>
            <w:tcMar>
              <w:top w:w="100" w:type="dxa"/>
              <w:left w:w="100" w:type="dxa"/>
              <w:bottom w:w="100" w:type="dxa"/>
              <w:right w:w="100" w:type="dxa"/>
            </w:tcMar>
            <w:vAlign w:val="bottom"/>
          </w:tcPr>
          <w:p w14:paraId="0A643F3A" w14:textId="77777777" w:rsidR="009A396D" w:rsidRPr="00EE2520" w:rsidRDefault="00B52976">
            <w:pPr>
              <w:spacing w:before="240"/>
              <w:jc w:val="right"/>
              <w:rPr>
                <w:rFonts w:eastAsia="Times New Roman" w:cs="Times New Roman"/>
                <w:b/>
                <w:sz w:val="28"/>
                <w:szCs w:val="28"/>
              </w:rPr>
            </w:pPr>
            <w:r w:rsidRPr="00EE2520">
              <w:rPr>
                <w:rFonts w:eastAsia="Times New Roman" w:cs="Times New Roman"/>
                <w:b/>
                <w:sz w:val="28"/>
                <w:szCs w:val="28"/>
              </w:rPr>
              <w:t>-1.05</w:t>
            </w:r>
          </w:p>
        </w:tc>
        <w:tc>
          <w:tcPr>
            <w:tcW w:w="810" w:type="dxa"/>
            <w:shd w:val="clear" w:color="auto" w:fill="auto"/>
            <w:tcMar>
              <w:top w:w="100" w:type="dxa"/>
              <w:left w:w="100" w:type="dxa"/>
              <w:bottom w:w="100" w:type="dxa"/>
              <w:right w:w="100" w:type="dxa"/>
            </w:tcMar>
            <w:vAlign w:val="bottom"/>
          </w:tcPr>
          <w:p w14:paraId="42DA405A" w14:textId="77777777" w:rsidR="009A396D" w:rsidRPr="00EE2520" w:rsidRDefault="00B52976">
            <w:pPr>
              <w:spacing w:before="240"/>
              <w:jc w:val="right"/>
              <w:rPr>
                <w:rFonts w:eastAsia="Times New Roman" w:cs="Times New Roman"/>
                <w:b/>
                <w:sz w:val="28"/>
                <w:szCs w:val="28"/>
              </w:rPr>
            </w:pPr>
            <w:r w:rsidRPr="00EE2520">
              <w:rPr>
                <w:rFonts w:eastAsia="Times New Roman" w:cs="Times New Roman"/>
                <w:b/>
                <w:sz w:val="28"/>
                <w:szCs w:val="28"/>
              </w:rPr>
              <w:t>-0.29</w:t>
            </w:r>
          </w:p>
        </w:tc>
      </w:tr>
    </w:tbl>
    <w:p w14:paraId="3D15604B" w14:textId="77777777" w:rsidR="009A396D" w:rsidRPr="00EE2520" w:rsidRDefault="00B52976" w:rsidP="00EE2520">
      <w:pPr>
        <w:spacing w:line="360" w:lineRule="auto"/>
        <w:jc w:val="center"/>
        <w:rPr>
          <w:rFonts w:eastAsia="Times New Roman" w:cs="Times New Roman"/>
          <w:b/>
          <w:sz w:val="28"/>
          <w:szCs w:val="28"/>
        </w:rPr>
      </w:pPr>
      <w:r w:rsidRPr="00EE2520">
        <w:rPr>
          <w:rFonts w:eastAsia="Times New Roman" w:cs="Times New Roman"/>
          <w:b/>
          <w:sz w:val="28"/>
          <w:szCs w:val="28"/>
        </w:rPr>
        <w:t>Table 2: Computation of Ratio Analysis of Sweets Plc.</w:t>
      </w:r>
    </w:p>
    <w:p w14:paraId="781BEDDE" w14:textId="77777777" w:rsidR="009A396D" w:rsidRPr="00EE2520" w:rsidRDefault="00B52976" w:rsidP="00EE2520">
      <w:pPr>
        <w:spacing w:line="360" w:lineRule="auto"/>
        <w:jc w:val="center"/>
        <w:rPr>
          <w:rFonts w:eastAsia="Times New Roman" w:cs="Times New Roman"/>
          <w:b/>
          <w:sz w:val="28"/>
          <w:szCs w:val="28"/>
        </w:rPr>
      </w:pPr>
      <w:r w:rsidRPr="00EE2520">
        <w:rPr>
          <w:rFonts w:eastAsia="Times New Roman" w:cs="Times New Roman"/>
          <w:sz w:val="28"/>
          <w:szCs w:val="28"/>
        </w:rPr>
        <w:t>(Source: Self-Developed)</w:t>
      </w:r>
    </w:p>
    <w:p w14:paraId="62814892" w14:textId="77777777" w:rsidR="009A396D" w:rsidRPr="00EE2520" w:rsidRDefault="00B52976" w:rsidP="00EE2520">
      <w:pPr>
        <w:pStyle w:val="Heading3"/>
        <w:spacing w:line="360" w:lineRule="auto"/>
        <w:rPr>
          <w:sz w:val="28"/>
        </w:rPr>
      </w:pPr>
      <w:bookmarkStart w:id="19" w:name="_Toc121339311"/>
      <w:bookmarkStart w:id="20" w:name="_Toc121344042"/>
      <w:r w:rsidRPr="00EE2520">
        <w:rPr>
          <w:sz w:val="28"/>
        </w:rPr>
        <w:t xml:space="preserve">Interpreting </w:t>
      </w:r>
      <w:r w:rsidRPr="00EE2520">
        <w:rPr>
          <w:sz w:val="28"/>
        </w:rPr>
        <w:t>the financial statement and ratio calculation, comment on the financial performance and position of Sweets Plc</w:t>
      </w:r>
      <w:bookmarkEnd w:id="19"/>
      <w:bookmarkEnd w:id="20"/>
    </w:p>
    <w:p w14:paraId="14C9EAAC" w14:textId="77777777" w:rsidR="009A396D" w:rsidRPr="00EE2520" w:rsidRDefault="00B52976" w:rsidP="00EE2520">
      <w:pPr>
        <w:spacing w:line="360" w:lineRule="auto"/>
        <w:rPr>
          <w:sz w:val="28"/>
          <w:szCs w:val="28"/>
        </w:rPr>
      </w:pPr>
      <w:r w:rsidRPr="00EE2520">
        <w:rPr>
          <w:sz w:val="28"/>
          <w:szCs w:val="28"/>
        </w:rPr>
        <w:t xml:space="preserve">Ratio analysis is an important strategic and effective financial method that allows the business organisation to earn more information about the </w:t>
      </w:r>
      <w:r w:rsidRPr="00EE2520">
        <w:rPr>
          <w:sz w:val="28"/>
          <w:szCs w:val="28"/>
        </w:rPr>
        <w:t>financial data or the information that can be utilised for marking significant decisions. The ratio analysis as has been mentioned by most scholars that are an integral financial method that can help organisations to evaluate all its position in the compet</w:t>
      </w:r>
      <w:r w:rsidRPr="00EE2520">
        <w:rPr>
          <w:sz w:val="28"/>
          <w:szCs w:val="28"/>
        </w:rPr>
        <w:t>itive environment. Furthermore, it has all the capabilities for making comparisons between the financial statements with that of the previous year’s financial position.</w:t>
      </w:r>
    </w:p>
    <w:p w14:paraId="0216FBA4" w14:textId="77777777" w:rsidR="00EE2520" w:rsidRDefault="00B52976" w:rsidP="00EE2520">
      <w:pPr>
        <w:spacing w:line="360" w:lineRule="auto"/>
        <w:rPr>
          <w:sz w:val="28"/>
          <w:szCs w:val="28"/>
        </w:rPr>
      </w:pPr>
      <w:r w:rsidRPr="00EE2520">
        <w:rPr>
          <w:sz w:val="28"/>
          <w:szCs w:val="28"/>
        </w:rPr>
        <w:t xml:space="preserve">In the organisation, Sweet Plc has already been assumed as one of the businesses which </w:t>
      </w:r>
      <w:r w:rsidRPr="00EE2520">
        <w:rPr>
          <w:sz w:val="28"/>
          <w:szCs w:val="28"/>
        </w:rPr>
        <w:t xml:space="preserve">are effectively helpful in continuing different business aspects. </w:t>
      </w:r>
    </w:p>
    <w:p w14:paraId="213C95F6" w14:textId="46C0833E" w:rsidR="009A396D" w:rsidRPr="00EE2520" w:rsidRDefault="00B52976" w:rsidP="00EE2520">
      <w:pPr>
        <w:spacing w:line="360" w:lineRule="auto"/>
        <w:rPr>
          <w:sz w:val="28"/>
          <w:szCs w:val="28"/>
        </w:rPr>
      </w:pPr>
      <w:r w:rsidRPr="00EE2520">
        <w:rPr>
          <w:sz w:val="28"/>
          <w:szCs w:val="28"/>
        </w:rPr>
        <w:lastRenderedPageBreak/>
        <w:t>The financial statements of the organisation such as the income statement along with the balance sheet statement have helped in maintaining a greater financial position through which they ca</w:t>
      </w:r>
      <w:r w:rsidRPr="00EE2520">
        <w:rPr>
          <w:sz w:val="28"/>
          <w:szCs w:val="28"/>
        </w:rPr>
        <w:t>n leverage their liquidity and efficiency. One of the major proofs that have been provided in the above section is the shifting forward by gaining positive inflation in the market since the income statement shows that it has exceeded from $ 6441 to $ 6738.</w:t>
      </w:r>
      <w:r w:rsidRPr="00EE2520">
        <w:rPr>
          <w:sz w:val="28"/>
          <w:szCs w:val="28"/>
        </w:rPr>
        <w:t xml:space="preserve"> Apart from that, to critically analyse the financial insights such as the profitability, liquidity and efficiency </w:t>
      </w:r>
      <w:proofErr w:type="gramStart"/>
      <w:r w:rsidRPr="00EE2520">
        <w:rPr>
          <w:sz w:val="28"/>
          <w:szCs w:val="28"/>
        </w:rPr>
        <w:t>which can be evaluated from the data of Sweet Plc for the two basic years such as 2020 and 2021.</w:t>
      </w:r>
      <w:proofErr w:type="gramEnd"/>
      <w:r w:rsidRPr="00EE2520">
        <w:rPr>
          <w:sz w:val="28"/>
          <w:szCs w:val="28"/>
        </w:rPr>
        <w:t xml:space="preserve"> </w:t>
      </w:r>
    </w:p>
    <w:p w14:paraId="2C51D12A" w14:textId="77777777" w:rsidR="009A396D" w:rsidRPr="00EE2520" w:rsidRDefault="00B52976" w:rsidP="00EE2520">
      <w:pPr>
        <w:spacing w:line="360" w:lineRule="auto"/>
        <w:rPr>
          <w:sz w:val="28"/>
          <w:szCs w:val="28"/>
        </w:rPr>
      </w:pPr>
      <w:r w:rsidRPr="00EE2520">
        <w:rPr>
          <w:sz w:val="28"/>
          <w:szCs w:val="28"/>
        </w:rPr>
        <w:t>In the case of Sweet Plc, the ROCE percenta</w:t>
      </w:r>
      <w:r w:rsidRPr="00EE2520">
        <w:rPr>
          <w:sz w:val="28"/>
          <w:szCs w:val="28"/>
        </w:rPr>
        <w:t>ge is about 12% and in the second year shall be 11%. This helps in showcasing the efficiency level that they have been able to maintain the ROCE margin within the industry. In the same case for Sweet Plc as well the percentage of ROE is almost 13% and 14%.</w:t>
      </w:r>
      <w:r w:rsidRPr="00EE2520">
        <w:rPr>
          <w:sz w:val="28"/>
          <w:szCs w:val="28"/>
        </w:rPr>
        <w:t xml:space="preserve"> This is an important aspect that allows the shareholders in the overall measurements that can help in understanding and analysing the unique earning share which has been estimated to be about 41% and that of 59% share in the second year. </w:t>
      </w:r>
    </w:p>
    <w:p w14:paraId="59D20715" w14:textId="77777777" w:rsidR="009A396D" w:rsidRPr="00EE2520" w:rsidRDefault="00B52976" w:rsidP="00EE2520">
      <w:pPr>
        <w:spacing w:line="360" w:lineRule="auto"/>
        <w:rPr>
          <w:sz w:val="28"/>
          <w:szCs w:val="28"/>
        </w:rPr>
      </w:pPr>
      <w:r w:rsidRPr="00EE2520">
        <w:rPr>
          <w:sz w:val="28"/>
          <w:szCs w:val="28"/>
        </w:rPr>
        <w:t>Hence, it can be</w:t>
      </w:r>
      <w:r w:rsidRPr="00EE2520">
        <w:rPr>
          <w:sz w:val="28"/>
          <w:szCs w:val="28"/>
        </w:rPr>
        <w:t xml:space="preserve"> stated that the comparison of the previous years’ demand and share has also increased through which one can enhance and secretly aim at gaining important advances during the complete situation. The major net profit margins along with that of the present y</w:t>
      </w:r>
      <w:r w:rsidRPr="00EE2520">
        <w:rPr>
          <w:sz w:val="28"/>
          <w:szCs w:val="28"/>
        </w:rPr>
        <w:t>ears are about 0.59 and 0.60. The net profit margins are considered to be an important aspect that helps in analysing and understanding important attributes of the overall process and through which it can help in generating higher profit levels and through</w:t>
      </w:r>
      <w:r w:rsidRPr="00EE2520">
        <w:rPr>
          <w:sz w:val="28"/>
          <w:szCs w:val="28"/>
        </w:rPr>
        <w:t xml:space="preserve"> which one can seek to have earned important position throughout the business activities. It shall also thrive to become and enhance some of the existing features through which they can enhance their existing competencies throughout the processes and that </w:t>
      </w:r>
      <w:r w:rsidRPr="00EE2520">
        <w:rPr>
          <w:sz w:val="28"/>
          <w:szCs w:val="28"/>
        </w:rPr>
        <w:t xml:space="preserve">might generate </w:t>
      </w:r>
      <w:r w:rsidRPr="00EE2520">
        <w:rPr>
          <w:sz w:val="28"/>
          <w:szCs w:val="28"/>
        </w:rPr>
        <w:lastRenderedPageBreak/>
        <w:t xml:space="preserve">higher revenues for the business attributes. It should also help in creating important advances through the processes that can help in allocating important positions through the attributes and that can help in analysing some of the business </w:t>
      </w:r>
      <w:r w:rsidRPr="00EE2520">
        <w:rPr>
          <w:sz w:val="28"/>
          <w:szCs w:val="28"/>
        </w:rPr>
        <w:t xml:space="preserve">profitability. The higher the profitability earning, the more it can help in gaining significant knowledge about the business processes through which they can have an impact within the business processes. </w:t>
      </w:r>
    </w:p>
    <w:p w14:paraId="69668DC3" w14:textId="77777777" w:rsidR="009A396D" w:rsidRPr="00EE2520" w:rsidRDefault="00B52976" w:rsidP="00EE2520">
      <w:pPr>
        <w:spacing w:line="360" w:lineRule="auto"/>
        <w:rPr>
          <w:sz w:val="28"/>
          <w:szCs w:val="28"/>
        </w:rPr>
      </w:pPr>
      <w:r w:rsidRPr="00EE2520">
        <w:rPr>
          <w:sz w:val="28"/>
          <w:szCs w:val="28"/>
        </w:rPr>
        <w:t>Further, it can be stated that the stock holding p</w:t>
      </w:r>
      <w:r w:rsidRPr="00EE2520">
        <w:rPr>
          <w:sz w:val="28"/>
          <w:szCs w:val="28"/>
        </w:rPr>
        <w:t>eriod is very broad as compared to that of the industry's average holding. The results further show that the selling process of one unit of stock almost takes over 78 days or 80 days which is also not beneficial for businesses. Along with the businesses, i</w:t>
      </w:r>
      <w:r w:rsidRPr="00EE2520">
        <w:rPr>
          <w:sz w:val="28"/>
          <w:szCs w:val="28"/>
        </w:rPr>
        <w:t>t should also be referred to four other types of rations that shall be calculated including the debtor's collection periods, the existing rations, the interest cover rations along with that the gearing ratio. Hence, for this business as well, it is very im</w:t>
      </w:r>
      <w:r w:rsidRPr="00EE2520">
        <w:rPr>
          <w:sz w:val="28"/>
          <w:szCs w:val="28"/>
        </w:rPr>
        <w:t>portant to collect and analyse the important information related to this business aspect that can very well demonstrate their collections and processes.</w:t>
      </w:r>
    </w:p>
    <w:p w14:paraId="67341048" w14:textId="68B1F61B" w:rsidR="009A396D" w:rsidRDefault="00B52976" w:rsidP="00EE2520">
      <w:pPr>
        <w:spacing w:line="360" w:lineRule="auto"/>
        <w:rPr>
          <w:sz w:val="28"/>
          <w:szCs w:val="28"/>
        </w:rPr>
      </w:pPr>
      <w:r w:rsidRPr="00EE2520">
        <w:rPr>
          <w:sz w:val="28"/>
          <w:szCs w:val="28"/>
        </w:rPr>
        <w:t>The above section has also helped in analysing the different contexts through which one is able to cond</w:t>
      </w:r>
      <w:r w:rsidRPr="00EE2520">
        <w:rPr>
          <w:sz w:val="28"/>
          <w:szCs w:val="28"/>
        </w:rPr>
        <w:t>uct the effective attributes towards the business activities and that can enhance and contribute towards a greater process. It can also help in modifying significant business processes that can undertake the business processes effectively. It can also redu</w:t>
      </w:r>
      <w:r w:rsidRPr="00EE2520">
        <w:rPr>
          <w:sz w:val="28"/>
          <w:szCs w:val="28"/>
        </w:rPr>
        <w:t>ce the chances of the business perspectives effectively throughout which one can effectively handle the situation. It shall also help in encouraging individuals towards a significant process that can also enable the different properly analysing the importa</w:t>
      </w:r>
      <w:r w:rsidRPr="00EE2520">
        <w:rPr>
          <w:sz w:val="28"/>
          <w:szCs w:val="28"/>
        </w:rPr>
        <w:t>nt advances in the creation process. Furthermore, it had also helped in analysing some of the significant attributes using which one can aim at enhancing the current attributes and that can enhance the current capabilities of the overall enhancing competit</w:t>
      </w:r>
      <w:r w:rsidRPr="00EE2520">
        <w:rPr>
          <w:sz w:val="28"/>
          <w:szCs w:val="28"/>
        </w:rPr>
        <w:t xml:space="preserve">ion in the market and that can </w:t>
      </w:r>
      <w:r w:rsidRPr="00EE2520">
        <w:rPr>
          <w:sz w:val="28"/>
          <w:szCs w:val="28"/>
        </w:rPr>
        <w:lastRenderedPageBreak/>
        <w:t>also allow the enhancement of the competitive environment. The financial data serves to be an important aspect based on which individuals can create their significant positions and through which they could have enhanced their</w:t>
      </w:r>
      <w:r w:rsidRPr="00EE2520">
        <w:rPr>
          <w:sz w:val="28"/>
          <w:szCs w:val="28"/>
        </w:rPr>
        <w:t xml:space="preserve"> business position. These data can help in undertaking important business features through which it can help in modifying some of the significant business affairs and that can help in the management of the effective business process. It should also enhance</w:t>
      </w:r>
      <w:r w:rsidRPr="00EE2520">
        <w:rPr>
          <w:sz w:val="28"/>
          <w:szCs w:val="28"/>
        </w:rPr>
        <w:t xml:space="preserve"> some of the extensive business processes and that might reduce the effectiveness of the businesses through which it can help in enhancing some of the business attributes which can effectively and ensure that the business objectives can be achieved easily.</w:t>
      </w:r>
      <w:r w:rsidRPr="00EE2520">
        <w:rPr>
          <w:sz w:val="28"/>
          <w:szCs w:val="28"/>
        </w:rPr>
        <w:t xml:space="preserve"> The financial statements and the complete advancements using which one can get to know about the different aspects in the processes. Furthermore, it has also helped in understanding the important nature of the process of the business organisations and the</w:t>
      </w:r>
      <w:r w:rsidRPr="00EE2520">
        <w:rPr>
          <w:sz w:val="28"/>
          <w:szCs w:val="28"/>
        </w:rPr>
        <w:t xml:space="preserve"> note taking process through which it can help in achieving the different processes. They can also help in the overall processes can be help in significantly creating and aiming for the betterment of the overall process. It shall also help in significantly</w:t>
      </w:r>
      <w:r w:rsidRPr="00EE2520">
        <w:rPr>
          <w:sz w:val="28"/>
          <w:szCs w:val="28"/>
        </w:rPr>
        <w:t xml:space="preserve"> creating their own position throughout which they can achieve the maximum benefits in the process. </w:t>
      </w:r>
    </w:p>
    <w:p w14:paraId="5C23D379" w14:textId="77777777" w:rsidR="00EE2520" w:rsidRDefault="00EE2520" w:rsidP="00EE2520">
      <w:pPr>
        <w:spacing w:line="360" w:lineRule="auto"/>
        <w:rPr>
          <w:sz w:val="28"/>
          <w:szCs w:val="28"/>
        </w:rPr>
      </w:pPr>
    </w:p>
    <w:p w14:paraId="6574B29B" w14:textId="77777777" w:rsidR="00EE2520" w:rsidRDefault="00EE2520" w:rsidP="00EE2520">
      <w:pPr>
        <w:spacing w:line="360" w:lineRule="auto"/>
        <w:rPr>
          <w:sz w:val="28"/>
          <w:szCs w:val="28"/>
        </w:rPr>
      </w:pPr>
    </w:p>
    <w:p w14:paraId="48F4D97F" w14:textId="77777777" w:rsidR="00EE2520" w:rsidRDefault="00EE2520" w:rsidP="00EE2520">
      <w:pPr>
        <w:spacing w:line="360" w:lineRule="auto"/>
        <w:rPr>
          <w:sz w:val="28"/>
          <w:szCs w:val="28"/>
        </w:rPr>
      </w:pPr>
    </w:p>
    <w:p w14:paraId="7448BA45" w14:textId="77777777" w:rsidR="00EE2520" w:rsidRDefault="00EE2520" w:rsidP="00EE2520">
      <w:pPr>
        <w:spacing w:line="360" w:lineRule="auto"/>
        <w:rPr>
          <w:sz w:val="28"/>
          <w:szCs w:val="28"/>
        </w:rPr>
      </w:pPr>
    </w:p>
    <w:p w14:paraId="251EE0CE" w14:textId="77777777" w:rsidR="00EE2520" w:rsidRDefault="00EE2520" w:rsidP="00EE2520">
      <w:pPr>
        <w:spacing w:line="360" w:lineRule="auto"/>
        <w:rPr>
          <w:sz w:val="28"/>
          <w:szCs w:val="28"/>
        </w:rPr>
      </w:pPr>
    </w:p>
    <w:p w14:paraId="2CA2FC81" w14:textId="77777777" w:rsidR="00EE2520" w:rsidRDefault="00EE2520" w:rsidP="00EE2520">
      <w:pPr>
        <w:spacing w:line="360" w:lineRule="auto"/>
        <w:rPr>
          <w:sz w:val="28"/>
          <w:szCs w:val="28"/>
        </w:rPr>
      </w:pPr>
    </w:p>
    <w:p w14:paraId="03BDA726" w14:textId="77777777" w:rsidR="00EE2520" w:rsidRDefault="00EE2520" w:rsidP="00EE2520">
      <w:pPr>
        <w:spacing w:line="360" w:lineRule="auto"/>
        <w:rPr>
          <w:sz w:val="28"/>
          <w:szCs w:val="28"/>
        </w:rPr>
      </w:pPr>
    </w:p>
    <w:p w14:paraId="6277B1FF" w14:textId="77777777" w:rsidR="00EE2520" w:rsidRDefault="00EE2520" w:rsidP="00EE2520">
      <w:pPr>
        <w:spacing w:line="360" w:lineRule="auto"/>
        <w:rPr>
          <w:sz w:val="28"/>
          <w:szCs w:val="28"/>
        </w:rPr>
      </w:pPr>
    </w:p>
    <w:p w14:paraId="184CBC32" w14:textId="77777777" w:rsidR="00EE2520" w:rsidRPr="00EE2520" w:rsidRDefault="00EE2520" w:rsidP="00EE2520">
      <w:pPr>
        <w:spacing w:line="360" w:lineRule="auto"/>
        <w:rPr>
          <w:sz w:val="28"/>
          <w:szCs w:val="28"/>
        </w:rPr>
      </w:pPr>
    </w:p>
    <w:p w14:paraId="536178DD" w14:textId="24689B83" w:rsidR="009A396D" w:rsidRPr="00EE2520" w:rsidRDefault="00B52976" w:rsidP="00EE2520">
      <w:pPr>
        <w:pStyle w:val="Heading1"/>
        <w:spacing w:line="360" w:lineRule="auto"/>
      </w:pPr>
      <w:bookmarkStart w:id="21" w:name="_Toc121339312"/>
      <w:bookmarkStart w:id="22" w:name="_Toc121344043"/>
      <w:r w:rsidRPr="00EE2520">
        <w:lastRenderedPageBreak/>
        <w:t>Conclusion</w:t>
      </w:r>
      <w:bookmarkEnd w:id="21"/>
      <w:bookmarkEnd w:id="22"/>
      <w:r w:rsidRPr="00EE2520">
        <w:t xml:space="preserve"> </w:t>
      </w:r>
    </w:p>
    <w:p w14:paraId="5D66A6E7" w14:textId="77777777" w:rsidR="009A396D" w:rsidRPr="00EE2520" w:rsidRDefault="00B52976" w:rsidP="00EE2520">
      <w:pPr>
        <w:spacing w:line="360" w:lineRule="auto"/>
        <w:rPr>
          <w:sz w:val="28"/>
          <w:szCs w:val="28"/>
        </w:rPr>
      </w:pPr>
      <w:r w:rsidRPr="00EE2520">
        <w:rPr>
          <w:sz w:val="28"/>
          <w:szCs w:val="28"/>
        </w:rPr>
        <w:t>In the above study, it can be concluded that the overall accomplishment of the paper not only facilitates the operational activities but also e</w:t>
      </w:r>
      <w:r w:rsidRPr="00EE2520">
        <w:rPr>
          <w:sz w:val="28"/>
          <w:szCs w:val="28"/>
        </w:rPr>
        <w:t xml:space="preserve">nsures that individuals could have been able to manage and enhance the significant business attributes. In this way, they could have been able to earn important business prospects. The financial statements have also been explained in the above section and </w:t>
      </w:r>
      <w:r w:rsidRPr="00EE2520">
        <w:rPr>
          <w:sz w:val="28"/>
          <w:szCs w:val="28"/>
        </w:rPr>
        <w:t>the importance of the businesses using the different stakeholder analyses have also been explained in the above section. It has also sought to demonstrate the data that has been collected from the analysis of the projected budget. The different important f</w:t>
      </w:r>
      <w:r w:rsidRPr="00EE2520">
        <w:rPr>
          <w:sz w:val="28"/>
          <w:szCs w:val="28"/>
        </w:rPr>
        <w:t>inancial functions have been analysed in the above section and using which one can clarify the different business prospects.</w:t>
      </w:r>
    </w:p>
    <w:p w14:paraId="461DC5FB" w14:textId="77777777" w:rsidR="009A396D" w:rsidRDefault="00B52976">
      <w:pPr>
        <w:rPr>
          <w:rFonts w:eastAsia="Times New Roman" w:cs="Times New Roman"/>
          <w:b/>
          <w:szCs w:val="24"/>
        </w:rPr>
      </w:pPr>
      <w:r>
        <w:rPr>
          <w:rFonts w:eastAsia="Times New Roman" w:cs="Times New Roman"/>
          <w:b/>
          <w:szCs w:val="24"/>
        </w:rPr>
        <w:br w:type="page"/>
      </w:r>
    </w:p>
    <w:p w14:paraId="7F4114C2" w14:textId="77777777" w:rsidR="009A396D" w:rsidRPr="00EE2520" w:rsidRDefault="00B52976" w:rsidP="00EE2520">
      <w:pPr>
        <w:pStyle w:val="Heading1"/>
        <w:spacing w:line="360" w:lineRule="auto"/>
      </w:pPr>
      <w:bookmarkStart w:id="23" w:name="_Toc121339313"/>
      <w:bookmarkStart w:id="24" w:name="_Toc121344044"/>
      <w:r w:rsidRPr="00EE2520">
        <w:lastRenderedPageBreak/>
        <w:t>References</w:t>
      </w:r>
      <w:bookmarkEnd w:id="23"/>
      <w:bookmarkEnd w:id="24"/>
    </w:p>
    <w:p w14:paraId="7EC649DD" w14:textId="77777777" w:rsidR="009A396D" w:rsidRPr="00EE2520" w:rsidRDefault="00B52976" w:rsidP="00EE2520">
      <w:pPr>
        <w:spacing w:line="360" w:lineRule="auto"/>
        <w:rPr>
          <w:sz w:val="28"/>
          <w:szCs w:val="28"/>
          <w:shd w:val="clear" w:color="auto" w:fill="FFFFFF"/>
        </w:rPr>
      </w:pPr>
      <w:proofErr w:type="gramStart"/>
      <w:r w:rsidRPr="00EE2520">
        <w:rPr>
          <w:sz w:val="28"/>
          <w:szCs w:val="28"/>
          <w:shd w:val="clear" w:color="auto" w:fill="FFFFFF"/>
        </w:rPr>
        <w:t>Fenyves, V., Bács, Z., Zéman, Z., Böcskei, E. and Tarnoczi, T., (2018).</w:t>
      </w:r>
      <w:proofErr w:type="gramEnd"/>
      <w:r w:rsidRPr="00EE2520">
        <w:rPr>
          <w:sz w:val="28"/>
          <w:szCs w:val="28"/>
          <w:shd w:val="clear" w:color="auto" w:fill="FFFFFF"/>
        </w:rPr>
        <w:t xml:space="preserve"> </w:t>
      </w:r>
      <w:proofErr w:type="gramStart"/>
      <w:r w:rsidRPr="00EE2520">
        <w:rPr>
          <w:sz w:val="28"/>
          <w:szCs w:val="28"/>
          <w:shd w:val="clear" w:color="auto" w:fill="FFFFFF"/>
        </w:rPr>
        <w:t>The role of the notes to the financial stateme</w:t>
      </w:r>
      <w:r w:rsidRPr="00EE2520">
        <w:rPr>
          <w:sz w:val="28"/>
          <w:szCs w:val="28"/>
          <w:shd w:val="clear" w:color="auto" w:fill="FFFFFF"/>
        </w:rPr>
        <w:t>nts in corporate decision-making.</w:t>
      </w:r>
      <w:proofErr w:type="gramEnd"/>
      <w:r w:rsidRPr="00EE2520">
        <w:rPr>
          <w:sz w:val="28"/>
          <w:szCs w:val="28"/>
          <w:shd w:val="clear" w:color="auto" w:fill="FFFFFF"/>
        </w:rPr>
        <w:t> </w:t>
      </w:r>
      <w:proofErr w:type="gramStart"/>
      <w:r w:rsidRPr="00EE2520">
        <w:rPr>
          <w:i/>
          <w:iCs/>
          <w:sz w:val="28"/>
          <w:szCs w:val="28"/>
          <w:shd w:val="clear" w:color="auto" w:fill="FFFFFF"/>
        </w:rPr>
        <w:t>Corporate Ownership &amp; Control</w:t>
      </w:r>
      <w:r w:rsidRPr="00EE2520">
        <w:rPr>
          <w:sz w:val="28"/>
          <w:szCs w:val="28"/>
          <w:shd w:val="clear" w:color="auto" w:fill="FFFFFF"/>
        </w:rPr>
        <w:t>, </w:t>
      </w:r>
      <w:r w:rsidRPr="00EE2520">
        <w:rPr>
          <w:i/>
          <w:iCs/>
          <w:sz w:val="28"/>
          <w:szCs w:val="28"/>
          <w:shd w:val="clear" w:color="auto" w:fill="FFFFFF"/>
        </w:rPr>
        <w:t>15</w:t>
      </w:r>
      <w:r w:rsidRPr="00EE2520">
        <w:rPr>
          <w:sz w:val="28"/>
          <w:szCs w:val="28"/>
          <w:shd w:val="clear" w:color="auto" w:fill="FFFFFF"/>
        </w:rPr>
        <w:t>(4), pp.138-148.</w:t>
      </w:r>
      <w:proofErr w:type="gramEnd"/>
    </w:p>
    <w:p w14:paraId="180C9900" w14:textId="77777777" w:rsidR="009A396D" w:rsidRPr="00EE2520" w:rsidRDefault="00B52976" w:rsidP="00EE2520">
      <w:pPr>
        <w:spacing w:line="360" w:lineRule="auto"/>
        <w:rPr>
          <w:sz w:val="28"/>
          <w:szCs w:val="28"/>
          <w:shd w:val="clear" w:color="auto" w:fill="FFFFFF"/>
        </w:rPr>
      </w:pPr>
      <w:proofErr w:type="gramStart"/>
      <w:r w:rsidRPr="00EE2520">
        <w:rPr>
          <w:sz w:val="28"/>
          <w:szCs w:val="28"/>
          <w:shd w:val="clear" w:color="auto" w:fill="FFFFFF"/>
        </w:rPr>
        <w:t>Fridson, M.S. and Alvarez, F., (2022).</w:t>
      </w:r>
      <w:proofErr w:type="gramEnd"/>
      <w:r w:rsidRPr="00EE2520">
        <w:rPr>
          <w:sz w:val="28"/>
          <w:szCs w:val="28"/>
          <w:shd w:val="clear" w:color="auto" w:fill="FFFFFF"/>
        </w:rPr>
        <w:t> Financial statement analysis: a practitioner's guide. Jo</w:t>
      </w:r>
    </w:p>
    <w:p w14:paraId="36565643" w14:textId="77777777" w:rsidR="009A396D" w:rsidRPr="00EE2520" w:rsidRDefault="00B52976" w:rsidP="00EE2520">
      <w:pPr>
        <w:spacing w:line="360" w:lineRule="auto"/>
        <w:rPr>
          <w:sz w:val="28"/>
          <w:szCs w:val="28"/>
        </w:rPr>
      </w:pPr>
      <w:proofErr w:type="gramStart"/>
      <w:r w:rsidRPr="00EE2520">
        <w:rPr>
          <w:sz w:val="28"/>
          <w:szCs w:val="28"/>
          <w:shd w:val="clear" w:color="auto" w:fill="FFFFFF"/>
        </w:rPr>
        <w:t>Hayes, S.C., Newton, R.U., Spence, R.R. and Galvão, D.A., (2019).</w:t>
      </w:r>
      <w:proofErr w:type="gramEnd"/>
      <w:r w:rsidRPr="00EE2520">
        <w:rPr>
          <w:sz w:val="28"/>
          <w:szCs w:val="28"/>
          <w:shd w:val="clear" w:color="auto" w:fill="FFFFFF"/>
        </w:rPr>
        <w:t xml:space="preserve"> The Exerci</w:t>
      </w:r>
      <w:r w:rsidRPr="00EE2520">
        <w:rPr>
          <w:sz w:val="28"/>
          <w:szCs w:val="28"/>
          <w:shd w:val="clear" w:color="auto" w:fill="FFFFFF"/>
        </w:rPr>
        <w:t>se and Sports Science Australia position statement: exercise medicine in cancer management. </w:t>
      </w:r>
      <w:proofErr w:type="gramStart"/>
      <w:r w:rsidRPr="00EE2520">
        <w:rPr>
          <w:i/>
          <w:iCs/>
          <w:sz w:val="28"/>
          <w:szCs w:val="28"/>
          <w:shd w:val="clear" w:color="auto" w:fill="FFFFFF"/>
        </w:rPr>
        <w:t>Journal of science and medicine in sport</w:t>
      </w:r>
      <w:r w:rsidRPr="00EE2520">
        <w:rPr>
          <w:sz w:val="28"/>
          <w:szCs w:val="28"/>
          <w:shd w:val="clear" w:color="auto" w:fill="FFFFFF"/>
        </w:rPr>
        <w:t>, </w:t>
      </w:r>
      <w:r w:rsidRPr="00EE2520">
        <w:rPr>
          <w:i/>
          <w:iCs/>
          <w:sz w:val="28"/>
          <w:szCs w:val="28"/>
          <w:shd w:val="clear" w:color="auto" w:fill="FFFFFF"/>
        </w:rPr>
        <w:t>22</w:t>
      </w:r>
      <w:r w:rsidRPr="00EE2520">
        <w:rPr>
          <w:sz w:val="28"/>
          <w:szCs w:val="28"/>
          <w:shd w:val="clear" w:color="auto" w:fill="FFFFFF"/>
        </w:rPr>
        <w:t>(11), pp.1175-1199.</w:t>
      </w:r>
      <w:proofErr w:type="gramEnd"/>
    </w:p>
    <w:p w14:paraId="29382A33" w14:textId="77777777" w:rsidR="009A396D" w:rsidRPr="00EE2520" w:rsidRDefault="00B52976" w:rsidP="00EE2520">
      <w:pPr>
        <w:spacing w:line="360" w:lineRule="auto"/>
        <w:rPr>
          <w:sz w:val="28"/>
          <w:szCs w:val="28"/>
          <w:shd w:val="clear" w:color="auto" w:fill="FFFFFF"/>
        </w:rPr>
      </w:pPr>
      <w:proofErr w:type="gramStart"/>
      <w:r w:rsidRPr="00EE2520">
        <w:rPr>
          <w:sz w:val="28"/>
          <w:szCs w:val="28"/>
          <w:shd w:val="clear" w:color="auto" w:fill="FFFFFF"/>
        </w:rPr>
        <w:t>Jean-Paul, F. and Martine, D., (2018).</w:t>
      </w:r>
      <w:proofErr w:type="gramEnd"/>
      <w:r w:rsidRPr="00EE2520">
        <w:rPr>
          <w:sz w:val="28"/>
          <w:szCs w:val="28"/>
          <w:shd w:val="clear" w:color="auto" w:fill="FFFFFF"/>
        </w:rPr>
        <w:t xml:space="preserve"> Beyond GDP measuring what counts for economic and social </w:t>
      </w:r>
      <w:r w:rsidRPr="00EE2520">
        <w:rPr>
          <w:sz w:val="28"/>
          <w:szCs w:val="28"/>
          <w:shd w:val="clear" w:color="auto" w:fill="FFFFFF"/>
        </w:rPr>
        <w:t>performance: measuring what counts for economic and social performance. OECD Publishing.</w:t>
      </w:r>
    </w:p>
    <w:p w14:paraId="6AB7A28B" w14:textId="77777777" w:rsidR="009A396D" w:rsidRPr="00EE2520" w:rsidRDefault="00B52976" w:rsidP="00EE2520">
      <w:pPr>
        <w:spacing w:line="360" w:lineRule="auto"/>
        <w:rPr>
          <w:sz w:val="28"/>
          <w:szCs w:val="28"/>
          <w:shd w:val="clear" w:color="auto" w:fill="FFFFFF"/>
        </w:rPr>
      </w:pPr>
      <w:r w:rsidRPr="00EE2520">
        <w:rPr>
          <w:sz w:val="28"/>
          <w:szCs w:val="28"/>
          <w:shd w:val="clear" w:color="auto" w:fill="FFFFFF"/>
        </w:rPr>
        <w:t xml:space="preserve">JOHN, D.D., (2022). </w:t>
      </w:r>
      <w:proofErr w:type="gramStart"/>
      <w:r w:rsidRPr="00EE2520">
        <w:rPr>
          <w:sz w:val="28"/>
          <w:szCs w:val="28"/>
          <w:shd w:val="clear" w:color="auto" w:fill="FFFFFF"/>
        </w:rPr>
        <w:t>Imperatives of Accounting Principles, Concepts and Conventions in the Preparation of Financial Statement.</w:t>
      </w:r>
      <w:proofErr w:type="gramEnd"/>
      <w:r w:rsidRPr="00EE2520">
        <w:rPr>
          <w:sz w:val="28"/>
          <w:szCs w:val="28"/>
          <w:shd w:val="clear" w:color="auto" w:fill="FFFFFF"/>
        </w:rPr>
        <w:t xml:space="preserve"> DEPARTMENT OF ACCOUNTING (BINGHAM UNIVERS</w:t>
      </w:r>
      <w:r w:rsidRPr="00EE2520">
        <w:rPr>
          <w:sz w:val="28"/>
          <w:szCs w:val="28"/>
          <w:shd w:val="clear" w:color="auto" w:fill="FFFFFF"/>
        </w:rPr>
        <w:t xml:space="preserve">ITY)-2nd Departmental Seminar Series with the Theme–History of Accounting Thoughts: A Methodological Approach. </w:t>
      </w:r>
      <w:proofErr w:type="gramStart"/>
      <w:r w:rsidRPr="00EE2520">
        <w:rPr>
          <w:sz w:val="28"/>
          <w:szCs w:val="28"/>
          <w:shd w:val="clear" w:color="auto" w:fill="FFFFFF"/>
        </w:rPr>
        <w:t>Vol. 2, No. 1.</w:t>
      </w:r>
      <w:proofErr w:type="gramEnd"/>
    </w:p>
    <w:p w14:paraId="21E39B4B" w14:textId="77777777" w:rsidR="009A396D" w:rsidRPr="00EE2520" w:rsidRDefault="00B52976" w:rsidP="00EE2520">
      <w:pPr>
        <w:spacing w:line="360" w:lineRule="auto"/>
        <w:rPr>
          <w:sz w:val="28"/>
          <w:szCs w:val="28"/>
          <w:shd w:val="clear" w:color="auto" w:fill="FFFFFF"/>
        </w:rPr>
      </w:pPr>
      <w:proofErr w:type="gramStart"/>
      <w:r w:rsidRPr="00EE2520">
        <w:rPr>
          <w:sz w:val="28"/>
          <w:szCs w:val="28"/>
          <w:shd w:val="clear" w:color="auto" w:fill="FFFFFF"/>
        </w:rPr>
        <w:t>Kaydos, W., (2020).</w:t>
      </w:r>
      <w:proofErr w:type="gramEnd"/>
      <w:r w:rsidRPr="00EE2520">
        <w:rPr>
          <w:sz w:val="28"/>
          <w:szCs w:val="28"/>
          <w:shd w:val="clear" w:color="auto" w:fill="FFFFFF"/>
        </w:rPr>
        <w:t xml:space="preserve"> Operational performance measurement: increasing total productivity. </w:t>
      </w:r>
      <w:proofErr w:type="gramStart"/>
      <w:r w:rsidRPr="00EE2520">
        <w:rPr>
          <w:sz w:val="28"/>
          <w:szCs w:val="28"/>
          <w:shd w:val="clear" w:color="auto" w:fill="FFFFFF"/>
        </w:rPr>
        <w:t>CRC press.</w:t>
      </w:r>
      <w:proofErr w:type="gramEnd"/>
    </w:p>
    <w:p w14:paraId="33C95C32" w14:textId="77777777" w:rsidR="009A396D" w:rsidRPr="00EE2520" w:rsidRDefault="00B52976" w:rsidP="00EE2520">
      <w:pPr>
        <w:spacing w:line="360" w:lineRule="auto"/>
        <w:rPr>
          <w:sz w:val="28"/>
          <w:szCs w:val="28"/>
          <w:shd w:val="clear" w:color="auto" w:fill="FFFFFF"/>
        </w:rPr>
      </w:pPr>
      <w:proofErr w:type="gramStart"/>
      <w:r w:rsidRPr="00EE2520">
        <w:rPr>
          <w:sz w:val="28"/>
          <w:szCs w:val="28"/>
          <w:shd w:val="clear" w:color="auto" w:fill="FFFFFF"/>
        </w:rPr>
        <w:t>Mullens, W., Damman, K., Harjol</w:t>
      </w:r>
      <w:r w:rsidRPr="00EE2520">
        <w:rPr>
          <w:sz w:val="28"/>
          <w:szCs w:val="28"/>
          <w:shd w:val="clear" w:color="auto" w:fill="FFFFFF"/>
        </w:rPr>
        <w:t>a, V.P., Mebazaa, A., Brunner</w:t>
      </w:r>
      <w:r w:rsidRPr="00EE2520">
        <w:rPr>
          <w:rFonts w:ascii="Cambria Math" w:hAnsi="Cambria Math" w:cs="Cambria Math"/>
          <w:sz w:val="28"/>
          <w:szCs w:val="28"/>
          <w:shd w:val="clear" w:color="auto" w:fill="FFFFFF"/>
        </w:rPr>
        <w:t>‐</w:t>
      </w:r>
      <w:r w:rsidRPr="00EE2520">
        <w:rPr>
          <w:sz w:val="28"/>
          <w:szCs w:val="28"/>
          <w:shd w:val="clear" w:color="auto" w:fill="FFFFFF"/>
        </w:rPr>
        <w:t>La Rocca, H.P., Martens, P., Testani, J.M., Tang, W.W., Orso, F., Rossignol, P. and Metra, M., (2019).</w:t>
      </w:r>
      <w:proofErr w:type="gramEnd"/>
      <w:r w:rsidRPr="00EE2520">
        <w:rPr>
          <w:sz w:val="28"/>
          <w:szCs w:val="28"/>
          <w:shd w:val="clear" w:color="auto" w:fill="FFFFFF"/>
        </w:rPr>
        <w:t xml:space="preserve"> </w:t>
      </w:r>
      <w:proofErr w:type="gramStart"/>
      <w:r w:rsidRPr="00EE2520">
        <w:rPr>
          <w:sz w:val="28"/>
          <w:szCs w:val="28"/>
          <w:shd w:val="clear" w:color="auto" w:fill="FFFFFF"/>
        </w:rPr>
        <w:t>The use of diuretics in heart failure with congestion—a position statement from the Heart Failure Association of the Europe</w:t>
      </w:r>
      <w:r w:rsidRPr="00EE2520">
        <w:rPr>
          <w:sz w:val="28"/>
          <w:szCs w:val="28"/>
          <w:shd w:val="clear" w:color="auto" w:fill="FFFFFF"/>
        </w:rPr>
        <w:t>an Society of Cardiology.</w:t>
      </w:r>
      <w:proofErr w:type="gramEnd"/>
      <w:r w:rsidRPr="00EE2520">
        <w:rPr>
          <w:sz w:val="28"/>
          <w:szCs w:val="28"/>
          <w:shd w:val="clear" w:color="auto" w:fill="FFFFFF"/>
        </w:rPr>
        <w:t> </w:t>
      </w:r>
      <w:proofErr w:type="gramStart"/>
      <w:r w:rsidRPr="00EE2520">
        <w:rPr>
          <w:i/>
          <w:iCs/>
          <w:sz w:val="28"/>
          <w:szCs w:val="28"/>
          <w:shd w:val="clear" w:color="auto" w:fill="FFFFFF"/>
        </w:rPr>
        <w:t>European journal of heart failure</w:t>
      </w:r>
      <w:r w:rsidRPr="00EE2520">
        <w:rPr>
          <w:sz w:val="28"/>
          <w:szCs w:val="28"/>
          <w:shd w:val="clear" w:color="auto" w:fill="FFFFFF"/>
        </w:rPr>
        <w:t>, </w:t>
      </w:r>
      <w:r w:rsidRPr="00EE2520">
        <w:rPr>
          <w:i/>
          <w:iCs/>
          <w:sz w:val="28"/>
          <w:szCs w:val="28"/>
          <w:shd w:val="clear" w:color="auto" w:fill="FFFFFF"/>
        </w:rPr>
        <w:t>21</w:t>
      </w:r>
      <w:r w:rsidRPr="00EE2520">
        <w:rPr>
          <w:sz w:val="28"/>
          <w:szCs w:val="28"/>
          <w:shd w:val="clear" w:color="auto" w:fill="FFFFFF"/>
        </w:rPr>
        <w:t>(2), pp.137-155.</w:t>
      </w:r>
      <w:proofErr w:type="gramEnd"/>
    </w:p>
    <w:p w14:paraId="4EE2BCBC" w14:textId="77777777" w:rsidR="009A396D" w:rsidRPr="00EE2520" w:rsidRDefault="00B52976" w:rsidP="00EE2520">
      <w:pPr>
        <w:spacing w:line="360" w:lineRule="auto"/>
        <w:rPr>
          <w:sz w:val="28"/>
          <w:szCs w:val="28"/>
          <w:shd w:val="clear" w:color="auto" w:fill="FFFFFF"/>
        </w:rPr>
      </w:pPr>
      <w:r w:rsidRPr="00EE2520">
        <w:rPr>
          <w:sz w:val="28"/>
          <w:szCs w:val="28"/>
          <w:shd w:val="clear" w:color="auto" w:fill="FFFFFF"/>
        </w:rPr>
        <w:lastRenderedPageBreak/>
        <w:t xml:space="preserve">Nani, D.A., (2019). Islamic Social Reporting: the Difference of Perception </w:t>
      </w:r>
      <w:proofErr w:type="gramStart"/>
      <w:r w:rsidRPr="00EE2520">
        <w:rPr>
          <w:sz w:val="28"/>
          <w:szCs w:val="28"/>
          <w:shd w:val="clear" w:color="auto" w:fill="FFFFFF"/>
        </w:rPr>
        <w:t>Between</w:t>
      </w:r>
      <w:proofErr w:type="gramEnd"/>
      <w:r w:rsidRPr="00EE2520">
        <w:rPr>
          <w:sz w:val="28"/>
          <w:szCs w:val="28"/>
          <w:shd w:val="clear" w:color="auto" w:fill="FFFFFF"/>
        </w:rPr>
        <w:t xml:space="preserve"> User and Preparer of Islamic Banking in Indonesia. </w:t>
      </w:r>
      <w:r w:rsidRPr="00EE2520">
        <w:rPr>
          <w:i/>
          <w:iCs/>
          <w:sz w:val="28"/>
          <w:szCs w:val="28"/>
          <w:shd w:val="clear" w:color="auto" w:fill="FFFFFF"/>
        </w:rPr>
        <w:t>TECHNOBIZ: International Journal of Busine</w:t>
      </w:r>
      <w:r w:rsidRPr="00EE2520">
        <w:rPr>
          <w:i/>
          <w:iCs/>
          <w:sz w:val="28"/>
          <w:szCs w:val="28"/>
          <w:shd w:val="clear" w:color="auto" w:fill="FFFFFF"/>
        </w:rPr>
        <w:t>ss</w:t>
      </w:r>
      <w:r w:rsidRPr="00EE2520">
        <w:rPr>
          <w:sz w:val="28"/>
          <w:szCs w:val="28"/>
          <w:shd w:val="clear" w:color="auto" w:fill="FFFFFF"/>
        </w:rPr>
        <w:t>, </w:t>
      </w:r>
      <w:r w:rsidRPr="00EE2520">
        <w:rPr>
          <w:i/>
          <w:iCs/>
          <w:sz w:val="28"/>
          <w:szCs w:val="28"/>
          <w:shd w:val="clear" w:color="auto" w:fill="FFFFFF"/>
        </w:rPr>
        <w:t>2</w:t>
      </w:r>
      <w:r w:rsidRPr="00EE2520">
        <w:rPr>
          <w:sz w:val="28"/>
          <w:szCs w:val="28"/>
          <w:shd w:val="clear" w:color="auto" w:fill="FFFFFF"/>
        </w:rPr>
        <w:t>(1), pp.25-33.</w:t>
      </w:r>
    </w:p>
    <w:p w14:paraId="6B6F5894" w14:textId="77777777" w:rsidR="009A396D" w:rsidRPr="00EE2520" w:rsidRDefault="00B52976" w:rsidP="00EE2520">
      <w:pPr>
        <w:spacing w:line="360" w:lineRule="auto"/>
        <w:rPr>
          <w:sz w:val="28"/>
          <w:szCs w:val="28"/>
          <w:shd w:val="clear" w:color="auto" w:fill="FFFFFF"/>
        </w:rPr>
      </w:pPr>
      <w:r w:rsidRPr="00EE2520">
        <w:rPr>
          <w:sz w:val="28"/>
          <w:szCs w:val="28"/>
          <w:shd w:val="clear" w:color="auto" w:fill="FFFFFF"/>
        </w:rPr>
        <w:t>Osadchy, E.A., Akhmetshin, E.M., Amirova, E.F., Bochkareva, T.N., Gazizyanova, Y. and Yumashev, A.V., (2018). Financial statements of a company as an information base for decision-making in a transforming economy.</w:t>
      </w:r>
    </w:p>
    <w:p w14:paraId="29A60F44" w14:textId="77777777" w:rsidR="009A396D" w:rsidRPr="00EE2520" w:rsidRDefault="00B52976" w:rsidP="00EE2520">
      <w:pPr>
        <w:spacing w:line="360" w:lineRule="auto"/>
        <w:rPr>
          <w:sz w:val="28"/>
          <w:szCs w:val="28"/>
          <w:shd w:val="clear" w:color="auto" w:fill="FFFFFF"/>
        </w:rPr>
      </w:pPr>
      <w:r w:rsidRPr="00EE2520">
        <w:rPr>
          <w:sz w:val="28"/>
          <w:szCs w:val="28"/>
          <w:shd w:val="clear" w:color="auto" w:fill="FFFFFF"/>
        </w:rPr>
        <w:t>Palepu, K.G., Healy, P</w:t>
      </w:r>
      <w:r w:rsidRPr="00EE2520">
        <w:rPr>
          <w:sz w:val="28"/>
          <w:szCs w:val="28"/>
          <w:shd w:val="clear" w:color="auto" w:fill="FFFFFF"/>
        </w:rPr>
        <w:t>.M., Wright, S., Bradbury, M. and Coulton, J., (2020). </w:t>
      </w:r>
      <w:r w:rsidRPr="00EE2520">
        <w:rPr>
          <w:i/>
          <w:iCs/>
          <w:sz w:val="28"/>
          <w:szCs w:val="28"/>
          <w:shd w:val="clear" w:color="auto" w:fill="FFFFFF"/>
        </w:rPr>
        <w:t>Business analysis and valuation: Using financial statements</w:t>
      </w:r>
      <w:r w:rsidRPr="00EE2520">
        <w:rPr>
          <w:sz w:val="28"/>
          <w:szCs w:val="28"/>
          <w:shd w:val="clear" w:color="auto" w:fill="FFFFFF"/>
        </w:rPr>
        <w:t>. Cengage AU.</w:t>
      </w:r>
    </w:p>
    <w:p w14:paraId="62A473F3" w14:textId="77777777" w:rsidR="009A396D" w:rsidRPr="00EE2520" w:rsidRDefault="00B52976" w:rsidP="00EE2520">
      <w:pPr>
        <w:spacing w:line="360" w:lineRule="auto"/>
        <w:rPr>
          <w:sz w:val="28"/>
          <w:szCs w:val="28"/>
          <w:shd w:val="clear" w:color="auto" w:fill="FFFFFF"/>
        </w:rPr>
      </w:pPr>
      <w:r w:rsidRPr="00EE2520">
        <w:rPr>
          <w:sz w:val="28"/>
          <w:szCs w:val="28"/>
          <w:shd w:val="clear" w:color="auto" w:fill="FFFFFF"/>
        </w:rPr>
        <w:t>Robinson, T.R., (2020). </w:t>
      </w:r>
      <w:proofErr w:type="gramStart"/>
      <w:r w:rsidRPr="00EE2520">
        <w:rPr>
          <w:i/>
          <w:iCs/>
          <w:sz w:val="28"/>
          <w:szCs w:val="28"/>
          <w:shd w:val="clear" w:color="auto" w:fill="FFFFFF"/>
        </w:rPr>
        <w:t>International financial statement analysis</w:t>
      </w:r>
      <w:r w:rsidRPr="00EE2520">
        <w:rPr>
          <w:sz w:val="28"/>
          <w:szCs w:val="28"/>
          <w:shd w:val="clear" w:color="auto" w:fill="FFFFFF"/>
        </w:rPr>
        <w:t>.</w:t>
      </w:r>
      <w:proofErr w:type="gramEnd"/>
      <w:r w:rsidRPr="00EE2520">
        <w:rPr>
          <w:sz w:val="28"/>
          <w:szCs w:val="28"/>
          <w:shd w:val="clear" w:color="auto" w:fill="FFFFFF"/>
        </w:rPr>
        <w:t xml:space="preserve"> </w:t>
      </w:r>
      <w:proofErr w:type="gramStart"/>
      <w:r w:rsidRPr="00EE2520">
        <w:rPr>
          <w:sz w:val="28"/>
          <w:szCs w:val="28"/>
          <w:shd w:val="clear" w:color="auto" w:fill="FFFFFF"/>
        </w:rPr>
        <w:t>John Wiley &amp; Sons.</w:t>
      </w:r>
      <w:proofErr w:type="gramEnd"/>
    </w:p>
    <w:p w14:paraId="5A011FB8" w14:textId="77777777" w:rsidR="009A396D" w:rsidRPr="00EE2520" w:rsidRDefault="009A396D">
      <w:pPr>
        <w:rPr>
          <w:sz w:val="28"/>
          <w:szCs w:val="28"/>
        </w:rPr>
      </w:pPr>
    </w:p>
    <w:p w14:paraId="782ACC01" w14:textId="77777777" w:rsidR="009A396D" w:rsidRPr="00EE2520" w:rsidRDefault="009A396D">
      <w:pPr>
        <w:rPr>
          <w:sz w:val="28"/>
          <w:szCs w:val="28"/>
        </w:rPr>
      </w:pPr>
    </w:p>
    <w:p w14:paraId="1CE12D5D" w14:textId="77777777" w:rsidR="009A396D" w:rsidRPr="00EE2520" w:rsidRDefault="009A396D">
      <w:pPr>
        <w:rPr>
          <w:rFonts w:eastAsia="Times New Roman" w:cs="Times New Roman"/>
          <w:sz w:val="28"/>
          <w:szCs w:val="28"/>
        </w:rPr>
      </w:pPr>
    </w:p>
    <w:sectPr w:rsidR="009A396D" w:rsidRPr="00EE2520">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9E6F7EB" w14:textId="77777777" w:rsidR="00B52976" w:rsidRDefault="00B52976">
      <w:pPr>
        <w:spacing w:line="240" w:lineRule="auto"/>
      </w:pPr>
      <w:r>
        <w:separator/>
      </w:r>
    </w:p>
  </w:endnote>
  <w:endnote w:type="continuationSeparator" w:id="0">
    <w:p w14:paraId="3FB03D37" w14:textId="77777777" w:rsidR="00B52976" w:rsidRDefault="00B529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09F9DFB" w14:textId="77777777" w:rsidR="009A396D" w:rsidRDefault="00B5297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24734D">
      <w:rPr>
        <w:b/>
        <w:bCs/>
        <w:noProof/>
      </w:rPr>
      <w:t>23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24734D">
      <w:rPr>
        <w:b/>
        <w:bCs/>
        <w:noProof/>
      </w:rPr>
      <w:t>23</w:t>
    </w:r>
    <w:r>
      <w:rPr>
        <w:b/>
        <w:bCs/>
        <w:szCs w:val="24"/>
      </w:rPr>
      <w:fldChar w:fldCharType="end"/>
    </w:r>
  </w:p>
  <w:p w14:paraId="767C7D79" w14:textId="77777777" w:rsidR="009A396D" w:rsidRDefault="009A396D"/>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0451BB7" w14:textId="77777777" w:rsidR="00B52976" w:rsidRDefault="00B52976">
      <w:pPr>
        <w:spacing w:line="240" w:lineRule="auto"/>
      </w:pPr>
      <w:r>
        <w:separator/>
      </w:r>
    </w:p>
  </w:footnote>
  <w:footnote w:type="continuationSeparator" w:id="0">
    <w:p w14:paraId="37D62858" w14:textId="77777777" w:rsidR="00B52976" w:rsidRDefault="00B5297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A396D"/>
    <w:rsid w:val="0024734D"/>
    <w:rsid w:val="009A396D"/>
    <w:rsid w:val="009B0E0E"/>
    <w:rsid w:val="00B52976"/>
    <w:rsid w:val="00E458F7"/>
    <w:rsid w:val="00EE252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DEA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line="480" w:lineRule="auto"/>
      <w:jc w:val="both"/>
    </w:pPr>
    <w:rPr>
      <w:rFonts w:ascii="Times New Roman" w:hAnsi="Times New Roman"/>
      <w:sz w:val="24"/>
    </w:rPr>
  </w:style>
  <w:style w:type="paragraph" w:styleId="Heading1">
    <w:name w:val="heading 1"/>
    <w:basedOn w:val="Normal"/>
    <w:next w:val="Normal"/>
    <w:uiPriority w:val="9"/>
    <w:qFormat/>
    <w:pPr>
      <w:outlineLvl w:val="0"/>
    </w:pPr>
    <w:rPr>
      <w:rFonts w:eastAsia="Times New Roman" w:cs="Times New Roman"/>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32"/>
    </w:rPr>
  </w:style>
  <w:style w:type="paragraph" w:styleId="Heading3">
    <w:name w:val="heading 3"/>
    <w:basedOn w:val="Normal"/>
    <w:next w:val="Normal"/>
    <w:uiPriority w:val="9"/>
    <w:unhideWhenUsed/>
    <w:qFormat/>
    <w:pPr>
      <w:keepNext/>
      <w:keepLines/>
      <w:spacing w:before="320" w:after="80"/>
      <w:outlineLvl w:val="2"/>
    </w:pPr>
    <w:rPr>
      <w:i/>
      <w:szCs w:val="28"/>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Ind w:w="0" w:type="dxa"/>
      <w:tblCellMar>
        <w:top w:w="100" w:type="dxa"/>
        <w:left w:w="100" w:type="dxa"/>
        <w:bottom w:w="100" w:type="dxa"/>
        <w:right w:w="100" w:type="dxa"/>
      </w:tblCellMar>
    </w:tblPr>
  </w:style>
  <w:style w:type="table" w:customStyle="1" w:styleId="a0">
    <w:name w:val="a0"/>
    <w:basedOn w:val="TableNormal"/>
    <w:tblPr>
      <w:tblStyleRowBandSize w:val="1"/>
      <w:tblStyleColBandSize w:val="1"/>
      <w:tblInd w:w="0" w:type="dxa"/>
      <w:tblCellMar>
        <w:top w:w="100" w:type="dxa"/>
        <w:left w:w="100" w:type="dxa"/>
        <w:bottom w:w="100" w:type="dxa"/>
        <w:right w:w="100" w:type="dxa"/>
      </w:tblCellMar>
    </w:tblPr>
  </w:style>
  <w:style w:type="table" w:customStyle="1" w:styleId="a1">
    <w:name w:val="a1"/>
    <w:basedOn w:val="TableNormal"/>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keepNext/>
      <w:keepLines/>
      <w:spacing w:before="240" w:line="259" w:lineRule="auto"/>
      <w:jc w:val="left"/>
      <w:outlineLvl w:val="9"/>
    </w:pPr>
    <w:rPr>
      <w:rFonts w:ascii="Calibri" w:eastAsia="SimSun" w:hAnsi="Calibri" w:cs="SimSun"/>
      <w:b w:val="0"/>
      <w:color w:val="365F91"/>
      <w:sz w:val="32"/>
      <w:szCs w:val="32"/>
      <w:lang w:val="en-US" w:eastAsia="en-US"/>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000FF"/>
      <w:u w:val="single"/>
    </w:rPr>
  </w:style>
  <w:style w:type="paragraph" w:styleId="TOC2">
    <w:name w:val="toc 2"/>
    <w:basedOn w:val="Normal"/>
    <w:next w:val="Normal"/>
    <w:uiPriority w:val="39"/>
    <w:pPr>
      <w:spacing w:after="100"/>
      <w:ind w:left="240"/>
    </w:pPr>
  </w:style>
  <w:style w:type="paragraph" w:styleId="TOC3">
    <w:name w:val="toc 3"/>
    <w:basedOn w:val="Normal"/>
    <w:next w:val="Normal"/>
    <w:uiPriority w:val="39"/>
    <w:pPr>
      <w:spacing w:after="100"/>
      <w:ind w:left="48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line="480" w:lineRule="auto"/>
      <w:jc w:val="both"/>
    </w:pPr>
    <w:rPr>
      <w:rFonts w:ascii="Times New Roman" w:hAnsi="Times New Roman"/>
      <w:sz w:val="24"/>
    </w:rPr>
  </w:style>
  <w:style w:type="paragraph" w:styleId="Heading1">
    <w:name w:val="heading 1"/>
    <w:basedOn w:val="Normal"/>
    <w:next w:val="Normal"/>
    <w:uiPriority w:val="9"/>
    <w:qFormat/>
    <w:pPr>
      <w:outlineLvl w:val="0"/>
    </w:pPr>
    <w:rPr>
      <w:rFonts w:eastAsia="Times New Roman" w:cs="Times New Roman"/>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32"/>
    </w:rPr>
  </w:style>
  <w:style w:type="paragraph" w:styleId="Heading3">
    <w:name w:val="heading 3"/>
    <w:basedOn w:val="Normal"/>
    <w:next w:val="Normal"/>
    <w:uiPriority w:val="9"/>
    <w:unhideWhenUsed/>
    <w:qFormat/>
    <w:pPr>
      <w:keepNext/>
      <w:keepLines/>
      <w:spacing w:before="320" w:after="80"/>
      <w:outlineLvl w:val="2"/>
    </w:pPr>
    <w:rPr>
      <w:i/>
      <w:szCs w:val="28"/>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Ind w:w="0" w:type="dxa"/>
      <w:tblCellMar>
        <w:top w:w="100" w:type="dxa"/>
        <w:left w:w="100" w:type="dxa"/>
        <w:bottom w:w="100" w:type="dxa"/>
        <w:right w:w="100" w:type="dxa"/>
      </w:tblCellMar>
    </w:tblPr>
  </w:style>
  <w:style w:type="table" w:customStyle="1" w:styleId="a0">
    <w:name w:val="a0"/>
    <w:basedOn w:val="TableNormal"/>
    <w:tblPr>
      <w:tblStyleRowBandSize w:val="1"/>
      <w:tblStyleColBandSize w:val="1"/>
      <w:tblInd w:w="0" w:type="dxa"/>
      <w:tblCellMar>
        <w:top w:w="100" w:type="dxa"/>
        <w:left w:w="100" w:type="dxa"/>
        <w:bottom w:w="100" w:type="dxa"/>
        <w:right w:w="100" w:type="dxa"/>
      </w:tblCellMar>
    </w:tblPr>
  </w:style>
  <w:style w:type="table" w:customStyle="1" w:styleId="a1">
    <w:name w:val="a1"/>
    <w:basedOn w:val="TableNormal"/>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keepNext/>
      <w:keepLines/>
      <w:spacing w:before="240" w:line="259" w:lineRule="auto"/>
      <w:jc w:val="left"/>
      <w:outlineLvl w:val="9"/>
    </w:pPr>
    <w:rPr>
      <w:rFonts w:ascii="Calibri" w:eastAsia="SimSun" w:hAnsi="Calibri" w:cs="SimSun"/>
      <w:b w:val="0"/>
      <w:color w:val="365F91"/>
      <w:sz w:val="32"/>
      <w:szCs w:val="32"/>
      <w:lang w:val="en-US" w:eastAsia="en-US"/>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000FF"/>
      <w:u w:val="single"/>
    </w:rPr>
  </w:style>
  <w:style w:type="paragraph" w:styleId="TOC2">
    <w:name w:val="toc 2"/>
    <w:basedOn w:val="Normal"/>
    <w:next w:val="Normal"/>
    <w:uiPriority w:val="39"/>
    <w:pPr>
      <w:spacing w:after="100"/>
      <w:ind w:left="240"/>
    </w:pPr>
  </w:style>
  <w:style w:type="paragraph" w:styleId="TOC3">
    <w:name w:val="toc 3"/>
    <w:basedOn w:val="Normal"/>
    <w:next w:val="Normal"/>
    <w:uiPriority w:val="3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F3FBE1B-832C-40CE-A6EA-16B63B1322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3445</Words>
  <Characters>19642</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23041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2023-01-05T10:23:00Z</dcterms:created>
  <dcterms:modified xsi:type="dcterms:W3CDTF">2023-01-05T10:23:00Z</dcterms:modified>
</cp:coreProperties>
</file>