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813D1E" w14:textId="07D52969" w:rsidR="005B2B63" w:rsidRPr="005B2B63" w:rsidRDefault="005B2B63" w:rsidP="00045B47">
      <w:pPr>
        <w:pStyle w:val="NormalWeb"/>
        <w:spacing w:line="360" w:lineRule="auto"/>
        <w:ind w:left="567" w:hanging="567"/>
        <w:rPr>
          <w:b/>
          <w:bCs/>
          <w:u w:val="single"/>
        </w:rPr>
      </w:pPr>
      <w:r w:rsidRPr="005B2B63">
        <w:rPr>
          <w:b/>
          <w:bCs/>
          <w:u w:val="single"/>
        </w:rPr>
        <w:t xml:space="preserve">Part A references </w:t>
      </w:r>
      <w:r>
        <w:rPr>
          <w:b/>
          <w:bCs/>
          <w:u w:val="single"/>
        </w:rPr>
        <w:t>(7003)</w:t>
      </w:r>
    </w:p>
    <w:p w14:paraId="4EC42EB6" w14:textId="3DB3B706" w:rsidR="00045B47" w:rsidRDefault="00045B47" w:rsidP="00045B47">
      <w:pPr>
        <w:pStyle w:val="NormalWeb"/>
        <w:spacing w:line="360" w:lineRule="auto"/>
        <w:ind w:left="567" w:hanging="567"/>
      </w:pPr>
      <w:r w:rsidRPr="00D55177">
        <w:t xml:space="preserve">B.E.R.A. (2019) </w:t>
      </w:r>
      <w:r w:rsidRPr="00D55177">
        <w:rPr>
          <w:i/>
          <w:iCs/>
        </w:rPr>
        <w:t>Ethical guidelines for educational research, Fourth edition (2018)</w:t>
      </w:r>
      <w:r w:rsidRPr="00D55177">
        <w:t xml:space="preserve">, </w:t>
      </w:r>
      <w:r w:rsidRPr="00D55177">
        <w:rPr>
          <w:i/>
          <w:iCs/>
        </w:rPr>
        <w:t>BERA</w:t>
      </w:r>
      <w:r w:rsidRPr="00D55177">
        <w:t xml:space="preserve">. Available at: https://www.bera.ac.uk/publication/ethical-guidelines-for-educational-research-2018-online#participants (Accessed: </w:t>
      </w:r>
      <w:r>
        <w:t>April 03</w:t>
      </w:r>
      <w:r w:rsidRPr="00D55177">
        <w:t xml:space="preserve">, 2023). </w:t>
      </w:r>
    </w:p>
    <w:p w14:paraId="5740EE88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t>Choudry</w:t>
      </w:r>
      <w:proofErr w:type="spellEnd"/>
      <w:r>
        <w:t xml:space="preserve">, S. (2021) </w:t>
      </w:r>
      <w:r>
        <w:rPr>
          <w:i/>
          <w:iCs/>
        </w:rPr>
        <w:t>Equitable education: What everyone working in education should know about closing the attainment gap for all pupils</w:t>
      </w:r>
      <w:r>
        <w:t xml:space="preserve">. St Albans: Critical Publishing. </w:t>
      </w:r>
    </w:p>
    <w:p w14:paraId="710BBF41" w14:textId="77777777" w:rsidR="00045B47" w:rsidRDefault="00045B47" w:rsidP="00045B47">
      <w:pPr>
        <w:pStyle w:val="NormalWeb"/>
        <w:spacing w:line="360" w:lineRule="auto"/>
        <w:ind w:left="567" w:hanging="567"/>
      </w:pPr>
      <w:r>
        <w:t xml:space="preserve">Collins, K.M., </w:t>
      </w:r>
      <w:proofErr w:type="spellStart"/>
      <w:r>
        <w:t>Frels</w:t>
      </w:r>
      <w:proofErr w:type="spellEnd"/>
      <w:r>
        <w:t xml:space="preserve">, R.K. and Onwuegbuzie, A.J. (2013) “Foreword,” </w:t>
      </w:r>
      <w:r>
        <w:rPr>
          <w:i/>
          <w:iCs/>
        </w:rPr>
        <w:t>International Journal of Multiple Research Approaches</w:t>
      </w:r>
      <w:r>
        <w:t xml:space="preserve">, 7(1), pp. 2–8. Available at: https://doi.org/10.5172/mra.2013.7.1.2. </w:t>
      </w:r>
    </w:p>
    <w:p w14:paraId="6AB5175F" w14:textId="77777777" w:rsidR="00045B47" w:rsidRDefault="00045B47" w:rsidP="00045B47">
      <w:pPr>
        <w:pStyle w:val="NormalWeb"/>
        <w:spacing w:line="360" w:lineRule="auto"/>
        <w:ind w:left="567" w:hanging="567"/>
      </w:pPr>
      <w:r>
        <w:t xml:space="preserve">Corcoran, R. (2023) “Poverty, aces and stigmatised places: The application of psychology to the challenges of disadvantage,” </w:t>
      </w:r>
      <w:r>
        <w:rPr>
          <w:i/>
          <w:iCs/>
        </w:rPr>
        <w:t>Psychology and Psychotherapy: Theory, Research and Practice</w:t>
      </w:r>
      <w:r>
        <w:t xml:space="preserve">, 00, pp. 1–13. Available at: https://doi.org/10.1111/papt.12457. </w:t>
      </w:r>
    </w:p>
    <w:p w14:paraId="404E93F8" w14:textId="77777777" w:rsidR="00045B47" w:rsidRDefault="00045B47" w:rsidP="00045B47">
      <w:pPr>
        <w:pStyle w:val="NormalWeb"/>
        <w:spacing w:line="360" w:lineRule="auto"/>
        <w:ind w:left="567" w:hanging="567"/>
      </w:pPr>
      <w:r>
        <w:rPr>
          <w:i/>
          <w:iCs/>
        </w:rPr>
        <w:t>Developing a vision for curriculum design</w:t>
      </w:r>
      <w:r>
        <w:t xml:space="preserve"> (2020) </w:t>
      </w:r>
      <w:r>
        <w:rPr>
          <w:i/>
          <w:iCs/>
        </w:rPr>
        <w:t>Hwb</w:t>
      </w:r>
      <w:r>
        <w:t xml:space="preserve">. Welsh </w:t>
      </w:r>
      <w:proofErr w:type="gramStart"/>
      <w:r>
        <w:t>Government .</w:t>
      </w:r>
      <w:proofErr w:type="gramEnd"/>
      <w:r>
        <w:t xml:space="preserve"> Available at: https://hwb.gov.wales/curriculum-for-wales/designing-your-curriculum/developing-a-vision-for-curriculum-design/#curriculum-design-and-the-four-purposes (Accessed: April 11, 2023). </w:t>
      </w:r>
    </w:p>
    <w:p w14:paraId="218F5F9F" w14:textId="77777777" w:rsidR="00045B47" w:rsidRDefault="00045B47" w:rsidP="00045B47">
      <w:pPr>
        <w:pStyle w:val="NormalWeb"/>
        <w:spacing w:line="360" w:lineRule="auto"/>
        <w:ind w:left="567" w:hanging="567"/>
      </w:pPr>
      <w:r>
        <w:t xml:space="preserve">El </w:t>
      </w:r>
      <w:proofErr w:type="spellStart"/>
      <w:r>
        <w:t>Zaatari</w:t>
      </w:r>
      <w:proofErr w:type="spellEnd"/>
      <w:r>
        <w:t xml:space="preserve">, W. and </w:t>
      </w:r>
      <w:proofErr w:type="spellStart"/>
      <w:r>
        <w:t>Maalouf</w:t>
      </w:r>
      <w:proofErr w:type="spellEnd"/>
      <w:r>
        <w:t xml:space="preserve">, I. (2022) “How the </w:t>
      </w:r>
      <w:proofErr w:type="spellStart"/>
      <w:r>
        <w:t>bronfenbrenner</w:t>
      </w:r>
      <w:proofErr w:type="spellEnd"/>
      <w:r>
        <w:t xml:space="preserve"> bio-ecological system theory explains the development of students’ sense of belonging to </w:t>
      </w:r>
      <w:proofErr w:type="gramStart"/>
      <w:r>
        <w:t>school?,</w:t>
      </w:r>
      <w:proofErr w:type="gramEnd"/>
      <w:r>
        <w:t xml:space="preserve">” </w:t>
      </w:r>
      <w:r>
        <w:rPr>
          <w:i/>
          <w:iCs/>
        </w:rPr>
        <w:t>SAGE Open</w:t>
      </w:r>
      <w:r>
        <w:t xml:space="preserve">, 12(4), p. 215824402211340. Available at: https://doi.org/10.1177/21582440221134089. </w:t>
      </w:r>
    </w:p>
    <w:p w14:paraId="14541807" w14:textId="77777777" w:rsidR="00045B47" w:rsidRDefault="00045B47" w:rsidP="00045B47">
      <w:pPr>
        <w:pStyle w:val="NormalWeb"/>
        <w:spacing w:line="360" w:lineRule="auto"/>
        <w:ind w:left="567" w:hanging="567"/>
      </w:pPr>
      <w:r>
        <w:t xml:space="preserve">Erasmus, C. and Edwards, C. (2019) </w:t>
      </w:r>
      <w:r>
        <w:rPr>
          <w:i/>
          <w:iCs/>
        </w:rPr>
        <w:t>The Mental Health and Wellbeing Handbook for Schools: Transforming Mental Health Support on a budget</w:t>
      </w:r>
      <w:r>
        <w:t xml:space="preserve">. London: Jessica Kingsley Publishers. </w:t>
      </w:r>
    </w:p>
    <w:p w14:paraId="792A8008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t>EstynHMI</w:t>
      </w:r>
      <w:proofErr w:type="spellEnd"/>
      <w:r>
        <w:t xml:space="preserve"> (no date) </w:t>
      </w:r>
      <w:r>
        <w:rPr>
          <w:i/>
          <w:iCs/>
        </w:rPr>
        <w:t xml:space="preserve">Welcome to </w:t>
      </w:r>
      <w:proofErr w:type="spellStart"/>
      <w:r>
        <w:rPr>
          <w:i/>
          <w:iCs/>
        </w:rPr>
        <w:t>estyn</w:t>
      </w:r>
      <w:proofErr w:type="spellEnd"/>
      <w:r>
        <w:t xml:space="preserve">, </w:t>
      </w:r>
      <w:r>
        <w:rPr>
          <w:i/>
          <w:iCs/>
        </w:rPr>
        <w:t>Estyn</w:t>
      </w:r>
      <w:r>
        <w:t xml:space="preserve">. Available at: https://www.estyn.gov.wales/ (Accessed: April 11, 2023). </w:t>
      </w:r>
    </w:p>
    <w:p w14:paraId="6E7EBBA6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lastRenderedPageBreak/>
        <w:t>Gadomski</w:t>
      </w:r>
      <w:proofErr w:type="spellEnd"/>
      <w:r>
        <w:t xml:space="preserve">, A.M. </w:t>
      </w:r>
      <w:r>
        <w:rPr>
          <w:i/>
          <w:iCs/>
        </w:rPr>
        <w:t>et al.</w:t>
      </w:r>
      <w:r>
        <w:t xml:space="preserve"> (2016) “Pet dogs and child physical activity: The role of child-dog attachment,” </w:t>
      </w:r>
      <w:proofErr w:type="spellStart"/>
      <w:r>
        <w:rPr>
          <w:i/>
          <w:iCs/>
        </w:rPr>
        <w:t>Pediatric</w:t>
      </w:r>
      <w:proofErr w:type="spellEnd"/>
      <w:r>
        <w:rPr>
          <w:i/>
          <w:iCs/>
        </w:rPr>
        <w:t xml:space="preserve"> Obesity</w:t>
      </w:r>
      <w:r>
        <w:t xml:space="preserve">, 12(5), pp. 37–40. Available at: https://doi.org/10.1111/ijpo.12156. </w:t>
      </w:r>
    </w:p>
    <w:p w14:paraId="0EF1BC2E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t>Giraudet</w:t>
      </w:r>
      <w:proofErr w:type="spellEnd"/>
      <w:r>
        <w:t xml:space="preserve">, C.S. </w:t>
      </w:r>
      <w:r>
        <w:rPr>
          <w:i/>
          <w:iCs/>
        </w:rPr>
        <w:t>et al.</w:t>
      </w:r>
      <w:r>
        <w:t xml:space="preserve"> (2022) “Are Children and Dogs Best Friends? A scoping review to explore the positive and negative effects of child-dog interactions,” </w:t>
      </w:r>
      <w:proofErr w:type="spellStart"/>
      <w:r>
        <w:rPr>
          <w:i/>
          <w:iCs/>
        </w:rPr>
        <w:t>PeerJ</w:t>
      </w:r>
      <w:proofErr w:type="spellEnd"/>
      <w:r>
        <w:t xml:space="preserve">, 10, pp. 14532–14536. Available at: https://doi.org/10.7717/peerj.14532. </w:t>
      </w:r>
    </w:p>
    <w:p w14:paraId="6ACCE156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t>Gorard</w:t>
      </w:r>
      <w:proofErr w:type="spellEnd"/>
      <w:r>
        <w:t xml:space="preserve">, S. (2022) “Segregation and the attainment gap for permanently disadvantaged pupils in England,” </w:t>
      </w:r>
      <w:r>
        <w:rPr>
          <w:i/>
          <w:iCs/>
        </w:rPr>
        <w:t>Educational Review</w:t>
      </w:r>
      <w:r>
        <w:t xml:space="preserve">, ahead of print, pp. 1–24. Available at: https://doi.org/10.1080/00131911.2021.2007055. </w:t>
      </w:r>
    </w:p>
    <w:p w14:paraId="50ED9C06" w14:textId="77777777" w:rsidR="00045B47" w:rsidRDefault="00045B47" w:rsidP="00045B47">
      <w:pPr>
        <w:pStyle w:val="NormalWeb"/>
        <w:spacing w:line="360" w:lineRule="auto"/>
        <w:ind w:left="567" w:hanging="567"/>
      </w:pPr>
      <w:r>
        <w:t xml:space="preserve">Haines, S.J. </w:t>
      </w:r>
      <w:r>
        <w:rPr>
          <w:i/>
          <w:iCs/>
        </w:rPr>
        <w:t>et al.</w:t>
      </w:r>
      <w:r>
        <w:t xml:space="preserve"> (2015) “Fostering family–school and community–school partnerships in inclusive schools,” </w:t>
      </w:r>
      <w:r>
        <w:rPr>
          <w:i/>
          <w:iCs/>
        </w:rPr>
        <w:t>Research and Practice for Persons with Severe Disabilities</w:t>
      </w:r>
      <w:r>
        <w:t xml:space="preserve">, 40(3), pp. 227–239. Available at: https://doi.org/10.1177/1540796915594141. </w:t>
      </w:r>
    </w:p>
    <w:p w14:paraId="46876EB7" w14:textId="77777777" w:rsidR="00045B47" w:rsidRDefault="00045B47" w:rsidP="00045B47">
      <w:pPr>
        <w:pStyle w:val="NormalWeb"/>
        <w:spacing w:line="360" w:lineRule="auto"/>
        <w:ind w:left="567" w:hanging="567"/>
      </w:pPr>
      <w:r>
        <w:t xml:space="preserve">Klein, M., </w:t>
      </w:r>
      <w:proofErr w:type="spellStart"/>
      <w:r>
        <w:t>Sosu</w:t>
      </w:r>
      <w:proofErr w:type="spellEnd"/>
      <w:r>
        <w:t xml:space="preserve">, E. and Dare, S. (2020) “Mapping inequalities in school attendance: The relationship between different dimensions of socioeconomic status and forms of school absence,” </w:t>
      </w:r>
      <w:r>
        <w:rPr>
          <w:i/>
          <w:iCs/>
        </w:rPr>
        <w:t xml:space="preserve">Children and youth </w:t>
      </w:r>
      <w:proofErr w:type="gramStart"/>
      <w:r>
        <w:rPr>
          <w:i/>
          <w:iCs/>
        </w:rPr>
        <w:t xml:space="preserve">services </w:t>
      </w:r>
      <w:r>
        <w:t>,</w:t>
      </w:r>
      <w:proofErr w:type="gramEnd"/>
      <w:r>
        <w:t xml:space="preserve"> 118, pp. 105432–105440. Available at: https://doi.org/10.31235/osf.io/9jrqx. </w:t>
      </w:r>
    </w:p>
    <w:p w14:paraId="54AF48D5" w14:textId="77777777" w:rsidR="00045B47" w:rsidRDefault="00045B47" w:rsidP="00045B47">
      <w:pPr>
        <w:pStyle w:val="NormalWeb"/>
        <w:spacing w:line="360" w:lineRule="auto"/>
        <w:ind w:left="567" w:hanging="567"/>
      </w:pPr>
      <w:r>
        <w:t xml:space="preserve">LEE, C.Y. </w:t>
      </w:r>
      <w:r>
        <w:rPr>
          <w:i/>
          <w:iCs/>
        </w:rPr>
        <w:t>et al.</w:t>
      </w:r>
      <w:r>
        <w:t xml:space="preserve"> (2022) “Development of a pilot human-canine ethogram for an animal-assisted education programme in Primary Schools – A case study,” </w:t>
      </w:r>
      <w:r>
        <w:rPr>
          <w:i/>
          <w:iCs/>
        </w:rPr>
        <w:t>Applied Animal Behaviour Science</w:t>
      </w:r>
      <w:r>
        <w:t xml:space="preserve">, 42(3), p. 105725. Available at: https://doi.org/10.1016/j.applanim.2022.105725. </w:t>
      </w:r>
    </w:p>
    <w:p w14:paraId="6389F1DD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t>Mcleod</w:t>
      </w:r>
      <w:proofErr w:type="spellEnd"/>
      <w:r>
        <w:t xml:space="preserve">, S. (2023) </w:t>
      </w:r>
      <w:r>
        <w:rPr>
          <w:i/>
          <w:iCs/>
        </w:rPr>
        <w:t>Bronfenbrenner's ecological systems theory</w:t>
      </w:r>
      <w:r>
        <w:t xml:space="preserve">, </w:t>
      </w:r>
      <w:r>
        <w:rPr>
          <w:i/>
          <w:iCs/>
        </w:rPr>
        <w:t>Simply Psychology</w:t>
      </w:r>
      <w:r>
        <w:t xml:space="preserve">. Available at: https://www.simplypsychology.org/Bronfenbrenner.html (Accessed: April 14, 2023). </w:t>
      </w:r>
    </w:p>
    <w:p w14:paraId="3E1086FF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t>Meints</w:t>
      </w:r>
      <w:proofErr w:type="spellEnd"/>
      <w:r>
        <w:t xml:space="preserve">, K. </w:t>
      </w:r>
      <w:r>
        <w:rPr>
          <w:i/>
          <w:iCs/>
        </w:rPr>
        <w:t>et al.</w:t>
      </w:r>
      <w:r>
        <w:t xml:space="preserve"> (2022) “Can dogs reduce stress levels in school children? effects of dog-assisted interventions on salivary cortisol in children with and without special educational needs using randomized controlled trials,” </w:t>
      </w:r>
      <w:r>
        <w:rPr>
          <w:i/>
          <w:iCs/>
        </w:rPr>
        <w:t>PLOS ONE</w:t>
      </w:r>
      <w:r>
        <w:t xml:space="preserve">, 17(6), pp. 1–27. Available at: https://doi.org/10.1371/journal.pone.0269333. </w:t>
      </w:r>
    </w:p>
    <w:p w14:paraId="1B17CB11" w14:textId="77777777" w:rsidR="00045B47" w:rsidRDefault="00045B47" w:rsidP="00045B47">
      <w:pPr>
        <w:pStyle w:val="NormalWeb"/>
        <w:spacing w:line="360" w:lineRule="auto"/>
        <w:ind w:left="567" w:hanging="567"/>
      </w:pPr>
      <w:r>
        <w:lastRenderedPageBreak/>
        <w:t xml:space="preserve">Palfrey, John. (2018) </w:t>
      </w:r>
      <w:r>
        <w:rPr>
          <w:i/>
          <w:iCs/>
        </w:rPr>
        <w:t>Safe spaces, brave spaces: Diversity and free expression in education</w:t>
      </w:r>
      <w:r>
        <w:t xml:space="preserve">, </w:t>
      </w:r>
      <w:r>
        <w:rPr>
          <w:i/>
          <w:iCs/>
        </w:rPr>
        <w:t xml:space="preserve">Project </w:t>
      </w:r>
      <w:proofErr w:type="gramStart"/>
      <w:r>
        <w:rPr>
          <w:i/>
          <w:iCs/>
        </w:rPr>
        <w:t xml:space="preserve">Muse </w:t>
      </w:r>
      <w:r>
        <w:t>.</w:t>
      </w:r>
      <w:proofErr w:type="gramEnd"/>
      <w:r>
        <w:t xml:space="preserve"> MIT Press. Available at: https://muse.jhu.edu/book/60818 (Accessed: April 11, 2023). </w:t>
      </w:r>
    </w:p>
    <w:p w14:paraId="7AD60A43" w14:textId="77777777" w:rsidR="00045B47" w:rsidRDefault="00045B47" w:rsidP="00045B47">
      <w:pPr>
        <w:pStyle w:val="NormalWeb"/>
        <w:spacing w:line="360" w:lineRule="auto"/>
        <w:ind w:left="567" w:hanging="567"/>
      </w:pPr>
      <w:r>
        <w:t xml:space="preserve">Ross, H. (2019) “A case study: Developing a safe space for vulnerable young people at school,” </w:t>
      </w:r>
      <w:r>
        <w:rPr>
          <w:i/>
          <w:iCs/>
        </w:rPr>
        <w:t>Support for Learning</w:t>
      </w:r>
      <w:r>
        <w:t xml:space="preserve">, 34(2), pp. 162–178. Available at: https://doi.org/10.1111/1467-9604.12246. </w:t>
      </w:r>
    </w:p>
    <w:p w14:paraId="0054AA4C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t>Zacarian</w:t>
      </w:r>
      <w:proofErr w:type="spellEnd"/>
      <w:r>
        <w:t xml:space="preserve">, D. and Silverstone, M. (2015) </w:t>
      </w:r>
      <w:r>
        <w:rPr>
          <w:i/>
          <w:iCs/>
        </w:rPr>
        <w:t>In it together: How student, family, and community partnerships advance engagement and achievement in diverse classrooms</w:t>
      </w:r>
      <w:r>
        <w:t xml:space="preserve">. Thousand Oaks, CA: Corwin, A SAGE Company. </w:t>
      </w:r>
    </w:p>
    <w:p w14:paraId="4B15E61F" w14:textId="77777777" w:rsidR="00045B47" w:rsidRDefault="00045B47" w:rsidP="00045B47">
      <w:pPr>
        <w:pStyle w:val="NormalWeb"/>
        <w:spacing w:line="360" w:lineRule="auto"/>
        <w:ind w:left="567" w:hanging="567"/>
      </w:pPr>
      <w:proofErr w:type="spellStart"/>
      <w:r>
        <w:t>Zacarian</w:t>
      </w:r>
      <w:proofErr w:type="spellEnd"/>
      <w:r>
        <w:t xml:space="preserve">, D. and Silverstone, M. (2015) </w:t>
      </w:r>
      <w:r>
        <w:rPr>
          <w:i/>
          <w:iCs/>
        </w:rPr>
        <w:t>In it together: How student, family, and community partnerships advance engagement and achievement in diverse classrooms</w:t>
      </w:r>
      <w:r>
        <w:t xml:space="preserve">. Thousand Oaks, CA: Corwin, A SAGE Company. </w:t>
      </w:r>
    </w:p>
    <w:p w14:paraId="55DBF410" w14:textId="77777777" w:rsidR="005C05C0" w:rsidRDefault="005C05C0"/>
    <w:sectPr w:rsidR="005C05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B47"/>
    <w:rsid w:val="00045B47"/>
    <w:rsid w:val="005B1617"/>
    <w:rsid w:val="005B2B63"/>
    <w:rsid w:val="005C05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B4C4C"/>
  <w15:chartTrackingRefBased/>
  <w15:docId w15:val="{4D9B7088-B792-4069-A158-D12C28CE1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45B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660</Words>
  <Characters>3764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</dc:creator>
  <cp:keywords/>
  <dc:description/>
  <cp:lastModifiedBy>Holly</cp:lastModifiedBy>
  <cp:revision>2</cp:revision>
  <dcterms:created xsi:type="dcterms:W3CDTF">2023-04-16T13:09:00Z</dcterms:created>
  <dcterms:modified xsi:type="dcterms:W3CDTF">2023-04-16T13:09:00Z</dcterms:modified>
</cp:coreProperties>
</file>