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BF28D" w14:textId="780B54A4" w:rsidR="00682603" w:rsidRPr="00682603" w:rsidRDefault="00682603" w:rsidP="00682603">
      <w:pPr>
        <w:spacing w:after="0" w:line="480" w:lineRule="auto"/>
        <w:rPr>
          <w:b/>
          <w:bCs/>
          <w:sz w:val="32"/>
          <w:szCs w:val="32"/>
        </w:rPr>
      </w:pPr>
      <w:r w:rsidRPr="00682603">
        <w:rPr>
          <w:b/>
          <w:bCs/>
          <w:noProof/>
          <w:sz w:val="32"/>
          <w:szCs w:val="32"/>
        </w:rPr>
        <w:drawing>
          <wp:inline distT="0" distB="0" distL="0" distR="0" wp14:anchorId="30EC566A" wp14:editId="4E68AE32">
            <wp:extent cx="3524250" cy="1405255"/>
            <wp:effectExtent l="0" t="0" r="0" b="4445"/>
            <wp:docPr id="1640856720"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56720" name="Picture 2"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1405255"/>
                    </a:xfrm>
                    <a:prstGeom prst="rect">
                      <a:avLst/>
                    </a:prstGeom>
                    <a:noFill/>
                    <a:ln>
                      <a:noFill/>
                    </a:ln>
                  </pic:spPr>
                </pic:pic>
              </a:graphicData>
            </a:graphic>
          </wp:inline>
        </w:drawing>
      </w:r>
    </w:p>
    <w:p w14:paraId="470BCD46" w14:textId="77777777" w:rsidR="00682603" w:rsidRPr="00682603" w:rsidRDefault="00682603" w:rsidP="00682603">
      <w:pPr>
        <w:spacing w:after="0" w:line="480" w:lineRule="auto"/>
        <w:rPr>
          <w:b/>
          <w:bCs/>
          <w:sz w:val="32"/>
          <w:szCs w:val="32"/>
        </w:rPr>
      </w:pPr>
    </w:p>
    <w:p w14:paraId="2ACED1FE" w14:textId="382D5010" w:rsidR="00682603" w:rsidRPr="00682603" w:rsidRDefault="00682603" w:rsidP="00682603">
      <w:pPr>
        <w:spacing w:after="0" w:line="480" w:lineRule="auto"/>
        <w:rPr>
          <w:color w:val="0070C0"/>
          <w:sz w:val="32"/>
          <w:szCs w:val="32"/>
        </w:rPr>
      </w:pPr>
      <w:r w:rsidRPr="00682603">
        <w:rPr>
          <w:b/>
          <w:bCs/>
          <w:sz w:val="32"/>
          <w:szCs w:val="32"/>
        </w:rPr>
        <w:t>MODULE CODE:</w:t>
      </w:r>
      <w:r>
        <w:rPr>
          <w:b/>
          <w:bCs/>
          <w:sz w:val="32"/>
          <w:szCs w:val="32"/>
        </w:rPr>
        <w:t xml:space="preserve"> </w:t>
      </w:r>
      <w:r w:rsidRPr="00EB4D14">
        <w:rPr>
          <w:color w:val="0070C0"/>
          <w:sz w:val="32"/>
          <w:szCs w:val="32"/>
        </w:rPr>
        <w:t>ECDE</w:t>
      </w:r>
      <w:r w:rsidR="007744FC" w:rsidRPr="00EB4D14">
        <w:rPr>
          <w:color w:val="0070C0"/>
          <w:sz w:val="32"/>
          <w:szCs w:val="32"/>
        </w:rPr>
        <w:t>7016</w:t>
      </w:r>
      <w:r w:rsidR="00DB48A2">
        <w:rPr>
          <w:color w:val="0070C0"/>
          <w:sz w:val="32"/>
          <w:szCs w:val="32"/>
        </w:rPr>
        <w:tab/>
      </w:r>
      <w:r w:rsidR="00DB48A2">
        <w:rPr>
          <w:color w:val="0070C0"/>
          <w:sz w:val="32"/>
          <w:szCs w:val="32"/>
        </w:rPr>
        <w:br/>
      </w:r>
      <w:r w:rsidR="00DB48A2" w:rsidRPr="00682603">
        <w:rPr>
          <w:b/>
          <w:bCs/>
          <w:sz w:val="32"/>
          <w:szCs w:val="32"/>
        </w:rPr>
        <w:t xml:space="preserve">MODULE </w:t>
      </w:r>
      <w:r w:rsidR="00DB48A2">
        <w:rPr>
          <w:b/>
          <w:bCs/>
          <w:sz w:val="32"/>
          <w:szCs w:val="32"/>
        </w:rPr>
        <w:t>LEAD</w:t>
      </w:r>
      <w:r w:rsidR="00DB48A2" w:rsidRPr="00682603">
        <w:rPr>
          <w:b/>
          <w:bCs/>
          <w:sz w:val="32"/>
          <w:szCs w:val="32"/>
        </w:rPr>
        <w:t>:</w:t>
      </w:r>
      <w:r w:rsidR="00DB48A2">
        <w:rPr>
          <w:b/>
          <w:bCs/>
          <w:sz w:val="32"/>
          <w:szCs w:val="32"/>
        </w:rPr>
        <w:t xml:space="preserve"> </w:t>
      </w:r>
      <w:r w:rsidR="00DB48A2">
        <w:rPr>
          <w:color w:val="0070C0"/>
          <w:sz w:val="32"/>
          <w:szCs w:val="32"/>
        </w:rPr>
        <w:t>DR SUSAN JONES</w:t>
      </w:r>
    </w:p>
    <w:p w14:paraId="5B5AD5C3" w14:textId="77777777" w:rsidR="00682603" w:rsidRPr="00682603" w:rsidRDefault="00682603" w:rsidP="00682603">
      <w:pPr>
        <w:spacing w:after="0" w:line="480" w:lineRule="auto"/>
        <w:rPr>
          <w:b/>
          <w:bCs/>
          <w:sz w:val="32"/>
          <w:szCs w:val="32"/>
        </w:rPr>
      </w:pPr>
    </w:p>
    <w:p w14:paraId="46C78789" w14:textId="590ED62C" w:rsidR="00682603" w:rsidRPr="00EB4D14" w:rsidRDefault="00682603" w:rsidP="00682603">
      <w:pPr>
        <w:spacing w:after="0" w:line="480" w:lineRule="auto"/>
        <w:rPr>
          <w:color w:val="0070C0"/>
          <w:sz w:val="32"/>
          <w:szCs w:val="32"/>
        </w:rPr>
      </w:pPr>
      <w:r w:rsidRPr="00682603">
        <w:rPr>
          <w:b/>
          <w:bCs/>
          <w:sz w:val="32"/>
          <w:szCs w:val="32"/>
        </w:rPr>
        <w:t>ASSESSMENT COMPONENT:</w:t>
      </w:r>
      <w:r w:rsidR="007744FC">
        <w:rPr>
          <w:b/>
          <w:bCs/>
          <w:sz w:val="32"/>
          <w:szCs w:val="32"/>
        </w:rPr>
        <w:t xml:space="preserve"> </w:t>
      </w:r>
      <w:r w:rsidR="007744FC" w:rsidRPr="00EB4D14">
        <w:rPr>
          <w:color w:val="0070C0"/>
          <w:sz w:val="32"/>
          <w:szCs w:val="32"/>
        </w:rPr>
        <w:t>PART 2 – WRITTEN ASSIGNMENT (6,500 WORDS)</w:t>
      </w:r>
    </w:p>
    <w:p w14:paraId="185E3789" w14:textId="432F8FC5" w:rsidR="003F34A0" w:rsidRPr="00682603" w:rsidRDefault="003F34A0" w:rsidP="003F34A0">
      <w:pPr>
        <w:spacing w:after="0" w:line="480" w:lineRule="auto"/>
        <w:jc w:val="center"/>
        <w:rPr>
          <w:b/>
          <w:bCs/>
          <w:i/>
          <w:iCs/>
          <w:color w:val="0070C0"/>
          <w:sz w:val="32"/>
          <w:szCs w:val="32"/>
        </w:rPr>
      </w:pPr>
      <w:r w:rsidRPr="00EB4D14">
        <w:rPr>
          <w:i/>
          <w:iCs/>
          <w:color w:val="0070C0"/>
          <w:sz w:val="32"/>
          <w:szCs w:val="32"/>
        </w:rPr>
        <w:t>“A CRITICAL LITERATURE REVIEW EXPLORING THE INFLUENCE OF SCHOOL VISITS ON STUDENT AND TEACHER RELATIONSHIPS”</w:t>
      </w:r>
    </w:p>
    <w:p w14:paraId="6FA7699C" w14:textId="77777777" w:rsidR="00682603" w:rsidRPr="00682603" w:rsidRDefault="00682603" w:rsidP="00682603">
      <w:pPr>
        <w:spacing w:after="0" w:line="480" w:lineRule="auto"/>
        <w:rPr>
          <w:b/>
          <w:bCs/>
          <w:sz w:val="32"/>
          <w:szCs w:val="32"/>
        </w:rPr>
      </w:pPr>
    </w:p>
    <w:p w14:paraId="048B7385" w14:textId="3E1B3D06" w:rsidR="00682603" w:rsidRPr="00682603" w:rsidRDefault="00682603" w:rsidP="00682603">
      <w:pPr>
        <w:spacing w:after="0" w:line="480" w:lineRule="auto"/>
        <w:rPr>
          <w:b/>
          <w:bCs/>
          <w:sz w:val="32"/>
          <w:szCs w:val="32"/>
        </w:rPr>
      </w:pPr>
      <w:r w:rsidRPr="00682603">
        <w:rPr>
          <w:b/>
          <w:bCs/>
          <w:sz w:val="32"/>
          <w:szCs w:val="32"/>
        </w:rPr>
        <w:t>STUDENT NAME:</w:t>
      </w:r>
      <w:r w:rsidR="007744FC">
        <w:rPr>
          <w:b/>
          <w:bCs/>
          <w:sz w:val="32"/>
          <w:szCs w:val="32"/>
        </w:rPr>
        <w:t xml:space="preserve"> </w:t>
      </w:r>
      <w:r w:rsidR="007744FC" w:rsidRPr="00EB4D14">
        <w:rPr>
          <w:color w:val="0070C0"/>
          <w:sz w:val="32"/>
          <w:szCs w:val="32"/>
        </w:rPr>
        <w:t>LAURA EMANUEL</w:t>
      </w:r>
    </w:p>
    <w:p w14:paraId="54281B3D" w14:textId="7B0A012F" w:rsidR="00682603" w:rsidRDefault="00682603" w:rsidP="00682603">
      <w:pPr>
        <w:spacing w:after="0" w:line="480" w:lineRule="auto"/>
        <w:rPr>
          <w:color w:val="0070C0"/>
          <w:sz w:val="32"/>
          <w:szCs w:val="32"/>
        </w:rPr>
      </w:pPr>
      <w:r w:rsidRPr="00682603">
        <w:rPr>
          <w:b/>
          <w:bCs/>
          <w:sz w:val="32"/>
          <w:szCs w:val="32"/>
        </w:rPr>
        <w:t>STUDENT NUMBER:</w:t>
      </w:r>
      <w:r w:rsidR="007744FC">
        <w:rPr>
          <w:b/>
          <w:bCs/>
          <w:sz w:val="32"/>
          <w:szCs w:val="32"/>
        </w:rPr>
        <w:t xml:space="preserve"> </w:t>
      </w:r>
      <w:r w:rsidR="007744FC" w:rsidRPr="00EB4D14">
        <w:rPr>
          <w:color w:val="0070C0"/>
          <w:sz w:val="32"/>
          <w:szCs w:val="32"/>
        </w:rPr>
        <w:t>23081</w:t>
      </w:r>
      <w:r w:rsidR="00EB1E48" w:rsidRPr="00EB4D14">
        <w:rPr>
          <w:color w:val="0070C0"/>
          <w:sz w:val="32"/>
          <w:szCs w:val="32"/>
        </w:rPr>
        <w:t>3</w:t>
      </w:r>
      <w:r w:rsidR="007744FC" w:rsidRPr="00EB4D14">
        <w:rPr>
          <w:color w:val="0070C0"/>
          <w:sz w:val="32"/>
          <w:szCs w:val="32"/>
        </w:rPr>
        <w:t>9</w:t>
      </w:r>
    </w:p>
    <w:p w14:paraId="31E2CDAE" w14:textId="1019F2A9" w:rsidR="0036025A" w:rsidRDefault="0036025A" w:rsidP="00682603">
      <w:pPr>
        <w:spacing w:after="0" w:line="480" w:lineRule="auto"/>
        <w:rPr>
          <w:b/>
          <w:bCs/>
          <w:sz w:val="32"/>
          <w:szCs w:val="32"/>
        </w:rPr>
      </w:pPr>
      <w:r w:rsidRPr="00EC1256">
        <w:rPr>
          <w:b/>
          <w:bCs/>
          <w:sz w:val="32"/>
          <w:szCs w:val="32"/>
        </w:rPr>
        <w:t>WORD COUNT:</w:t>
      </w:r>
      <w:r>
        <w:rPr>
          <w:color w:val="0070C0"/>
          <w:sz w:val="32"/>
          <w:szCs w:val="32"/>
        </w:rPr>
        <w:t xml:space="preserve"> </w:t>
      </w:r>
      <w:r w:rsidR="00EC1256">
        <w:rPr>
          <w:color w:val="0070C0"/>
          <w:sz w:val="32"/>
          <w:szCs w:val="32"/>
        </w:rPr>
        <w:t>6</w:t>
      </w:r>
      <w:r w:rsidR="000551BF">
        <w:rPr>
          <w:color w:val="0070C0"/>
          <w:sz w:val="32"/>
          <w:szCs w:val="32"/>
        </w:rPr>
        <w:t>913</w:t>
      </w:r>
    </w:p>
    <w:p w14:paraId="4B22A21F" w14:textId="77777777" w:rsidR="00EB1E48" w:rsidRDefault="00EB1E48" w:rsidP="00682603">
      <w:pPr>
        <w:spacing w:after="0" w:line="480" w:lineRule="auto"/>
        <w:rPr>
          <w:b/>
          <w:bCs/>
          <w:sz w:val="32"/>
          <w:szCs w:val="32"/>
        </w:rPr>
      </w:pPr>
    </w:p>
    <w:p w14:paraId="2F0FF27E" w14:textId="77777777" w:rsidR="00EB1E48" w:rsidRPr="00682603" w:rsidRDefault="00EB1E48" w:rsidP="00682603">
      <w:pPr>
        <w:spacing w:after="0" w:line="480" w:lineRule="auto"/>
        <w:rPr>
          <w:b/>
          <w:bCs/>
          <w:sz w:val="32"/>
          <w:szCs w:val="32"/>
        </w:rPr>
      </w:pPr>
    </w:p>
    <w:p w14:paraId="21A9CD73" w14:textId="77777777" w:rsidR="00682603" w:rsidRPr="00682603" w:rsidRDefault="00682603" w:rsidP="00682603">
      <w:pPr>
        <w:spacing w:after="0" w:line="480" w:lineRule="auto"/>
        <w:rPr>
          <w:b/>
          <w:bCs/>
          <w:sz w:val="32"/>
          <w:szCs w:val="32"/>
        </w:rPr>
      </w:pPr>
      <w:r w:rsidRPr="00682603">
        <w:rPr>
          <w:b/>
          <w:bCs/>
          <w:sz w:val="32"/>
          <w:szCs w:val="32"/>
        </w:rPr>
        <w:t>Doctorate in Education (EdD)</w:t>
      </w:r>
    </w:p>
    <w:p w14:paraId="5F878571" w14:textId="1A3160AC" w:rsidR="00B77BD6" w:rsidRDefault="00B77BD6" w:rsidP="00B52C8B">
      <w:pPr>
        <w:spacing w:after="0" w:line="480" w:lineRule="auto"/>
        <w:rPr>
          <w:b/>
          <w:bCs/>
        </w:rPr>
      </w:pPr>
      <w:r w:rsidRPr="00DA19F4">
        <w:rPr>
          <w:b/>
          <w:bCs/>
          <w:sz w:val="32"/>
          <w:szCs w:val="32"/>
        </w:rPr>
        <w:lastRenderedPageBreak/>
        <w:t>Contents</w:t>
      </w:r>
      <w:r w:rsidR="00DA19F4">
        <w:rPr>
          <w:b/>
          <w:bCs/>
        </w:rPr>
        <w:br/>
      </w:r>
    </w:p>
    <w:p w14:paraId="01799E30" w14:textId="6153D31C" w:rsidR="00B77BD6" w:rsidRPr="00EB1E48" w:rsidRDefault="00B77BD6" w:rsidP="00B52C8B">
      <w:pPr>
        <w:spacing w:after="0" w:line="480" w:lineRule="auto"/>
        <w:rPr>
          <w:b/>
          <w:bCs/>
          <w:sz w:val="24"/>
          <w:szCs w:val="24"/>
        </w:rPr>
      </w:pPr>
      <w:r w:rsidRPr="00EB1E48">
        <w:rPr>
          <w:b/>
          <w:bCs/>
          <w:sz w:val="24"/>
          <w:szCs w:val="24"/>
        </w:rPr>
        <w:t>Section 1</w:t>
      </w:r>
      <w:r w:rsidR="005230B9">
        <w:rPr>
          <w:b/>
          <w:bCs/>
          <w:sz w:val="24"/>
          <w:szCs w:val="24"/>
        </w:rPr>
        <w:t>:</w:t>
      </w:r>
      <w:r w:rsidRPr="00EB1E48">
        <w:rPr>
          <w:b/>
          <w:bCs/>
          <w:sz w:val="24"/>
          <w:szCs w:val="24"/>
        </w:rPr>
        <w:t xml:space="preserve"> Introduction</w:t>
      </w:r>
    </w:p>
    <w:p w14:paraId="3118E190" w14:textId="4FA558E3" w:rsidR="00951827" w:rsidRDefault="00B77BD6" w:rsidP="00B16CC5">
      <w:pPr>
        <w:pStyle w:val="ListParagraph"/>
        <w:spacing w:after="0" w:line="480" w:lineRule="auto"/>
      </w:pPr>
      <w:r w:rsidRPr="00EB1E48">
        <w:t>Background and Rationale</w:t>
      </w:r>
      <w:r w:rsidR="003C0C15">
        <w:tab/>
      </w:r>
      <w:r w:rsidR="003C0C15">
        <w:tab/>
      </w:r>
      <w:r w:rsidR="003C0C15">
        <w:tab/>
      </w:r>
      <w:r w:rsidR="003C0C15">
        <w:tab/>
      </w:r>
      <w:r w:rsidR="003C0C15">
        <w:tab/>
      </w:r>
      <w:r w:rsidR="003C0C15">
        <w:tab/>
      </w:r>
      <w:r w:rsidR="00B16CC5">
        <w:tab/>
      </w:r>
      <w:r w:rsidR="003C0C15">
        <w:t xml:space="preserve">p3 </w:t>
      </w:r>
      <w:r w:rsidR="0072780C">
        <w:tab/>
      </w:r>
    </w:p>
    <w:p w14:paraId="701DC4D0" w14:textId="77777777" w:rsidR="00B16CC5" w:rsidRPr="00FF40B6" w:rsidRDefault="00B16CC5" w:rsidP="00B16CC5">
      <w:pPr>
        <w:pStyle w:val="ListParagraph"/>
        <w:spacing w:after="0" w:line="480" w:lineRule="auto"/>
      </w:pPr>
    </w:p>
    <w:p w14:paraId="773B6C76" w14:textId="67D6CEF5" w:rsidR="00951827" w:rsidRDefault="00951827" w:rsidP="00951827">
      <w:pPr>
        <w:spacing w:after="0" w:line="480" w:lineRule="auto"/>
        <w:rPr>
          <w:b/>
          <w:bCs/>
          <w:sz w:val="24"/>
          <w:szCs w:val="24"/>
        </w:rPr>
      </w:pPr>
      <w:r w:rsidRPr="00EB1E48">
        <w:rPr>
          <w:b/>
          <w:bCs/>
          <w:sz w:val="24"/>
          <w:szCs w:val="24"/>
        </w:rPr>
        <w:t>Section 2</w:t>
      </w:r>
      <w:r w:rsidR="005230B9">
        <w:rPr>
          <w:b/>
          <w:bCs/>
          <w:sz w:val="24"/>
          <w:szCs w:val="24"/>
        </w:rPr>
        <w:t>:</w:t>
      </w:r>
      <w:r w:rsidRPr="00EB1E48">
        <w:rPr>
          <w:b/>
          <w:bCs/>
          <w:sz w:val="24"/>
          <w:szCs w:val="24"/>
        </w:rPr>
        <w:t xml:space="preserve"> </w:t>
      </w:r>
      <w:r w:rsidR="00EF59D0" w:rsidRPr="00EB1E48">
        <w:rPr>
          <w:b/>
          <w:bCs/>
          <w:sz w:val="24"/>
          <w:szCs w:val="24"/>
        </w:rPr>
        <w:t>The Literature Review</w:t>
      </w:r>
    </w:p>
    <w:p w14:paraId="4CCAF75B" w14:textId="154FEAC4" w:rsidR="004B4607" w:rsidRPr="00EB1E48" w:rsidRDefault="004B4607" w:rsidP="004B4607">
      <w:pPr>
        <w:spacing w:after="0" w:line="480" w:lineRule="auto"/>
      </w:pPr>
      <w:r w:rsidRPr="00EB1E48">
        <w:t>2.</w:t>
      </w:r>
      <w:r>
        <w:t xml:space="preserve">1 </w:t>
      </w:r>
      <w:r w:rsidR="000E0B55">
        <w:tab/>
      </w:r>
      <w:r w:rsidRPr="003A6536">
        <w:t>Searching the Literature</w:t>
      </w:r>
      <w:r w:rsidR="00F82C64" w:rsidRPr="003A6536">
        <w:tab/>
      </w:r>
      <w:r w:rsidR="00F82C64" w:rsidRPr="00F82C64">
        <w:rPr>
          <w:color w:val="FF0000"/>
        </w:rPr>
        <w:tab/>
      </w:r>
      <w:r w:rsidR="00F82C64">
        <w:tab/>
      </w:r>
      <w:r w:rsidR="00F82C64">
        <w:tab/>
      </w:r>
      <w:r w:rsidR="00F82C64">
        <w:tab/>
      </w:r>
      <w:r w:rsidR="00F82C64">
        <w:tab/>
      </w:r>
      <w:r w:rsidR="00F82C64">
        <w:tab/>
      </w:r>
      <w:r w:rsidR="00F82C64">
        <w:tab/>
        <w:t>p5</w:t>
      </w:r>
      <w:r w:rsidR="003A6536">
        <w:t xml:space="preserve"> </w:t>
      </w:r>
      <w:r w:rsidR="0072780C">
        <w:tab/>
      </w:r>
    </w:p>
    <w:p w14:paraId="7EE96A4A" w14:textId="0976CA91" w:rsidR="003A6536" w:rsidRDefault="00234612" w:rsidP="00951827">
      <w:pPr>
        <w:spacing w:after="0" w:line="480" w:lineRule="auto"/>
      </w:pPr>
      <w:r>
        <w:t>2.</w:t>
      </w:r>
      <w:r w:rsidR="005C2813">
        <w:t>2</w:t>
      </w:r>
      <w:r>
        <w:t xml:space="preserve"> </w:t>
      </w:r>
      <w:r w:rsidR="000E0B55">
        <w:tab/>
      </w:r>
      <w:r>
        <w:t>Conceptual</w:t>
      </w:r>
      <w:r w:rsidRPr="00EB1E48">
        <w:t xml:space="preserve"> </w:t>
      </w:r>
      <w:r>
        <w:t>F</w:t>
      </w:r>
      <w:r w:rsidRPr="00EB1E48">
        <w:t>ramework</w:t>
      </w:r>
      <w:r w:rsidR="003A6536">
        <w:tab/>
      </w:r>
      <w:r w:rsidR="003A6536">
        <w:tab/>
      </w:r>
      <w:r w:rsidR="003A6536">
        <w:tab/>
      </w:r>
      <w:r w:rsidR="003A6536">
        <w:tab/>
      </w:r>
      <w:r w:rsidR="003A6536">
        <w:tab/>
      </w:r>
      <w:r w:rsidR="003A6536">
        <w:tab/>
      </w:r>
      <w:r w:rsidR="003A6536">
        <w:tab/>
      </w:r>
      <w:r w:rsidR="003A6536">
        <w:tab/>
        <w:t xml:space="preserve">p6 </w:t>
      </w:r>
      <w:r w:rsidR="0072780C">
        <w:tab/>
      </w:r>
    </w:p>
    <w:p w14:paraId="07A630DA" w14:textId="589A42F4" w:rsidR="00E80787" w:rsidRDefault="005C2813" w:rsidP="00E80787">
      <w:pPr>
        <w:spacing w:after="0" w:line="480" w:lineRule="auto"/>
      </w:pPr>
      <w:r w:rsidRPr="005C2813">
        <w:t>2.</w:t>
      </w:r>
      <w:r>
        <w:t>2</w:t>
      </w:r>
      <w:r w:rsidRPr="005C2813">
        <w:t xml:space="preserve">.1 </w:t>
      </w:r>
      <w:r w:rsidR="000E0B55">
        <w:tab/>
      </w:r>
      <w:r w:rsidRPr="000E0B55">
        <w:t>Teacher Wellbeing in the Context of Educational Visits</w:t>
      </w:r>
      <w:r w:rsidR="003A6536">
        <w:tab/>
      </w:r>
      <w:r w:rsidR="003A6536">
        <w:tab/>
      </w:r>
      <w:r w:rsidR="003A6536">
        <w:tab/>
      </w:r>
      <w:r w:rsidR="005F444F">
        <w:tab/>
        <w:t xml:space="preserve">p6 </w:t>
      </w:r>
      <w:r w:rsidR="0072780C">
        <w:tab/>
      </w:r>
    </w:p>
    <w:p w14:paraId="5A3ECEF5" w14:textId="0BB4F4A7" w:rsidR="005C2813" w:rsidRPr="00C042DE" w:rsidRDefault="00E80787" w:rsidP="005C2813">
      <w:pPr>
        <w:spacing w:after="0" w:line="480" w:lineRule="auto"/>
      </w:pPr>
      <w:r w:rsidRPr="000E0B55">
        <w:t>2.</w:t>
      </w:r>
      <w:r>
        <w:t>2.2</w:t>
      </w:r>
      <w:r>
        <w:tab/>
      </w:r>
      <w:r w:rsidR="00BF10E0" w:rsidRPr="00C042DE">
        <w:t xml:space="preserve">Critical Evaluation of </w:t>
      </w:r>
      <w:r w:rsidRPr="00C042DE">
        <w:t>Roffey (2012)</w:t>
      </w:r>
      <w:r w:rsidR="005F444F" w:rsidRPr="00C042DE">
        <w:tab/>
      </w:r>
      <w:r w:rsidR="005F444F" w:rsidRPr="00C042DE">
        <w:tab/>
      </w:r>
      <w:r w:rsidR="005F444F" w:rsidRPr="00C042DE">
        <w:tab/>
      </w:r>
      <w:r w:rsidR="005F444F" w:rsidRPr="00C042DE">
        <w:tab/>
      </w:r>
      <w:r w:rsidR="005F444F" w:rsidRPr="00C042DE">
        <w:tab/>
      </w:r>
      <w:r w:rsidR="005F444F" w:rsidRPr="00C042DE">
        <w:tab/>
        <w:t>p</w:t>
      </w:r>
      <w:r w:rsidR="00B91B51">
        <w:t>7</w:t>
      </w:r>
      <w:r w:rsidR="0072780C" w:rsidRPr="00C042DE">
        <w:tab/>
      </w:r>
    </w:p>
    <w:p w14:paraId="3BD85EE0" w14:textId="23156A61" w:rsidR="004F4870" w:rsidRDefault="005C2813" w:rsidP="005C2813">
      <w:pPr>
        <w:spacing w:after="0" w:line="480" w:lineRule="auto"/>
      </w:pPr>
      <w:r w:rsidRPr="000E0B55">
        <w:t>2.2.</w:t>
      </w:r>
      <w:r w:rsidR="00E80787">
        <w:t>3</w:t>
      </w:r>
      <w:r w:rsidR="000E0B55">
        <w:tab/>
      </w:r>
      <w:r w:rsidR="00CA47F3">
        <w:t>Teacher and student</w:t>
      </w:r>
      <w:r w:rsidRPr="00EF155A">
        <w:t xml:space="preserve"> Relationships</w:t>
      </w:r>
      <w:r w:rsidR="0072780C">
        <w:tab/>
      </w:r>
      <w:r w:rsidR="0072780C">
        <w:tab/>
      </w:r>
      <w:r w:rsidR="0072780C">
        <w:tab/>
      </w:r>
      <w:r w:rsidR="0072780C">
        <w:tab/>
      </w:r>
      <w:r w:rsidR="0072780C">
        <w:tab/>
      </w:r>
      <w:r w:rsidR="0072780C">
        <w:tab/>
        <w:t>p</w:t>
      </w:r>
      <w:r w:rsidR="00A4226E">
        <w:t>10</w:t>
      </w:r>
      <w:r w:rsidR="0072780C">
        <w:tab/>
      </w:r>
    </w:p>
    <w:p w14:paraId="765993E6" w14:textId="1B2170D7" w:rsidR="00BF10E0" w:rsidRDefault="004F4870" w:rsidP="00BF10E0">
      <w:pPr>
        <w:spacing w:after="0" w:line="480" w:lineRule="auto"/>
      </w:pPr>
      <w:r>
        <w:t>2.2.4</w:t>
      </w:r>
      <w:r>
        <w:tab/>
      </w:r>
      <w:r w:rsidR="00BF10E0" w:rsidRPr="006144BD">
        <w:t>Critical Evaluation of Pianta and Stuhlman (2004)</w:t>
      </w:r>
      <w:r w:rsidR="0072780C" w:rsidRPr="00BF10E0">
        <w:tab/>
      </w:r>
      <w:r w:rsidR="0072780C">
        <w:rPr>
          <w:color w:val="FF0000"/>
        </w:rPr>
        <w:tab/>
      </w:r>
      <w:r w:rsidR="0072780C">
        <w:rPr>
          <w:color w:val="FF0000"/>
        </w:rPr>
        <w:tab/>
      </w:r>
      <w:r w:rsidR="0072780C">
        <w:rPr>
          <w:color w:val="FF0000"/>
        </w:rPr>
        <w:tab/>
      </w:r>
      <w:r w:rsidR="0072780C" w:rsidRPr="00AD6718">
        <w:t>p</w:t>
      </w:r>
      <w:r w:rsidR="00B91B51">
        <w:t>11</w:t>
      </w:r>
      <w:r w:rsidR="0072780C" w:rsidRPr="00AD6718">
        <w:tab/>
      </w:r>
    </w:p>
    <w:p w14:paraId="2BA94E9B" w14:textId="34751BB6" w:rsidR="005C2813" w:rsidRPr="00BF10E0" w:rsidRDefault="00E80787" w:rsidP="00BF10E0">
      <w:pPr>
        <w:spacing w:line="360" w:lineRule="auto"/>
        <w:ind w:left="720" w:hanging="720"/>
        <w:rPr>
          <w:b/>
          <w:bCs/>
        </w:rPr>
      </w:pPr>
      <w:r>
        <w:t>2.2.</w:t>
      </w:r>
      <w:r w:rsidR="004F4870">
        <w:t>5</w:t>
      </w:r>
      <w:r w:rsidR="004F4870">
        <w:tab/>
      </w:r>
      <w:r w:rsidR="004F4870" w:rsidRPr="003F3C5A">
        <w:t>Experiential Learning</w:t>
      </w:r>
      <w:r w:rsidR="0072780C" w:rsidRPr="003F3C5A">
        <w:tab/>
      </w:r>
      <w:r w:rsidR="0072780C">
        <w:rPr>
          <w:color w:val="FF0000"/>
        </w:rPr>
        <w:tab/>
      </w:r>
      <w:r w:rsidR="0072780C">
        <w:rPr>
          <w:color w:val="FF0000"/>
        </w:rPr>
        <w:tab/>
      </w:r>
      <w:r w:rsidR="0072780C">
        <w:rPr>
          <w:color w:val="FF0000"/>
        </w:rPr>
        <w:tab/>
      </w:r>
      <w:r w:rsidR="0072780C">
        <w:rPr>
          <w:color w:val="FF0000"/>
        </w:rPr>
        <w:tab/>
      </w:r>
      <w:r w:rsidR="0072780C">
        <w:rPr>
          <w:color w:val="FF0000"/>
        </w:rPr>
        <w:tab/>
      </w:r>
      <w:r w:rsidR="0072780C" w:rsidRPr="006E3D5B">
        <w:rPr>
          <w:color w:val="000000" w:themeColor="text1"/>
        </w:rPr>
        <w:tab/>
      </w:r>
      <w:r w:rsidR="0072780C" w:rsidRPr="006E3D5B">
        <w:rPr>
          <w:color w:val="000000" w:themeColor="text1"/>
        </w:rPr>
        <w:tab/>
        <w:t>p</w:t>
      </w:r>
      <w:r w:rsidR="00B91B51">
        <w:rPr>
          <w:color w:val="000000" w:themeColor="text1"/>
        </w:rPr>
        <w:t>14</w:t>
      </w:r>
      <w:r w:rsidR="0072780C" w:rsidRPr="006E3D5B">
        <w:rPr>
          <w:color w:val="000000" w:themeColor="text1"/>
        </w:rPr>
        <w:tab/>
      </w:r>
    </w:p>
    <w:p w14:paraId="56E2AB64" w14:textId="77777777" w:rsidR="000E0B55" w:rsidRPr="00C320C4" w:rsidRDefault="000E0B55" w:rsidP="00951827">
      <w:pPr>
        <w:spacing w:after="0" w:line="480" w:lineRule="auto"/>
        <w:rPr>
          <w:b/>
          <w:bCs/>
        </w:rPr>
      </w:pPr>
    </w:p>
    <w:p w14:paraId="7BCFC4E1" w14:textId="14B9904D" w:rsidR="00B91B51" w:rsidRDefault="00490C39" w:rsidP="00951827">
      <w:pPr>
        <w:spacing w:after="0" w:line="480" w:lineRule="auto"/>
        <w:rPr>
          <w:color w:val="000000" w:themeColor="text1"/>
        </w:rPr>
      </w:pPr>
      <w:r w:rsidRPr="00C320C4">
        <w:rPr>
          <w:b/>
          <w:bCs/>
          <w:sz w:val="24"/>
          <w:szCs w:val="24"/>
        </w:rPr>
        <w:t>Section 3</w:t>
      </w:r>
      <w:r w:rsidR="005230B9" w:rsidRPr="00C320C4">
        <w:rPr>
          <w:b/>
          <w:bCs/>
          <w:sz w:val="24"/>
          <w:szCs w:val="24"/>
        </w:rPr>
        <w:t>:</w:t>
      </w:r>
      <w:r w:rsidRPr="00C320C4">
        <w:rPr>
          <w:b/>
          <w:bCs/>
          <w:sz w:val="24"/>
          <w:szCs w:val="24"/>
        </w:rPr>
        <w:t xml:space="preserve"> Conclusion</w:t>
      </w:r>
      <w:r w:rsidRPr="00C320C4">
        <w:rPr>
          <w:b/>
          <w:bCs/>
        </w:rPr>
        <w:br/>
      </w:r>
      <w:r w:rsidR="00FF40B6" w:rsidRPr="00604981">
        <w:t>3</w:t>
      </w:r>
      <w:r w:rsidR="00FF40B6" w:rsidRPr="006E3D5B">
        <w:rPr>
          <w:color w:val="000000" w:themeColor="text1"/>
        </w:rPr>
        <w:t xml:space="preserve">.1     </w:t>
      </w:r>
      <w:r w:rsidR="00FF40B6" w:rsidRPr="006E3D5B">
        <w:rPr>
          <w:color w:val="000000" w:themeColor="text1"/>
        </w:rPr>
        <w:tab/>
        <w:t xml:space="preserve">Research Objectives and Questions </w:t>
      </w:r>
      <w:r w:rsidR="00604981" w:rsidRPr="006E3D5B">
        <w:rPr>
          <w:color w:val="000000" w:themeColor="text1"/>
        </w:rPr>
        <w:tab/>
      </w:r>
      <w:r w:rsidR="00604981" w:rsidRPr="006E3D5B">
        <w:rPr>
          <w:color w:val="000000" w:themeColor="text1"/>
        </w:rPr>
        <w:tab/>
      </w:r>
      <w:r w:rsidR="00604981" w:rsidRPr="006E3D5B">
        <w:rPr>
          <w:color w:val="000000" w:themeColor="text1"/>
        </w:rPr>
        <w:tab/>
      </w:r>
      <w:r w:rsidR="00604981" w:rsidRPr="006E3D5B">
        <w:rPr>
          <w:color w:val="000000" w:themeColor="text1"/>
        </w:rPr>
        <w:tab/>
      </w:r>
      <w:r w:rsidR="00604981" w:rsidRPr="006E3D5B">
        <w:rPr>
          <w:color w:val="000000" w:themeColor="text1"/>
        </w:rPr>
        <w:tab/>
      </w:r>
      <w:r w:rsidR="00604981" w:rsidRPr="006E3D5B">
        <w:rPr>
          <w:color w:val="000000" w:themeColor="text1"/>
        </w:rPr>
        <w:tab/>
        <w:t>p</w:t>
      </w:r>
      <w:r w:rsidR="00B91B51">
        <w:rPr>
          <w:color w:val="000000" w:themeColor="text1"/>
        </w:rPr>
        <w:t>16</w:t>
      </w:r>
      <w:r w:rsidR="00604981" w:rsidRPr="006E3D5B">
        <w:rPr>
          <w:color w:val="000000" w:themeColor="text1"/>
        </w:rPr>
        <w:tab/>
      </w:r>
    </w:p>
    <w:p w14:paraId="4C3D0757" w14:textId="6E4F6054" w:rsidR="00490C39" w:rsidRPr="006E3D5B" w:rsidRDefault="00490C39" w:rsidP="00951827">
      <w:pPr>
        <w:spacing w:after="0" w:line="480" w:lineRule="auto"/>
        <w:rPr>
          <w:color w:val="000000" w:themeColor="text1"/>
        </w:rPr>
      </w:pPr>
      <w:r w:rsidRPr="006E3D5B">
        <w:rPr>
          <w:color w:val="000000" w:themeColor="text1"/>
        </w:rPr>
        <w:t>3.</w:t>
      </w:r>
      <w:r w:rsidR="00FF40B6" w:rsidRPr="006E3D5B">
        <w:rPr>
          <w:color w:val="000000" w:themeColor="text1"/>
        </w:rPr>
        <w:t>2</w:t>
      </w:r>
      <w:r w:rsidR="00FF40B6" w:rsidRPr="006E3D5B">
        <w:rPr>
          <w:color w:val="000000" w:themeColor="text1"/>
        </w:rPr>
        <w:tab/>
      </w:r>
      <w:r w:rsidR="00D479BE" w:rsidRPr="006E3D5B">
        <w:rPr>
          <w:color w:val="000000" w:themeColor="text1"/>
        </w:rPr>
        <w:t>Summary</w:t>
      </w:r>
      <w:r w:rsidR="00DA19F4" w:rsidRPr="006E3D5B">
        <w:rPr>
          <w:color w:val="000000" w:themeColor="text1"/>
        </w:rPr>
        <w:t xml:space="preserve"> and Future Considerations</w:t>
      </w:r>
      <w:r w:rsidR="00C320C4" w:rsidRPr="006E3D5B">
        <w:rPr>
          <w:color w:val="000000" w:themeColor="text1"/>
        </w:rPr>
        <w:tab/>
      </w:r>
      <w:r w:rsidR="00C320C4" w:rsidRPr="006E3D5B">
        <w:rPr>
          <w:color w:val="000000" w:themeColor="text1"/>
        </w:rPr>
        <w:tab/>
      </w:r>
      <w:r w:rsidR="00C320C4" w:rsidRPr="006E3D5B">
        <w:rPr>
          <w:color w:val="000000" w:themeColor="text1"/>
        </w:rPr>
        <w:tab/>
      </w:r>
      <w:r w:rsidR="00C320C4" w:rsidRPr="006E3D5B">
        <w:rPr>
          <w:color w:val="000000" w:themeColor="text1"/>
        </w:rPr>
        <w:tab/>
      </w:r>
      <w:r w:rsidR="00C320C4" w:rsidRPr="006E3D5B">
        <w:rPr>
          <w:color w:val="000000" w:themeColor="text1"/>
        </w:rPr>
        <w:tab/>
      </w:r>
      <w:r w:rsidR="00C320C4" w:rsidRPr="006E3D5B">
        <w:rPr>
          <w:color w:val="000000" w:themeColor="text1"/>
        </w:rPr>
        <w:tab/>
        <w:t>P</w:t>
      </w:r>
      <w:r w:rsidR="00B91B51">
        <w:rPr>
          <w:color w:val="000000" w:themeColor="text1"/>
        </w:rPr>
        <w:t>16</w:t>
      </w:r>
      <w:r w:rsidR="00476115" w:rsidRPr="006E3D5B">
        <w:rPr>
          <w:color w:val="000000" w:themeColor="text1"/>
        </w:rPr>
        <w:tab/>
      </w:r>
      <w:r w:rsidR="00322A1E" w:rsidRPr="006E3D5B">
        <w:rPr>
          <w:color w:val="000000" w:themeColor="text1"/>
        </w:rPr>
        <w:br/>
        <w:t xml:space="preserve">3.3 </w:t>
      </w:r>
      <w:r w:rsidR="00322A1E" w:rsidRPr="006E3D5B">
        <w:rPr>
          <w:color w:val="000000" w:themeColor="text1"/>
        </w:rPr>
        <w:tab/>
        <w:t>Conclusion</w:t>
      </w:r>
      <w:r w:rsidR="00322A1E" w:rsidRPr="006E3D5B">
        <w:rPr>
          <w:color w:val="000000" w:themeColor="text1"/>
        </w:rPr>
        <w:tab/>
      </w:r>
      <w:r w:rsidR="00322A1E" w:rsidRPr="006E3D5B">
        <w:rPr>
          <w:color w:val="000000" w:themeColor="text1"/>
        </w:rPr>
        <w:tab/>
      </w:r>
      <w:r w:rsidR="00322A1E" w:rsidRPr="006E3D5B">
        <w:rPr>
          <w:color w:val="000000" w:themeColor="text1"/>
        </w:rPr>
        <w:tab/>
      </w:r>
      <w:r w:rsidR="00322A1E" w:rsidRPr="006E3D5B">
        <w:rPr>
          <w:color w:val="000000" w:themeColor="text1"/>
        </w:rPr>
        <w:tab/>
      </w:r>
      <w:r w:rsidR="00322A1E" w:rsidRPr="006E3D5B">
        <w:rPr>
          <w:color w:val="000000" w:themeColor="text1"/>
        </w:rPr>
        <w:tab/>
      </w:r>
      <w:r w:rsidR="00322A1E" w:rsidRPr="006E3D5B">
        <w:rPr>
          <w:color w:val="000000" w:themeColor="text1"/>
        </w:rPr>
        <w:tab/>
      </w:r>
      <w:r w:rsidR="00322A1E" w:rsidRPr="006E3D5B">
        <w:rPr>
          <w:color w:val="000000" w:themeColor="text1"/>
        </w:rPr>
        <w:tab/>
      </w:r>
      <w:r w:rsidR="00322A1E" w:rsidRPr="006E3D5B">
        <w:rPr>
          <w:color w:val="000000" w:themeColor="text1"/>
        </w:rPr>
        <w:tab/>
      </w:r>
      <w:r w:rsidR="00322A1E" w:rsidRPr="006E3D5B">
        <w:rPr>
          <w:color w:val="000000" w:themeColor="text1"/>
        </w:rPr>
        <w:tab/>
        <w:t>p</w:t>
      </w:r>
      <w:r w:rsidR="00B91B51">
        <w:rPr>
          <w:color w:val="000000" w:themeColor="text1"/>
        </w:rPr>
        <w:t>17</w:t>
      </w:r>
      <w:r w:rsidR="00322A1E" w:rsidRPr="006E3D5B">
        <w:rPr>
          <w:color w:val="000000" w:themeColor="text1"/>
        </w:rPr>
        <w:tab/>
      </w:r>
    </w:p>
    <w:p w14:paraId="1E1B04AB" w14:textId="3521F3D1" w:rsidR="00490C39" w:rsidRDefault="00DA19F4" w:rsidP="00951827">
      <w:pPr>
        <w:spacing w:after="0" w:line="480" w:lineRule="auto"/>
        <w:rPr>
          <w:b/>
          <w:bCs/>
        </w:rPr>
      </w:pPr>
      <w:r w:rsidRPr="00322A1E">
        <w:rPr>
          <w:b/>
          <w:bCs/>
          <w:color w:val="FF0000"/>
        </w:rPr>
        <w:br/>
      </w:r>
      <w:r w:rsidR="00490C39" w:rsidRPr="00355615">
        <w:rPr>
          <w:b/>
          <w:bCs/>
          <w:sz w:val="24"/>
          <w:szCs w:val="24"/>
        </w:rPr>
        <w:t>Section 4</w:t>
      </w:r>
    </w:p>
    <w:p w14:paraId="2FF2C950" w14:textId="43B02360" w:rsidR="00490C39" w:rsidRPr="00F6737D" w:rsidRDefault="00490C39" w:rsidP="00951827">
      <w:pPr>
        <w:spacing w:after="0" w:line="480" w:lineRule="auto"/>
      </w:pPr>
      <w:r w:rsidRPr="00F6737D">
        <w:t>4.1 References</w:t>
      </w:r>
      <w:r w:rsidR="00EB4D14" w:rsidRPr="00F6737D">
        <w:tab/>
      </w:r>
      <w:r w:rsidR="00EB4D14" w:rsidRPr="00F6737D">
        <w:tab/>
      </w:r>
      <w:r w:rsidR="00EB4D14" w:rsidRPr="00F6737D">
        <w:tab/>
      </w:r>
      <w:r w:rsidR="00EB4D14" w:rsidRPr="00F6737D">
        <w:tab/>
      </w:r>
      <w:r w:rsidR="00EB4D14" w:rsidRPr="00F6737D">
        <w:tab/>
      </w:r>
      <w:r w:rsidR="00EB4D14" w:rsidRPr="00F6737D">
        <w:tab/>
      </w:r>
      <w:r w:rsidR="00EB4D14" w:rsidRPr="00F6737D">
        <w:tab/>
      </w:r>
      <w:r w:rsidR="00EB4D14" w:rsidRPr="00F6737D">
        <w:tab/>
      </w:r>
      <w:r w:rsidR="00EB4D14" w:rsidRPr="00F6737D">
        <w:tab/>
      </w:r>
      <w:r w:rsidR="00EB4D14" w:rsidRPr="00F6737D">
        <w:tab/>
        <w:t>p</w:t>
      </w:r>
      <w:r w:rsidR="00B91B51">
        <w:t>19</w:t>
      </w:r>
    </w:p>
    <w:p w14:paraId="349436A8" w14:textId="32F911AB" w:rsidR="00B77BD6" w:rsidRPr="00D354F9" w:rsidRDefault="00490C39" w:rsidP="00FF40B6">
      <w:pPr>
        <w:pStyle w:val="ListParagraph"/>
        <w:numPr>
          <w:ilvl w:val="1"/>
          <w:numId w:val="23"/>
        </w:numPr>
        <w:spacing w:after="0" w:line="480" w:lineRule="auto"/>
      </w:pPr>
      <w:r w:rsidRPr="00D354F9">
        <w:t xml:space="preserve">Use of AI </w:t>
      </w:r>
      <w:r w:rsidR="00355615" w:rsidRPr="00D354F9">
        <w:t>Acknowledgement</w:t>
      </w:r>
      <w:r w:rsidR="00EB4D14" w:rsidRPr="00D354F9">
        <w:tab/>
      </w:r>
      <w:r w:rsidR="00EB4D14" w:rsidRPr="00D354F9">
        <w:tab/>
      </w:r>
      <w:r w:rsidR="00EB4D14" w:rsidRPr="00D354F9">
        <w:tab/>
      </w:r>
      <w:r w:rsidR="00EB4D14" w:rsidRPr="00D354F9">
        <w:tab/>
      </w:r>
      <w:r w:rsidR="00EB4D14" w:rsidRPr="00D354F9">
        <w:tab/>
      </w:r>
      <w:r w:rsidR="00EB4D14" w:rsidRPr="00D354F9">
        <w:tab/>
      </w:r>
      <w:r w:rsidR="00EB4D14" w:rsidRPr="00D354F9">
        <w:tab/>
        <w:t>p</w:t>
      </w:r>
      <w:r w:rsidR="00B91B51">
        <w:t>22</w:t>
      </w:r>
    </w:p>
    <w:p w14:paraId="1F26495D" w14:textId="77777777" w:rsidR="00DA19F4" w:rsidRPr="00D354F9" w:rsidRDefault="00DA19F4" w:rsidP="00B52C8B">
      <w:pPr>
        <w:spacing w:after="0" w:line="480" w:lineRule="auto"/>
      </w:pPr>
    </w:p>
    <w:p w14:paraId="291A6C36" w14:textId="77777777" w:rsidR="006C78AF" w:rsidRDefault="006C78AF" w:rsidP="00B52C8B">
      <w:pPr>
        <w:spacing w:after="0" w:line="480" w:lineRule="auto"/>
        <w:rPr>
          <w:b/>
          <w:bCs/>
        </w:rPr>
      </w:pPr>
    </w:p>
    <w:p w14:paraId="67B0220C" w14:textId="77777777" w:rsidR="006C78AF" w:rsidRDefault="006C78AF" w:rsidP="00B52C8B">
      <w:pPr>
        <w:spacing w:after="0" w:line="480" w:lineRule="auto"/>
        <w:rPr>
          <w:b/>
          <w:bCs/>
        </w:rPr>
      </w:pPr>
    </w:p>
    <w:p w14:paraId="2F618DBC" w14:textId="482B4A48" w:rsidR="0061048D" w:rsidRPr="00FF40B6" w:rsidRDefault="007E51D6" w:rsidP="00FF40B6">
      <w:pPr>
        <w:pStyle w:val="ListParagraph"/>
        <w:numPr>
          <w:ilvl w:val="0"/>
          <w:numId w:val="24"/>
        </w:numPr>
        <w:rPr>
          <w:b/>
          <w:bCs/>
        </w:rPr>
      </w:pPr>
      <w:r>
        <w:rPr>
          <w:b/>
          <w:bCs/>
        </w:rPr>
        <w:lastRenderedPageBreak/>
        <w:t>B</w:t>
      </w:r>
      <w:r w:rsidR="00B77BD6" w:rsidRPr="00FF40B6">
        <w:rPr>
          <w:b/>
          <w:bCs/>
        </w:rPr>
        <w:t>ackground and Rationale</w:t>
      </w:r>
      <w:r w:rsidR="00297355" w:rsidRPr="00FF40B6">
        <w:rPr>
          <w:b/>
          <w:bCs/>
        </w:rPr>
        <w:br/>
      </w:r>
    </w:p>
    <w:p w14:paraId="50BBA6FA" w14:textId="383E5E1F" w:rsidR="00B77BD6" w:rsidRDefault="00B77BD6" w:rsidP="00B77BD6">
      <w:pPr>
        <w:spacing w:line="360" w:lineRule="auto"/>
      </w:pPr>
      <w:r>
        <w:t xml:space="preserve">As a former primary school teacher and </w:t>
      </w:r>
      <w:r w:rsidR="00E943F1">
        <w:t>current university</w:t>
      </w:r>
      <w:r>
        <w:t xml:space="preserve"> lecturer training student teachers in Wales, </w:t>
      </w:r>
      <w:r w:rsidR="00D4409F">
        <w:t xml:space="preserve">it felt obvious and natural to focus my research </w:t>
      </w:r>
      <w:r>
        <w:t>on education</w:t>
      </w:r>
      <w:r w:rsidR="001B446A">
        <w:t>; specifically surrounding</w:t>
      </w:r>
      <w:r w:rsidR="00AC52DD">
        <w:t xml:space="preserve"> primary school </w:t>
      </w:r>
      <w:r w:rsidR="001B446A">
        <w:t>teacher wellbeing.</w:t>
      </w:r>
      <w:r>
        <w:t xml:space="preserve"> </w:t>
      </w:r>
      <w:r w:rsidR="000622A6">
        <w:t>‘</w:t>
      </w:r>
      <w:r>
        <w:t>Wellbeing</w:t>
      </w:r>
      <w:r w:rsidR="000622A6">
        <w:t>’</w:t>
      </w:r>
      <w:r w:rsidR="005579A0">
        <w:t xml:space="preserve"> </w:t>
      </w:r>
      <w:r w:rsidR="00021BE2">
        <w:t xml:space="preserve">as </w:t>
      </w:r>
      <w:r w:rsidR="005579A0">
        <w:t>generally being understood to</w:t>
      </w:r>
      <w:r w:rsidR="00021BE2">
        <w:t xml:space="preserve"> feel holistically happy (WHO, 1948)</w:t>
      </w:r>
      <w:r>
        <w:t xml:space="preserve"> has been a central theme</w:t>
      </w:r>
      <w:r w:rsidR="00AC52DD">
        <w:t xml:space="preserve"> of personal importance</w:t>
      </w:r>
      <w:r>
        <w:t xml:space="preserve"> throughout my career, underpinning my philosophy that when both teachers and students </w:t>
      </w:r>
      <w:r w:rsidR="000622A6">
        <w:t>are happy</w:t>
      </w:r>
      <w:r>
        <w:t>, stronger relationships and improved learning outcomes emerge</w:t>
      </w:r>
      <w:r w:rsidR="00CB415A">
        <w:t>.</w:t>
      </w:r>
      <w:r>
        <w:t xml:space="preserve"> Hattie (2009) </w:t>
      </w:r>
      <w:r w:rsidR="00AC52DD">
        <w:t xml:space="preserve">also </w:t>
      </w:r>
      <w:r>
        <w:t xml:space="preserve">highlights that the strongest learning takes place when robust </w:t>
      </w:r>
      <w:r w:rsidR="00CA47F3">
        <w:t>teacher and student</w:t>
      </w:r>
      <w:r>
        <w:t xml:space="preserve"> relationships are present</w:t>
      </w:r>
      <w:r w:rsidR="000622A6">
        <w:t>. F</w:t>
      </w:r>
      <w:r w:rsidR="00E943F1">
        <w:t xml:space="preserve">or the purpose of this paper the term “student” refers to children of primary school age (three to eleven years old) rather than student teachers </w:t>
      </w:r>
      <w:proofErr w:type="gramStart"/>
      <w:r w:rsidR="00E943F1">
        <w:t>of</w:t>
      </w:r>
      <w:proofErr w:type="gramEnd"/>
      <w:r w:rsidR="00E943F1">
        <w:t xml:space="preserve"> university age</w:t>
      </w:r>
      <w:r>
        <w:t>. Similarly</w:t>
      </w:r>
      <w:r w:rsidR="00E943F1">
        <w:t xml:space="preserve"> to Hattie’s beliefs</w:t>
      </w:r>
      <w:r>
        <w:t>, Souter and James (2019) explore</w:t>
      </w:r>
      <w:r w:rsidR="00E943F1">
        <w:t xml:space="preserve"> and encourage</w:t>
      </w:r>
      <w:r>
        <w:t xml:space="preserve"> how fostering mutual wellbeing benefits both teachers and students, enhancing the overall classroom environment.</w:t>
      </w:r>
      <w:r w:rsidR="00E943F1">
        <w:t xml:space="preserve"> As this has also been my experience, I am keen to expand on this further and consider how school visits can impact these relationships, whilst being mindful of the dangers of promoting close relationships between students and teachers can sometimes become ethically blurring</w:t>
      </w:r>
      <w:r w:rsidR="009810A3">
        <w:t xml:space="preserve"> in terms of professional boundaries</w:t>
      </w:r>
      <w:r w:rsidR="00AC52DD">
        <w:t xml:space="preserve"> (Danaher, 2021).</w:t>
      </w:r>
    </w:p>
    <w:p w14:paraId="4A01B00B" w14:textId="4F7049D5" w:rsidR="00B77BD6" w:rsidRDefault="00B77BD6" w:rsidP="00B77BD6">
      <w:pPr>
        <w:spacing w:line="360" w:lineRule="auto"/>
      </w:pPr>
      <w:r>
        <w:t>The importance of wellbeing becomes even more evident when considering the challenges facing the teaching profession today. According to data from Stats Wales (2024), approximately 75,000 working days were lost to teacher absences between September 1, 2023, and August 31, 2024. These figures included health-related and stress-related issues, with Cardiff alone accounting for 8,020 days, while Carmarthenshire and Swansea reported 5,200 and 6,520 days, respectivel</w:t>
      </w:r>
      <w:r w:rsidR="00CB415A">
        <w:t>y. A</w:t>
      </w:r>
      <w:r w:rsidR="009810A3">
        <w:t>s areas</w:t>
      </w:r>
      <w:r w:rsidR="005B0945">
        <w:t xml:space="preserve"> local to me,</w:t>
      </w:r>
      <w:r w:rsidR="009810A3">
        <w:t xml:space="preserve"> these are of specific interest to my research and enthuse me to find out why teachers are missing more time in school than before. </w:t>
      </w:r>
      <w:r>
        <w:t>Compared to a decade ago, this marks a significant increase, particularly in cases linked to "work-related stress" (Audit Wales, 2022). Wright’s report for BERA (2022) further emphasi</w:t>
      </w:r>
      <w:r w:rsidR="009810A3">
        <w:t>s</w:t>
      </w:r>
      <w:r>
        <w:t xml:space="preserve">es how teacher mental health and wellbeing concerns have heightened since the pandemic (See </w:t>
      </w:r>
      <w:r w:rsidRPr="009810A3">
        <w:rPr>
          <w:i/>
          <w:iCs/>
        </w:rPr>
        <w:t>et al</w:t>
      </w:r>
      <w:r>
        <w:t xml:space="preserve">., 2020; Müller, 2022). Such data underscores the </w:t>
      </w:r>
      <w:r w:rsidR="009810A3">
        <w:t xml:space="preserve">perhaps </w:t>
      </w:r>
      <w:r w:rsidRPr="005B0945">
        <w:rPr>
          <w:i/>
          <w:iCs/>
        </w:rPr>
        <w:t xml:space="preserve">urgent </w:t>
      </w:r>
      <w:r>
        <w:t>need to address teacher wellbeing, both for their retention in the profession and for fostering effective teaching environments</w:t>
      </w:r>
      <w:r w:rsidR="009810A3">
        <w:t>, the research will aim to consider if relationships with students are a contributing factor to these absences.</w:t>
      </w:r>
    </w:p>
    <w:p w14:paraId="3AD4BFCA" w14:textId="3DDEE860" w:rsidR="007C4D10" w:rsidRDefault="00B77BD6" w:rsidP="00B77BD6">
      <w:pPr>
        <w:spacing w:line="360" w:lineRule="auto"/>
      </w:pPr>
      <w:r>
        <w:t xml:space="preserve">The Welsh Government’s </w:t>
      </w:r>
      <w:r w:rsidRPr="00B77BD6">
        <w:rPr>
          <w:i/>
          <w:iCs/>
        </w:rPr>
        <w:t>Successful Futures</w:t>
      </w:r>
      <w:r>
        <w:t xml:space="preserve"> review (Donaldson, 2015) laid the foundation </w:t>
      </w:r>
      <w:r w:rsidRPr="009D1ADB">
        <w:t>for the Curriculum for Wales</w:t>
      </w:r>
      <w:r w:rsidR="009D1ADB" w:rsidRPr="009D1ADB">
        <w:t xml:space="preserve"> (Welsh Government, 2019)</w:t>
      </w:r>
      <w:r w:rsidRPr="009D1ADB">
        <w:t xml:space="preserve">, focusing on developing </w:t>
      </w:r>
      <w:r>
        <w:t>skills such as critical thinking, creativity, and emotional intelligence in learners. However, despite this progress, little reform has addressed teacher wellbeing or adapted pedagogy to account for societal shifts. This gap raises important questions about how the educational system can better support teachers while maintaining high-quality learning environments</w:t>
      </w:r>
      <w:r w:rsidR="009810A3">
        <w:t xml:space="preserve">, the </w:t>
      </w:r>
      <w:r w:rsidR="00CC52D3">
        <w:t>c</w:t>
      </w:r>
      <w:r w:rsidR="009810A3">
        <w:t xml:space="preserve">urriculum perhaps considered all aspects of reform </w:t>
      </w:r>
      <w:r w:rsidR="00CC52D3">
        <w:t>apart from the</w:t>
      </w:r>
      <w:r w:rsidR="009810A3">
        <w:t xml:space="preserve"> teachers as the “agents of change” as the ones set to deliver the curriculum (</w:t>
      </w:r>
      <w:r w:rsidR="009810A3" w:rsidRPr="009810A3">
        <w:t>Priestley</w:t>
      </w:r>
      <w:r w:rsidR="009810A3">
        <w:t xml:space="preserve"> </w:t>
      </w:r>
      <w:r w:rsidR="009810A3" w:rsidRPr="009810A3">
        <w:rPr>
          <w:i/>
          <w:iCs/>
        </w:rPr>
        <w:t>et al</w:t>
      </w:r>
      <w:r w:rsidR="009810A3">
        <w:t xml:space="preserve">., </w:t>
      </w:r>
      <w:r w:rsidR="009810A3" w:rsidRPr="009810A3">
        <w:t>2013</w:t>
      </w:r>
      <w:r w:rsidR="009810A3">
        <w:t xml:space="preserve">; University of Edinburgh, 2007; </w:t>
      </w:r>
      <w:r w:rsidR="009810A3" w:rsidRPr="009810A3">
        <w:t>Pantić,</w:t>
      </w:r>
      <w:r w:rsidR="009810A3">
        <w:t xml:space="preserve"> </w:t>
      </w:r>
      <w:r w:rsidR="009810A3" w:rsidRPr="009810A3">
        <w:t>2015)</w:t>
      </w:r>
      <w:r w:rsidR="009810A3">
        <w:t>.</w:t>
      </w:r>
    </w:p>
    <w:p w14:paraId="3A9D0BF2" w14:textId="3DF40BE7" w:rsidR="00B77BD6" w:rsidRDefault="00B77BD6" w:rsidP="00B77BD6">
      <w:pPr>
        <w:spacing w:line="360" w:lineRule="auto"/>
      </w:pPr>
      <w:r>
        <w:lastRenderedPageBreak/>
        <w:t xml:space="preserve">Reflecting on my own teaching experiences, I have found that the times when I was happiest and most effective </w:t>
      </w:r>
      <w:r w:rsidR="009810A3">
        <w:t xml:space="preserve">as a practitioner </w:t>
      </w:r>
      <w:r>
        <w:t xml:space="preserve">coincided with when I had the strongest relationships with my </w:t>
      </w:r>
      <w:r w:rsidR="00CA47F3">
        <w:t>student</w:t>
      </w:r>
      <w:r>
        <w:t xml:space="preserve">s. One standout example was my involvement in the </w:t>
      </w:r>
      <w:r w:rsidRPr="00B77BD6">
        <w:rPr>
          <w:i/>
          <w:iCs/>
        </w:rPr>
        <w:t>M</w:t>
      </w:r>
      <w:r w:rsidR="009810A3">
        <w:rPr>
          <w:i/>
          <w:iCs/>
        </w:rPr>
        <w:t>y</w:t>
      </w:r>
      <w:r w:rsidRPr="00B77BD6">
        <w:rPr>
          <w:i/>
          <w:iCs/>
        </w:rPr>
        <w:t xml:space="preserve"> Primary School is At The Museum</w:t>
      </w:r>
      <w:r>
        <w:t xml:space="preserve"> project, developed in collaboration with King’s College London</w:t>
      </w:r>
      <w:r w:rsidR="009810A3">
        <w:t xml:space="preserve"> in 2018</w:t>
      </w:r>
      <w:r>
        <w:t>. This initiative involved taking my class of four-year-olds to a local museum daily for eight weeks, transforming the museum into their classroom. The project em</w:t>
      </w:r>
      <w:r w:rsidR="009810A3">
        <w:t>barked upon</w:t>
      </w:r>
      <w:r>
        <w:t xml:space="preserve"> cross-disciplinary, hands-on learning, enabling students to engage with historical, cultural, and scientific knowledge in meaningful ways. </w:t>
      </w:r>
      <w:r w:rsidR="00D56B73">
        <w:t>As t</w:t>
      </w:r>
      <w:r>
        <w:t>eachers</w:t>
      </w:r>
      <w:r w:rsidR="00D56B73">
        <w:t xml:space="preserve"> in this </w:t>
      </w:r>
      <w:proofErr w:type="gramStart"/>
      <w:r w:rsidR="00D56B73">
        <w:t>setting</w:t>
      </w:r>
      <w:proofErr w:type="gramEnd"/>
      <w:r w:rsidR="00D56B73">
        <w:t xml:space="preserve"> we</w:t>
      </w:r>
      <w:r>
        <w:t xml:space="preserve"> became facilitators of inquiry rather than sole providers of knowledge,</w:t>
      </w:r>
      <w:r w:rsidR="00D56B73">
        <w:t xml:space="preserve"> thereby</w:t>
      </w:r>
      <w:r>
        <w:t xml:space="preserve"> creating more collaborative and </w:t>
      </w:r>
      <w:r w:rsidR="00D56B73">
        <w:t xml:space="preserve">unrestricted </w:t>
      </w:r>
      <w:r>
        <w:t xml:space="preserve">interactions with </w:t>
      </w:r>
      <w:r w:rsidR="00CA47F3">
        <w:t>student</w:t>
      </w:r>
      <w:r>
        <w:t>s.</w:t>
      </w:r>
      <w:r w:rsidR="009810A3">
        <w:t xml:space="preserve"> </w:t>
      </w:r>
      <w:r>
        <w:t xml:space="preserve">The findings of the project, as reported by King’s College London (2018), highlighted its impact on </w:t>
      </w:r>
      <w:r w:rsidR="00CA47F3">
        <w:t>teacher and student</w:t>
      </w:r>
      <w:r>
        <w:t xml:space="preserve"> relationships and its wider benefits, including fostering deeper connections between schools, parents, and the community. Additionally, the project demonstrated the reciprocal benefits for teachers, who reported increased creativity, satisfaction, and wellbeing </w:t>
      </w:r>
      <w:proofErr w:type="gramStart"/>
      <w:r>
        <w:t>as a result of</w:t>
      </w:r>
      <w:proofErr w:type="gramEnd"/>
      <w:r>
        <w:t xml:space="preserve"> participating. These outcomes align with the </w:t>
      </w:r>
      <w:r w:rsidR="009810A3">
        <w:t xml:space="preserve">Four Purposes underpinning the </w:t>
      </w:r>
      <w:r w:rsidRPr="00B77BD6">
        <w:rPr>
          <w:i/>
          <w:iCs/>
        </w:rPr>
        <w:t xml:space="preserve">Curriculum for </w:t>
      </w:r>
      <w:r w:rsidR="00466159" w:rsidRPr="00B77BD6">
        <w:rPr>
          <w:i/>
          <w:iCs/>
        </w:rPr>
        <w:t>Wales</w:t>
      </w:r>
      <w:r w:rsidR="00466159">
        <w:t>’s</w:t>
      </w:r>
      <w:r>
        <w:t xml:space="preserve"> vision of developing ambitious, capable learners through authentic, contextually relevant experiences (Donaldson, 2015).</w:t>
      </w:r>
    </w:p>
    <w:p w14:paraId="35E00347" w14:textId="60B92E6E" w:rsidR="00B77BD6" w:rsidRDefault="009810A3" w:rsidP="00B77BD6">
      <w:pPr>
        <w:spacing w:line="360" w:lineRule="auto"/>
      </w:pPr>
      <w:r>
        <w:t>When considering</w:t>
      </w:r>
      <w:r w:rsidR="00B77BD6">
        <w:t xml:space="preserve"> the notion that informal learning environments, such as museums, provide unique opportunities for strengthening </w:t>
      </w:r>
      <w:r w:rsidR="00CA47F3">
        <w:t>teacher and student</w:t>
      </w:r>
      <w:r w:rsidR="00B77BD6">
        <w:t xml:space="preserve"> relationships</w:t>
      </w:r>
      <w:r>
        <w:t>,</w:t>
      </w:r>
      <w:r w:rsidR="00B77BD6">
        <w:t xml:space="preserve"> Pianta, Hamre, and Allen (2012) note that shared, novel experiences in such settings help break down hierarchical barriers, fostering relational trust and understanding. Estyn (2020) further </w:t>
      </w:r>
      <w:r w:rsidR="00A67035">
        <w:t>incites</w:t>
      </w:r>
      <w:r w:rsidR="00B77BD6">
        <w:t xml:space="preserve"> the value of collaborative learning organi</w:t>
      </w:r>
      <w:r w:rsidR="00A67035">
        <w:t>s</w:t>
      </w:r>
      <w:r w:rsidR="00B77BD6">
        <w:t>ations in nurturing trust and mutual respect between teachers and students.</w:t>
      </w:r>
      <w:r w:rsidR="00A67035">
        <w:t xml:space="preserve"> </w:t>
      </w:r>
    </w:p>
    <w:p w14:paraId="6DEA95C1" w14:textId="4E52F507" w:rsidR="00B77BD6" w:rsidRDefault="00B77BD6" w:rsidP="00B77BD6">
      <w:pPr>
        <w:spacing w:line="360" w:lineRule="auto"/>
      </w:pPr>
      <w:r>
        <w:t>This</w:t>
      </w:r>
      <w:r w:rsidR="00D937BA">
        <w:t xml:space="preserve"> critical</w:t>
      </w:r>
      <w:r>
        <w:t xml:space="preserve"> literature review </w:t>
      </w:r>
      <w:r w:rsidR="00A67035">
        <w:t xml:space="preserve">aims to </w:t>
      </w:r>
      <w:r>
        <w:t>build</w:t>
      </w:r>
      <w:r w:rsidR="00A67035">
        <w:t xml:space="preserve"> </w:t>
      </w:r>
      <w:r>
        <w:t xml:space="preserve">on these personal and professional insights, exploring the broader research on </w:t>
      </w:r>
      <w:r w:rsidR="00CA47F3">
        <w:t>teacher and student</w:t>
      </w:r>
      <w:r>
        <w:t xml:space="preserve"> relationships within the context of educational visits. It examines how these experiences influence classroom dynamics, teacher perceptions of their roles, and overall wellbeing, contributing to the evolving discourse on experiential learning in the Welsh educational landscape.</w:t>
      </w:r>
    </w:p>
    <w:p w14:paraId="6114AA5E" w14:textId="77777777" w:rsidR="007555FF" w:rsidRDefault="007555FF" w:rsidP="00FD1F27">
      <w:pPr>
        <w:spacing w:line="360" w:lineRule="auto"/>
        <w:rPr>
          <w:b/>
          <w:bCs/>
        </w:rPr>
      </w:pPr>
      <w:r>
        <w:rPr>
          <w:b/>
          <w:bCs/>
        </w:rPr>
        <w:t xml:space="preserve"> </w:t>
      </w:r>
    </w:p>
    <w:p w14:paraId="4924AF8D" w14:textId="77777777" w:rsidR="007555FF" w:rsidRDefault="007555FF" w:rsidP="00FD1F27">
      <w:pPr>
        <w:spacing w:line="360" w:lineRule="auto"/>
        <w:rPr>
          <w:b/>
          <w:bCs/>
        </w:rPr>
      </w:pPr>
    </w:p>
    <w:p w14:paraId="137666D6" w14:textId="77777777" w:rsidR="007555FF" w:rsidRDefault="007555FF" w:rsidP="00FD1F27">
      <w:pPr>
        <w:spacing w:line="360" w:lineRule="auto"/>
        <w:rPr>
          <w:b/>
          <w:bCs/>
        </w:rPr>
      </w:pPr>
    </w:p>
    <w:p w14:paraId="6B1A1A2B" w14:textId="77777777" w:rsidR="007555FF" w:rsidRDefault="007555FF" w:rsidP="00FD1F27">
      <w:pPr>
        <w:spacing w:line="360" w:lineRule="auto"/>
        <w:rPr>
          <w:b/>
          <w:bCs/>
        </w:rPr>
      </w:pPr>
    </w:p>
    <w:p w14:paraId="148B003C" w14:textId="77777777" w:rsidR="007555FF" w:rsidRDefault="007555FF" w:rsidP="00FD1F27">
      <w:pPr>
        <w:spacing w:line="360" w:lineRule="auto"/>
        <w:rPr>
          <w:b/>
          <w:bCs/>
        </w:rPr>
      </w:pPr>
    </w:p>
    <w:p w14:paraId="6933C9AE" w14:textId="77777777" w:rsidR="007555FF" w:rsidRDefault="007555FF" w:rsidP="00FD1F27">
      <w:pPr>
        <w:spacing w:line="360" w:lineRule="auto"/>
        <w:rPr>
          <w:b/>
          <w:bCs/>
        </w:rPr>
      </w:pPr>
    </w:p>
    <w:p w14:paraId="0CF87CAE" w14:textId="77777777" w:rsidR="007555FF" w:rsidRDefault="007555FF" w:rsidP="00FD1F27">
      <w:pPr>
        <w:spacing w:line="360" w:lineRule="auto"/>
        <w:rPr>
          <w:b/>
          <w:bCs/>
        </w:rPr>
      </w:pPr>
    </w:p>
    <w:p w14:paraId="3811F05E" w14:textId="77777777" w:rsidR="007555FF" w:rsidRDefault="007555FF" w:rsidP="00FD1F27">
      <w:pPr>
        <w:spacing w:line="360" w:lineRule="auto"/>
        <w:rPr>
          <w:b/>
          <w:bCs/>
        </w:rPr>
      </w:pPr>
    </w:p>
    <w:p w14:paraId="7CF095E1" w14:textId="6EAE842F" w:rsidR="00234612" w:rsidRDefault="00EC7990" w:rsidP="00FD1F27">
      <w:pPr>
        <w:spacing w:line="360" w:lineRule="auto"/>
        <w:rPr>
          <w:b/>
          <w:bCs/>
        </w:rPr>
      </w:pPr>
      <w:r>
        <w:rPr>
          <w:b/>
          <w:bCs/>
        </w:rPr>
        <w:lastRenderedPageBreak/>
        <w:t>S</w:t>
      </w:r>
      <w:r w:rsidR="00234612">
        <w:rPr>
          <w:b/>
          <w:bCs/>
        </w:rPr>
        <w:t>ection 2 The Literature Review</w:t>
      </w:r>
    </w:p>
    <w:p w14:paraId="24766225" w14:textId="6CD4D9F3" w:rsidR="005C2813" w:rsidRDefault="00234612" w:rsidP="00FD1F27">
      <w:pPr>
        <w:spacing w:line="360" w:lineRule="auto"/>
        <w:rPr>
          <w:b/>
          <w:bCs/>
        </w:rPr>
      </w:pPr>
      <w:r>
        <w:rPr>
          <w:b/>
          <w:bCs/>
        </w:rPr>
        <w:t>2.1</w:t>
      </w:r>
      <w:r w:rsidR="00297355">
        <w:rPr>
          <w:b/>
          <w:bCs/>
        </w:rPr>
        <w:t xml:space="preserve"> Searching the Literature </w:t>
      </w:r>
    </w:p>
    <w:p w14:paraId="61356C24" w14:textId="231BA0AD" w:rsidR="00784031" w:rsidRPr="00784031" w:rsidRDefault="00784031" w:rsidP="00784031">
      <w:pPr>
        <w:spacing w:line="360" w:lineRule="auto"/>
      </w:pPr>
      <w:r w:rsidRPr="00784031">
        <w:t xml:space="preserve">Embarking on this literature review initially revealed a limited body of research directly linking student-teacher relationships, primary education, </w:t>
      </w:r>
      <w:r w:rsidRPr="002A396B">
        <w:rPr>
          <w:u w:val="single"/>
        </w:rPr>
        <w:t>and</w:t>
      </w:r>
      <w:r w:rsidRPr="00784031">
        <w:t xml:space="preserve"> educational visits. Early searches using specific parameters</w:t>
      </w:r>
      <w:r w:rsidR="002531EB">
        <w:t xml:space="preserve"> (namely linking primary schools, student relationships, teacher relationships, wellbeing AND educational visits)</w:t>
      </w:r>
      <w:r w:rsidRPr="00784031">
        <w:t xml:space="preserve"> yielded minimal results, emphasi</w:t>
      </w:r>
      <w:r w:rsidR="002531EB">
        <w:t>s</w:t>
      </w:r>
      <w:r w:rsidRPr="00784031">
        <w:t xml:space="preserve">ing a notable gap in the literature. Expanding the scope of the review by removing some search constraints uncovered broader insights, particularly </w:t>
      </w:r>
      <w:r w:rsidR="002531EB">
        <w:t>resulting in s</w:t>
      </w:r>
      <w:r w:rsidRPr="00784031">
        <w:t>tudies conducted in Scandinavian countries, where holistic educational approaches often integrate well-being, social-emotional learning (SEL), and outdoor or experiential activitie</w:t>
      </w:r>
      <w:r w:rsidR="002531EB">
        <w:t>s</w:t>
      </w:r>
      <w:r w:rsidRPr="00784031">
        <w:t>.</w:t>
      </w:r>
    </w:p>
    <w:p w14:paraId="59828D33" w14:textId="0F197A92" w:rsidR="00784031" w:rsidRPr="00784031" w:rsidRDefault="00784031" w:rsidP="00784031">
      <w:pPr>
        <w:spacing w:line="360" w:lineRule="auto"/>
      </w:pPr>
      <w:r w:rsidRPr="00784031">
        <w:t>The European Commission (2022) highlights that Scandinavian educational systems prioriti</w:t>
      </w:r>
      <w:r w:rsidR="002531EB">
        <w:t>s</w:t>
      </w:r>
      <w:r w:rsidRPr="00784031">
        <w:t>e a holistic approach to learning, placing significant emphasis on student participation, equality, and inclusivity</w:t>
      </w:r>
      <w:r w:rsidR="00367733">
        <w:t xml:space="preserve"> – aligning with my own positionality on education</w:t>
      </w:r>
      <w:r w:rsidRPr="00784031">
        <w:t>. These principles are underpinned by a strong focus on SEL and well-being, which have been shown to contribute to positive educational outcomes</w:t>
      </w:r>
      <w:r w:rsidR="00367733">
        <w:t xml:space="preserve"> and these</w:t>
      </w:r>
      <w:r w:rsidRPr="00784031">
        <w:t xml:space="preserve"> practices align closely with the aims of the Curriculum for Wales, which </w:t>
      </w:r>
      <w:r w:rsidR="00367733">
        <w:t>encompasses</w:t>
      </w:r>
      <w:r w:rsidRPr="00784031">
        <w:t xml:space="preserve"> authentic contexts and learner well-being as central to its educational framework (Welsh Government, 2019). This raises an intriguing area for exploration: how educational visits, often used in Scandinavian systems, might similarly enhance student-teacher relationships within the context of Wales' evolving curriculum</w:t>
      </w:r>
      <w:r w:rsidR="00367733">
        <w:t xml:space="preserve"> – but there is limited existing research to draw upon.</w:t>
      </w:r>
    </w:p>
    <w:p w14:paraId="006FBB7E" w14:textId="0691E053" w:rsidR="00784031" w:rsidRPr="00784031" w:rsidRDefault="00784031" w:rsidP="00784031">
      <w:pPr>
        <w:spacing w:line="360" w:lineRule="auto"/>
      </w:pPr>
      <w:r w:rsidRPr="00784031">
        <w:t xml:space="preserve">In conducting this review, searches for literature specifically linking educational visits to student-teacher relationships in primary schools </w:t>
      </w:r>
      <w:r w:rsidR="00367733">
        <w:t xml:space="preserve">also </w:t>
      </w:r>
      <w:r w:rsidRPr="00784031">
        <w:t xml:space="preserve">yielded limited direct results. However, broader studies on </w:t>
      </w:r>
      <w:r w:rsidR="00CA47F3">
        <w:t>teacher and student</w:t>
      </w:r>
      <w:r w:rsidRPr="00784031">
        <w:t xml:space="preserve"> relationships consistently </w:t>
      </w:r>
      <w:r w:rsidR="00242AFE">
        <w:t>show apparent links in</w:t>
      </w:r>
      <w:r w:rsidRPr="00784031">
        <w:t xml:space="preserve"> their critical role in fostering trust, motivation, and academic success (Hattie, 2009; Bowlby, 1969). Similarly, research into experiential learning (Kolb, 1984; Rogoff, 2003) highlights how engaging students in real-world, hands-on activities promotes relational growth, which may be further amplified in informal settings such as educational visits.</w:t>
      </w:r>
      <w:r w:rsidR="00242AFE">
        <w:t xml:space="preserve"> But again, nothing linking </w:t>
      </w:r>
      <w:proofErr w:type="gramStart"/>
      <w:r w:rsidR="00242AFE">
        <w:t>all of</w:t>
      </w:r>
      <w:proofErr w:type="gramEnd"/>
      <w:r w:rsidR="00242AFE">
        <w:t xml:space="preserve"> the queries.</w:t>
      </w:r>
    </w:p>
    <w:p w14:paraId="700BE328" w14:textId="274DC116" w:rsidR="00A959E6" w:rsidRDefault="00784031" w:rsidP="00784031">
      <w:pPr>
        <w:spacing w:line="360" w:lineRule="auto"/>
      </w:pPr>
      <w:r w:rsidRPr="00784031">
        <w:t xml:space="preserve">The limited availability of direct studies in this niche area suggests a significant gap in the research. While existing studies touch on related themes—such as the impact of </w:t>
      </w:r>
      <w:r w:rsidR="00CA47F3">
        <w:t>teacher and student</w:t>
      </w:r>
      <w:r w:rsidRPr="00784031">
        <w:t xml:space="preserve"> relationships on academic success or the benefits of outdoor learning—there remains little empirical evidence explicitly connecting educational visits to the dynamics of these relationships. This scarcity of evidence underscores the necessity of conducting further research to examine how the shared experiences of educational visits might strengthen relational ties between teachers and students.</w:t>
      </w:r>
      <w:r w:rsidR="00A959E6">
        <w:t xml:space="preserve"> The limited sources that were available shall be critiqued in more detail using tools such as </w:t>
      </w:r>
      <w:r w:rsidR="00A94ECC">
        <w:t xml:space="preserve">those recommended by Wallace and Wray </w:t>
      </w:r>
      <w:r w:rsidR="00653969">
        <w:t>(</w:t>
      </w:r>
      <w:r w:rsidR="00E7129A">
        <w:t xml:space="preserve">2021) </w:t>
      </w:r>
      <w:r w:rsidR="00A94ECC">
        <w:t>and Rowland (</w:t>
      </w:r>
      <w:r w:rsidR="00653969">
        <w:t>n.d)</w:t>
      </w:r>
      <w:r w:rsidR="00E7129A">
        <w:t xml:space="preserve"> to </w:t>
      </w:r>
      <w:r w:rsidR="00E5291D">
        <w:t>consider the validity of the research and be able to consider the findings on their individual merits – a sceptical</w:t>
      </w:r>
      <w:r w:rsidR="007C4D10">
        <w:t xml:space="preserve"> and often dark way of thinking</w:t>
      </w:r>
      <w:r w:rsidR="00E5291D">
        <w:t xml:space="preserve"> but</w:t>
      </w:r>
      <w:r w:rsidR="007C4D10">
        <w:t xml:space="preserve"> a</w:t>
      </w:r>
      <w:r w:rsidR="00E5291D">
        <w:t xml:space="preserve"> necessary path of a</w:t>
      </w:r>
      <w:r w:rsidR="007C4D10">
        <w:t>n emerging</w:t>
      </w:r>
      <w:r w:rsidR="00E5291D">
        <w:t xml:space="preserve"> researcher</w:t>
      </w:r>
      <w:r w:rsidR="007C4D10">
        <w:t>!</w:t>
      </w:r>
    </w:p>
    <w:p w14:paraId="0F74C325" w14:textId="48C1DC91" w:rsidR="00AD7D85" w:rsidRPr="00EF155A" w:rsidRDefault="005C2813" w:rsidP="00FD1F27">
      <w:pPr>
        <w:spacing w:line="360" w:lineRule="auto"/>
      </w:pPr>
      <w:r>
        <w:rPr>
          <w:b/>
          <w:bCs/>
        </w:rPr>
        <w:lastRenderedPageBreak/>
        <w:t>2.2</w:t>
      </w:r>
      <w:r w:rsidR="00234612">
        <w:rPr>
          <w:b/>
          <w:bCs/>
        </w:rPr>
        <w:t xml:space="preserve"> Conceptual Framework </w:t>
      </w:r>
      <w:r w:rsidR="005230B9">
        <w:rPr>
          <w:b/>
          <w:bCs/>
        </w:rPr>
        <w:br/>
      </w:r>
      <w:r w:rsidR="005230B9">
        <w:rPr>
          <w:b/>
          <w:bCs/>
        </w:rPr>
        <w:br/>
      </w:r>
      <w:r w:rsidR="00EF155A" w:rsidRPr="00EF155A">
        <w:t>Defining a precise conceptual framework for research often requires narrowing a broad field of inquiry into manageable, interconnected areas</w:t>
      </w:r>
      <w:r w:rsidR="007A3055">
        <w:t xml:space="preserve"> (Creswell, 2018)</w:t>
      </w:r>
      <w:r w:rsidR="00EF155A" w:rsidRPr="00EF155A">
        <w:t xml:space="preserve">. For this study, the focus is on </w:t>
      </w:r>
      <w:r w:rsidR="00A8685B">
        <w:t xml:space="preserve">exploring </w:t>
      </w:r>
      <w:r w:rsidR="00EF155A" w:rsidRPr="00EF155A">
        <w:t xml:space="preserve">how educational visits can </w:t>
      </w:r>
      <w:r w:rsidR="00A8685B">
        <w:t>impact</w:t>
      </w:r>
      <w:r w:rsidR="00EF155A" w:rsidRPr="00EF155A">
        <w:t xml:space="preserve"> teacher and </w:t>
      </w:r>
      <w:r w:rsidR="00CA47F3">
        <w:t>student</w:t>
      </w:r>
      <w:r w:rsidR="00EF155A" w:rsidRPr="00EF155A">
        <w:t xml:space="preserve"> wellbeing, with particular emphasis on building positive relationships, experiential learning, and teacher wellbeing. </w:t>
      </w:r>
      <w:r w:rsidR="00A8685B">
        <w:t>This</w:t>
      </w:r>
      <w:r w:rsidR="00EB25D9">
        <w:t xml:space="preserve"> </w:t>
      </w:r>
      <w:r w:rsidR="00E336F6">
        <w:t xml:space="preserve">potentially </w:t>
      </w:r>
      <w:r w:rsidR="00EB25D9">
        <w:t>broad topic offers itself to many possible areas of focus an</w:t>
      </w:r>
      <w:r w:rsidR="00E93CA6">
        <w:t>d i</w:t>
      </w:r>
      <w:r w:rsidR="00EF155A" w:rsidRPr="00EF155A">
        <w:t xml:space="preserve">dentifying a specific focus for the research presented a challenge due to the wide-ranging possibilities within this field. </w:t>
      </w:r>
      <w:r w:rsidR="00AD7D85" w:rsidRPr="00EF155A">
        <w:t>After refining the focus, three core conceptual frameworks were identified to guide the research:</w:t>
      </w:r>
      <w:r w:rsidR="00187D94">
        <w:br/>
      </w:r>
    </w:p>
    <w:p w14:paraId="126902F0" w14:textId="6407AED8" w:rsidR="00EF155A" w:rsidRPr="006C78AF" w:rsidRDefault="005C2813" w:rsidP="006C78AF">
      <w:pPr>
        <w:spacing w:line="360" w:lineRule="auto"/>
        <w:rPr>
          <w:b/>
          <w:bCs/>
        </w:rPr>
      </w:pPr>
      <w:r>
        <w:rPr>
          <w:b/>
          <w:bCs/>
        </w:rPr>
        <w:t xml:space="preserve">2.2.1 </w:t>
      </w:r>
      <w:r w:rsidR="00EF155A" w:rsidRPr="006C78AF">
        <w:rPr>
          <w:b/>
          <w:bCs/>
        </w:rPr>
        <w:t xml:space="preserve">Teacher Wellbeing </w:t>
      </w:r>
      <w:r w:rsidR="0023680F" w:rsidRPr="006C78AF">
        <w:rPr>
          <w:b/>
          <w:bCs/>
        </w:rPr>
        <w:t>in the Context of Educational Visits</w:t>
      </w:r>
    </w:p>
    <w:p w14:paraId="37FF118C" w14:textId="1745A03C" w:rsidR="0023680F" w:rsidRDefault="0023680F" w:rsidP="00FD1F27">
      <w:pPr>
        <w:spacing w:line="360" w:lineRule="auto"/>
      </w:pPr>
      <w:r>
        <w:t>Teacher wellbeing is increasingly recogni</w:t>
      </w:r>
      <w:r w:rsidR="00187D94">
        <w:t>s</w:t>
      </w:r>
      <w:r>
        <w:t>ed as a critical factor in fostering positive educational environments, with external activities such as educational visits offering promising avenues for supporting teacher engagement and reducing stress</w:t>
      </w:r>
      <w:r w:rsidR="00F6255D">
        <w:t xml:space="preserve"> according to the sources outlined within this section</w:t>
      </w:r>
      <w:r>
        <w:t xml:space="preserve">. Fiorilli </w:t>
      </w:r>
      <w:r w:rsidRPr="00F6255D">
        <w:rPr>
          <w:i/>
          <w:iCs/>
        </w:rPr>
        <w:t>et al.</w:t>
      </w:r>
      <w:r>
        <w:t xml:space="preserve"> (2019) underscore the connection between teacher wellbeing and professional development, identifying that participation in external activities, including educational visits, can alleviate stress and enhance job satisfaction. However, while this study highlights the potential benefits of such activities, it does not d</w:t>
      </w:r>
      <w:r w:rsidR="00F6255D">
        <w:t>ive</w:t>
      </w:r>
      <w:r>
        <w:t xml:space="preserve"> into their specific impact on the </w:t>
      </w:r>
      <w:r w:rsidR="00CA47F3">
        <w:t>teacher and student</w:t>
      </w:r>
      <w:r>
        <w:t xml:space="preserve"> relationship, leaving a critical gap in understanding the dual benefits of educational visits for both teachers and students.</w:t>
      </w:r>
      <w:r w:rsidR="00B00322">
        <w:t xml:space="preserve"> This does link to the earlier concern of increased teacher absence in that it may suggest that </w:t>
      </w:r>
      <w:r w:rsidR="009C5F21">
        <w:t>visits could improve this.</w:t>
      </w:r>
    </w:p>
    <w:p w14:paraId="4F50EF0A" w14:textId="518862A3" w:rsidR="0023680F" w:rsidRDefault="0023680F" w:rsidP="00FD1F27">
      <w:pPr>
        <w:spacing w:line="360" w:lineRule="auto"/>
      </w:pPr>
      <w:r>
        <w:t xml:space="preserve">Kyriacou’s (2001) foundational work on teacher stress offers further insights into the factors influencing teacher wellbeing. He identifies external professional development opportunities as a potential mechanism for stress reduction but, like Fiorilli, does not explicitly connect these opportunities to educational visits or their broader implications for student outcomes. This omission highlights the need for more targeted research exploring how visits, as a specific form of professional engagement, might influence </w:t>
      </w:r>
      <w:r w:rsidRPr="009C5F21">
        <w:rPr>
          <w:i/>
          <w:iCs/>
        </w:rPr>
        <w:t>both</w:t>
      </w:r>
      <w:r>
        <w:t xml:space="preserve"> teacher wellbeing and classroom dynamics.</w:t>
      </w:r>
    </w:p>
    <w:p w14:paraId="6EEF41E6" w14:textId="1CE01656" w:rsidR="0023680F" w:rsidRDefault="009C5F21" w:rsidP="00FD1F27">
      <w:pPr>
        <w:spacing w:line="360" w:lineRule="auto"/>
      </w:pPr>
      <w:r>
        <w:t xml:space="preserve">Contrastingly, </w:t>
      </w:r>
      <w:r w:rsidR="0023680F">
        <w:t>Roffey (2012) extends the conversation to a broader analysis of school wellbeing, emphasi</w:t>
      </w:r>
      <w:r w:rsidR="00B978F2">
        <w:t>s</w:t>
      </w:r>
      <w:r w:rsidR="0023680F">
        <w:t xml:space="preserve">ing that activities such as external trips can foster a sense of community and positively influence the wellbeing of both teachers and students. However, Roffey’s analysis is limited in its reliance on general observations rather than detailed case studies or robust empirical data. While the theoretical basis </w:t>
      </w:r>
      <w:r w:rsidR="00B978F2">
        <w:t>may be considered</w:t>
      </w:r>
      <w:r w:rsidR="0023680F">
        <w:t xml:space="preserve"> compelling, the absence of concrete evidence weakens the claim's applicability in specific educational contexts, further reinforcing the need for research that situates educational visits within a structured and evidence-based framework</w:t>
      </w:r>
      <w:r w:rsidR="00CF6990">
        <w:t xml:space="preserve"> – this will be expanded upon in</w:t>
      </w:r>
      <w:r w:rsidR="00B0294F">
        <w:t xml:space="preserve"> the nex</w:t>
      </w:r>
      <w:r w:rsidR="00234612">
        <w:t>t sub</w:t>
      </w:r>
      <w:r w:rsidR="00DD1E28">
        <w:t>-</w:t>
      </w:r>
      <w:r w:rsidR="00CF6990">
        <w:t>section.</w:t>
      </w:r>
    </w:p>
    <w:p w14:paraId="6BC00AA4" w14:textId="643F68C1" w:rsidR="0023680F" w:rsidRDefault="0023680F" w:rsidP="00FD1F27">
      <w:pPr>
        <w:spacing w:line="360" w:lineRule="auto"/>
      </w:pPr>
      <w:r>
        <w:t xml:space="preserve">Two </w:t>
      </w:r>
      <w:r w:rsidR="00D466DF">
        <w:t xml:space="preserve">existing </w:t>
      </w:r>
      <w:r>
        <w:t>conceptual frameworks</w:t>
      </w:r>
      <w:r w:rsidR="00D466DF">
        <w:t xml:space="preserve"> that perhaps</w:t>
      </w:r>
      <w:r>
        <w:t xml:space="preserve"> offer valuable perspectives for understanding the potential of educational visits to enhance teacher wellbeing</w:t>
      </w:r>
      <w:r w:rsidR="00D466DF">
        <w:t xml:space="preserve"> are the </w:t>
      </w:r>
      <w:r>
        <w:t>Self</w:t>
      </w:r>
      <w:r w:rsidR="006C566B">
        <w:t xml:space="preserve"> </w:t>
      </w:r>
      <w:r>
        <w:t>Determination Theory (SDT) and the Job Demands</w:t>
      </w:r>
      <w:r w:rsidR="006C566B">
        <w:t xml:space="preserve"> </w:t>
      </w:r>
      <w:r>
        <w:lastRenderedPageBreak/>
        <w:t xml:space="preserve">Resources (JDR) Model. Deci and Ryan’s (1985) SDT </w:t>
      </w:r>
      <w:r w:rsidR="006C566B">
        <w:t>underpins</w:t>
      </w:r>
      <w:r>
        <w:t xml:space="preserve"> the importance of fulfilling basic psychological needs</w:t>
      </w:r>
      <w:r w:rsidR="006C566B">
        <w:t xml:space="preserve"> to</w:t>
      </w:r>
      <w:r>
        <w:t xml:space="preserve"> foster wellbeing</w:t>
      </w:r>
      <w:r w:rsidR="006C566B">
        <w:t>, similarly to the work of Maslow who suggests children must be holistically fulfilled to reach self-actualisation</w:t>
      </w:r>
      <w:r>
        <w:t>. Educational visits, by providing teachers with opportunities to design and lead dynamic, contextually relevant learning experiences, can contribute to autonomy and competence. Additionally, the relational aspects of visits—</w:t>
      </w:r>
      <w:r w:rsidR="0091175A">
        <w:t xml:space="preserve">potentially </w:t>
      </w:r>
      <w:r>
        <w:t>strengthening bonds with students and colleagues—can foster relatedness</w:t>
      </w:r>
      <w:r w:rsidR="0091175A">
        <w:t xml:space="preserve"> and holistic fulfilment</w:t>
      </w:r>
      <w:r>
        <w:t xml:space="preserve">. </w:t>
      </w:r>
      <w:r w:rsidR="0091175A">
        <w:t>Notably</w:t>
      </w:r>
      <w:r>
        <w:t>, challenges such as the logistical complexity of organi</w:t>
      </w:r>
      <w:r w:rsidR="0091175A">
        <w:t>s</w:t>
      </w:r>
      <w:r>
        <w:t>ing visits may undermine these benefits, highlighting a tension that warrants further exploration</w:t>
      </w:r>
      <w:r w:rsidR="0091175A">
        <w:t xml:space="preserve"> </w:t>
      </w:r>
      <w:r w:rsidR="003A1891">
        <w:t>(</w:t>
      </w:r>
      <w:r w:rsidR="003E460A">
        <w:t xml:space="preserve">Bakker </w:t>
      </w:r>
      <w:r w:rsidR="003E460A" w:rsidRPr="008D6E75">
        <w:rPr>
          <w:i/>
          <w:iCs/>
        </w:rPr>
        <w:t>et al.,</w:t>
      </w:r>
      <w:r w:rsidR="003E460A">
        <w:t xml:space="preserve"> 2007; Fiorilli </w:t>
      </w:r>
      <w:r w:rsidR="003E460A" w:rsidRPr="008D6E75">
        <w:rPr>
          <w:i/>
          <w:iCs/>
        </w:rPr>
        <w:t>et al.,</w:t>
      </w:r>
      <w:r w:rsidR="003E460A">
        <w:t xml:space="preserve"> 2019; </w:t>
      </w:r>
      <w:r w:rsidR="00BB6DCB">
        <w:t xml:space="preserve">Kyriacou, 2001). </w:t>
      </w:r>
    </w:p>
    <w:p w14:paraId="4165199C" w14:textId="3A95933C" w:rsidR="0023680F" w:rsidRDefault="00721E3B" w:rsidP="00FD1F27">
      <w:pPr>
        <w:spacing w:line="360" w:lineRule="auto"/>
      </w:pPr>
      <w:r>
        <w:t>Comparatively, the</w:t>
      </w:r>
      <w:r w:rsidR="0023680F">
        <w:t xml:space="preserve"> JD-R Model (Bakker and Demerouti, 2007) provides another lens for examining teacher wellbeing, focusing on the balance between job demands and available resources. Educational visits exemplify this balance: while they introduce demands such as planning, risk management, and supervision, they </w:t>
      </w:r>
      <w:r>
        <w:t xml:space="preserve">can </w:t>
      </w:r>
      <w:r w:rsidR="0023680F">
        <w:t xml:space="preserve">also offer resources such as professional fulfilment, improved </w:t>
      </w:r>
      <w:r w:rsidR="00CA47F3">
        <w:t>teacher and student</w:t>
      </w:r>
      <w:r w:rsidR="0023680F">
        <w:t xml:space="preserve"> relationships, and opportunities for collaboration. The model suggests that when resources outweigh demands, teachers are more likely to experience engagement and reduced burnout. However, in cases where demands surpass resources</w:t>
      </w:r>
      <w:r w:rsidR="004A516C">
        <w:t>, s</w:t>
      </w:r>
      <w:r w:rsidR="0023680F">
        <w:t>uch as in underfunded schools or when teachers lack administrative support</w:t>
      </w:r>
      <w:r w:rsidR="004A516C">
        <w:t xml:space="preserve">; </w:t>
      </w:r>
      <w:r w:rsidR="0023680F">
        <w:t xml:space="preserve">educational visits could </w:t>
      </w:r>
      <w:r w:rsidR="004A516C">
        <w:t xml:space="preserve">perhaps </w:t>
      </w:r>
      <w:r w:rsidR="0023680F">
        <w:t>inadvertently exacerbate stress levels. This dual</w:t>
      </w:r>
      <w:r w:rsidR="004A516C">
        <w:t xml:space="preserve"> </w:t>
      </w:r>
      <w:r w:rsidR="0023680F">
        <w:t>edged nature of visits underscores the importance of examining contextual variables that influence their effectiveness as a tool for promoting wellbeing.</w:t>
      </w:r>
      <w:r>
        <w:t xml:space="preserve"> If this was to become the focus of research, </w:t>
      </w:r>
      <w:r w:rsidR="00795CE0">
        <w:t xml:space="preserve">it would be imperative to consider the ethical implications of asking teachers to participate in organising and analysing the visits (BERA, 2024). </w:t>
      </w:r>
    </w:p>
    <w:p w14:paraId="5E943C07" w14:textId="70C47E2B" w:rsidR="0023680F" w:rsidRDefault="0023680F" w:rsidP="00FD1F27">
      <w:pPr>
        <w:spacing w:line="360" w:lineRule="auto"/>
      </w:pPr>
      <w:r>
        <w:t>In synthesi</w:t>
      </w:r>
      <w:r w:rsidR="00795CE0">
        <w:t>s</w:t>
      </w:r>
      <w:r>
        <w:t>ing these perspectives, it becomes evident that while educational visits hold significant promise as a means of enhancing teacher wellbeing, current literature leaves critical gaps in understanding their full impact. The existing studies are often limited in scope, either by focusing on general professional development without explicit links to visits (Kyriacou, 2001) or by lacking empirical rigor in assessing outcomes (Roffey, 2012). Bridging these gaps requires research that situates educational visits within well-defined conceptual frameworks, such as SDT and the JD-R Model, while addressing the dual benefits for teachers and students. Such research would provide actionable insights for policymakers and practitioners seeking to create more supportive educational environments.</w:t>
      </w:r>
      <w:r w:rsidR="0005458B">
        <w:t xml:space="preserve"> Another potential area of focus and research to underpin a further study would be more simply the teacher student relationship, generally. </w:t>
      </w:r>
    </w:p>
    <w:p w14:paraId="72BD3CF2" w14:textId="77777777" w:rsidR="00EC7990" w:rsidRDefault="00EC7990" w:rsidP="0005458B"/>
    <w:p w14:paraId="51C43BBD" w14:textId="4A35020B" w:rsidR="00A41ABF" w:rsidRPr="00A41ABF" w:rsidRDefault="005F444F" w:rsidP="008F0CB9">
      <w:pPr>
        <w:spacing w:line="360" w:lineRule="auto"/>
      </w:pPr>
      <w:r w:rsidRPr="00B55E7D">
        <w:rPr>
          <w:b/>
          <w:bCs/>
        </w:rPr>
        <w:t xml:space="preserve">2.2.2 </w:t>
      </w:r>
      <w:r w:rsidR="00A447D2" w:rsidRPr="00B55E7D">
        <w:rPr>
          <w:b/>
          <w:bCs/>
        </w:rPr>
        <w:t xml:space="preserve"> </w:t>
      </w:r>
      <w:r w:rsidR="00A447D2" w:rsidRPr="00A41ABF">
        <w:rPr>
          <w:b/>
          <w:bCs/>
        </w:rPr>
        <w:t>Critical Evaluation of Roffey (2012) Using Wallace and Wray’s</w:t>
      </w:r>
      <w:r w:rsidR="00A447D2" w:rsidRPr="00B55E7D">
        <w:rPr>
          <w:b/>
          <w:bCs/>
        </w:rPr>
        <w:t xml:space="preserve"> (2021)</w:t>
      </w:r>
      <w:r w:rsidR="00A447D2" w:rsidRPr="00A41ABF">
        <w:rPr>
          <w:b/>
          <w:bCs/>
        </w:rPr>
        <w:t xml:space="preserve"> Template</w:t>
      </w:r>
      <w:r w:rsidR="00A447D2" w:rsidRPr="00B55E7D">
        <w:br/>
      </w:r>
      <w:r w:rsidR="00A447D2" w:rsidRPr="00B55E7D">
        <w:br/>
      </w:r>
      <w:r w:rsidR="00C306A1" w:rsidRPr="00B55E7D">
        <w:t>A paper of interest</w:t>
      </w:r>
      <w:r w:rsidR="00921229" w:rsidRPr="00B55E7D">
        <w:t xml:space="preserve"> through conducting the critical literature </w:t>
      </w:r>
      <w:r w:rsidR="00782650" w:rsidRPr="00B55E7D">
        <w:t xml:space="preserve">is </w:t>
      </w:r>
      <w:r w:rsidR="00A41ABF" w:rsidRPr="00A41ABF">
        <w:t xml:space="preserve">Roffey’s (2012) paper, </w:t>
      </w:r>
      <w:r w:rsidR="00782650" w:rsidRPr="00B55E7D">
        <w:t>“</w:t>
      </w:r>
      <w:r w:rsidR="00CA47F3">
        <w:t>Student</w:t>
      </w:r>
      <w:r w:rsidR="00A41ABF" w:rsidRPr="00A41ABF">
        <w:t xml:space="preserve"> wellbeing – Teacher wellbeing: Two sides of the same coin?</w:t>
      </w:r>
      <w:r w:rsidR="00782650" w:rsidRPr="00B55E7D">
        <w:t>”</w:t>
      </w:r>
      <w:r w:rsidR="00A41ABF" w:rsidRPr="00A41ABF">
        <w:t>, published in Educational and Child Psychology</w:t>
      </w:r>
      <w:r w:rsidR="00782650" w:rsidRPr="00B55E7D">
        <w:t xml:space="preserve">. </w:t>
      </w:r>
      <w:proofErr w:type="gramStart"/>
      <w:r w:rsidR="000D5643" w:rsidRPr="00B55E7D">
        <w:t>On first glance, it</w:t>
      </w:r>
      <w:proofErr w:type="gramEnd"/>
      <w:r w:rsidR="000D5643" w:rsidRPr="00B55E7D">
        <w:t xml:space="preserve"> appeared to focus on the approach to education found in </w:t>
      </w:r>
      <w:r w:rsidR="00615BF6" w:rsidRPr="00B55E7D">
        <w:t>educational visits and the impact of this. Through using Wallace and Wray’s (2021) template I was able to examine the paper through a more critical lens. The paper</w:t>
      </w:r>
      <w:r w:rsidR="00A41ABF" w:rsidRPr="00A41ABF">
        <w:t xml:space="preserve"> explores the interplay between </w:t>
      </w:r>
      <w:r w:rsidR="00CA47F3">
        <w:t>student</w:t>
      </w:r>
      <w:r w:rsidR="00A41ABF" w:rsidRPr="00A41ABF">
        <w:t xml:space="preserve"> and teacher wellbeing, arguing that these are interconnected and mutually reinforcing. The study </w:t>
      </w:r>
      <w:r w:rsidR="00A41ABF" w:rsidRPr="00A41ABF">
        <w:lastRenderedPageBreak/>
        <w:t>emphasi</w:t>
      </w:r>
      <w:r w:rsidR="00615BF6" w:rsidRPr="00B55E7D">
        <w:t>s</w:t>
      </w:r>
      <w:r w:rsidR="00A41ABF" w:rsidRPr="00A41ABF">
        <w:t xml:space="preserve">es the importance of relational pedagogy and a whole-school approach to fostering wellbeing. This paper’s focus on systemic and relational factors makes it highly relevant to understanding the potential impact of educational visits, particularly in the context of building stronger </w:t>
      </w:r>
      <w:r w:rsidR="00CA47F3">
        <w:t>teacher and student</w:t>
      </w:r>
      <w:r w:rsidR="00A41ABF" w:rsidRPr="00A41ABF">
        <w:t xml:space="preserve"> relationships and promoting wellbeing.</w:t>
      </w:r>
    </w:p>
    <w:p w14:paraId="30E1A546" w14:textId="5B0936E6" w:rsidR="00A41ABF" w:rsidRPr="00A41ABF" w:rsidRDefault="00A41ABF" w:rsidP="008F0CB9">
      <w:pPr>
        <w:spacing w:line="360" w:lineRule="auto"/>
      </w:pPr>
      <w:r w:rsidRPr="00A41ABF">
        <w:t xml:space="preserve">Roffey’s central claim is that teacher and </w:t>
      </w:r>
      <w:r w:rsidR="00CA47F3">
        <w:t>student</w:t>
      </w:r>
      <w:r w:rsidRPr="00A41ABF">
        <w:t xml:space="preserve"> wellbeing are inextricably linked and that positive relationships are foundational to fostering wellbeing within schools. </w:t>
      </w:r>
      <w:r w:rsidR="000209EE" w:rsidRPr="000209EE">
        <w:t xml:space="preserve">If this is correct then the impact of this on teacher absence, as mentioned in the introductory section, must be considered and prioritised. </w:t>
      </w:r>
      <w:r w:rsidRPr="00A41ABF">
        <w:t xml:space="preserve">Drawing on ecological systems theory (Bronfenbrenner, 1979), the paper </w:t>
      </w:r>
      <w:r w:rsidR="000209EE" w:rsidRPr="000209EE">
        <w:t>explores and suggest</w:t>
      </w:r>
      <w:r w:rsidRPr="00A41ABF">
        <w:t>s that relational dynamics within schools significantly impact both individual and collective wellbeing. Roffey’s discussion aligns with findings by Hattie (2009), who identifies strong teache</w:t>
      </w:r>
      <w:r w:rsidR="000209EE">
        <w:t xml:space="preserve">r and </w:t>
      </w:r>
      <w:r w:rsidRPr="00A41ABF">
        <w:t>student relationships as a critical factor in student engagement and achievement.</w:t>
      </w:r>
    </w:p>
    <w:p w14:paraId="5B8E2919" w14:textId="7E6B29A5" w:rsidR="00A41ABF" w:rsidRPr="00A41ABF" w:rsidRDefault="00A41ABF" w:rsidP="008F0CB9">
      <w:pPr>
        <w:spacing w:line="360" w:lineRule="auto"/>
      </w:pPr>
      <w:r w:rsidRPr="00A41ABF">
        <w:t>The relevance of Roffey’s work to</w:t>
      </w:r>
      <w:r w:rsidR="000209EE" w:rsidRPr="004758C3">
        <w:t xml:space="preserve"> future potential</w:t>
      </w:r>
      <w:r w:rsidRPr="00A41ABF">
        <w:t xml:space="preserve"> research lies in its exploration of how relational practices can enhance wellbeing. While the paper does not explicitly address educational visits, its emphasis on relational pedagogy</w:t>
      </w:r>
      <w:r w:rsidR="00CA47F3" w:rsidRPr="004758C3">
        <w:t xml:space="preserve"> </w:t>
      </w:r>
      <w:r w:rsidRPr="00A41ABF">
        <w:t>provides a theoretical basis for understanding how shared experiences, such as those facilitated by visits, might strengthen teacher</w:t>
      </w:r>
      <w:r w:rsidR="00CA47F3" w:rsidRPr="004758C3">
        <w:t xml:space="preserve"> and student </w:t>
      </w:r>
      <w:r w:rsidRPr="00A41ABF">
        <w:t>relationships and promote wellbeing. This focus aligns with the Curriculum for Wales (Welsh Government, 2019), which prioriti</w:t>
      </w:r>
      <w:r w:rsidR="004758C3" w:rsidRPr="004758C3">
        <w:t>s</w:t>
      </w:r>
      <w:r w:rsidRPr="00A41ABF">
        <w:t>es relational and contextually rich learning environments.</w:t>
      </w:r>
    </w:p>
    <w:p w14:paraId="55F52988" w14:textId="26BC96ED" w:rsidR="00A41ABF" w:rsidRPr="00A41ABF" w:rsidRDefault="004758C3" w:rsidP="008F0CB9">
      <w:pPr>
        <w:spacing w:line="360" w:lineRule="auto"/>
      </w:pPr>
      <w:r w:rsidRPr="004758C3">
        <w:t>Notably, o</w:t>
      </w:r>
      <w:r w:rsidR="00A41ABF" w:rsidRPr="00A41ABF">
        <w:t>ne of the key strengths of Roffey’s paper is its systemic perspective. By framing wellbeing as a relational construct, the paper highlights the i</w:t>
      </w:r>
      <w:r w:rsidRPr="004758C3">
        <w:t>mportance and connection</w:t>
      </w:r>
      <w:r w:rsidR="00A41ABF" w:rsidRPr="00A41ABF">
        <w:t xml:space="preserve"> of individual, relational, and systemic factors. This aligns with Bronfenbrenner’s (2006) Bioecological Model, which </w:t>
      </w:r>
      <w:r w:rsidRPr="004758C3">
        <w:t>set</w:t>
      </w:r>
      <w:r w:rsidR="00A41ABF" w:rsidRPr="00A41ABF">
        <w:t xml:space="preserve">s the importance of proximal processes in human development. Roffey’s argument is further supported by empirical studies, such as those by Pianta </w:t>
      </w:r>
      <w:r w:rsidR="00A41ABF" w:rsidRPr="00A41ABF">
        <w:rPr>
          <w:i/>
          <w:iCs/>
        </w:rPr>
        <w:t>et al</w:t>
      </w:r>
      <w:r w:rsidR="00A41ABF" w:rsidRPr="00A41ABF">
        <w:t xml:space="preserve">. (2012), which demonstrate that positive </w:t>
      </w:r>
      <w:r w:rsidR="00CA47F3" w:rsidRPr="004758C3">
        <w:t>teacher and student</w:t>
      </w:r>
      <w:r w:rsidR="00A41ABF" w:rsidRPr="00A41ABF">
        <w:t xml:space="preserve"> relationships enhance both academic and social outcomes.</w:t>
      </w:r>
      <w:r w:rsidR="0018667D">
        <w:t xml:space="preserve"> </w:t>
      </w:r>
    </w:p>
    <w:p w14:paraId="394738AC" w14:textId="4A82C475" w:rsidR="00A41ABF" w:rsidRPr="00A41ABF" w:rsidRDefault="00A41ABF" w:rsidP="008F0CB9">
      <w:pPr>
        <w:spacing w:line="360" w:lineRule="auto"/>
      </w:pPr>
      <w:r w:rsidRPr="00A41ABF">
        <w:t xml:space="preserve">Another </w:t>
      </w:r>
      <w:r w:rsidR="0018667D">
        <w:t xml:space="preserve">possible </w:t>
      </w:r>
      <w:r w:rsidRPr="00A41ABF">
        <w:t>strength lies in Roffey’s advocacy for a whole-school approach to wellbeing</w:t>
      </w:r>
      <w:r w:rsidR="0018667D">
        <w:t>, within this peer reviewed paper</w:t>
      </w:r>
      <w:r w:rsidRPr="00A41ABF">
        <w:t>. This holistic perspective recogni</w:t>
      </w:r>
      <w:r w:rsidR="0018667D">
        <w:t>s</w:t>
      </w:r>
      <w:r w:rsidRPr="00A41ABF">
        <w:t xml:space="preserve">es that individual interventions are insufficient without systemic support, a view echoed by Fullan (2007), who </w:t>
      </w:r>
      <w:r w:rsidR="00B74136">
        <w:t>also stat</w:t>
      </w:r>
      <w:r w:rsidRPr="00A41ABF">
        <w:t>es the importance of organi</w:t>
      </w:r>
      <w:r w:rsidR="00B74136">
        <w:t>s</w:t>
      </w:r>
      <w:r w:rsidRPr="00A41ABF">
        <w:t>ational culture in sustaining educational change. Roffey’s emphasis on relational pedagogy as a means of promoting wellbeing aligns with Kolb’s Experiential Learning Theory (1984), which underscores the importance of authentic, relationally rich learning experiences.</w:t>
      </w:r>
    </w:p>
    <w:p w14:paraId="7C55F865" w14:textId="5829B75B" w:rsidR="00A41ABF" w:rsidRPr="00A41ABF" w:rsidRDefault="00A41ABF" w:rsidP="008F0CB9">
      <w:pPr>
        <w:spacing w:line="360" w:lineRule="auto"/>
      </w:pPr>
      <w:r w:rsidRPr="00A41ABF">
        <w:t>Roffey’s use of case studies to illustrate her arguments adds depth and practical relevance to the paper. These examples provide concrete illustrations of how relational practices can be implemented in schools, making the findings accessible and actionable for practitioners.</w:t>
      </w:r>
      <w:r w:rsidR="00B74136" w:rsidRPr="00B74136">
        <w:t xml:space="preserve"> This is something to consider in my own practice and research.</w:t>
      </w:r>
    </w:p>
    <w:p w14:paraId="40DD3702" w14:textId="5A1FA997" w:rsidR="00A41ABF" w:rsidRPr="00A41ABF" w:rsidRDefault="00B74136" w:rsidP="008F0CB9">
      <w:pPr>
        <w:spacing w:line="360" w:lineRule="auto"/>
      </w:pPr>
      <w:r w:rsidRPr="00B74136">
        <w:t>Contrastingly, d</w:t>
      </w:r>
      <w:r w:rsidR="00A41ABF" w:rsidRPr="00A41ABF">
        <w:t>espite its strengths, Roffey’s paper has several limitations that warrant critical examination</w:t>
      </w:r>
      <w:r w:rsidRPr="00B74136">
        <w:t xml:space="preserve"> brought to light through</w:t>
      </w:r>
      <w:r w:rsidR="00B52BD8">
        <w:t xml:space="preserve"> </w:t>
      </w:r>
      <w:r w:rsidR="00623543">
        <w:t>looking at the paper’s credentials (</w:t>
      </w:r>
      <w:r w:rsidRPr="00B74136">
        <w:t>Wallace and Wray</w:t>
      </w:r>
      <w:r w:rsidR="00623543">
        <w:t xml:space="preserve">, </w:t>
      </w:r>
      <w:r w:rsidRPr="00B74136">
        <w:t>2021)</w:t>
      </w:r>
      <w:r w:rsidR="00A41ABF" w:rsidRPr="00A41ABF">
        <w:t>. Firstly, the paper’s reliance on case studies, while providing valuable insights, limits the generali</w:t>
      </w:r>
      <w:r w:rsidRPr="00B74136">
        <w:t>s</w:t>
      </w:r>
      <w:r w:rsidR="00A41ABF" w:rsidRPr="00A41ABF">
        <w:t>ability of its findings. As Yin (2018) notes, case studies are inherently context-specific and may not capture the diversity of experiences across different educational settings.</w:t>
      </w:r>
      <w:r w:rsidR="00623543">
        <w:t xml:space="preserve"> The lack of supporting literature, especially within Wales,</w:t>
      </w:r>
      <w:r w:rsidR="00F11F30">
        <w:t xml:space="preserve"> makes it difficult to compare contextually. </w:t>
      </w:r>
    </w:p>
    <w:p w14:paraId="01941D4C" w14:textId="1B68D58B" w:rsidR="00A41ABF" w:rsidRPr="00A41ABF" w:rsidRDefault="00A41ABF" w:rsidP="008F0CB9">
      <w:pPr>
        <w:spacing w:line="360" w:lineRule="auto"/>
      </w:pPr>
      <w:r w:rsidRPr="00A41ABF">
        <w:lastRenderedPageBreak/>
        <w:t>Secondly, the paper’s theoretical emphasis on relational pedagogy is not complemented by robust empirical data. While the arguments are compelling, the lack of quantitative evidence limits the paper’s ability to substantiate its claims. Creswell and Poth (2018) argue that a mixed-methods approach, combining qualitative insights with quantitative data, is essential for providing a more comprehensive understanding of complex phenomena such as wellbeing</w:t>
      </w:r>
      <w:r w:rsidR="006024B1">
        <w:t xml:space="preserve"> – this is my preferred method to gain a larger understanding of the data collected</w:t>
      </w:r>
      <w:r w:rsidR="00F11F30">
        <w:t>, providing depth to the responses of participants</w:t>
      </w:r>
      <w:r w:rsidR="006024B1">
        <w:t>.</w:t>
      </w:r>
    </w:p>
    <w:p w14:paraId="426C60F4" w14:textId="3B524D0C" w:rsidR="00A41ABF" w:rsidRPr="00A41ABF" w:rsidRDefault="00A41ABF" w:rsidP="008F0CB9">
      <w:pPr>
        <w:spacing w:line="360" w:lineRule="auto"/>
      </w:pPr>
      <w:r w:rsidRPr="00A41ABF">
        <w:t>Additionally, Roffey’s focus on relational dynamics does not sufficiently address external factors that impact wellbeing, such as socioeconomic status (SES) or policy constraints. As Gay (2018) highlights, these contextual factors play a significant role in shaping educational experiences and outcomes. This omission is particularly relevant fo</w:t>
      </w:r>
      <w:r w:rsidR="006024B1" w:rsidRPr="006024B1">
        <w:t>r my own</w:t>
      </w:r>
      <w:r w:rsidRPr="00A41ABF">
        <w:t xml:space="preserve"> research, where the role of educational visits in diverse settings, including underserved communities, is a key consideration</w:t>
      </w:r>
      <w:r w:rsidR="006024B1" w:rsidRPr="006024B1">
        <w:t xml:space="preserve"> within the context of </w:t>
      </w:r>
      <w:r w:rsidR="00456F3A">
        <w:t xml:space="preserve">an increasingly diverse country like </w:t>
      </w:r>
      <w:r w:rsidR="006024B1" w:rsidRPr="006024B1">
        <w:t>Wales</w:t>
      </w:r>
      <w:r w:rsidR="00456F3A">
        <w:t xml:space="preserve"> in 2025</w:t>
      </w:r>
      <w:r w:rsidR="006024B1" w:rsidRPr="006024B1">
        <w:t>.</w:t>
      </w:r>
    </w:p>
    <w:p w14:paraId="3E288CBA" w14:textId="45B1BA2D" w:rsidR="00A41ABF" w:rsidRPr="00A41ABF" w:rsidRDefault="00A41ABF" w:rsidP="008F0CB9">
      <w:pPr>
        <w:spacing w:line="360" w:lineRule="auto"/>
        <w:rPr>
          <w:highlight w:val="red"/>
        </w:rPr>
      </w:pPr>
      <w:r w:rsidRPr="00A41ABF">
        <w:t xml:space="preserve">Roffey’s paper offers several important findings that </w:t>
      </w:r>
      <w:r w:rsidR="000B2E00">
        <w:t xml:space="preserve">can </w:t>
      </w:r>
      <w:r w:rsidRPr="00A41ABF">
        <w:t xml:space="preserve">inform </w:t>
      </w:r>
      <w:r w:rsidR="00F5645F" w:rsidRPr="00857568">
        <w:t xml:space="preserve">future </w:t>
      </w:r>
      <w:r w:rsidRPr="00A41ABF">
        <w:t xml:space="preserve">research on the impact of educational visits on </w:t>
      </w:r>
      <w:r w:rsidR="00CA47F3" w:rsidRPr="00857568">
        <w:t>teacher and student</w:t>
      </w:r>
      <w:r w:rsidRPr="00A41ABF">
        <w:t xml:space="preserve"> relationships and wellbeing</w:t>
      </w:r>
      <w:r w:rsidR="00857568" w:rsidRPr="00857568">
        <w:t>. The first being r</w:t>
      </w:r>
      <w:r w:rsidRPr="00A41ABF">
        <w:t xml:space="preserve">elational </w:t>
      </w:r>
      <w:r w:rsidR="00857568" w:rsidRPr="00857568">
        <w:t>p</w:t>
      </w:r>
      <w:r w:rsidRPr="00A41ABF">
        <w:t>edagogy</w:t>
      </w:r>
      <w:r w:rsidR="00857568" w:rsidRPr="00857568">
        <w:t xml:space="preserve"> as t</w:t>
      </w:r>
      <w:r w:rsidRPr="00A41ABF">
        <w:t>he paper underscores the importance of relational practices in fostering wellbeing</w:t>
      </w:r>
      <w:r w:rsidR="00857568" w:rsidRPr="00857568">
        <w:t>, a personal stance that can be explored further</w:t>
      </w:r>
      <w:r w:rsidRPr="00A41ABF">
        <w:t xml:space="preserve">. This aligns with </w:t>
      </w:r>
      <w:r w:rsidR="00857568" w:rsidRPr="00857568">
        <w:t>previous experience and</w:t>
      </w:r>
      <w:r w:rsidRPr="00A41ABF">
        <w:t xml:space="preserve"> </w:t>
      </w:r>
      <w:r w:rsidR="00857568" w:rsidRPr="00857568">
        <w:t xml:space="preserve">suggested </w:t>
      </w:r>
      <w:r w:rsidRPr="00A41ABF">
        <w:t xml:space="preserve">focus on how shared experiences during educational visits can strengthen </w:t>
      </w:r>
      <w:r w:rsidR="00CA47F3" w:rsidRPr="00857568">
        <w:t>teacher and student</w:t>
      </w:r>
      <w:r w:rsidRPr="00A41ABF">
        <w:t xml:space="preserve"> relationships. Informal learning environments, as discussed by Rogoff (2003), provide unique opportunities for relational pedagogy, which c</w:t>
      </w:r>
      <w:r w:rsidR="00857568">
        <w:t>ould potentially</w:t>
      </w:r>
      <w:r w:rsidRPr="00A41ABF">
        <w:t xml:space="preserve"> enhance both academic and social outcomes.</w:t>
      </w:r>
      <w:r w:rsidR="00857568">
        <w:t xml:space="preserve"> It is also important to consider </w:t>
      </w:r>
      <w:r w:rsidR="00857568" w:rsidRPr="00857568">
        <w:t>w</w:t>
      </w:r>
      <w:r w:rsidRPr="00A41ABF">
        <w:t>hole</w:t>
      </w:r>
      <w:r w:rsidR="00857568" w:rsidRPr="00857568">
        <w:t xml:space="preserve"> s</w:t>
      </w:r>
      <w:r w:rsidRPr="00A41ABF">
        <w:t xml:space="preserve">chool </w:t>
      </w:r>
      <w:r w:rsidR="00857568" w:rsidRPr="00857568">
        <w:t>a</w:t>
      </w:r>
      <w:r w:rsidRPr="00A41ABF">
        <w:t>pproaches</w:t>
      </w:r>
      <w:r w:rsidR="00857568" w:rsidRPr="00857568">
        <w:t xml:space="preserve"> as</w:t>
      </w:r>
      <w:r w:rsidRPr="00A41ABF">
        <w:t xml:space="preserve"> Roffey’s advocacy for systemic approaches to wellbeing highlights the need for schools to integrate relational practices into their culture and curriculum. This suggests that educational visits should not be isolated events but part of a broader strategy to promote relational and experiential learning</w:t>
      </w:r>
      <w:r w:rsidR="00857568" w:rsidRPr="00857568">
        <w:t>, might it be possible that visits are currently more prominent in children of older ages</w:t>
      </w:r>
      <w:r w:rsidR="0020631D">
        <w:t xml:space="preserve"> (OFSTED, 2014; DFE, </w:t>
      </w:r>
      <w:r w:rsidR="00B25CE7">
        <w:t>2019)</w:t>
      </w:r>
      <w:r w:rsidR="00857568" w:rsidRPr="00857568">
        <w:t xml:space="preserve">? </w:t>
      </w:r>
    </w:p>
    <w:p w14:paraId="34ABA2AC" w14:textId="72AACC5A" w:rsidR="00A41ABF" w:rsidRPr="00A41ABF" w:rsidRDefault="00B96640" w:rsidP="008F0CB9">
      <w:pPr>
        <w:spacing w:line="360" w:lineRule="auto"/>
      </w:pPr>
      <w:r w:rsidRPr="009625F7">
        <w:t>It may be signific</w:t>
      </w:r>
      <w:r w:rsidR="00334B56" w:rsidRPr="009625F7">
        <w:t>ant to note that t</w:t>
      </w:r>
      <w:r w:rsidR="009625F7" w:rsidRPr="009625F7">
        <w:t>he</w:t>
      </w:r>
      <w:r w:rsidR="00A41ABF" w:rsidRPr="00A41ABF">
        <w:t xml:space="preserve"> paper highlights the reciprocal nature of wellbeing, suggesting that practices that enhance </w:t>
      </w:r>
      <w:r w:rsidR="00CA47F3" w:rsidRPr="009625F7">
        <w:t>student</w:t>
      </w:r>
      <w:r w:rsidR="00A41ABF" w:rsidRPr="00A41ABF">
        <w:t xml:space="preserve"> wellbeing also benefit teachers. This finding </w:t>
      </w:r>
      <w:r w:rsidR="009625F7">
        <w:t xml:space="preserve">of ‘mutual benefit’ </w:t>
      </w:r>
      <w:r w:rsidR="00A41ABF" w:rsidRPr="00A41ABF">
        <w:t>is supported by the JD-R Model (Bakker and Demerouti, 2007), which</w:t>
      </w:r>
      <w:r w:rsidR="009625F7" w:rsidRPr="009625F7">
        <w:t xml:space="preserve"> synthesises </w:t>
      </w:r>
      <w:r w:rsidR="00A41ABF" w:rsidRPr="00A41ABF">
        <w:t>the role of job resources, such as positive relationships, in reducing burnout and promoting engagement</w:t>
      </w:r>
      <w:r w:rsidR="009625F7" w:rsidRPr="009625F7">
        <w:t xml:space="preserve">, this could reduce </w:t>
      </w:r>
      <w:proofErr w:type="gramStart"/>
      <w:r w:rsidR="00A4226E">
        <w:t xml:space="preserve">aforementioned </w:t>
      </w:r>
      <w:r w:rsidR="009625F7" w:rsidRPr="009625F7">
        <w:t>absences</w:t>
      </w:r>
      <w:proofErr w:type="gramEnd"/>
      <w:r w:rsidR="009625F7" w:rsidRPr="009625F7">
        <w:t xml:space="preserve"> in Wales when the opportunities are implemented</w:t>
      </w:r>
      <w:r w:rsidR="00A41ABF" w:rsidRPr="00A41ABF">
        <w:t>.</w:t>
      </w:r>
    </w:p>
    <w:p w14:paraId="5C92F933" w14:textId="05370879" w:rsidR="00EC7990" w:rsidRDefault="009625F7" w:rsidP="008F0CB9">
      <w:pPr>
        <w:spacing w:line="360" w:lineRule="auto"/>
      </w:pPr>
      <w:r w:rsidRPr="004623DB">
        <w:t>Future</w:t>
      </w:r>
      <w:r w:rsidR="00A41ABF" w:rsidRPr="00A41ABF">
        <w:t xml:space="preserve"> research c</w:t>
      </w:r>
      <w:r w:rsidRPr="004623DB">
        <w:t>ould</w:t>
      </w:r>
      <w:r w:rsidR="00A41ABF" w:rsidRPr="00A41ABF">
        <w:t xml:space="preserve"> build on these findings by exploring how educational visits contribute to relational and systemic wellbeing</w:t>
      </w:r>
      <w:r w:rsidRPr="004623DB">
        <w:t xml:space="preserve"> for all</w:t>
      </w:r>
      <w:r w:rsidR="00A41ABF" w:rsidRPr="00A41ABF">
        <w:t xml:space="preserve">. By incorporating qualitative methods, such as interviews and observations, </w:t>
      </w:r>
      <w:r w:rsidRPr="004623DB">
        <w:t>a case</w:t>
      </w:r>
      <w:r w:rsidR="00A41ABF" w:rsidRPr="00A41ABF">
        <w:t xml:space="preserve"> study can provide richer insights into the lived experiences of teachers and </w:t>
      </w:r>
      <w:r w:rsidR="00CA47F3" w:rsidRPr="004623DB">
        <w:t>student</w:t>
      </w:r>
      <w:r w:rsidR="00A41ABF" w:rsidRPr="00A41ABF">
        <w:t>s, addressing the limitations of Roffey’s paper.</w:t>
      </w:r>
    </w:p>
    <w:p w14:paraId="38DE4A93" w14:textId="77777777" w:rsidR="00580A0A" w:rsidRDefault="00580A0A" w:rsidP="008F0CB9">
      <w:pPr>
        <w:spacing w:line="360" w:lineRule="auto"/>
      </w:pPr>
    </w:p>
    <w:p w14:paraId="33B38658" w14:textId="77777777" w:rsidR="00A4226E" w:rsidRDefault="00A4226E" w:rsidP="008F0CB9">
      <w:pPr>
        <w:spacing w:line="360" w:lineRule="auto"/>
      </w:pPr>
    </w:p>
    <w:p w14:paraId="6BCDFDE5" w14:textId="77777777" w:rsidR="00A4226E" w:rsidRDefault="00A4226E" w:rsidP="008F0CB9">
      <w:pPr>
        <w:spacing w:line="360" w:lineRule="auto"/>
      </w:pPr>
    </w:p>
    <w:p w14:paraId="77E67939" w14:textId="42DFCD82" w:rsidR="00EF155A" w:rsidRPr="00EF155A" w:rsidRDefault="005C2813" w:rsidP="0005458B">
      <w:r>
        <w:rPr>
          <w:b/>
          <w:bCs/>
        </w:rPr>
        <w:lastRenderedPageBreak/>
        <w:t>2.2.</w:t>
      </w:r>
      <w:r w:rsidR="005F444F">
        <w:rPr>
          <w:b/>
          <w:bCs/>
        </w:rPr>
        <w:t>3</w:t>
      </w:r>
      <w:r>
        <w:rPr>
          <w:b/>
          <w:bCs/>
        </w:rPr>
        <w:t xml:space="preserve"> </w:t>
      </w:r>
      <w:r w:rsidR="00CA47F3">
        <w:rPr>
          <w:b/>
          <w:bCs/>
        </w:rPr>
        <w:t>Teacher and student</w:t>
      </w:r>
      <w:r w:rsidR="00EF155A" w:rsidRPr="00EF155A">
        <w:rPr>
          <w:b/>
          <w:bCs/>
        </w:rPr>
        <w:t xml:space="preserve"> Relationships</w:t>
      </w:r>
      <w:r w:rsidR="00580A0A">
        <w:rPr>
          <w:b/>
          <w:bCs/>
        </w:rPr>
        <w:br/>
      </w:r>
    </w:p>
    <w:p w14:paraId="2F72684C" w14:textId="53AE2A9E" w:rsidR="00DA3115" w:rsidRDefault="009876EC" w:rsidP="00DA3115">
      <w:pPr>
        <w:spacing w:line="360" w:lineRule="auto"/>
      </w:pPr>
      <w:r>
        <w:t>Due to limited search results linking to educational visits, the exploration of literature surrounding teacher and student relationships in a general manner can be considered as te</w:t>
      </w:r>
      <w:r w:rsidR="00CA47F3">
        <w:t>acher and student</w:t>
      </w:r>
      <w:r w:rsidR="00DA3115">
        <w:t xml:space="preserve"> relationships are</w:t>
      </w:r>
      <w:r>
        <w:t xml:space="preserve"> deemed</w:t>
      </w:r>
      <w:r w:rsidR="00DA3115">
        <w:t xml:space="preserve"> central to effective teaching and learning, with a wealth of literature highlighting their critical role in </w:t>
      </w:r>
      <w:r w:rsidR="0084428E">
        <w:t>promoting</w:t>
      </w:r>
      <w:r w:rsidR="00DA3115">
        <w:t xml:space="preserve"> academic success, emotional regulation, and student motivation</w:t>
      </w:r>
      <w:r w:rsidR="000A7400">
        <w:t xml:space="preserve"> (Hattie, 2009; Pianta, 2012; </w:t>
      </w:r>
      <w:r w:rsidR="000A7400" w:rsidRPr="000A7400">
        <w:t>Rimm-Kaufman</w:t>
      </w:r>
      <w:r w:rsidR="000A7400">
        <w:t xml:space="preserve">, </w:t>
      </w:r>
      <w:r w:rsidR="000A7400" w:rsidRPr="000A7400">
        <w:t>2014</w:t>
      </w:r>
      <w:r w:rsidR="000A7400">
        <w:t>)</w:t>
      </w:r>
      <w:r w:rsidR="00DA3115">
        <w:t xml:space="preserve">. </w:t>
      </w:r>
      <w:r w:rsidR="00DE00BA">
        <w:t xml:space="preserve">As mentioned, </w:t>
      </w:r>
      <w:r w:rsidR="00DA3115">
        <w:t xml:space="preserve">Hattie (2009) underscores that strong </w:t>
      </w:r>
      <w:r w:rsidR="00CA47F3">
        <w:t>teacher and student</w:t>
      </w:r>
      <w:r w:rsidR="00DA3115">
        <w:t xml:space="preserve"> relationships are among the most significant factors influencing student outcomes, while Souter and James (2019) emphasi</w:t>
      </w:r>
      <w:r w:rsidR="00DE00BA">
        <w:t>s</w:t>
      </w:r>
      <w:r w:rsidR="00DA3115">
        <w:t>e the mutual benefits of such relationships for both students and teachers</w:t>
      </w:r>
      <w:r>
        <w:t xml:space="preserve">, if I </w:t>
      </w:r>
      <w:r w:rsidR="002C7F06">
        <w:t>explore this notion in isolation it can later be combined with visits for my own research</w:t>
      </w:r>
      <w:r w:rsidR="00DA3115">
        <w:t xml:space="preserve">. </w:t>
      </w:r>
      <w:r w:rsidR="002C7F06">
        <w:t>Concerningly</w:t>
      </w:r>
      <w:r w:rsidR="00DA3115">
        <w:t>, systemic challenges such as overcrowded classrooms, teacher burnout, and insufficient resources frequently hinder the development of these connections, creating barriers to optimal educational environments</w:t>
      </w:r>
      <w:r w:rsidR="00AA165E">
        <w:t xml:space="preserve"> (</w:t>
      </w:r>
      <w:r w:rsidR="00AA165E" w:rsidRPr="004C46C5">
        <w:t>Marais, 2016</w:t>
      </w:r>
      <w:r w:rsidR="00AA165E" w:rsidRPr="00AA165E">
        <w:t xml:space="preserve">; </w:t>
      </w:r>
      <w:r w:rsidR="00AA165E" w:rsidRPr="004C46C5">
        <w:t>Education Review</w:t>
      </w:r>
      <w:r w:rsidR="00AA165E" w:rsidRPr="00AA165E">
        <w:t xml:space="preserve">, </w:t>
      </w:r>
      <w:r w:rsidR="00AA165E" w:rsidRPr="004C46C5">
        <w:t>2023</w:t>
      </w:r>
      <w:r w:rsidR="00AA165E" w:rsidRPr="00AA165E">
        <w:t xml:space="preserve">; </w:t>
      </w:r>
      <w:r w:rsidR="00AA165E" w:rsidRPr="004C46C5">
        <w:t>International Journal of Novel Research and Development</w:t>
      </w:r>
      <w:r w:rsidR="00AA165E" w:rsidRPr="00AA165E">
        <w:t xml:space="preserve">, </w:t>
      </w:r>
      <w:r w:rsidR="00AA165E" w:rsidRPr="004C46C5">
        <w:t>202</w:t>
      </w:r>
      <w:r w:rsidR="00AA165E" w:rsidRPr="00AA165E">
        <w:t>3)</w:t>
      </w:r>
      <w:r w:rsidR="00446514">
        <w:t>, thus a consideration that the context of educational visits may alleviate these constraints</w:t>
      </w:r>
      <w:r w:rsidR="00DA3115">
        <w:t xml:space="preserve">. </w:t>
      </w:r>
    </w:p>
    <w:p w14:paraId="597696E4" w14:textId="2EE566B2" w:rsidR="00DA3115" w:rsidRDefault="00DA3115" w:rsidP="00DA3115">
      <w:pPr>
        <w:spacing w:line="360" w:lineRule="auto"/>
      </w:pPr>
      <w:r>
        <w:t>The theoretical underpinning for this discussion lies in relational theories, such as those proposed by Bowlby (1969) and further developed by Hattie (2009)</w:t>
      </w:r>
      <w:r w:rsidR="00906D59">
        <w:t xml:space="preserve"> that </w:t>
      </w:r>
      <w:r>
        <w:t>highlight the significance of trust, attachment, and relational security in fostering meaningful connections between teachers and students. Bowlby’s attachment theory</w:t>
      </w:r>
      <w:r w:rsidR="00906D59">
        <w:t xml:space="preserve"> stress</w:t>
      </w:r>
      <w:r>
        <w:t>es the need for secure relationships in early development, while Hattie’s research demonstrates that these principles remain vital throughout the educational journey, directly influencing student engagement and performance.</w:t>
      </w:r>
    </w:p>
    <w:p w14:paraId="0DBC28BC" w14:textId="2375A028" w:rsidR="00FA647C" w:rsidRDefault="00DA3115" w:rsidP="00244506">
      <w:pPr>
        <w:spacing w:line="360" w:lineRule="auto"/>
      </w:pPr>
      <w:r>
        <w:t xml:space="preserve">Social-Emotional Learning (SEL) frameworks, such as those articulated by Goleman (1995), provide additional insights into how emotional intelligence and effective communication can strengthen </w:t>
      </w:r>
      <w:r w:rsidR="00CA47F3">
        <w:t>teacher and student</w:t>
      </w:r>
      <w:r>
        <w:t xml:space="preserve"> relationships. SEL </w:t>
      </w:r>
      <w:r w:rsidR="00906D59">
        <w:t>advocate</w:t>
      </w:r>
      <w:r>
        <w:t xml:space="preserve">s the importance of </w:t>
      </w:r>
      <w:r w:rsidR="00906D59">
        <w:t>developing</w:t>
      </w:r>
      <w:r>
        <w:t xml:space="preserve"> self-awareness, empathy, and interpersonal </w:t>
      </w:r>
      <w:proofErr w:type="gramStart"/>
      <w:r>
        <w:t>skills</w:t>
      </w:r>
      <w:r w:rsidR="00906D59">
        <w:t>;</w:t>
      </w:r>
      <w:proofErr w:type="gramEnd"/>
      <w:r>
        <w:t xml:space="preserve"> which are integral to building trust and mutual respect. </w:t>
      </w:r>
    </w:p>
    <w:p w14:paraId="3D210A79" w14:textId="31822A8A" w:rsidR="00244506" w:rsidRPr="00244506" w:rsidRDefault="00244506" w:rsidP="00244506">
      <w:pPr>
        <w:spacing w:line="360" w:lineRule="auto"/>
      </w:pPr>
      <w:r w:rsidRPr="003D7894">
        <w:t>Robert Pianta's extensive</w:t>
      </w:r>
      <w:r w:rsidRPr="00244506">
        <w:t xml:space="preserve"> research </w:t>
      </w:r>
      <w:r w:rsidR="003D7894">
        <w:t xml:space="preserve">paper (2012) was also </w:t>
      </w:r>
      <w:r w:rsidRPr="00244506">
        <w:t>pivotal</w:t>
      </w:r>
      <w:r w:rsidR="003D7894">
        <w:t xml:space="preserve"> personal reading as they advocate the</w:t>
      </w:r>
      <w:r w:rsidRPr="00244506">
        <w:t xml:space="preserve"> role of </w:t>
      </w:r>
      <w:r w:rsidR="00CA47F3">
        <w:t>teacher and student</w:t>
      </w:r>
      <w:r w:rsidRPr="00244506">
        <w:t xml:space="preserve"> relationships in fostering student engagement and academic success</w:t>
      </w:r>
      <w:r w:rsidR="003D7894">
        <w:t>, a paper I will critique in more depth in the next sub section.</w:t>
      </w:r>
      <w:r w:rsidRPr="00244506">
        <w:t xml:space="preserve"> He conceptuali</w:t>
      </w:r>
      <w:r w:rsidR="003D7894">
        <w:t>s</w:t>
      </w:r>
      <w:r w:rsidRPr="00244506">
        <w:t>es these relationships as multifaceted systems encompassing teacher and student beliefs, behavio</w:t>
      </w:r>
      <w:r w:rsidR="003D7894">
        <w:t>u</w:t>
      </w:r>
      <w:r w:rsidRPr="00244506">
        <w:t>ral interactions, and individual characteristics. Pianta</w:t>
      </w:r>
      <w:r w:rsidR="003D7894">
        <w:t xml:space="preserve"> strongly</w:t>
      </w:r>
      <w:r w:rsidRPr="00244506">
        <w:t xml:space="preserve"> emphasi</w:t>
      </w:r>
      <w:r w:rsidR="003D7894">
        <w:t>s</w:t>
      </w:r>
      <w:r w:rsidRPr="00244506">
        <w:t>es that high-quality interactions within the classroom are fundamental to student engagement and can be enhanced through targeted interventions that provide teachers with insights into developmental processes and personali</w:t>
      </w:r>
      <w:r w:rsidR="000551BF">
        <w:t>s</w:t>
      </w:r>
      <w:r w:rsidRPr="00244506">
        <w:t>ed feedback on their interactive behavio</w:t>
      </w:r>
      <w:r w:rsidR="003D7894">
        <w:t>u</w:t>
      </w:r>
      <w:r w:rsidRPr="00244506">
        <w:t>rs.</w:t>
      </w:r>
      <w:r w:rsidR="003D7894">
        <w:t xml:space="preserve"> Combined with </w:t>
      </w:r>
      <w:r w:rsidRPr="00244506">
        <w:t>Lee Shulman</w:t>
      </w:r>
      <w:r w:rsidR="003D7894">
        <w:t>, they</w:t>
      </w:r>
      <w:r w:rsidRPr="00244506">
        <w:t xml:space="preserve"> introduce the concept of 'pedagogical knowledge,' which includes the understanding teachers have of their students and the strategies they employ to create effective learning environments. Within this framework, </w:t>
      </w:r>
      <w:r w:rsidR="00CA47F3">
        <w:t>teacher and student</w:t>
      </w:r>
      <w:r w:rsidRPr="00244506">
        <w:t xml:space="preserve"> relationships are viewed as a critical component, suggesting that the ability to establish and maintain these relationships is integral to effective teaching</w:t>
      </w:r>
      <w:r w:rsidR="003D7894">
        <w:t xml:space="preserve"> – a principle I am keen to expand on within my research. </w:t>
      </w:r>
    </w:p>
    <w:p w14:paraId="73BEECF5" w14:textId="7D74F0B0" w:rsidR="00244506" w:rsidRPr="00244506" w:rsidRDefault="00244506" w:rsidP="00244506">
      <w:pPr>
        <w:spacing w:line="360" w:lineRule="auto"/>
      </w:pPr>
      <w:r w:rsidRPr="00244506">
        <w:lastRenderedPageBreak/>
        <w:t>Synthesi</w:t>
      </w:r>
      <w:r w:rsidR="003D7894">
        <w:t>s</w:t>
      </w:r>
      <w:r w:rsidRPr="00244506">
        <w:t xml:space="preserve">ing Pianta's and Shulman's perspectives with broader literature reveals a consensus on the importance of </w:t>
      </w:r>
      <w:r w:rsidR="00CA47F3">
        <w:t>teacher and student</w:t>
      </w:r>
      <w:r w:rsidRPr="00244506">
        <w:t xml:space="preserve"> relationships. For instance, Frymier and Houser (2000) describe these relationships as interpersonal connections that significantly impact student motivation and learning. They argue that positive </w:t>
      </w:r>
      <w:r w:rsidR="00CA47F3">
        <w:t>teacher and student</w:t>
      </w:r>
      <w:r w:rsidRPr="00244506">
        <w:t xml:space="preserve"> relationships contribute to a supportive classroom environment, enhancing students' academic engagement.</w:t>
      </w:r>
      <w:r w:rsidR="003D7894">
        <w:t xml:space="preserve"> </w:t>
      </w:r>
      <w:r w:rsidRPr="00244506">
        <w:t xml:space="preserve">Moreover, Wubbels and Brekelmans (2011) highlight that </w:t>
      </w:r>
      <w:r w:rsidR="00CA47F3">
        <w:t>teacher and student</w:t>
      </w:r>
      <w:r w:rsidRPr="00244506">
        <w:t xml:space="preserve"> relationships contribute to a positive social climate</w:t>
      </w:r>
      <w:r w:rsidR="003D7894">
        <w:t>, albeit specifically</w:t>
      </w:r>
      <w:r w:rsidRPr="00244506">
        <w:t xml:space="preserve"> in science classes, </w:t>
      </w:r>
      <w:r w:rsidR="003D7894">
        <w:t xml:space="preserve">but also </w:t>
      </w:r>
      <w:r w:rsidRPr="00244506">
        <w:t>emphasi</w:t>
      </w:r>
      <w:r w:rsidR="003D7894">
        <w:t>se</w:t>
      </w:r>
      <w:r w:rsidRPr="00244506">
        <w:t xml:space="preserve"> the relational aspect of teaching as essential for effective education. </w:t>
      </w:r>
      <w:r w:rsidR="003D7894">
        <w:t>Thus, the</w:t>
      </w:r>
      <w:r w:rsidRPr="00244506">
        <w:t xml:space="preserve"> combined insights of Pianta, Shulman, and other scholars underscore that </w:t>
      </w:r>
      <w:r w:rsidR="00CA47F3">
        <w:t>teacher and student</w:t>
      </w:r>
      <w:r w:rsidRPr="00244506">
        <w:t xml:space="preserve"> relationships are multifaceted and central to effective teaching and learning. These relationships are shaped by teachers' pedagogical knowledge and interpersonal skills, and they significantly influence student engagement and academic outcomes.</w:t>
      </w:r>
    </w:p>
    <w:p w14:paraId="165CEF02" w14:textId="77777777" w:rsidR="00205977" w:rsidRDefault="00205977" w:rsidP="007E4F4E">
      <w:pPr>
        <w:spacing w:line="360" w:lineRule="auto"/>
      </w:pPr>
    </w:p>
    <w:p w14:paraId="4395E454" w14:textId="45B0453C" w:rsidR="006144BD" w:rsidRPr="006144BD" w:rsidRDefault="00244506" w:rsidP="007E4F4E">
      <w:pPr>
        <w:spacing w:line="360" w:lineRule="auto"/>
        <w:rPr>
          <w:b/>
          <w:bCs/>
        </w:rPr>
      </w:pPr>
      <w:r w:rsidRPr="00FB37C8">
        <w:rPr>
          <w:b/>
          <w:bCs/>
        </w:rPr>
        <w:t xml:space="preserve">2.2.4 </w:t>
      </w:r>
      <w:r w:rsidR="00FB37C8" w:rsidRPr="00FB37C8">
        <w:rPr>
          <w:b/>
          <w:bCs/>
        </w:rPr>
        <w:t xml:space="preserve"> </w:t>
      </w:r>
      <w:r w:rsidR="006144BD" w:rsidRPr="006144BD">
        <w:rPr>
          <w:b/>
          <w:bCs/>
        </w:rPr>
        <w:t>Critical Evaluation of Pianta and Stuhlman (2004) Using Wallace and Wray’s</w:t>
      </w:r>
      <w:r w:rsidR="00FB37C8">
        <w:rPr>
          <w:b/>
          <w:bCs/>
        </w:rPr>
        <w:t xml:space="preserve"> (2021)</w:t>
      </w:r>
      <w:r w:rsidR="006144BD" w:rsidRPr="006144BD">
        <w:rPr>
          <w:b/>
          <w:bCs/>
        </w:rPr>
        <w:t xml:space="preserve"> Template</w:t>
      </w:r>
    </w:p>
    <w:p w14:paraId="0EF69481" w14:textId="65ECA693" w:rsidR="006144BD" w:rsidRPr="006144BD" w:rsidRDefault="006144BD" w:rsidP="00C55F53">
      <w:pPr>
        <w:spacing w:line="360" w:lineRule="auto"/>
      </w:pPr>
      <w:r w:rsidRPr="006144BD">
        <w:t xml:space="preserve">The study by Pianta and Stuhlman (2004) </w:t>
      </w:r>
      <w:r w:rsidR="0063577C">
        <w:t xml:space="preserve">was of interest as it </w:t>
      </w:r>
      <w:r w:rsidRPr="006144BD">
        <w:t>investigates the impact of teacher</w:t>
      </w:r>
      <w:r w:rsidR="004D0C15">
        <w:t xml:space="preserve"> and </w:t>
      </w:r>
      <w:r w:rsidRPr="006144BD">
        <w:t>child relationships on early childhood education, emphasi</w:t>
      </w:r>
      <w:r w:rsidR="0063577C">
        <w:t>s</w:t>
      </w:r>
      <w:r w:rsidRPr="006144BD">
        <w:t xml:space="preserve">ing their role in academic, social, and emotional development. Published in School Psychology Review, a peer-reviewed journal, the research adopts a quantitative and longitudinal approach, employing hierarchical regression analyses to assess data from </w:t>
      </w:r>
      <w:r w:rsidR="00B96402">
        <w:t>four hundred and ninety</w:t>
      </w:r>
      <w:r w:rsidRPr="006144BD">
        <w:t xml:space="preserve"> children. </w:t>
      </w:r>
      <w:r w:rsidR="00B96402">
        <w:t xml:space="preserve">As I embark on the research journey, the importance of peer reviewed articles </w:t>
      </w:r>
      <w:r w:rsidR="00B603CF">
        <w:t>becomes more obvious</w:t>
      </w:r>
      <w:r w:rsidR="00475583">
        <w:t xml:space="preserve"> as they filter through many </w:t>
      </w:r>
      <w:r w:rsidR="00127262">
        <w:t>studies to find those with credibility, scrutinised by others,</w:t>
      </w:r>
      <w:r w:rsidR="00541E21">
        <w:t xml:space="preserve"> heavily weighting the scholarly aspect of the writing </w:t>
      </w:r>
      <w:r w:rsidR="00661C8F">
        <w:t xml:space="preserve">(Bjork and Solomon, 2012; Bornmann, 2011; Kumar, 2014). </w:t>
      </w:r>
      <w:r w:rsidRPr="006144BD">
        <w:t>Th</w:t>
      </w:r>
      <w:r w:rsidR="00661C8F">
        <w:t>rough reading this paper it was apparent that their findings</w:t>
      </w:r>
      <w:r w:rsidRPr="006144BD">
        <w:t xml:space="preserve"> reinforce the importance of relational closeness while highlighting the detrimental effects of conflict in teacher-child relationships. This evaluation critically appraises the study’s strengths, limitations, and relevance to contemporary research on educational visits and teacher</w:t>
      </w:r>
      <w:r w:rsidR="00661C8F">
        <w:t xml:space="preserve"> and </w:t>
      </w:r>
      <w:r w:rsidR="00CA47F3">
        <w:t>student</w:t>
      </w:r>
      <w:r w:rsidRPr="006144BD">
        <w:t xml:space="preserve"> relationships.</w:t>
      </w:r>
      <w:r w:rsidR="00661C8F">
        <w:t xml:space="preserve"> The balance in considering the impact of a negative school visit on this relationship cannot be overlooked. </w:t>
      </w:r>
    </w:p>
    <w:p w14:paraId="24ABC346" w14:textId="073E0BBB" w:rsidR="006144BD" w:rsidRPr="006144BD" w:rsidRDefault="002A548B" w:rsidP="007E4F4E">
      <w:pPr>
        <w:spacing w:line="360" w:lineRule="auto"/>
      </w:pPr>
      <w:r>
        <w:t xml:space="preserve">Interestingly, within my role of studying educational theorists, </w:t>
      </w:r>
      <w:r w:rsidR="006144BD" w:rsidRPr="006144BD">
        <w:t xml:space="preserve">Pianta and Stuhlman’s (2004) core argument aligns with Bronfenbrenner’s (2006) Bioecological Model, which </w:t>
      </w:r>
      <w:r>
        <w:t>outlines</w:t>
      </w:r>
      <w:r w:rsidR="006144BD" w:rsidRPr="006144BD">
        <w:t xml:space="preserve"> the proximal processes in child development, such as teacher-child interactions. The study underscores that closeness in these relationships </w:t>
      </w:r>
      <w:r>
        <w:t>provide</w:t>
      </w:r>
      <w:r w:rsidR="006144BD" w:rsidRPr="006144BD">
        <w:t>s better academic outcomes, emotional regulation, and social competence, while conflict correlates with behavio</w:t>
      </w:r>
      <w:r>
        <w:t>u</w:t>
      </w:r>
      <w:r w:rsidR="006144BD" w:rsidRPr="006144BD">
        <w:t>ral problems and diminished learning environments. Notably, this</w:t>
      </w:r>
      <w:r w:rsidR="00FF5DAD">
        <w:t xml:space="preserve"> also</w:t>
      </w:r>
      <w:r w:rsidR="006144BD" w:rsidRPr="006144BD">
        <w:t xml:space="preserve"> resonates with Vygotsky’s Social Development Theory (1978), which identifies social interactions as foundational to learning.</w:t>
      </w:r>
    </w:p>
    <w:p w14:paraId="6C6F26EC" w14:textId="3FF0BC3E" w:rsidR="006144BD" w:rsidRPr="006144BD" w:rsidRDefault="006144BD" w:rsidP="007E4F4E">
      <w:pPr>
        <w:spacing w:line="360" w:lineRule="auto"/>
      </w:pPr>
      <w:r w:rsidRPr="006144BD">
        <w:t xml:space="preserve">Although the study provides valuable insights into relational dynamics, its focus on early years and the United States context limits its applicability to broader educational settings, particularly </w:t>
      </w:r>
      <w:r w:rsidR="00FF5DAD">
        <w:t xml:space="preserve">within my focus </w:t>
      </w:r>
      <w:r w:rsidRPr="006144BD">
        <w:t>in Wales. The findings are highly relevant for exploring teacher</w:t>
      </w:r>
      <w:r w:rsidR="00FF5DAD">
        <w:t xml:space="preserve"> and </w:t>
      </w:r>
      <w:r w:rsidR="00CA47F3">
        <w:t>student</w:t>
      </w:r>
      <w:r w:rsidRPr="006144BD">
        <w:t xml:space="preserve"> relationships during educational visits, where informal settings might </w:t>
      </w:r>
      <w:r w:rsidRPr="006144BD">
        <w:lastRenderedPageBreak/>
        <w:t xml:space="preserve">amplify relational closeness, reducing classroom tensions (Hattie, 2009; Pianta </w:t>
      </w:r>
      <w:r w:rsidRPr="006144BD">
        <w:rPr>
          <w:i/>
          <w:iCs/>
        </w:rPr>
        <w:t>et al.,</w:t>
      </w:r>
      <w:r w:rsidRPr="006144BD">
        <w:t xml:space="preserve"> 2012). However, the lack of exploration into these specific contexts</w:t>
      </w:r>
      <w:r w:rsidR="00FF5DAD">
        <w:t xml:space="preserve">, </w:t>
      </w:r>
      <w:r w:rsidRPr="006144BD">
        <w:t xml:space="preserve">such as shared experiences in outdoor or informal learning environments—creates a gap that </w:t>
      </w:r>
      <w:r w:rsidR="00FF5DAD">
        <w:t>perhaps further</w:t>
      </w:r>
      <w:r w:rsidRPr="006144BD">
        <w:t xml:space="preserve"> research can address.</w:t>
      </w:r>
    </w:p>
    <w:p w14:paraId="35CF48C4" w14:textId="10E7FDDF" w:rsidR="006144BD" w:rsidRPr="006144BD" w:rsidRDefault="006144BD" w:rsidP="007E4F4E">
      <w:pPr>
        <w:spacing w:line="360" w:lineRule="auto"/>
      </w:pPr>
      <w:r w:rsidRPr="006144BD">
        <w:t xml:space="preserve">One of the study’s primary strengths lies in its robust methodological design. By employing longitudinal data from multiple sources (teacher reports, parent reports, and direct assessments), the authors ensure reliability and reduce the risk of single-source bias. This triangulation aligns with Creswell and Poth’s (2018) advocacy for diverse data sources in ensuring validity. Additionally, the large sample size </w:t>
      </w:r>
      <w:r w:rsidR="005F471F">
        <w:t xml:space="preserve"> of nearly five hundred participants, </w:t>
      </w:r>
      <w:r w:rsidRPr="006144BD">
        <w:t xml:space="preserve"> enhances statistical power, allowing the authors to generali</w:t>
      </w:r>
      <w:r w:rsidR="005F471F">
        <w:t>s</w:t>
      </w:r>
      <w:r w:rsidRPr="006144BD">
        <w:t>e findings within the constraints of the study’s demographic and geographic scope.</w:t>
      </w:r>
    </w:p>
    <w:p w14:paraId="6C275726" w14:textId="4C92F37F" w:rsidR="006144BD" w:rsidRPr="006144BD" w:rsidRDefault="005F471F" w:rsidP="007E4F4E">
      <w:pPr>
        <w:spacing w:line="360" w:lineRule="auto"/>
      </w:pPr>
      <w:r>
        <w:t xml:space="preserve">Additionally, the </w:t>
      </w:r>
      <w:r w:rsidR="006144BD" w:rsidRPr="006144BD">
        <w:t xml:space="preserve"> study’s focus on conflict and closeness in relationships offers a nuanced understanding of the dynamics at play. Relational closeness</w:t>
      </w:r>
      <w:r>
        <w:t xml:space="preserve">, </w:t>
      </w:r>
      <w:r w:rsidR="006144BD" w:rsidRPr="006144BD">
        <w:t>characteri</w:t>
      </w:r>
      <w:r w:rsidR="00B374AC">
        <w:t>s</w:t>
      </w:r>
      <w:r w:rsidR="006144BD" w:rsidRPr="006144BD">
        <w:t xml:space="preserve">ed by warmth </w:t>
      </w:r>
      <w:r w:rsidR="00B374AC">
        <w:t xml:space="preserve">approach </w:t>
      </w:r>
      <w:r w:rsidR="006144BD" w:rsidRPr="006144BD">
        <w:t>and low</w:t>
      </w:r>
      <w:r w:rsidR="00B374AC">
        <w:t xml:space="preserve"> levels of</w:t>
      </w:r>
      <w:r w:rsidR="006144BD" w:rsidRPr="006144BD">
        <w:t xml:space="preserve"> conflict</w:t>
      </w:r>
      <w:r w:rsidR="00B374AC">
        <w:t xml:space="preserve"> </w:t>
      </w:r>
      <w:r w:rsidR="006144BD" w:rsidRPr="006144BD">
        <w:t xml:space="preserve">is positively associated with better academic and social outcomes, consistent with </w:t>
      </w:r>
      <w:r w:rsidR="00B374AC">
        <w:t xml:space="preserve">The </w:t>
      </w:r>
      <w:r w:rsidR="006144BD" w:rsidRPr="006144BD">
        <w:t>Attachment Theory (Bowlby, 1969). The findings also align with Birch and Ladd’s (1997) evidence that close relationships predict positive outcomes, while conflict correlates with disruptive behavio</w:t>
      </w:r>
      <w:r w:rsidR="00B374AC">
        <w:t xml:space="preserve">urs. </w:t>
      </w:r>
      <w:r w:rsidR="00035EF4">
        <w:t>This is in a generalised setting not specifically on educational visits.</w:t>
      </w:r>
    </w:p>
    <w:p w14:paraId="3C4745BD" w14:textId="178AE9BC" w:rsidR="006144BD" w:rsidRPr="006144BD" w:rsidRDefault="006144BD" w:rsidP="007E4F4E">
      <w:pPr>
        <w:spacing w:line="360" w:lineRule="auto"/>
      </w:pPr>
      <w:r w:rsidRPr="006144BD">
        <w:t>Moreover, the research highlights contextual factors influencing teacher</w:t>
      </w:r>
      <w:r w:rsidR="00035EF4">
        <w:t xml:space="preserve"> and </w:t>
      </w:r>
      <w:r w:rsidRPr="006144BD">
        <w:t>child relationships, such as gender and socioeconomic status. Hughes and Kwok (2007) similarly found that boys and children from low</w:t>
      </w:r>
      <w:r w:rsidR="00035EF4">
        <w:t xml:space="preserve"> socioeconomic status</w:t>
      </w:r>
      <w:r w:rsidRPr="006144BD">
        <w:t xml:space="preserve"> backgrounds experience greater relational conflict, impacting their school outcomes. This intersectional analysis </w:t>
      </w:r>
      <w:r w:rsidR="00135397">
        <w:t xml:space="preserve">may be </w:t>
      </w:r>
      <w:r w:rsidRPr="006144BD">
        <w:t>valuable for understanding the broader implications of relational quality in diverse educational settings</w:t>
      </w:r>
      <w:r w:rsidR="00135397">
        <w:t>.</w:t>
      </w:r>
    </w:p>
    <w:p w14:paraId="5B6D00F1" w14:textId="33B52873" w:rsidR="006144BD" w:rsidRDefault="006144BD" w:rsidP="007E4F4E">
      <w:pPr>
        <w:spacing w:line="360" w:lineRule="auto"/>
      </w:pPr>
      <w:r w:rsidRPr="006144BD">
        <w:t>Despite its strengths, the study has notable limitations that reduce its applicability to contemporary educational contexts and</w:t>
      </w:r>
      <w:r w:rsidR="00135397">
        <w:t xml:space="preserve"> particularly in relation </w:t>
      </w:r>
      <w:r w:rsidRPr="006144BD">
        <w:t>specific</w:t>
      </w:r>
      <w:r w:rsidR="00135397">
        <w:t>ally to my proposed</w:t>
      </w:r>
      <w:r w:rsidRPr="006144BD">
        <w:t xml:space="preserve"> research focus on educational visits</w:t>
      </w:r>
      <w:r w:rsidR="00180B61">
        <w:t xml:space="preserve">. One consideration which could apply to my own study is </w:t>
      </w:r>
      <w:r w:rsidRPr="006144BD">
        <w:t>Teacher Bias</w:t>
      </w:r>
      <w:r w:rsidR="00180B61">
        <w:t>. T</w:t>
      </w:r>
      <w:r w:rsidRPr="006144BD">
        <w:t>he reliance on teacher reports introduces potential bias, as teachers’ perceptions may be influenced by their expectations and interactions with specific children. Hughes (2012) highlights this as a recurring challenge in relational research, suggesting the need for additional data sources such as peer or independent observer reports</w:t>
      </w:r>
      <w:r w:rsidR="00602C5F">
        <w:t>, although, it is unlikely that a peer would want to disagree. Moreover, w</w:t>
      </w:r>
      <w:r w:rsidRPr="006144BD">
        <w:t xml:space="preserve">hile the study’s quantitative approach provides valuable statistical data, it fails to capture the lived experiences and nuances of </w:t>
      </w:r>
      <w:r w:rsidR="00CA47F3">
        <w:t>teacher and student</w:t>
      </w:r>
      <w:r w:rsidRPr="006144BD">
        <w:t xml:space="preserve"> relationships. Qualitative methods, as advocated by Creswell and Poth (2018)</w:t>
      </w:r>
      <w:r w:rsidR="00602C5F">
        <w:t xml:space="preserve"> and my personal preferred </w:t>
      </w:r>
      <w:r w:rsidR="003D357C">
        <w:t>research</w:t>
      </w:r>
      <w:r w:rsidR="00602C5F">
        <w:t xml:space="preserve"> </w:t>
      </w:r>
      <w:r w:rsidR="003D357C">
        <w:t>method</w:t>
      </w:r>
      <w:r w:rsidRPr="006144BD">
        <w:t xml:space="preserve">, could provide richer insights into how relational closeness and conflict develop over time. This limitation is particularly relevant for </w:t>
      </w:r>
      <w:r w:rsidR="003D357C">
        <w:t>my own</w:t>
      </w:r>
      <w:r w:rsidRPr="006144BD">
        <w:t xml:space="preserve"> research, where qualitative approaches could illuminate the relational dynamics during educational visits</w:t>
      </w:r>
      <w:r w:rsidR="003D357C">
        <w:t xml:space="preserve">. The verbal feedback will be key to a deeper understanding. </w:t>
      </w:r>
    </w:p>
    <w:p w14:paraId="7FCA0CAA" w14:textId="0D8465EE" w:rsidR="006144BD" w:rsidRPr="006144BD" w:rsidRDefault="00D714EA" w:rsidP="007E4F4E">
      <w:pPr>
        <w:spacing w:line="360" w:lineRule="auto"/>
      </w:pPr>
      <w:r>
        <w:t>It is also essential to note the l</w:t>
      </w:r>
      <w:r w:rsidR="006144BD" w:rsidRPr="006144BD">
        <w:t xml:space="preserve">imited </w:t>
      </w:r>
      <w:r>
        <w:t>d</w:t>
      </w:r>
      <w:r w:rsidR="006144BD" w:rsidRPr="006144BD">
        <w:t xml:space="preserve">iversity in </w:t>
      </w:r>
      <w:r>
        <w:t>r</w:t>
      </w:r>
      <w:r w:rsidR="006144BD" w:rsidRPr="006144BD">
        <w:t>esponse</w:t>
      </w:r>
      <w:r>
        <w:t xml:space="preserve"> as t</w:t>
      </w:r>
      <w:r w:rsidR="006144BD" w:rsidRPr="006144BD">
        <w:t xml:space="preserve">he study’s focus on a subset of children </w:t>
      </w:r>
      <w:r w:rsidR="00AE0F59">
        <w:t>within parameters of specific s</w:t>
      </w:r>
      <w:r w:rsidR="006144BD" w:rsidRPr="006144BD">
        <w:t>tudy limits its generali</w:t>
      </w:r>
      <w:r w:rsidR="00AE0F59">
        <w:t>s</w:t>
      </w:r>
      <w:r w:rsidR="006144BD" w:rsidRPr="006144BD">
        <w:t>ability.</w:t>
      </w:r>
      <w:r w:rsidR="00AE0F59">
        <w:t xml:space="preserve"> In an ever diverse landscape within Wales, this will</w:t>
      </w:r>
      <w:r w:rsidR="00304520">
        <w:t xml:space="preserve"> be of important consideration within my own research. </w:t>
      </w:r>
      <w:r w:rsidR="006144BD" w:rsidRPr="006144BD">
        <w:t xml:space="preserve"> The sample’s demographic homogeneity does not account for cultural or regional differences, raising concerns about its applicability to contexts like Wales. Gay (2018) </w:t>
      </w:r>
      <w:r w:rsidR="005953E4">
        <w:t>notes</w:t>
      </w:r>
      <w:r w:rsidR="006144BD" w:rsidRPr="006144BD">
        <w:t xml:space="preserve"> the importance of </w:t>
      </w:r>
      <w:r w:rsidR="006144BD" w:rsidRPr="006144BD">
        <w:lastRenderedPageBreak/>
        <w:t>accounting for cultural diversity in educational research to ensure findings are relevant across different socio-economic and cultural settings</w:t>
      </w:r>
      <w:r w:rsidR="00591BC4">
        <w:t xml:space="preserve">, this will be important to </w:t>
      </w:r>
      <w:r w:rsidR="005953E4">
        <w:t>consider in my own research as d</w:t>
      </w:r>
      <w:r w:rsidR="005953E4" w:rsidRPr="005953E4">
        <w:t>iverse samples are necessary to ensure research reflects the full spectrum of societal experiences and challenges (Banks, 2015)</w:t>
      </w:r>
      <w:r w:rsidR="005953E4">
        <w:t xml:space="preserve"> and will allow for further future dissemination of potential results reaching a wider audience.</w:t>
      </w:r>
    </w:p>
    <w:p w14:paraId="5E7FE9E1" w14:textId="5693329D" w:rsidR="006144BD" w:rsidRPr="006144BD" w:rsidRDefault="00AD70AA" w:rsidP="007E4F4E">
      <w:pPr>
        <w:spacing w:line="360" w:lineRule="auto"/>
      </w:pPr>
      <w:r>
        <w:t xml:space="preserve">Within this </w:t>
      </w:r>
      <w:proofErr w:type="gramStart"/>
      <w:r>
        <w:t>particular study</w:t>
      </w:r>
      <w:proofErr w:type="gramEnd"/>
      <w:r>
        <w:t>, there was a r</w:t>
      </w:r>
      <w:r w:rsidR="006144BD" w:rsidRPr="006144BD">
        <w:t xml:space="preserve">estricted </w:t>
      </w:r>
      <w:r>
        <w:t>a</w:t>
      </w:r>
      <w:r w:rsidR="006144BD" w:rsidRPr="006144BD">
        <w:t xml:space="preserve">ge </w:t>
      </w:r>
      <w:r>
        <w:t>r</w:t>
      </w:r>
      <w:r w:rsidR="006144BD" w:rsidRPr="006144BD">
        <w:t>ange</w:t>
      </w:r>
      <w:r>
        <w:t xml:space="preserve">, possibly </w:t>
      </w:r>
      <w:r w:rsidR="00DE557B">
        <w:t>a good thing to provide a focus group, a definite consideration for my own research. Notably, t</w:t>
      </w:r>
      <w:r w:rsidR="006144BD" w:rsidRPr="006144BD">
        <w:t>he exclusive focus on early years children precludes an understanding of relational dynamics in older age groups, which could vary significantly</w:t>
      </w:r>
      <w:r w:rsidR="00DE557B">
        <w:t>, especially when I have outlined my desire to research at a “primary school” age range</w:t>
      </w:r>
      <w:r w:rsidR="006144BD" w:rsidRPr="006144BD">
        <w:t>. The study provides a foundational understanding of teacher</w:t>
      </w:r>
      <w:r w:rsidR="009452A1">
        <w:t xml:space="preserve"> </w:t>
      </w:r>
      <w:r w:rsidR="00CA47F3">
        <w:t>student</w:t>
      </w:r>
      <w:r w:rsidR="006144BD" w:rsidRPr="006144BD">
        <w:t xml:space="preserve"> relationships but leaves significant gaps</w:t>
      </w:r>
      <w:r w:rsidR="009452A1">
        <w:t xml:space="preserve"> or opportunities</w:t>
      </w:r>
      <w:r w:rsidR="006144BD" w:rsidRPr="006144BD">
        <w:t xml:space="preserve"> for future exploration. </w:t>
      </w:r>
      <w:r w:rsidR="009452A1">
        <w:t>My</w:t>
      </w:r>
      <w:r w:rsidR="006144BD" w:rsidRPr="006144BD">
        <w:t xml:space="preserve"> research could </w:t>
      </w:r>
      <w:r w:rsidR="009452A1">
        <w:t xml:space="preserve">potentially </w:t>
      </w:r>
      <w:r w:rsidR="006144BD" w:rsidRPr="006144BD">
        <w:t xml:space="preserve">address these gaps </w:t>
      </w:r>
      <w:r w:rsidR="009452A1">
        <w:t xml:space="preserve">in several ways. </w:t>
      </w:r>
    </w:p>
    <w:p w14:paraId="6C3C43EA" w14:textId="5499BD16" w:rsidR="006144BD" w:rsidRPr="006144BD" w:rsidRDefault="006144BD" w:rsidP="007E4F4E">
      <w:pPr>
        <w:spacing w:line="360" w:lineRule="auto"/>
      </w:pPr>
      <w:r w:rsidRPr="006144BD">
        <w:t xml:space="preserve">By focusing on educational visits, </w:t>
      </w:r>
      <w:r w:rsidR="009452A1">
        <w:t>the aim of the</w:t>
      </w:r>
      <w:r w:rsidRPr="006144BD">
        <w:t xml:space="preserve"> study could explore how shared experiences outside the classroom influence teacher</w:t>
      </w:r>
      <w:r w:rsidR="009452A1">
        <w:t xml:space="preserve"> and </w:t>
      </w:r>
      <w:r w:rsidR="00CA47F3">
        <w:t>student</w:t>
      </w:r>
      <w:r w:rsidRPr="006144BD">
        <w:t xml:space="preserve"> relationships. Informal learning environments, as suggested by Kolb’s Experiential Learning Theory (1984), offer unique opportunities for relational development, which Pianta and Stuhlman’s (2004) study does not address.</w:t>
      </w:r>
      <w:r w:rsidR="009452A1">
        <w:t xml:space="preserve"> This may concern the Museum setting mentioned in my introductory paragraph, for example.</w:t>
      </w:r>
    </w:p>
    <w:p w14:paraId="06FA52D2" w14:textId="4498C0A1" w:rsidR="00B150D2" w:rsidRDefault="006144BD" w:rsidP="007E4F4E">
      <w:pPr>
        <w:spacing w:line="360" w:lineRule="auto"/>
      </w:pPr>
      <w:r w:rsidRPr="006144BD">
        <w:t xml:space="preserve">Adopting </w:t>
      </w:r>
      <w:r w:rsidR="009452A1">
        <w:t xml:space="preserve">a </w:t>
      </w:r>
      <w:r w:rsidRPr="006144BD">
        <w:t>Mixed Methods</w:t>
      </w:r>
      <w:r w:rsidR="009452A1">
        <w:t xml:space="preserve"> approach would allow the incorporation of</w:t>
      </w:r>
      <w:r w:rsidRPr="006144BD">
        <w:t xml:space="preserve"> qualitative data through interviews, observations, and case studies would provide deeper insights into the relational dynamics during educational visits. Tashakkori and Teddlie (2010) advocate for mixed methods to capture both measurable outcomes and the nuanced experiences of participants</w:t>
      </w:r>
      <w:r w:rsidR="0040106A">
        <w:t>; to consider the “why” will be of value in this exploration, as well as the “what”.</w:t>
      </w:r>
      <w:r w:rsidR="006A5F20">
        <w:t xml:space="preserve"> </w:t>
      </w:r>
      <w:r w:rsidR="0040106A">
        <w:t xml:space="preserve">It will be of importance to the research </w:t>
      </w:r>
      <w:r w:rsidR="00AF5FE0">
        <w:t>to e</w:t>
      </w:r>
      <w:r w:rsidRPr="006144BD">
        <w:t>nsur</w:t>
      </w:r>
      <w:r w:rsidR="00AF5FE0">
        <w:t>e</w:t>
      </w:r>
      <w:r w:rsidRPr="006144BD">
        <w:t xml:space="preserve"> a diverse sample in terms of age, S</w:t>
      </w:r>
      <w:r w:rsidR="00AF5FE0">
        <w:t xml:space="preserve">ocioeconomic </w:t>
      </w:r>
      <w:r w:rsidRPr="006144BD">
        <w:t>S</w:t>
      </w:r>
      <w:r w:rsidR="00AF5FE0">
        <w:t>tatus</w:t>
      </w:r>
      <w:r w:rsidRPr="006144BD">
        <w:t>, and cultural background</w:t>
      </w:r>
      <w:r w:rsidR="00AF5FE0">
        <w:t>s. This</w:t>
      </w:r>
      <w:r w:rsidRPr="006144BD">
        <w:t xml:space="preserve"> would address the limitations of Pianta and Stuhlman’s (2004) study, enriching the generali</w:t>
      </w:r>
      <w:r w:rsidR="00AF5FE0">
        <w:t>s</w:t>
      </w:r>
      <w:r w:rsidRPr="006144BD">
        <w:t>ability of findings (Banks, 2015)</w:t>
      </w:r>
      <w:r w:rsidR="00AF5FE0">
        <w:t xml:space="preserve"> and making it more relatable to education settings in Wales.</w:t>
      </w:r>
      <w:r w:rsidR="006A5F20">
        <w:t xml:space="preserve"> </w:t>
      </w:r>
      <w:r w:rsidRPr="006144BD">
        <w:t xml:space="preserve"> While Pianta and Stuhlman focus on relational conflict and closeness</w:t>
      </w:r>
      <w:r w:rsidR="006A5F20">
        <w:t xml:space="preserve"> between teachers and the children</w:t>
      </w:r>
      <w:r w:rsidRPr="006144BD">
        <w:t xml:space="preserve">, </w:t>
      </w:r>
      <w:r w:rsidR="006A5F20">
        <w:t xml:space="preserve">I am more specifically interested in my how future </w:t>
      </w:r>
      <w:r w:rsidRPr="006144BD">
        <w:t xml:space="preserve"> research could extend this by examining how educational visits contribute to teacher and </w:t>
      </w:r>
      <w:r w:rsidR="00CA47F3">
        <w:t>student</w:t>
      </w:r>
      <w:r w:rsidRPr="006144BD">
        <w:t xml:space="preserve"> wellbeing</w:t>
      </w:r>
      <w:r w:rsidR="006A5F20">
        <w:t xml:space="preserve"> and relationships, linking back to the original concept of</w:t>
      </w:r>
      <w:r w:rsidR="00B150D2">
        <w:t xml:space="preserve"> high absences of teachers linked to this</w:t>
      </w:r>
      <w:r w:rsidRPr="006144BD">
        <w:t>. Roffey (2012) and the Curriculum for Wales (Welsh Government, 2019) emphasi</w:t>
      </w:r>
      <w:r w:rsidR="00B150D2">
        <w:t>s</w:t>
      </w:r>
      <w:r w:rsidRPr="006144BD">
        <w:t>e the importance of relational wellbeing in creating positive learning environments</w:t>
      </w:r>
      <w:r w:rsidR="00B150D2">
        <w:t xml:space="preserve"> and so there is a national need to explore opportunities to do this.</w:t>
      </w:r>
    </w:p>
    <w:p w14:paraId="095E3832" w14:textId="5A12BA07" w:rsidR="006144BD" w:rsidRPr="006144BD" w:rsidRDefault="00B150D2" w:rsidP="007E4F4E">
      <w:pPr>
        <w:spacing w:line="360" w:lineRule="auto"/>
      </w:pPr>
      <w:r>
        <w:t>To conclude this sub-section, Piant</w:t>
      </w:r>
      <w:r w:rsidR="006144BD" w:rsidRPr="006144BD">
        <w:t>a and Stuhlman’s (2004) study</w:t>
      </w:r>
      <w:r>
        <w:t xml:space="preserve"> does </w:t>
      </w:r>
      <w:r w:rsidR="006144BD" w:rsidRPr="006144BD">
        <w:t>provid</w:t>
      </w:r>
      <w:r w:rsidR="00293E79">
        <w:t>e</w:t>
      </w:r>
      <w:r w:rsidR="006144BD" w:rsidRPr="006144BD">
        <w:t xml:space="preserve"> valuable insights into the critical role of teacher</w:t>
      </w:r>
      <w:r w:rsidR="00293E79">
        <w:t xml:space="preserve"> and </w:t>
      </w:r>
      <w:r w:rsidR="00CA47F3">
        <w:t>student</w:t>
      </w:r>
      <w:r w:rsidR="006144BD" w:rsidRPr="006144BD">
        <w:t xml:space="preserve"> relationships in early childhood education. Its methodological rigor and theoretical grounding in frameworks such as Attachment Theory and the Bioecological Model underscore its contribution to the field. However, its limitations in teacher bias, lack of qualitative data, and restricted applicability to diverse contexts highlight significant gaps</w:t>
      </w:r>
      <w:r w:rsidR="00293E79">
        <w:t xml:space="preserve"> which could be further addressed. I feel </w:t>
      </w:r>
      <w:r w:rsidR="006144BD" w:rsidRPr="006144BD">
        <w:t xml:space="preserve"> this study serves as a starting point to explore how educational visits </w:t>
      </w:r>
      <w:r w:rsidR="00293E79">
        <w:t xml:space="preserve">may </w:t>
      </w:r>
      <w:r w:rsidR="006144BD" w:rsidRPr="006144BD">
        <w:t xml:space="preserve">influence </w:t>
      </w:r>
      <w:r w:rsidR="00CA47F3">
        <w:t>teacher and student</w:t>
      </w:r>
      <w:r w:rsidR="006144BD" w:rsidRPr="006144BD">
        <w:t xml:space="preserve"> relationships. By </w:t>
      </w:r>
      <w:r w:rsidR="00293E79">
        <w:t xml:space="preserve">using a critical literature framework (Wallace and Wray, 2021) and </w:t>
      </w:r>
      <w:r w:rsidR="006144BD" w:rsidRPr="006144BD">
        <w:t xml:space="preserve">addressing the limitations identified and integrating insights from experiential learning and wellbeing frameworks, </w:t>
      </w:r>
      <w:r w:rsidR="00293E79">
        <w:t xml:space="preserve">it’s </w:t>
      </w:r>
      <w:r w:rsidR="00293E79">
        <w:lastRenderedPageBreak/>
        <w:t xml:space="preserve">possible my own </w:t>
      </w:r>
      <w:r w:rsidR="006144BD" w:rsidRPr="006144BD">
        <w:t xml:space="preserve"> study could make a meaningful contribution to the literature. Future research should </w:t>
      </w:r>
      <w:r w:rsidR="00B84E99">
        <w:t xml:space="preserve">perhaps </w:t>
      </w:r>
      <w:r w:rsidR="006144BD" w:rsidRPr="006144BD">
        <w:t>priorit</w:t>
      </w:r>
      <w:r w:rsidR="00B84E99">
        <w:t>is</w:t>
      </w:r>
      <w:r w:rsidR="006144BD" w:rsidRPr="006144BD">
        <w:t xml:space="preserve">e diverse, </w:t>
      </w:r>
      <w:proofErr w:type="gramStart"/>
      <w:r w:rsidR="006144BD" w:rsidRPr="006144BD">
        <w:t>mixed-method</w:t>
      </w:r>
      <w:proofErr w:type="gramEnd"/>
      <w:r w:rsidR="006144BD" w:rsidRPr="006144BD">
        <w:t xml:space="preserve"> approaches to fully capture the relational and contextual dynamics of </w:t>
      </w:r>
      <w:r w:rsidR="00CA47F3">
        <w:t>teacher and student</w:t>
      </w:r>
      <w:r w:rsidR="006144BD" w:rsidRPr="006144BD">
        <w:t xml:space="preserve"> interactions during educational visits, particularly within the Welsh educational context.</w:t>
      </w:r>
    </w:p>
    <w:p w14:paraId="03BC7794" w14:textId="77777777" w:rsidR="00AD7D85" w:rsidRDefault="00AD7D85" w:rsidP="004B4607">
      <w:pPr>
        <w:ind w:left="1440"/>
      </w:pPr>
    </w:p>
    <w:p w14:paraId="76DFCD25" w14:textId="77777777" w:rsidR="00580A0A" w:rsidRDefault="00580A0A" w:rsidP="00D31A60">
      <w:pPr>
        <w:rPr>
          <w:b/>
          <w:bCs/>
        </w:rPr>
      </w:pPr>
    </w:p>
    <w:p w14:paraId="3535F872" w14:textId="77777777" w:rsidR="00580A0A" w:rsidRDefault="00580A0A" w:rsidP="00D31A60">
      <w:pPr>
        <w:rPr>
          <w:b/>
          <w:bCs/>
        </w:rPr>
      </w:pPr>
    </w:p>
    <w:p w14:paraId="4DB86DB5" w14:textId="72890D2C" w:rsidR="00EF155A" w:rsidRPr="00EF155A" w:rsidRDefault="00D31A60" w:rsidP="00D31A60">
      <w:r>
        <w:rPr>
          <w:b/>
          <w:bCs/>
        </w:rPr>
        <w:t>2.2.</w:t>
      </w:r>
      <w:r w:rsidR="00244506">
        <w:rPr>
          <w:b/>
          <w:bCs/>
        </w:rPr>
        <w:t>5</w:t>
      </w:r>
      <w:r>
        <w:rPr>
          <w:b/>
          <w:bCs/>
        </w:rPr>
        <w:t xml:space="preserve"> E</w:t>
      </w:r>
      <w:r w:rsidR="00EF155A" w:rsidRPr="00D31A60">
        <w:rPr>
          <w:b/>
          <w:bCs/>
        </w:rPr>
        <w:t>xperiential Learning</w:t>
      </w:r>
      <w:r w:rsidR="00580A0A">
        <w:rPr>
          <w:b/>
          <w:bCs/>
        </w:rPr>
        <w:br/>
      </w:r>
    </w:p>
    <w:p w14:paraId="3C994274" w14:textId="36975E0D" w:rsidR="00F47520" w:rsidRDefault="003E20F1" w:rsidP="00BF372D">
      <w:pPr>
        <w:spacing w:line="360" w:lineRule="auto"/>
      </w:pPr>
      <w:r w:rsidRPr="003E20F1">
        <w:t>Experiential learning is a cornerstone of meaningful educational practice, emphasi</w:t>
      </w:r>
      <w:r w:rsidR="00FC2BCA">
        <w:t>s</w:t>
      </w:r>
      <w:r w:rsidRPr="003E20F1">
        <w:t>ing the active engagement of learners in real-world context</w:t>
      </w:r>
      <w:r w:rsidR="00B33D84">
        <w:t xml:space="preserve"> (</w:t>
      </w:r>
      <w:r w:rsidR="00B33D84" w:rsidRPr="00B33D84">
        <w:t>Gentry</w:t>
      </w:r>
      <w:r w:rsidR="00FC2BCA">
        <w:t xml:space="preserve">, </w:t>
      </w:r>
      <w:r w:rsidR="00B33D84" w:rsidRPr="00B33D84">
        <w:t>1990</w:t>
      </w:r>
      <w:r w:rsidR="00FC2BCA">
        <w:t xml:space="preserve">; </w:t>
      </w:r>
      <w:r w:rsidR="00B33D84" w:rsidRPr="00B33D84">
        <w:t>Boggu and Sundarsingh</w:t>
      </w:r>
      <w:r w:rsidR="00B33D84">
        <w:t xml:space="preserve">, </w:t>
      </w:r>
      <w:r w:rsidR="00B33D84" w:rsidRPr="00B33D84">
        <w:t>2019</w:t>
      </w:r>
      <w:r w:rsidR="00B33D84">
        <w:t xml:space="preserve">; </w:t>
      </w:r>
      <w:r w:rsidR="00B33D84" w:rsidRPr="00B33D84">
        <w:t>Prince</w:t>
      </w:r>
      <w:r w:rsidR="00B33D84">
        <w:t xml:space="preserve">, </w:t>
      </w:r>
      <w:r w:rsidR="00B33D84" w:rsidRPr="00B33D84">
        <w:t>2004</w:t>
      </w:r>
      <w:r w:rsidR="00B33D84">
        <w:t xml:space="preserve">; </w:t>
      </w:r>
      <w:r w:rsidR="00B33D84" w:rsidRPr="00B33D84">
        <w:t>Donovan</w:t>
      </w:r>
      <w:r w:rsidR="00B33D84">
        <w:t xml:space="preserve"> </w:t>
      </w:r>
      <w:r w:rsidR="00B33D84" w:rsidRPr="00B33D84">
        <w:rPr>
          <w:i/>
          <w:iCs/>
        </w:rPr>
        <w:t>et al</w:t>
      </w:r>
      <w:r w:rsidR="00B33D84">
        <w:t xml:space="preserve">., </w:t>
      </w:r>
      <w:r w:rsidR="00B33D84" w:rsidRPr="00B33D84">
        <w:t>1999</w:t>
      </w:r>
      <w:r w:rsidR="0033373F">
        <w:t>.</w:t>
      </w:r>
      <w:r w:rsidR="00B33D84">
        <w:t xml:space="preserve"> </w:t>
      </w:r>
      <w:r w:rsidRPr="003E20F1">
        <w:t xml:space="preserve">Kolb’s Experiential Learning Theory (1984) </w:t>
      </w:r>
      <w:r w:rsidR="00FC2BCA">
        <w:t>suggests</w:t>
      </w:r>
      <w:r w:rsidRPr="003E20F1">
        <w:t xml:space="preserve"> that deep and transformative learning occurs when individuals engage in a cyclical process of concrete experience, reflective observation, abstract conceptuali</w:t>
      </w:r>
      <w:r w:rsidR="003178E7">
        <w:t>s</w:t>
      </w:r>
      <w:r w:rsidRPr="003E20F1">
        <w:t>ation, and active experimentation. This model aligns closely with the potential of educational visits to create immersive and impactful learning opportunities, allowing students to connect theoretical knowledge with tangible, authentic experiences.</w:t>
      </w:r>
      <w:r w:rsidR="003178E7">
        <w:t xml:space="preserve"> </w:t>
      </w:r>
    </w:p>
    <w:p w14:paraId="6B4C20DA" w14:textId="0CACECEA" w:rsidR="00F47520" w:rsidRDefault="00BF372D" w:rsidP="00BF372D">
      <w:pPr>
        <w:spacing w:line="360" w:lineRule="auto"/>
      </w:pPr>
      <w:r>
        <w:t xml:space="preserve">Despite being a notable gap in literature relating to the link between teacher and student wellbeing AND experiential learning in Wales, </w:t>
      </w:r>
      <w:r w:rsidR="00EF3F42">
        <w:t>ESTYN</w:t>
      </w:r>
      <w:r>
        <w:t xml:space="preserve"> (</w:t>
      </w:r>
      <w:r w:rsidRPr="00BF372D">
        <w:t>the education and training inspectorate for Wales</w:t>
      </w:r>
      <w:r>
        <w:t>) recognise</w:t>
      </w:r>
      <w:r w:rsidRPr="00BF372D">
        <w:t xml:space="preserve"> the importance of experiential learning across various educational stages. </w:t>
      </w:r>
      <w:r w:rsidR="00370B74">
        <w:t xml:space="preserve">In the </w:t>
      </w:r>
      <w:r w:rsidRPr="00BF372D">
        <w:t>Foundation Phase Framework,</w:t>
      </w:r>
      <w:r w:rsidR="00370B74">
        <w:t xml:space="preserve"> of which the Curriculum For Wales has built upon, </w:t>
      </w:r>
      <w:r w:rsidRPr="00BF372D">
        <w:t xml:space="preserve"> Estyn advocates for an "experiential, active approach to learning," highlighting the significance of placing the child at the cent</w:t>
      </w:r>
      <w:r w:rsidR="00C10AEA">
        <w:t>re</w:t>
      </w:r>
      <w:r w:rsidRPr="00BF372D">
        <w:t xml:space="preserve"> of all learning activities and recogni</w:t>
      </w:r>
      <w:r w:rsidR="00C10AEA">
        <w:t>s</w:t>
      </w:r>
      <w:r w:rsidRPr="00BF372D">
        <w:t>ing the crucial role of children's well-being. Estyn showcases practical applications of experiential learning in schools. For instance,</w:t>
      </w:r>
      <w:r w:rsidR="00935A58">
        <w:t xml:space="preserve"> a </w:t>
      </w:r>
      <w:r w:rsidR="0004481D">
        <w:t>2022 Estyn Case Study, praises how</w:t>
      </w:r>
      <w:r w:rsidRPr="00BF372D">
        <w:t xml:space="preserve"> Ewloe Green Primary School integrates practical methods to cater to diverse learners, resulting in increased </w:t>
      </w:r>
      <w:r w:rsidR="00CA47F3">
        <w:t>student</w:t>
      </w:r>
      <w:r w:rsidRPr="00BF372D">
        <w:t xml:space="preserve"> confidence and engagement, particularly among those previously reluctant to participate</w:t>
      </w:r>
      <w:r w:rsidR="0004481D">
        <w:t xml:space="preserve"> particularly in </w:t>
      </w:r>
      <w:r w:rsidRPr="00BF372D">
        <w:t xml:space="preserve">demonstrating how experiential learning can make education more dynamic and inclusive. </w:t>
      </w:r>
      <w:r w:rsidR="00BE7F17">
        <w:t xml:space="preserve">As this is a primary school focus, it links well to the suggested research, favourably that there could be scope to promote </w:t>
      </w:r>
      <w:r w:rsidR="00F47520">
        <w:t xml:space="preserve">relationships through visits. </w:t>
      </w:r>
    </w:p>
    <w:p w14:paraId="6B6596FE" w14:textId="7E8A8138" w:rsidR="003E20F1" w:rsidRPr="003E20F1" w:rsidRDefault="00BF372D" w:rsidP="00B33D84">
      <w:pPr>
        <w:spacing w:line="360" w:lineRule="auto"/>
      </w:pPr>
      <w:r w:rsidRPr="00BF372D">
        <w:t xml:space="preserve">Furthermore, Estyn highlights the provision of high-quality experiential play opportunities in </w:t>
      </w:r>
      <w:r w:rsidR="00A544A1">
        <w:t xml:space="preserve">their 2023 Case Study of </w:t>
      </w:r>
      <w:r w:rsidRPr="00BF372D">
        <w:t>Crossway Nursery. The nursery e</w:t>
      </w:r>
      <w:r w:rsidR="00A544A1">
        <w:t>ncourages</w:t>
      </w:r>
      <w:r w:rsidRPr="00BF372D">
        <w:t xml:space="preserve"> active experiential learning by planning a wide range of engaging activities that develop children's skills while allowing them to pursue their interests. This approach includes authentic, real-life experiences that encourage independence and exploration, fostering a natural, homely environment that brings the outside in and promotes respect for nature.</w:t>
      </w:r>
      <w:r w:rsidR="00A544A1">
        <w:t xml:space="preserve"> This also aligns with the</w:t>
      </w:r>
      <w:r w:rsidR="00174EB9">
        <w:t xml:space="preserve"> principles of the </w:t>
      </w:r>
      <w:r w:rsidR="00A544A1">
        <w:t xml:space="preserve"> Curriculum for Wales (</w:t>
      </w:r>
      <w:r w:rsidR="00356045">
        <w:t xml:space="preserve">Welsh Government, </w:t>
      </w:r>
      <w:r w:rsidR="00A544A1">
        <w:t>201</w:t>
      </w:r>
      <w:r w:rsidR="00356045">
        <w:t>8</w:t>
      </w:r>
      <w:r w:rsidR="00A544A1">
        <w:t xml:space="preserve">). </w:t>
      </w:r>
      <w:r w:rsidR="00EF3F42">
        <w:t xml:space="preserve"> </w:t>
      </w:r>
    </w:p>
    <w:p w14:paraId="335E6E1C" w14:textId="1A07E949" w:rsidR="003E20F1" w:rsidRPr="003E20F1" w:rsidRDefault="003E20F1" w:rsidP="003E20F1">
      <w:pPr>
        <w:spacing w:line="360" w:lineRule="auto"/>
      </w:pPr>
      <w:r w:rsidRPr="003E20F1">
        <w:t xml:space="preserve">Sociocultural theories (Vygotsky, 1978; Rogoff, 2003) further reinforce the value of shared learning in authentic contexts, suggesting that cognitive and social development is best facilitated through collaborative, contextually relevant experiences. Vygotsky’s concept of the Zone of Proximal Development </w:t>
      </w:r>
      <w:r w:rsidR="00356045">
        <w:t>outlines</w:t>
      </w:r>
      <w:r w:rsidRPr="003E20F1">
        <w:t xml:space="preserve"> the role of social interactions in </w:t>
      </w:r>
      <w:r w:rsidRPr="003E20F1">
        <w:lastRenderedPageBreak/>
        <w:t>extending learning beyond what students can achieve independently, while Rogoff (2003) highlights the importance of participation in culturally and contextually meaningful activities. Educational visits, by situating learning in real-world environments, offer unique opportunities for such collaborative engagement, fostering both individual growth and collective understanding.</w:t>
      </w:r>
    </w:p>
    <w:p w14:paraId="3A048D99" w14:textId="1B99875B" w:rsidR="00AD7D85" w:rsidRPr="00482E8A" w:rsidRDefault="003E20F1" w:rsidP="00482E8A">
      <w:pPr>
        <w:spacing w:line="360" w:lineRule="auto"/>
      </w:pPr>
      <w:r w:rsidRPr="003E20F1">
        <w:t>However, the potential of experiential learning is not without challenges. Effective implementation depends on the ability of teachers to facilitate such experiences, which may require pedagogical adaptability and additional support. Logistical constraints, such as funding, scheduling, and access to suitable venues, can also limit the feasibility of educational visits, particularly in under-resourced schools</w:t>
      </w:r>
      <w:r w:rsidR="00F2484C">
        <w:t xml:space="preserve"> (Ewance, 2023; </w:t>
      </w:r>
      <w:r w:rsidR="00A57C93">
        <w:t xml:space="preserve">Leung 2024; </w:t>
      </w:r>
      <w:r w:rsidR="00AA79A4">
        <w:t>Department for Education, 2018; Phinla, 2024)</w:t>
      </w:r>
      <w:r w:rsidRPr="003E20F1">
        <w:t>. Addressing these barriers is essential to ensuring that experiential learning opportunities are accessible and impactful for all students</w:t>
      </w:r>
      <w:r w:rsidR="007F445D">
        <w:t xml:space="preserve"> thus helping to develop relationships as being explored in the suggested research. </w:t>
      </w:r>
    </w:p>
    <w:p w14:paraId="73FECCA3" w14:textId="77777777" w:rsidR="00AD7D85" w:rsidRDefault="00AD7D85" w:rsidP="00EF155A">
      <w:pPr>
        <w:rPr>
          <w:b/>
          <w:bCs/>
        </w:rPr>
      </w:pPr>
    </w:p>
    <w:p w14:paraId="37BD056C" w14:textId="77777777" w:rsidR="00205977" w:rsidRDefault="00205977" w:rsidP="00EF155A">
      <w:pPr>
        <w:rPr>
          <w:b/>
          <w:bCs/>
        </w:rPr>
      </w:pPr>
    </w:p>
    <w:p w14:paraId="320F2559" w14:textId="77777777" w:rsidR="00580A0A" w:rsidRDefault="00580A0A" w:rsidP="00EF155A">
      <w:pPr>
        <w:rPr>
          <w:b/>
          <w:bCs/>
        </w:rPr>
      </w:pPr>
    </w:p>
    <w:p w14:paraId="6C22DB37" w14:textId="77777777" w:rsidR="00580A0A" w:rsidRDefault="00580A0A" w:rsidP="00EF155A">
      <w:pPr>
        <w:rPr>
          <w:b/>
          <w:bCs/>
        </w:rPr>
      </w:pPr>
    </w:p>
    <w:p w14:paraId="0660A7E2" w14:textId="77777777" w:rsidR="00580A0A" w:rsidRDefault="00580A0A" w:rsidP="00EF155A">
      <w:pPr>
        <w:rPr>
          <w:b/>
          <w:bCs/>
        </w:rPr>
      </w:pPr>
    </w:p>
    <w:p w14:paraId="5AA22CDC" w14:textId="77777777" w:rsidR="00580A0A" w:rsidRDefault="00580A0A" w:rsidP="00EF155A">
      <w:pPr>
        <w:rPr>
          <w:b/>
          <w:bCs/>
        </w:rPr>
      </w:pPr>
    </w:p>
    <w:p w14:paraId="27726192" w14:textId="77777777" w:rsidR="00580A0A" w:rsidRDefault="00580A0A" w:rsidP="00EF155A">
      <w:pPr>
        <w:rPr>
          <w:b/>
          <w:bCs/>
        </w:rPr>
      </w:pPr>
    </w:p>
    <w:p w14:paraId="64E5062A" w14:textId="77777777" w:rsidR="00580A0A" w:rsidRDefault="00580A0A" w:rsidP="00EF155A">
      <w:pPr>
        <w:rPr>
          <w:b/>
          <w:bCs/>
        </w:rPr>
      </w:pPr>
    </w:p>
    <w:p w14:paraId="0FE81613" w14:textId="77777777" w:rsidR="00580A0A" w:rsidRDefault="00580A0A" w:rsidP="00EF155A">
      <w:pPr>
        <w:rPr>
          <w:b/>
          <w:bCs/>
        </w:rPr>
      </w:pPr>
    </w:p>
    <w:p w14:paraId="016775BB" w14:textId="77777777" w:rsidR="00580A0A" w:rsidRDefault="00580A0A" w:rsidP="00EF155A">
      <w:pPr>
        <w:rPr>
          <w:b/>
          <w:bCs/>
        </w:rPr>
      </w:pPr>
    </w:p>
    <w:p w14:paraId="47C0A4EF" w14:textId="77777777" w:rsidR="00580A0A" w:rsidRDefault="00580A0A" w:rsidP="00EF155A">
      <w:pPr>
        <w:rPr>
          <w:b/>
          <w:bCs/>
        </w:rPr>
      </w:pPr>
    </w:p>
    <w:p w14:paraId="2117096A" w14:textId="77777777" w:rsidR="00580A0A" w:rsidRDefault="00580A0A" w:rsidP="00EF155A">
      <w:pPr>
        <w:rPr>
          <w:b/>
          <w:bCs/>
        </w:rPr>
      </w:pPr>
    </w:p>
    <w:p w14:paraId="6850B17D" w14:textId="77777777" w:rsidR="00580A0A" w:rsidRDefault="00580A0A" w:rsidP="00EF155A">
      <w:pPr>
        <w:rPr>
          <w:b/>
          <w:bCs/>
        </w:rPr>
      </w:pPr>
    </w:p>
    <w:p w14:paraId="341F0496" w14:textId="77777777" w:rsidR="00580A0A" w:rsidRDefault="00580A0A" w:rsidP="00EF155A">
      <w:pPr>
        <w:rPr>
          <w:b/>
          <w:bCs/>
        </w:rPr>
      </w:pPr>
    </w:p>
    <w:p w14:paraId="04EBA896" w14:textId="77777777" w:rsidR="00580A0A" w:rsidRDefault="00580A0A" w:rsidP="00EF155A">
      <w:pPr>
        <w:rPr>
          <w:b/>
          <w:bCs/>
        </w:rPr>
      </w:pPr>
    </w:p>
    <w:p w14:paraId="61EF6328" w14:textId="77777777" w:rsidR="00580A0A" w:rsidRDefault="00580A0A" w:rsidP="00EF155A">
      <w:pPr>
        <w:rPr>
          <w:b/>
          <w:bCs/>
        </w:rPr>
      </w:pPr>
    </w:p>
    <w:p w14:paraId="3F311198" w14:textId="77777777" w:rsidR="00580A0A" w:rsidRDefault="00580A0A" w:rsidP="00EF155A">
      <w:pPr>
        <w:rPr>
          <w:b/>
          <w:bCs/>
        </w:rPr>
      </w:pPr>
    </w:p>
    <w:p w14:paraId="43DACB13" w14:textId="77777777" w:rsidR="00580A0A" w:rsidRDefault="00580A0A" w:rsidP="00EF155A">
      <w:pPr>
        <w:rPr>
          <w:b/>
          <w:bCs/>
        </w:rPr>
      </w:pPr>
    </w:p>
    <w:p w14:paraId="0716E187" w14:textId="77777777" w:rsidR="00580A0A" w:rsidRDefault="00580A0A" w:rsidP="00EF155A">
      <w:pPr>
        <w:rPr>
          <w:b/>
          <w:bCs/>
        </w:rPr>
      </w:pPr>
    </w:p>
    <w:p w14:paraId="009F9844" w14:textId="77777777" w:rsidR="00580A0A" w:rsidRDefault="00580A0A" w:rsidP="00EF155A">
      <w:pPr>
        <w:rPr>
          <w:b/>
          <w:bCs/>
        </w:rPr>
      </w:pPr>
    </w:p>
    <w:p w14:paraId="0EB4DA0E" w14:textId="77777777" w:rsidR="00580A0A" w:rsidRDefault="00580A0A" w:rsidP="00EF155A">
      <w:pPr>
        <w:rPr>
          <w:b/>
          <w:bCs/>
        </w:rPr>
      </w:pPr>
    </w:p>
    <w:p w14:paraId="6F4F9F6A" w14:textId="6D1AEE03" w:rsidR="000A1B99" w:rsidRDefault="000A1B99" w:rsidP="00EF155A">
      <w:pPr>
        <w:rPr>
          <w:b/>
          <w:bCs/>
        </w:rPr>
      </w:pPr>
      <w:r>
        <w:rPr>
          <w:b/>
          <w:bCs/>
        </w:rPr>
        <w:lastRenderedPageBreak/>
        <w:t>S</w:t>
      </w:r>
      <w:r w:rsidR="008055BE">
        <w:rPr>
          <w:b/>
          <w:bCs/>
        </w:rPr>
        <w:t>ection 3 Conclusion</w:t>
      </w:r>
      <w:r w:rsidR="007B7E34">
        <w:rPr>
          <w:b/>
          <w:bCs/>
        </w:rPr>
        <w:br/>
      </w:r>
    </w:p>
    <w:p w14:paraId="524A6B5D" w14:textId="12EA6F86" w:rsidR="00667BB2" w:rsidRDefault="00B440B9" w:rsidP="00667BB2">
      <w:pPr>
        <w:spacing w:line="360" w:lineRule="auto"/>
        <w:rPr>
          <w:b/>
          <w:bCs/>
        </w:rPr>
      </w:pPr>
      <w:r>
        <w:rPr>
          <w:b/>
          <w:bCs/>
        </w:rPr>
        <w:t>3</w:t>
      </w:r>
      <w:r w:rsidR="00667BB2">
        <w:rPr>
          <w:b/>
          <w:bCs/>
        </w:rPr>
        <w:t>.</w:t>
      </w:r>
      <w:r>
        <w:rPr>
          <w:b/>
          <w:bCs/>
        </w:rPr>
        <w:t>1</w:t>
      </w:r>
      <w:r w:rsidR="00667BB2">
        <w:rPr>
          <w:b/>
          <w:bCs/>
        </w:rPr>
        <w:t xml:space="preserve"> Research Objectives and Question</w:t>
      </w:r>
    </w:p>
    <w:p w14:paraId="5036F2E4" w14:textId="41A55BD0" w:rsidR="00667BB2" w:rsidRPr="008943B6" w:rsidRDefault="00C45764" w:rsidP="00667BB2">
      <w:pPr>
        <w:spacing w:line="360" w:lineRule="auto"/>
      </w:pPr>
      <w:r>
        <w:t xml:space="preserve">From this varied research and vast critical reading of the surrounding literature, it is then important to try to generate and refine a Research Question. </w:t>
      </w:r>
      <w:r w:rsidR="00667BB2" w:rsidRPr="008943B6">
        <w:t xml:space="preserve">The </w:t>
      </w:r>
      <w:r w:rsidR="0071132B">
        <w:t>prima facie</w:t>
      </w:r>
      <w:r w:rsidR="00667BB2" w:rsidRPr="008943B6">
        <w:t xml:space="preserve"> research question for this study is: "Exploring how educational visits influence teachers' perceptions of their relationships with students; do they have a positive impact?" This question aligns with </w:t>
      </w:r>
      <w:r w:rsidR="00B827FF">
        <w:t>my</w:t>
      </w:r>
      <w:r w:rsidR="00667BB2" w:rsidRPr="008943B6">
        <w:t xml:space="preserve"> interpretivist research stance, which seeks to explore and understand the nuanced perceptions, experiences, and interpretations of participants. As Crotty (1998) </w:t>
      </w:r>
      <w:r w:rsidR="00B827FF">
        <w:t>state;</w:t>
      </w:r>
      <w:r w:rsidR="00667BB2" w:rsidRPr="008943B6">
        <w:t xml:space="preserve"> interpretivism within a constructivist framework posits that knowledge is not directly attainable but is instead constructed through the interpretation of individuals' accounts and observations. This perspective supports the aim of investigating how educational visits shape teachers' understanding of their relationships with students</w:t>
      </w:r>
      <w:r w:rsidR="00954A44">
        <w:t>, and vice versa</w:t>
      </w:r>
      <w:r w:rsidR="00667BB2" w:rsidRPr="008943B6">
        <w:t>.</w:t>
      </w:r>
    </w:p>
    <w:p w14:paraId="6710F7BB" w14:textId="017DFF69" w:rsidR="00667BB2" w:rsidRPr="008943B6" w:rsidRDefault="00667BB2" w:rsidP="00667BB2">
      <w:pPr>
        <w:spacing w:line="360" w:lineRule="auto"/>
      </w:pPr>
      <w:r w:rsidRPr="008943B6">
        <w:t>Interpretivism is particularly well-suited to this study because it prioriti</w:t>
      </w:r>
      <w:r w:rsidR="00954A44">
        <w:t>s</w:t>
      </w:r>
      <w:r w:rsidRPr="008943B6">
        <w:t xml:space="preserve">es the subjective and contextual dimensions of human experience (Saracho, 2015). By examining teachers’ lived experiences and perceptions, </w:t>
      </w:r>
      <w:r w:rsidR="00954A44">
        <w:t>I seek</w:t>
      </w:r>
      <w:r w:rsidRPr="008943B6">
        <w:t xml:space="preserve"> to uncover deeper insights into how educational visits impact their relational dynamics with students. This aligns with the view expressed by Thomas (2017), who argues that interpretivist research </w:t>
      </w:r>
      <w:r w:rsidR="000C6868">
        <w:t xml:space="preserve">strives to </w:t>
      </w:r>
      <w:r w:rsidRPr="008943B6">
        <w:t>understand behaviours, actions, and responses from the perspective of those involved, offering rich, meaningful data grounded in real-world contexts.</w:t>
      </w:r>
    </w:p>
    <w:p w14:paraId="02A5155C" w14:textId="510A3C81" w:rsidR="00877148" w:rsidRDefault="00667BB2" w:rsidP="00604981">
      <w:pPr>
        <w:spacing w:line="360" w:lineRule="auto"/>
      </w:pPr>
      <w:r w:rsidRPr="008943B6">
        <w:t xml:space="preserve">The proposed research question also allows for a mixed-methods approach, combining qualitative and quantitative methods to capture the multidimensional nature of </w:t>
      </w:r>
      <w:r w:rsidR="00CA47F3">
        <w:t>teacher and student</w:t>
      </w:r>
      <w:r w:rsidRPr="008943B6">
        <w:t xml:space="preserve"> relationships. As Cohen, Manion, and Morrison (2018) suggest, such an approach enables the integration of both inductive and deductive reasoning, facilitating the investigation of multiple, plural perspectives</w:t>
      </w:r>
      <w:r w:rsidR="00F46364">
        <w:t xml:space="preserve"> – as there is limited existing research, the more data, the better!</w:t>
      </w:r>
    </w:p>
    <w:p w14:paraId="115AA9B9" w14:textId="77777777" w:rsidR="00D84A4F" w:rsidRDefault="00D84A4F" w:rsidP="00604981">
      <w:pPr>
        <w:spacing w:line="360" w:lineRule="auto"/>
      </w:pPr>
    </w:p>
    <w:p w14:paraId="4F6AF3B5" w14:textId="12AB8D9C" w:rsidR="00DD687E" w:rsidRDefault="00DD687E" w:rsidP="00EF155A">
      <w:pPr>
        <w:rPr>
          <w:b/>
          <w:bCs/>
        </w:rPr>
      </w:pPr>
      <w:r>
        <w:rPr>
          <w:b/>
          <w:bCs/>
        </w:rPr>
        <w:t>3.2 Summary and Future Considerations</w:t>
      </w:r>
    </w:p>
    <w:p w14:paraId="22058F67" w14:textId="77777777" w:rsidR="00DD687E" w:rsidRDefault="00DD687E" w:rsidP="00EF155A">
      <w:pPr>
        <w:rPr>
          <w:b/>
          <w:bCs/>
        </w:rPr>
      </w:pPr>
    </w:p>
    <w:p w14:paraId="25F8740D" w14:textId="29FDD712" w:rsidR="001B497F" w:rsidRDefault="004F0A04" w:rsidP="00141E06">
      <w:pPr>
        <w:spacing w:line="360" w:lineRule="auto"/>
      </w:pPr>
      <w:r w:rsidRPr="00141E06">
        <w:t xml:space="preserve">There appears to be a need for </w:t>
      </w:r>
      <w:r w:rsidR="001B497F" w:rsidRPr="001B497F">
        <w:t>Future research</w:t>
      </w:r>
      <w:r w:rsidRPr="00141E06">
        <w:t xml:space="preserve"> within Wales, to explore student teacher relationships linked to Educational Visits. As this would be </w:t>
      </w:r>
      <w:r w:rsidR="001B497F" w:rsidRPr="001B497F">
        <w:t xml:space="preserve">constrained by time and resources, </w:t>
      </w:r>
      <w:r w:rsidRPr="00141E06">
        <w:t xml:space="preserve"> it would</w:t>
      </w:r>
      <w:r w:rsidR="001B497F" w:rsidRPr="001B497F">
        <w:t xml:space="preserve"> focus on the immediate impact of educational visits on fostering positive </w:t>
      </w:r>
      <w:r w:rsidR="00CA47F3">
        <w:t>teacher and student</w:t>
      </w:r>
      <w:r w:rsidR="001B497F" w:rsidRPr="001B497F">
        <w:t xml:space="preserve"> relationships, a topic that bridges gaps in existing literature on </w:t>
      </w:r>
      <w:r w:rsidR="00CA47F3">
        <w:t>teacher and student</w:t>
      </w:r>
      <w:r w:rsidR="001B497F" w:rsidRPr="001B497F">
        <w:t xml:space="preserve"> dynamics, experiential learning, and teacher wellbeing. Specifically, the study will investigate teachers’ and </w:t>
      </w:r>
      <w:r w:rsidR="00CA47F3">
        <w:t>student</w:t>
      </w:r>
      <w:r w:rsidR="001B497F" w:rsidRPr="001B497F">
        <w:t>s’ perceptions of their relationships before, during, and after visits, identify key factors such as shared experiences and informal interactions that influence these perceptions, and explore potential changes in classroom dynamics post-visit. This targeted approach aligns with theoretical perspectives, such as Kolb’s (1984) experiential learning theory and the relational insights of Hattie (2009), while offering practical implications for the Welsh educational context, where the Curriculum for Wales e</w:t>
      </w:r>
      <w:r w:rsidR="00141E06">
        <w:t xml:space="preserve">ncompasses </w:t>
      </w:r>
      <w:r w:rsidR="001B497F" w:rsidRPr="001B497F">
        <w:t xml:space="preserve">authentic, contextually rich learning </w:t>
      </w:r>
      <w:r w:rsidR="001B497F" w:rsidRPr="001B497F">
        <w:lastRenderedPageBreak/>
        <w:t xml:space="preserve">experiences (Welsh Government, 2019). By addressing these focused areas, this research </w:t>
      </w:r>
      <w:r w:rsidR="00141E06">
        <w:t xml:space="preserve">would </w:t>
      </w:r>
      <w:r w:rsidR="001B497F" w:rsidRPr="001B497F">
        <w:t>aim</w:t>
      </w:r>
      <w:r w:rsidR="00141E06">
        <w:t xml:space="preserve"> </w:t>
      </w:r>
      <w:r w:rsidR="001B497F" w:rsidRPr="001B497F">
        <w:t>to contribute actionable insights into the relational and pedagogical value of educational visits.</w:t>
      </w:r>
    </w:p>
    <w:p w14:paraId="639EA68F" w14:textId="2C41F931" w:rsidR="002C0C77" w:rsidRDefault="002C0C77" w:rsidP="002C0C77">
      <w:pPr>
        <w:spacing w:line="360" w:lineRule="auto"/>
      </w:pPr>
      <w:r>
        <w:t>Whilst an open mind to the outcomes is essential, and the research is only setting out to explore the outcomes, t</w:t>
      </w:r>
      <w:r w:rsidR="00B314F7">
        <w:t xml:space="preserve">he potential future implications if this research was to expand upon and compliment the existing data could be </w:t>
      </w:r>
      <w:r>
        <w:t xml:space="preserve">influential in realising the aims of the Curriculum for Wales. </w:t>
      </w:r>
      <w:r w:rsidR="005211AD">
        <w:t>There could be a potential need for training p</w:t>
      </w:r>
      <w:r w:rsidRPr="002C0C77">
        <w:t xml:space="preserve">rograms </w:t>
      </w:r>
      <w:r w:rsidR="005211AD">
        <w:t>to</w:t>
      </w:r>
      <w:r w:rsidRPr="002C0C77">
        <w:t xml:space="preserve"> be developed to equip teachers with strategies for maximi</w:t>
      </w:r>
      <w:r w:rsidR="005211AD">
        <w:t>s</w:t>
      </w:r>
      <w:r w:rsidRPr="002C0C77">
        <w:t>ing these relational opportunities, aligning with recommendations by Souter and James (2019).</w:t>
      </w:r>
      <w:r w:rsidR="005211AD">
        <w:t xml:space="preserve"> Schools may wish to begin i</w:t>
      </w:r>
      <w:r w:rsidRPr="002C0C77">
        <w:t xml:space="preserve">ntegrating regular educational visits into the curriculum </w:t>
      </w:r>
      <w:r w:rsidR="005211AD">
        <w:t xml:space="preserve">to </w:t>
      </w:r>
      <w:r w:rsidRPr="002C0C77">
        <w:t xml:space="preserve">contribute to a positive school culture, enhancing student engagement and teacher wellbeing. </w:t>
      </w:r>
      <w:r w:rsidR="005211AD">
        <w:t xml:space="preserve"> Enhancing c</w:t>
      </w:r>
      <w:r w:rsidRPr="002C0C77">
        <w:t>ollaborative planning between teachers, students, and parents increas</w:t>
      </w:r>
      <w:r w:rsidR="005211AD">
        <w:t>ing</w:t>
      </w:r>
      <w:r w:rsidRPr="002C0C77">
        <w:t xml:space="preserve"> the effectiveness of such activities by ensuring that they are contextually relevant and inclusive (Welsh Government, 2019). </w:t>
      </w:r>
      <w:r w:rsidR="00772E8B">
        <w:t>Developing p</w:t>
      </w:r>
      <w:r w:rsidRPr="002C0C77">
        <w:t xml:space="preserve">olicies that provide funding and logistical support for educational visits could amplify their benefits, particularly in underserved communities where resource constraints often limit such opportunities (Fiorilli </w:t>
      </w:r>
      <w:r w:rsidRPr="002C0C77">
        <w:rPr>
          <w:i/>
          <w:iCs/>
        </w:rPr>
        <w:t>et al.,</w:t>
      </w:r>
      <w:r w:rsidRPr="002C0C77">
        <w:t xml:space="preserve"> 2019). </w:t>
      </w:r>
    </w:p>
    <w:p w14:paraId="1D00B5ED" w14:textId="4B9A71F1" w:rsidR="009E656F" w:rsidRPr="00476115" w:rsidRDefault="00546268" w:rsidP="00476115">
      <w:pPr>
        <w:spacing w:line="360" w:lineRule="auto"/>
      </w:pPr>
      <w:proofErr w:type="gramStart"/>
      <w:r>
        <w:t>Needless to say, the</w:t>
      </w:r>
      <w:proofErr w:type="gramEnd"/>
      <w:r>
        <w:t xml:space="preserve"> research would not be easily conducted and would need methodological</w:t>
      </w:r>
      <w:r w:rsidR="009E656F">
        <w:t xml:space="preserve"> and ethical </w:t>
      </w:r>
      <w:r>
        <w:t xml:space="preserve">considerations. </w:t>
      </w:r>
      <w:r w:rsidR="009E656F" w:rsidRPr="0061048D">
        <w:t>Combining quantitative surveys with qualitative interviews would provide a holistic understanding of how educational visits impact relationships. Surveys could measure perceived relational quality, while interviews would capture personal narratives and contextual insights.</w:t>
      </w:r>
      <w:r w:rsidR="009E3EAD">
        <w:t xml:space="preserve"> This is all time consuming and Brain (2018) outlines how teachers are already operating under a heavy workload and are reluctant to participate in research. </w:t>
      </w:r>
      <w:r w:rsidR="00DA4940">
        <w:t>Building on the limitations of this literature review, future research</w:t>
      </w:r>
      <w:r w:rsidR="009E656F" w:rsidRPr="0061048D">
        <w:t xml:space="preserve"> should include teachers and students from varied cultural and socioeconomic backgrounds to ensure generali</w:t>
      </w:r>
      <w:r w:rsidR="00DA4940">
        <w:t>s</w:t>
      </w:r>
      <w:r w:rsidR="009E656F" w:rsidRPr="0061048D">
        <w:t>ability. Wales, with its unique educational policies and cultural heritage, offers a particularly relevant context for such research</w:t>
      </w:r>
      <w:r w:rsidR="00DA4940">
        <w:t xml:space="preserve">. </w:t>
      </w:r>
      <w:r w:rsidR="007131AF">
        <w:t>BERA (2024) outline the importance of ethical studies, particularly in relation to working with children and so consideration must be given to  having informed consent</w:t>
      </w:r>
      <w:r w:rsidR="00476115">
        <w:t xml:space="preserve"> (e</w:t>
      </w:r>
      <w:r w:rsidR="009E656F" w:rsidRPr="0061048D">
        <w:t>nsuring all participants, including students and their guardians, understand the study’s purpose and implications</w:t>
      </w:r>
      <w:r w:rsidR="00476115">
        <w:t>), a</w:t>
      </w:r>
      <w:r w:rsidR="009E656F" w:rsidRPr="0061048D">
        <w:t xml:space="preserve">nonymity and </w:t>
      </w:r>
      <w:r w:rsidR="00476115">
        <w:t>c</w:t>
      </w:r>
      <w:r w:rsidR="009E656F" w:rsidRPr="0061048D">
        <w:t>onfidentiality</w:t>
      </w:r>
      <w:r w:rsidR="00476115" w:rsidRPr="00476115">
        <w:t xml:space="preserve"> of the participants and, as mentioned, cultural sensitivity. </w:t>
      </w:r>
    </w:p>
    <w:p w14:paraId="6D4852CF" w14:textId="3F4FF7FA" w:rsidR="00546268" w:rsidRPr="002C0C77" w:rsidRDefault="00546268" w:rsidP="002C0C77">
      <w:pPr>
        <w:spacing w:line="360" w:lineRule="auto"/>
      </w:pPr>
    </w:p>
    <w:p w14:paraId="793C163A" w14:textId="0E14E76A" w:rsidR="007F1EC6" w:rsidRPr="007F1EC6" w:rsidRDefault="00B520B7" w:rsidP="007F1EC6">
      <w:pPr>
        <w:spacing w:line="360" w:lineRule="auto"/>
      </w:pPr>
      <w:r>
        <w:rPr>
          <w:b/>
          <w:bCs/>
        </w:rPr>
        <w:t xml:space="preserve">3.3 </w:t>
      </w:r>
      <w:r w:rsidRPr="0061048D">
        <w:rPr>
          <w:b/>
          <w:bCs/>
        </w:rPr>
        <w:t>Conclusion</w:t>
      </w:r>
      <w:r w:rsidR="007F1EC6" w:rsidRPr="007F1EC6">
        <w:br/>
      </w:r>
      <w:r w:rsidR="007F1EC6" w:rsidRPr="007F1EC6">
        <w:br/>
        <w:t>This critical literature review has demonstrated the</w:t>
      </w:r>
      <w:r w:rsidR="00F6114D">
        <w:t xml:space="preserve"> need to explore</w:t>
      </w:r>
      <w:r w:rsidR="007F1EC6" w:rsidRPr="007F1EC6">
        <w:t xml:space="preserve"> significant potential of educational visits to enhance </w:t>
      </w:r>
      <w:r w:rsidR="00CA47F3">
        <w:t>teacher and student</w:t>
      </w:r>
      <w:r w:rsidR="007F1EC6" w:rsidRPr="007F1EC6">
        <w:t xml:space="preserve"> relationships, </w:t>
      </w:r>
      <w:r w:rsidR="00F6114D">
        <w:t xml:space="preserve">thus </w:t>
      </w:r>
      <w:r w:rsidR="007F1EC6" w:rsidRPr="007F1EC6">
        <w:t>fostering improved classroom dynamics and wellbeing. By critically analy</w:t>
      </w:r>
      <w:r w:rsidR="00F6114D">
        <w:t>s</w:t>
      </w:r>
      <w:r w:rsidR="007F1EC6" w:rsidRPr="007F1EC6">
        <w:t xml:space="preserve">ing the </w:t>
      </w:r>
      <w:r w:rsidR="00F6114D">
        <w:t xml:space="preserve">limited existing </w:t>
      </w:r>
      <w:r w:rsidR="007F1EC6" w:rsidRPr="007F1EC6">
        <w:t>literature, this review has identified a gap in understanding how educational visits influence relational dynamics, particularly within primary education and the Welsh context. Existing studies, such as those by Hattie (2009)</w:t>
      </w:r>
      <w:r w:rsidR="00F6114D">
        <w:t xml:space="preserve">, Roffey (2012) ESTYN (various) </w:t>
      </w:r>
      <w:r w:rsidR="007F1EC6" w:rsidRPr="007F1EC6">
        <w:t xml:space="preserve">and Pianta </w:t>
      </w:r>
      <w:r w:rsidR="007F1EC6" w:rsidRPr="007F1EC6">
        <w:rPr>
          <w:i/>
          <w:iCs/>
        </w:rPr>
        <w:t>et al</w:t>
      </w:r>
      <w:r w:rsidR="007F1EC6" w:rsidRPr="007F1EC6">
        <w:t>. (2012), consistently emphasi</w:t>
      </w:r>
      <w:r w:rsidR="00F6114D">
        <w:t>s</w:t>
      </w:r>
      <w:r w:rsidR="007F1EC6" w:rsidRPr="007F1EC6">
        <w:t xml:space="preserve">e the importance of strong </w:t>
      </w:r>
      <w:r w:rsidR="00CA47F3">
        <w:t>teacher and student</w:t>
      </w:r>
      <w:r w:rsidR="007F1EC6" w:rsidRPr="007F1EC6">
        <w:t xml:space="preserve"> relationships in</w:t>
      </w:r>
      <w:r w:rsidR="00F6114D">
        <w:t xml:space="preserve"> building</w:t>
      </w:r>
      <w:r w:rsidR="007F1EC6" w:rsidRPr="007F1EC6">
        <w:t xml:space="preserve"> academic success, emotional regulation, and motivation. However, few studies have directly explored how shared experiences in informal learning environments contribute to these outcomes.</w:t>
      </w:r>
    </w:p>
    <w:p w14:paraId="112D9D98" w14:textId="77777777" w:rsidR="007F1EC6" w:rsidRPr="007F1EC6" w:rsidRDefault="007F1EC6" w:rsidP="007F1EC6">
      <w:pPr>
        <w:spacing w:line="360" w:lineRule="auto"/>
      </w:pPr>
      <w:r w:rsidRPr="007F1EC6">
        <w:lastRenderedPageBreak/>
        <w:t xml:space="preserve">Theoretical perspectives, such as Pianta’s relational framework, Kolb’s Experiential Learning Theory (1984), and the Job Demands-Resources Model (Bakker and Demerouti, 2007), provide a robust foundation for understanding the potential of educational visits. These frameworks suggest that authentic, real-world experiences can deepen relational bonds, enhance teacher wellbeing, and improve student engagement. While these findings are compelling, logistical and systemic challenges, such as resource limitations, teacher workload, and underfunding, present barriers to the effective implementation of such initiatives (Fiorilli </w:t>
      </w:r>
      <w:r w:rsidRPr="007F1EC6">
        <w:rPr>
          <w:i/>
          <w:iCs/>
        </w:rPr>
        <w:t>et al</w:t>
      </w:r>
      <w:r w:rsidRPr="007F1EC6">
        <w:t>., 2019; Roffey, 2012). Addressing these challenges requires professional development, targeted policies, and institutional support to ensure equitable access to the benefits of educational visits, particularly in underserved communities.</w:t>
      </w:r>
    </w:p>
    <w:p w14:paraId="1E0380B3" w14:textId="0C3C0BF8" w:rsidR="007F1EC6" w:rsidRPr="007F1EC6" w:rsidRDefault="007F1EC6" w:rsidP="007F1EC6">
      <w:pPr>
        <w:spacing w:line="360" w:lineRule="auto"/>
      </w:pPr>
      <w:r w:rsidRPr="007F1EC6">
        <w:t xml:space="preserve">The alignment of these principles with the Curriculum for Wales, which </w:t>
      </w:r>
      <w:r w:rsidR="00653826">
        <w:t xml:space="preserve">insists upon </w:t>
      </w:r>
      <w:r w:rsidRPr="007F1EC6">
        <w:t xml:space="preserve">relational and experiential learning, underscores the importance of further research in this area (Welsh Government, 2019). Scandinavian educational systems, as highlighted by the European Commission (2022), have demonstrated how holistic approaches to education, including social-emotional learning and inclusivity, can create positive outcomes for both teachers and students. Drawing from these insights, this review identifies a critical need to investigate how educational visits can similarly enhance </w:t>
      </w:r>
      <w:r w:rsidR="00CA47F3">
        <w:t>teacher and student</w:t>
      </w:r>
      <w:r w:rsidRPr="007F1EC6">
        <w:t xml:space="preserve"> relationships in Wales, contributing to a broader understanding of their potential impact within contemporary educational contexts.</w:t>
      </w:r>
      <w:r w:rsidR="00653826">
        <w:t xml:space="preserve"> </w:t>
      </w:r>
      <w:r w:rsidR="00526234">
        <w:t xml:space="preserve">The gap in this research has come as a surprise but perhaps because I have experienced benefits first hand of school visits and relationship improvement, something I need to be mindful doesn’t become </w:t>
      </w:r>
      <w:r w:rsidR="00D13466">
        <w:t>researcher bias in any future research</w:t>
      </w:r>
      <w:r w:rsidR="00284967">
        <w:t xml:space="preserve"> (Smith and Noble, 2014; </w:t>
      </w:r>
      <w:r w:rsidR="00331857">
        <w:t>Miles and Huberman, 1994)</w:t>
      </w:r>
      <w:r w:rsidR="00D13466">
        <w:t xml:space="preserve">. </w:t>
      </w:r>
    </w:p>
    <w:p w14:paraId="7F9ED200" w14:textId="05B69135" w:rsidR="007F1EC6" w:rsidRPr="007F1EC6" w:rsidRDefault="00AB6E33" w:rsidP="007F1EC6">
      <w:pPr>
        <w:spacing w:line="360" w:lineRule="auto"/>
      </w:pPr>
      <w:r>
        <w:t>Future</w:t>
      </w:r>
      <w:r w:rsidR="007F1EC6" w:rsidRPr="007F1EC6">
        <w:t xml:space="preserve"> research </w:t>
      </w:r>
      <w:r>
        <w:t>could</w:t>
      </w:r>
      <w:r w:rsidR="007F1EC6" w:rsidRPr="007F1EC6">
        <w:t xml:space="preserve"> explore how educational visits influence teachers’ perceptions of their relationships with students by examining relational dynamics before, during, and after visits. It </w:t>
      </w:r>
      <w:r w:rsidR="00A4574F">
        <w:t>could</w:t>
      </w:r>
      <w:r w:rsidR="007F1EC6" w:rsidRPr="007F1EC6">
        <w:t xml:space="preserve"> also investigate specific factors, such as shared experiences and informal interactions, that contribute to relational development, as well as potential changes in classroom dynamics post-visit. By focusing on these areas, this study aims to address the identified gaps in the literature while providing actionable insights for educators, schools, and policymakers.</w:t>
      </w:r>
      <w:r w:rsidR="00A4574F">
        <w:t xml:space="preserve"> </w:t>
      </w:r>
      <w:r w:rsidR="007F1EC6" w:rsidRPr="007F1EC6">
        <w:t xml:space="preserve">Educational visits are often perceived as ancillary to the curriculum, yet this review argues that they hold transformative potential for fostering stronger </w:t>
      </w:r>
      <w:r w:rsidR="00CA47F3">
        <w:t>teacher and student</w:t>
      </w:r>
      <w:r w:rsidR="007F1EC6" w:rsidRPr="007F1EC6">
        <w:t xml:space="preserve"> relationships and enriching educational experiences. Through thoughtful implementation and continued research, their value can be fully reali</w:t>
      </w:r>
      <w:r w:rsidR="00A4574F">
        <w:t>s</w:t>
      </w:r>
      <w:r w:rsidR="007F1EC6" w:rsidRPr="007F1EC6">
        <w:t>ed, offering significant benefits for teachers, students, and the broader educational community.</w:t>
      </w:r>
      <w:r w:rsidR="00A4574F">
        <w:t xml:space="preserve"> Possibly. </w:t>
      </w:r>
    </w:p>
    <w:p w14:paraId="0E742144" w14:textId="77777777" w:rsidR="00B520B7" w:rsidRDefault="00B520B7" w:rsidP="007F1EC6">
      <w:pPr>
        <w:spacing w:line="360" w:lineRule="auto"/>
      </w:pPr>
    </w:p>
    <w:p w14:paraId="1294F595" w14:textId="77777777" w:rsidR="00EF3235" w:rsidRDefault="00EF3235" w:rsidP="007F1EC6">
      <w:pPr>
        <w:spacing w:line="360" w:lineRule="auto"/>
      </w:pPr>
    </w:p>
    <w:p w14:paraId="066C2096" w14:textId="77777777" w:rsidR="00EF3235" w:rsidRDefault="00EF3235" w:rsidP="007F1EC6">
      <w:pPr>
        <w:spacing w:line="360" w:lineRule="auto"/>
      </w:pPr>
    </w:p>
    <w:p w14:paraId="6D747D0A" w14:textId="77777777" w:rsidR="00EF3235" w:rsidRDefault="00EF3235" w:rsidP="007F1EC6">
      <w:pPr>
        <w:spacing w:line="360" w:lineRule="auto"/>
      </w:pPr>
    </w:p>
    <w:p w14:paraId="5B84BCDA" w14:textId="77777777" w:rsidR="00EF3235" w:rsidRDefault="00EF3235" w:rsidP="007F1EC6">
      <w:pPr>
        <w:spacing w:line="360" w:lineRule="auto"/>
      </w:pPr>
    </w:p>
    <w:p w14:paraId="3F0B22A5" w14:textId="27B1A646" w:rsidR="00B77BD6" w:rsidRPr="00A67035" w:rsidRDefault="00D84A4F" w:rsidP="00B77BD6">
      <w:pPr>
        <w:rPr>
          <w:b/>
          <w:bCs/>
        </w:rPr>
      </w:pPr>
      <w:r>
        <w:rPr>
          <w:b/>
          <w:bCs/>
        </w:rPr>
        <w:lastRenderedPageBreak/>
        <w:t>SECTION 4</w:t>
      </w:r>
    </w:p>
    <w:p w14:paraId="1BCE8905" w14:textId="3F3F001C" w:rsidR="00B77BD6" w:rsidRPr="00A67035" w:rsidRDefault="00B77BD6" w:rsidP="00B77BD6">
      <w:pPr>
        <w:rPr>
          <w:b/>
          <w:bCs/>
        </w:rPr>
      </w:pPr>
      <w:r w:rsidRPr="00A67035">
        <w:rPr>
          <w:b/>
          <w:bCs/>
        </w:rPr>
        <w:t>Reference</w:t>
      </w:r>
      <w:r w:rsidR="007B7E34">
        <w:rPr>
          <w:b/>
          <w:bCs/>
        </w:rPr>
        <w:t xml:space="preserve"> List</w:t>
      </w:r>
    </w:p>
    <w:p w14:paraId="1114B643" w14:textId="3D7459CB" w:rsidR="00EF3235" w:rsidRPr="00EF3235" w:rsidRDefault="00EF3235" w:rsidP="00EF3235">
      <w:r w:rsidRPr="00EF3235">
        <w:t xml:space="preserve">Audit Wales (2022) </w:t>
      </w:r>
      <w:r w:rsidRPr="00EF3235">
        <w:rPr>
          <w:i/>
          <w:iCs/>
        </w:rPr>
        <w:t>Teacher Wellbeing Survey Report 2022</w:t>
      </w:r>
      <w:r w:rsidRPr="00EF3235">
        <w:t>. THE TEACHERS' UNION. Available online via: https://www.audit.wales/publication/teacher-wellbeing-survey-report-2022 [Accessed on: 9 January 2025].</w:t>
      </w:r>
    </w:p>
    <w:p w14:paraId="62A0EC00" w14:textId="77777777" w:rsidR="00EF3235" w:rsidRPr="00EF3235" w:rsidRDefault="00EF3235" w:rsidP="00EF3235">
      <w:r w:rsidRPr="00EF3235">
        <w:t xml:space="preserve">Bakker, A.B. and Demerouti, E. (2007) ‘The Job Demands-Resources model: State of the art’, </w:t>
      </w:r>
      <w:r w:rsidRPr="00EF3235">
        <w:rPr>
          <w:i/>
          <w:iCs/>
        </w:rPr>
        <w:t>Journal of Managerial Psychology</w:t>
      </w:r>
      <w:r w:rsidRPr="00EF3235">
        <w:t>, 22(3), pp. 309–328. Available online via: https://doi.org/10.1108/02683940710733115 [Accessed on: 12 January 2025].</w:t>
      </w:r>
    </w:p>
    <w:p w14:paraId="528A96AA" w14:textId="77777777" w:rsidR="00EF3235" w:rsidRPr="00EF3235" w:rsidRDefault="00EF3235" w:rsidP="00EF3235">
      <w:r w:rsidRPr="00EF3235">
        <w:t xml:space="preserve">Banks, J. (2015) </w:t>
      </w:r>
      <w:r w:rsidRPr="00EF3235">
        <w:rPr>
          <w:i/>
          <w:iCs/>
        </w:rPr>
        <w:t>Cultural diversity and education: Foundations, curriculum, and teaching</w:t>
      </w:r>
      <w:r w:rsidRPr="00EF3235">
        <w:t>. 6th edn. New York: Routledge.</w:t>
      </w:r>
    </w:p>
    <w:p w14:paraId="29C2C95B" w14:textId="1D0DD3EF" w:rsidR="00EF3235" w:rsidRPr="00EF3235" w:rsidRDefault="00EF3235" w:rsidP="00EF3235">
      <w:r w:rsidRPr="00EF3235">
        <w:t xml:space="preserve">Birch, S.H. and Ladd, G.W. (1997) ‘The teacher-child relationship and children’s early school adjustment’, </w:t>
      </w:r>
      <w:r w:rsidRPr="00EF3235">
        <w:rPr>
          <w:i/>
          <w:iCs/>
        </w:rPr>
        <w:t>Journal of School Psychology</w:t>
      </w:r>
      <w:r w:rsidRPr="00EF3235">
        <w:t>, 35(1), pp. 61–79. Available online via: https://doi.org/10.1016/S0022-4405(96)00029-5 [Accessed on: 1</w:t>
      </w:r>
      <w:r>
        <w:t>2</w:t>
      </w:r>
      <w:r w:rsidRPr="00EF3235">
        <w:t xml:space="preserve"> </w:t>
      </w:r>
      <w:r w:rsidR="00D479FA">
        <w:t>December</w:t>
      </w:r>
      <w:r w:rsidRPr="00EF3235">
        <w:t xml:space="preserve"> 202</w:t>
      </w:r>
      <w:r w:rsidR="00D479FA">
        <w:t>4</w:t>
      </w:r>
      <w:r w:rsidRPr="00EF3235">
        <w:t>].</w:t>
      </w:r>
    </w:p>
    <w:p w14:paraId="30B37A7B" w14:textId="77777777" w:rsidR="00EF3235" w:rsidRPr="00EF3235" w:rsidRDefault="00EF3235" w:rsidP="00EF3235">
      <w:r w:rsidRPr="00EF3235">
        <w:t xml:space="preserve">Bowlby, J. (1969) </w:t>
      </w:r>
      <w:r w:rsidRPr="00EF3235">
        <w:rPr>
          <w:i/>
          <w:iCs/>
        </w:rPr>
        <w:t>Attachment and loss: Volume I: Attachment</w:t>
      </w:r>
      <w:r w:rsidRPr="00EF3235">
        <w:t>. New York: Basic Books.</w:t>
      </w:r>
    </w:p>
    <w:p w14:paraId="706E9307" w14:textId="77777777" w:rsidR="00EF3235" w:rsidRPr="00EF3235" w:rsidRDefault="00EF3235" w:rsidP="00EF3235">
      <w:r w:rsidRPr="00EF3235">
        <w:t xml:space="preserve">Bronfenbrenner, U. (1979) </w:t>
      </w:r>
      <w:r w:rsidRPr="00EF3235">
        <w:rPr>
          <w:i/>
          <w:iCs/>
        </w:rPr>
        <w:t>The ecology of human development: Experiments by nature and design</w:t>
      </w:r>
      <w:r w:rsidRPr="00EF3235">
        <w:t>. Cambridge, MA: Harvard University Press.</w:t>
      </w:r>
    </w:p>
    <w:p w14:paraId="5D0B6548" w14:textId="77777777" w:rsidR="00EF3235" w:rsidRPr="00EF3235" w:rsidRDefault="00EF3235" w:rsidP="00EF3235">
      <w:r w:rsidRPr="00EF3235">
        <w:t xml:space="preserve">Bronfenbrenner, U. and Morris, P.A. (2006) ‘The Bioecological Model of human development’, in Damon, W. and Lerner, R. (eds.) </w:t>
      </w:r>
      <w:r w:rsidRPr="00EF3235">
        <w:rPr>
          <w:i/>
          <w:iCs/>
        </w:rPr>
        <w:t>Handbook of child psychology</w:t>
      </w:r>
      <w:r w:rsidRPr="00EF3235">
        <w:t>. 6th edn. Hoboken, NJ: Wiley, pp. 793–828.</w:t>
      </w:r>
    </w:p>
    <w:p w14:paraId="1939712C" w14:textId="77777777" w:rsidR="00EF3235" w:rsidRPr="00EF3235" w:rsidRDefault="00EF3235" w:rsidP="00EF3235">
      <w:r w:rsidRPr="00EF3235">
        <w:t xml:space="preserve">Cohen, L., Manion, L. and Morrison, K. (2018) </w:t>
      </w:r>
      <w:r w:rsidRPr="00EF3235">
        <w:rPr>
          <w:i/>
          <w:iCs/>
        </w:rPr>
        <w:t>Research methods in education</w:t>
      </w:r>
      <w:r w:rsidRPr="00EF3235">
        <w:t>. 8th edn. London: Routledge.</w:t>
      </w:r>
    </w:p>
    <w:p w14:paraId="4BB75BAF" w14:textId="77777777" w:rsidR="00EF3235" w:rsidRPr="00EF3235" w:rsidRDefault="00EF3235" w:rsidP="00EF3235">
      <w:r w:rsidRPr="00EF3235">
        <w:t xml:space="preserve">Creswell, J.W. and Poth, C.N. (2018) </w:t>
      </w:r>
      <w:r w:rsidRPr="00EF3235">
        <w:rPr>
          <w:i/>
          <w:iCs/>
        </w:rPr>
        <w:t>Qualitative inquiry and research design: Choosing among five approaches</w:t>
      </w:r>
      <w:r w:rsidRPr="00EF3235">
        <w:t>. 4th edn. Thousand Oaks, CA: Sage.</w:t>
      </w:r>
    </w:p>
    <w:p w14:paraId="544512FA" w14:textId="187350D4" w:rsidR="00EF3235" w:rsidRPr="00EF3235" w:rsidRDefault="00EF3235" w:rsidP="00EF3235">
      <w:r w:rsidRPr="00EF3235">
        <w:t xml:space="preserve">Danaher, J. (2021) ‘The ethics of </w:t>
      </w:r>
      <w:r w:rsidR="00CA47F3">
        <w:t>teacher and student</w:t>
      </w:r>
      <w:r w:rsidRPr="00EF3235">
        <w:t xml:space="preserve"> relationships’, </w:t>
      </w:r>
      <w:r w:rsidRPr="00EF3235">
        <w:rPr>
          <w:i/>
          <w:iCs/>
        </w:rPr>
        <w:t>Philosophical Disquisitions</w:t>
      </w:r>
      <w:r w:rsidRPr="00EF3235">
        <w:t>, 22 March. Available online via: https://philosophicaldisquisitions.blogspot.com/2021/03/the-ethics-of-</w:t>
      </w:r>
      <w:r w:rsidR="00CA47F3">
        <w:t>teacher and student</w:t>
      </w:r>
      <w:r w:rsidRPr="00EF3235">
        <w:t>.html [Accessed on: 8</w:t>
      </w:r>
      <w:r w:rsidR="00D479FA" w:rsidRPr="00EF3235">
        <w:t>1</w:t>
      </w:r>
      <w:r w:rsidR="00D479FA">
        <w:t>2</w:t>
      </w:r>
      <w:r w:rsidR="00D479FA" w:rsidRPr="00EF3235">
        <w:t xml:space="preserve"> </w:t>
      </w:r>
      <w:r w:rsidR="00D479FA">
        <w:t>December</w:t>
      </w:r>
      <w:r w:rsidR="00D479FA" w:rsidRPr="00EF3235">
        <w:t xml:space="preserve"> 202</w:t>
      </w:r>
      <w:r w:rsidR="00D479FA">
        <w:t>4</w:t>
      </w:r>
      <w:r w:rsidRPr="00EF3235">
        <w:t>].</w:t>
      </w:r>
    </w:p>
    <w:p w14:paraId="46E76A20" w14:textId="77777777" w:rsidR="00B25CE7" w:rsidRPr="00EF3235" w:rsidRDefault="00EF3235" w:rsidP="00B25CE7">
      <w:r w:rsidRPr="00EF3235">
        <w:t xml:space="preserve">Deci, E.L. and Ryan, R.M. (1985) </w:t>
      </w:r>
      <w:r w:rsidRPr="00EF3235">
        <w:rPr>
          <w:i/>
          <w:iCs/>
        </w:rPr>
        <w:t>Intrinsic motivation and self-determination in human behavio</w:t>
      </w:r>
      <w:r w:rsidR="0037310F">
        <w:rPr>
          <w:i/>
          <w:iCs/>
        </w:rPr>
        <w:t>u</w:t>
      </w:r>
      <w:r w:rsidRPr="00EF3235">
        <w:rPr>
          <w:i/>
          <w:iCs/>
        </w:rPr>
        <w:t>r</w:t>
      </w:r>
      <w:r w:rsidRPr="00EF3235">
        <w:t xml:space="preserve">. New York: Springer Science </w:t>
      </w:r>
      <w:r w:rsidR="0037310F">
        <w:t>and</w:t>
      </w:r>
      <w:r w:rsidRPr="00EF3235">
        <w:t xml:space="preserve"> Business Media.</w:t>
      </w:r>
      <w:r w:rsidR="00B25CE7">
        <w:br/>
      </w:r>
      <w:r w:rsidR="00B25CE7">
        <w:br/>
      </w:r>
      <w:r w:rsidR="00B25CE7" w:rsidRPr="00B25CE7">
        <w:t xml:space="preserve">Department for Education (DfE) (2019). </w:t>
      </w:r>
      <w:r w:rsidR="00B25CE7" w:rsidRPr="00B25CE7">
        <w:rPr>
          <w:i/>
          <w:iCs/>
        </w:rPr>
        <w:t>Educational Visits: Guidance for Schools and Colleges</w:t>
      </w:r>
      <w:r w:rsidR="00B25CE7" w:rsidRPr="00B25CE7">
        <w:t>. Available at: https://www.gov.uk/government/publications/educational-visits (Accessed: 20 January 2025)</w:t>
      </w:r>
    </w:p>
    <w:p w14:paraId="0CF19EA1" w14:textId="1E0356A8" w:rsidR="00EF3235" w:rsidRPr="00EF3235" w:rsidRDefault="00EF3235" w:rsidP="00EF3235">
      <w:r w:rsidRPr="00EF3235">
        <w:t xml:space="preserve">Donaldson, G. (2015) </w:t>
      </w:r>
      <w:r w:rsidRPr="00EF3235">
        <w:rPr>
          <w:i/>
          <w:iCs/>
        </w:rPr>
        <w:t>Successful Futures: Independent Review of Curriculum and Assessment Arrangements in Wales</w:t>
      </w:r>
      <w:r w:rsidRPr="00EF3235">
        <w:t xml:space="preserve">. Cardiff: Welsh Government. Available online via: https://gov.wales/sites/default/files/publications/2018-03/successful-futures.pdf [Accessed on: </w:t>
      </w:r>
      <w:r w:rsidR="0037310F">
        <w:t>9</w:t>
      </w:r>
      <w:r w:rsidRPr="00EF3235">
        <w:t xml:space="preserve"> January 2025].</w:t>
      </w:r>
    </w:p>
    <w:p w14:paraId="2C5F2DFA" w14:textId="07AF0B27" w:rsidR="00EF3235" w:rsidRPr="00EF3235" w:rsidRDefault="00EF3235" w:rsidP="00EF3235">
      <w:r w:rsidRPr="00EF3235">
        <w:t xml:space="preserve">European Commission (2022) </w:t>
      </w:r>
      <w:r w:rsidRPr="00EF3235">
        <w:rPr>
          <w:i/>
          <w:iCs/>
        </w:rPr>
        <w:t>Building the European Education Area: Progress report published</w:t>
      </w:r>
      <w:r w:rsidRPr="00EF3235">
        <w:t xml:space="preserve">. Available online via: https://education.ec.europa.eu [Accessed on: </w:t>
      </w:r>
      <w:r w:rsidR="0037310F">
        <w:t>9</w:t>
      </w:r>
      <w:r w:rsidRPr="00EF3235">
        <w:t xml:space="preserve"> January 2025].</w:t>
      </w:r>
    </w:p>
    <w:p w14:paraId="5A739F18" w14:textId="6B576C1B" w:rsidR="00EF3235" w:rsidRPr="00EF3235" w:rsidRDefault="00EF3235" w:rsidP="00EF3235">
      <w:r w:rsidRPr="00EF3235">
        <w:t xml:space="preserve">Estyn (2020) </w:t>
      </w:r>
      <w:r w:rsidRPr="00EF3235">
        <w:rPr>
          <w:i/>
          <w:iCs/>
        </w:rPr>
        <w:t>Developing Schools as Learning Organisations</w:t>
      </w:r>
      <w:r w:rsidRPr="00EF3235">
        <w:t xml:space="preserve">. Cardiff: Estyn. Available online via: https://www.estyn.gov.wales/system/files/2020-07/Developing%2520schools%2520as%2520learning%2520organisations.pdf [Accessed on: </w:t>
      </w:r>
      <w:r w:rsidR="00D479FA" w:rsidRPr="00EF3235">
        <w:t>1</w:t>
      </w:r>
      <w:r w:rsidR="00D479FA">
        <w:t>2</w:t>
      </w:r>
      <w:r w:rsidR="00D479FA" w:rsidRPr="00EF3235">
        <w:t xml:space="preserve"> </w:t>
      </w:r>
      <w:r w:rsidR="00D479FA">
        <w:t>December</w:t>
      </w:r>
      <w:r w:rsidR="00D479FA" w:rsidRPr="00EF3235">
        <w:t xml:space="preserve"> 202</w:t>
      </w:r>
      <w:r w:rsidR="00D479FA">
        <w:t>4</w:t>
      </w:r>
      <w:r w:rsidRPr="00EF3235">
        <w:t>].</w:t>
      </w:r>
    </w:p>
    <w:p w14:paraId="20AB3C4E" w14:textId="31D50933" w:rsidR="00EF3235" w:rsidRPr="00EF3235" w:rsidRDefault="00EF3235" w:rsidP="00EF3235">
      <w:r w:rsidRPr="00EF3235">
        <w:t xml:space="preserve">Estyn (2022) </w:t>
      </w:r>
      <w:r w:rsidRPr="00EF3235">
        <w:rPr>
          <w:i/>
          <w:iCs/>
        </w:rPr>
        <w:t>Making learning experiential: Ewloe Green Primary School</w:t>
      </w:r>
      <w:r w:rsidRPr="00EF3235">
        <w:t xml:space="preserve">. Available online via: https://estyn.gov.wales/improvement-resources/making-learning-experiential [Accessed on: </w:t>
      </w:r>
      <w:r w:rsidR="00D479FA" w:rsidRPr="00EF3235">
        <w:t>1</w:t>
      </w:r>
      <w:r w:rsidR="00D479FA">
        <w:t>2</w:t>
      </w:r>
      <w:r w:rsidR="00D479FA" w:rsidRPr="00EF3235">
        <w:t xml:space="preserve"> </w:t>
      </w:r>
      <w:r w:rsidR="00D479FA">
        <w:t>December</w:t>
      </w:r>
      <w:r w:rsidR="00D479FA" w:rsidRPr="00EF3235">
        <w:t xml:space="preserve"> 202</w:t>
      </w:r>
      <w:r w:rsidR="00D479FA">
        <w:t>4</w:t>
      </w:r>
      <w:r w:rsidRPr="00EF3235">
        <w:t>].</w:t>
      </w:r>
    </w:p>
    <w:p w14:paraId="643534FB" w14:textId="54CEC2FE" w:rsidR="00EF3235" w:rsidRPr="00EF3235" w:rsidRDefault="00EF3235" w:rsidP="00EF3235">
      <w:r w:rsidRPr="00EF3235">
        <w:lastRenderedPageBreak/>
        <w:t xml:space="preserve">Fiorilli, C., Albanese, O., Gabola, P. and Pepe, A. (2019) ‘Teachers’ well-being and its </w:t>
      </w:r>
      <w:proofErr w:type="gramStart"/>
      <w:r w:rsidRPr="00EF3235">
        <w:t>relation</w:t>
      </w:r>
      <w:proofErr w:type="gramEnd"/>
      <w:r w:rsidRPr="00EF3235">
        <w:t xml:space="preserve"> with the quality of teaching: A review of the literature’, </w:t>
      </w:r>
      <w:r w:rsidRPr="00EF3235">
        <w:rPr>
          <w:i/>
          <w:iCs/>
        </w:rPr>
        <w:t>Educational Psychology Review</w:t>
      </w:r>
      <w:r w:rsidRPr="00EF3235">
        <w:t>, 31(2), pp. 241–256. Available online via: https://doi.org/10.1007/s10648-019-09413-2 [Accessed on: 4 January 2025].</w:t>
      </w:r>
    </w:p>
    <w:p w14:paraId="683E674F" w14:textId="77777777" w:rsidR="00EF3235" w:rsidRPr="00EF3235" w:rsidRDefault="00EF3235" w:rsidP="00EF3235">
      <w:r w:rsidRPr="00EF3235">
        <w:t xml:space="preserve">Fullan, M. (2007) </w:t>
      </w:r>
      <w:r w:rsidRPr="00EF3235">
        <w:rPr>
          <w:i/>
          <w:iCs/>
        </w:rPr>
        <w:t>The new meaning of educational change</w:t>
      </w:r>
      <w:r w:rsidRPr="00EF3235">
        <w:t>. 4th edn. New York: Teachers College Press.</w:t>
      </w:r>
    </w:p>
    <w:p w14:paraId="3D0E31A5" w14:textId="77777777" w:rsidR="00EF3235" w:rsidRPr="00EF3235" w:rsidRDefault="00EF3235" w:rsidP="00EF3235">
      <w:r w:rsidRPr="00EF3235">
        <w:t xml:space="preserve">Gentry, J.W. (1990) ‘Experiential learning: A foundation for educational innovation’, </w:t>
      </w:r>
      <w:r w:rsidRPr="00EF3235">
        <w:rPr>
          <w:i/>
          <w:iCs/>
        </w:rPr>
        <w:t>ERIC</w:t>
      </w:r>
      <w:r w:rsidRPr="00EF3235">
        <w:t>. Available online via: https://files.eric.ed.gov/fulltext/EJ1359058.pdf [Accessed on: 11 January 2025].</w:t>
      </w:r>
    </w:p>
    <w:p w14:paraId="649348A7" w14:textId="77777777" w:rsidR="00EF3235" w:rsidRPr="00EF3235" w:rsidRDefault="00EF3235" w:rsidP="00EF3235">
      <w:r w:rsidRPr="00EF3235">
        <w:t xml:space="preserve">Goleman, D. (1995) </w:t>
      </w:r>
      <w:r w:rsidRPr="00EF3235">
        <w:rPr>
          <w:i/>
          <w:iCs/>
        </w:rPr>
        <w:t>Emotional intelligence: Why it can matter more than IQ</w:t>
      </w:r>
      <w:r w:rsidRPr="00EF3235">
        <w:t>. New York: Bantam Books.</w:t>
      </w:r>
    </w:p>
    <w:p w14:paraId="015713FA" w14:textId="77777777" w:rsidR="00EF3235" w:rsidRPr="00EF3235" w:rsidRDefault="00EF3235" w:rsidP="00EF3235">
      <w:r w:rsidRPr="00EF3235">
        <w:t xml:space="preserve">Hattie, J. (2009) </w:t>
      </w:r>
      <w:r w:rsidRPr="00EF3235">
        <w:rPr>
          <w:i/>
          <w:iCs/>
        </w:rPr>
        <w:t>Visible learning: A synthesis of over 800 meta-analyses relating to achievement</w:t>
      </w:r>
      <w:r w:rsidRPr="00EF3235">
        <w:t>. London: Routledge.</w:t>
      </w:r>
    </w:p>
    <w:p w14:paraId="04A6011E" w14:textId="1A5D682E" w:rsidR="00EF3235" w:rsidRPr="00EF3235" w:rsidRDefault="00EF3235" w:rsidP="00EF3235">
      <w:r w:rsidRPr="00EF3235">
        <w:t>Hughes, J.N. (2012) ‘</w:t>
      </w:r>
      <w:r w:rsidR="00CA47F3">
        <w:t>Teacher and student</w:t>
      </w:r>
      <w:r w:rsidRPr="00EF3235">
        <w:t xml:space="preserve"> relationships and school adjustment: Progress and remaining challenges’, </w:t>
      </w:r>
      <w:r w:rsidRPr="00EF3235">
        <w:rPr>
          <w:i/>
          <w:iCs/>
        </w:rPr>
        <w:t>Attachment &amp; Human Development</w:t>
      </w:r>
      <w:r w:rsidRPr="00EF3235">
        <w:t xml:space="preserve">, 14(3), pp. 319–327. Available online via: https://doi.org/10.1080/14616734.2012.672288 [Accessed on: </w:t>
      </w:r>
      <w:r w:rsidR="00D479FA">
        <w:t>4</w:t>
      </w:r>
      <w:r w:rsidRPr="00EF3235">
        <w:t xml:space="preserve"> January 2025].</w:t>
      </w:r>
    </w:p>
    <w:p w14:paraId="6F857E37" w14:textId="76248C7E" w:rsidR="00EF3235" w:rsidRPr="00EF3235" w:rsidRDefault="00EF3235" w:rsidP="00EF3235">
      <w:r w:rsidRPr="00EF3235">
        <w:t xml:space="preserve">International Journal of Novel Research and Development (2023) ‘The impact of teacher burnout on student learning’, </w:t>
      </w:r>
      <w:r w:rsidRPr="00EF3235">
        <w:rPr>
          <w:i/>
          <w:iCs/>
        </w:rPr>
        <w:t>International Journal of Novel Research and Development</w:t>
      </w:r>
      <w:r w:rsidRPr="00EF3235">
        <w:t xml:space="preserve">, 8(3), pp. 246–252. Available online via: https://www.ijnrd.org/papers/IJNRD2403246.pdf [Accessed on: </w:t>
      </w:r>
      <w:r w:rsidR="00D479FA" w:rsidRPr="00EF3235">
        <w:t>1</w:t>
      </w:r>
      <w:r w:rsidR="00D479FA">
        <w:t>2</w:t>
      </w:r>
      <w:r w:rsidR="00D479FA" w:rsidRPr="00EF3235">
        <w:t xml:space="preserve"> </w:t>
      </w:r>
      <w:r w:rsidR="00D479FA">
        <w:t>December</w:t>
      </w:r>
      <w:r w:rsidR="00D479FA" w:rsidRPr="00EF3235">
        <w:t xml:space="preserve"> 202</w:t>
      </w:r>
      <w:r w:rsidR="00D479FA">
        <w:t>4</w:t>
      </w:r>
      <w:r w:rsidRPr="00EF3235">
        <w:t>].</w:t>
      </w:r>
    </w:p>
    <w:p w14:paraId="6F47F0A8" w14:textId="53C80B8E" w:rsidR="00EF3235" w:rsidRPr="00EF3235" w:rsidRDefault="00EF3235" w:rsidP="00EF3235">
      <w:r w:rsidRPr="00EF3235">
        <w:t xml:space="preserve">King’s College London (2018) </w:t>
      </w:r>
      <w:r w:rsidRPr="00EF3235">
        <w:rPr>
          <w:i/>
          <w:iCs/>
        </w:rPr>
        <w:t>My Primary School is at the Museum: Final Report</w:t>
      </w:r>
      <w:r w:rsidRPr="00EF3235">
        <w:t xml:space="preserve">. London: King’s College London. Available online via: https://www.kcl.ac.uk/cultural/resources/my-primary-school-is-at-the-museum-final-report [Accessed on: </w:t>
      </w:r>
      <w:r w:rsidR="00D479FA" w:rsidRPr="00EF3235">
        <w:t>1</w:t>
      </w:r>
      <w:r w:rsidR="00D479FA">
        <w:t>5</w:t>
      </w:r>
      <w:r w:rsidR="00D479FA" w:rsidRPr="00EF3235">
        <w:t xml:space="preserve"> </w:t>
      </w:r>
      <w:r w:rsidR="00D479FA">
        <w:t>September</w:t>
      </w:r>
      <w:r w:rsidR="00D479FA" w:rsidRPr="00EF3235">
        <w:t xml:space="preserve"> 202</w:t>
      </w:r>
      <w:r w:rsidR="00D479FA">
        <w:t>3</w:t>
      </w:r>
      <w:r w:rsidRPr="00EF3235">
        <w:t>].</w:t>
      </w:r>
    </w:p>
    <w:p w14:paraId="35E8548B" w14:textId="77777777" w:rsidR="00EF3235" w:rsidRPr="00EF3235" w:rsidRDefault="00EF3235" w:rsidP="00EF3235">
      <w:r w:rsidRPr="00EF3235">
        <w:t xml:space="preserve">Kolb, D.A. (1984) </w:t>
      </w:r>
      <w:r w:rsidRPr="00EF3235">
        <w:rPr>
          <w:i/>
          <w:iCs/>
        </w:rPr>
        <w:t>Experiential learning: Experience as the source of learning and development</w:t>
      </w:r>
      <w:r w:rsidRPr="00EF3235">
        <w:t>. Englewood Cliffs, NJ: Prentice Hall.</w:t>
      </w:r>
    </w:p>
    <w:p w14:paraId="2D00278C" w14:textId="77777777" w:rsidR="00EF3235" w:rsidRPr="00EF3235" w:rsidRDefault="00EF3235" w:rsidP="00EF3235">
      <w:r w:rsidRPr="00EF3235">
        <w:t xml:space="preserve">Kumar, R. (2014) </w:t>
      </w:r>
      <w:r w:rsidRPr="00EF3235">
        <w:rPr>
          <w:i/>
          <w:iCs/>
        </w:rPr>
        <w:t>Research methodology: A step-by-step guide for beginners</w:t>
      </w:r>
      <w:r w:rsidRPr="00EF3235">
        <w:t>. 4th edn. London: Sage Publications.</w:t>
      </w:r>
    </w:p>
    <w:p w14:paraId="79F9F189" w14:textId="2C7A71A1" w:rsidR="00EF3235" w:rsidRPr="00EF3235" w:rsidRDefault="00EF3235" w:rsidP="00EF3235">
      <w:r w:rsidRPr="00EF3235">
        <w:t xml:space="preserve">Kyriacou, C. (2001) ‘Teacher stress: Directions for future research’, </w:t>
      </w:r>
      <w:r w:rsidRPr="00EF3235">
        <w:rPr>
          <w:i/>
          <w:iCs/>
        </w:rPr>
        <w:t>Educational Review</w:t>
      </w:r>
      <w:r w:rsidRPr="00EF3235">
        <w:t>, 53(1), pp. 27–35. Available online via: https://doi.org/10.1080/00131910120033628 [Accessed on: 1</w:t>
      </w:r>
      <w:r w:rsidR="00D479FA">
        <w:t>2</w:t>
      </w:r>
      <w:r w:rsidRPr="00EF3235">
        <w:t xml:space="preserve"> January 2025].</w:t>
      </w:r>
    </w:p>
    <w:p w14:paraId="04B40025" w14:textId="424A18EA" w:rsidR="00EF3235" w:rsidRPr="00EF3235" w:rsidRDefault="00EF3235" w:rsidP="00EF3235">
      <w:r w:rsidRPr="00EF3235">
        <w:t xml:space="preserve">Leung, Experiential Learning Design (2023) ‘Challenges and solutions in adopting experiential learning </w:t>
      </w:r>
      <w:proofErr w:type="gramStart"/>
      <w:r w:rsidRPr="00EF3235">
        <w:t>methods’</w:t>
      </w:r>
      <w:proofErr w:type="gramEnd"/>
      <w:r w:rsidRPr="00EF3235">
        <w:t xml:space="preserve">. Available online via: https://www.experientiallearningdesign.org/blogs/post/Challenges-and-Solutions-in-Adopting-Experiential-Learning-Methods [Accessed on: </w:t>
      </w:r>
      <w:r w:rsidR="00D479FA" w:rsidRPr="00EF3235">
        <w:t>1</w:t>
      </w:r>
      <w:r w:rsidR="00D479FA">
        <w:t>2</w:t>
      </w:r>
      <w:r w:rsidR="00D479FA" w:rsidRPr="00EF3235">
        <w:t xml:space="preserve"> </w:t>
      </w:r>
      <w:r w:rsidR="00D479FA">
        <w:t>December</w:t>
      </w:r>
      <w:r w:rsidR="00D479FA" w:rsidRPr="00EF3235">
        <w:t xml:space="preserve"> 202</w:t>
      </w:r>
      <w:r w:rsidR="00D479FA">
        <w:t>4]</w:t>
      </w:r>
      <w:r w:rsidRPr="00EF3235">
        <w:t>.</w:t>
      </w:r>
    </w:p>
    <w:p w14:paraId="08764A29" w14:textId="3E956342" w:rsidR="00EF3235" w:rsidRPr="00EF3235" w:rsidRDefault="00EF3235" w:rsidP="00EF3235">
      <w:r w:rsidRPr="00EF3235">
        <w:t xml:space="preserve">Marais, P. (2016) ‘We can’t believe what we see: Overcrowded classrooms through the eyes of student teachers’, </w:t>
      </w:r>
      <w:r w:rsidRPr="00EF3235">
        <w:rPr>
          <w:i/>
          <w:iCs/>
        </w:rPr>
        <w:t>South African Journal of Education</w:t>
      </w:r>
      <w:r w:rsidRPr="00EF3235">
        <w:t>, 36(2), pp. 1–10. Available online via: https://files.eric.ed.gov/fulltext/EJ1133747.pdf [Accessed on: 1</w:t>
      </w:r>
      <w:r w:rsidR="00D479FA">
        <w:t>2</w:t>
      </w:r>
      <w:r w:rsidRPr="00EF3235">
        <w:t xml:space="preserve"> January 2025].</w:t>
      </w:r>
    </w:p>
    <w:p w14:paraId="3D07BBA5" w14:textId="77777777" w:rsidR="00EF3235" w:rsidRPr="00EF3235" w:rsidRDefault="00EF3235" w:rsidP="00EF3235">
      <w:r w:rsidRPr="00EF3235">
        <w:t xml:space="preserve">Miles, M.B. and Huberman, A.M. (1994) </w:t>
      </w:r>
      <w:r w:rsidRPr="00EF3235">
        <w:rPr>
          <w:i/>
          <w:iCs/>
        </w:rPr>
        <w:t>Qualitative data analysis: An expanded sourcebook</w:t>
      </w:r>
      <w:r w:rsidRPr="00EF3235">
        <w:t>. 2nd edn. Thousand Oaks, CA: Sage Publications.</w:t>
      </w:r>
    </w:p>
    <w:p w14:paraId="464BE2E5" w14:textId="10C87344" w:rsidR="00B25CE7" w:rsidRPr="00B25CE7" w:rsidRDefault="00EF3235" w:rsidP="00B25CE7">
      <w:r w:rsidRPr="00EF3235">
        <w:t xml:space="preserve">Müller, C. (2022) ‘Teacher stress and mental health: Post-pandemic challenges’, </w:t>
      </w:r>
      <w:r w:rsidRPr="00EF3235">
        <w:rPr>
          <w:i/>
          <w:iCs/>
        </w:rPr>
        <w:t>Educational Psychology Review</w:t>
      </w:r>
      <w:r w:rsidRPr="00EF3235">
        <w:t>, 34(2), pp. 345–360. Available online via: https://doi.org/10.1007/s10648-021-09612-3 [Accessed on: 15 January 2025].</w:t>
      </w:r>
      <w:r w:rsidR="00B25CE7">
        <w:br/>
      </w:r>
      <w:r w:rsidR="00B25CE7">
        <w:br/>
      </w:r>
      <w:r w:rsidR="00B25CE7" w:rsidRPr="00B25CE7">
        <w:t xml:space="preserve">Ofsted (2014). </w:t>
      </w:r>
      <w:r w:rsidR="00B25CE7" w:rsidRPr="00B25CE7">
        <w:rPr>
          <w:i/>
          <w:iCs/>
        </w:rPr>
        <w:t>The role of school trips and visits in children's learning</w:t>
      </w:r>
      <w:r w:rsidR="00B25CE7" w:rsidRPr="00B25CE7">
        <w:t xml:space="preserve">. Available at: https://www.ofsted.gov.uk/resources/role-school-trips-and-visits-childrens-learning (Accessed: </w:t>
      </w:r>
      <w:r w:rsidR="00B25CE7">
        <w:t>4</w:t>
      </w:r>
      <w:r w:rsidR="00B25CE7" w:rsidRPr="00B25CE7">
        <w:t xml:space="preserve"> January 2025).</w:t>
      </w:r>
    </w:p>
    <w:p w14:paraId="300C0C9B" w14:textId="10AE945B" w:rsidR="00EF3235" w:rsidRPr="00EF3235" w:rsidRDefault="00EF3235" w:rsidP="00EF3235">
      <w:r w:rsidRPr="00EF3235">
        <w:t xml:space="preserve">Pantić, N. (2015) ‘A model for study of teacher agency for social justice’, </w:t>
      </w:r>
      <w:r w:rsidRPr="00EF3235">
        <w:rPr>
          <w:i/>
          <w:iCs/>
        </w:rPr>
        <w:t>Teachers and Teaching: Theory and Practice</w:t>
      </w:r>
      <w:r w:rsidRPr="00EF3235">
        <w:t xml:space="preserve">, 21(6), pp. 759–778. Available online via: https://doi.org/10.1080/13540602.2015.1044332 [Accessed on: </w:t>
      </w:r>
      <w:r w:rsidR="00D479FA">
        <w:t>9</w:t>
      </w:r>
      <w:r w:rsidRPr="00EF3235">
        <w:t xml:space="preserve"> January 2025].</w:t>
      </w:r>
    </w:p>
    <w:p w14:paraId="594C6B0D" w14:textId="68B4DFB2" w:rsidR="00EF3235" w:rsidRPr="00EF3235" w:rsidRDefault="00EF3235" w:rsidP="00EF3235">
      <w:r w:rsidRPr="00EF3235">
        <w:lastRenderedPageBreak/>
        <w:t xml:space="preserve">Pianta, R.C. and Stuhlman, M.W. (2004) ‘Teacher-child relationships and children’s success in the first years of school’, </w:t>
      </w:r>
      <w:r w:rsidRPr="00EF3235">
        <w:rPr>
          <w:i/>
          <w:iCs/>
        </w:rPr>
        <w:t>School Psychology Review</w:t>
      </w:r>
      <w:r w:rsidRPr="00EF3235">
        <w:t xml:space="preserve">, 33(3), pp. 444–458. Available online via: https://www.tandfonline.com/doi/abs/10.1080/02796015.2004.12086261 [Accessed on: </w:t>
      </w:r>
      <w:r w:rsidR="00D479FA">
        <w:t xml:space="preserve">8 </w:t>
      </w:r>
      <w:r w:rsidRPr="00EF3235">
        <w:t>January 2025].</w:t>
      </w:r>
    </w:p>
    <w:p w14:paraId="63B3BC45" w14:textId="1AC70447" w:rsidR="00EF3235" w:rsidRPr="00EF3235" w:rsidRDefault="00EF3235" w:rsidP="00EF3235">
      <w:r w:rsidRPr="00EF3235">
        <w:t>Pianta, R.C., Hamre, B.K. and Allen, J.P. (2012) ‘</w:t>
      </w:r>
      <w:r w:rsidR="00CA47F3">
        <w:t>Teacher and student</w:t>
      </w:r>
      <w:r w:rsidRPr="00EF3235">
        <w:t xml:space="preserve"> relationships and engagement: Conceptualizing, measuring, and improving the capacity of classroom interactions’, in Christenson, S.L., Reschly, A.L. and Wylie, C. (eds.) </w:t>
      </w:r>
      <w:r w:rsidRPr="00EF3235">
        <w:rPr>
          <w:i/>
          <w:iCs/>
        </w:rPr>
        <w:t>Handbook of research on student engagement</w:t>
      </w:r>
      <w:r w:rsidRPr="00EF3235">
        <w:t xml:space="preserve">. Boston, MA: Springer, pp. 365–386. Available online via: https://doi.org/10.1007/978-1-4614-2018-7_17 [Accessed on: </w:t>
      </w:r>
      <w:r w:rsidR="008F559F">
        <w:t>1</w:t>
      </w:r>
      <w:r w:rsidR="00D479FA">
        <w:t>9</w:t>
      </w:r>
      <w:r w:rsidR="008F559F">
        <w:t xml:space="preserve"> November</w:t>
      </w:r>
      <w:r w:rsidRPr="00EF3235">
        <w:t xml:space="preserve"> 2025].</w:t>
      </w:r>
    </w:p>
    <w:p w14:paraId="014A8826" w14:textId="1475391D" w:rsidR="00EF3235" w:rsidRPr="00EF3235" w:rsidRDefault="00EF3235" w:rsidP="00EF3235">
      <w:r w:rsidRPr="00EF3235">
        <w:t xml:space="preserve">Prince, M. (2004) ‘Does active learning work? A review of the research’, </w:t>
      </w:r>
      <w:r w:rsidRPr="00EF3235">
        <w:rPr>
          <w:i/>
          <w:iCs/>
        </w:rPr>
        <w:t>ERIC</w:t>
      </w:r>
      <w:r w:rsidRPr="00EF3235">
        <w:t>. Available online via: https://files.eric.ed.gov/fulltext/EJ1293141.pdf [Accessed on: 8 January 2025].</w:t>
      </w:r>
    </w:p>
    <w:p w14:paraId="2355CE8E" w14:textId="46E62A5A" w:rsidR="00EF3235" w:rsidRPr="00EF3235" w:rsidRDefault="00EF3235" w:rsidP="00EF3235">
      <w:r w:rsidRPr="00EF3235">
        <w:t>Roffey, S. (2012) ‘</w:t>
      </w:r>
      <w:r w:rsidR="00CA47F3">
        <w:t>Student</w:t>
      </w:r>
      <w:r w:rsidRPr="00EF3235">
        <w:t xml:space="preserve"> wellbeing – Teacher wellbeing: Two sides of the same coin?’, </w:t>
      </w:r>
      <w:r w:rsidRPr="00EF3235">
        <w:rPr>
          <w:i/>
          <w:iCs/>
        </w:rPr>
        <w:t>Educational and Child Psychology</w:t>
      </w:r>
      <w:r w:rsidRPr="00EF3235">
        <w:t>, 29(4), pp. 8–17.</w:t>
      </w:r>
    </w:p>
    <w:p w14:paraId="2DE1F2A2" w14:textId="77777777" w:rsidR="00EF3235" w:rsidRPr="00EF3235" w:rsidRDefault="00EF3235" w:rsidP="00EF3235">
      <w:r w:rsidRPr="00EF3235">
        <w:t xml:space="preserve">Rogoff, B. (2003) </w:t>
      </w:r>
      <w:r w:rsidRPr="00EF3235">
        <w:rPr>
          <w:i/>
          <w:iCs/>
        </w:rPr>
        <w:t>The cultural nature of human development</w:t>
      </w:r>
      <w:r w:rsidRPr="00EF3235">
        <w:t>. Oxford: Oxford University Press.</w:t>
      </w:r>
    </w:p>
    <w:p w14:paraId="5025F60C" w14:textId="1D475DAF" w:rsidR="00EF3235" w:rsidRPr="00EF3235" w:rsidRDefault="00EF3235" w:rsidP="00EF3235">
      <w:r w:rsidRPr="00EF3235">
        <w:t xml:space="preserve">Rowland, D.R. (n.d.) 'Reviewing the literature: A short guide for research students', The Learning Hub, Student Services, The University of Queensland. Available online via: https://my.uq.edu.au/files/11020/guide-literature-review-research-students.pdf [Accessed on: </w:t>
      </w:r>
      <w:r w:rsidR="008F559F" w:rsidRPr="00EF3235">
        <w:t>1</w:t>
      </w:r>
      <w:r w:rsidR="008F559F">
        <w:t>2</w:t>
      </w:r>
      <w:r w:rsidR="008F559F" w:rsidRPr="00EF3235">
        <w:t xml:space="preserve"> </w:t>
      </w:r>
      <w:r w:rsidR="008F559F">
        <w:t>December</w:t>
      </w:r>
      <w:r w:rsidR="008F559F" w:rsidRPr="00EF3235">
        <w:t xml:space="preserve"> 202</w:t>
      </w:r>
      <w:r w:rsidR="008F559F">
        <w:t>4</w:t>
      </w:r>
      <w:r w:rsidRPr="00EF3235">
        <w:t>].</w:t>
      </w:r>
    </w:p>
    <w:p w14:paraId="5B5D0D9A" w14:textId="55E1B6CC" w:rsidR="00EF3235" w:rsidRPr="00EF3235" w:rsidRDefault="00EF3235" w:rsidP="00EF3235">
      <w:r w:rsidRPr="00EF3235">
        <w:t xml:space="preserve">Sara Rimm-Kaufman (2014) ‘Improving students' relationships with teachers to provide essential supports for learning’, </w:t>
      </w:r>
      <w:r w:rsidRPr="00EF3235">
        <w:rPr>
          <w:i/>
          <w:iCs/>
        </w:rPr>
        <w:t>American Psychological Association</w:t>
      </w:r>
      <w:r w:rsidRPr="00EF3235">
        <w:t>. Available online via: https://www.apa.org/education-career/k12/relationships [Accessed on: 6 January 2025].</w:t>
      </w:r>
    </w:p>
    <w:p w14:paraId="1BDFAA02" w14:textId="238213E2" w:rsidR="00EF3235" w:rsidRPr="00EF3235" w:rsidRDefault="00EF3235" w:rsidP="00EF3235">
      <w:r w:rsidRPr="00EF3235">
        <w:t xml:space="preserve">See, B.H., Gorard, S. and Siddiqui, N. (2020) ‘The impact of teacher wellbeing on learning outcomes: A systematic review’, </w:t>
      </w:r>
      <w:r w:rsidRPr="00EF3235">
        <w:rPr>
          <w:i/>
          <w:iCs/>
        </w:rPr>
        <w:t>British Educational Research Journal</w:t>
      </w:r>
      <w:r w:rsidRPr="00EF3235">
        <w:t xml:space="preserve">, 46(1), pp. 155–172. Available online via: https://doi.org/10.1002/berj.3578 [Accessed on: </w:t>
      </w:r>
      <w:r w:rsidR="008F559F">
        <w:t>4</w:t>
      </w:r>
      <w:r w:rsidRPr="00EF3235">
        <w:t xml:space="preserve"> January 2025].</w:t>
      </w:r>
    </w:p>
    <w:p w14:paraId="6E89D921" w14:textId="596FCAB6" w:rsidR="00EF3235" w:rsidRPr="00EF3235" w:rsidRDefault="00EF3235" w:rsidP="00EF3235">
      <w:r w:rsidRPr="00EF3235">
        <w:t xml:space="preserve">Shulman, L.S. (1987) ‘Knowledge and teaching: Foundations of the new reform’, </w:t>
      </w:r>
      <w:r w:rsidRPr="00EF3235">
        <w:rPr>
          <w:i/>
          <w:iCs/>
        </w:rPr>
        <w:t>Harvard Educational Review</w:t>
      </w:r>
      <w:r w:rsidRPr="00EF3235">
        <w:t>, 57(1), pp. 1–22. Available online via: https://my.chartered.college/impact_article/developing-effective-</w:t>
      </w:r>
      <w:r w:rsidR="00CA47F3">
        <w:t>teacher and student</w:t>
      </w:r>
      <w:r w:rsidRPr="00EF3235">
        <w:t xml:space="preserve">-relationships-learning-from-the-experts/ [Accessed on: </w:t>
      </w:r>
      <w:r w:rsidR="008F559F" w:rsidRPr="00EF3235">
        <w:t>1</w:t>
      </w:r>
      <w:r w:rsidR="008F559F">
        <w:t>2</w:t>
      </w:r>
      <w:r w:rsidR="008F559F" w:rsidRPr="00EF3235">
        <w:t xml:space="preserve"> </w:t>
      </w:r>
      <w:r w:rsidR="008F559F">
        <w:t>December</w:t>
      </w:r>
      <w:r w:rsidR="008F559F" w:rsidRPr="00EF3235">
        <w:t xml:space="preserve"> 202</w:t>
      </w:r>
      <w:r w:rsidR="008F559F">
        <w:t>4</w:t>
      </w:r>
      <w:r w:rsidRPr="00EF3235">
        <w:t>].</w:t>
      </w:r>
    </w:p>
    <w:p w14:paraId="395BAEFD" w14:textId="16BEE0C8" w:rsidR="00EF3235" w:rsidRPr="00EF3235" w:rsidRDefault="00EF3235" w:rsidP="00EF3235">
      <w:r w:rsidRPr="00EF3235">
        <w:t xml:space="preserve">Smith, J. and Noble, H. (2014) ‘Bias in research’, </w:t>
      </w:r>
      <w:r w:rsidRPr="00EF3235">
        <w:rPr>
          <w:i/>
          <w:iCs/>
        </w:rPr>
        <w:t>Evidence-Based Nursing</w:t>
      </w:r>
      <w:r w:rsidRPr="00EF3235">
        <w:t xml:space="preserve">, 17(4), pp. 100–101. Available online via: https://pure.qub.ac.uk/files/126780610/EBNBiasFINALJuly2014.pdf [Accessed on: </w:t>
      </w:r>
      <w:r w:rsidR="008F559F" w:rsidRPr="00EF3235">
        <w:t>1</w:t>
      </w:r>
      <w:r w:rsidR="008F559F">
        <w:t>2</w:t>
      </w:r>
      <w:r w:rsidR="008F559F" w:rsidRPr="00EF3235">
        <w:t xml:space="preserve"> </w:t>
      </w:r>
      <w:r w:rsidR="008F559F">
        <w:t>December</w:t>
      </w:r>
      <w:r w:rsidR="008F559F" w:rsidRPr="00EF3235">
        <w:t xml:space="preserve"> 202</w:t>
      </w:r>
      <w:r w:rsidR="008F559F">
        <w:t>4</w:t>
      </w:r>
      <w:r w:rsidRPr="00EF3235">
        <w:t>].</w:t>
      </w:r>
    </w:p>
    <w:p w14:paraId="0D54FE40" w14:textId="440B176F" w:rsidR="00EF3235" w:rsidRPr="00EF3235" w:rsidRDefault="00EF3235" w:rsidP="00EF3235">
      <w:r w:rsidRPr="00EF3235">
        <w:t xml:space="preserve">Souter, K. and James, L. (2019) ‘Teacher wellbeing and its impact on student learning: A framework for mutual goals in education’, </w:t>
      </w:r>
      <w:r w:rsidRPr="00EF3235">
        <w:rPr>
          <w:i/>
          <w:iCs/>
        </w:rPr>
        <w:t>Journal of Education Policy</w:t>
      </w:r>
      <w:r w:rsidRPr="00EF3235">
        <w:t xml:space="preserve">, 34(2), pp. 123–137. Available online via: https://doi.org/10.1080/02680939.2019.1585555 [Accessed on: </w:t>
      </w:r>
      <w:r w:rsidR="008F559F">
        <w:t>4</w:t>
      </w:r>
      <w:r w:rsidRPr="00EF3235">
        <w:t xml:space="preserve"> January 2025].</w:t>
      </w:r>
    </w:p>
    <w:p w14:paraId="10AA84AA" w14:textId="2FC5A94E" w:rsidR="00EF3235" w:rsidRPr="00EF3235" w:rsidRDefault="00EF3235" w:rsidP="00EF3235">
      <w:r w:rsidRPr="00EF3235">
        <w:t xml:space="preserve">Stats Wales (2024) </w:t>
      </w:r>
      <w:r w:rsidRPr="00EF3235">
        <w:rPr>
          <w:i/>
          <w:iCs/>
        </w:rPr>
        <w:t>Teacher Absences in Wales: Annual Report 2023-24</w:t>
      </w:r>
      <w:r w:rsidRPr="00EF3235">
        <w:t xml:space="preserve">. Cardiff: Welsh Government. Available online via: https://statswales.gov.wales/Catalogue/Education-and-Skills/Schools-and-Teachers/Teacher-Absences/teacherabsences-annualreport-2023-24.pdf [Accessed on: </w:t>
      </w:r>
      <w:r w:rsidR="008F559F">
        <w:t>4</w:t>
      </w:r>
      <w:r w:rsidR="00EC1256">
        <w:t xml:space="preserve"> </w:t>
      </w:r>
      <w:r w:rsidRPr="00EF3235">
        <w:t>January 2025].</w:t>
      </w:r>
    </w:p>
    <w:p w14:paraId="78B0360F" w14:textId="768A7CF0" w:rsidR="00EF3235" w:rsidRPr="00EF3235" w:rsidRDefault="00EF3235" w:rsidP="00EF3235">
      <w:r w:rsidRPr="00EF3235">
        <w:t xml:space="preserve">Tashakkori, A. and Teddlie, C. (2010) </w:t>
      </w:r>
      <w:r w:rsidRPr="00EF3235">
        <w:rPr>
          <w:i/>
          <w:iCs/>
        </w:rPr>
        <w:t>Mixed methods in social and behavio</w:t>
      </w:r>
      <w:r w:rsidR="008F559F">
        <w:rPr>
          <w:i/>
          <w:iCs/>
        </w:rPr>
        <w:t>u</w:t>
      </w:r>
      <w:r w:rsidRPr="00EF3235">
        <w:rPr>
          <w:i/>
          <w:iCs/>
        </w:rPr>
        <w:t>ral research</w:t>
      </w:r>
      <w:r w:rsidRPr="00EF3235">
        <w:t>. 2nd edn. Thousand Oaks, CA: Sage.</w:t>
      </w:r>
    </w:p>
    <w:p w14:paraId="1B16E885" w14:textId="77777777" w:rsidR="00EF3235" w:rsidRPr="00EF3235" w:rsidRDefault="00EF3235" w:rsidP="00EF3235">
      <w:r w:rsidRPr="00EF3235">
        <w:t xml:space="preserve">University of Edinburgh, Moray House School of Education and Sport (n.d.) </w:t>
      </w:r>
      <w:r w:rsidRPr="00EF3235">
        <w:rPr>
          <w:i/>
          <w:iCs/>
        </w:rPr>
        <w:t>Teachers as Agents of Change</w:t>
      </w:r>
      <w:r w:rsidRPr="00EF3235">
        <w:t>. Edinburgh: University of Edinburgh. Available online via: https://education-sport.ed.ac.uk/rke/our-research/teacher-curriculum-pedagogy/rten/research/teachers-as-agents-of-change [Accessed on: 18 January 2025].</w:t>
      </w:r>
    </w:p>
    <w:p w14:paraId="58E2EE96" w14:textId="77777777" w:rsidR="00EF3235" w:rsidRPr="00EF3235" w:rsidRDefault="00EF3235" w:rsidP="00EF3235">
      <w:r w:rsidRPr="00EF3235">
        <w:t xml:space="preserve">Vygotsky, L.S. (1978) </w:t>
      </w:r>
      <w:r w:rsidRPr="00EF3235">
        <w:rPr>
          <w:i/>
          <w:iCs/>
        </w:rPr>
        <w:t>Mind in society: The development of higher psychological processes</w:t>
      </w:r>
      <w:r w:rsidRPr="00EF3235">
        <w:t>. Cambridge, MA: Harvard University Press.</w:t>
      </w:r>
    </w:p>
    <w:p w14:paraId="14E7DA25" w14:textId="041AF33E" w:rsidR="00EF3235" w:rsidRPr="00EF3235" w:rsidRDefault="00EF3235" w:rsidP="00EF3235">
      <w:r w:rsidRPr="00EF3235">
        <w:lastRenderedPageBreak/>
        <w:t xml:space="preserve">Welsh Government (2019) </w:t>
      </w:r>
      <w:r w:rsidRPr="00EF3235">
        <w:rPr>
          <w:i/>
          <w:iCs/>
        </w:rPr>
        <w:t>Curriculum for Wales guidance</w:t>
      </w:r>
      <w:r w:rsidRPr="00EF3235">
        <w:t xml:space="preserve">. Available online via: https://hwb.gov.wales/curriculum-for-wales [Accessed on: </w:t>
      </w:r>
      <w:r w:rsidR="008F559F">
        <w:t>4</w:t>
      </w:r>
      <w:r w:rsidRPr="00EF3235">
        <w:t xml:space="preserve"> January 2025].</w:t>
      </w:r>
    </w:p>
    <w:p w14:paraId="1DA87544" w14:textId="233C4C6E" w:rsidR="00EF3235" w:rsidRPr="00EF3235" w:rsidRDefault="00EF3235" w:rsidP="00EF3235">
      <w:r w:rsidRPr="00EF3235">
        <w:t xml:space="preserve">Wright, T. (2022) </w:t>
      </w:r>
      <w:r w:rsidRPr="00EF3235">
        <w:rPr>
          <w:i/>
          <w:iCs/>
        </w:rPr>
        <w:t>Teacher Wellbeing and Mental Health: A BERA Review</w:t>
      </w:r>
      <w:r w:rsidRPr="00EF3235">
        <w:t xml:space="preserve">. London: British Educational Research Association (BERA). Available online via: https://www.bera.ac.uk/publication/teacher-wellbeing-and-mental-health-a-bera-review [Accessed on: </w:t>
      </w:r>
      <w:r w:rsidR="008F559F" w:rsidRPr="00EF3235">
        <w:t>1</w:t>
      </w:r>
      <w:r w:rsidR="008F559F">
        <w:t>2</w:t>
      </w:r>
      <w:r w:rsidR="008F559F" w:rsidRPr="00EF3235">
        <w:t xml:space="preserve"> </w:t>
      </w:r>
      <w:r w:rsidR="008F559F">
        <w:t>December</w:t>
      </w:r>
      <w:r w:rsidR="008F559F" w:rsidRPr="00EF3235">
        <w:t xml:space="preserve"> 202</w:t>
      </w:r>
      <w:r w:rsidR="008F559F">
        <w:t>4</w:t>
      </w:r>
      <w:r w:rsidRPr="00EF3235">
        <w:t>].</w:t>
      </w:r>
    </w:p>
    <w:p w14:paraId="5958471D" w14:textId="77777777" w:rsidR="007764C6" w:rsidRDefault="007764C6" w:rsidP="00B77BD6"/>
    <w:p w14:paraId="4B868645" w14:textId="77777777" w:rsidR="007764C6" w:rsidRDefault="007764C6" w:rsidP="00B77BD6"/>
    <w:p w14:paraId="049762D3" w14:textId="77777777" w:rsidR="000C2477" w:rsidRPr="000C2477" w:rsidRDefault="000C2477" w:rsidP="000C2477">
      <w:pPr>
        <w:rPr>
          <w:b/>
          <w:bCs/>
          <w:u w:val="single"/>
        </w:rPr>
      </w:pPr>
      <w:r w:rsidRPr="000C2477">
        <w:rPr>
          <w:b/>
          <w:bCs/>
          <w:u w:val="single"/>
        </w:rPr>
        <w:t>AI Acknowledgement</w:t>
      </w:r>
    </w:p>
    <w:p w14:paraId="3AF99AB2" w14:textId="25794C6F" w:rsidR="000C2477" w:rsidRPr="000C2477" w:rsidRDefault="000C2477" w:rsidP="000C2477">
      <w:r w:rsidRPr="000C2477">
        <w:t xml:space="preserve">I acknowledge the use of </w:t>
      </w:r>
      <w:r w:rsidR="004F357C">
        <w:t>ChatGPT as an AI Tool</w:t>
      </w:r>
      <w:r w:rsidR="005E15BB">
        <w:t xml:space="preserve"> at</w:t>
      </w:r>
      <w:r w:rsidR="004F357C">
        <w:t xml:space="preserve"> </w:t>
      </w:r>
      <w:r w:rsidR="00175FD9" w:rsidRPr="00175FD9">
        <w:t>https://chatgpt.com</w:t>
      </w:r>
      <w:r w:rsidR="00175FD9">
        <w:t xml:space="preserve"> on 18</w:t>
      </w:r>
      <w:r w:rsidR="00175FD9" w:rsidRPr="00175FD9">
        <w:rPr>
          <w:vertAlign w:val="superscript"/>
        </w:rPr>
        <w:t>th</w:t>
      </w:r>
      <w:r w:rsidR="00175FD9">
        <w:t xml:space="preserve"> January 2025 to </w:t>
      </w:r>
      <w:r w:rsidR="009B7956">
        <w:t>check for any obvious mistakes in my essay and to double check my referencing</w:t>
      </w:r>
      <w:r w:rsidR="000F4EAB">
        <w:t>, in line with the “proof reading” box ticked on the assignment guidance</w:t>
      </w:r>
      <w:r w:rsidR="009B7956">
        <w:t>.</w:t>
      </w:r>
      <w:r w:rsidRPr="000C2477">
        <w:t xml:space="preserve">  I used the prompt(s): </w:t>
      </w:r>
    </w:p>
    <w:p w14:paraId="14B06ADE" w14:textId="62BE12A4" w:rsidR="000C2477" w:rsidRPr="000C2477" w:rsidRDefault="000C2477" w:rsidP="000C2477">
      <w:r w:rsidRPr="000C2477">
        <w:t xml:space="preserve">1. </w:t>
      </w:r>
      <w:r w:rsidR="000F4EAB">
        <w:t>Please can you read through this essay for any obvious errors or grammatical mistakes</w:t>
      </w:r>
    </w:p>
    <w:p w14:paraId="648A1F0E" w14:textId="172C4014" w:rsidR="000C2477" w:rsidRPr="000C2477" w:rsidRDefault="005E15BB" w:rsidP="000C2477">
      <w:r>
        <w:t>2</w:t>
      </w:r>
      <w:r w:rsidR="000C2477" w:rsidRPr="000C2477">
        <w:t xml:space="preserve">. </w:t>
      </w:r>
      <w:r w:rsidR="000F4EAB">
        <w:t>Please now check my reference list is accurate</w:t>
      </w:r>
      <w:r w:rsidR="00D354F9">
        <w:t xml:space="preserve"> in Harvard style</w:t>
      </w:r>
      <w:r w:rsidR="000F4EAB">
        <w:t>.</w:t>
      </w:r>
    </w:p>
    <w:p w14:paraId="21D65938" w14:textId="77777777" w:rsidR="000C2477" w:rsidRPr="000C2477" w:rsidRDefault="000C2477" w:rsidP="000C2477">
      <w:r w:rsidRPr="000C2477">
        <w:t xml:space="preserve">I confirm that I have not presented any AI generated text as my own work. </w:t>
      </w:r>
    </w:p>
    <w:p w14:paraId="372979DC" w14:textId="77777777" w:rsidR="000C2477" w:rsidRPr="000C2477" w:rsidRDefault="000C2477" w:rsidP="000C2477">
      <w:r w:rsidRPr="000C2477">
        <w:t xml:space="preserve">I confirm that I have copies of my drafts, notes, and other resources I used before and after the use of AI tools which I may be asked to provide in evidence. </w:t>
      </w:r>
    </w:p>
    <w:p w14:paraId="478C6E1F" w14:textId="5D419A8B" w:rsidR="003F34A0" w:rsidRDefault="000C2477" w:rsidP="00B77BD6">
      <w:r w:rsidRPr="000C2477">
        <w:t xml:space="preserve"> </w:t>
      </w:r>
    </w:p>
    <w:sectPr w:rsidR="003F34A0" w:rsidSect="00B77BD6">
      <w:footerReference w:type="default" r:id="rId8"/>
      <w:pgSz w:w="11906" w:h="16838"/>
      <w:pgMar w:top="1440" w:right="566" w:bottom="1440" w:left="56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DAD1F" w14:textId="77777777" w:rsidR="000B1EC6" w:rsidRDefault="000B1EC6" w:rsidP="00B4740D">
      <w:pPr>
        <w:spacing w:after="0" w:line="240" w:lineRule="auto"/>
      </w:pPr>
      <w:r>
        <w:separator/>
      </w:r>
    </w:p>
  </w:endnote>
  <w:endnote w:type="continuationSeparator" w:id="0">
    <w:p w14:paraId="7006299D" w14:textId="77777777" w:rsidR="000B1EC6" w:rsidRDefault="000B1EC6" w:rsidP="00B47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7685145"/>
      <w:docPartObj>
        <w:docPartGallery w:val="Page Numbers (Bottom of Page)"/>
        <w:docPartUnique/>
      </w:docPartObj>
    </w:sdtPr>
    <w:sdtEndPr>
      <w:rPr>
        <w:noProof/>
      </w:rPr>
    </w:sdtEndPr>
    <w:sdtContent>
      <w:p w14:paraId="07E80015" w14:textId="294C7402" w:rsidR="00B4740D" w:rsidRDefault="00B474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AFB372" w14:textId="77777777" w:rsidR="00B4740D" w:rsidRDefault="00B47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ECB47" w14:textId="77777777" w:rsidR="000B1EC6" w:rsidRDefault="000B1EC6" w:rsidP="00B4740D">
      <w:pPr>
        <w:spacing w:after="0" w:line="240" w:lineRule="auto"/>
      </w:pPr>
      <w:r>
        <w:separator/>
      </w:r>
    </w:p>
  </w:footnote>
  <w:footnote w:type="continuationSeparator" w:id="0">
    <w:p w14:paraId="7E50C472" w14:textId="77777777" w:rsidR="000B1EC6" w:rsidRDefault="000B1EC6" w:rsidP="00B474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86169"/>
    <w:multiLevelType w:val="multilevel"/>
    <w:tmpl w:val="6ABC0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7A3AAF"/>
    <w:multiLevelType w:val="multilevel"/>
    <w:tmpl w:val="39140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DA258C"/>
    <w:multiLevelType w:val="multilevel"/>
    <w:tmpl w:val="59962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452CA"/>
    <w:multiLevelType w:val="multilevel"/>
    <w:tmpl w:val="D0B2F8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E56761"/>
    <w:multiLevelType w:val="hybridMultilevel"/>
    <w:tmpl w:val="1C0A1084"/>
    <w:lvl w:ilvl="0" w:tplc="8BD630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1B1440"/>
    <w:multiLevelType w:val="hybridMultilevel"/>
    <w:tmpl w:val="4E046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9067CD"/>
    <w:multiLevelType w:val="multilevel"/>
    <w:tmpl w:val="00561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A934D4E"/>
    <w:multiLevelType w:val="multilevel"/>
    <w:tmpl w:val="E0FA94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BBA19DF"/>
    <w:multiLevelType w:val="multilevel"/>
    <w:tmpl w:val="560226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0CA847D3"/>
    <w:multiLevelType w:val="multilevel"/>
    <w:tmpl w:val="5E9C1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A760A7"/>
    <w:multiLevelType w:val="multilevel"/>
    <w:tmpl w:val="82D22EC4"/>
    <w:lvl w:ilvl="0">
      <w:start w:val="1"/>
      <w:numFmt w:val="decimal"/>
      <w:lvlText w:val="%1"/>
      <w:lvlJc w:val="left"/>
      <w:pPr>
        <w:ind w:left="360" w:hanging="360"/>
      </w:pPr>
      <w:rPr>
        <w:rFonts w:hint="default"/>
        <w:b/>
        <w:i w:val="0"/>
      </w:rPr>
    </w:lvl>
    <w:lvl w:ilvl="1">
      <w:start w:val="1"/>
      <w:numFmt w:val="decimal"/>
      <w:lvlText w:val="%1.%2"/>
      <w:lvlJc w:val="left"/>
      <w:pPr>
        <w:ind w:left="360" w:hanging="360"/>
      </w:pPr>
      <w:rPr>
        <w:rFonts w:hint="default"/>
        <w:b/>
        <w:i w:val="0"/>
      </w:rPr>
    </w:lvl>
    <w:lvl w:ilvl="2">
      <w:start w:val="1"/>
      <w:numFmt w:val="decimal"/>
      <w:lvlText w:val="%1.%2.%3"/>
      <w:lvlJc w:val="left"/>
      <w:pPr>
        <w:ind w:left="720" w:hanging="720"/>
      </w:pPr>
      <w:rPr>
        <w:rFonts w:hint="default"/>
        <w:b/>
        <w:i w:val="0"/>
      </w:rPr>
    </w:lvl>
    <w:lvl w:ilvl="3">
      <w:start w:val="1"/>
      <w:numFmt w:val="decimal"/>
      <w:lvlText w:val="%1.%2.%3.%4"/>
      <w:lvlJc w:val="left"/>
      <w:pPr>
        <w:ind w:left="720" w:hanging="720"/>
      </w:pPr>
      <w:rPr>
        <w:rFonts w:hint="default"/>
        <w:b/>
        <w:i w:val="0"/>
      </w:rPr>
    </w:lvl>
    <w:lvl w:ilvl="4">
      <w:start w:val="1"/>
      <w:numFmt w:val="decimal"/>
      <w:lvlText w:val="%1.%2.%3.%4.%5"/>
      <w:lvlJc w:val="left"/>
      <w:pPr>
        <w:ind w:left="1080" w:hanging="1080"/>
      </w:pPr>
      <w:rPr>
        <w:rFonts w:hint="default"/>
        <w:b/>
        <w:i w:val="0"/>
      </w:rPr>
    </w:lvl>
    <w:lvl w:ilvl="5">
      <w:start w:val="1"/>
      <w:numFmt w:val="decimal"/>
      <w:lvlText w:val="%1.%2.%3.%4.%5.%6"/>
      <w:lvlJc w:val="left"/>
      <w:pPr>
        <w:ind w:left="1080" w:hanging="1080"/>
      </w:pPr>
      <w:rPr>
        <w:rFonts w:hint="default"/>
        <w:b/>
        <w:i w:val="0"/>
      </w:rPr>
    </w:lvl>
    <w:lvl w:ilvl="6">
      <w:start w:val="1"/>
      <w:numFmt w:val="decimal"/>
      <w:lvlText w:val="%1.%2.%3.%4.%5.%6.%7"/>
      <w:lvlJc w:val="left"/>
      <w:pPr>
        <w:ind w:left="1440" w:hanging="1440"/>
      </w:pPr>
      <w:rPr>
        <w:rFonts w:hint="default"/>
        <w:b/>
        <w:i w:val="0"/>
      </w:rPr>
    </w:lvl>
    <w:lvl w:ilvl="7">
      <w:start w:val="1"/>
      <w:numFmt w:val="decimal"/>
      <w:lvlText w:val="%1.%2.%3.%4.%5.%6.%7.%8"/>
      <w:lvlJc w:val="left"/>
      <w:pPr>
        <w:ind w:left="1440" w:hanging="1440"/>
      </w:pPr>
      <w:rPr>
        <w:rFonts w:hint="default"/>
        <w:b/>
        <w:i w:val="0"/>
      </w:rPr>
    </w:lvl>
    <w:lvl w:ilvl="8">
      <w:start w:val="1"/>
      <w:numFmt w:val="decimal"/>
      <w:lvlText w:val="%1.%2.%3.%4.%5.%6.%7.%8.%9"/>
      <w:lvlJc w:val="left"/>
      <w:pPr>
        <w:ind w:left="1440" w:hanging="1440"/>
      </w:pPr>
      <w:rPr>
        <w:rFonts w:hint="default"/>
        <w:b/>
        <w:i w:val="0"/>
      </w:rPr>
    </w:lvl>
  </w:abstractNum>
  <w:abstractNum w:abstractNumId="11" w15:restartNumberingAfterBreak="0">
    <w:nsid w:val="10A54623"/>
    <w:multiLevelType w:val="multilevel"/>
    <w:tmpl w:val="C14291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5231890"/>
    <w:multiLevelType w:val="multilevel"/>
    <w:tmpl w:val="E7E0017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0EA71C3"/>
    <w:multiLevelType w:val="hybridMultilevel"/>
    <w:tmpl w:val="5F688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F605CF"/>
    <w:multiLevelType w:val="multilevel"/>
    <w:tmpl w:val="041AD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BF5D6A"/>
    <w:multiLevelType w:val="multilevel"/>
    <w:tmpl w:val="F15AB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1C5179"/>
    <w:multiLevelType w:val="hybridMultilevel"/>
    <w:tmpl w:val="EBEEB654"/>
    <w:lvl w:ilvl="0" w:tplc="A82E93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F73D0C"/>
    <w:multiLevelType w:val="multilevel"/>
    <w:tmpl w:val="470E33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29487B1D"/>
    <w:multiLevelType w:val="multilevel"/>
    <w:tmpl w:val="AC68911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BA87D4C"/>
    <w:multiLevelType w:val="multilevel"/>
    <w:tmpl w:val="3446A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ECE47C5"/>
    <w:multiLevelType w:val="multilevel"/>
    <w:tmpl w:val="297E509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1" w15:restartNumberingAfterBreak="0">
    <w:nsid w:val="31304D41"/>
    <w:multiLevelType w:val="multilevel"/>
    <w:tmpl w:val="DC2C4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37D0651"/>
    <w:multiLevelType w:val="multilevel"/>
    <w:tmpl w:val="1A62678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3AC14B19"/>
    <w:multiLevelType w:val="multilevel"/>
    <w:tmpl w:val="930E18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3F0D1B54"/>
    <w:multiLevelType w:val="hybridMultilevel"/>
    <w:tmpl w:val="523051E0"/>
    <w:lvl w:ilvl="0" w:tplc="A10E3E78">
      <w:start w:val="2"/>
      <w:numFmt w:val="bullet"/>
      <w:lvlText w:val=""/>
      <w:lvlJc w:val="left"/>
      <w:pPr>
        <w:ind w:left="720" w:hanging="360"/>
      </w:pPr>
      <w:rPr>
        <w:rFonts w:ascii="Symbol" w:eastAsiaTheme="minorEastAsia"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54487E"/>
    <w:multiLevelType w:val="multilevel"/>
    <w:tmpl w:val="940053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4E875F3E"/>
    <w:multiLevelType w:val="multilevel"/>
    <w:tmpl w:val="4B30F7D6"/>
    <w:lvl w:ilvl="0">
      <w:start w:val="2"/>
      <w:numFmt w:val="decimal"/>
      <w:lvlText w:val="%1"/>
      <w:lvlJc w:val="left"/>
      <w:pPr>
        <w:ind w:left="443" w:hanging="443"/>
      </w:pPr>
      <w:rPr>
        <w:rFonts w:hint="default"/>
      </w:rPr>
    </w:lvl>
    <w:lvl w:ilvl="1">
      <w:start w:val="2"/>
      <w:numFmt w:val="decimal"/>
      <w:lvlText w:val="%1.%2"/>
      <w:lvlJc w:val="left"/>
      <w:pPr>
        <w:ind w:left="443" w:hanging="443"/>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4F19459A"/>
    <w:multiLevelType w:val="multilevel"/>
    <w:tmpl w:val="B3F8E0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06C02D9"/>
    <w:multiLevelType w:val="multilevel"/>
    <w:tmpl w:val="E7BCB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24D14EC"/>
    <w:multiLevelType w:val="multilevel"/>
    <w:tmpl w:val="B0F680E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6DC7B5C"/>
    <w:multiLevelType w:val="multilevel"/>
    <w:tmpl w:val="970C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D95B52"/>
    <w:multiLevelType w:val="multilevel"/>
    <w:tmpl w:val="3EE8A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6B5F00"/>
    <w:multiLevelType w:val="multilevel"/>
    <w:tmpl w:val="7734A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AB06F0"/>
    <w:multiLevelType w:val="hybridMultilevel"/>
    <w:tmpl w:val="00A068D2"/>
    <w:lvl w:ilvl="0" w:tplc="A10E3E78">
      <w:start w:val="2"/>
      <w:numFmt w:val="bullet"/>
      <w:lvlText w:val=""/>
      <w:lvlJc w:val="left"/>
      <w:pPr>
        <w:ind w:left="720" w:hanging="360"/>
      </w:pPr>
      <w:rPr>
        <w:rFonts w:ascii="Symbol" w:eastAsiaTheme="minorEastAsia"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E221A4"/>
    <w:multiLevelType w:val="hybridMultilevel"/>
    <w:tmpl w:val="F51CF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E82206"/>
    <w:multiLevelType w:val="multilevel"/>
    <w:tmpl w:val="01F8F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971F54"/>
    <w:multiLevelType w:val="multilevel"/>
    <w:tmpl w:val="1F242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5193522">
    <w:abstractNumId w:val="36"/>
  </w:num>
  <w:num w:numId="2" w16cid:durableId="1234707365">
    <w:abstractNumId w:val="32"/>
  </w:num>
  <w:num w:numId="3" w16cid:durableId="564923275">
    <w:abstractNumId w:val="15"/>
  </w:num>
  <w:num w:numId="4" w16cid:durableId="93400620">
    <w:abstractNumId w:val="21"/>
  </w:num>
  <w:num w:numId="5" w16cid:durableId="1215236732">
    <w:abstractNumId w:val="0"/>
  </w:num>
  <w:num w:numId="6" w16cid:durableId="2040814299">
    <w:abstractNumId w:val="29"/>
  </w:num>
  <w:num w:numId="7" w16cid:durableId="1069841246">
    <w:abstractNumId w:val="20"/>
  </w:num>
  <w:num w:numId="8" w16cid:durableId="1066730560">
    <w:abstractNumId w:val="10"/>
  </w:num>
  <w:num w:numId="9" w16cid:durableId="606545737">
    <w:abstractNumId w:val="11"/>
  </w:num>
  <w:num w:numId="10" w16cid:durableId="1193693665">
    <w:abstractNumId w:val="25"/>
  </w:num>
  <w:num w:numId="11" w16cid:durableId="1769152673">
    <w:abstractNumId w:val="7"/>
  </w:num>
  <w:num w:numId="12" w16cid:durableId="137917744">
    <w:abstractNumId w:val="3"/>
  </w:num>
  <w:num w:numId="13" w16cid:durableId="1994676942">
    <w:abstractNumId w:val="2"/>
  </w:num>
  <w:num w:numId="14" w16cid:durableId="1270236679">
    <w:abstractNumId w:val="33"/>
  </w:num>
  <w:num w:numId="15" w16cid:durableId="1852064013">
    <w:abstractNumId w:val="24"/>
  </w:num>
  <w:num w:numId="16" w16cid:durableId="208686272">
    <w:abstractNumId w:val="27"/>
  </w:num>
  <w:num w:numId="17" w16cid:durableId="25376367">
    <w:abstractNumId w:val="8"/>
  </w:num>
  <w:num w:numId="18" w16cid:durableId="1161965541">
    <w:abstractNumId w:val="17"/>
  </w:num>
  <w:num w:numId="19" w16cid:durableId="187112158">
    <w:abstractNumId w:val="22"/>
  </w:num>
  <w:num w:numId="20" w16cid:durableId="244534130">
    <w:abstractNumId w:val="12"/>
  </w:num>
  <w:num w:numId="21" w16cid:durableId="1005323260">
    <w:abstractNumId w:val="23"/>
  </w:num>
  <w:num w:numId="22" w16cid:durableId="996307002">
    <w:abstractNumId w:val="26"/>
  </w:num>
  <w:num w:numId="23" w16cid:durableId="339896032">
    <w:abstractNumId w:val="18"/>
  </w:num>
  <w:num w:numId="24" w16cid:durableId="22636678">
    <w:abstractNumId w:val="13"/>
  </w:num>
  <w:num w:numId="25" w16cid:durableId="961812181">
    <w:abstractNumId w:val="5"/>
  </w:num>
  <w:num w:numId="26" w16cid:durableId="1928685707">
    <w:abstractNumId w:val="34"/>
  </w:num>
  <w:num w:numId="27" w16cid:durableId="2061661586">
    <w:abstractNumId w:val="4"/>
  </w:num>
  <w:num w:numId="28" w16cid:durableId="611278712">
    <w:abstractNumId w:val="16"/>
  </w:num>
  <w:num w:numId="29" w16cid:durableId="2085178566">
    <w:abstractNumId w:val="30"/>
  </w:num>
  <w:num w:numId="30" w16cid:durableId="330375082">
    <w:abstractNumId w:val="9"/>
  </w:num>
  <w:num w:numId="31" w16cid:durableId="1365519731">
    <w:abstractNumId w:val="14"/>
  </w:num>
  <w:num w:numId="32" w16cid:durableId="749038154">
    <w:abstractNumId w:val="31"/>
  </w:num>
  <w:num w:numId="33" w16cid:durableId="1912694495">
    <w:abstractNumId w:val="19"/>
  </w:num>
  <w:num w:numId="34" w16cid:durableId="1516455941">
    <w:abstractNumId w:val="28"/>
  </w:num>
  <w:num w:numId="35" w16cid:durableId="828979104">
    <w:abstractNumId w:val="1"/>
  </w:num>
  <w:num w:numId="36" w16cid:durableId="548339823">
    <w:abstractNumId w:val="6"/>
  </w:num>
  <w:num w:numId="37" w16cid:durableId="2009598914">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48D"/>
    <w:rsid w:val="000209EE"/>
    <w:rsid w:val="00021BE2"/>
    <w:rsid w:val="00035EF4"/>
    <w:rsid w:val="0004481D"/>
    <w:rsid w:val="0005458B"/>
    <w:rsid w:val="000551BF"/>
    <w:rsid w:val="000622A6"/>
    <w:rsid w:val="000A1B99"/>
    <w:rsid w:val="000A7400"/>
    <w:rsid w:val="000B1EC6"/>
    <w:rsid w:val="000B2E00"/>
    <w:rsid w:val="000C2477"/>
    <w:rsid w:val="000C4887"/>
    <w:rsid w:val="000C6868"/>
    <w:rsid w:val="000D5643"/>
    <w:rsid w:val="000E0B55"/>
    <w:rsid w:val="000F4EAB"/>
    <w:rsid w:val="00127262"/>
    <w:rsid w:val="00135397"/>
    <w:rsid w:val="00141E06"/>
    <w:rsid w:val="001662EF"/>
    <w:rsid w:val="00174EB9"/>
    <w:rsid w:val="00175FD9"/>
    <w:rsid w:val="00180B61"/>
    <w:rsid w:val="0018667D"/>
    <w:rsid w:val="00187D94"/>
    <w:rsid w:val="001B1E6A"/>
    <w:rsid w:val="001B446A"/>
    <w:rsid w:val="001B497F"/>
    <w:rsid w:val="00205977"/>
    <w:rsid w:val="0020631D"/>
    <w:rsid w:val="00207A07"/>
    <w:rsid w:val="00220DF3"/>
    <w:rsid w:val="00226BB3"/>
    <w:rsid w:val="002318BF"/>
    <w:rsid w:val="00234612"/>
    <w:rsid w:val="0023680F"/>
    <w:rsid w:val="00242AFE"/>
    <w:rsid w:val="00244506"/>
    <w:rsid w:val="002531EB"/>
    <w:rsid w:val="0027515F"/>
    <w:rsid w:val="00284967"/>
    <w:rsid w:val="00293E79"/>
    <w:rsid w:val="00297355"/>
    <w:rsid w:val="002A396B"/>
    <w:rsid w:val="002A548B"/>
    <w:rsid w:val="002C0C77"/>
    <w:rsid w:val="002C7F06"/>
    <w:rsid w:val="002D5B31"/>
    <w:rsid w:val="002E633B"/>
    <w:rsid w:val="00304520"/>
    <w:rsid w:val="003178E7"/>
    <w:rsid w:val="00322A1E"/>
    <w:rsid w:val="00331857"/>
    <w:rsid w:val="0033373F"/>
    <w:rsid w:val="00334B56"/>
    <w:rsid w:val="00355615"/>
    <w:rsid w:val="00356045"/>
    <w:rsid w:val="0036025A"/>
    <w:rsid w:val="00367733"/>
    <w:rsid w:val="00370B74"/>
    <w:rsid w:val="0037310F"/>
    <w:rsid w:val="003A1157"/>
    <w:rsid w:val="003A1891"/>
    <w:rsid w:val="003A6536"/>
    <w:rsid w:val="003B608B"/>
    <w:rsid w:val="003C0C15"/>
    <w:rsid w:val="003D357C"/>
    <w:rsid w:val="003D7894"/>
    <w:rsid w:val="003E20F1"/>
    <w:rsid w:val="003E460A"/>
    <w:rsid w:val="003F34A0"/>
    <w:rsid w:val="003F3C5A"/>
    <w:rsid w:val="00400A7E"/>
    <w:rsid w:val="0040106A"/>
    <w:rsid w:val="00436666"/>
    <w:rsid w:val="00441CA5"/>
    <w:rsid w:val="00446514"/>
    <w:rsid w:val="00456F3A"/>
    <w:rsid w:val="004623DB"/>
    <w:rsid w:val="00466159"/>
    <w:rsid w:val="00475583"/>
    <w:rsid w:val="004758C3"/>
    <w:rsid w:val="00476115"/>
    <w:rsid w:val="00482E8A"/>
    <w:rsid w:val="00490C39"/>
    <w:rsid w:val="00490C62"/>
    <w:rsid w:val="004A516C"/>
    <w:rsid w:val="004B03AF"/>
    <w:rsid w:val="004B4607"/>
    <w:rsid w:val="004B7873"/>
    <w:rsid w:val="004C46C5"/>
    <w:rsid w:val="004D0C15"/>
    <w:rsid w:val="004D24A8"/>
    <w:rsid w:val="004F0A04"/>
    <w:rsid w:val="004F357C"/>
    <w:rsid w:val="004F4870"/>
    <w:rsid w:val="00505586"/>
    <w:rsid w:val="005211AD"/>
    <w:rsid w:val="00521C03"/>
    <w:rsid w:val="005230B9"/>
    <w:rsid w:val="00525C3B"/>
    <w:rsid w:val="00526234"/>
    <w:rsid w:val="005412C0"/>
    <w:rsid w:val="00541E21"/>
    <w:rsid w:val="00546268"/>
    <w:rsid w:val="005579A0"/>
    <w:rsid w:val="00560B55"/>
    <w:rsid w:val="00575F77"/>
    <w:rsid w:val="00580A0A"/>
    <w:rsid w:val="00591BC4"/>
    <w:rsid w:val="005953E4"/>
    <w:rsid w:val="005B0945"/>
    <w:rsid w:val="005C2813"/>
    <w:rsid w:val="005E15BB"/>
    <w:rsid w:val="005F444F"/>
    <w:rsid w:val="005F471F"/>
    <w:rsid w:val="006024B1"/>
    <w:rsid w:val="00602C5F"/>
    <w:rsid w:val="00604981"/>
    <w:rsid w:val="00607014"/>
    <w:rsid w:val="0061048D"/>
    <w:rsid w:val="006144BD"/>
    <w:rsid w:val="00615BF6"/>
    <w:rsid w:val="00623543"/>
    <w:rsid w:val="0063577C"/>
    <w:rsid w:val="00652DC7"/>
    <w:rsid w:val="00653826"/>
    <w:rsid w:val="00653969"/>
    <w:rsid w:val="00661C8F"/>
    <w:rsid w:val="00667BB2"/>
    <w:rsid w:val="00682603"/>
    <w:rsid w:val="006A5F20"/>
    <w:rsid w:val="006C566B"/>
    <w:rsid w:val="006C78AF"/>
    <w:rsid w:val="006E339E"/>
    <w:rsid w:val="006E3D5B"/>
    <w:rsid w:val="006E4CBD"/>
    <w:rsid w:val="0071132B"/>
    <w:rsid w:val="007131AF"/>
    <w:rsid w:val="00721E3B"/>
    <w:rsid w:val="0072780C"/>
    <w:rsid w:val="007555FF"/>
    <w:rsid w:val="00772E8B"/>
    <w:rsid w:val="007744FC"/>
    <w:rsid w:val="007764C6"/>
    <w:rsid w:val="00776E98"/>
    <w:rsid w:val="00782650"/>
    <w:rsid w:val="00784031"/>
    <w:rsid w:val="00795CE0"/>
    <w:rsid w:val="007A3055"/>
    <w:rsid w:val="007B7E34"/>
    <w:rsid w:val="007C4D10"/>
    <w:rsid w:val="007E0D1F"/>
    <w:rsid w:val="007E4F4E"/>
    <w:rsid w:val="007E51D6"/>
    <w:rsid w:val="007F1EC6"/>
    <w:rsid w:val="007F1F3D"/>
    <w:rsid w:val="007F29E9"/>
    <w:rsid w:val="007F445D"/>
    <w:rsid w:val="00803EFF"/>
    <w:rsid w:val="008055BE"/>
    <w:rsid w:val="00821EC2"/>
    <w:rsid w:val="00834CC8"/>
    <w:rsid w:val="0084428E"/>
    <w:rsid w:val="00857568"/>
    <w:rsid w:val="00877148"/>
    <w:rsid w:val="008943B6"/>
    <w:rsid w:val="00895253"/>
    <w:rsid w:val="008A3275"/>
    <w:rsid w:val="008A4E10"/>
    <w:rsid w:val="008D6E75"/>
    <w:rsid w:val="008F0136"/>
    <w:rsid w:val="008F0CB9"/>
    <w:rsid w:val="008F559F"/>
    <w:rsid w:val="00901CDB"/>
    <w:rsid w:val="00906189"/>
    <w:rsid w:val="00906D59"/>
    <w:rsid w:val="0091175A"/>
    <w:rsid w:val="00916012"/>
    <w:rsid w:val="00921229"/>
    <w:rsid w:val="00935A58"/>
    <w:rsid w:val="009452A1"/>
    <w:rsid w:val="009465E2"/>
    <w:rsid w:val="00951827"/>
    <w:rsid w:val="00954A44"/>
    <w:rsid w:val="009625F7"/>
    <w:rsid w:val="009810A3"/>
    <w:rsid w:val="009876EC"/>
    <w:rsid w:val="009B2FFA"/>
    <w:rsid w:val="009B7956"/>
    <w:rsid w:val="009C5F21"/>
    <w:rsid w:val="009D1ADB"/>
    <w:rsid w:val="009E3EAD"/>
    <w:rsid w:val="009E47E3"/>
    <w:rsid w:val="009E6158"/>
    <w:rsid w:val="009E656F"/>
    <w:rsid w:val="00A41ABF"/>
    <w:rsid w:val="00A4226E"/>
    <w:rsid w:val="00A447D2"/>
    <w:rsid w:val="00A4574F"/>
    <w:rsid w:val="00A544A1"/>
    <w:rsid w:val="00A57C93"/>
    <w:rsid w:val="00A67035"/>
    <w:rsid w:val="00A827AB"/>
    <w:rsid w:val="00A8685B"/>
    <w:rsid w:val="00A94ECC"/>
    <w:rsid w:val="00A959E6"/>
    <w:rsid w:val="00AA165E"/>
    <w:rsid w:val="00AA79A4"/>
    <w:rsid w:val="00AB6E33"/>
    <w:rsid w:val="00AC52DD"/>
    <w:rsid w:val="00AD6718"/>
    <w:rsid w:val="00AD70AA"/>
    <w:rsid w:val="00AD7D85"/>
    <w:rsid w:val="00AE0F59"/>
    <w:rsid w:val="00AF5FE0"/>
    <w:rsid w:val="00B00322"/>
    <w:rsid w:val="00B0294F"/>
    <w:rsid w:val="00B06885"/>
    <w:rsid w:val="00B1312E"/>
    <w:rsid w:val="00B150D2"/>
    <w:rsid w:val="00B16CC5"/>
    <w:rsid w:val="00B25CE7"/>
    <w:rsid w:val="00B2702E"/>
    <w:rsid w:val="00B314F7"/>
    <w:rsid w:val="00B33D84"/>
    <w:rsid w:val="00B374AC"/>
    <w:rsid w:val="00B440B9"/>
    <w:rsid w:val="00B4740D"/>
    <w:rsid w:val="00B520B7"/>
    <w:rsid w:val="00B52BD8"/>
    <w:rsid w:val="00B52C8B"/>
    <w:rsid w:val="00B55E7D"/>
    <w:rsid w:val="00B603CF"/>
    <w:rsid w:val="00B74136"/>
    <w:rsid w:val="00B77BD6"/>
    <w:rsid w:val="00B827FF"/>
    <w:rsid w:val="00B84E99"/>
    <w:rsid w:val="00B91B51"/>
    <w:rsid w:val="00B96402"/>
    <w:rsid w:val="00B96640"/>
    <w:rsid w:val="00B978F2"/>
    <w:rsid w:val="00BA145F"/>
    <w:rsid w:val="00BB6DCB"/>
    <w:rsid w:val="00BE7F17"/>
    <w:rsid w:val="00BF10E0"/>
    <w:rsid w:val="00BF372D"/>
    <w:rsid w:val="00C042DE"/>
    <w:rsid w:val="00C10AEA"/>
    <w:rsid w:val="00C306A1"/>
    <w:rsid w:val="00C320C4"/>
    <w:rsid w:val="00C45764"/>
    <w:rsid w:val="00C55F53"/>
    <w:rsid w:val="00C6797F"/>
    <w:rsid w:val="00C71BAF"/>
    <w:rsid w:val="00CA47F3"/>
    <w:rsid w:val="00CB415A"/>
    <w:rsid w:val="00CC52D3"/>
    <w:rsid w:val="00CE17E1"/>
    <w:rsid w:val="00CE2463"/>
    <w:rsid w:val="00CF6990"/>
    <w:rsid w:val="00D13466"/>
    <w:rsid w:val="00D26002"/>
    <w:rsid w:val="00D2651C"/>
    <w:rsid w:val="00D31A60"/>
    <w:rsid w:val="00D354F9"/>
    <w:rsid w:val="00D4409F"/>
    <w:rsid w:val="00D466DF"/>
    <w:rsid w:val="00D479BE"/>
    <w:rsid w:val="00D479FA"/>
    <w:rsid w:val="00D56B73"/>
    <w:rsid w:val="00D714EA"/>
    <w:rsid w:val="00D84A4F"/>
    <w:rsid w:val="00D906EE"/>
    <w:rsid w:val="00D937BA"/>
    <w:rsid w:val="00DA19F4"/>
    <w:rsid w:val="00DA1A17"/>
    <w:rsid w:val="00DA3115"/>
    <w:rsid w:val="00DA4940"/>
    <w:rsid w:val="00DA7461"/>
    <w:rsid w:val="00DB48A2"/>
    <w:rsid w:val="00DD1E28"/>
    <w:rsid w:val="00DD687E"/>
    <w:rsid w:val="00DE00BA"/>
    <w:rsid w:val="00DE45D1"/>
    <w:rsid w:val="00DE557B"/>
    <w:rsid w:val="00E02EF9"/>
    <w:rsid w:val="00E03C06"/>
    <w:rsid w:val="00E336F6"/>
    <w:rsid w:val="00E5291D"/>
    <w:rsid w:val="00E7129A"/>
    <w:rsid w:val="00E80787"/>
    <w:rsid w:val="00E93A51"/>
    <w:rsid w:val="00E93CA6"/>
    <w:rsid w:val="00E943F1"/>
    <w:rsid w:val="00EB09AC"/>
    <w:rsid w:val="00EB1E48"/>
    <w:rsid w:val="00EB25D9"/>
    <w:rsid w:val="00EB4D14"/>
    <w:rsid w:val="00EC1256"/>
    <w:rsid w:val="00EC7990"/>
    <w:rsid w:val="00EF155A"/>
    <w:rsid w:val="00EF3235"/>
    <w:rsid w:val="00EF3F42"/>
    <w:rsid w:val="00EF59D0"/>
    <w:rsid w:val="00F11F30"/>
    <w:rsid w:val="00F240F9"/>
    <w:rsid w:val="00F2484C"/>
    <w:rsid w:val="00F46364"/>
    <w:rsid w:val="00F47520"/>
    <w:rsid w:val="00F5645F"/>
    <w:rsid w:val="00F6114D"/>
    <w:rsid w:val="00F6255D"/>
    <w:rsid w:val="00F64C92"/>
    <w:rsid w:val="00F6737D"/>
    <w:rsid w:val="00F82C64"/>
    <w:rsid w:val="00FA647C"/>
    <w:rsid w:val="00FB3250"/>
    <w:rsid w:val="00FB37C8"/>
    <w:rsid w:val="00FB6FD3"/>
    <w:rsid w:val="00FC2BCA"/>
    <w:rsid w:val="00FD1F27"/>
    <w:rsid w:val="00FF40B6"/>
    <w:rsid w:val="00FF5D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525D1"/>
  <w15:chartTrackingRefBased/>
  <w15:docId w15:val="{4CD16995-2255-4690-A8D7-588A07822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48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048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048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048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048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04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04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04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04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4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04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04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04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04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04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04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04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048D"/>
    <w:rPr>
      <w:rFonts w:eastAsiaTheme="majorEastAsia" w:cstheme="majorBidi"/>
      <w:color w:val="272727" w:themeColor="text1" w:themeTint="D8"/>
    </w:rPr>
  </w:style>
  <w:style w:type="paragraph" w:styleId="Title">
    <w:name w:val="Title"/>
    <w:basedOn w:val="Normal"/>
    <w:next w:val="Normal"/>
    <w:link w:val="TitleChar"/>
    <w:uiPriority w:val="10"/>
    <w:qFormat/>
    <w:rsid w:val="006104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04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04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04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048D"/>
    <w:pPr>
      <w:spacing w:before="160"/>
      <w:jc w:val="center"/>
    </w:pPr>
    <w:rPr>
      <w:i/>
      <w:iCs/>
      <w:color w:val="404040" w:themeColor="text1" w:themeTint="BF"/>
    </w:rPr>
  </w:style>
  <w:style w:type="character" w:customStyle="1" w:styleId="QuoteChar">
    <w:name w:val="Quote Char"/>
    <w:basedOn w:val="DefaultParagraphFont"/>
    <w:link w:val="Quote"/>
    <w:uiPriority w:val="29"/>
    <w:rsid w:val="0061048D"/>
    <w:rPr>
      <w:i/>
      <w:iCs/>
      <w:color w:val="404040" w:themeColor="text1" w:themeTint="BF"/>
    </w:rPr>
  </w:style>
  <w:style w:type="paragraph" w:styleId="ListParagraph">
    <w:name w:val="List Paragraph"/>
    <w:basedOn w:val="Normal"/>
    <w:uiPriority w:val="34"/>
    <w:qFormat/>
    <w:rsid w:val="0061048D"/>
    <w:pPr>
      <w:ind w:left="720"/>
      <w:contextualSpacing/>
    </w:pPr>
  </w:style>
  <w:style w:type="character" w:styleId="IntenseEmphasis">
    <w:name w:val="Intense Emphasis"/>
    <w:basedOn w:val="DefaultParagraphFont"/>
    <w:uiPriority w:val="21"/>
    <w:qFormat/>
    <w:rsid w:val="0061048D"/>
    <w:rPr>
      <w:i/>
      <w:iCs/>
      <w:color w:val="2F5496" w:themeColor="accent1" w:themeShade="BF"/>
    </w:rPr>
  </w:style>
  <w:style w:type="paragraph" w:styleId="IntenseQuote">
    <w:name w:val="Intense Quote"/>
    <w:basedOn w:val="Normal"/>
    <w:next w:val="Normal"/>
    <w:link w:val="IntenseQuoteChar"/>
    <w:uiPriority w:val="30"/>
    <w:qFormat/>
    <w:rsid w:val="0061048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048D"/>
    <w:rPr>
      <w:i/>
      <w:iCs/>
      <w:color w:val="2F5496" w:themeColor="accent1" w:themeShade="BF"/>
    </w:rPr>
  </w:style>
  <w:style w:type="character" w:styleId="IntenseReference">
    <w:name w:val="Intense Reference"/>
    <w:basedOn w:val="DefaultParagraphFont"/>
    <w:uiPriority w:val="32"/>
    <w:qFormat/>
    <w:rsid w:val="0061048D"/>
    <w:rPr>
      <w:b/>
      <w:bCs/>
      <w:smallCaps/>
      <w:color w:val="2F5496" w:themeColor="accent1" w:themeShade="BF"/>
      <w:spacing w:val="5"/>
    </w:rPr>
  </w:style>
  <w:style w:type="paragraph" w:styleId="TOCHeading">
    <w:name w:val="TOC Heading"/>
    <w:basedOn w:val="Heading1"/>
    <w:next w:val="Normal"/>
    <w:uiPriority w:val="39"/>
    <w:unhideWhenUsed/>
    <w:qFormat/>
    <w:rsid w:val="0061048D"/>
    <w:pPr>
      <w:spacing w:before="400" w:after="40" w:line="240" w:lineRule="auto"/>
      <w:outlineLvl w:val="9"/>
    </w:pPr>
    <w:rPr>
      <w:color w:val="1F3864" w:themeColor="accent1" w:themeShade="80"/>
      <w:sz w:val="36"/>
      <w:szCs w:val="36"/>
      <w:lang w:eastAsia="en-US"/>
    </w:rPr>
  </w:style>
  <w:style w:type="paragraph" w:styleId="NormalWeb">
    <w:name w:val="Normal (Web)"/>
    <w:basedOn w:val="Normal"/>
    <w:uiPriority w:val="99"/>
    <w:semiHidden/>
    <w:unhideWhenUsed/>
    <w:rsid w:val="00B77BD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77BD6"/>
    <w:rPr>
      <w:i/>
      <w:iCs/>
    </w:rPr>
  </w:style>
  <w:style w:type="character" w:styleId="Hyperlink">
    <w:name w:val="Hyperlink"/>
    <w:basedOn w:val="DefaultParagraphFont"/>
    <w:uiPriority w:val="99"/>
    <w:unhideWhenUsed/>
    <w:rsid w:val="00A67035"/>
    <w:rPr>
      <w:color w:val="0563C1" w:themeColor="hyperlink"/>
      <w:u w:val="single"/>
    </w:rPr>
  </w:style>
  <w:style w:type="character" w:styleId="UnresolvedMention">
    <w:name w:val="Unresolved Mention"/>
    <w:basedOn w:val="DefaultParagraphFont"/>
    <w:uiPriority w:val="99"/>
    <w:semiHidden/>
    <w:unhideWhenUsed/>
    <w:rsid w:val="00A67035"/>
    <w:rPr>
      <w:color w:val="605E5C"/>
      <w:shd w:val="clear" w:color="auto" w:fill="E1DFDD"/>
    </w:rPr>
  </w:style>
  <w:style w:type="paragraph" w:styleId="Header">
    <w:name w:val="header"/>
    <w:basedOn w:val="Normal"/>
    <w:link w:val="HeaderChar"/>
    <w:uiPriority w:val="99"/>
    <w:unhideWhenUsed/>
    <w:rsid w:val="00B47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40D"/>
  </w:style>
  <w:style w:type="paragraph" w:styleId="Footer">
    <w:name w:val="footer"/>
    <w:basedOn w:val="Normal"/>
    <w:link w:val="FooterChar"/>
    <w:uiPriority w:val="99"/>
    <w:unhideWhenUsed/>
    <w:rsid w:val="00B47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4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02499">
      <w:bodyDiv w:val="1"/>
      <w:marLeft w:val="0"/>
      <w:marRight w:val="0"/>
      <w:marTop w:val="0"/>
      <w:marBottom w:val="0"/>
      <w:divBdr>
        <w:top w:val="none" w:sz="0" w:space="0" w:color="auto"/>
        <w:left w:val="none" w:sz="0" w:space="0" w:color="auto"/>
        <w:bottom w:val="none" w:sz="0" w:space="0" w:color="auto"/>
        <w:right w:val="none" w:sz="0" w:space="0" w:color="auto"/>
      </w:divBdr>
    </w:div>
    <w:div w:id="61145284">
      <w:bodyDiv w:val="1"/>
      <w:marLeft w:val="0"/>
      <w:marRight w:val="0"/>
      <w:marTop w:val="0"/>
      <w:marBottom w:val="0"/>
      <w:divBdr>
        <w:top w:val="none" w:sz="0" w:space="0" w:color="auto"/>
        <w:left w:val="none" w:sz="0" w:space="0" w:color="auto"/>
        <w:bottom w:val="none" w:sz="0" w:space="0" w:color="auto"/>
        <w:right w:val="none" w:sz="0" w:space="0" w:color="auto"/>
      </w:divBdr>
    </w:div>
    <w:div w:id="82458744">
      <w:bodyDiv w:val="1"/>
      <w:marLeft w:val="0"/>
      <w:marRight w:val="0"/>
      <w:marTop w:val="0"/>
      <w:marBottom w:val="0"/>
      <w:divBdr>
        <w:top w:val="none" w:sz="0" w:space="0" w:color="auto"/>
        <w:left w:val="none" w:sz="0" w:space="0" w:color="auto"/>
        <w:bottom w:val="none" w:sz="0" w:space="0" w:color="auto"/>
        <w:right w:val="none" w:sz="0" w:space="0" w:color="auto"/>
      </w:divBdr>
    </w:div>
    <w:div w:id="105467584">
      <w:bodyDiv w:val="1"/>
      <w:marLeft w:val="0"/>
      <w:marRight w:val="0"/>
      <w:marTop w:val="0"/>
      <w:marBottom w:val="0"/>
      <w:divBdr>
        <w:top w:val="none" w:sz="0" w:space="0" w:color="auto"/>
        <w:left w:val="none" w:sz="0" w:space="0" w:color="auto"/>
        <w:bottom w:val="none" w:sz="0" w:space="0" w:color="auto"/>
        <w:right w:val="none" w:sz="0" w:space="0" w:color="auto"/>
      </w:divBdr>
      <w:divsChild>
        <w:div w:id="265576873">
          <w:marLeft w:val="0"/>
          <w:marRight w:val="0"/>
          <w:marTop w:val="0"/>
          <w:marBottom w:val="0"/>
          <w:divBdr>
            <w:top w:val="none" w:sz="0" w:space="0" w:color="auto"/>
            <w:left w:val="none" w:sz="0" w:space="0" w:color="auto"/>
            <w:bottom w:val="none" w:sz="0" w:space="0" w:color="auto"/>
            <w:right w:val="none" w:sz="0" w:space="0" w:color="auto"/>
          </w:divBdr>
        </w:div>
        <w:div w:id="742340660">
          <w:marLeft w:val="0"/>
          <w:marRight w:val="0"/>
          <w:marTop w:val="0"/>
          <w:marBottom w:val="0"/>
          <w:divBdr>
            <w:top w:val="none" w:sz="0" w:space="0" w:color="auto"/>
            <w:left w:val="none" w:sz="0" w:space="0" w:color="auto"/>
            <w:bottom w:val="none" w:sz="0" w:space="0" w:color="auto"/>
            <w:right w:val="none" w:sz="0" w:space="0" w:color="auto"/>
          </w:divBdr>
        </w:div>
        <w:div w:id="264386229">
          <w:marLeft w:val="0"/>
          <w:marRight w:val="0"/>
          <w:marTop w:val="0"/>
          <w:marBottom w:val="0"/>
          <w:divBdr>
            <w:top w:val="none" w:sz="0" w:space="0" w:color="auto"/>
            <w:left w:val="none" w:sz="0" w:space="0" w:color="auto"/>
            <w:bottom w:val="none" w:sz="0" w:space="0" w:color="auto"/>
            <w:right w:val="none" w:sz="0" w:space="0" w:color="auto"/>
          </w:divBdr>
        </w:div>
        <w:div w:id="1717771704">
          <w:marLeft w:val="0"/>
          <w:marRight w:val="0"/>
          <w:marTop w:val="0"/>
          <w:marBottom w:val="0"/>
          <w:divBdr>
            <w:top w:val="none" w:sz="0" w:space="0" w:color="auto"/>
            <w:left w:val="none" w:sz="0" w:space="0" w:color="auto"/>
            <w:bottom w:val="none" w:sz="0" w:space="0" w:color="auto"/>
            <w:right w:val="none" w:sz="0" w:space="0" w:color="auto"/>
          </w:divBdr>
        </w:div>
        <w:div w:id="1203011248">
          <w:marLeft w:val="0"/>
          <w:marRight w:val="0"/>
          <w:marTop w:val="0"/>
          <w:marBottom w:val="0"/>
          <w:divBdr>
            <w:top w:val="none" w:sz="0" w:space="0" w:color="auto"/>
            <w:left w:val="none" w:sz="0" w:space="0" w:color="auto"/>
            <w:bottom w:val="none" w:sz="0" w:space="0" w:color="auto"/>
            <w:right w:val="none" w:sz="0" w:space="0" w:color="auto"/>
          </w:divBdr>
        </w:div>
        <w:div w:id="1617636769">
          <w:marLeft w:val="0"/>
          <w:marRight w:val="0"/>
          <w:marTop w:val="0"/>
          <w:marBottom w:val="0"/>
          <w:divBdr>
            <w:top w:val="none" w:sz="0" w:space="0" w:color="auto"/>
            <w:left w:val="none" w:sz="0" w:space="0" w:color="auto"/>
            <w:bottom w:val="none" w:sz="0" w:space="0" w:color="auto"/>
            <w:right w:val="none" w:sz="0" w:space="0" w:color="auto"/>
          </w:divBdr>
        </w:div>
      </w:divsChild>
    </w:div>
    <w:div w:id="107430199">
      <w:bodyDiv w:val="1"/>
      <w:marLeft w:val="0"/>
      <w:marRight w:val="0"/>
      <w:marTop w:val="0"/>
      <w:marBottom w:val="0"/>
      <w:divBdr>
        <w:top w:val="none" w:sz="0" w:space="0" w:color="auto"/>
        <w:left w:val="none" w:sz="0" w:space="0" w:color="auto"/>
        <w:bottom w:val="none" w:sz="0" w:space="0" w:color="auto"/>
        <w:right w:val="none" w:sz="0" w:space="0" w:color="auto"/>
      </w:divBdr>
    </w:div>
    <w:div w:id="137693698">
      <w:bodyDiv w:val="1"/>
      <w:marLeft w:val="0"/>
      <w:marRight w:val="0"/>
      <w:marTop w:val="0"/>
      <w:marBottom w:val="0"/>
      <w:divBdr>
        <w:top w:val="none" w:sz="0" w:space="0" w:color="auto"/>
        <w:left w:val="none" w:sz="0" w:space="0" w:color="auto"/>
        <w:bottom w:val="none" w:sz="0" w:space="0" w:color="auto"/>
        <w:right w:val="none" w:sz="0" w:space="0" w:color="auto"/>
      </w:divBdr>
    </w:div>
    <w:div w:id="173501369">
      <w:bodyDiv w:val="1"/>
      <w:marLeft w:val="0"/>
      <w:marRight w:val="0"/>
      <w:marTop w:val="0"/>
      <w:marBottom w:val="0"/>
      <w:divBdr>
        <w:top w:val="none" w:sz="0" w:space="0" w:color="auto"/>
        <w:left w:val="none" w:sz="0" w:space="0" w:color="auto"/>
        <w:bottom w:val="none" w:sz="0" w:space="0" w:color="auto"/>
        <w:right w:val="none" w:sz="0" w:space="0" w:color="auto"/>
      </w:divBdr>
    </w:div>
    <w:div w:id="188108113">
      <w:bodyDiv w:val="1"/>
      <w:marLeft w:val="0"/>
      <w:marRight w:val="0"/>
      <w:marTop w:val="0"/>
      <w:marBottom w:val="0"/>
      <w:divBdr>
        <w:top w:val="none" w:sz="0" w:space="0" w:color="auto"/>
        <w:left w:val="none" w:sz="0" w:space="0" w:color="auto"/>
        <w:bottom w:val="none" w:sz="0" w:space="0" w:color="auto"/>
        <w:right w:val="none" w:sz="0" w:space="0" w:color="auto"/>
      </w:divBdr>
    </w:div>
    <w:div w:id="203756470">
      <w:bodyDiv w:val="1"/>
      <w:marLeft w:val="0"/>
      <w:marRight w:val="0"/>
      <w:marTop w:val="0"/>
      <w:marBottom w:val="0"/>
      <w:divBdr>
        <w:top w:val="none" w:sz="0" w:space="0" w:color="auto"/>
        <w:left w:val="none" w:sz="0" w:space="0" w:color="auto"/>
        <w:bottom w:val="none" w:sz="0" w:space="0" w:color="auto"/>
        <w:right w:val="none" w:sz="0" w:space="0" w:color="auto"/>
      </w:divBdr>
      <w:divsChild>
        <w:div w:id="235164809">
          <w:marLeft w:val="0"/>
          <w:marRight w:val="0"/>
          <w:marTop w:val="0"/>
          <w:marBottom w:val="0"/>
          <w:divBdr>
            <w:top w:val="none" w:sz="0" w:space="0" w:color="auto"/>
            <w:left w:val="none" w:sz="0" w:space="0" w:color="auto"/>
            <w:bottom w:val="none" w:sz="0" w:space="0" w:color="auto"/>
            <w:right w:val="none" w:sz="0" w:space="0" w:color="auto"/>
          </w:divBdr>
        </w:div>
        <w:div w:id="1043093740">
          <w:marLeft w:val="0"/>
          <w:marRight w:val="0"/>
          <w:marTop w:val="0"/>
          <w:marBottom w:val="0"/>
          <w:divBdr>
            <w:top w:val="none" w:sz="0" w:space="0" w:color="auto"/>
            <w:left w:val="none" w:sz="0" w:space="0" w:color="auto"/>
            <w:bottom w:val="none" w:sz="0" w:space="0" w:color="auto"/>
            <w:right w:val="none" w:sz="0" w:space="0" w:color="auto"/>
          </w:divBdr>
        </w:div>
        <w:div w:id="1845977882">
          <w:marLeft w:val="0"/>
          <w:marRight w:val="0"/>
          <w:marTop w:val="0"/>
          <w:marBottom w:val="0"/>
          <w:divBdr>
            <w:top w:val="none" w:sz="0" w:space="0" w:color="auto"/>
            <w:left w:val="none" w:sz="0" w:space="0" w:color="auto"/>
            <w:bottom w:val="none" w:sz="0" w:space="0" w:color="auto"/>
            <w:right w:val="none" w:sz="0" w:space="0" w:color="auto"/>
          </w:divBdr>
        </w:div>
      </w:divsChild>
    </w:div>
    <w:div w:id="256063616">
      <w:bodyDiv w:val="1"/>
      <w:marLeft w:val="0"/>
      <w:marRight w:val="0"/>
      <w:marTop w:val="0"/>
      <w:marBottom w:val="0"/>
      <w:divBdr>
        <w:top w:val="none" w:sz="0" w:space="0" w:color="auto"/>
        <w:left w:val="none" w:sz="0" w:space="0" w:color="auto"/>
        <w:bottom w:val="none" w:sz="0" w:space="0" w:color="auto"/>
        <w:right w:val="none" w:sz="0" w:space="0" w:color="auto"/>
      </w:divBdr>
    </w:div>
    <w:div w:id="310910558">
      <w:bodyDiv w:val="1"/>
      <w:marLeft w:val="0"/>
      <w:marRight w:val="0"/>
      <w:marTop w:val="0"/>
      <w:marBottom w:val="0"/>
      <w:divBdr>
        <w:top w:val="none" w:sz="0" w:space="0" w:color="auto"/>
        <w:left w:val="none" w:sz="0" w:space="0" w:color="auto"/>
        <w:bottom w:val="none" w:sz="0" w:space="0" w:color="auto"/>
        <w:right w:val="none" w:sz="0" w:space="0" w:color="auto"/>
      </w:divBdr>
    </w:div>
    <w:div w:id="318928844">
      <w:bodyDiv w:val="1"/>
      <w:marLeft w:val="0"/>
      <w:marRight w:val="0"/>
      <w:marTop w:val="0"/>
      <w:marBottom w:val="0"/>
      <w:divBdr>
        <w:top w:val="none" w:sz="0" w:space="0" w:color="auto"/>
        <w:left w:val="none" w:sz="0" w:space="0" w:color="auto"/>
        <w:bottom w:val="none" w:sz="0" w:space="0" w:color="auto"/>
        <w:right w:val="none" w:sz="0" w:space="0" w:color="auto"/>
      </w:divBdr>
    </w:div>
    <w:div w:id="339234178">
      <w:bodyDiv w:val="1"/>
      <w:marLeft w:val="0"/>
      <w:marRight w:val="0"/>
      <w:marTop w:val="0"/>
      <w:marBottom w:val="0"/>
      <w:divBdr>
        <w:top w:val="none" w:sz="0" w:space="0" w:color="auto"/>
        <w:left w:val="none" w:sz="0" w:space="0" w:color="auto"/>
        <w:bottom w:val="none" w:sz="0" w:space="0" w:color="auto"/>
        <w:right w:val="none" w:sz="0" w:space="0" w:color="auto"/>
      </w:divBdr>
    </w:div>
    <w:div w:id="379016058">
      <w:bodyDiv w:val="1"/>
      <w:marLeft w:val="0"/>
      <w:marRight w:val="0"/>
      <w:marTop w:val="0"/>
      <w:marBottom w:val="0"/>
      <w:divBdr>
        <w:top w:val="none" w:sz="0" w:space="0" w:color="auto"/>
        <w:left w:val="none" w:sz="0" w:space="0" w:color="auto"/>
        <w:bottom w:val="none" w:sz="0" w:space="0" w:color="auto"/>
        <w:right w:val="none" w:sz="0" w:space="0" w:color="auto"/>
      </w:divBdr>
    </w:div>
    <w:div w:id="400521063">
      <w:bodyDiv w:val="1"/>
      <w:marLeft w:val="0"/>
      <w:marRight w:val="0"/>
      <w:marTop w:val="0"/>
      <w:marBottom w:val="0"/>
      <w:divBdr>
        <w:top w:val="none" w:sz="0" w:space="0" w:color="auto"/>
        <w:left w:val="none" w:sz="0" w:space="0" w:color="auto"/>
        <w:bottom w:val="none" w:sz="0" w:space="0" w:color="auto"/>
        <w:right w:val="none" w:sz="0" w:space="0" w:color="auto"/>
      </w:divBdr>
      <w:divsChild>
        <w:div w:id="477890728">
          <w:marLeft w:val="0"/>
          <w:marRight w:val="0"/>
          <w:marTop w:val="0"/>
          <w:marBottom w:val="0"/>
          <w:divBdr>
            <w:top w:val="none" w:sz="0" w:space="0" w:color="auto"/>
            <w:left w:val="none" w:sz="0" w:space="0" w:color="auto"/>
            <w:bottom w:val="none" w:sz="0" w:space="0" w:color="auto"/>
            <w:right w:val="none" w:sz="0" w:space="0" w:color="auto"/>
          </w:divBdr>
        </w:div>
        <w:div w:id="367803090">
          <w:marLeft w:val="0"/>
          <w:marRight w:val="0"/>
          <w:marTop w:val="0"/>
          <w:marBottom w:val="0"/>
          <w:divBdr>
            <w:top w:val="none" w:sz="0" w:space="0" w:color="auto"/>
            <w:left w:val="none" w:sz="0" w:space="0" w:color="auto"/>
            <w:bottom w:val="none" w:sz="0" w:space="0" w:color="auto"/>
            <w:right w:val="none" w:sz="0" w:space="0" w:color="auto"/>
          </w:divBdr>
        </w:div>
        <w:div w:id="782306429">
          <w:marLeft w:val="0"/>
          <w:marRight w:val="0"/>
          <w:marTop w:val="0"/>
          <w:marBottom w:val="0"/>
          <w:divBdr>
            <w:top w:val="none" w:sz="0" w:space="0" w:color="auto"/>
            <w:left w:val="none" w:sz="0" w:space="0" w:color="auto"/>
            <w:bottom w:val="none" w:sz="0" w:space="0" w:color="auto"/>
            <w:right w:val="none" w:sz="0" w:space="0" w:color="auto"/>
          </w:divBdr>
        </w:div>
        <w:div w:id="755520916">
          <w:marLeft w:val="0"/>
          <w:marRight w:val="0"/>
          <w:marTop w:val="0"/>
          <w:marBottom w:val="0"/>
          <w:divBdr>
            <w:top w:val="none" w:sz="0" w:space="0" w:color="auto"/>
            <w:left w:val="none" w:sz="0" w:space="0" w:color="auto"/>
            <w:bottom w:val="none" w:sz="0" w:space="0" w:color="auto"/>
            <w:right w:val="none" w:sz="0" w:space="0" w:color="auto"/>
          </w:divBdr>
        </w:div>
        <w:div w:id="1502812145">
          <w:marLeft w:val="0"/>
          <w:marRight w:val="0"/>
          <w:marTop w:val="0"/>
          <w:marBottom w:val="0"/>
          <w:divBdr>
            <w:top w:val="none" w:sz="0" w:space="0" w:color="auto"/>
            <w:left w:val="none" w:sz="0" w:space="0" w:color="auto"/>
            <w:bottom w:val="none" w:sz="0" w:space="0" w:color="auto"/>
            <w:right w:val="none" w:sz="0" w:space="0" w:color="auto"/>
          </w:divBdr>
        </w:div>
        <w:div w:id="226459411">
          <w:marLeft w:val="0"/>
          <w:marRight w:val="0"/>
          <w:marTop w:val="0"/>
          <w:marBottom w:val="0"/>
          <w:divBdr>
            <w:top w:val="none" w:sz="0" w:space="0" w:color="auto"/>
            <w:left w:val="none" w:sz="0" w:space="0" w:color="auto"/>
            <w:bottom w:val="none" w:sz="0" w:space="0" w:color="auto"/>
            <w:right w:val="none" w:sz="0" w:space="0" w:color="auto"/>
          </w:divBdr>
        </w:div>
      </w:divsChild>
    </w:div>
    <w:div w:id="406654605">
      <w:bodyDiv w:val="1"/>
      <w:marLeft w:val="0"/>
      <w:marRight w:val="0"/>
      <w:marTop w:val="0"/>
      <w:marBottom w:val="0"/>
      <w:divBdr>
        <w:top w:val="none" w:sz="0" w:space="0" w:color="auto"/>
        <w:left w:val="none" w:sz="0" w:space="0" w:color="auto"/>
        <w:bottom w:val="none" w:sz="0" w:space="0" w:color="auto"/>
        <w:right w:val="none" w:sz="0" w:space="0" w:color="auto"/>
      </w:divBdr>
    </w:div>
    <w:div w:id="421952022">
      <w:bodyDiv w:val="1"/>
      <w:marLeft w:val="0"/>
      <w:marRight w:val="0"/>
      <w:marTop w:val="0"/>
      <w:marBottom w:val="0"/>
      <w:divBdr>
        <w:top w:val="none" w:sz="0" w:space="0" w:color="auto"/>
        <w:left w:val="none" w:sz="0" w:space="0" w:color="auto"/>
        <w:bottom w:val="none" w:sz="0" w:space="0" w:color="auto"/>
        <w:right w:val="none" w:sz="0" w:space="0" w:color="auto"/>
      </w:divBdr>
    </w:div>
    <w:div w:id="448550497">
      <w:bodyDiv w:val="1"/>
      <w:marLeft w:val="0"/>
      <w:marRight w:val="0"/>
      <w:marTop w:val="0"/>
      <w:marBottom w:val="0"/>
      <w:divBdr>
        <w:top w:val="none" w:sz="0" w:space="0" w:color="auto"/>
        <w:left w:val="none" w:sz="0" w:space="0" w:color="auto"/>
        <w:bottom w:val="none" w:sz="0" w:space="0" w:color="auto"/>
        <w:right w:val="none" w:sz="0" w:space="0" w:color="auto"/>
      </w:divBdr>
    </w:div>
    <w:div w:id="459029923">
      <w:bodyDiv w:val="1"/>
      <w:marLeft w:val="0"/>
      <w:marRight w:val="0"/>
      <w:marTop w:val="0"/>
      <w:marBottom w:val="0"/>
      <w:divBdr>
        <w:top w:val="none" w:sz="0" w:space="0" w:color="auto"/>
        <w:left w:val="none" w:sz="0" w:space="0" w:color="auto"/>
        <w:bottom w:val="none" w:sz="0" w:space="0" w:color="auto"/>
        <w:right w:val="none" w:sz="0" w:space="0" w:color="auto"/>
      </w:divBdr>
    </w:div>
    <w:div w:id="461971298">
      <w:bodyDiv w:val="1"/>
      <w:marLeft w:val="0"/>
      <w:marRight w:val="0"/>
      <w:marTop w:val="0"/>
      <w:marBottom w:val="0"/>
      <w:divBdr>
        <w:top w:val="none" w:sz="0" w:space="0" w:color="auto"/>
        <w:left w:val="none" w:sz="0" w:space="0" w:color="auto"/>
        <w:bottom w:val="none" w:sz="0" w:space="0" w:color="auto"/>
        <w:right w:val="none" w:sz="0" w:space="0" w:color="auto"/>
      </w:divBdr>
    </w:div>
    <w:div w:id="512308793">
      <w:bodyDiv w:val="1"/>
      <w:marLeft w:val="0"/>
      <w:marRight w:val="0"/>
      <w:marTop w:val="0"/>
      <w:marBottom w:val="0"/>
      <w:divBdr>
        <w:top w:val="none" w:sz="0" w:space="0" w:color="auto"/>
        <w:left w:val="none" w:sz="0" w:space="0" w:color="auto"/>
        <w:bottom w:val="none" w:sz="0" w:space="0" w:color="auto"/>
        <w:right w:val="none" w:sz="0" w:space="0" w:color="auto"/>
      </w:divBdr>
    </w:div>
    <w:div w:id="546260735">
      <w:bodyDiv w:val="1"/>
      <w:marLeft w:val="0"/>
      <w:marRight w:val="0"/>
      <w:marTop w:val="0"/>
      <w:marBottom w:val="0"/>
      <w:divBdr>
        <w:top w:val="none" w:sz="0" w:space="0" w:color="auto"/>
        <w:left w:val="none" w:sz="0" w:space="0" w:color="auto"/>
        <w:bottom w:val="none" w:sz="0" w:space="0" w:color="auto"/>
        <w:right w:val="none" w:sz="0" w:space="0" w:color="auto"/>
      </w:divBdr>
      <w:divsChild>
        <w:div w:id="762410726">
          <w:marLeft w:val="0"/>
          <w:marRight w:val="0"/>
          <w:marTop w:val="0"/>
          <w:marBottom w:val="0"/>
          <w:divBdr>
            <w:top w:val="none" w:sz="0" w:space="0" w:color="auto"/>
            <w:left w:val="none" w:sz="0" w:space="0" w:color="auto"/>
            <w:bottom w:val="none" w:sz="0" w:space="0" w:color="auto"/>
            <w:right w:val="none" w:sz="0" w:space="0" w:color="auto"/>
          </w:divBdr>
        </w:div>
        <w:div w:id="2066250294">
          <w:marLeft w:val="0"/>
          <w:marRight w:val="0"/>
          <w:marTop w:val="0"/>
          <w:marBottom w:val="0"/>
          <w:divBdr>
            <w:top w:val="none" w:sz="0" w:space="0" w:color="auto"/>
            <w:left w:val="none" w:sz="0" w:space="0" w:color="auto"/>
            <w:bottom w:val="none" w:sz="0" w:space="0" w:color="auto"/>
            <w:right w:val="none" w:sz="0" w:space="0" w:color="auto"/>
          </w:divBdr>
        </w:div>
        <w:div w:id="459421986">
          <w:marLeft w:val="0"/>
          <w:marRight w:val="0"/>
          <w:marTop w:val="0"/>
          <w:marBottom w:val="0"/>
          <w:divBdr>
            <w:top w:val="none" w:sz="0" w:space="0" w:color="auto"/>
            <w:left w:val="none" w:sz="0" w:space="0" w:color="auto"/>
            <w:bottom w:val="none" w:sz="0" w:space="0" w:color="auto"/>
            <w:right w:val="none" w:sz="0" w:space="0" w:color="auto"/>
          </w:divBdr>
        </w:div>
        <w:div w:id="1032070092">
          <w:marLeft w:val="0"/>
          <w:marRight w:val="0"/>
          <w:marTop w:val="0"/>
          <w:marBottom w:val="0"/>
          <w:divBdr>
            <w:top w:val="none" w:sz="0" w:space="0" w:color="auto"/>
            <w:left w:val="none" w:sz="0" w:space="0" w:color="auto"/>
            <w:bottom w:val="none" w:sz="0" w:space="0" w:color="auto"/>
            <w:right w:val="none" w:sz="0" w:space="0" w:color="auto"/>
          </w:divBdr>
        </w:div>
        <w:div w:id="569265775">
          <w:marLeft w:val="0"/>
          <w:marRight w:val="0"/>
          <w:marTop w:val="0"/>
          <w:marBottom w:val="0"/>
          <w:divBdr>
            <w:top w:val="none" w:sz="0" w:space="0" w:color="auto"/>
            <w:left w:val="none" w:sz="0" w:space="0" w:color="auto"/>
            <w:bottom w:val="none" w:sz="0" w:space="0" w:color="auto"/>
            <w:right w:val="none" w:sz="0" w:space="0" w:color="auto"/>
          </w:divBdr>
        </w:div>
      </w:divsChild>
    </w:div>
    <w:div w:id="553009319">
      <w:bodyDiv w:val="1"/>
      <w:marLeft w:val="0"/>
      <w:marRight w:val="0"/>
      <w:marTop w:val="0"/>
      <w:marBottom w:val="0"/>
      <w:divBdr>
        <w:top w:val="none" w:sz="0" w:space="0" w:color="auto"/>
        <w:left w:val="none" w:sz="0" w:space="0" w:color="auto"/>
        <w:bottom w:val="none" w:sz="0" w:space="0" w:color="auto"/>
        <w:right w:val="none" w:sz="0" w:space="0" w:color="auto"/>
      </w:divBdr>
    </w:div>
    <w:div w:id="566762906">
      <w:bodyDiv w:val="1"/>
      <w:marLeft w:val="0"/>
      <w:marRight w:val="0"/>
      <w:marTop w:val="0"/>
      <w:marBottom w:val="0"/>
      <w:divBdr>
        <w:top w:val="none" w:sz="0" w:space="0" w:color="auto"/>
        <w:left w:val="none" w:sz="0" w:space="0" w:color="auto"/>
        <w:bottom w:val="none" w:sz="0" w:space="0" w:color="auto"/>
        <w:right w:val="none" w:sz="0" w:space="0" w:color="auto"/>
      </w:divBdr>
    </w:div>
    <w:div w:id="575163530">
      <w:bodyDiv w:val="1"/>
      <w:marLeft w:val="0"/>
      <w:marRight w:val="0"/>
      <w:marTop w:val="0"/>
      <w:marBottom w:val="0"/>
      <w:divBdr>
        <w:top w:val="none" w:sz="0" w:space="0" w:color="auto"/>
        <w:left w:val="none" w:sz="0" w:space="0" w:color="auto"/>
        <w:bottom w:val="none" w:sz="0" w:space="0" w:color="auto"/>
        <w:right w:val="none" w:sz="0" w:space="0" w:color="auto"/>
      </w:divBdr>
    </w:div>
    <w:div w:id="596786804">
      <w:bodyDiv w:val="1"/>
      <w:marLeft w:val="0"/>
      <w:marRight w:val="0"/>
      <w:marTop w:val="0"/>
      <w:marBottom w:val="0"/>
      <w:divBdr>
        <w:top w:val="none" w:sz="0" w:space="0" w:color="auto"/>
        <w:left w:val="none" w:sz="0" w:space="0" w:color="auto"/>
        <w:bottom w:val="none" w:sz="0" w:space="0" w:color="auto"/>
        <w:right w:val="none" w:sz="0" w:space="0" w:color="auto"/>
      </w:divBdr>
    </w:div>
    <w:div w:id="600915293">
      <w:bodyDiv w:val="1"/>
      <w:marLeft w:val="0"/>
      <w:marRight w:val="0"/>
      <w:marTop w:val="0"/>
      <w:marBottom w:val="0"/>
      <w:divBdr>
        <w:top w:val="none" w:sz="0" w:space="0" w:color="auto"/>
        <w:left w:val="none" w:sz="0" w:space="0" w:color="auto"/>
        <w:bottom w:val="none" w:sz="0" w:space="0" w:color="auto"/>
        <w:right w:val="none" w:sz="0" w:space="0" w:color="auto"/>
      </w:divBdr>
    </w:div>
    <w:div w:id="614142406">
      <w:bodyDiv w:val="1"/>
      <w:marLeft w:val="0"/>
      <w:marRight w:val="0"/>
      <w:marTop w:val="0"/>
      <w:marBottom w:val="0"/>
      <w:divBdr>
        <w:top w:val="none" w:sz="0" w:space="0" w:color="auto"/>
        <w:left w:val="none" w:sz="0" w:space="0" w:color="auto"/>
        <w:bottom w:val="none" w:sz="0" w:space="0" w:color="auto"/>
        <w:right w:val="none" w:sz="0" w:space="0" w:color="auto"/>
      </w:divBdr>
    </w:div>
    <w:div w:id="682635564">
      <w:bodyDiv w:val="1"/>
      <w:marLeft w:val="0"/>
      <w:marRight w:val="0"/>
      <w:marTop w:val="0"/>
      <w:marBottom w:val="0"/>
      <w:divBdr>
        <w:top w:val="none" w:sz="0" w:space="0" w:color="auto"/>
        <w:left w:val="none" w:sz="0" w:space="0" w:color="auto"/>
        <w:bottom w:val="none" w:sz="0" w:space="0" w:color="auto"/>
        <w:right w:val="none" w:sz="0" w:space="0" w:color="auto"/>
      </w:divBdr>
    </w:div>
    <w:div w:id="685180880">
      <w:bodyDiv w:val="1"/>
      <w:marLeft w:val="0"/>
      <w:marRight w:val="0"/>
      <w:marTop w:val="0"/>
      <w:marBottom w:val="0"/>
      <w:divBdr>
        <w:top w:val="none" w:sz="0" w:space="0" w:color="auto"/>
        <w:left w:val="none" w:sz="0" w:space="0" w:color="auto"/>
        <w:bottom w:val="none" w:sz="0" w:space="0" w:color="auto"/>
        <w:right w:val="none" w:sz="0" w:space="0" w:color="auto"/>
      </w:divBdr>
    </w:div>
    <w:div w:id="697319321">
      <w:bodyDiv w:val="1"/>
      <w:marLeft w:val="0"/>
      <w:marRight w:val="0"/>
      <w:marTop w:val="0"/>
      <w:marBottom w:val="0"/>
      <w:divBdr>
        <w:top w:val="none" w:sz="0" w:space="0" w:color="auto"/>
        <w:left w:val="none" w:sz="0" w:space="0" w:color="auto"/>
        <w:bottom w:val="none" w:sz="0" w:space="0" w:color="auto"/>
        <w:right w:val="none" w:sz="0" w:space="0" w:color="auto"/>
      </w:divBdr>
    </w:div>
    <w:div w:id="701202089">
      <w:bodyDiv w:val="1"/>
      <w:marLeft w:val="0"/>
      <w:marRight w:val="0"/>
      <w:marTop w:val="0"/>
      <w:marBottom w:val="0"/>
      <w:divBdr>
        <w:top w:val="none" w:sz="0" w:space="0" w:color="auto"/>
        <w:left w:val="none" w:sz="0" w:space="0" w:color="auto"/>
        <w:bottom w:val="none" w:sz="0" w:space="0" w:color="auto"/>
        <w:right w:val="none" w:sz="0" w:space="0" w:color="auto"/>
      </w:divBdr>
    </w:div>
    <w:div w:id="757753266">
      <w:bodyDiv w:val="1"/>
      <w:marLeft w:val="0"/>
      <w:marRight w:val="0"/>
      <w:marTop w:val="0"/>
      <w:marBottom w:val="0"/>
      <w:divBdr>
        <w:top w:val="none" w:sz="0" w:space="0" w:color="auto"/>
        <w:left w:val="none" w:sz="0" w:space="0" w:color="auto"/>
        <w:bottom w:val="none" w:sz="0" w:space="0" w:color="auto"/>
        <w:right w:val="none" w:sz="0" w:space="0" w:color="auto"/>
      </w:divBdr>
    </w:div>
    <w:div w:id="774789450">
      <w:bodyDiv w:val="1"/>
      <w:marLeft w:val="0"/>
      <w:marRight w:val="0"/>
      <w:marTop w:val="0"/>
      <w:marBottom w:val="0"/>
      <w:divBdr>
        <w:top w:val="none" w:sz="0" w:space="0" w:color="auto"/>
        <w:left w:val="none" w:sz="0" w:space="0" w:color="auto"/>
        <w:bottom w:val="none" w:sz="0" w:space="0" w:color="auto"/>
        <w:right w:val="none" w:sz="0" w:space="0" w:color="auto"/>
      </w:divBdr>
    </w:div>
    <w:div w:id="775439313">
      <w:bodyDiv w:val="1"/>
      <w:marLeft w:val="0"/>
      <w:marRight w:val="0"/>
      <w:marTop w:val="0"/>
      <w:marBottom w:val="0"/>
      <w:divBdr>
        <w:top w:val="none" w:sz="0" w:space="0" w:color="auto"/>
        <w:left w:val="none" w:sz="0" w:space="0" w:color="auto"/>
        <w:bottom w:val="none" w:sz="0" w:space="0" w:color="auto"/>
        <w:right w:val="none" w:sz="0" w:space="0" w:color="auto"/>
      </w:divBdr>
    </w:div>
    <w:div w:id="778836574">
      <w:bodyDiv w:val="1"/>
      <w:marLeft w:val="0"/>
      <w:marRight w:val="0"/>
      <w:marTop w:val="0"/>
      <w:marBottom w:val="0"/>
      <w:divBdr>
        <w:top w:val="none" w:sz="0" w:space="0" w:color="auto"/>
        <w:left w:val="none" w:sz="0" w:space="0" w:color="auto"/>
        <w:bottom w:val="none" w:sz="0" w:space="0" w:color="auto"/>
        <w:right w:val="none" w:sz="0" w:space="0" w:color="auto"/>
      </w:divBdr>
    </w:div>
    <w:div w:id="789937656">
      <w:bodyDiv w:val="1"/>
      <w:marLeft w:val="0"/>
      <w:marRight w:val="0"/>
      <w:marTop w:val="0"/>
      <w:marBottom w:val="0"/>
      <w:divBdr>
        <w:top w:val="none" w:sz="0" w:space="0" w:color="auto"/>
        <w:left w:val="none" w:sz="0" w:space="0" w:color="auto"/>
        <w:bottom w:val="none" w:sz="0" w:space="0" w:color="auto"/>
        <w:right w:val="none" w:sz="0" w:space="0" w:color="auto"/>
      </w:divBdr>
    </w:div>
    <w:div w:id="807629685">
      <w:bodyDiv w:val="1"/>
      <w:marLeft w:val="0"/>
      <w:marRight w:val="0"/>
      <w:marTop w:val="0"/>
      <w:marBottom w:val="0"/>
      <w:divBdr>
        <w:top w:val="none" w:sz="0" w:space="0" w:color="auto"/>
        <w:left w:val="none" w:sz="0" w:space="0" w:color="auto"/>
        <w:bottom w:val="none" w:sz="0" w:space="0" w:color="auto"/>
        <w:right w:val="none" w:sz="0" w:space="0" w:color="auto"/>
      </w:divBdr>
    </w:div>
    <w:div w:id="826172615">
      <w:bodyDiv w:val="1"/>
      <w:marLeft w:val="0"/>
      <w:marRight w:val="0"/>
      <w:marTop w:val="0"/>
      <w:marBottom w:val="0"/>
      <w:divBdr>
        <w:top w:val="none" w:sz="0" w:space="0" w:color="auto"/>
        <w:left w:val="none" w:sz="0" w:space="0" w:color="auto"/>
        <w:bottom w:val="none" w:sz="0" w:space="0" w:color="auto"/>
        <w:right w:val="none" w:sz="0" w:space="0" w:color="auto"/>
      </w:divBdr>
    </w:div>
    <w:div w:id="842160069">
      <w:bodyDiv w:val="1"/>
      <w:marLeft w:val="0"/>
      <w:marRight w:val="0"/>
      <w:marTop w:val="0"/>
      <w:marBottom w:val="0"/>
      <w:divBdr>
        <w:top w:val="none" w:sz="0" w:space="0" w:color="auto"/>
        <w:left w:val="none" w:sz="0" w:space="0" w:color="auto"/>
        <w:bottom w:val="none" w:sz="0" w:space="0" w:color="auto"/>
        <w:right w:val="none" w:sz="0" w:space="0" w:color="auto"/>
      </w:divBdr>
    </w:div>
    <w:div w:id="879559310">
      <w:bodyDiv w:val="1"/>
      <w:marLeft w:val="0"/>
      <w:marRight w:val="0"/>
      <w:marTop w:val="0"/>
      <w:marBottom w:val="0"/>
      <w:divBdr>
        <w:top w:val="none" w:sz="0" w:space="0" w:color="auto"/>
        <w:left w:val="none" w:sz="0" w:space="0" w:color="auto"/>
        <w:bottom w:val="none" w:sz="0" w:space="0" w:color="auto"/>
        <w:right w:val="none" w:sz="0" w:space="0" w:color="auto"/>
      </w:divBdr>
    </w:div>
    <w:div w:id="977222975">
      <w:bodyDiv w:val="1"/>
      <w:marLeft w:val="0"/>
      <w:marRight w:val="0"/>
      <w:marTop w:val="0"/>
      <w:marBottom w:val="0"/>
      <w:divBdr>
        <w:top w:val="none" w:sz="0" w:space="0" w:color="auto"/>
        <w:left w:val="none" w:sz="0" w:space="0" w:color="auto"/>
        <w:bottom w:val="none" w:sz="0" w:space="0" w:color="auto"/>
        <w:right w:val="none" w:sz="0" w:space="0" w:color="auto"/>
      </w:divBdr>
    </w:div>
    <w:div w:id="986669713">
      <w:bodyDiv w:val="1"/>
      <w:marLeft w:val="0"/>
      <w:marRight w:val="0"/>
      <w:marTop w:val="0"/>
      <w:marBottom w:val="0"/>
      <w:divBdr>
        <w:top w:val="none" w:sz="0" w:space="0" w:color="auto"/>
        <w:left w:val="none" w:sz="0" w:space="0" w:color="auto"/>
        <w:bottom w:val="none" w:sz="0" w:space="0" w:color="auto"/>
        <w:right w:val="none" w:sz="0" w:space="0" w:color="auto"/>
      </w:divBdr>
      <w:divsChild>
        <w:div w:id="1646739816">
          <w:marLeft w:val="0"/>
          <w:marRight w:val="0"/>
          <w:marTop w:val="0"/>
          <w:marBottom w:val="0"/>
          <w:divBdr>
            <w:top w:val="none" w:sz="0" w:space="0" w:color="auto"/>
            <w:left w:val="none" w:sz="0" w:space="0" w:color="auto"/>
            <w:bottom w:val="none" w:sz="0" w:space="0" w:color="auto"/>
            <w:right w:val="none" w:sz="0" w:space="0" w:color="auto"/>
          </w:divBdr>
        </w:div>
        <w:div w:id="1066880300">
          <w:marLeft w:val="0"/>
          <w:marRight w:val="0"/>
          <w:marTop w:val="0"/>
          <w:marBottom w:val="0"/>
          <w:divBdr>
            <w:top w:val="none" w:sz="0" w:space="0" w:color="auto"/>
            <w:left w:val="none" w:sz="0" w:space="0" w:color="auto"/>
            <w:bottom w:val="none" w:sz="0" w:space="0" w:color="auto"/>
            <w:right w:val="none" w:sz="0" w:space="0" w:color="auto"/>
          </w:divBdr>
        </w:div>
      </w:divsChild>
    </w:div>
    <w:div w:id="1002704507">
      <w:bodyDiv w:val="1"/>
      <w:marLeft w:val="0"/>
      <w:marRight w:val="0"/>
      <w:marTop w:val="0"/>
      <w:marBottom w:val="0"/>
      <w:divBdr>
        <w:top w:val="none" w:sz="0" w:space="0" w:color="auto"/>
        <w:left w:val="none" w:sz="0" w:space="0" w:color="auto"/>
        <w:bottom w:val="none" w:sz="0" w:space="0" w:color="auto"/>
        <w:right w:val="none" w:sz="0" w:space="0" w:color="auto"/>
      </w:divBdr>
    </w:div>
    <w:div w:id="1055279933">
      <w:bodyDiv w:val="1"/>
      <w:marLeft w:val="0"/>
      <w:marRight w:val="0"/>
      <w:marTop w:val="0"/>
      <w:marBottom w:val="0"/>
      <w:divBdr>
        <w:top w:val="none" w:sz="0" w:space="0" w:color="auto"/>
        <w:left w:val="none" w:sz="0" w:space="0" w:color="auto"/>
        <w:bottom w:val="none" w:sz="0" w:space="0" w:color="auto"/>
        <w:right w:val="none" w:sz="0" w:space="0" w:color="auto"/>
      </w:divBdr>
    </w:div>
    <w:div w:id="1078938084">
      <w:bodyDiv w:val="1"/>
      <w:marLeft w:val="0"/>
      <w:marRight w:val="0"/>
      <w:marTop w:val="0"/>
      <w:marBottom w:val="0"/>
      <w:divBdr>
        <w:top w:val="none" w:sz="0" w:space="0" w:color="auto"/>
        <w:left w:val="none" w:sz="0" w:space="0" w:color="auto"/>
        <w:bottom w:val="none" w:sz="0" w:space="0" w:color="auto"/>
        <w:right w:val="none" w:sz="0" w:space="0" w:color="auto"/>
      </w:divBdr>
    </w:div>
    <w:div w:id="1096554093">
      <w:bodyDiv w:val="1"/>
      <w:marLeft w:val="0"/>
      <w:marRight w:val="0"/>
      <w:marTop w:val="0"/>
      <w:marBottom w:val="0"/>
      <w:divBdr>
        <w:top w:val="none" w:sz="0" w:space="0" w:color="auto"/>
        <w:left w:val="none" w:sz="0" w:space="0" w:color="auto"/>
        <w:bottom w:val="none" w:sz="0" w:space="0" w:color="auto"/>
        <w:right w:val="none" w:sz="0" w:space="0" w:color="auto"/>
      </w:divBdr>
    </w:div>
    <w:div w:id="1100108053">
      <w:bodyDiv w:val="1"/>
      <w:marLeft w:val="0"/>
      <w:marRight w:val="0"/>
      <w:marTop w:val="0"/>
      <w:marBottom w:val="0"/>
      <w:divBdr>
        <w:top w:val="none" w:sz="0" w:space="0" w:color="auto"/>
        <w:left w:val="none" w:sz="0" w:space="0" w:color="auto"/>
        <w:bottom w:val="none" w:sz="0" w:space="0" w:color="auto"/>
        <w:right w:val="none" w:sz="0" w:space="0" w:color="auto"/>
      </w:divBdr>
    </w:div>
    <w:div w:id="1116800434">
      <w:bodyDiv w:val="1"/>
      <w:marLeft w:val="0"/>
      <w:marRight w:val="0"/>
      <w:marTop w:val="0"/>
      <w:marBottom w:val="0"/>
      <w:divBdr>
        <w:top w:val="none" w:sz="0" w:space="0" w:color="auto"/>
        <w:left w:val="none" w:sz="0" w:space="0" w:color="auto"/>
        <w:bottom w:val="none" w:sz="0" w:space="0" w:color="auto"/>
        <w:right w:val="none" w:sz="0" w:space="0" w:color="auto"/>
      </w:divBdr>
      <w:divsChild>
        <w:div w:id="526332451">
          <w:marLeft w:val="0"/>
          <w:marRight w:val="0"/>
          <w:marTop w:val="0"/>
          <w:marBottom w:val="0"/>
          <w:divBdr>
            <w:top w:val="none" w:sz="0" w:space="0" w:color="auto"/>
            <w:left w:val="none" w:sz="0" w:space="0" w:color="auto"/>
            <w:bottom w:val="none" w:sz="0" w:space="0" w:color="auto"/>
            <w:right w:val="none" w:sz="0" w:space="0" w:color="auto"/>
          </w:divBdr>
          <w:divsChild>
            <w:div w:id="1281298254">
              <w:marLeft w:val="0"/>
              <w:marRight w:val="0"/>
              <w:marTop w:val="0"/>
              <w:marBottom w:val="0"/>
              <w:divBdr>
                <w:top w:val="none" w:sz="0" w:space="0" w:color="auto"/>
                <w:left w:val="none" w:sz="0" w:space="0" w:color="auto"/>
                <w:bottom w:val="none" w:sz="0" w:space="0" w:color="auto"/>
                <w:right w:val="none" w:sz="0" w:space="0" w:color="auto"/>
              </w:divBdr>
              <w:divsChild>
                <w:div w:id="1880625322">
                  <w:marLeft w:val="0"/>
                  <w:marRight w:val="0"/>
                  <w:marTop w:val="0"/>
                  <w:marBottom w:val="0"/>
                  <w:divBdr>
                    <w:top w:val="none" w:sz="0" w:space="0" w:color="auto"/>
                    <w:left w:val="none" w:sz="0" w:space="0" w:color="auto"/>
                    <w:bottom w:val="none" w:sz="0" w:space="0" w:color="auto"/>
                    <w:right w:val="none" w:sz="0" w:space="0" w:color="auto"/>
                  </w:divBdr>
                  <w:divsChild>
                    <w:div w:id="142646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418749">
          <w:marLeft w:val="0"/>
          <w:marRight w:val="0"/>
          <w:marTop w:val="0"/>
          <w:marBottom w:val="0"/>
          <w:divBdr>
            <w:top w:val="none" w:sz="0" w:space="0" w:color="auto"/>
            <w:left w:val="none" w:sz="0" w:space="0" w:color="auto"/>
            <w:bottom w:val="none" w:sz="0" w:space="0" w:color="auto"/>
            <w:right w:val="none" w:sz="0" w:space="0" w:color="auto"/>
          </w:divBdr>
          <w:divsChild>
            <w:div w:id="1465349337">
              <w:marLeft w:val="0"/>
              <w:marRight w:val="0"/>
              <w:marTop w:val="0"/>
              <w:marBottom w:val="0"/>
              <w:divBdr>
                <w:top w:val="none" w:sz="0" w:space="0" w:color="auto"/>
                <w:left w:val="none" w:sz="0" w:space="0" w:color="auto"/>
                <w:bottom w:val="none" w:sz="0" w:space="0" w:color="auto"/>
                <w:right w:val="none" w:sz="0" w:space="0" w:color="auto"/>
              </w:divBdr>
              <w:divsChild>
                <w:div w:id="2039624066">
                  <w:marLeft w:val="0"/>
                  <w:marRight w:val="0"/>
                  <w:marTop w:val="0"/>
                  <w:marBottom w:val="0"/>
                  <w:divBdr>
                    <w:top w:val="none" w:sz="0" w:space="0" w:color="auto"/>
                    <w:left w:val="none" w:sz="0" w:space="0" w:color="auto"/>
                    <w:bottom w:val="none" w:sz="0" w:space="0" w:color="auto"/>
                    <w:right w:val="none" w:sz="0" w:space="0" w:color="auto"/>
                  </w:divBdr>
                  <w:divsChild>
                    <w:div w:id="20208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2789545">
      <w:bodyDiv w:val="1"/>
      <w:marLeft w:val="0"/>
      <w:marRight w:val="0"/>
      <w:marTop w:val="0"/>
      <w:marBottom w:val="0"/>
      <w:divBdr>
        <w:top w:val="none" w:sz="0" w:space="0" w:color="auto"/>
        <w:left w:val="none" w:sz="0" w:space="0" w:color="auto"/>
        <w:bottom w:val="none" w:sz="0" w:space="0" w:color="auto"/>
        <w:right w:val="none" w:sz="0" w:space="0" w:color="auto"/>
      </w:divBdr>
    </w:div>
    <w:div w:id="1243179030">
      <w:bodyDiv w:val="1"/>
      <w:marLeft w:val="0"/>
      <w:marRight w:val="0"/>
      <w:marTop w:val="0"/>
      <w:marBottom w:val="0"/>
      <w:divBdr>
        <w:top w:val="none" w:sz="0" w:space="0" w:color="auto"/>
        <w:left w:val="none" w:sz="0" w:space="0" w:color="auto"/>
        <w:bottom w:val="none" w:sz="0" w:space="0" w:color="auto"/>
        <w:right w:val="none" w:sz="0" w:space="0" w:color="auto"/>
      </w:divBdr>
    </w:div>
    <w:div w:id="1262375092">
      <w:bodyDiv w:val="1"/>
      <w:marLeft w:val="0"/>
      <w:marRight w:val="0"/>
      <w:marTop w:val="0"/>
      <w:marBottom w:val="0"/>
      <w:divBdr>
        <w:top w:val="none" w:sz="0" w:space="0" w:color="auto"/>
        <w:left w:val="none" w:sz="0" w:space="0" w:color="auto"/>
        <w:bottom w:val="none" w:sz="0" w:space="0" w:color="auto"/>
        <w:right w:val="none" w:sz="0" w:space="0" w:color="auto"/>
      </w:divBdr>
    </w:div>
    <w:div w:id="1319646769">
      <w:bodyDiv w:val="1"/>
      <w:marLeft w:val="0"/>
      <w:marRight w:val="0"/>
      <w:marTop w:val="0"/>
      <w:marBottom w:val="0"/>
      <w:divBdr>
        <w:top w:val="none" w:sz="0" w:space="0" w:color="auto"/>
        <w:left w:val="none" w:sz="0" w:space="0" w:color="auto"/>
        <w:bottom w:val="none" w:sz="0" w:space="0" w:color="auto"/>
        <w:right w:val="none" w:sz="0" w:space="0" w:color="auto"/>
      </w:divBdr>
    </w:div>
    <w:div w:id="1326980377">
      <w:bodyDiv w:val="1"/>
      <w:marLeft w:val="0"/>
      <w:marRight w:val="0"/>
      <w:marTop w:val="0"/>
      <w:marBottom w:val="0"/>
      <w:divBdr>
        <w:top w:val="none" w:sz="0" w:space="0" w:color="auto"/>
        <w:left w:val="none" w:sz="0" w:space="0" w:color="auto"/>
        <w:bottom w:val="none" w:sz="0" w:space="0" w:color="auto"/>
        <w:right w:val="none" w:sz="0" w:space="0" w:color="auto"/>
      </w:divBdr>
    </w:div>
    <w:div w:id="1353798759">
      <w:bodyDiv w:val="1"/>
      <w:marLeft w:val="0"/>
      <w:marRight w:val="0"/>
      <w:marTop w:val="0"/>
      <w:marBottom w:val="0"/>
      <w:divBdr>
        <w:top w:val="none" w:sz="0" w:space="0" w:color="auto"/>
        <w:left w:val="none" w:sz="0" w:space="0" w:color="auto"/>
        <w:bottom w:val="none" w:sz="0" w:space="0" w:color="auto"/>
        <w:right w:val="none" w:sz="0" w:space="0" w:color="auto"/>
      </w:divBdr>
      <w:divsChild>
        <w:div w:id="778141641">
          <w:marLeft w:val="0"/>
          <w:marRight w:val="0"/>
          <w:marTop w:val="0"/>
          <w:marBottom w:val="0"/>
          <w:divBdr>
            <w:top w:val="none" w:sz="0" w:space="0" w:color="auto"/>
            <w:left w:val="none" w:sz="0" w:space="0" w:color="auto"/>
            <w:bottom w:val="none" w:sz="0" w:space="0" w:color="auto"/>
            <w:right w:val="none" w:sz="0" w:space="0" w:color="auto"/>
          </w:divBdr>
        </w:div>
        <w:div w:id="2067947499">
          <w:marLeft w:val="0"/>
          <w:marRight w:val="0"/>
          <w:marTop w:val="0"/>
          <w:marBottom w:val="0"/>
          <w:divBdr>
            <w:top w:val="none" w:sz="0" w:space="0" w:color="auto"/>
            <w:left w:val="none" w:sz="0" w:space="0" w:color="auto"/>
            <w:bottom w:val="none" w:sz="0" w:space="0" w:color="auto"/>
            <w:right w:val="none" w:sz="0" w:space="0" w:color="auto"/>
          </w:divBdr>
        </w:div>
      </w:divsChild>
    </w:div>
    <w:div w:id="1430199298">
      <w:bodyDiv w:val="1"/>
      <w:marLeft w:val="0"/>
      <w:marRight w:val="0"/>
      <w:marTop w:val="0"/>
      <w:marBottom w:val="0"/>
      <w:divBdr>
        <w:top w:val="none" w:sz="0" w:space="0" w:color="auto"/>
        <w:left w:val="none" w:sz="0" w:space="0" w:color="auto"/>
        <w:bottom w:val="none" w:sz="0" w:space="0" w:color="auto"/>
        <w:right w:val="none" w:sz="0" w:space="0" w:color="auto"/>
      </w:divBdr>
    </w:div>
    <w:div w:id="1454598361">
      <w:bodyDiv w:val="1"/>
      <w:marLeft w:val="0"/>
      <w:marRight w:val="0"/>
      <w:marTop w:val="0"/>
      <w:marBottom w:val="0"/>
      <w:divBdr>
        <w:top w:val="none" w:sz="0" w:space="0" w:color="auto"/>
        <w:left w:val="none" w:sz="0" w:space="0" w:color="auto"/>
        <w:bottom w:val="none" w:sz="0" w:space="0" w:color="auto"/>
        <w:right w:val="none" w:sz="0" w:space="0" w:color="auto"/>
      </w:divBdr>
    </w:div>
    <w:div w:id="1484615791">
      <w:bodyDiv w:val="1"/>
      <w:marLeft w:val="0"/>
      <w:marRight w:val="0"/>
      <w:marTop w:val="0"/>
      <w:marBottom w:val="0"/>
      <w:divBdr>
        <w:top w:val="none" w:sz="0" w:space="0" w:color="auto"/>
        <w:left w:val="none" w:sz="0" w:space="0" w:color="auto"/>
        <w:bottom w:val="none" w:sz="0" w:space="0" w:color="auto"/>
        <w:right w:val="none" w:sz="0" w:space="0" w:color="auto"/>
      </w:divBdr>
    </w:div>
    <w:div w:id="1589197869">
      <w:bodyDiv w:val="1"/>
      <w:marLeft w:val="0"/>
      <w:marRight w:val="0"/>
      <w:marTop w:val="0"/>
      <w:marBottom w:val="0"/>
      <w:divBdr>
        <w:top w:val="none" w:sz="0" w:space="0" w:color="auto"/>
        <w:left w:val="none" w:sz="0" w:space="0" w:color="auto"/>
        <w:bottom w:val="none" w:sz="0" w:space="0" w:color="auto"/>
        <w:right w:val="none" w:sz="0" w:space="0" w:color="auto"/>
      </w:divBdr>
    </w:div>
    <w:div w:id="1655573276">
      <w:bodyDiv w:val="1"/>
      <w:marLeft w:val="0"/>
      <w:marRight w:val="0"/>
      <w:marTop w:val="0"/>
      <w:marBottom w:val="0"/>
      <w:divBdr>
        <w:top w:val="none" w:sz="0" w:space="0" w:color="auto"/>
        <w:left w:val="none" w:sz="0" w:space="0" w:color="auto"/>
        <w:bottom w:val="none" w:sz="0" w:space="0" w:color="auto"/>
        <w:right w:val="none" w:sz="0" w:space="0" w:color="auto"/>
      </w:divBdr>
      <w:divsChild>
        <w:div w:id="827936695">
          <w:marLeft w:val="0"/>
          <w:marRight w:val="0"/>
          <w:marTop w:val="0"/>
          <w:marBottom w:val="0"/>
          <w:divBdr>
            <w:top w:val="none" w:sz="0" w:space="0" w:color="auto"/>
            <w:left w:val="none" w:sz="0" w:space="0" w:color="auto"/>
            <w:bottom w:val="none" w:sz="0" w:space="0" w:color="auto"/>
            <w:right w:val="none" w:sz="0" w:space="0" w:color="auto"/>
          </w:divBdr>
        </w:div>
        <w:div w:id="1053888976">
          <w:marLeft w:val="0"/>
          <w:marRight w:val="0"/>
          <w:marTop w:val="0"/>
          <w:marBottom w:val="0"/>
          <w:divBdr>
            <w:top w:val="none" w:sz="0" w:space="0" w:color="auto"/>
            <w:left w:val="none" w:sz="0" w:space="0" w:color="auto"/>
            <w:bottom w:val="none" w:sz="0" w:space="0" w:color="auto"/>
            <w:right w:val="none" w:sz="0" w:space="0" w:color="auto"/>
          </w:divBdr>
        </w:div>
      </w:divsChild>
    </w:div>
    <w:div w:id="1661693524">
      <w:bodyDiv w:val="1"/>
      <w:marLeft w:val="0"/>
      <w:marRight w:val="0"/>
      <w:marTop w:val="0"/>
      <w:marBottom w:val="0"/>
      <w:divBdr>
        <w:top w:val="none" w:sz="0" w:space="0" w:color="auto"/>
        <w:left w:val="none" w:sz="0" w:space="0" w:color="auto"/>
        <w:bottom w:val="none" w:sz="0" w:space="0" w:color="auto"/>
        <w:right w:val="none" w:sz="0" w:space="0" w:color="auto"/>
      </w:divBdr>
    </w:div>
    <w:div w:id="1672173788">
      <w:bodyDiv w:val="1"/>
      <w:marLeft w:val="0"/>
      <w:marRight w:val="0"/>
      <w:marTop w:val="0"/>
      <w:marBottom w:val="0"/>
      <w:divBdr>
        <w:top w:val="none" w:sz="0" w:space="0" w:color="auto"/>
        <w:left w:val="none" w:sz="0" w:space="0" w:color="auto"/>
        <w:bottom w:val="none" w:sz="0" w:space="0" w:color="auto"/>
        <w:right w:val="none" w:sz="0" w:space="0" w:color="auto"/>
      </w:divBdr>
    </w:div>
    <w:div w:id="1673406742">
      <w:bodyDiv w:val="1"/>
      <w:marLeft w:val="0"/>
      <w:marRight w:val="0"/>
      <w:marTop w:val="0"/>
      <w:marBottom w:val="0"/>
      <w:divBdr>
        <w:top w:val="none" w:sz="0" w:space="0" w:color="auto"/>
        <w:left w:val="none" w:sz="0" w:space="0" w:color="auto"/>
        <w:bottom w:val="none" w:sz="0" w:space="0" w:color="auto"/>
        <w:right w:val="none" w:sz="0" w:space="0" w:color="auto"/>
      </w:divBdr>
      <w:divsChild>
        <w:div w:id="162401061">
          <w:marLeft w:val="0"/>
          <w:marRight w:val="0"/>
          <w:marTop w:val="0"/>
          <w:marBottom w:val="0"/>
          <w:divBdr>
            <w:top w:val="none" w:sz="0" w:space="0" w:color="auto"/>
            <w:left w:val="none" w:sz="0" w:space="0" w:color="auto"/>
            <w:bottom w:val="none" w:sz="0" w:space="0" w:color="auto"/>
            <w:right w:val="none" w:sz="0" w:space="0" w:color="auto"/>
          </w:divBdr>
        </w:div>
        <w:div w:id="259605229">
          <w:marLeft w:val="0"/>
          <w:marRight w:val="0"/>
          <w:marTop w:val="0"/>
          <w:marBottom w:val="0"/>
          <w:divBdr>
            <w:top w:val="none" w:sz="0" w:space="0" w:color="auto"/>
            <w:left w:val="none" w:sz="0" w:space="0" w:color="auto"/>
            <w:bottom w:val="none" w:sz="0" w:space="0" w:color="auto"/>
            <w:right w:val="none" w:sz="0" w:space="0" w:color="auto"/>
          </w:divBdr>
        </w:div>
        <w:div w:id="388000573">
          <w:marLeft w:val="0"/>
          <w:marRight w:val="0"/>
          <w:marTop w:val="0"/>
          <w:marBottom w:val="0"/>
          <w:divBdr>
            <w:top w:val="none" w:sz="0" w:space="0" w:color="auto"/>
            <w:left w:val="none" w:sz="0" w:space="0" w:color="auto"/>
            <w:bottom w:val="none" w:sz="0" w:space="0" w:color="auto"/>
            <w:right w:val="none" w:sz="0" w:space="0" w:color="auto"/>
          </w:divBdr>
        </w:div>
        <w:div w:id="705370791">
          <w:marLeft w:val="0"/>
          <w:marRight w:val="0"/>
          <w:marTop w:val="0"/>
          <w:marBottom w:val="0"/>
          <w:divBdr>
            <w:top w:val="none" w:sz="0" w:space="0" w:color="auto"/>
            <w:left w:val="none" w:sz="0" w:space="0" w:color="auto"/>
            <w:bottom w:val="none" w:sz="0" w:space="0" w:color="auto"/>
            <w:right w:val="none" w:sz="0" w:space="0" w:color="auto"/>
          </w:divBdr>
        </w:div>
        <w:div w:id="1286472867">
          <w:marLeft w:val="0"/>
          <w:marRight w:val="0"/>
          <w:marTop w:val="0"/>
          <w:marBottom w:val="0"/>
          <w:divBdr>
            <w:top w:val="none" w:sz="0" w:space="0" w:color="auto"/>
            <w:left w:val="none" w:sz="0" w:space="0" w:color="auto"/>
            <w:bottom w:val="none" w:sz="0" w:space="0" w:color="auto"/>
            <w:right w:val="none" w:sz="0" w:space="0" w:color="auto"/>
          </w:divBdr>
        </w:div>
        <w:div w:id="1465003200">
          <w:marLeft w:val="0"/>
          <w:marRight w:val="0"/>
          <w:marTop w:val="0"/>
          <w:marBottom w:val="0"/>
          <w:divBdr>
            <w:top w:val="none" w:sz="0" w:space="0" w:color="auto"/>
            <w:left w:val="none" w:sz="0" w:space="0" w:color="auto"/>
            <w:bottom w:val="none" w:sz="0" w:space="0" w:color="auto"/>
            <w:right w:val="none" w:sz="0" w:space="0" w:color="auto"/>
          </w:divBdr>
        </w:div>
      </w:divsChild>
    </w:div>
    <w:div w:id="1678069594">
      <w:bodyDiv w:val="1"/>
      <w:marLeft w:val="0"/>
      <w:marRight w:val="0"/>
      <w:marTop w:val="0"/>
      <w:marBottom w:val="0"/>
      <w:divBdr>
        <w:top w:val="none" w:sz="0" w:space="0" w:color="auto"/>
        <w:left w:val="none" w:sz="0" w:space="0" w:color="auto"/>
        <w:bottom w:val="none" w:sz="0" w:space="0" w:color="auto"/>
        <w:right w:val="none" w:sz="0" w:space="0" w:color="auto"/>
      </w:divBdr>
      <w:divsChild>
        <w:div w:id="1735005126">
          <w:marLeft w:val="0"/>
          <w:marRight w:val="0"/>
          <w:marTop w:val="0"/>
          <w:marBottom w:val="0"/>
          <w:divBdr>
            <w:top w:val="none" w:sz="0" w:space="0" w:color="auto"/>
            <w:left w:val="none" w:sz="0" w:space="0" w:color="auto"/>
            <w:bottom w:val="none" w:sz="0" w:space="0" w:color="auto"/>
            <w:right w:val="none" w:sz="0" w:space="0" w:color="auto"/>
          </w:divBdr>
          <w:divsChild>
            <w:div w:id="382800266">
              <w:marLeft w:val="0"/>
              <w:marRight w:val="0"/>
              <w:marTop w:val="0"/>
              <w:marBottom w:val="0"/>
              <w:divBdr>
                <w:top w:val="none" w:sz="0" w:space="0" w:color="auto"/>
                <w:left w:val="none" w:sz="0" w:space="0" w:color="auto"/>
                <w:bottom w:val="none" w:sz="0" w:space="0" w:color="auto"/>
                <w:right w:val="none" w:sz="0" w:space="0" w:color="auto"/>
              </w:divBdr>
              <w:divsChild>
                <w:div w:id="55863938">
                  <w:marLeft w:val="0"/>
                  <w:marRight w:val="0"/>
                  <w:marTop w:val="0"/>
                  <w:marBottom w:val="0"/>
                  <w:divBdr>
                    <w:top w:val="none" w:sz="0" w:space="0" w:color="auto"/>
                    <w:left w:val="none" w:sz="0" w:space="0" w:color="auto"/>
                    <w:bottom w:val="none" w:sz="0" w:space="0" w:color="auto"/>
                    <w:right w:val="none" w:sz="0" w:space="0" w:color="auto"/>
                  </w:divBdr>
                  <w:divsChild>
                    <w:div w:id="57809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407730">
          <w:marLeft w:val="0"/>
          <w:marRight w:val="0"/>
          <w:marTop w:val="0"/>
          <w:marBottom w:val="0"/>
          <w:divBdr>
            <w:top w:val="none" w:sz="0" w:space="0" w:color="auto"/>
            <w:left w:val="none" w:sz="0" w:space="0" w:color="auto"/>
            <w:bottom w:val="none" w:sz="0" w:space="0" w:color="auto"/>
            <w:right w:val="none" w:sz="0" w:space="0" w:color="auto"/>
          </w:divBdr>
          <w:divsChild>
            <w:div w:id="888951995">
              <w:marLeft w:val="0"/>
              <w:marRight w:val="0"/>
              <w:marTop w:val="0"/>
              <w:marBottom w:val="0"/>
              <w:divBdr>
                <w:top w:val="none" w:sz="0" w:space="0" w:color="auto"/>
                <w:left w:val="none" w:sz="0" w:space="0" w:color="auto"/>
                <w:bottom w:val="none" w:sz="0" w:space="0" w:color="auto"/>
                <w:right w:val="none" w:sz="0" w:space="0" w:color="auto"/>
              </w:divBdr>
              <w:divsChild>
                <w:div w:id="1146508445">
                  <w:marLeft w:val="0"/>
                  <w:marRight w:val="0"/>
                  <w:marTop w:val="0"/>
                  <w:marBottom w:val="0"/>
                  <w:divBdr>
                    <w:top w:val="none" w:sz="0" w:space="0" w:color="auto"/>
                    <w:left w:val="none" w:sz="0" w:space="0" w:color="auto"/>
                    <w:bottom w:val="none" w:sz="0" w:space="0" w:color="auto"/>
                    <w:right w:val="none" w:sz="0" w:space="0" w:color="auto"/>
                  </w:divBdr>
                  <w:divsChild>
                    <w:div w:id="55058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111906">
      <w:bodyDiv w:val="1"/>
      <w:marLeft w:val="0"/>
      <w:marRight w:val="0"/>
      <w:marTop w:val="0"/>
      <w:marBottom w:val="0"/>
      <w:divBdr>
        <w:top w:val="none" w:sz="0" w:space="0" w:color="auto"/>
        <w:left w:val="none" w:sz="0" w:space="0" w:color="auto"/>
        <w:bottom w:val="none" w:sz="0" w:space="0" w:color="auto"/>
        <w:right w:val="none" w:sz="0" w:space="0" w:color="auto"/>
      </w:divBdr>
    </w:div>
    <w:div w:id="1680304388">
      <w:bodyDiv w:val="1"/>
      <w:marLeft w:val="0"/>
      <w:marRight w:val="0"/>
      <w:marTop w:val="0"/>
      <w:marBottom w:val="0"/>
      <w:divBdr>
        <w:top w:val="none" w:sz="0" w:space="0" w:color="auto"/>
        <w:left w:val="none" w:sz="0" w:space="0" w:color="auto"/>
        <w:bottom w:val="none" w:sz="0" w:space="0" w:color="auto"/>
        <w:right w:val="none" w:sz="0" w:space="0" w:color="auto"/>
      </w:divBdr>
      <w:divsChild>
        <w:div w:id="402141940">
          <w:marLeft w:val="0"/>
          <w:marRight w:val="0"/>
          <w:marTop w:val="0"/>
          <w:marBottom w:val="0"/>
          <w:divBdr>
            <w:top w:val="none" w:sz="0" w:space="0" w:color="auto"/>
            <w:left w:val="none" w:sz="0" w:space="0" w:color="auto"/>
            <w:bottom w:val="none" w:sz="0" w:space="0" w:color="auto"/>
            <w:right w:val="none" w:sz="0" w:space="0" w:color="auto"/>
          </w:divBdr>
        </w:div>
        <w:div w:id="1624077455">
          <w:marLeft w:val="0"/>
          <w:marRight w:val="0"/>
          <w:marTop w:val="0"/>
          <w:marBottom w:val="0"/>
          <w:divBdr>
            <w:top w:val="none" w:sz="0" w:space="0" w:color="auto"/>
            <w:left w:val="none" w:sz="0" w:space="0" w:color="auto"/>
            <w:bottom w:val="none" w:sz="0" w:space="0" w:color="auto"/>
            <w:right w:val="none" w:sz="0" w:space="0" w:color="auto"/>
          </w:divBdr>
        </w:div>
        <w:div w:id="1289820241">
          <w:marLeft w:val="0"/>
          <w:marRight w:val="0"/>
          <w:marTop w:val="0"/>
          <w:marBottom w:val="0"/>
          <w:divBdr>
            <w:top w:val="none" w:sz="0" w:space="0" w:color="auto"/>
            <w:left w:val="none" w:sz="0" w:space="0" w:color="auto"/>
            <w:bottom w:val="none" w:sz="0" w:space="0" w:color="auto"/>
            <w:right w:val="none" w:sz="0" w:space="0" w:color="auto"/>
          </w:divBdr>
        </w:div>
      </w:divsChild>
    </w:div>
    <w:div w:id="1717855990">
      <w:bodyDiv w:val="1"/>
      <w:marLeft w:val="0"/>
      <w:marRight w:val="0"/>
      <w:marTop w:val="0"/>
      <w:marBottom w:val="0"/>
      <w:divBdr>
        <w:top w:val="none" w:sz="0" w:space="0" w:color="auto"/>
        <w:left w:val="none" w:sz="0" w:space="0" w:color="auto"/>
        <w:bottom w:val="none" w:sz="0" w:space="0" w:color="auto"/>
        <w:right w:val="none" w:sz="0" w:space="0" w:color="auto"/>
      </w:divBdr>
    </w:div>
    <w:div w:id="1721899853">
      <w:bodyDiv w:val="1"/>
      <w:marLeft w:val="0"/>
      <w:marRight w:val="0"/>
      <w:marTop w:val="0"/>
      <w:marBottom w:val="0"/>
      <w:divBdr>
        <w:top w:val="none" w:sz="0" w:space="0" w:color="auto"/>
        <w:left w:val="none" w:sz="0" w:space="0" w:color="auto"/>
        <w:bottom w:val="none" w:sz="0" w:space="0" w:color="auto"/>
        <w:right w:val="none" w:sz="0" w:space="0" w:color="auto"/>
      </w:divBdr>
    </w:div>
    <w:div w:id="1822651972">
      <w:bodyDiv w:val="1"/>
      <w:marLeft w:val="0"/>
      <w:marRight w:val="0"/>
      <w:marTop w:val="0"/>
      <w:marBottom w:val="0"/>
      <w:divBdr>
        <w:top w:val="none" w:sz="0" w:space="0" w:color="auto"/>
        <w:left w:val="none" w:sz="0" w:space="0" w:color="auto"/>
        <w:bottom w:val="none" w:sz="0" w:space="0" w:color="auto"/>
        <w:right w:val="none" w:sz="0" w:space="0" w:color="auto"/>
      </w:divBdr>
    </w:div>
    <w:div w:id="1831142419">
      <w:bodyDiv w:val="1"/>
      <w:marLeft w:val="0"/>
      <w:marRight w:val="0"/>
      <w:marTop w:val="0"/>
      <w:marBottom w:val="0"/>
      <w:divBdr>
        <w:top w:val="none" w:sz="0" w:space="0" w:color="auto"/>
        <w:left w:val="none" w:sz="0" w:space="0" w:color="auto"/>
        <w:bottom w:val="none" w:sz="0" w:space="0" w:color="auto"/>
        <w:right w:val="none" w:sz="0" w:space="0" w:color="auto"/>
      </w:divBdr>
    </w:div>
    <w:div w:id="1839077096">
      <w:bodyDiv w:val="1"/>
      <w:marLeft w:val="0"/>
      <w:marRight w:val="0"/>
      <w:marTop w:val="0"/>
      <w:marBottom w:val="0"/>
      <w:divBdr>
        <w:top w:val="none" w:sz="0" w:space="0" w:color="auto"/>
        <w:left w:val="none" w:sz="0" w:space="0" w:color="auto"/>
        <w:bottom w:val="none" w:sz="0" w:space="0" w:color="auto"/>
        <w:right w:val="none" w:sz="0" w:space="0" w:color="auto"/>
      </w:divBdr>
    </w:div>
    <w:div w:id="1891719945">
      <w:bodyDiv w:val="1"/>
      <w:marLeft w:val="0"/>
      <w:marRight w:val="0"/>
      <w:marTop w:val="0"/>
      <w:marBottom w:val="0"/>
      <w:divBdr>
        <w:top w:val="none" w:sz="0" w:space="0" w:color="auto"/>
        <w:left w:val="none" w:sz="0" w:space="0" w:color="auto"/>
        <w:bottom w:val="none" w:sz="0" w:space="0" w:color="auto"/>
        <w:right w:val="none" w:sz="0" w:space="0" w:color="auto"/>
      </w:divBdr>
      <w:divsChild>
        <w:div w:id="637033930">
          <w:marLeft w:val="0"/>
          <w:marRight w:val="0"/>
          <w:marTop w:val="0"/>
          <w:marBottom w:val="0"/>
          <w:divBdr>
            <w:top w:val="none" w:sz="0" w:space="0" w:color="auto"/>
            <w:left w:val="none" w:sz="0" w:space="0" w:color="auto"/>
            <w:bottom w:val="none" w:sz="0" w:space="0" w:color="auto"/>
            <w:right w:val="none" w:sz="0" w:space="0" w:color="auto"/>
          </w:divBdr>
        </w:div>
        <w:div w:id="953484918">
          <w:marLeft w:val="0"/>
          <w:marRight w:val="0"/>
          <w:marTop w:val="0"/>
          <w:marBottom w:val="0"/>
          <w:divBdr>
            <w:top w:val="none" w:sz="0" w:space="0" w:color="auto"/>
            <w:left w:val="none" w:sz="0" w:space="0" w:color="auto"/>
            <w:bottom w:val="none" w:sz="0" w:space="0" w:color="auto"/>
            <w:right w:val="none" w:sz="0" w:space="0" w:color="auto"/>
          </w:divBdr>
        </w:div>
      </w:divsChild>
    </w:div>
    <w:div w:id="1934363083">
      <w:bodyDiv w:val="1"/>
      <w:marLeft w:val="0"/>
      <w:marRight w:val="0"/>
      <w:marTop w:val="0"/>
      <w:marBottom w:val="0"/>
      <w:divBdr>
        <w:top w:val="none" w:sz="0" w:space="0" w:color="auto"/>
        <w:left w:val="none" w:sz="0" w:space="0" w:color="auto"/>
        <w:bottom w:val="none" w:sz="0" w:space="0" w:color="auto"/>
        <w:right w:val="none" w:sz="0" w:space="0" w:color="auto"/>
      </w:divBdr>
    </w:div>
    <w:div w:id="1997563391">
      <w:bodyDiv w:val="1"/>
      <w:marLeft w:val="0"/>
      <w:marRight w:val="0"/>
      <w:marTop w:val="0"/>
      <w:marBottom w:val="0"/>
      <w:divBdr>
        <w:top w:val="none" w:sz="0" w:space="0" w:color="auto"/>
        <w:left w:val="none" w:sz="0" w:space="0" w:color="auto"/>
        <w:bottom w:val="none" w:sz="0" w:space="0" w:color="auto"/>
        <w:right w:val="none" w:sz="0" w:space="0" w:color="auto"/>
      </w:divBdr>
    </w:div>
    <w:div w:id="2000578464">
      <w:bodyDiv w:val="1"/>
      <w:marLeft w:val="0"/>
      <w:marRight w:val="0"/>
      <w:marTop w:val="0"/>
      <w:marBottom w:val="0"/>
      <w:divBdr>
        <w:top w:val="none" w:sz="0" w:space="0" w:color="auto"/>
        <w:left w:val="none" w:sz="0" w:space="0" w:color="auto"/>
        <w:bottom w:val="none" w:sz="0" w:space="0" w:color="auto"/>
        <w:right w:val="none" w:sz="0" w:space="0" w:color="auto"/>
      </w:divBdr>
    </w:div>
    <w:div w:id="2006518172">
      <w:bodyDiv w:val="1"/>
      <w:marLeft w:val="0"/>
      <w:marRight w:val="0"/>
      <w:marTop w:val="0"/>
      <w:marBottom w:val="0"/>
      <w:divBdr>
        <w:top w:val="none" w:sz="0" w:space="0" w:color="auto"/>
        <w:left w:val="none" w:sz="0" w:space="0" w:color="auto"/>
        <w:bottom w:val="none" w:sz="0" w:space="0" w:color="auto"/>
        <w:right w:val="none" w:sz="0" w:space="0" w:color="auto"/>
      </w:divBdr>
    </w:div>
    <w:div w:id="2007050847">
      <w:bodyDiv w:val="1"/>
      <w:marLeft w:val="0"/>
      <w:marRight w:val="0"/>
      <w:marTop w:val="0"/>
      <w:marBottom w:val="0"/>
      <w:divBdr>
        <w:top w:val="none" w:sz="0" w:space="0" w:color="auto"/>
        <w:left w:val="none" w:sz="0" w:space="0" w:color="auto"/>
        <w:bottom w:val="none" w:sz="0" w:space="0" w:color="auto"/>
        <w:right w:val="none" w:sz="0" w:space="0" w:color="auto"/>
      </w:divBdr>
      <w:divsChild>
        <w:div w:id="2116168987">
          <w:marLeft w:val="0"/>
          <w:marRight w:val="0"/>
          <w:marTop w:val="0"/>
          <w:marBottom w:val="0"/>
          <w:divBdr>
            <w:top w:val="none" w:sz="0" w:space="0" w:color="auto"/>
            <w:left w:val="none" w:sz="0" w:space="0" w:color="auto"/>
            <w:bottom w:val="none" w:sz="0" w:space="0" w:color="auto"/>
            <w:right w:val="none" w:sz="0" w:space="0" w:color="auto"/>
          </w:divBdr>
        </w:div>
        <w:div w:id="125241738">
          <w:marLeft w:val="0"/>
          <w:marRight w:val="0"/>
          <w:marTop w:val="0"/>
          <w:marBottom w:val="0"/>
          <w:divBdr>
            <w:top w:val="none" w:sz="0" w:space="0" w:color="auto"/>
            <w:left w:val="none" w:sz="0" w:space="0" w:color="auto"/>
            <w:bottom w:val="none" w:sz="0" w:space="0" w:color="auto"/>
            <w:right w:val="none" w:sz="0" w:space="0" w:color="auto"/>
          </w:divBdr>
        </w:div>
        <w:div w:id="211237748">
          <w:marLeft w:val="0"/>
          <w:marRight w:val="0"/>
          <w:marTop w:val="0"/>
          <w:marBottom w:val="0"/>
          <w:divBdr>
            <w:top w:val="none" w:sz="0" w:space="0" w:color="auto"/>
            <w:left w:val="none" w:sz="0" w:space="0" w:color="auto"/>
            <w:bottom w:val="none" w:sz="0" w:space="0" w:color="auto"/>
            <w:right w:val="none" w:sz="0" w:space="0" w:color="auto"/>
          </w:divBdr>
        </w:div>
        <w:div w:id="1958173834">
          <w:marLeft w:val="0"/>
          <w:marRight w:val="0"/>
          <w:marTop w:val="0"/>
          <w:marBottom w:val="0"/>
          <w:divBdr>
            <w:top w:val="none" w:sz="0" w:space="0" w:color="auto"/>
            <w:left w:val="none" w:sz="0" w:space="0" w:color="auto"/>
            <w:bottom w:val="none" w:sz="0" w:space="0" w:color="auto"/>
            <w:right w:val="none" w:sz="0" w:space="0" w:color="auto"/>
          </w:divBdr>
        </w:div>
        <w:div w:id="1150516980">
          <w:marLeft w:val="0"/>
          <w:marRight w:val="0"/>
          <w:marTop w:val="0"/>
          <w:marBottom w:val="0"/>
          <w:divBdr>
            <w:top w:val="none" w:sz="0" w:space="0" w:color="auto"/>
            <w:left w:val="none" w:sz="0" w:space="0" w:color="auto"/>
            <w:bottom w:val="none" w:sz="0" w:space="0" w:color="auto"/>
            <w:right w:val="none" w:sz="0" w:space="0" w:color="auto"/>
          </w:divBdr>
        </w:div>
      </w:divsChild>
    </w:div>
    <w:div w:id="2023048910">
      <w:bodyDiv w:val="1"/>
      <w:marLeft w:val="0"/>
      <w:marRight w:val="0"/>
      <w:marTop w:val="0"/>
      <w:marBottom w:val="0"/>
      <w:divBdr>
        <w:top w:val="none" w:sz="0" w:space="0" w:color="auto"/>
        <w:left w:val="none" w:sz="0" w:space="0" w:color="auto"/>
        <w:bottom w:val="none" w:sz="0" w:space="0" w:color="auto"/>
        <w:right w:val="none" w:sz="0" w:space="0" w:color="auto"/>
      </w:divBdr>
      <w:divsChild>
        <w:div w:id="1257057900">
          <w:marLeft w:val="0"/>
          <w:marRight w:val="0"/>
          <w:marTop w:val="0"/>
          <w:marBottom w:val="0"/>
          <w:divBdr>
            <w:top w:val="none" w:sz="0" w:space="0" w:color="auto"/>
            <w:left w:val="none" w:sz="0" w:space="0" w:color="auto"/>
            <w:bottom w:val="none" w:sz="0" w:space="0" w:color="auto"/>
            <w:right w:val="none" w:sz="0" w:space="0" w:color="auto"/>
          </w:divBdr>
        </w:div>
        <w:div w:id="2076007490">
          <w:marLeft w:val="0"/>
          <w:marRight w:val="0"/>
          <w:marTop w:val="0"/>
          <w:marBottom w:val="0"/>
          <w:divBdr>
            <w:top w:val="none" w:sz="0" w:space="0" w:color="auto"/>
            <w:left w:val="none" w:sz="0" w:space="0" w:color="auto"/>
            <w:bottom w:val="none" w:sz="0" w:space="0" w:color="auto"/>
            <w:right w:val="none" w:sz="0" w:space="0" w:color="auto"/>
          </w:divBdr>
        </w:div>
        <w:div w:id="2089032884">
          <w:marLeft w:val="0"/>
          <w:marRight w:val="0"/>
          <w:marTop w:val="0"/>
          <w:marBottom w:val="0"/>
          <w:divBdr>
            <w:top w:val="none" w:sz="0" w:space="0" w:color="auto"/>
            <w:left w:val="none" w:sz="0" w:space="0" w:color="auto"/>
            <w:bottom w:val="none" w:sz="0" w:space="0" w:color="auto"/>
            <w:right w:val="none" w:sz="0" w:space="0" w:color="auto"/>
          </w:divBdr>
        </w:div>
        <w:div w:id="854342848">
          <w:marLeft w:val="0"/>
          <w:marRight w:val="0"/>
          <w:marTop w:val="0"/>
          <w:marBottom w:val="0"/>
          <w:divBdr>
            <w:top w:val="none" w:sz="0" w:space="0" w:color="auto"/>
            <w:left w:val="none" w:sz="0" w:space="0" w:color="auto"/>
            <w:bottom w:val="none" w:sz="0" w:space="0" w:color="auto"/>
            <w:right w:val="none" w:sz="0" w:space="0" w:color="auto"/>
          </w:divBdr>
        </w:div>
        <w:div w:id="1964922783">
          <w:marLeft w:val="0"/>
          <w:marRight w:val="0"/>
          <w:marTop w:val="0"/>
          <w:marBottom w:val="0"/>
          <w:divBdr>
            <w:top w:val="none" w:sz="0" w:space="0" w:color="auto"/>
            <w:left w:val="none" w:sz="0" w:space="0" w:color="auto"/>
            <w:bottom w:val="none" w:sz="0" w:space="0" w:color="auto"/>
            <w:right w:val="none" w:sz="0" w:space="0" w:color="auto"/>
          </w:divBdr>
        </w:div>
        <w:div w:id="460733394">
          <w:marLeft w:val="0"/>
          <w:marRight w:val="0"/>
          <w:marTop w:val="0"/>
          <w:marBottom w:val="0"/>
          <w:divBdr>
            <w:top w:val="none" w:sz="0" w:space="0" w:color="auto"/>
            <w:left w:val="none" w:sz="0" w:space="0" w:color="auto"/>
            <w:bottom w:val="none" w:sz="0" w:space="0" w:color="auto"/>
            <w:right w:val="none" w:sz="0" w:space="0" w:color="auto"/>
          </w:divBdr>
        </w:div>
      </w:divsChild>
    </w:div>
    <w:div w:id="2025202597">
      <w:bodyDiv w:val="1"/>
      <w:marLeft w:val="0"/>
      <w:marRight w:val="0"/>
      <w:marTop w:val="0"/>
      <w:marBottom w:val="0"/>
      <w:divBdr>
        <w:top w:val="none" w:sz="0" w:space="0" w:color="auto"/>
        <w:left w:val="none" w:sz="0" w:space="0" w:color="auto"/>
        <w:bottom w:val="none" w:sz="0" w:space="0" w:color="auto"/>
        <w:right w:val="none" w:sz="0" w:space="0" w:color="auto"/>
      </w:divBdr>
    </w:div>
    <w:div w:id="2051764371">
      <w:bodyDiv w:val="1"/>
      <w:marLeft w:val="0"/>
      <w:marRight w:val="0"/>
      <w:marTop w:val="0"/>
      <w:marBottom w:val="0"/>
      <w:divBdr>
        <w:top w:val="none" w:sz="0" w:space="0" w:color="auto"/>
        <w:left w:val="none" w:sz="0" w:space="0" w:color="auto"/>
        <w:bottom w:val="none" w:sz="0" w:space="0" w:color="auto"/>
        <w:right w:val="none" w:sz="0" w:space="0" w:color="auto"/>
      </w:divBdr>
    </w:div>
    <w:div w:id="2053068705">
      <w:bodyDiv w:val="1"/>
      <w:marLeft w:val="0"/>
      <w:marRight w:val="0"/>
      <w:marTop w:val="0"/>
      <w:marBottom w:val="0"/>
      <w:divBdr>
        <w:top w:val="none" w:sz="0" w:space="0" w:color="auto"/>
        <w:left w:val="none" w:sz="0" w:space="0" w:color="auto"/>
        <w:bottom w:val="none" w:sz="0" w:space="0" w:color="auto"/>
        <w:right w:val="none" w:sz="0" w:space="0" w:color="auto"/>
      </w:divBdr>
    </w:div>
    <w:div w:id="2055150974">
      <w:bodyDiv w:val="1"/>
      <w:marLeft w:val="0"/>
      <w:marRight w:val="0"/>
      <w:marTop w:val="0"/>
      <w:marBottom w:val="0"/>
      <w:divBdr>
        <w:top w:val="none" w:sz="0" w:space="0" w:color="auto"/>
        <w:left w:val="none" w:sz="0" w:space="0" w:color="auto"/>
        <w:bottom w:val="none" w:sz="0" w:space="0" w:color="auto"/>
        <w:right w:val="none" w:sz="0" w:space="0" w:color="auto"/>
      </w:divBdr>
    </w:div>
    <w:div w:id="2098017599">
      <w:bodyDiv w:val="1"/>
      <w:marLeft w:val="0"/>
      <w:marRight w:val="0"/>
      <w:marTop w:val="0"/>
      <w:marBottom w:val="0"/>
      <w:divBdr>
        <w:top w:val="none" w:sz="0" w:space="0" w:color="auto"/>
        <w:left w:val="none" w:sz="0" w:space="0" w:color="auto"/>
        <w:bottom w:val="none" w:sz="0" w:space="0" w:color="auto"/>
        <w:right w:val="none" w:sz="0" w:space="0" w:color="auto"/>
      </w:divBdr>
    </w:div>
    <w:div w:id="2112116065">
      <w:bodyDiv w:val="1"/>
      <w:marLeft w:val="0"/>
      <w:marRight w:val="0"/>
      <w:marTop w:val="0"/>
      <w:marBottom w:val="0"/>
      <w:divBdr>
        <w:top w:val="none" w:sz="0" w:space="0" w:color="auto"/>
        <w:left w:val="none" w:sz="0" w:space="0" w:color="auto"/>
        <w:bottom w:val="none" w:sz="0" w:space="0" w:color="auto"/>
        <w:right w:val="none" w:sz="0" w:space="0" w:color="auto"/>
      </w:divBdr>
    </w:div>
    <w:div w:id="2135171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22</Pages>
  <Words>9336</Words>
  <Characters>53221</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Emanuel</dc:creator>
  <cp:keywords/>
  <dc:description/>
  <cp:lastModifiedBy>Laura Emanuel</cp:lastModifiedBy>
  <cp:revision>309</cp:revision>
  <dcterms:created xsi:type="dcterms:W3CDTF">2025-01-19T11:19:00Z</dcterms:created>
  <dcterms:modified xsi:type="dcterms:W3CDTF">2025-01-20T19:37:00Z</dcterms:modified>
</cp:coreProperties>
</file>