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spacing w:after="0" w:before="120" w:lineRule="auto"/>
        <w:rPr>
          <w:rFonts w:ascii="Arial" w:cs="Arial" w:eastAsia="Arial" w:hAnsi="Arial"/>
          <w:b w:val="0"/>
          <w:bCs w:val="0"/>
        </w:rPr>
      </w:pPr>
      <w:r w:rsidDel="00000000" w:rsidR="00000000" w:rsidRPr="00000000">
        <w:rPr>
          <w:rFonts w:ascii="Arial" w:cs="Arial" w:eastAsia="Arial" w:hAnsi="Arial"/>
          <w:b w:val="0"/>
          <w:bCs w:val="0"/>
        </w:rPr>
        <w:drawing>
          <wp:inline distB="0" distT="0" distL="0" distR="0">
            <wp:extent cx="2225233" cy="92972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25233" cy="92972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spacing w:after="0" w:before="0" w:lineRule="auto"/>
        <w:rPr>
          <w:rFonts w:ascii="Arial" w:cs="Arial" w:eastAsia="Arial" w:hAnsi="Arial"/>
        </w:rPr>
      </w:pPr>
      <w:r w:rsidDel="00000000" w:rsidR="00000000" w:rsidRPr="00000000">
        <w:rPr>
          <w:rtl w:val="0"/>
        </w:rPr>
      </w:r>
    </w:p>
    <w:p w:rsidR="00000000" w:rsidDel="00000000" w:rsidP="00000000" w:rsidRDefault="00000000" w:rsidRPr="00000000" w14:paraId="00000003">
      <w:pPr>
        <w:pStyle w:val="Title"/>
        <w:spacing w:after="240" w:before="220" w:lineRule="auto"/>
        <w:rPr>
          <w:rFonts w:ascii="Arial" w:cs="Arial" w:eastAsia="Arial" w:hAnsi="Arial"/>
          <w:sz w:val="48"/>
          <w:szCs w:val="48"/>
        </w:rPr>
      </w:pPr>
      <w:r w:rsidDel="00000000" w:rsidR="00000000" w:rsidRPr="00000000">
        <w:rPr>
          <w:rFonts w:ascii="Arial" w:cs="Arial" w:eastAsia="Arial" w:hAnsi="Arial"/>
          <w:sz w:val="48"/>
          <w:szCs w:val="48"/>
          <w:rtl w:val="0"/>
        </w:rPr>
        <w:t xml:space="preserve">Module Name: Academic Skills in the Digital Era</w:t>
      </w:r>
    </w:p>
    <w:p w:rsidR="00000000" w:rsidDel="00000000" w:rsidP="00000000" w:rsidRDefault="00000000" w:rsidRPr="00000000" w14:paraId="00000004">
      <w:pPr>
        <w:pStyle w:val="Title"/>
        <w:spacing w:after="240" w:before="220" w:lineRule="auto"/>
        <w:rPr>
          <w:rFonts w:ascii="Arial" w:cs="Arial" w:eastAsia="Arial" w:hAnsi="Arial"/>
          <w:sz w:val="48"/>
          <w:szCs w:val="48"/>
        </w:rPr>
      </w:pPr>
      <w:bookmarkStart w:colFirst="0" w:colLast="0" w:name="_ijsv0qvv0lt8" w:id="0"/>
      <w:bookmarkEnd w:id="0"/>
      <w:r w:rsidDel="00000000" w:rsidR="00000000" w:rsidRPr="00000000">
        <w:rPr>
          <w:rFonts w:ascii="Arial" w:cs="Arial" w:eastAsia="Arial" w:hAnsi="Arial"/>
          <w:sz w:val="48"/>
          <w:szCs w:val="48"/>
          <w:rtl w:val="0"/>
        </w:rPr>
        <w:t xml:space="preserve">Module Code:  BMSW4013</w:t>
      </w:r>
    </w:p>
    <w:p w:rsidR="00000000" w:rsidDel="00000000" w:rsidP="00000000" w:rsidRDefault="00000000" w:rsidRPr="00000000" w14:paraId="00000005">
      <w:pPr>
        <w:spacing w:after="120" w:before="12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 leader: Scott James</w:t>
      </w:r>
    </w:p>
    <w:p w:rsidR="00000000" w:rsidDel="00000000" w:rsidP="00000000" w:rsidRDefault="00000000" w:rsidRPr="00000000" w14:paraId="00000006">
      <w:pPr>
        <w:spacing w:after="120" w:before="12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Name: Eniko Ujobolo </w:t>
      </w:r>
    </w:p>
    <w:p w:rsidR="00000000" w:rsidDel="00000000" w:rsidP="00000000" w:rsidRDefault="00000000" w:rsidRPr="00000000" w14:paraId="00000007">
      <w:pPr>
        <w:spacing w:after="120" w:before="12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ID: 2512542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pStyle w:val="Title"/>
        <w:spacing w:after="120" w:before="0" w:lineRule="auto"/>
        <w:rPr>
          <w:rFonts w:ascii="Arial" w:cs="Arial" w:eastAsia="Arial" w:hAnsi="Arial"/>
        </w:rPr>
      </w:pPr>
      <w:r w:rsidDel="00000000" w:rsidR="00000000" w:rsidRPr="00000000">
        <w:rPr>
          <w:rtl w:val="0"/>
        </w:rPr>
      </w:r>
    </w:p>
    <w:p w:rsidR="00000000" w:rsidDel="00000000" w:rsidP="00000000" w:rsidRDefault="00000000" w:rsidRPr="00000000" w14:paraId="0000000A">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0B">
      <w:pPr>
        <w:spacing w:after="120" w:before="12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“What are the challenges and opportunities for students in the digital era, and how can they adapt to succeed?”</w:t>
      </w:r>
    </w:p>
    <w:p w:rsidR="00000000" w:rsidDel="00000000" w:rsidP="00000000" w:rsidRDefault="00000000" w:rsidRPr="00000000" w14:paraId="0000000C">
      <w:pPr>
        <w:spacing w:after="120" w:before="12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D">
      <w:pPr>
        <w:spacing w:after="120" w:before="12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E">
      <w:pPr>
        <w:spacing w:after="120" w:before="12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F">
      <w:pPr>
        <w:spacing w:after="120" w:before="120"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10">
      <w:pPr>
        <w:spacing w:after="120" w:before="12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1">
      <w:pPr>
        <w:spacing w:after="120" w:before="12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2">
      <w:pPr>
        <w:spacing w:after="120" w:before="12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013">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14">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16">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after="120" w:before="120" w:lineRule="auto"/>
        <w:rPr>
          <w:rFonts w:ascii="Arial" w:cs="Arial" w:eastAsia="Arial" w:hAnsi="Arial"/>
        </w:rPr>
      </w:pPr>
      <w:r w:rsidDel="00000000" w:rsidR="00000000" w:rsidRPr="00000000">
        <w:rPr>
          <w:rFonts w:ascii="Arial" w:cs="Arial" w:eastAsia="Arial" w:hAnsi="Arial"/>
          <w:rtl w:val="0"/>
        </w:rPr>
        <w:t xml:space="preserve">AI STATEMENT:</w:t>
      </w:r>
    </w:p>
    <w:p w:rsidR="00000000" w:rsidDel="00000000" w:rsidP="00000000" w:rsidRDefault="00000000" w:rsidRPr="00000000" w14:paraId="00000018">
      <w:pPr>
        <w:spacing w:after="240" w:before="240" w:lineRule="auto"/>
        <w:rPr>
          <w:rFonts w:ascii="Arial" w:cs="Arial" w:eastAsia="Arial" w:hAnsi="Arial"/>
        </w:rPr>
      </w:pPr>
      <w:r w:rsidDel="00000000" w:rsidR="00000000" w:rsidRPr="00000000">
        <w:rPr>
          <w:rFonts w:ascii="Arial" w:cs="Arial" w:eastAsia="Arial" w:hAnsi="Arial"/>
          <w:rtl w:val="0"/>
        </w:rPr>
        <w:t xml:space="preserve">I confirm that I have not presented any AI generated materials as my own work.</w:t>
      </w:r>
    </w:p>
    <w:p w:rsidR="00000000" w:rsidDel="00000000" w:rsidP="00000000" w:rsidRDefault="00000000" w:rsidRPr="00000000" w14:paraId="00000019">
      <w:pPr>
        <w:spacing w:after="240" w:before="240" w:lineRule="auto"/>
        <w:rPr>
          <w:rFonts w:ascii="Arial" w:cs="Arial" w:eastAsia="Arial" w:hAnsi="Arial"/>
        </w:rPr>
      </w:pPr>
      <w:r w:rsidDel="00000000" w:rsidR="00000000" w:rsidRPr="00000000">
        <w:rPr>
          <w:rFonts w:ascii="Arial" w:cs="Arial" w:eastAsia="Arial" w:hAnsi="Arial"/>
          <w:rtl w:val="0"/>
        </w:rPr>
        <w:t xml:space="preserve">I confirm that I have copies of my drafts, notes, and other resources I used, which I may be asked to provide in evidence.</w:t>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120" w:line="276" w:lineRule="auto"/>
        <w:ind w:left="0" w:right="0" w:firstLine="0"/>
        <w:jc w:val="left"/>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568120565"/>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xt32zngw3jdp">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Component 1: Research and Planning</w:t>
            </w:r>
          </w:hyperlink>
          <w:hyperlink w:anchor="_xt32zngw3jdp">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3xtn6sdrslz">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Source Exploration</w:t>
            </w:r>
          </w:hyperlink>
          <w:hyperlink w:anchor="_63xtn6sdrslz">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q9ozmuih6k4">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Key Challenges</w:t>
            </w:r>
          </w:hyperlink>
          <w:hyperlink w:anchor="_xq9ozmuih6k4">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h69nqnmvbmx">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Key Opportunities</w:t>
            </w:r>
          </w:hyperlink>
          <w:hyperlink w:anchor="_eh69nqnmvbmx">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vgu2dv6o1gc">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Planning the Report</w:t>
            </w:r>
          </w:hyperlink>
          <w:hyperlink w:anchor="_fvgu2dv6o1gc">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6fhfwcjun8">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Component 2: Answering the Question</w:t>
            </w:r>
          </w:hyperlink>
          <w:hyperlink w:anchor="_o6fhfwcjun8">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xoyyj1e7dsj">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Introduction</w:t>
            </w:r>
          </w:hyperlink>
          <w:hyperlink w:anchor="_1xoyyj1e7dsj">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nspsw45239b">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Challenges students face while in cyber learning</w:t>
            </w:r>
          </w:hyperlink>
          <w:hyperlink w:anchor="_knspsw45239b">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95zrvcjg45q">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Opportunities provided by the digital tools</w:t>
            </w:r>
          </w:hyperlink>
          <w:hyperlink w:anchor="_j95zrvcjg45q">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slnp52s3szf">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Strategies for adaptation</w:t>
            </w:r>
          </w:hyperlink>
          <w:hyperlink w:anchor="_2slnp52s3szf">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517klkd7kjf">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Conclusion</w:t>
            </w:r>
          </w:hyperlink>
          <w:hyperlink w:anchor="_v517klkd7kjf">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wo5xe2a9whn">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Component 3: Reflective Presentation</w:t>
            </w:r>
          </w:hyperlink>
          <w:hyperlink w:anchor="_iwo5xe2a9whn">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my7t8u9ubsr">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Slide 1: Overview</w:t>
            </w:r>
          </w:hyperlink>
          <w:hyperlink w:anchor="_gmy7t8u9ubsr">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93hm52nvhbv">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Slide 2: Reflection on My Research Process</w:t>
            </w:r>
          </w:hyperlink>
          <w:hyperlink w:anchor="_v93hm52nvhbv">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2xz2jlh25f">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Slide 3: Key Learning and Future Improvements</w:t>
            </w:r>
          </w:hyperlink>
          <w:hyperlink w:anchor="_n2xz2jlh25f">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s3vcyjqre57">
            <w:r w:rsidDel="00000000" w:rsidR="00000000" w:rsidRPr="00000000">
              <w:rPr>
                <w:rFonts w:ascii="Arial" w:cs="Arial" w:eastAsia="Arial" w:hAnsi="Arial"/>
                <w:b w:val="0"/>
                <w:bCs w:val="0"/>
                <w:i w:val="0"/>
                <w:iCs w:val="0"/>
                <w:smallCaps w:val="0"/>
                <w:strike w:val="0"/>
                <w:color w:val="0d0d0d"/>
                <w:sz w:val="24"/>
                <w:szCs w:val="24"/>
                <w:u w:val="none"/>
                <w:shd w:fill="auto" w:val="clear"/>
                <w:vertAlign w:val="baseline"/>
                <w:rtl w:val="0"/>
              </w:rPr>
              <w:t xml:space="preserve">References</w:t>
            </w:r>
          </w:hyperlink>
          <w:hyperlink w:anchor="_ks3vcyjqre57">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2D">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2E">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0">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2">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3">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35">
      <w:pPr>
        <w:pStyle w:val="Heading1"/>
        <w:rPr/>
      </w:pPr>
      <w:bookmarkStart w:colFirst="0" w:colLast="0" w:name="_xt32zngw3jdp" w:id="1"/>
      <w:bookmarkEnd w:id="1"/>
      <w:r w:rsidDel="00000000" w:rsidR="00000000" w:rsidRPr="00000000">
        <w:rPr>
          <w:rtl w:val="0"/>
        </w:rPr>
        <w:t xml:space="preserve">Component 1: Research and Planning</w:t>
      </w:r>
    </w:p>
    <w:p w:rsidR="00000000" w:rsidDel="00000000" w:rsidP="00000000" w:rsidRDefault="00000000" w:rsidRPr="00000000" w14:paraId="00000036">
      <w:pPr>
        <w:pStyle w:val="Heading2"/>
        <w:rPr/>
      </w:pPr>
      <w:bookmarkStart w:colFirst="0" w:colLast="0" w:name="_63xtn6sdrslz" w:id="2"/>
      <w:bookmarkEnd w:id="2"/>
      <w:r w:rsidDel="00000000" w:rsidR="00000000" w:rsidRPr="00000000">
        <w:rPr>
          <w:rtl w:val="0"/>
        </w:rPr>
        <w:t xml:space="preserve">Source Exploration</w:t>
      </w:r>
    </w:p>
    <w:p w:rsidR="00000000" w:rsidDel="00000000" w:rsidP="00000000" w:rsidRDefault="00000000" w:rsidRPr="00000000" w14:paraId="00000037">
      <w:pPr>
        <w:spacing w:after="120" w:before="120" w:lineRule="auto"/>
        <w:rPr>
          <w:rFonts w:ascii="Arial" w:cs="Arial" w:eastAsia="Arial" w:hAnsi="Arial"/>
        </w:rPr>
      </w:pPr>
      <w:r w:rsidDel="00000000" w:rsidR="00000000" w:rsidRPr="00000000">
        <w:rPr>
          <w:rFonts w:ascii="Arial" w:cs="Arial" w:eastAsia="Arial" w:hAnsi="Arial"/>
          <w:rtl w:val="0"/>
        </w:rPr>
        <w:t xml:space="preserve">I have selected an academic article by numerous authors, and their names are Davies, Alotaishan, Alabdulwahed, Khan, Ateya, Alkhamis, and Alodhieb or Davies et al. The article is titled “Perspectives on cyber learning: A case study by students, about students”, an article published in ‘Education and Information Technologies’ in 2023.</w:t>
        <w:br w:type="textWrapping"/>
        <w:t xml:space="preserve"> The main point of study of the present article is students’ point of view on online learning, especially during the first phase of the Pandemic. It explores the student perspective and their experience with cyber learning, especially those in higher education. It covers both the boon and the bane of such learning.</w:t>
      </w:r>
    </w:p>
    <w:p w:rsidR="00000000" w:rsidDel="00000000" w:rsidP="00000000" w:rsidRDefault="00000000" w:rsidRPr="00000000" w14:paraId="00000038">
      <w:pPr>
        <w:spacing w:after="120" w:before="120" w:lineRule="auto"/>
        <w:rPr>
          <w:rFonts w:ascii="Arial" w:cs="Arial" w:eastAsia="Arial" w:hAnsi="Arial"/>
        </w:rPr>
      </w:pPr>
      <w:r w:rsidDel="00000000" w:rsidR="00000000" w:rsidRPr="00000000">
        <w:rPr>
          <w:rFonts w:ascii="Arial" w:cs="Arial" w:eastAsia="Arial" w:hAnsi="Arial"/>
          <w:rtl w:val="0"/>
        </w:rPr>
        <w:t xml:space="preserve">The rationale behind selecting this article lies in its title, “A case study by students, about students”. This article is an insight created by students for students who are the core users of digital education. Another insightful feature is how this article works with the experience of a student to present findings.</w:t>
      </w:r>
    </w:p>
    <w:p w:rsidR="00000000" w:rsidDel="00000000" w:rsidP="00000000" w:rsidRDefault="00000000" w:rsidRPr="00000000" w14:paraId="00000039">
      <w:pPr>
        <w:spacing w:after="120" w:before="120" w:lineRule="auto"/>
        <w:rPr>
          <w:rFonts w:ascii="Arial" w:cs="Arial" w:eastAsia="Arial" w:hAnsi="Arial"/>
        </w:rPr>
      </w:pPr>
      <w:r w:rsidDel="00000000" w:rsidR="00000000" w:rsidRPr="00000000">
        <w:rPr>
          <w:rFonts w:ascii="Arial" w:cs="Arial" w:eastAsia="Arial" w:hAnsi="Arial"/>
          <w:rtl w:val="0"/>
        </w:rPr>
        <w:t xml:space="preserve">This research directly aligns with the question asked and presents not only the benefits but also the limitations of cyber learning directly from students’ perspectives. This article directly addresses the main question asked for the research.</w:t>
      </w:r>
    </w:p>
    <w:p w:rsidR="00000000" w:rsidDel="00000000" w:rsidP="00000000" w:rsidRDefault="00000000" w:rsidRPr="00000000" w14:paraId="0000003A">
      <w:pPr>
        <w:spacing w:after="120" w:before="120" w:lineRule="auto"/>
        <w:rPr>
          <w:rFonts w:ascii="Arial" w:cs="Arial" w:eastAsia="Arial" w:hAnsi="Arial"/>
        </w:rPr>
      </w:pPr>
      <w:r w:rsidDel="00000000" w:rsidR="00000000" w:rsidRPr="00000000">
        <w:rPr>
          <w:rFonts w:ascii="Arial" w:cs="Arial" w:eastAsia="Arial" w:hAnsi="Arial"/>
          <w:rtl w:val="0"/>
        </w:rPr>
        <w:t xml:space="preserve">To highlight the relevance of the article CRAAP test (Esparrago-Kalidas, 2021) is undertaken:</w:t>
      </w:r>
    </w:p>
    <w:tbl>
      <w:tblPr>
        <w:tblStyle w:val="Table1"/>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434"/>
        <w:gridCol w:w="7808"/>
        <w:tblGridChange w:id="0">
          <w:tblGrid>
            <w:gridCol w:w="1434"/>
            <w:gridCol w:w="7808"/>
          </w:tblGrid>
        </w:tblGridChange>
      </w:tblGrid>
      <w:tr>
        <w:trPr>
          <w:cantSplit w:val="0"/>
          <w:trHeight w:val="285"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B">
            <w:pPr>
              <w:spacing w:after="120" w:before="120" w:lineRule="auto"/>
              <w:rPr>
                <w:rFonts w:ascii="Arial" w:cs="Arial" w:eastAsia="Arial" w:hAnsi="Arial"/>
              </w:rPr>
            </w:pPr>
            <w:r w:rsidDel="00000000" w:rsidR="00000000" w:rsidRPr="00000000">
              <w:rPr>
                <w:rFonts w:ascii="Arial" w:cs="Arial" w:eastAsia="Arial" w:hAnsi="Arial"/>
                <w:rtl w:val="0"/>
              </w:rPr>
              <w:t xml:space="preserve">Currency</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3C">
            <w:pPr>
              <w:spacing w:after="120" w:before="120" w:lineRule="auto"/>
              <w:rPr>
                <w:rFonts w:ascii="Arial" w:cs="Arial" w:eastAsia="Arial" w:hAnsi="Arial"/>
                <w:b w:val="0"/>
                <w:bCs w:val="0"/>
              </w:rPr>
            </w:pPr>
            <w:r w:rsidDel="00000000" w:rsidR="00000000" w:rsidRPr="00000000">
              <w:rPr>
                <w:rFonts w:ascii="Arial" w:cs="Arial" w:eastAsia="Arial" w:hAnsi="Arial"/>
                <w:b w:val="0"/>
                <w:bCs w:val="0"/>
                <w:rtl w:val="0"/>
              </w:rPr>
              <w:t xml:space="preserve">Published in 2023</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3D">
            <w:pPr>
              <w:spacing w:after="120" w:before="120" w:lineRule="auto"/>
              <w:rPr>
                <w:rFonts w:ascii="Arial" w:cs="Arial" w:eastAsia="Arial" w:hAnsi="Arial"/>
              </w:rPr>
            </w:pPr>
            <w:r w:rsidDel="00000000" w:rsidR="00000000" w:rsidRPr="00000000">
              <w:rPr>
                <w:rFonts w:ascii="Arial" w:cs="Arial" w:eastAsia="Arial" w:hAnsi="Arial"/>
                <w:rtl w:val="0"/>
              </w:rPr>
              <w:t xml:space="preserve">Relevance</w:t>
            </w:r>
          </w:p>
        </w:tc>
        <w:tc>
          <w:tcPr>
            <w:tcBorders>
              <w:left w:color="000000" w:space="0" w:sz="0" w:val="nil"/>
              <w:right w:color="000000" w:space="0" w:sz="0" w:val="nil"/>
            </w:tcBorders>
          </w:tcPr>
          <w:p w:rsidR="00000000" w:rsidDel="00000000" w:rsidP="00000000" w:rsidRDefault="00000000" w:rsidRPr="00000000" w14:paraId="0000003E">
            <w:pPr>
              <w:spacing w:after="120" w:before="120" w:lineRule="auto"/>
              <w:rPr>
                <w:rFonts w:ascii="Arial" w:cs="Arial" w:eastAsia="Arial" w:hAnsi="Arial"/>
              </w:rPr>
            </w:pPr>
            <w:r w:rsidDel="00000000" w:rsidR="00000000" w:rsidRPr="00000000">
              <w:rPr>
                <w:rFonts w:ascii="Arial" w:cs="Arial" w:eastAsia="Arial" w:hAnsi="Arial"/>
                <w:rtl w:val="0"/>
              </w:rPr>
              <w:t xml:space="preserve">Directly addresses the main question</w:t>
            </w:r>
          </w:p>
        </w:tc>
      </w:tr>
      <w:tr>
        <w:trPr>
          <w:cantSplit w:val="0"/>
          <w:trHeight w:val="285" w:hRule="atLeast"/>
          <w:tblHeader w:val="0"/>
        </w:trPr>
        <w:tc>
          <w:tcPr/>
          <w:p w:rsidR="00000000" w:rsidDel="00000000" w:rsidP="00000000" w:rsidRDefault="00000000" w:rsidRPr="00000000" w14:paraId="0000003F">
            <w:pPr>
              <w:spacing w:after="120" w:before="120" w:lineRule="auto"/>
              <w:rPr>
                <w:rFonts w:ascii="Arial" w:cs="Arial" w:eastAsia="Arial" w:hAnsi="Arial"/>
              </w:rPr>
            </w:pPr>
            <w:r w:rsidDel="00000000" w:rsidR="00000000" w:rsidRPr="00000000">
              <w:rPr>
                <w:rFonts w:ascii="Arial" w:cs="Arial" w:eastAsia="Arial" w:hAnsi="Arial"/>
                <w:rtl w:val="0"/>
              </w:rPr>
              <w:t xml:space="preserve">Authority</w:t>
            </w:r>
          </w:p>
        </w:tc>
        <w:tc>
          <w:tcPr/>
          <w:p w:rsidR="00000000" w:rsidDel="00000000" w:rsidP="00000000" w:rsidRDefault="00000000" w:rsidRPr="00000000" w14:paraId="00000040">
            <w:pPr>
              <w:spacing w:after="120" w:before="120" w:lineRule="auto"/>
              <w:rPr>
                <w:rFonts w:ascii="Arial" w:cs="Arial" w:eastAsia="Arial" w:hAnsi="Arial"/>
              </w:rPr>
            </w:pPr>
            <w:r w:rsidDel="00000000" w:rsidR="00000000" w:rsidRPr="00000000">
              <w:rPr>
                <w:rFonts w:ascii="Arial" w:cs="Arial" w:eastAsia="Arial" w:hAnsi="Arial"/>
                <w:rtl w:val="0"/>
              </w:rPr>
              <w:t xml:space="preserve">Publishing in a peer-reviewed journal</w:t>
            </w:r>
          </w:p>
        </w:tc>
      </w:tr>
      <w:tr>
        <w:trPr>
          <w:cantSplit w:val="0"/>
          <w:trHeight w:val="570" w:hRule="atLeast"/>
          <w:tblHeader w:val="0"/>
        </w:trPr>
        <w:tc>
          <w:tcPr>
            <w:tcBorders>
              <w:left w:color="000000" w:space="0" w:sz="0" w:val="nil"/>
              <w:right w:color="000000" w:space="0" w:sz="0" w:val="nil"/>
            </w:tcBorders>
          </w:tcPr>
          <w:p w:rsidR="00000000" w:rsidDel="00000000" w:rsidP="00000000" w:rsidRDefault="00000000" w:rsidRPr="00000000" w14:paraId="00000041">
            <w:pPr>
              <w:spacing w:after="120" w:before="120" w:lineRule="auto"/>
              <w:rPr>
                <w:rFonts w:ascii="Arial" w:cs="Arial" w:eastAsia="Arial" w:hAnsi="Arial"/>
              </w:rPr>
            </w:pPr>
            <w:r w:rsidDel="00000000" w:rsidR="00000000" w:rsidRPr="00000000">
              <w:rPr>
                <w:rFonts w:ascii="Arial" w:cs="Arial" w:eastAsia="Arial" w:hAnsi="Arial"/>
                <w:rtl w:val="0"/>
              </w:rPr>
              <w:t xml:space="preserve">Accuracy</w:t>
            </w:r>
          </w:p>
        </w:tc>
        <w:tc>
          <w:tcPr>
            <w:tcBorders>
              <w:left w:color="000000" w:space="0" w:sz="0" w:val="nil"/>
              <w:right w:color="000000" w:space="0" w:sz="0" w:val="nil"/>
            </w:tcBorders>
          </w:tcPr>
          <w:p w:rsidR="00000000" w:rsidDel="00000000" w:rsidP="00000000" w:rsidRDefault="00000000" w:rsidRPr="00000000" w14:paraId="00000042">
            <w:pPr>
              <w:spacing w:after="120" w:before="120" w:lineRule="auto"/>
              <w:rPr>
                <w:rFonts w:ascii="Arial" w:cs="Arial" w:eastAsia="Arial" w:hAnsi="Arial"/>
              </w:rPr>
            </w:pPr>
            <w:r w:rsidDel="00000000" w:rsidR="00000000" w:rsidRPr="00000000">
              <w:rPr>
                <w:rFonts w:ascii="Arial" w:cs="Arial" w:eastAsia="Arial" w:hAnsi="Arial"/>
                <w:rtl w:val="0"/>
              </w:rPr>
              <w:t xml:space="preserve">Evidence-based study incorporating the direct experience of students</w:t>
            </w:r>
          </w:p>
        </w:tc>
      </w:tr>
      <w:tr>
        <w:trPr>
          <w:cantSplit w:val="0"/>
          <w:trHeight w:val="285" w:hRule="atLeast"/>
          <w:tblHeader w:val="0"/>
        </w:trPr>
        <w:tc>
          <w:tcPr/>
          <w:p w:rsidR="00000000" w:rsidDel="00000000" w:rsidP="00000000" w:rsidRDefault="00000000" w:rsidRPr="00000000" w14:paraId="00000043">
            <w:pPr>
              <w:spacing w:after="120" w:before="120" w:lineRule="auto"/>
              <w:rPr>
                <w:rFonts w:ascii="Arial" w:cs="Arial" w:eastAsia="Arial" w:hAnsi="Arial"/>
              </w:rPr>
            </w:pPr>
            <w:r w:rsidDel="00000000" w:rsidR="00000000" w:rsidRPr="00000000">
              <w:rPr>
                <w:rFonts w:ascii="Arial" w:cs="Arial" w:eastAsia="Arial" w:hAnsi="Arial"/>
                <w:rtl w:val="0"/>
              </w:rPr>
              <w:t xml:space="preserve">purpose</w:t>
            </w:r>
          </w:p>
        </w:tc>
        <w:tc>
          <w:tcPr/>
          <w:p w:rsidR="00000000" w:rsidDel="00000000" w:rsidP="00000000" w:rsidRDefault="00000000" w:rsidRPr="00000000" w14:paraId="00000044">
            <w:pPr>
              <w:spacing w:after="120" w:before="120" w:lineRule="auto"/>
              <w:rPr>
                <w:rFonts w:ascii="Arial" w:cs="Arial" w:eastAsia="Arial" w:hAnsi="Arial"/>
              </w:rPr>
            </w:pPr>
            <w:r w:rsidDel="00000000" w:rsidR="00000000" w:rsidRPr="00000000">
              <w:rPr>
                <w:rFonts w:ascii="Arial" w:cs="Arial" w:eastAsia="Arial" w:hAnsi="Arial"/>
                <w:rtl w:val="0"/>
              </w:rPr>
              <w:t xml:space="preserve">examine real student perspectives (not commercial)</w:t>
            </w:r>
          </w:p>
        </w:tc>
      </w:tr>
    </w:tbl>
    <w:p w:rsidR="00000000" w:rsidDel="00000000" w:rsidP="00000000" w:rsidRDefault="00000000" w:rsidRPr="00000000" w14:paraId="00000045">
      <w:pPr>
        <w:pStyle w:val="Heading2"/>
        <w:rPr/>
      </w:pPr>
      <w:bookmarkStart w:colFirst="0" w:colLast="0" w:name="_xq9ozmuih6k4" w:id="3"/>
      <w:bookmarkEnd w:id="3"/>
      <w:r w:rsidDel="00000000" w:rsidR="00000000" w:rsidRPr="00000000">
        <w:rPr>
          <w:rtl w:val="0"/>
        </w:rPr>
        <w:t xml:space="preserve">Key Challenges</w:t>
      </w:r>
    </w:p>
    <w:p w:rsidR="00000000" w:rsidDel="00000000" w:rsidP="00000000" w:rsidRDefault="00000000" w:rsidRPr="00000000" w14:paraId="00000046">
      <w:pPr>
        <w:spacing w:after="120" w:before="120" w:lineRule="auto"/>
        <w:rPr>
          <w:rFonts w:ascii="Arial" w:cs="Arial" w:eastAsia="Arial" w:hAnsi="Arial"/>
        </w:rPr>
      </w:pPr>
      <w:r w:rsidDel="00000000" w:rsidR="00000000" w:rsidRPr="00000000">
        <w:rPr>
          <w:rFonts w:ascii="Arial" w:cs="Arial" w:eastAsia="Arial" w:hAnsi="Arial"/>
          <w:rtl w:val="0"/>
        </w:rPr>
        <w:t xml:space="preserve">One key challenge that is experienced, as mentioned by Davies et al. (2023), is a limit in the learning drive. A purely digital learning environment may seem beneficial for the short term, but in the long term, it highly limits a person's drive to learn. One such reason is less interaction with peers and even the lecturer. The physical environment plays a crucial role in shaping the will of a person and the quality of learning (Al-Tkhayneh et al., 2023), especially for students.</w:t>
      </w:r>
    </w:p>
    <w:p w:rsidR="00000000" w:rsidDel="00000000" w:rsidP="00000000" w:rsidRDefault="00000000" w:rsidRPr="00000000" w14:paraId="00000047">
      <w:pPr>
        <w:pStyle w:val="Heading2"/>
        <w:rPr/>
      </w:pPr>
      <w:bookmarkStart w:colFirst="0" w:colLast="0" w:name="_eh69nqnmvbmx" w:id="4"/>
      <w:bookmarkEnd w:id="4"/>
      <w:r w:rsidDel="00000000" w:rsidR="00000000" w:rsidRPr="00000000">
        <w:rPr>
          <w:rtl w:val="0"/>
        </w:rPr>
        <w:t xml:space="preserve">Key Opportunities</w:t>
      </w:r>
    </w:p>
    <w:p w:rsidR="00000000" w:rsidDel="00000000" w:rsidP="00000000" w:rsidRDefault="00000000" w:rsidRPr="00000000" w14:paraId="00000048">
      <w:pPr>
        <w:spacing w:after="120" w:before="120" w:lineRule="auto"/>
        <w:rPr>
          <w:rFonts w:ascii="Arial" w:cs="Arial" w:eastAsia="Arial" w:hAnsi="Arial"/>
        </w:rPr>
      </w:pPr>
      <w:r w:rsidDel="00000000" w:rsidR="00000000" w:rsidRPr="00000000">
        <w:rPr>
          <w:rFonts w:ascii="Arial" w:cs="Arial" w:eastAsia="Arial" w:hAnsi="Arial"/>
          <w:rtl w:val="0"/>
        </w:rPr>
        <w:t xml:space="preserve">The main advantage of digital learning is flexibility and engagement with content. Online learning allows one to learn from anywhere or everywhere and it reduces any kind of geographical barrier. All you need is a device and an internet connection. Nowadays, digital content has also evolved and is available in various formats, such as videos and other discussion panels that are made specifically for learners to discuss among themselves. Such technology and tools ensure inclusivity within education and remove any barrier to the access of knowledge and education.</w:t>
      </w:r>
    </w:p>
    <w:p w:rsidR="00000000" w:rsidDel="00000000" w:rsidP="00000000" w:rsidRDefault="00000000" w:rsidRPr="00000000" w14:paraId="00000049">
      <w:pPr>
        <w:pStyle w:val="Heading2"/>
        <w:rPr/>
      </w:pPr>
      <w:bookmarkStart w:colFirst="0" w:colLast="0" w:name="_fvgu2dv6o1gc" w:id="5"/>
      <w:bookmarkEnd w:id="5"/>
      <w:r w:rsidDel="00000000" w:rsidR="00000000" w:rsidRPr="00000000">
        <w:rPr>
          <w:rtl w:val="0"/>
        </w:rPr>
        <w:t xml:space="preserve">Planning the Report</w:t>
        <w:tab/>
      </w:r>
    </w:p>
    <w:p w:rsidR="00000000" w:rsidDel="00000000" w:rsidP="00000000" w:rsidRDefault="00000000" w:rsidRPr="00000000" w14:paraId="0000004A">
      <w:pPr>
        <w:spacing w:after="120" w:before="120" w:lineRule="auto"/>
        <w:rPr>
          <w:rFonts w:ascii="Arial" w:cs="Arial" w:eastAsia="Arial" w:hAnsi="Arial"/>
        </w:rPr>
      </w:pPr>
      <w:r w:rsidDel="00000000" w:rsidR="00000000" w:rsidRPr="00000000">
        <w:rPr>
          <w:rFonts w:ascii="Arial" w:cs="Arial" w:eastAsia="Arial" w:hAnsi="Arial"/>
          <w:rtl w:val="0"/>
        </w:rPr>
        <w:t xml:space="preserve">The next part of this assessment is a report answering the main question. The report would be equally focused on the challenges as well as opportunities to give a critical analysis rather than a descriptive one. I would be using research like that of Davies et al. (2023), which targets the student perspective. The structure of the report is provided below:</w:t>
      </w:r>
    </w:p>
    <w:tbl>
      <w:tblPr>
        <w:tblStyle w:val="Table2"/>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303"/>
        <w:gridCol w:w="6939"/>
        <w:tblGridChange w:id="0">
          <w:tblGrid>
            <w:gridCol w:w="2303"/>
            <w:gridCol w:w="6939"/>
          </w:tblGrid>
        </w:tblGridChange>
      </w:tblGrid>
      <w:tr>
        <w:trPr>
          <w:cantSplit w:val="0"/>
          <w:trHeight w:val="285"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4B">
            <w:pPr>
              <w:spacing w:after="120" w:before="120" w:lineRule="auto"/>
              <w:rPr>
                <w:rFonts w:ascii="Arial" w:cs="Arial" w:eastAsia="Arial" w:hAnsi="Arial"/>
                <w:b w:val="0"/>
                <w:bCs w:val="0"/>
              </w:rPr>
            </w:pPr>
            <w:r w:rsidDel="00000000" w:rsidR="00000000" w:rsidRPr="00000000">
              <w:rPr>
                <w:rFonts w:ascii="Arial" w:cs="Arial" w:eastAsia="Arial" w:hAnsi="Arial"/>
                <w:b w:val="0"/>
                <w:bCs w:val="0"/>
                <w:rtl w:val="0"/>
              </w:rPr>
              <w:t xml:space="preserve">Introduction</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4C">
            <w:pPr>
              <w:spacing w:after="120" w:before="120" w:lineRule="auto"/>
              <w:rPr>
                <w:rFonts w:ascii="Arial" w:cs="Arial" w:eastAsia="Arial" w:hAnsi="Arial"/>
                <w:b w:val="0"/>
                <w:bCs w:val="0"/>
              </w:rPr>
            </w:pPr>
            <w:r w:rsidDel="00000000" w:rsidR="00000000" w:rsidRPr="00000000">
              <w:rPr>
                <w:rFonts w:ascii="Arial" w:cs="Arial" w:eastAsia="Arial" w:hAnsi="Arial"/>
                <w:b w:val="0"/>
                <w:bCs w:val="0"/>
                <w:rtl w:val="0"/>
              </w:rPr>
              <w:t xml:space="preserve">Role of digital learning in the current era</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4D">
            <w:pPr>
              <w:spacing w:after="120" w:before="120" w:lineRule="auto"/>
              <w:rPr>
                <w:rFonts w:ascii="Arial" w:cs="Arial" w:eastAsia="Arial" w:hAnsi="Arial"/>
              </w:rPr>
            </w:pPr>
            <w:r w:rsidDel="00000000" w:rsidR="00000000" w:rsidRPr="00000000">
              <w:rPr>
                <w:rFonts w:ascii="Arial" w:cs="Arial" w:eastAsia="Arial" w:hAnsi="Arial"/>
                <w:rtl w:val="0"/>
              </w:rPr>
              <w:t xml:space="preserve">Challenges</w:t>
            </w:r>
          </w:p>
        </w:tc>
        <w:tc>
          <w:tcPr>
            <w:tcBorders>
              <w:left w:color="000000" w:space="0" w:sz="0" w:val="nil"/>
              <w:right w:color="000000" w:space="0" w:sz="0" w:val="nil"/>
            </w:tcBorders>
          </w:tcPr>
          <w:p w:rsidR="00000000" w:rsidDel="00000000" w:rsidP="00000000" w:rsidRDefault="00000000" w:rsidRPr="00000000" w14:paraId="0000004E">
            <w:pPr>
              <w:spacing w:after="120" w:before="120" w:lineRule="auto"/>
              <w:rPr>
                <w:rFonts w:ascii="Arial" w:cs="Arial" w:eastAsia="Arial" w:hAnsi="Arial"/>
              </w:rPr>
            </w:pPr>
            <w:r w:rsidDel="00000000" w:rsidR="00000000" w:rsidRPr="00000000">
              <w:rPr>
                <w:rFonts w:ascii="Arial" w:cs="Arial" w:eastAsia="Arial" w:hAnsi="Arial"/>
                <w:rtl w:val="0"/>
              </w:rPr>
              <w:t xml:space="preserve">Lack of physical environment and motivation</w:t>
            </w:r>
          </w:p>
        </w:tc>
      </w:tr>
      <w:tr>
        <w:trPr>
          <w:cantSplit w:val="0"/>
          <w:trHeight w:val="285" w:hRule="atLeast"/>
          <w:tblHeader w:val="0"/>
        </w:trPr>
        <w:tc>
          <w:tcPr/>
          <w:p w:rsidR="00000000" w:rsidDel="00000000" w:rsidP="00000000" w:rsidRDefault="00000000" w:rsidRPr="00000000" w14:paraId="0000004F">
            <w:pPr>
              <w:spacing w:after="120" w:before="120" w:lineRule="auto"/>
              <w:rPr>
                <w:rFonts w:ascii="Arial" w:cs="Arial" w:eastAsia="Arial" w:hAnsi="Arial"/>
              </w:rPr>
            </w:pPr>
            <w:r w:rsidDel="00000000" w:rsidR="00000000" w:rsidRPr="00000000">
              <w:rPr>
                <w:rFonts w:ascii="Arial" w:cs="Arial" w:eastAsia="Arial" w:hAnsi="Arial"/>
                <w:rtl w:val="0"/>
              </w:rPr>
              <w:t xml:space="preserve">Opportunities</w:t>
            </w:r>
          </w:p>
        </w:tc>
        <w:tc>
          <w:tcPr/>
          <w:p w:rsidR="00000000" w:rsidDel="00000000" w:rsidP="00000000" w:rsidRDefault="00000000" w:rsidRPr="00000000" w14:paraId="00000050">
            <w:pPr>
              <w:spacing w:after="120" w:before="120" w:lineRule="auto"/>
              <w:rPr>
                <w:rFonts w:ascii="Arial" w:cs="Arial" w:eastAsia="Arial" w:hAnsi="Arial"/>
              </w:rPr>
            </w:pPr>
            <w:r w:rsidDel="00000000" w:rsidR="00000000" w:rsidRPr="00000000">
              <w:rPr>
                <w:rFonts w:ascii="Arial" w:cs="Arial" w:eastAsia="Arial" w:hAnsi="Arial"/>
                <w:rtl w:val="0"/>
              </w:rPr>
              <w:t xml:space="preserve">Flexibility, Inclusion, Varied Platforms</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51">
            <w:pPr>
              <w:spacing w:after="120" w:before="120" w:lineRule="auto"/>
              <w:rPr>
                <w:rFonts w:ascii="Arial" w:cs="Arial" w:eastAsia="Arial" w:hAnsi="Arial"/>
              </w:rPr>
            </w:pPr>
            <w:r w:rsidDel="00000000" w:rsidR="00000000" w:rsidRPr="00000000">
              <w:rPr>
                <w:rFonts w:ascii="Arial" w:cs="Arial" w:eastAsia="Arial" w:hAnsi="Arial"/>
                <w:rtl w:val="0"/>
              </w:rPr>
              <w:t xml:space="preserve">Strategies</w:t>
            </w:r>
          </w:p>
        </w:tc>
        <w:tc>
          <w:tcPr>
            <w:tcBorders>
              <w:left w:color="000000" w:space="0" w:sz="0" w:val="nil"/>
              <w:right w:color="000000" w:space="0" w:sz="0" w:val="nil"/>
            </w:tcBorders>
          </w:tcPr>
          <w:p w:rsidR="00000000" w:rsidDel="00000000" w:rsidP="00000000" w:rsidRDefault="00000000" w:rsidRPr="00000000" w14:paraId="00000052">
            <w:pPr>
              <w:spacing w:after="120" w:before="120" w:lineRule="auto"/>
              <w:rPr>
                <w:rFonts w:ascii="Arial" w:cs="Arial" w:eastAsia="Arial" w:hAnsi="Arial"/>
              </w:rPr>
            </w:pPr>
            <w:r w:rsidDel="00000000" w:rsidR="00000000" w:rsidRPr="00000000">
              <w:rPr>
                <w:rFonts w:ascii="Arial" w:cs="Arial" w:eastAsia="Arial" w:hAnsi="Arial"/>
                <w:rtl w:val="0"/>
              </w:rPr>
              <w:t xml:space="preserve">Practical suggestions</w:t>
            </w:r>
          </w:p>
        </w:tc>
      </w:tr>
      <w:tr>
        <w:trPr>
          <w:cantSplit w:val="0"/>
          <w:trHeight w:val="285" w:hRule="atLeast"/>
          <w:tblHeader w:val="0"/>
        </w:trPr>
        <w:tc>
          <w:tcPr/>
          <w:p w:rsidR="00000000" w:rsidDel="00000000" w:rsidP="00000000" w:rsidRDefault="00000000" w:rsidRPr="00000000" w14:paraId="00000053">
            <w:pPr>
              <w:spacing w:after="120" w:before="120" w:lineRule="auto"/>
              <w:rPr>
                <w:rFonts w:ascii="Arial" w:cs="Arial" w:eastAsia="Arial" w:hAnsi="Arial"/>
              </w:rPr>
            </w:pPr>
            <w:r w:rsidDel="00000000" w:rsidR="00000000" w:rsidRPr="00000000">
              <w:rPr>
                <w:rFonts w:ascii="Arial" w:cs="Arial" w:eastAsia="Arial" w:hAnsi="Arial"/>
                <w:rtl w:val="0"/>
              </w:rPr>
              <w:t xml:space="preserve">Conclusion</w:t>
            </w:r>
          </w:p>
        </w:tc>
        <w:tc>
          <w:tcPr/>
          <w:p w:rsidR="00000000" w:rsidDel="00000000" w:rsidP="00000000" w:rsidRDefault="00000000" w:rsidRPr="00000000" w14:paraId="00000054">
            <w:pPr>
              <w:spacing w:after="120" w:before="120" w:lineRule="auto"/>
              <w:rPr>
                <w:rFonts w:ascii="Arial" w:cs="Arial" w:eastAsia="Arial" w:hAnsi="Arial"/>
              </w:rPr>
            </w:pPr>
            <w:r w:rsidDel="00000000" w:rsidR="00000000" w:rsidRPr="00000000">
              <w:rPr>
                <w:rFonts w:ascii="Arial" w:cs="Arial" w:eastAsia="Arial" w:hAnsi="Arial"/>
                <w:rtl w:val="0"/>
              </w:rPr>
              <w:t xml:space="preserve">Summary and Significance</w:t>
            </w:r>
          </w:p>
        </w:tc>
      </w:tr>
    </w:tbl>
    <w:p w:rsidR="00000000" w:rsidDel="00000000" w:rsidP="00000000" w:rsidRDefault="00000000" w:rsidRPr="00000000" w14:paraId="00000055">
      <w:pPr>
        <w:spacing w:after="120" w:before="120" w:lineRule="auto"/>
        <w:rPr>
          <w:rFonts w:ascii="Arial" w:cs="Arial" w:eastAsia="Arial" w:hAnsi="Arial"/>
        </w:rPr>
      </w:pPr>
      <w:r w:rsidDel="00000000" w:rsidR="00000000" w:rsidRPr="00000000">
        <w:rPr>
          <w:rtl w:val="0"/>
        </w:rPr>
      </w:r>
    </w:p>
    <w:p w:rsidR="00000000" w:rsidDel="00000000" w:rsidP="00000000" w:rsidRDefault="00000000" w:rsidRPr="00000000" w14:paraId="00000056">
      <w:pPr>
        <w:spacing w:after="120" w:before="120" w:lineRule="auto"/>
        <w:rPr>
          <w:rFonts w:ascii="Arial" w:cs="Arial" w:eastAsia="Arial" w:hAnsi="Arial"/>
        </w:rPr>
      </w:pPr>
      <w:r w:rsidDel="00000000" w:rsidR="00000000" w:rsidRPr="00000000">
        <w:rPr>
          <w:rFonts w:ascii="Arial" w:cs="Arial" w:eastAsia="Arial" w:hAnsi="Arial"/>
          <w:rtl w:val="0"/>
        </w:rPr>
        <w:t xml:space="preserve"> Timeline for component 2-</w:t>
      </w:r>
    </w:p>
    <w:tbl>
      <w:tblPr>
        <w:tblStyle w:val="Table3"/>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401"/>
        <w:gridCol w:w="7841"/>
        <w:tblGridChange w:id="0">
          <w:tblGrid>
            <w:gridCol w:w="1401"/>
            <w:gridCol w:w="7841"/>
          </w:tblGrid>
        </w:tblGridChange>
      </w:tblGrid>
      <w:tr>
        <w:trPr>
          <w:cantSplit w:val="0"/>
          <w:trHeight w:val="285" w:hRule="atLeast"/>
          <w:tblHeader w:val="0"/>
        </w:trPr>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7">
            <w:pPr>
              <w:spacing w:after="120" w:before="120" w:lineRule="auto"/>
              <w:rPr>
                <w:rFonts w:ascii="Arial" w:cs="Arial" w:eastAsia="Arial" w:hAnsi="Arial"/>
              </w:rPr>
            </w:pPr>
            <w:r w:rsidDel="00000000" w:rsidR="00000000" w:rsidRPr="00000000">
              <w:rPr>
                <w:rFonts w:ascii="Arial" w:cs="Arial" w:eastAsia="Arial" w:hAnsi="Arial"/>
                <w:rtl w:val="0"/>
              </w:rPr>
              <w:t xml:space="preserve">Date</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8">
            <w:pPr>
              <w:spacing w:after="120" w:before="120" w:lineRule="auto"/>
              <w:rPr>
                <w:rFonts w:ascii="Arial" w:cs="Arial" w:eastAsia="Arial" w:hAnsi="Arial"/>
              </w:rPr>
            </w:pPr>
            <w:r w:rsidDel="00000000" w:rsidR="00000000" w:rsidRPr="00000000">
              <w:rPr>
                <w:rFonts w:ascii="Arial" w:cs="Arial" w:eastAsia="Arial" w:hAnsi="Arial"/>
                <w:rtl w:val="0"/>
              </w:rPr>
              <w:t xml:space="preserve">Stage</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59">
            <w:pPr>
              <w:spacing w:after="120" w:before="120" w:lineRule="auto"/>
              <w:rPr>
                <w:rFonts w:ascii="Arial" w:cs="Arial" w:eastAsia="Arial" w:hAnsi="Arial"/>
              </w:rPr>
            </w:pPr>
            <w:r w:rsidDel="00000000" w:rsidR="00000000" w:rsidRPr="00000000">
              <w:rPr>
                <w:rFonts w:ascii="Arial" w:cs="Arial" w:eastAsia="Arial" w:hAnsi="Arial"/>
                <w:rtl w:val="0"/>
              </w:rPr>
              <w:t xml:space="preserve">17/11/25</w:t>
            </w:r>
          </w:p>
        </w:tc>
        <w:tc>
          <w:tcPr>
            <w:tcBorders>
              <w:left w:color="000000" w:space="0" w:sz="0" w:val="nil"/>
              <w:right w:color="000000" w:space="0" w:sz="0" w:val="nil"/>
            </w:tcBorders>
          </w:tcPr>
          <w:p w:rsidR="00000000" w:rsidDel="00000000" w:rsidP="00000000" w:rsidRDefault="00000000" w:rsidRPr="00000000" w14:paraId="0000005A">
            <w:pPr>
              <w:spacing w:after="120" w:before="120" w:lineRule="auto"/>
              <w:rPr>
                <w:rFonts w:ascii="Arial" w:cs="Arial" w:eastAsia="Arial" w:hAnsi="Arial"/>
              </w:rPr>
            </w:pPr>
            <w:r w:rsidDel="00000000" w:rsidR="00000000" w:rsidRPr="00000000">
              <w:rPr>
                <w:rFonts w:ascii="Arial" w:cs="Arial" w:eastAsia="Arial" w:hAnsi="Arial"/>
                <w:rtl w:val="0"/>
              </w:rPr>
              <w:t xml:space="preserve">Finish Research</w:t>
            </w:r>
          </w:p>
        </w:tc>
      </w:tr>
      <w:tr>
        <w:trPr>
          <w:cantSplit w:val="0"/>
          <w:trHeight w:val="285" w:hRule="atLeast"/>
          <w:tblHeader w:val="0"/>
        </w:trPr>
        <w:tc>
          <w:tcPr/>
          <w:p w:rsidR="00000000" w:rsidDel="00000000" w:rsidP="00000000" w:rsidRDefault="00000000" w:rsidRPr="00000000" w14:paraId="0000005B">
            <w:pPr>
              <w:spacing w:after="120" w:before="120" w:lineRule="auto"/>
              <w:rPr>
                <w:rFonts w:ascii="Arial" w:cs="Arial" w:eastAsia="Arial" w:hAnsi="Arial"/>
              </w:rPr>
            </w:pPr>
            <w:r w:rsidDel="00000000" w:rsidR="00000000" w:rsidRPr="00000000">
              <w:rPr>
                <w:rFonts w:ascii="Arial" w:cs="Arial" w:eastAsia="Arial" w:hAnsi="Arial"/>
                <w:rtl w:val="0"/>
              </w:rPr>
              <w:t xml:space="preserve">20/11/25</w:t>
            </w:r>
          </w:p>
        </w:tc>
        <w:tc>
          <w:tcPr/>
          <w:p w:rsidR="00000000" w:rsidDel="00000000" w:rsidP="00000000" w:rsidRDefault="00000000" w:rsidRPr="00000000" w14:paraId="0000005C">
            <w:pPr>
              <w:spacing w:after="120" w:before="120" w:lineRule="auto"/>
              <w:rPr>
                <w:rFonts w:ascii="Arial" w:cs="Arial" w:eastAsia="Arial" w:hAnsi="Arial"/>
              </w:rPr>
            </w:pPr>
            <w:r w:rsidDel="00000000" w:rsidR="00000000" w:rsidRPr="00000000">
              <w:rPr>
                <w:rFonts w:ascii="Arial" w:cs="Arial" w:eastAsia="Arial" w:hAnsi="Arial"/>
                <w:rtl w:val="0"/>
              </w:rPr>
              <w:t xml:space="preserve">Draft first section</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5D">
            <w:pPr>
              <w:spacing w:after="120" w:before="120" w:lineRule="auto"/>
              <w:rPr>
                <w:rFonts w:ascii="Arial" w:cs="Arial" w:eastAsia="Arial" w:hAnsi="Arial"/>
              </w:rPr>
            </w:pPr>
            <w:r w:rsidDel="00000000" w:rsidR="00000000" w:rsidRPr="00000000">
              <w:rPr>
                <w:rFonts w:ascii="Arial" w:cs="Arial" w:eastAsia="Arial" w:hAnsi="Arial"/>
                <w:rtl w:val="0"/>
              </w:rPr>
              <w:t xml:space="preserve">20/11/25</w:t>
            </w:r>
          </w:p>
        </w:tc>
        <w:tc>
          <w:tcPr>
            <w:tcBorders>
              <w:left w:color="000000" w:space="0" w:sz="0" w:val="nil"/>
              <w:right w:color="000000" w:space="0" w:sz="0" w:val="nil"/>
            </w:tcBorders>
          </w:tcPr>
          <w:p w:rsidR="00000000" w:rsidDel="00000000" w:rsidP="00000000" w:rsidRDefault="00000000" w:rsidRPr="00000000" w14:paraId="0000005E">
            <w:pPr>
              <w:spacing w:after="120" w:before="120" w:lineRule="auto"/>
              <w:rPr>
                <w:rFonts w:ascii="Arial" w:cs="Arial" w:eastAsia="Arial" w:hAnsi="Arial"/>
              </w:rPr>
            </w:pPr>
            <w:r w:rsidDel="00000000" w:rsidR="00000000" w:rsidRPr="00000000">
              <w:rPr>
                <w:rFonts w:ascii="Arial" w:cs="Arial" w:eastAsia="Arial" w:hAnsi="Arial"/>
                <w:rtl w:val="0"/>
              </w:rPr>
              <w:t xml:space="preserve">Complete first draft</w:t>
            </w:r>
          </w:p>
        </w:tc>
      </w:tr>
      <w:tr>
        <w:trPr>
          <w:cantSplit w:val="0"/>
          <w:trHeight w:val="285" w:hRule="atLeast"/>
          <w:tblHeader w:val="0"/>
        </w:trPr>
        <w:tc>
          <w:tcPr>
            <w:tcBorders>
              <w:left w:color="000000" w:space="0" w:sz="0" w:val="nil"/>
              <w:right w:color="000000" w:space="0" w:sz="0" w:val="nil"/>
            </w:tcBorders>
          </w:tcPr>
          <w:p w:rsidR="00000000" w:rsidDel="00000000" w:rsidP="00000000" w:rsidRDefault="00000000" w:rsidRPr="00000000" w14:paraId="0000005F">
            <w:pPr>
              <w:spacing w:after="120" w:before="120" w:lineRule="auto"/>
              <w:rPr>
                <w:rFonts w:ascii="Arial" w:cs="Arial" w:eastAsia="Arial" w:hAnsi="Arial"/>
              </w:rPr>
            </w:pPr>
            <w:r w:rsidDel="00000000" w:rsidR="00000000" w:rsidRPr="00000000">
              <w:rPr>
                <w:rFonts w:ascii="Arial" w:cs="Arial" w:eastAsia="Arial" w:hAnsi="Arial"/>
                <w:rtl w:val="0"/>
              </w:rPr>
              <w:t xml:space="preserve">21/11/25</w:t>
            </w:r>
          </w:p>
        </w:tc>
        <w:tc>
          <w:tcPr>
            <w:tcBorders>
              <w:left w:color="000000" w:space="0" w:sz="0" w:val="nil"/>
              <w:right w:color="000000" w:space="0" w:sz="0" w:val="nil"/>
            </w:tcBorders>
          </w:tcPr>
          <w:p w:rsidR="00000000" w:rsidDel="00000000" w:rsidP="00000000" w:rsidRDefault="00000000" w:rsidRPr="00000000" w14:paraId="00000060">
            <w:pPr>
              <w:spacing w:after="120" w:before="120" w:lineRule="auto"/>
              <w:rPr>
                <w:rFonts w:ascii="Arial" w:cs="Arial" w:eastAsia="Arial" w:hAnsi="Arial"/>
              </w:rPr>
            </w:pPr>
            <w:r w:rsidDel="00000000" w:rsidR="00000000" w:rsidRPr="00000000">
              <w:rPr>
                <w:rFonts w:ascii="Arial" w:cs="Arial" w:eastAsia="Arial" w:hAnsi="Arial"/>
                <w:rtl w:val="0"/>
              </w:rPr>
              <w:t xml:space="preserve">Final Editing</w:t>
            </w:r>
          </w:p>
        </w:tc>
      </w:tr>
    </w:tbl>
    <w:p w:rsidR="00000000" w:rsidDel="00000000" w:rsidP="00000000" w:rsidRDefault="00000000" w:rsidRPr="00000000" w14:paraId="00000061">
      <w:pPr>
        <w:spacing w:after="120" w:before="120" w:lineRule="auto"/>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62">
      <w:pPr>
        <w:pStyle w:val="Heading1"/>
        <w:rPr/>
      </w:pPr>
      <w:r w:rsidDel="00000000" w:rsidR="00000000" w:rsidRPr="00000000">
        <w:rPr>
          <w:rtl w:val="0"/>
        </w:rPr>
        <w:t xml:space="preserve">Component 2: Answering the Question</w:t>
      </w:r>
    </w:p>
    <w:p w:rsidR="00000000" w:rsidDel="00000000" w:rsidP="00000000" w:rsidRDefault="00000000" w:rsidRPr="00000000" w14:paraId="00000063">
      <w:pPr>
        <w:pStyle w:val="Heading2"/>
        <w:rPr/>
      </w:pPr>
      <w:bookmarkStart w:colFirst="0" w:colLast="0" w:name="_1xoyyj1e7dsj" w:id="6"/>
      <w:bookmarkEnd w:id="6"/>
      <w:r w:rsidDel="00000000" w:rsidR="00000000" w:rsidRPr="00000000">
        <w:rPr>
          <w:rtl w:val="0"/>
        </w:rPr>
        <w:t xml:space="preserve">Introduction</w:t>
      </w:r>
    </w:p>
    <w:p w:rsidR="00000000" w:rsidDel="00000000" w:rsidP="00000000" w:rsidRDefault="00000000" w:rsidRPr="00000000" w14:paraId="00000064">
      <w:pPr>
        <w:spacing w:after="120" w:before="120" w:lineRule="auto"/>
        <w:rPr>
          <w:rFonts w:ascii="Arial" w:cs="Arial" w:eastAsia="Arial" w:hAnsi="Arial"/>
        </w:rPr>
      </w:pPr>
      <w:r w:rsidDel="00000000" w:rsidR="00000000" w:rsidRPr="00000000">
        <w:rPr>
          <w:rFonts w:ascii="Arial" w:cs="Arial" w:eastAsia="Arial" w:hAnsi="Arial"/>
          <w:rtl w:val="0"/>
        </w:rPr>
        <w:t xml:space="preserve">With the digitalisation of education developing and online learning becoming more common post-pandemic, students have been granted with further flexibility and ease of access. On the other hand, this development also brings challenges in the form of distractions and low motivation. If students want to optimally utilise this opportunity, self-regulation and strategic actions are necessary. This report will answer the question “</w:t>
      </w:r>
      <w:r w:rsidDel="00000000" w:rsidR="00000000" w:rsidRPr="00000000">
        <w:rPr>
          <w:rFonts w:ascii="Arial" w:cs="Arial" w:eastAsia="Arial" w:hAnsi="Arial"/>
          <w:i w:val="1"/>
          <w:iCs w:val="1"/>
          <w:rtl w:val="0"/>
        </w:rPr>
        <w:t xml:space="preserve">What are the challenges and opportunities for students in the digital era, and how can they adapt to succeed?”</w:t>
      </w:r>
      <w:r w:rsidDel="00000000" w:rsidR="00000000" w:rsidRPr="00000000">
        <w:rPr>
          <w:rtl w:val="0"/>
        </w:rPr>
      </w:r>
    </w:p>
    <w:p w:rsidR="00000000" w:rsidDel="00000000" w:rsidP="00000000" w:rsidRDefault="00000000" w:rsidRPr="00000000" w14:paraId="00000065">
      <w:pPr>
        <w:pStyle w:val="Heading2"/>
        <w:rPr/>
      </w:pPr>
      <w:bookmarkStart w:colFirst="0" w:colLast="0" w:name="_knspsw45239b" w:id="7"/>
      <w:bookmarkEnd w:id="7"/>
      <w:r w:rsidDel="00000000" w:rsidR="00000000" w:rsidRPr="00000000">
        <w:rPr>
          <w:rtl w:val="0"/>
        </w:rPr>
        <w:t xml:space="preserve">Challenges students face while in cyber learning</w:t>
      </w:r>
    </w:p>
    <w:p w:rsidR="00000000" w:rsidDel="00000000" w:rsidP="00000000" w:rsidRDefault="00000000" w:rsidRPr="00000000" w14:paraId="00000066">
      <w:pPr>
        <w:spacing w:after="120" w:before="120" w:lineRule="auto"/>
        <w:rPr>
          <w:rFonts w:ascii="Arial" w:cs="Arial" w:eastAsia="Arial" w:hAnsi="Arial"/>
        </w:rPr>
      </w:pPr>
      <w:r w:rsidDel="00000000" w:rsidR="00000000" w:rsidRPr="00000000">
        <w:rPr>
          <w:rFonts w:ascii="Arial" w:cs="Arial" w:eastAsia="Arial" w:hAnsi="Arial"/>
          <w:rtl w:val="0"/>
        </w:rPr>
        <w:t xml:space="preserve">The major challenge is distraction, and especially a digital one. Since digital learning is not possible without a device, it creates a distraction among the learner and it results in them switching between learning and entertainment, which reduces learning efficiency. Physical distraction is also part of it. According to Martin et al. (2025), digital devices disrupt concentration and thus reduce learning efficiency (Kuncoro et al., 2023). Another challenge is inequality in the access to digital learning. Not all learners have access to high-speed internet and a spare device for digital learning, which creates an inequality in accessibility of education. According to Michikyan et al. (2025), the students who are first-generation college students in their family, though they possess the same level of digital skill similar to their peers, they lack accessibility due to factors like device and internet access. For effective utilisation of digital learning, the student should have a combination of skills, accessibility and motivation. These three form the core challenges that students face in availing and optimally utilisation of cyber learning.</w:t>
      </w:r>
    </w:p>
    <w:p w:rsidR="00000000" w:rsidDel="00000000" w:rsidP="00000000" w:rsidRDefault="00000000" w:rsidRPr="00000000" w14:paraId="00000067">
      <w:pPr>
        <w:pStyle w:val="Heading2"/>
        <w:rPr/>
      </w:pPr>
      <w:bookmarkStart w:colFirst="0" w:colLast="0" w:name="_j95zrvcjg45q" w:id="8"/>
      <w:bookmarkEnd w:id="8"/>
      <w:r w:rsidDel="00000000" w:rsidR="00000000" w:rsidRPr="00000000">
        <w:rPr>
          <w:rtl w:val="0"/>
        </w:rPr>
        <w:t xml:space="preserve">Opportunities provided by the digital tools</w:t>
      </w:r>
    </w:p>
    <w:p w:rsidR="00000000" w:rsidDel="00000000" w:rsidP="00000000" w:rsidRDefault="00000000" w:rsidRPr="00000000" w14:paraId="00000068">
      <w:pPr>
        <w:spacing w:after="120" w:before="120" w:lineRule="auto"/>
        <w:rPr>
          <w:rFonts w:ascii="Arial" w:cs="Arial" w:eastAsia="Arial" w:hAnsi="Arial"/>
        </w:rPr>
      </w:pPr>
      <w:r w:rsidDel="00000000" w:rsidR="00000000" w:rsidRPr="00000000">
        <w:rPr>
          <w:rFonts w:ascii="Arial" w:cs="Arial" w:eastAsia="Arial" w:hAnsi="Arial"/>
          <w:rtl w:val="0"/>
        </w:rPr>
        <w:t xml:space="preserve">Among the opportunities that digital learning offers, flexibility is the core advantage of online learning as it allows learners to take the lecture or learn from anywhere but that alone is not the only advantage. Some advantages include; opportunities to revisit past lectures which have been recorded and having the ability to take part in discussions during live sessions. This practice increases accessibility to knowledge and education and enhances inclusivity. Due to the prevalence of digital learning, access to education has now become unrestricted (Alenezi et al., 2023). Digital learning offers an interactive learning experience and now with the advent of VR/AR technology, the utility of the digital tool has risen to great heights (Latif et al., 2024). Another opportunity offered by digital learning is that it allows students to develop and grow in a digitalised society and working environment. In the current era, digital literacy has become crucial and its absence affects the further growth of the individual both at personal and professional levels (Gilli et al., 2024; Hendrawan et al., 2024; Okoye and Ubaka, 2025).</w:t>
      </w:r>
    </w:p>
    <w:p w:rsidR="00000000" w:rsidDel="00000000" w:rsidP="00000000" w:rsidRDefault="00000000" w:rsidRPr="00000000" w14:paraId="00000069">
      <w:pPr>
        <w:pStyle w:val="Heading2"/>
        <w:rPr/>
      </w:pPr>
      <w:bookmarkStart w:colFirst="0" w:colLast="0" w:name="_2slnp52s3szf" w:id="9"/>
      <w:bookmarkEnd w:id="9"/>
      <w:r w:rsidDel="00000000" w:rsidR="00000000" w:rsidRPr="00000000">
        <w:rPr>
          <w:rtl w:val="0"/>
        </w:rPr>
        <w:t xml:space="preserve">Strategies for adaptation</w:t>
      </w:r>
    </w:p>
    <w:p w:rsidR="00000000" w:rsidDel="00000000" w:rsidP="00000000" w:rsidRDefault="00000000" w:rsidRPr="00000000" w14:paraId="0000006A">
      <w:pPr>
        <w:spacing w:after="120" w:before="120" w:lineRule="auto"/>
        <w:rPr>
          <w:rFonts w:ascii="Arial" w:cs="Arial" w:eastAsia="Arial" w:hAnsi="Arial"/>
        </w:rPr>
      </w:pPr>
      <w:r w:rsidDel="00000000" w:rsidR="00000000" w:rsidRPr="00000000">
        <w:rPr>
          <w:rFonts w:ascii="Arial" w:cs="Arial" w:eastAsia="Arial" w:hAnsi="Arial"/>
          <w:rtl w:val="0"/>
        </w:rPr>
        <w:t xml:space="preserve">A student should adopt strategies with a combination of self-behavioral management and focus on cognitive enhancement. Thus, the student can work on the following:</w:t>
      </w:r>
    </w:p>
    <w:p w:rsidR="00000000" w:rsidDel="00000000" w:rsidP="00000000" w:rsidRDefault="00000000" w:rsidRPr="00000000" w14:paraId="0000006B">
      <w:pPr>
        <w:spacing w:after="120" w:before="120" w:lineRule="auto"/>
        <w:rPr>
          <w:rFonts w:ascii="Arial" w:cs="Arial" w:eastAsia="Arial" w:hAnsi="Arial"/>
        </w:rPr>
      </w:pPr>
      <w:r w:rsidDel="00000000" w:rsidR="00000000" w:rsidRPr="00000000">
        <w:rPr>
          <w:rFonts w:ascii="Arial" w:cs="Arial" w:eastAsia="Arial" w:hAnsi="Arial"/>
          <w:rtl w:val="0"/>
        </w:rPr>
        <w:t xml:space="preserve">Time management is crucial to deal with the distraction challenge of digital learning. Self-regulation plays a crucial role here. Properly scheduling the time for entertainment and learning and actually following it requires high self-regulation.</w:t>
      </w:r>
    </w:p>
    <w:p w:rsidR="00000000" w:rsidDel="00000000" w:rsidP="00000000" w:rsidRDefault="00000000" w:rsidRPr="00000000" w14:paraId="0000006C">
      <w:pPr>
        <w:spacing w:after="120" w:before="120" w:lineRule="auto"/>
        <w:rPr>
          <w:rFonts w:ascii="Arial" w:cs="Arial" w:eastAsia="Arial" w:hAnsi="Arial"/>
        </w:rPr>
      </w:pPr>
      <w:r w:rsidDel="00000000" w:rsidR="00000000" w:rsidRPr="00000000">
        <w:rPr>
          <w:rFonts w:ascii="Arial" w:cs="Arial" w:eastAsia="Arial" w:hAnsi="Arial"/>
          <w:rtl w:val="0"/>
        </w:rPr>
        <w:t xml:space="preserve">Another strategic step is to work on digital literacy, i.e. learn how to critically evaluate the content online and its effect on oneself. This would provide a boost in developing digital capital (Lybeck et al., 2024).</w:t>
      </w:r>
    </w:p>
    <w:p w:rsidR="00000000" w:rsidDel="00000000" w:rsidP="00000000" w:rsidRDefault="00000000" w:rsidRPr="00000000" w14:paraId="0000006D">
      <w:pPr>
        <w:spacing w:after="120" w:before="120" w:lineRule="auto"/>
        <w:rPr>
          <w:rFonts w:ascii="Arial" w:cs="Arial" w:eastAsia="Arial" w:hAnsi="Arial"/>
        </w:rPr>
      </w:pPr>
      <w:r w:rsidDel="00000000" w:rsidR="00000000" w:rsidRPr="00000000">
        <w:rPr>
          <w:rFonts w:ascii="Arial" w:cs="Arial" w:eastAsia="Arial" w:hAnsi="Arial"/>
          <w:rtl w:val="0"/>
        </w:rPr>
        <w:t xml:space="preserve">Management of digital fatigue: The student mustn't pay with their health in the race to become proficient in digital skills (de Oliveira Kubrusly Sobral et al., 2022). Proper management of screen time is necessary to avoid a negative impact on other aspects of life.</w:t>
      </w:r>
    </w:p>
    <w:p w:rsidR="00000000" w:rsidDel="00000000" w:rsidP="00000000" w:rsidRDefault="00000000" w:rsidRPr="00000000" w14:paraId="0000006E">
      <w:pPr>
        <w:spacing w:after="120" w:before="120" w:lineRule="auto"/>
        <w:rPr>
          <w:rFonts w:ascii="Arial" w:cs="Arial" w:eastAsia="Arial" w:hAnsi="Arial"/>
        </w:rPr>
      </w:pPr>
      <w:r w:rsidDel="00000000" w:rsidR="00000000" w:rsidRPr="00000000">
        <w:rPr>
          <w:rFonts w:ascii="Arial" w:cs="Arial" w:eastAsia="Arial" w:hAnsi="Arial"/>
          <w:rtl w:val="0"/>
        </w:rPr>
        <w:t xml:space="preserve">Additionally, with the prominence of AI in the current era, using AI as a supporter instead of a ghost writer would be recommended not only for self-growth but also to not fall into the pit of reliance.</w:t>
      </w:r>
    </w:p>
    <w:p w:rsidR="00000000" w:rsidDel="00000000" w:rsidP="00000000" w:rsidRDefault="00000000" w:rsidRPr="00000000" w14:paraId="0000006F">
      <w:pPr>
        <w:pStyle w:val="Heading2"/>
        <w:rPr/>
      </w:pPr>
      <w:bookmarkStart w:colFirst="0" w:colLast="0" w:name="_v517klkd7kjf" w:id="10"/>
      <w:bookmarkEnd w:id="10"/>
      <w:r w:rsidDel="00000000" w:rsidR="00000000" w:rsidRPr="00000000">
        <w:rPr>
          <w:rtl w:val="0"/>
        </w:rPr>
        <w:t xml:space="preserve">Conclusion</w:t>
      </w:r>
    </w:p>
    <w:p w:rsidR="00000000" w:rsidDel="00000000" w:rsidP="00000000" w:rsidRDefault="00000000" w:rsidRPr="00000000" w14:paraId="00000070">
      <w:pPr>
        <w:spacing w:after="120" w:before="120" w:lineRule="auto"/>
        <w:rPr>
          <w:rFonts w:ascii="Arial" w:cs="Arial" w:eastAsia="Arial" w:hAnsi="Arial"/>
        </w:rPr>
      </w:pPr>
      <w:bookmarkStart w:colFirst="0" w:colLast="0" w:name="_wil3bit1sx2n" w:id="11"/>
      <w:bookmarkEnd w:id="11"/>
      <w:r w:rsidDel="00000000" w:rsidR="00000000" w:rsidRPr="00000000">
        <w:rPr>
          <w:rFonts w:ascii="Arial" w:cs="Arial" w:eastAsia="Arial" w:hAnsi="Arial"/>
          <w:rtl w:val="0"/>
        </w:rPr>
        <w:t xml:space="preserve">The digital era offers opportunities but is also accompanied by challenges. Students have to work on these challenges to optimally utilise the opportunities offered by digital learning. And for this, self-regulation, proper management and preventive steps are necessary. As these would be the ultimate factors which determine the direction of their academic growth, i.e. whether they would overcome or succumb to these challenges. </w:t>
      </w:r>
    </w:p>
    <w:p w:rsidR="00000000" w:rsidDel="00000000" w:rsidP="00000000" w:rsidRDefault="00000000" w:rsidRPr="00000000" w14:paraId="00000071">
      <w:pPr>
        <w:pStyle w:val="Heading1"/>
        <w:rPr/>
      </w:pP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tl w:val="0"/>
        </w:rPr>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tl w:val="0"/>
        </w:rPr>
      </w:r>
    </w:p>
    <w:p w:rsidR="00000000" w:rsidDel="00000000" w:rsidP="00000000" w:rsidRDefault="00000000" w:rsidRPr="00000000" w14:paraId="0000007A">
      <w:pPr>
        <w:rPr>
          <w:rFonts w:ascii="Arial" w:cs="Arial" w:eastAsia="Arial" w:hAnsi="Arial"/>
        </w:rPr>
      </w:pPr>
      <w:r w:rsidDel="00000000" w:rsidR="00000000" w:rsidRPr="00000000">
        <w:rPr>
          <w:rtl w:val="0"/>
        </w:rPr>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rPr>
      </w:pP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rPr>
      </w:pPr>
      <w:r w:rsidDel="00000000" w:rsidR="00000000" w:rsidRPr="00000000">
        <w:rPr>
          <w:rtl w:val="0"/>
        </w:rPr>
      </w:r>
    </w:p>
    <w:p w:rsidR="00000000" w:rsidDel="00000000" w:rsidP="00000000" w:rsidRDefault="00000000" w:rsidRPr="00000000" w14:paraId="00000080">
      <w:pPr>
        <w:rPr>
          <w:rFonts w:ascii="Arial" w:cs="Arial" w:eastAsia="Arial" w:hAnsi="Arial"/>
        </w:rPr>
      </w:pPr>
      <w:r w:rsidDel="00000000" w:rsidR="00000000" w:rsidRPr="00000000">
        <w:rPr>
          <w:rtl w:val="0"/>
        </w:rPr>
      </w:r>
    </w:p>
    <w:p w:rsidR="00000000" w:rsidDel="00000000" w:rsidP="00000000" w:rsidRDefault="00000000" w:rsidRPr="00000000" w14:paraId="00000081">
      <w:pPr>
        <w:pStyle w:val="Heading1"/>
        <w:rPr/>
      </w:pPr>
      <w:bookmarkStart w:colFirst="0" w:colLast="0" w:name="_iwo5xe2a9whn" w:id="12"/>
      <w:bookmarkEnd w:id="12"/>
      <w:r w:rsidDel="00000000" w:rsidR="00000000" w:rsidRPr="00000000">
        <w:rPr>
          <w:rtl w:val="0"/>
        </w:rPr>
        <w:t xml:space="preserve">Component 3: Reflective Presentation</w:t>
      </w:r>
    </w:p>
    <w:p w:rsidR="00000000" w:rsidDel="00000000" w:rsidP="00000000" w:rsidRDefault="00000000" w:rsidRPr="00000000" w14:paraId="00000082">
      <w:pPr>
        <w:pStyle w:val="Heading2"/>
        <w:rPr/>
      </w:pPr>
      <w:bookmarkStart w:colFirst="0" w:colLast="0" w:name="_gmy7t8u9ubsr" w:id="13"/>
      <w:bookmarkEnd w:id="13"/>
      <w:r w:rsidDel="00000000" w:rsidR="00000000" w:rsidRPr="00000000">
        <w:rPr>
          <w:rtl w:val="0"/>
        </w:rPr>
        <w:t xml:space="preserve">Slide 1: Overview</w:t>
      </w:r>
    </w:p>
    <w:p w:rsidR="00000000" w:rsidDel="00000000" w:rsidP="00000000" w:rsidRDefault="00000000" w:rsidRPr="00000000" w14:paraId="00000083">
      <w:pPr>
        <w:spacing w:after="120" w:before="120" w:lineRule="auto"/>
        <w:jc w:val="center"/>
        <w:rPr>
          <w:rFonts w:ascii="Arial" w:cs="Arial" w:eastAsia="Arial" w:hAnsi="Arial"/>
        </w:rPr>
      </w:pPr>
      <w:r w:rsidDel="00000000" w:rsidR="00000000" w:rsidRPr="00000000">
        <w:rPr>
          <w:rFonts w:ascii="Arial" w:cs="Arial" w:eastAsia="Arial" w:hAnsi="Arial"/>
        </w:rPr>
        <w:drawing>
          <wp:inline distB="0" distT="0" distL="0" distR="0">
            <wp:extent cx="3657917" cy="2743438"/>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657917" cy="2743438"/>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spacing w:after="120" w:before="120" w:lineRule="auto"/>
        <w:rPr>
          <w:rFonts w:ascii="Arial" w:cs="Arial" w:eastAsia="Arial" w:hAnsi="Arial"/>
        </w:rPr>
      </w:pPr>
      <w:r w:rsidDel="00000000" w:rsidR="00000000" w:rsidRPr="00000000">
        <w:rPr>
          <w:rFonts w:ascii="Arial" w:cs="Arial" w:eastAsia="Arial" w:hAnsi="Arial"/>
          <w:rtl w:val="0"/>
        </w:rPr>
        <w:t xml:space="preserve">This slide mentions the topic explored during the research and conclusion obtained from the research.</w:t>
      </w:r>
    </w:p>
    <w:p w:rsidR="00000000" w:rsidDel="00000000" w:rsidP="00000000" w:rsidRDefault="00000000" w:rsidRPr="00000000" w14:paraId="00000085">
      <w:pPr>
        <w:pStyle w:val="Heading2"/>
        <w:rPr/>
      </w:pPr>
      <w:bookmarkStart w:colFirst="0" w:colLast="0" w:name="_v93hm52nvhbv" w:id="14"/>
      <w:bookmarkEnd w:id="14"/>
      <w:r w:rsidDel="00000000" w:rsidR="00000000" w:rsidRPr="00000000">
        <w:rPr>
          <w:rtl w:val="0"/>
        </w:rPr>
        <w:t xml:space="preserve">Slide 2: Reflection on My Research Process</w:t>
      </w:r>
    </w:p>
    <w:p w:rsidR="00000000" w:rsidDel="00000000" w:rsidP="00000000" w:rsidRDefault="00000000" w:rsidRPr="00000000" w14:paraId="00000086">
      <w:pPr>
        <w:spacing w:after="120" w:before="120" w:lineRule="auto"/>
        <w:jc w:val="center"/>
        <w:rPr>
          <w:rFonts w:ascii="Arial" w:cs="Arial" w:eastAsia="Arial" w:hAnsi="Arial"/>
        </w:rPr>
      </w:pPr>
      <w:r w:rsidDel="00000000" w:rsidR="00000000" w:rsidRPr="00000000">
        <w:rPr>
          <w:rFonts w:ascii="Arial" w:cs="Arial" w:eastAsia="Arial" w:hAnsi="Arial"/>
        </w:rPr>
        <w:drawing>
          <wp:inline distB="0" distT="0" distL="0" distR="0">
            <wp:extent cx="3657917" cy="2743438"/>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3657917" cy="2743438"/>
                    </a:xfrm>
                    <a:prstGeom prst="rect"/>
                    <a:ln/>
                  </pic:spPr>
                </pic:pic>
              </a:graphicData>
            </a:graphic>
          </wp:inline>
        </w:drawing>
      </w:r>
      <w:r w:rsidDel="00000000" w:rsidR="00000000" w:rsidRPr="00000000">
        <w:rPr>
          <w:rtl w:val="0"/>
        </w:rPr>
      </w:r>
    </w:p>
    <w:p w:rsidR="00000000" w:rsidDel="00000000" w:rsidP="00000000" w:rsidRDefault="00000000" w:rsidRPr="00000000" w14:paraId="00000087">
      <w:pPr>
        <w:spacing w:after="120" w:before="120" w:lineRule="auto"/>
        <w:rPr>
          <w:rFonts w:ascii="Arial" w:cs="Arial" w:eastAsia="Arial" w:hAnsi="Arial"/>
        </w:rPr>
      </w:pPr>
      <w:r w:rsidDel="00000000" w:rsidR="00000000" w:rsidRPr="00000000">
        <w:rPr>
          <w:rFonts w:ascii="Arial" w:cs="Arial" w:eastAsia="Arial" w:hAnsi="Arial"/>
          <w:rtl w:val="0"/>
        </w:rPr>
        <w:t xml:space="preserve">This slide provides reflection of the research process and challenges during the research.</w:t>
      </w:r>
    </w:p>
    <w:p w:rsidR="00000000" w:rsidDel="00000000" w:rsidP="00000000" w:rsidRDefault="00000000" w:rsidRPr="00000000" w14:paraId="00000088">
      <w:pPr>
        <w:pStyle w:val="Heading2"/>
        <w:rPr/>
      </w:pPr>
      <w:bookmarkStart w:colFirst="0" w:colLast="0" w:name="_n2xz2jlh25f" w:id="15"/>
      <w:bookmarkEnd w:id="15"/>
      <w:r w:rsidDel="00000000" w:rsidR="00000000" w:rsidRPr="00000000">
        <w:rPr>
          <w:rtl w:val="0"/>
        </w:rPr>
        <w:t xml:space="preserve">Slide 3: Key Learning and Future Improvements</w:t>
      </w:r>
    </w:p>
    <w:p w:rsidR="00000000" w:rsidDel="00000000" w:rsidP="00000000" w:rsidRDefault="00000000" w:rsidRPr="00000000" w14:paraId="00000089">
      <w:pPr>
        <w:jc w:val="center"/>
        <w:rPr>
          <w:rFonts w:ascii="Arial" w:cs="Arial" w:eastAsia="Arial" w:hAnsi="Arial"/>
        </w:rPr>
      </w:pPr>
      <w:r w:rsidDel="00000000" w:rsidR="00000000" w:rsidRPr="00000000">
        <w:rPr>
          <w:rFonts w:ascii="Arial" w:cs="Arial" w:eastAsia="Arial" w:hAnsi="Arial"/>
        </w:rPr>
        <w:drawing>
          <wp:inline distB="0" distT="0" distL="0" distR="0">
            <wp:extent cx="3657917" cy="2743438"/>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657917" cy="2743438"/>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jc w:val="left"/>
        <w:rPr>
          <w:rFonts w:ascii="Arial" w:cs="Arial" w:eastAsia="Arial" w:hAnsi="Arial"/>
        </w:rPr>
      </w:pPr>
      <w:r w:rsidDel="00000000" w:rsidR="00000000" w:rsidRPr="00000000">
        <w:rPr>
          <w:rFonts w:ascii="Arial" w:cs="Arial" w:eastAsia="Arial" w:hAnsi="Arial"/>
          <w:rtl w:val="0"/>
        </w:rPr>
        <w:t xml:space="preserve">This slide mentions the key practices that need improvement going forward.</w:t>
      </w:r>
    </w:p>
    <w:p w:rsidR="00000000" w:rsidDel="00000000" w:rsidP="00000000" w:rsidRDefault="00000000" w:rsidRPr="00000000" w14:paraId="0000008B">
      <w:pPr>
        <w:rPr>
          <w:rFonts w:ascii="Arial" w:cs="Arial" w:eastAsia="Arial" w:hAnsi="Arial"/>
        </w:rPr>
      </w:pPr>
      <w:r w:rsidDel="00000000" w:rsidR="00000000" w:rsidRPr="00000000">
        <w:rPr>
          <w:rtl w:val="0"/>
        </w:rPr>
      </w:r>
    </w:p>
    <w:p w:rsidR="00000000" w:rsidDel="00000000" w:rsidP="00000000" w:rsidRDefault="00000000" w:rsidRPr="00000000" w14:paraId="0000008C">
      <w:pPr>
        <w:rPr>
          <w:rFonts w:ascii="Arial" w:cs="Arial" w:eastAsia="Arial" w:hAnsi="Arial"/>
        </w:rPr>
      </w:pPr>
      <w:r w:rsidDel="00000000" w:rsidR="00000000" w:rsidRPr="00000000">
        <w:rPr>
          <w:rtl w:val="0"/>
        </w:rPr>
      </w:r>
    </w:p>
    <w:p w:rsidR="00000000" w:rsidDel="00000000" w:rsidP="00000000" w:rsidRDefault="00000000" w:rsidRPr="00000000" w14:paraId="0000008D">
      <w:pPr>
        <w:rPr>
          <w:rFonts w:ascii="Arial" w:cs="Arial" w:eastAsia="Arial" w:hAnsi="Arial"/>
        </w:rPr>
      </w:pPr>
      <w:r w:rsidDel="00000000" w:rsidR="00000000" w:rsidRPr="00000000">
        <w:rPr>
          <w:rtl w:val="0"/>
        </w:rPr>
      </w:r>
    </w:p>
    <w:p w:rsidR="00000000" w:rsidDel="00000000" w:rsidP="00000000" w:rsidRDefault="00000000" w:rsidRPr="00000000" w14:paraId="0000008E">
      <w:pPr>
        <w:rPr>
          <w:rFonts w:ascii="Arial" w:cs="Arial" w:eastAsia="Arial" w:hAnsi="Arial"/>
        </w:rPr>
      </w:pPr>
      <w:r w:rsidDel="00000000" w:rsidR="00000000" w:rsidRPr="00000000">
        <w:rPr>
          <w:rtl w:val="0"/>
        </w:rPr>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tl w:val="0"/>
        </w:rPr>
      </w:r>
    </w:p>
    <w:p w:rsidR="00000000" w:rsidDel="00000000" w:rsidP="00000000" w:rsidRDefault="00000000" w:rsidRPr="00000000" w14:paraId="00000091">
      <w:pPr>
        <w:rPr>
          <w:rFonts w:ascii="Arial" w:cs="Arial" w:eastAsia="Arial" w:hAnsi="Arial"/>
        </w:rPr>
      </w:pPr>
      <w:r w:rsidDel="00000000" w:rsidR="00000000" w:rsidRPr="00000000">
        <w:rPr>
          <w:rtl w:val="0"/>
        </w:rPr>
      </w:r>
    </w:p>
    <w:p w:rsidR="00000000" w:rsidDel="00000000" w:rsidP="00000000" w:rsidRDefault="00000000" w:rsidRPr="00000000" w14:paraId="00000092">
      <w:pPr>
        <w:rPr>
          <w:rFonts w:ascii="Arial" w:cs="Arial" w:eastAsia="Arial" w:hAnsi="Arial"/>
        </w:rPr>
      </w:pPr>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rPr>
      </w:pPr>
      <w:r w:rsidDel="00000000" w:rsidR="00000000" w:rsidRPr="00000000">
        <w:rPr>
          <w:rtl w:val="0"/>
        </w:rPr>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pStyle w:val="Heading1"/>
        <w:rPr/>
      </w:pPr>
      <w:bookmarkStart w:colFirst="0" w:colLast="0" w:name="_ks3vcyjqre57" w:id="16"/>
      <w:bookmarkEnd w:id="16"/>
      <w:r w:rsidDel="00000000" w:rsidR="00000000" w:rsidRPr="00000000">
        <w:rPr>
          <w:rtl w:val="0"/>
        </w:rPr>
        <w:t xml:space="preserve">References </w:t>
      </w:r>
    </w:p>
    <w:p w:rsidR="00000000" w:rsidDel="00000000" w:rsidP="00000000" w:rsidRDefault="00000000" w:rsidRPr="00000000" w14:paraId="00000099">
      <w:pPr>
        <w:spacing w:after="120" w:before="120" w:lineRule="auto"/>
        <w:rPr>
          <w:rFonts w:ascii="Arial" w:cs="Arial" w:eastAsia="Arial" w:hAnsi="Arial"/>
        </w:rPr>
      </w:pPr>
      <w:r w:rsidDel="00000000" w:rsidR="00000000" w:rsidRPr="00000000">
        <w:rPr>
          <w:rFonts w:ascii="Arial" w:cs="Arial" w:eastAsia="Arial" w:hAnsi="Arial"/>
          <w:color w:val="222222"/>
          <w:highlight w:val="white"/>
          <w:rtl w:val="0"/>
        </w:rPr>
        <w:t xml:space="preserve">Alenezi, M., Wardat, S., and Akour, M. (2023) ‘The need of integrating digital education in higher education: Challenges and opportunities’, </w:t>
      </w:r>
      <w:r w:rsidDel="00000000" w:rsidR="00000000" w:rsidRPr="00000000">
        <w:rPr>
          <w:rFonts w:ascii="Arial" w:cs="Arial" w:eastAsia="Arial" w:hAnsi="Arial"/>
          <w:i w:val="1"/>
          <w:iCs w:val="1"/>
          <w:color w:val="222222"/>
          <w:highlight w:val="white"/>
          <w:rtl w:val="0"/>
        </w:rPr>
        <w:t xml:space="preserve">Sustainability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15</w:t>
      </w:r>
      <w:r w:rsidDel="00000000" w:rsidR="00000000" w:rsidRPr="00000000">
        <w:rPr>
          <w:rFonts w:ascii="Arial" w:cs="Arial" w:eastAsia="Arial" w:hAnsi="Arial"/>
          <w:color w:val="222222"/>
          <w:highlight w:val="white"/>
          <w:rtl w:val="0"/>
        </w:rPr>
        <w:t xml:space="preserve">(6), pp. 1-12. Available at: (Accessed: 20 November 2025).</w:t>
      </w:r>
      <w:r w:rsidDel="00000000" w:rsidR="00000000" w:rsidRPr="00000000">
        <w:rPr>
          <w:rtl w:val="0"/>
        </w:rPr>
      </w:r>
    </w:p>
    <w:p w:rsidR="00000000" w:rsidDel="00000000" w:rsidP="00000000" w:rsidRDefault="00000000" w:rsidRPr="00000000" w14:paraId="0000009A">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Al-Tkhayneh, K. M., Altakhaineh, A. R. M., and Nser, K. K. (2023) ‘The impact of the physical environment on the quality of distance education’, </w:t>
      </w:r>
      <w:r w:rsidDel="00000000" w:rsidR="00000000" w:rsidRPr="00000000">
        <w:rPr>
          <w:rFonts w:ascii="Arial" w:cs="Arial" w:eastAsia="Arial" w:hAnsi="Arial"/>
          <w:i w:val="1"/>
          <w:iCs w:val="1"/>
          <w:color w:val="222222"/>
          <w:highlight w:val="white"/>
          <w:rtl w:val="0"/>
        </w:rPr>
        <w:t xml:space="preserve">Quality Assurance in Education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31</w:t>
      </w:r>
      <w:r w:rsidDel="00000000" w:rsidR="00000000" w:rsidRPr="00000000">
        <w:rPr>
          <w:rFonts w:ascii="Arial" w:cs="Arial" w:eastAsia="Arial" w:hAnsi="Arial"/>
          <w:color w:val="222222"/>
          <w:highlight w:val="white"/>
          <w:rtl w:val="0"/>
        </w:rPr>
        <w:t xml:space="preserve">(3), pp. 504-519. Available at: https://doi.org/10.1186/s40561-023-00222-4</w:t>
      </w:r>
    </w:p>
    <w:p w:rsidR="00000000" w:rsidDel="00000000" w:rsidP="00000000" w:rsidRDefault="00000000" w:rsidRPr="00000000" w14:paraId="0000009B">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Davies, P. M., Alotaishan, R. M. T., Alabdulwahed, H. K. A., Khan, A. M. F., Ateya, R. M., Alkhamis, T. S., and Alodhieb, A. A. A. (2023) ‘Perspectives on cyberlearning: A case study by students, about students’, </w:t>
      </w:r>
      <w:r w:rsidDel="00000000" w:rsidR="00000000" w:rsidRPr="00000000">
        <w:rPr>
          <w:rFonts w:ascii="Arial" w:cs="Arial" w:eastAsia="Arial" w:hAnsi="Arial"/>
          <w:i w:val="1"/>
          <w:iCs w:val="1"/>
          <w:color w:val="222222"/>
          <w:highlight w:val="white"/>
          <w:rtl w:val="0"/>
        </w:rPr>
        <w:t xml:space="preserve">Education and Information Technologies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28</w:t>
      </w:r>
      <w:r w:rsidDel="00000000" w:rsidR="00000000" w:rsidRPr="00000000">
        <w:rPr>
          <w:rFonts w:ascii="Arial" w:cs="Arial" w:eastAsia="Arial" w:hAnsi="Arial"/>
          <w:color w:val="222222"/>
          <w:highlight w:val="white"/>
          <w:rtl w:val="0"/>
        </w:rPr>
        <w:t xml:space="preserve">(8), pp. 9731-9745. Available at: https://doi.org/10.1007/s10639-022-11564-w</w:t>
      </w:r>
    </w:p>
    <w:p w:rsidR="00000000" w:rsidDel="00000000" w:rsidP="00000000" w:rsidRDefault="00000000" w:rsidRPr="00000000" w14:paraId="0000009C">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12121"/>
          <w:highlight w:val="white"/>
          <w:rtl w:val="0"/>
        </w:rPr>
        <w:t xml:space="preserve">de Oliveira Kubrusly Sobral,  J. B., Lima, D. L. F., Lima Rocha, H. A., de Brito, E. S., Duarte, L. H. G., Bento, L. B. B. B.  and  Kubrusly M.  (2022) ‘Active methodologies association with online learning fatigue among medical students’, </w:t>
      </w:r>
      <w:r w:rsidDel="00000000" w:rsidR="00000000" w:rsidRPr="00000000">
        <w:rPr>
          <w:rFonts w:ascii="Arial" w:cs="Arial" w:eastAsia="Arial" w:hAnsi="Arial"/>
          <w:i w:val="1"/>
          <w:iCs w:val="1"/>
          <w:color w:val="212121"/>
          <w:highlight w:val="white"/>
          <w:rtl w:val="0"/>
        </w:rPr>
        <w:t xml:space="preserve">BMC Med Education</w:t>
      </w:r>
      <w:r w:rsidDel="00000000" w:rsidR="00000000" w:rsidRPr="00000000">
        <w:rPr>
          <w:rFonts w:ascii="Arial" w:cs="Arial" w:eastAsia="Arial" w:hAnsi="Arial"/>
          <w:color w:val="212121"/>
          <w:highlight w:val="white"/>
          <w:rtl w:val="0"/>
        </w:rPr>
        <w:t xml:space="preserve">, 22(1), p. 74. </w:t>
      </w:r>
      <w:r w:rsidDel="00000000" w:rsidR="00000000" w:rsidRPr="00000000">
        <w:rPr>
          <w:rFonts w:ascii="Arial" w:cs="Arial" w:eastAsia="Arial" w:hAnsi="Arial"/>
          <w:color w:val="222222"/>
          <w:highlight w:val="white"/>
          <w:rtl w:val="0"/>
        </w:rPr>
        <w:t xml:space="preserve">Available at: https://doi.org/10.1186/s12909-022-03143-x </w:t>
      </w:r>
    </w:p>
    <w:p w:rsidR="00000000" w:rsidDel="00000000" w:rsidP="00000000" w:rsidRDefault="00000000" w:rsidRPr="00000000" w14:paraId="0000009D">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Esparrago-Kalidas, A. J. (2021) ‘The effectiveness of CRAAP test in evaluating credibility of sources’, </w:t>
      </w:r>
      <w:r w:rsidDel="00000000" w:rsidR="00000000" w:rsidRPr="00000000">
        <w:rPr>
          <w:rFonts w:ascii="Arial" w:cs="Arial" w:eastAsia="Arial" w:hAnsi="Arial"/>
          <w:i w:val="1"/>
          <w:iCs w:val="1"/>
          <w:color w:val="222222"/>
          <w:highlight w:val="white"/>
          <w:rtl w:val="0"/>
        </w:rPr>
        <w:t xml:space="preserve">International Journal of TESOL &amp; Education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w:t>
      </w:r>
      <w:r w:rsidDel="00000000" w:rsidR="00000000" w:rsidRPr="00000000">
        <w:rPr>
          <w:rFonts w:ascii="Arial" w:cs="Arial" w:eastAsia="Arial" w:hAnsi="Arial"/>
          <w:color w:val="222222"/>
          <w:highlight w:val="white"/>
          <w:rtl w:val="0"/>
        </w:rPr>
        <w:t xml:space="preserve">(2), pp.1-14. Available at: https://www.i-jte.org/index.php/journal/article/download/25/8 (Accessed: 20 November 2025).</w:t>
      </w:r>
    </w:p>
    <w:p w:rsidR="00000000" w:rsidDel="00000000" w:rsidP="00000000" w:rsidRDefault="00000000" w:rsidRPr="00000000" w14:paraId="0000009E">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Gilli, K., Lettner, N., and Guettel, W. (2024) The future of leadership: new digital skills or old analog virtues?’, </w:t>
      </w:r>
      <w:r w:rsidDel="00000000" w:rsidR="00000000" w:rsidRPr="00000000">
        <w:rPr>
          <w:rFonts w:ascii="Arial" w:cs="Arial" w:eastAsia="Arial" w:hAnsi="Arial"/>
          <w:i w:val="1"/>
          <w:iCs w:val="1"/>
          <w:color w:val="222222"/>
          <w:highlight w:val="white"/>
          <w:rtl w:val="0"/>
        </w:rPr>
        <w:t xml:space="preserve">Journal of Business Strategy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45</w:t>
      </w:r>
      <w:r w:rsidDel="00000000" w:rsidR="00000000" w:rsidRPr="00000000">
        <w:rPr>
          <w:rFonts w:ascii="Arial" w:cs="Arial" w:eastAsia="Arial" w:hAnsi="Arial"/>
          <w:color w:val="222222"/>
          <w:highlight w:val="white"/>
          <w:rtl w:val="0"/>
        </w:rPr>
        <w:t xml:space="preserve">(1), pp. 10-16. Available at:  https://www.emerald.com/jbs/article-pdf/45/1/10/9593994/jbs-06-2022-0093.pdf (Accessed: 20 November 2025).</w:t>
      </w:r>
    </w:p>
    <w:p w:rsidR="00000000" w:rsidDel="00000000" w:rsidP="00000000" w:rsidRDefault="00000000" w:rsidRPr="00000000" w14:paraId="0000009F">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Hendrawan, S.A., Chatra, A., Iman, N., Hidayatullah, S. and Suprayitno, D. (2024) ‘Digital transformation in MSMEs: Challenges and opportunities in technology management’, </w:t>
      </w:r>
      <w:r w:rsidDel="00000000" w:rsidR="00000000" w:rsidRPr="00000000">
        <w:rPr>
          <w:rFonts w:ascii="Arial" w:cs="Arial" w:eastAsia="Arial" w:hAnsi="Arial"/>
          <w:i w:val="1"/>
          <w:iCs w:val="1"/>
          <w:color w:val="222222"/>
          <w:highlight w:val="white"/>
          <w:rtl w:val="0"/>
        </w:rPr>
        <w:t xml:space="preserve">Jurnal Informasi dan Teknologi</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6</w:t>
      </w:r>
      <w:r w:rsidDel="00000000" w:rsidR="00000000" w:rsidRPr="00000000">
        <w:rPr>
          <w:rFonts w:ascii="Arial" w:cs="Arial" w:eastAsia="Arial" w:hAnsi="Arial"/>
          <w:color w:val="222222"/>
          <w:highlight w:val="white"/>
          <w:rtl w:val="0"/>
        </w:rPr>
        <w:t xml:space="preserve">(2), pp.141-149. Available at: https://doi.org/</w:t>
      </w:r>
      <w:r w:rsidDel="00000000" w:rsidR="00000000" w:rsidRPr="00000000">
        <w:rPr>
          <w:rFonts w:ascii="Arial" w:cs="Arial" w:eastAsia="Arial" w:hAnsi="Arial"/>
          <w:rtl w:val="0"/>
        </w:rPr>
        <w:t xml:space="preserve">10.60083/jidt.v6i2.551</w:t>
      </w:r>
      <w:r w:rsidDel="00000000" w:rsidR="00000000" w:rsidRPr="00000000">
        <w:rPr>
          <w:rtl w:val="0"/>
        </w:rPr>
      </w:r>
    </w:p>
    <w:p w:rsidR="00000000" w:rsidDel="00000000" w:rsidP="00000000" w:rsidRDefault="00000000" w:rsidRPr="00000000" w14:paraId="000000A0">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Kuncoro, K. S., Martadiputra, B. A. P., Jupri, A., and Hendriyanto, A. (2023) A rapid review of the impact of digital distraction on mathematics online learning. In </w:t>
      </w:r>
      <w:r w:rsidDel="00000000" w:rsidR="00000000" w:rsidRPr="00000000">
        <w:rPr>
          <w:rFonts w:ascii="Arial" w:cs="Arial" w:eastAsia="Arial" w:hAnsi="Arial"/>
          <w:i w:val="1"/>
          <w:iCs w:val="1"/>
          <w:color w:val="222222"/>
          <w:highlight w:val="white"/>
          <w:rtl w:val="0"/>
        </w:rPr>
        <w:t xml:space="preserve">AIP conference proceedings,</w:t>
      </w:r>
      <w:r w:rsidDel="00000000" w:rsidR="00000000" w:rsidRPr="00000000">
        <w:rPr>
          <w:rFonts w:ascii="Arial" w:cs="Arial" w:eastAsia="Arial" w:hAnsi="Arial"/>
          <w:color w:val="222222"/>
          <w:highlight w:val="white"/>
          <w:rtl w:val="0"/>
        </w:rPr>
        <w:t xml:space="preserve"> AIP Publishing, 2909(1). Available at: </w:t>
      </w:r>
      <w:r w:rsidDel="00000000" w:rsidR="00000000" w:rsidRPr="00000000">
        <w:rPr>
          <w:rFonts w:ascii="Arial" w:cs="Arial" w:eastAsia="Arial" w:hAnsi="Arial"/>
          <w:highlight w:val="white"/>
          <w:rtl w:val="0"/>
        </w:rPr>
        <w:t xml:space="preserve">https://doi.org/10.1063/5.0181943</w:t>
      </w:r>
      <w:r w:rsidDel="00000000" w:rsidR="00000000" w:rsidRPr="00000000">
        <w:rPr>
          <w:rFonts w:ascii="Arial" w:cs="Arial" w:eastAsia="Arial" w:hAnsi="Arial"/>
          <w:color w:val="222222"/>
          <w:highlight w:val="white"/>
          <w:rtl w:val="0"/>
        </w:rPr>
        <w:t xml:space="preserve"> </w:t>
      </w:r>
    </w:p>
    <w:p w:rsidR="00000000" w:rsidDel="00000000" w:rsidP="00000000" w:rsidRDefault="00000000" w:rsidRPr="00000000" w14:paraId="000000A1">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Latif, W. B., Yasin, I. M. Y., Rahaman, M. A., Forid, M. S., Islam, M. N., and  Hossain, M. Z. (2024) ‘Impact of Augmented Reality (AR) and Virtual Reality (VR) on Interactive Learning Systems’, </w:t>
      </w:r>
      <w:r w:rsidDel="00000000" w:rsidR="00000000" w:rsidRPr="00000000">
        <w:rPr>
          <w:rFonts w:ascii="Arial" w:cs="Arial" w:eastAsia="Arial" w:hAnsi="Arial"/>
          <w:i w:val="1"/>
          <w:iCs w:val="1"/>
          <w:color w:val="222222"/>
          <w:highlight w:val="white"/>
          <w:rtl w:val="0"/>
        </w:rPr>
        <w:t xml:space="preserve">Pacific Journal of Advanced Engineering Innovations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1</w:t>
      </w:r>
      <w:r w:rsidDel="00000000" w:rsidR="00000000" w:rsidRPr="00000000">
        <w:rPr>
          <w:rFonts w:ascii="Arial" w:cs="Arial" w:eastAsia="Arial" w:hAnsi="Arial"/>
          <w:color w:val="222222"/>
          <w:highlight w:val="white"/>
          <w:rtl w:val="0"/>
        </w:rPr>
        <w:t xml:space="preserve">(1), pp. 23-32. Available at: https://www.researchgate.net/profile/Md-Atikur-Rahaman/publication/388917561_Impact_of_Augmented_Reality_AR_and_Virtual_Reality_VR_on_Interactive_Learning_Systems/links/67ac85e78311ce680c5f0992/Impact-of-Augmented-Reality-AR-and-Virtual-Reality-VR-on-Interactive-Learning-Systems.pdf (Accessed: 20 November 2025).</w:t>
      </w:r>
    </w:p>
    <w:p w:rsidR="00000000" w:rsidDel="00000000" w:rsidP="00000000" w:rsidRDefault="00000000" w:rsidRPr="00000000" w14:paraId="000000A2">
      <w:pPr>
        <w:spacing w:after="120" w:before="120" w:lineRule="auto"/>
        <w:rPr>
          <w:rFonts w:ascii="Arial" w:cs="Arial" w:eastAsia="Arial" w:hAnsi="Arial"/>
        </w:rPr>
      </w:pPr>
      <w:r w:rsidDel="00000000" w:rsidR="00000000" w:rsidRPr="00000000">
        <w:rPr>
          <w:rFonts w:ascii="Arial" w:cs="Arial" w:eastAsia="Arial" w:hAnsi="Arial"/>
          <w:color w:val="222222"/>
          <w:highlight w:val="white"/>
          <w:rtl w:val="0"/>
        </w:rPr>
        <w:t xml:space="preserve">Lybeck, R., Koiranen, I. and Koivula, A. (2024) ‘From digital divide to digital capital: the role of education and digital skills in social media participation’, </w:t>
      </w:r>
      <w:r w:rsidDel="00000000" w:rsidR="00000000" w:rsidRPr="00000000">
        <w:rPr>
          <w:rFonts w:ascii="Arial" w:cs="Arial" w:eastAsia="Arial" w:hAnsi="Arial"/>
          <w:i w:val="1"/>
          <w:iCs w:val="1"/>
          <w:color w:val="222222"/>
          <w:highlight w:val="white"/>
          <w:rtl w:val="0"/>
        </w:rPr>
        <w:t xml:space="preserve">Universal Access in the Information Society, </w:t>
      </w:r>
      <w:r w:rsidDel="00000000" w:rsidR="00000000" w:rsidRPr="00000000">
        <w:rPr>
          <w:rFonts w:ascii="Arial" w:cs="Arial" w:eastAsia="Arial" w:hAnsi="Arial"/>
          <w:b w:val="1"/>
          <w:bCs w:val="1"/>
          <w:color w:val="222222"/>
          <w:highlight w:val="white"/>
          <w:rtl w:val="0"/>
        </w:rPr>
        <w:t xml:space="preserve">23</w:t>
      </w:r>
      <w:r w:rsidDel="00000000" w:rsidR="00000000" w:rsidRPr="00000000">
        <w:rPr>
          <w:rFonts w:ascii="Arial" w:cs="Arial" w:eastAsia="Arial" w:hAnsi="Arial"/>
          <w:color w:val="222222"/>
          <w:highlight w:val="white"/>
          <w:rtl w:val="0"/>
        </w:rPr>
        <w:t xml:space="preserve">, pp. 1657–1669 Available at: https://doi.org/10.1007/s10209-022-00961-0</w:t>
      </w:r>
      <w:r w:rsidDel="00000000" w:rsidR="00000000" w:rsidRPr="00000000">
        <w:rPr>
          <w:rtl w:val="0"/>
        </w:rPr>
      </w:r>
    </w:p>
    <w:p w:rsidR="00000000" w:rsidDel="00000000" w:rsidP="00000000" w:rsidRDefault="00000000" w:rsidRPr="00000000" w14:paraId="000000A3">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Martin, F., Long, S., Haywood, K., and Xie, K. (2025) ‘Digital distractions in education: a systematic review of research on causes, consequences and prevention strategies’, </w:t>
      </w:r>
      <w:r w:rsidDel="00000000" w:rsidR="00000000" w:rsidRPr="00000000">
        <w:rPr>
          <w:rFonts w:ascii="Arial" w:cs="Arial" w:eastAsia="Arial" w:hAnsi="Arial"/>
          <w:i w:val="1"/>
          <w:iCs w:val="1"/>
          <w:color w:val="222222"/>
          <w:highlight w:val="white"/>
          <w:rtl w:val="0"/>
        </w:rPr>
        <w:t xml:space="preserve">Educational technology research and development</w:t>
      </w:r>
      <w:r w:rsidDel="00000000" w:rsidR="00000000" w:rsidRPr="00000000">
        <w:rPr>
          <w:rFonts w:ascii="Arial" w:cs="Arial" w:eastAsia="Arial" w:hAnsi="Arial"/>
          <w:color w:val="222222"/>
          <w:highlight w:val="white"/>
          <w:rtl w:val="0"/>
        </w:rPr>
        <w:t xml:space="preserve">, pp. 1-29. Available at: https://doi.org/10.1007/s11423-025-105506</w:t>
      </w:r>
    </w:p>
    <w:p w:rsidR="00000000" w:rsidDel="00000000" w:rsidP="00000000" w:rsidRDefault="00000000" w:rsidRPr="00000000" w14:paraId="000000A4">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Michikyan, M., Subrahmanyam, K., Regan, P., Cano, M. Á., Castillo, L. G., Harkness, A., and Schwartz, S. J. (2025) ‘Differences in and relationship between digital access, use, connectivity, skill, engagement, and motivation: implications for digital inequality in online learning among first-generation and continuing-generation undergraduate students’, </w:t>
      </w:r>
      <w:r w:rsidDel="00000000" w:rsidR="00000000" w:rsidRPr="00000000">
        <w:rPr>
          <w:rFonts w:ascii="Arial" w:cs="Arial" w:eastAsia="Arial" w:hAnsi="Arial"/>
          <w:i w:val="1"/>
          <w:iCs w:val="1"/>
          <w:color w:val="222222"/>
          <w:highlight w:val="white"/>
          <w:rtl w:val="0"/>
        </w:rPr>
        <w:t xml:space="preserve">Discover education</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4</w:t>
      </w:r>
      <w:r w:rsidDel="00000000" w:rsidR="00000000" w:rsidRPr="00000000">
        <w:rPr>
          <w:rFonts w:ascii="Arial" w:cs="Arial" w:eastAsia="Arial" w:hAnsi="Arial"/>
          <w:color w:val="222222"/>
          <w:highlight w:val="white"/>
          <w:rtl w:val="0"/>
        </w:rPr>
        <w:t xml:space="preserve">(1), 9. Available at: https://doi.org/10.1007/s44217-024-00371-9</w:t>
      </w:r>
    </w:p>
    <w:p w:rsidR="00000000" w:rsidDel="00000000" w:rsidP="00000000" w:rsidRDefault="00000000" w:rsidRPr="00000000" w14:paraId="000000A5">
      <w:pPr>
        <w:spacing w:after="120" w:before="120" w:lineRule="auto"/>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Okoye, A. C., and Ubaka, R. N. (2025) ‘Digital skills required of Business Education students for self-reliance venture for sustainable economy’, </w:t>
      </w:r>
      <w:r w:rsidDel="00000000" w:rsidR="00000000" w:rsidRPr="00000000">
        <w:rPr>
          <w:rFonts w:ascii="Arial" w:cs="Arial" w:eastAsia="Arial" w:hAnsi="Arial"/>
          <w:i w:val="1"/>
          <w:iCs w:val="1"/>
          <w:color w:val="222222"/>
          <w:highlight w:val="white"/>
          <w:rtl w:val="0"/>
        </w:rPr>
        <w:t xml:space="preserve">Advance Journal of Business and Entrepreneurship Development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iCs w:val="1"/>
          <w:color w:val="222222"/>
          <w:highlight w:val="white"/>
          <w:rtl w:val="0"/>
        </w:rPr>
        <w:t xml:space="preserve">9</w:t>
      </w:r>
      <w:r w:rsidDel="00000000" w:rsidR="00000000" w:rsidRPr="00000000">
        <w:rPr>
          <w:rFonts w:ascii="Arial" w:cs="Arial" w:eastAsia="Arial" w:hAnsi="Arial"/>
          <w:color w:val="222222"/>
          <w:highlight w:val="white"/>
          <w:rtl w:val="0"/>
        </w:rPr>
        <w:t xml:space="preserve">(1), pp. 1-15. Available at: https://aspjournals.net/ajbed/index.php/ajbed/article/download/64/56 (Accessed: 20 November 2025).</w:t>
      </w:r>
    </w:p>
    <w:sectPr>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d0d0d"/>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color w:val="0d0d0d"/>
        <w:sz w:val="24"/>
        <w:szCs w:val="24"/>
        <w:lang w:val="en-I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120" w:lineRule="auto"/>
    </w:pPr>
    <w:rPr>
      <w:rFonts w:ascii="Arial" w:cs="Arial" w:eastAsia="Arial" w:hAnsi="Arial"/>
      <w:b w:val="1"/>
      <w:bCs w:val="1"/>
    </w:rPr>
  </w:style>
  <w:style w:type="paragraph" w:styleId="Heading2">
    <w:name w:val="heading 2"/>
    <w:basedOn w:val="Normal"/>
    <w:next w:val="Normal"/>
    <w:pPr>
      <w:keepNext w:val="1"/>
      <w:keepLines w:val="1"/>
      <w:spacing w:after="120" w:before="120" w:lineRule="auto"/>
    </w:pPr>
    <w:rPr>
      <w:rFonts w:ascii="Arial" w:cs="Arial" w:eastAsia="Arial" w:hAnsi="Arial"/>
      <w:b w:val="1"/>
      <w:bCs w:val="1"/>
      <w:color w:val="000000"/>
    </w:rPr>
  </w:style>
  <w:style w:type="paragraph" w:styleId="Heading3">
    <w:name w:val="heading 3"/>
    <w:basedOn w:val="Normal"/>
    <w:next w:val="Normal"/>
    <w:pPr>
      <w:keepNext w:val="1"/>
      <w:keepLines w:val="1"/>
      <w:spacing w:after="0" w:before="200" w:lineRule="auto"/>
    </w:pPr>
    <w:rPr>
      <w:b w:val="1"/>
      <w:bCs w:val="1"/>
      <w:color w:val="00000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jc w:val="center"/>
    </w:pPr>
    <w:rPr>
      <w:b w:val="1"/>
      <w:bCs w:val="1"/>
      <w:color w:val="000000"/>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color w:val="e36c09"/>
    </w:rPr>
    <w:tblPr>
      <w:tblStyleRowBandSize w:val="1"/>
      <w:tblStyleColBandSize w:val="1"/>
      <w:tblCellMar>
        <w:top w:w="0.0" w:type="dxa"/>
        <w:left w:w="108.0" w:type="dxa"/>
        <w:bottom w:w="0.0" w:type="dxa"/>
        <w:right w:w="108.0" w:type="dxa"/>
      </w:tblCellMar>
    </w:tblPr>
    <w:tblStylePr w:type="band1Horz">
      <w:tcPr>
        <w:tcBorders>
          <w:left w:color="000000" w:space="0" w:sz="0" w:val="nil"/>
          <w:right w:color="000000" w:space="0" w:sz="0" w:val="nil"/>
          <w:insideH w:color="000000" w:space="0" w:sz="0" w:val="nil"/>
          <w:insideV w:color="000000" w:space="0" w:sz="0" w:val="nil"/>
        </w:tcBorders>
        <w:shd w:fill="fde5d1" w:val="clear"/>
      </w:tcPr>
    </w:tblStylePr>
    <w:tblStylePr w:type="band1Vert">
      <w:tcPr>
        <w:tcBorders>
          <w:left w:color="000000" w:space="0" w:sz="0" w:val="nil"/>
          <w:right w:color="000000" w:space="0" w:sz="0" w:val="nil"/>
          <w:insideH w:color="000000" w:space="0" w:sz="0" w:val="nil"/>
          <w:insideV w:color="000000" w:space="0" w:sz="0" w:val="nil"/>
        </w:tcBorders>
        <w:shd w:fill="fde5d1" w:val="clear"/>
      </w:tcPr>
    </w:tblStylePr>
    <w:tblStylePr w:type="firstCol">
      <w:rPr>
        <w:b w:val="1"/>
        <w:bCs w:val="1"/>
      </w:rPr>
    </w:tblStylePr>
    <w:tblStylePr w:type="firstRow">
      <w:pPr>
        <w:spacing w:after="0" w:before="0" w:line="240" w:lineRule="auto"/>
      </w:pPr>
      <w:rPr>
        <w:b w:val="1"/>
        <w:bCs w:val="1"/>
      </w:rPr>
      <w:tcPr>
        <w:tcBorders>
          <w:top w:color="f79646" w:space="0" w:sz="8" w:val="single"/>
          <w:left w:color="000000" w:space="0" w:sz="0" w:val="nil"/>
          <w:bottom w:color="f79646" w:space="0" w:sz="8" w:val="single"/>
          <w:right w:color="000000" w:space="0" w:sz="0" w:val="nil"/>
          <w:insideH w:color="000000" w:space="0" w:sz="0" w:val="nil"/>
          <w:insideV w:color="000000" w:space="0" w:sz="0" w:val="nil"/>
        </w:tcBorders>
      </w:tcPr>
    </w:tblStylePr>
    <w:tblStylePr w:type="lastCol">
      <w:rPr>
        <w:b w:val="1"/>
        <w:bCs w:val="1"/>
      </w:rPr>
    </w:tblStylePr>
    <w:tblStylePr w:type="lastRow">
      <w:pPr>
        <w:spacing w:after="0" w:before="0" w:line="240" w:lineRule="auto"/>
      </w:pPr>
      <w:rPr>
        <w:b w:val="1"/>
        <w:bCs w:val="1"/>
      </w:rPr>
      <w:tcPr>
        <w:tcBorders>
          <w:top w:color="f79646" w:space="0" w:sz="8" w:val="single"/>
          <w:left w:color="000000" w:space="0" w:sz="0" w:val="nil"/>
          <w:bottom w:color="f79646" w:space="0" w:sz="8" w:val="single"/>
          <w:right w:color="000000" w:space="0" w:sz="0" w:val="nil"/>
          <w:insideH w:color="000000" w:space="0" w:sz="0" w:val="nil"/>
          <w:insideV w:color="000000" w:space="0" w:sz="0" w:val="nil"/>
        </w:tcBorders>
      </w:tcPr>
    </w:tblStylePr>
  </w:style>
  <w:style w:type="table" w:styleId="Table2">
    <w:basedOn w:val="TableNormal"/>
    <w:pPr>
      <w:spacing w:after="0" w:line="240" w:lineRule="auto"/>
    </w:pPr>
    <w:rPr>
      <w:color w:val="76923c"/>
    </w:rPr>
    <w:tblPr>
      <w:tblStyleRowBandSize w:val="1"/>
      <w:tblStyleColBandSize w:val="1"/>
      <w:tblCellMar>
        <w:top w:w="0.0" w:type="dxa"/>
        <w:left w:w="108.0" w:type="dxa"/>
        <w:bottom w:w="0.0" w:type="dxa"/>
        <w:right w:w="108.0" w:type="dxa"/>
      </w:tblCellMar>
    </w:tblPr>
    <w:tblStylePr w:type="band1Horz">
      <w:tcPr>
        <w:tcBorders>
          <w:left w:color="000000" w:space="0" w:sz="0" w:val="nil"/>
          <w:right w:color="000000" w:space="0" w:sz="0" w:val="nil"/>
          <w:insideH w:color="000000" w:space="0" w:sz="0" w:val="nil"/>
          <w:insideV w:color="000000" w:space="0" w:sz="0" w:val="nil"/>
        </w:tcBorders>
        <w:shd w:fill="e6eed5" w:val="clear"/>
      </w:tcPr>
    </w:tblStylePr>
    <w:tblStylePr w:type="band1Vert">
      <w:tcPr>
        <w:tcBorders>
          <w:left w:color="000000" w:space="0" w:sz="0" w:val="nil"/>
          <w:right w:color="000000" w:space="0" w:sz="0" w:val="nil"/>
          <w:insideH w:color="000000" w:space="0" w:sz="0" w:val="nil"/>
          <w:insideV w:color="000000" w:space="0" w:sz="0" w:val="nil"/>
        </w:tcBorders>
        <w:shd w:fill="e6eed5" w:val="clear"/>
      </w:tcPr>
    </w:tblStylePr>
    <w:tblStylePr w:type="firstCol">
      <w:rPr>
        <w:b w:val="1"/>
        <w:bCs w:val="1"/>
      </w:rPr>
    </w:tblStylePr>
    <w:tblStylePr w:type="firstRow">
      <w:pPr>
        <w:spacing w:after="0" w:before="0" w:line="240" w:lineRule="auto"/>
      </w:pPr>
      <w:rPr>
        <w:b w:val="1"/>
        <w:bCs w:val="1"/>
      </w:rPr>
      <w:tcPr>
        <w:tcBorders>
          <w:top w:color="9bbb59" w:space="0" w:sz="8" w:val="single"/>
          <w:left w:color="000000" w:space="0" w:sz="0" w:val="nil"/>
          <w:bottom w:color="9bbb59" w:space="0" w:sz="8" w:val="single"/>
          <w:right w:color="000000" w:space="0" w:sz="0" w:val="nil"/>
          <w:insideH w:color="000000" w:space="0" w:sz="0" w:val="nil"/>
          <w:insideV w:color="000000" w:space="0" w:sz="0" w:val="nil"/>
        </w:tcBorders>
      </w:tcPr>
    </w:tblStylePr>
    <w:tblStylePr w:type="lastCol">
      <w:rPr>
        <w:b w:val="1"/>
        <w:bCs w:val="1"/>
      </w:rPr>
    </w:tblStylePr>
    <w:tblStylePr w:type="lastRow">
      <w:pPr>
        <w:spacing w:after="0" w:before="0" w:line="240" w:lineRule="auto"/>
      </w:pPr>
      <w:rPr>
        <w:b w:val="1"/>
        <w:bCs w:val="1"/>
      </w:rPr>
      <w:tcPr>
        <w:tcBorders>
          <w:top w:color="9bbb59" w:space="0" w:sz="8" w:val="single"/>
          <w:left w:color="000000" w:space="0" w:sz="0" w:val="nil"/>
          <w:bottom w:color="9bbb59" w:space="0" w:sz="8" w:val="single"/>
          <w:right w:color="000000" w:space="0" w:sz="0" w:val="nil"/>
          <w:insideH w:color="000000" w:space="0" w:sz="0" w:val="nil"/>
          <w:insideV w:color="000000" w:space="0" w:sz="0" w:val="nil"/>
        </w:tcBorders>
      </w:tcPr>
    </w:tblStylePr>
  </w:style>
  <w:style w:type="table" w:styleId="Table3">
    <w:basedOn w:val="TableNormal"/>
    <w:pPr>
      <w:spacing w:after="0" w:line="240" w:lineRule="auto"/>
    </w:pPr>
    <w:rPr>
      <w:color w:val="943734"/>
    </w:rPr>
    <w:tblPr>
      <w:tblStyleRowBandSize w:val="1"/>
      <w:tblStyleColBandSize w:val="1"/>
      <w:tblCellMar>
        <w:top w:w="0.0" w:type="dxa"/>
        <w:left w:w="108.0" w:type="dxa"/>
        <w:bottom w:w="0.0" w:type="dxa"/>
        <w:right w:w="108.0" w:type="dxa"/>
      </w:tblCellMar>
    </w:tblPr>
    <w:tblStylePr w:type="band1Horz">
      <w:tcPr>
        <w:tcBorders>
          <w:left w:color="000000" w:space="0" w:sz="0" w:val="nil"/>
          <w:right w:color="000000" w:space="0" w:sz="0" w:val="nil"/>
          <w:insideH w:color="000000" w:space="0" w:sz="0" w:val="nil"/>
          <w:insideV w:color="000000" w:space="0" w:sz="0" w:val="nil"/>
        </w:tcBorders>
        <w:shd w:fill="efd3d3" w:val="clear"/>
      </w:tcPr>
    </w:tblStylePr>
    <w:tblStylePr w:type="band1Vert">
      <w:tcPr>
        <w:tcBorders>
          <w:left w:color="000000" w:space="0" w:sz="0" w:val="nil"/>
          <w:right w:color="000000" w:space="0" w:sz="0" w:val="nil"/>
          <w:insideH w:color="000000" w:space="0" w:sz="0" w:val="nil"/>
          <w:insideV w:color="000000" w:space="0" w:sz="0" w:val="nil"/>
        </w:tcBorders>
        <w:shd w:fill="efd3d3" w:val="clear"/>
      </w:tcPr>
    </w:tblStylePr>
    <w:tblStylePr w:type="firstCol">
      <w:rPr>
        <w:b w:val="1"/>
        <w:bCs w:val="1"/>
      </w:rPr>
    </w:tblStylePr>
    <w:tblStylePr w:type="firstRow">
      <w:pPr>
        <w:spacing w:after="0" w:before="0" w:line="240" w:lineRule="auto"/>
      </w:pPr>
      <w:rPr>
        <w:b w:val="1"/>
        <w:bCs w:val="1"/>
      </w:rPr>
      <w:tcPr>
        <w:tcBorders>
          <w:top w:color="c0504d" w:space="0" w:sz="8" w:val="single"/>
          <w:left w:color="000000" w:space="0" w:sz="0" w:val="nil"/>
          <w:bottom w:color="c0504d" w:space="0" w:sz="8" w:val="single"/>
          <w:right w:color="000000" w:space="0" w:sz="0" w:val="nil"/>
          <w:insideH w:color="000000" w:space="0" w:sz="0" w:val="nil"/>
          <w:insideV w:color="000000" w:space="0" w:sz="0" w:val="nil"/>
        </w:tcBorders>
      </w:tcPr>
    </w:tblStylePr>
    <w:tblStylePr w:type="lastCol">
      <w:rPr>
        <w:b w:val="1"/>
        <w:bCs w:val="1"/>
      </w:rPr>
    </w:tblStylePr>
    <w:tblStylePr w:type="lastRow">
      <w:pPr>
        <w:spacing w:after="0" w:before="0" w:line="240" w:lineRule="auto"/>
      </w:pPr>
      <w:rPr>
        <w:b w:val="1"/>
        <w:bCs w:val="1"/>
      </w:rPr>
      <w:tcPr>
        <w:tcBorders>
          <w:top w:color="c0504d" w:space="0" w:sz="8" w:val="single"/>
          <w:left w:color="000000" w:space="0" w:sz="0" w:val="nil"/>
          <w:bottom w:color="c0504d" w:space="0" w:sz="8" w:val="single"/>
          <w:right w:color="000000" w:space="0" w:sz="0" w:val="nil"/>
          <w:insideH w:color="000000" w:space="0" w:sz="0" w:val="nil"/>
          <w:insideV w:color="000000" w:space="0" w:sz="0" w:val="nil"/>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