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86231013"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386CA6FB" w:rsidR="007D1947" w:rsidRPr="00762C3E" w:rsidRDefault="00A77AA2">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bCs/>
              <w:caps/>
              <w:color w:val="5B9BD5" w:themeColor="accent1"/>
              <w:sz w:val="80"/>
              <w:szCs w:val="80"/>
            </w:rPr>
          </w:pPr>
          <w:sdt>
            <w:sdtPr>
              <w:rPr>
                <w:rFonts w:ascii="Times New Roman" w:eastAsiaTheme="majorEastAsia" w:hAnsi="Times New Roman" w:cs="Times New Roman"/>
                <w:b/>
                <w:bCs/>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r w:rsidRPr="00A77AA2">
                <w:rPr>
                  <w:rFonts w:ascii="Times New Roman" w:eastAsiaTheme="majorEastAsia" w:hAnsi="Times New Roman" w:cs="Times New Roman"/>
                  <w:b/>
                  <w:bCs/>
                  <w:caps/>
                  <w:color w:val="5B9BD5" w:themeColor="accent1"/>
                  <w:sz w:val="72"/>
                  <w:szCs w:val="72"/>
                </w:rPr>
                <w:t>Finance for Business Managers</w:t>
              </w:r>
              <w:r>
                <w:rPr>
                  <w:rFonts w:ascii="Times New Roman" w:eastAsiaTheme="majorEastAsia" w:hAnsi="Times New Roman" w:cs="Times New Roman"/>
                  <w:b/>
                  <w:bCs/>
                  <w:caps/>
                  <w:color w:val="5B9BD5" w:themeColor="accent1"/>
                  <w:sz w:val="72"/>
                  <w:szCs w:val="72"/>
                </w:rPr>
                <w:t>, Tesco PLC [</w:t>
              </w:r>
              <w:r w:rsidRPr="00A77AA2">
                <w:rPr>
                  <w:rFonts w:ascii="Times New Roman" w:eastAsiaTheme="majorEastAsia" w:hAnsi="Times New Roman" w:cs="Times New Roman"/>
                  <w:b/>
                  <w:bCs/>
                  <w:caps/>
                  <w:color w:val="5B9BD5" w:themeColor="accent1"/>
                  <w:sz w:val="72"/>
                  <w:szCs w:val="72"/>
                </w:rPr>
                <w:t>BMMB7005D</w:t>
              </w:r>
            </w:sdtContent>
          </w:sdt>
          <w:r>
            <w:rPr>
              <w:rFonts w:ascii="Times New Roman" w:eastAsiaTheme="majorEastAsia" w:hAnsi="Times New Roman" w:cs="Times New Roman"/>
              <w:b/>
              <w:bCs/>
              <w:caps/>
              <w:color w:val="5B9BD5" w:themeColor="accent1"/>
              <w:sz w:val="72"/>
              <w:szCs w:val="72"/>
            </w:rPr>
            <w:t>]</w:t>
          </w:r>
        </w:p>
        <w:p w14:paraId="475B7674" w14:textId="701F0728" w:rsidR="007D1947" w:rsidRDefault="00A77AA2" w:rsidP="00A77AA2">
          <w:pPr>
            <w:pStyle w:val="NoSpacing"/>
            <w:jc w:val="center"/>
            <w:rPr>
              <w:color w:val="5B9BD5" w:themeColor="accent1"/>
              <w:sz w:val="34"/>
              <w:szCs w:val="34"/>
            </w:rPr>
          </w:pPr>
          <w:r>
            <w:rPr>
              <w:color w:val="5B9BD5" w:themeColor="accent1"/>
              <w:sz w:val="34"/>
              <w:szCs w:val="34"/>
            </w:rPr>
            <w:t>Name: - Yeshwanth Reddy Adama</w:t>
          </w:r>
        </w:p>
        <w:p w14:paraId="3A1EBBCC" w14:textId="5D7113A1" w:rsidR="00A77AA2" w:rsidRPr="00A77AA2" w:rsidRDefault="00A77AA2" w:rsidP="00A77AA2">
          <w:pPr>
            <w:pStyle w:val="NoSpacing"/>
            <w:jc w:val="center"/>
            <w:rPr>
              <w:color w:val="5B9BD5" w:themeColor="accent1"/>
              <w:sz w:val="34"/>
              <w:szCs w:val="34"/>
            </w:rPr>
          </w:pPr>
          <w:r>
            <w:rPr>
              <w:color w:val="5B9BD5" w:themeColor="accent1"/>
              <w:sz w:val="34"/>
              <w:szCs w:val="34"/>
            </w:rPr>
            <w:t>Student ID: - 2415464</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79022" w14:textId="33E844F8" w:rsidR="007D1947" w:rsidRDefault="00A77AA2">
                                <w:pPr>
                                  <w:pStyle w:val="NoSpacing"/>
                                  <w:jc w:val="center"/>
                                  <w:rPr>
                                    <w:color w:val="5B9BD5" w:themeColor="accent1"/>
                                  </w:rPr>
                                </w:pPr>
                                <w:r>
                                  <w:rPr>
                                    <w:caps/>
                                    <w:color w:val="5B9BD5" w:themeColor="accent1"/>
                                    <w:sz w:val="28"/>
                                    <w:szCs w:val="28"/>
                                  </w:rPr>
                                  <w:t>jANUARY 10</w:t>
                                </w:r>
                                <w:r w:rsidRPr="00A77AA2">
                                  <w:rPr>
                                    <w:caps/>
                                    <w:color w:val="5B9BD5" w:themeColor="accent1"/>
                                    <w:sz w:val="28"/>
                                    <w:szCs w:val="28"/>
                                    <w:vertAlign w:val="superscript"/>
                                  </w:rPr>
                                  <w:t>TH</w:t>
                                </w:r>
                                <w:r>
                                  <w:rPr>
                                    <w:caps/>
                                    <w:color w:val="5B9BD5" w:themeColor="accent1"/>
                                    <w:sz w:val="28"/>
                                    <w:szCs w:val="28"/>
                                  </w:rPr>
                                  <w:t>, 2025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3FC79022" w14:textId="33E844F8" w:rsidR="007D1947" w:rsidRDefault="00A77AA2">
                          <w:pPr>
                            <w:pStyle w:val="NoSpacing"/>
                            <w:jc w:val="center"/>
                            <w:rPr>
                              <w:color w:val="5B9BD5" w:themeColor="accent1"/>
                            </w:rPr>
                          </w:pPr>
                          <w:r>
                            <w:rPr>
                              <w:caps/>
                              <w:color w:val="5B9BD5" w:themeColor="accent1"/>
                              <w:sz w:val="28"/>
                              <w:szCs w:val="28"/>
                            </w:rPr>
                            <w:t>jANUARY 10</w:t>
                          </w:r>
                          <w:r w:rsidRPr="00A77AA2">
                            <w:rPr>
                              <w:caps/>
                              <w:color w:val="5B9BD5" w:themeColor="accent1"/>
                              <w:sz w:val="28"/>
                              <w:szCs w:val="28"/>
                              <w:vertAlign w:val="superscript"/>
                            </w:rPr>
                            <w:t>TH</w:t>
                          </w:r>
                          <w:r>
                            <w:rPr>
                              <w:caps/>
                              <w:color w:val="5B9BD5" w:themeColor="accent1"/>
                              <w:sz w:val="28"/>
                              <w:szCs w:val="28"/>
                            </w:rPr>
                            <w:t>, 2025</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5C877D02" w:rsidR="007D1947" w:rsidRPr="00777900" w:rsidRDefault="007D1947" w:rsidP="00777900">
          <w:pPr>
            <w:jc w:val="center"/>
            <w:rPr>
              <w:rFonts w:ascii="Times New Roman" w:hAnsi="Times New Roman" w:cs="Times New Roman"/>
              <w:b/>
              <w:bCs/>
              <w:sz w:val="28"/>
              <w:szCs w:val="28"/>
            </w:rPr>
          </w:pPr>
          <w:r>
            <w:br w:type="page"/>
          </w:r>
          <w:r w:rsidR="00777900" w:rsidRPr="00777900">
            <w:rPr>
              <w:rFonts w:ascii="Times New Roman" w:hAnsi="Times New Roman" w:cs="Times New Roman"/>
              <w:b/>
              <w:bCs/>
              <w:sz w:val="28"/>
              <w:szCs w:val="28"/>
            </w:rPr>
            <w:lastRenderedPageBreak/>
            <w:t>EXECUTIVE SUMMARY</w:t>
          </w:r>
        </w:p>
        <w:p w14:paraId="03FE235C" w14:textId="77777777" w:rsidR="001A3814" w:rsidRPr="001A3814" w:rsidRDefault="001A3814" w:rsidP="001A3814">
          <w:pPr>
            <w:spacing w:line="360" w:lineRule="auto"/>
            <w:jc w:val="both"/>
            <w:rPr>
              <w:rFonts w:ascii="Times New Roman" w:hAnsi="Times New Roman" w:cs="Times New Roman"/>
              <w:sz w:val="24"/>
              <w:szCs w:val="24"/>
            </w:rPr>
          </w:pPr>
          <w:r w:rsidRPr="001A3814">
            <w:rPr>
              <w:rFonts w:ascii="Times New Roman" w:hAnsi="Times New Roman" w:cs="Times New Roman"/>
              <w:sz w:val="24"/>
              <w:szCs w:val="24"/>
            </w:rPr>
            <w:t xml:space="preserve">The purpose of this report is to </w:t>
          </w:r>
          <w:proofErr w:type="spellStart"/>
          <w:r w:rsidRPr="001A3814">
            <w:rPr>
              <w:rFonts w:ascii="Times New Roman" w:hAnsi="Times New Roman" w:cs="Times New Roman"/>
              <w:sz w:val="24"/>
              <w:szCs w:val="24"/>
            </w:rPr>
            <w:t>analyze</w:t>
          </w:r>
          <w:proofErr w:type="spellEnd"/>
          <w:r w:rsidRPr="001A3814">
            <w:rPr>
              <w:rFonts w:ascii="Times New Roman" w:hAnsi="Times New Roman" w:cs="Times New Roman"/>
              <w:sz w:val="24"/>
              <w:szCs w:val="24"/>
            </w:rPr>
            <w:t xml:space="preserve"> the financial performance of Tesco PLC using ratio analysis techniques that consider profitability, liquidity, gearing, efficiency, and investment ratios. On the contrary, the investment proposals of Greenacres Plc were evaluated using capital budgeting methods such as net present value and internal rate of return.</w:t>
          </w:r>
        </w:p>
        <w:p w14:paraId="479F4189" w14:textId="32B080D2" w:rsidR="001A3814" w:rsidRPr="001A3814" w:rsidRDefault="001A3814" w:rsidP="001A3814">
          <w:pPr>
            <w:spacing w:line="360" w:lineRule="auto"/>
            <w:jc w:val="both"/>
            <w:rPr>
              <w:rFonts w:ascii="Times New Roman" w:hAnsi="Times New Roman" w:cs="Times New Roman"/>
              <w:sz w:val="24"/>
              <w:szCs w:val="24"/>
            </w:rPr>
          </w:pPr>
          <w:r w:rsidRPr="001A3814">
            <w:rPr>
              <w:rFonts w:ascii="Times New Roman" w:hAnsi="Times New Roman" w:cs="Times New Roman"/>
              <w:sz w:val="24"/>
              <w:szCs w:val="24"/>
            </w:rPr>
            <w:t xml:space="preserve">The report reflected increased profitability and declining Liquidity of the company followed by improving financial leverage, stable efficiency, and a slight decline in investor Ratios. Proposal B is recommended to the company based on a higher Net present value of </w:t>
          </w:r>
          <w:r w:rsidR="00762C3E">
            <w:rPr>
              <w:rFonts w:ascii="Times New Roman" w:hAnsi="Times New Roman" w:cs="Times New Roman"/>
              <w:sz w:val="24"/>
              <w:szCs w:val="24"/>
            </w:rPr>
            <w:t>£</w:t>
          </w:r>
          <w:r w:rsidRPr="001A3814">
            <w:rPr>
              <w:rFonts w:ascii="Times New Roman" w:hAnsi="Times New Roman" w:cs="Times New Roman"/>
              <w:sz w:val="24"/>
              <w:szCs w:val="24"/>
            </w:rPr>
            <w:t>898000 and a higher profitability index of 0.90 compared to other proposals.</w:t>
          </w:r>
        </w:p>
        <w:p w14:paraId="43A1F8B0" w14:textId="77777777" w:rsidR="001A3814" w:rsidRPr="001A3814" w:rsidRDefault="001A3814" w:rsidP="001A3814">
          <w:pPr>
            <w:spacing w:line="360" w:lineRule="auto"/>
            <w:jc w:val="both"/>
            <w:rPr>
              <w:rFonts w:ascii="Times New Roman" w:hAnsi="Times New Roman" w:cs="Times New Roman"/>
              <w:sz w:val="24"/>
              <w:szCs w:val="24"/>
            </w:rPr>
          </w:pPr>
          <w:r w:rsidRPr="001A3814">
            <w:rPr>
              <w:rFonts w:ascii="Times New Roman" w:hAnsi="Times New Roman" w:cs="Times New Roman"/>
              <w:sz w:val="24"/>
              <w:szCs w:val="24"/>
            </w:rPr>
            <w:t xml:space="preserve">Advanced artificial intelligence-enabled forecasting technique is recommended to Tesco in determining future financial performance considering the current performance. Moreover, suggesting activity-based costing in getting a clarity of the cost structures in a business in effectively regulating the same. </w:t>
          </w:r>
        </w:p>
        <w:p w14:paraId="6846CF66" w14:textId="384AD846" w:rsidR="007D1947" w:rsidRDefault="001A3814" w:rsidP="001A3814">
          <w:pPr>
            <w:spacing w:line="360" w:lineRule="auto"/>
            <w:jc w:val="both"/>
          </w:pPr>
          <w:r w:rsidRPr="001A3814">
            <w:rPr>
              <w:rFonts w:ascii="Times New Roman" w:hAnsi="Times New Roman" w:cs="Times New Roman"/>
              <w:sz w:val="24"/>
              <w:szCs w:val="24"/>
            </w:rPr>
            <w:t>Grants and subsidies as a source of funding are recommended to Greenacre plc in funding proposal B which is of developing the internet sales. It is better compared to other sources of funding such as equity financing which affects the ownership of the company whereas; Debt financing creates a financial burden in paying off the lending amount with interest.</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26F79DCD" w:rsidR="007D1947" w:rsidRPr="000221D5" w:rsidRDefault="000221D5" w:rsidP="000221D5">
              <w:pPr>
                <w:pStyle w:val="TOCHeading"/>
                <w:jc w:val="center"/>
                <w:rPr>
                  <w:rFonts w:ascii="Times New Roman" w:hAnsi="Times New Roman" w:cs="Times New Roman"/>
                  <w:b/>
                  <w:bCs/>
                  <w:color w:val="000000" w:themeColor="text1"/>
                  <w:sz w:val="28"/>
                  <w:szCs w:val="28"/>
                </w:rPr>
              </w:pPr>
              <w:r w:rsidRPr="000221D5">
                <w:rPr>
                  <w:rFonts w:ascii="Times New Roman" w:hAnsi="Times New Roman" w:cs="Times New Roman"/>
                  <w:b/>
                  <w:bCs/>
                  <w:color w:val="000000" w:themeColor="text1"/>
                  <w:sz w:val="28"/>
                  <w:szCs w:val="28"/>
                </w:rPr>
                <w:t>TABLE OF CONTENTS</w:t>
              </w:r>
            </w:p>
            <w:p w14:paraId="479A3D5A" w14:textId="7518637B" w:rsidR="000221D5" w:rsidRPr="000221D5" w:rsidRDefault="007D1947" w:rsidP="000221D5">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0221D5">
                <w:rPr>
                  <w:rFonts w:ascii="Times New Roman" w:hAnsi="Times New Roman" w:cs="Times New Roman"/>
                  <w:sz w:val="24"/>
                  <w:szCs w:val="24"/>
                </w:rPr>
                <w:fldChar w:fldCharType="begin"/>
              </w:r>
              <w:r w:rsidRPr="000221D5">
                <w:rPr>
                  <w:rFonts w:ascii="Times New Roman" w:hAnsi="Times New Roman" w:cs="Times New Roman"/>
                  <w:sz w:val="24"/>
                  <w:szCs w:val="24"/>
                </w:rPr>
                <w:instrText xml:space="preserve"> TOC \o "1-3" \h \z \u </w:instrText>
              </w:r>
              <w:r w:rsidRPr="000221D5">
                <w:rPr>
                  <w:rFonts w:ascii="Times New Roman" w:hAnsi="Times New Roman" w:cs="Times New Roman"/>
                  <w:sz w:val="24"/>
                  <w:szCs w:val="24"/>
                </w:rPr>
                <w:fldChar w:fldCharType="separate"/>
              </w:r>
              <w:hyperlink w:anchor="_Toc186239324" w:history="1">
                <w:r w:rsidR="000221D5" w:rsidRPr="000221D5">
                  <w:rPr>
                    <w:rStyle w:val="Hyperlink"/>
                    <w:rFonts w:ascii="Times New Roman" w:hAnsi="Times New Roman" w:cs="Times New Roman"/>
                    <w:b/>
                    <w:bCs/>
                    <w:noProof/>
                    <w:sz w:val="24"/>
                    <w:szCs w:val="24"/>
                  </w:rPr>
                  <w:t>INTROD</w:t>
                </w:r>
                <w:r w:rsidR="000221D5" w:rsidRPr="000221D5">
                  <w:rPr>
                    <w:rStyle w:val="Hyperlink"/>
                    <w:rFonts w:ascii="Times New Roman" w:hAnsi="Times New Roman" w:cs="Times New Roman"/>
                    <w:b/>
                    <w:bCs/>
                    <w:noProof/>
                    <w:sz w:val="24"/>
                    <w:szCs w:val="24"/>
                  </w:rPr>
                  <w:t>U</w:t>
                </w:r>
                <w:r w:rsidR="000221D5" w:rsidRPr="000221D5">
                  <w:rPr>
                    <w:rStyle w:val="Hyperlink"/>
                    <w:rFonts w:ascii="Times New Roman" w:hAnsi="Times New Roman" w:cs="Times New Roman"/>
                    <w:b/>
                    <w:bCs/>
                    <w:noProof/>
                    <w:sz w:val="24"/>
                    <w:szCs w:val="24"/>
                  </w:rPr>
                  <w:t>CTION</w:t>
                </w:r>
                <w:r w:rsidR="000221D5" w:rsidRPr="000221D5">
                  <w:rPr>
                    <w:rFonts w:ascii="Times New Roman" w:hAnsi="Times New Roman" w:cs="Times New Roman"/>
                    <w:noProof/>
                    <w:webHidden/>
                    <w:sz w:val="24"/>
                    <w:szCs w:val="24"/>
                  </w:rPr>
                  <w:tab/>
                </w:r>
                <w:r w:rsidR="000221D5" w:rsidRPr="000221D5">
                  <w:rPr>
                    <w:rFonts w:ascii="Times New Roman" w:hAnsi="Times New Roman" w:cs="Times New Roman"/>
                    <w:noProof/>
                    <w:webHidden/>
                    <w:sz w:val="24"/>
                    <w:szCs w:val="24"/>
                  </w:rPr>
                  <w:fldChar w:fldCharType="begin"/>
                </w:r>
                <w:r w:rsidR="000221D5" w:rsidRPr="000221D5">
                  <w:rPr>
                    <w:rFonts w:ascii="Times New Roman" w:hAnsi="Times New Roman" w:cs="Times New Roman"/>
                    <w:noProof/>
                    <w:webHidden/>
                    <w:sz w:val="24"/>
                    <w:szCs w:val="24"/>
                  </w:rPr>
                  <w:instrText xml:space="preserve"> PAGEREF _Toc186239324 \h </w:instrText>
                </w:r>
                <w:r w:rsidR="000221D5" w:rsidRPr="000221D5">
                  <w:rPr>
                    <w:rFonts w:ascii="Times New Roman" w:hAnsi="Times New Roman" w:cs="Times New Roman"/>
                    <w:noProof/>
                    <w:webHidden/>
                    <w:sz w:val="24"/>
                    <w:szCs w:val="24"/>
                  </w:rPr>
                </w:r>
                <w:r w:rsidR="000221D5" w:rsidRPr="000221D5">
                  <w:rPr>
                    <w:rFonts w:ascii="Times New Roman" w:hAnsi="Times New Roman" w:cs="Times New Roman"/>
                    <w:noProof/>
                    <w:webHidden/>
                    <w:sz w:val="24"/>
                    <w:szCs w:val="24"/>
                  </w:rPr>
                  <w:fldChar w:fldCharType="separate"/>
                </w:r>
                <w:r w:rsidR="000221D5" w:rsidRPr="000221D5">
                  <w:rPr>
                    <w:rFonts w:ascii="Times New Roman" w:hAnsi="Times New Roman" w:cs="Times New Roman"/>
                    <w:noProof/>
                    <w:webHidden/>
                    <w:sz w:val="24"/>
                    <w:szCs w:val="24"/>
                  </w:rPr>
                  <w:t>4</w:t>
                </w:r>
                <w:r w:rsidR="000221D5" w:rsidRPr="000221D5">
                  <w:rPr>
                    <w:rFonts w:ascii="Times New Roman" w:hAnsi="Times New Roman" w:cs="Times New Roman"/>
                    <w:noProof/>
                    <w:webHidden/>
                    <w:sz w:val="24"/>
                    <w:szCs w:val="24"/>
                  </w:rPr>
                  <w:fldChar w:fldCharType="end"/>
                </w:r>
              </w:hyperlink>
            </w:p>
            <w:p w14:paraId="03306E74" w14:textId="7EFD2540"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25" w:history="1">
                <w:r w:rsidRPr="000221D5">
                  <w:rPr>
                    <w:rStyle w:val="Hyperlink"/>
                    <w:rFonts w:ascii="Times New Roman" w:hAnsi="Times New Roman" w:cs="Times New Roman"/>
                    <w:i/>
                    <w:iCs/>
                    <w:noProof/>
                    <w:sz w:val="24"/>
                    <w:szCs w:val="24"/>
                    <w:shd w:val="clear" w:color="auto" w:fill="FFFFFF"/>
                    <w:lang w:val="en-IN"/>
                  </w:rPr>
                  <w:t>Sc</w:t>
                </w:r>
                <w:r w:rsidRPr="000221D5">
                  <w:rPr>
                    <w:rStyle w:val="Hyperlink"/>
                    <w:rFonts w:ascii="Times New Roman" w:hAnsi="Times New Roman" w:cs="Times New Roman"/>
                    <w:i/>
                    <w:iCs/>
                    <w:noProof/>
                    <w:sz w:val="24"/>
                    <w:szCs w:val="24"/>
                    <w:shd w:val="clear" w:color="auto" w:fill="FFFFFF"/>
                    <w:lang w:val="en-IN"/>
                  </w:rPr>
                  <w:t>o</w:t>
                </w:r>
                <w:r w:rsidRPr="000221D5">
                  <w:rPr>
                    <w:rStyle w:val="Hyperlink"/>
                    <w:rFonts w:ascii="Times New Roman" w:hAnsi="Times New Roman" w:cs="Times New Roman"/>
                    <w:i/>
                    <w:iCs/>
                    <w:noProof/>
                    <w:sz w:val="24"/>
                    <w:szCs w:val="24"/>
                    <w:shd w:val="clear" w:color="auto" w:fill="FFFFFF"/>
                    <w:lang w:val="en-IN"/>
                  </w:rPr>
                  <w:t>pe</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_Toc186239325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4</w:t>
                </w:r>
                <w:r w:rsidRPr="000221D5">
                  <w:rPr>
                    <w:rFonts w:ascii="Times New Roman" w:hAnsi="Times New Roman" w:cs="Times New Roman"/>
                    <w:noProof/>
                    <w:webHidden/>
                    <w:sz w:val="24"/>
                    <w:szCs w:val="24"/>
                  </w:rPr>
                  <w:fldChar w:fldCharType="end"/>
                </w:r>
              </w:hyperlink>
            </w:p>
            <w:p w14:paraId="740A19ED" w14:textId="1F3F82EC"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26" w:history="1">
                <w:r w:rsidRPr="000221D5">
                  <w:rPr>
                    <w:rStyle w:val="Hyperlink"/>
                    <w:rFonts w:ascii="Times New Roman" w:hAnsi="Times New Roman" w:cs="Times New Roman"/>
                    <w:i/>
                    <w:iCs/>
                    <w:noProof/>
                    <w:sz w:val="24"/>
                    <w:szCs w:val="24"/>
                    <w:shd w:val="clear" w:color="auto" w:fill="FFFFFF"/>
                    <w:lang w:val="en-IN"/>
                  </w:rPr>
                  <w:t>Company Overview</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_Toc186239326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4</w:t>
                </w:r>
                <w:r w:rsidRPr="000221D5">
                  <w:rPr>
                    <w:rFonts w:ascii="Times New Roman" w:hAnsi="Times New Roman" w:cs="Times New Roman"/>
                    <w:noProof/>
                    <w:webHidden/>
                    <w:sz w:val="24"/>
                    <w:szCs w:val="24"/>
                  </w:rPr>
                  <w:fldChar w:fldCharType="end"/>
                </w:r>
              </w:hyperlink>
            </w:p>
            <w:p w14:paraId="4291855F" w14:textId="24561F06" w:rsidR="000221D5" w:rsidRPr="000221D5" w:rsidRDefault="000221D5" w:rsidP="000221D5">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27" w:history="1">
                <w:r w:rsidRPr="000221D5">
                  <w:rPr>
                    <w:rStyle w:val="Hyperlink"/>
                    <w:rFonts w:ascii="Times New Roman" w:hAnsi="Times New Roman" w:cs="Times New Roman"/>
                    <w:b/>
                    <w:bCs/>
                    <w:noProof/>
                    <w:sz w:val="24"/>
                    <w:szCs w:val="24"/>
                  </w:rPr>
                  <w:t>Part 1</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_Toc186239327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5</w:t>
                </w:r>
                <w:r w:rsidRPr="000221D5">
                  <w:rPr>
                    <w:rFonts w:ascii="Times New Roman" w:hAnsi="Times New Roman" w:cs="Times New Roman"/>
                    <w:noProof/>
                    <w:webHidden/>
                    <w:sz w:val="24"/>
                    <w:szCs w:val="24"/>
                  </w:rPr>
                  <w:fldChar w:fldCharType="end"/>
                </w:r>
              </w:hyperlink>
            </w:p>
            <w:p w14:paraId="63B66A0C" w14:textId="59B4D4BA"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28" w:history="1">
                <w:r w:rsidRPr="000221D5">
                  <w:rPr>
                    <w:rStyle w:val="Hyperlink"/>
                    <w:rFonts w:ascii="Times New Roman" w:hAnsi="Times New Roman" w:cs="Times New Roman"/>
                    <w:noProof/>
                    <w:sz w:val="24"/>
                    <w:szCs w:val="24"/>
                  </w:rPr>
                  <w:t>Ratio Analysis of Tesco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_Toc186239328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5</w:t>
                </w:r>
                <w:r w:rsidRPr="000221D5">
                  <w:rPr>
                    <w:rFonts w:ascii="Times New Roman" w:hAnsi="Times New Roman" w:cs="Times New Roman"/>
                    <w:noProof/>
                    <w:webHidden/>
                    <w:sz w:val="24"/>
                    <w:szCs w:val="24"/>
                  </w:rPr>
                  <w:fldChar w:fldCharType="end"/>
                </w:r>
              </w:hyperlink>
            </w:p>
            <w:p w14:paraId="680F34B6" w14:textId="56751BF4"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29" w:history="1">
                <w:r w:rsidRPr="000221D5">
                  <w:rPr>
                    <w:rStyle w:val="Hyperlink"/>
                    <w:rFonts w:ascii="Times New Roman" w:hAnsi="Times New Roman" w:cs="Times New Roman"/>
                    <w:i/>
                    <w:iCs/>
                    <w:noProof/>
                    <w:sz w:val="24"/>
                    <w:szCs w:val="24"/>
                  </w:rPr>
                  <w:t>Profitability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_Toc186239329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5</w:t>
                </w:r>
                <w:r w:rsidRPr="000221D5">
                  <w:rPr>
                    <w:rFonts w:ascii="Times New Roman" w:hAnsi="Times New Roman" w:cs="Times New Roman"/>
                    <w:noProof/>
                    <w:webHidden/>
                    <w:sz w:val="24"/>
                    <w:szCs w:val="24"/>
                  </w:rPr>
                  <w:fldChar w:fldCharType="end"/>
                </w:r>
              </w:hyperlink>
            </w:p>
            <w:p w14:paraId="2A66089A" w14:textId="13F0C59B"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0" w:history="1">
                <w:r w:rsidRPr="000221D5">
                  <w:rPr>
                    <w:rStyle w:val="Hyperlink"/>
                    <w:rFonts w:ascii="Times New Roman" w:hAnsi="Times New Roman" w:cs="Times New Roman"/>
                    <w:i/>
                    <w:iCs/>
                    <w:noProof/>
                    <w:sz w:val="24"/>
                    <w:szCs w:val="24"/>
                  </w:rPr>
                  <w:t>Gross Profit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5</w:t>
                </w:r>
                <w:r w:rsidRPr="000221D5">
                  <w:rPr>
                    <w:rFonts w:ascii="Times New Roman" w:hAnsi="Times New Roman" w:cs="Times New Roman"/>
                    <w:noProof/>
                    <w:webHidden/>
                    <w:sz w:val="24"/>
                    <w:szCs w:val="24"/>
                  </w:rPr>
                  <w:fldChar w:fldCharType="end"/>
                </w:r>
              </w:hyperlink>
            </w:p>
            <w:p w14:paraId="2764D7A9" w14:textId="4E19916E"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1" w:history="1">
                <w:r w:rsidRPr="000221D5">
                  <w:rPr>
                    <w:rStyle w:val="Hyperlink"/>
                    <w:rFonts w:ascii="Times New Roman" w:hAnsi="Times New Roman" w:cs="Times New Roman"/>
                    <w:i/>
                    <w:iCs/>
                    <w:noProof/>
                    <w:sz w:val="24"/>
                    <w:szCs w:val="24"/>
                  </w:rPr>
                  <w:t>Operating Profit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6</w:t>
                </w:r>
                <w:r w:rsidRPr="000221D5">
                  <w:rPr>
                    <w:rFonts w:ascii="Times New Roman" w:hAnsi="Times New Roman" w:cs="Times New Roman"/>
                    <w:noProof/>
                    <w:webHidden/>
                    <w:sz w:val="24"/>
                    <w:szCs w:val="24"/>
                  </w:rPr>
                  <w:fldChar w:fldCharType="end"/>
                </w:r>
              </w:hyperlink>
            </w:p>
            <w:p w14:paraId="62B22E75" w14:textId="2E259677"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2" w:history="1">
                <w:r w:rsidRPr="000221D5">
                  <w:rPr>
                    <w:rStyle w:val="Hyperlink"/>
                    <w:rFonts w:ascii="Times New Roman" w:hAnsi="Times New Roman" w:cs="Times New Roman"/>
                    <w:i/>
                    <w:iCs/>
                    <w:noProof/>
                    <w:sz w:val="24"/>
                    <w:szCs w:val="24"/>
                  </w:rPr>
                  <w:t>Net Profit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7</w:t>
                </w:r>
                <w:r w:rsidRPr="000221D5">
                  <w:rPr>
                    <w:rFonts w:ascii="Times New Roman" w:hAnsi="Times New Roman" w:cs="Times New Roman"/>
                    <w:noProof/>
                    <w:webHidden/>
                    <w:sz w:val="24"/>
                    <w:szCs w:val="24"/>
                  </w:rPr>
                  <w:fldChar w:fldCharType="end"/>
                </w:r>
              </w:hyperlink>
            </w:p>
            <w:p w14:paraId="68AD23F4" w14:textId="1F480126"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3" w:history="1">
                <w:r w:rsidRPr="000221D5">
                  <w:rPr>
                    <w:rStyle w:val="Hyperlink"/>
                    <w:rFonts w:ascii="Times New Roman" w:hAnsi="Times New Roman" w:cs="Times New Roman"/>
                    <w:i/>
                    <w:iCs/>
                    <w:noProof/>
                    <w:sz w:val="24"/>
                    <w:szCs w:val="24"/>
                  </w:rPr>
                  <w:t>Return on Owner’s Equity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8</w:t>
                </w:r>
                <w:r w:rsidRPr="000221D5">
                  <w:rPr>
                    <w:rFonts w:ascii="Times New Roman" w:hAnsi="Times New Roman" w:cs="Times New Roman"/>
                    <w:noProof/>
                    <w:webHidden/>
                    <w:sz w:val="24"/>
                    <w:szCs w:val="24"/>
                  </w:rPr>
                  <w:fldChar w:fldCharType="end"/>
                </w:r>
              </w:hyperlink>
            </w:p>
            <w:p w14:paraId="55494598" w14:textId="2EFE9D97"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4" w:history="1">
                <w:r w:rsidRPr="000221D5">
                  <w:rPr>
                    <w:rStyle w:val="Hyperlink"/>
                    <w:rFonts w:ascii="Times New Roman" w:hAnsi="Times New Roman" w:cs="Times New Roman"/>
                    <w:i/>
                    <w:iCs/>
                    <w:noProof/>
                    <w:sz w:val="24"/>
                    <w:szCs w:val="24"/>
                  </w:rPr>
                  <w:t>Return on Capital Employed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9</w:t>
                </w:r>
                <w:r w:rsidRPr="000221D5">
                  <w:rPr>
                    <w:rFonts w:ascii="Times New Roman" w:hAnsi="Times New Roman" w:cs="Times New Roman"/>
                    <w:noProof/>
                    <w:webHidden/>
                    <w:sz w:val="24"/>
                    <w:szCs w:val="24"/>
                  </w:rPr>
                  <w:fldChar w:fldCharType="end"/>
                </w:r>
              </w:hyperlink>
            </w:p>
            <w:p w14:paraId="76FFBF04" w14:textId="6ECABF95"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5" w:history="1">
                <w:r w:rsidRPr="000221D5">
                  <w:rPr>
                    <w:rStyle w:val="Hyperlink"/>
                    <w:rFonts w:ascii="Times New Roman" w:hAnsi="Times New Roman" w:cs="Times New Roman"/>
                    <w:i/>
                    <w:iCs/>
                    <w:noProof/>
                    <w:sz w:val="24"/>
                    <w:szCs w:val="24"/>
                  </w:rPr>
                  <w:t>Liquidity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9</w:t>
                </w:r>
                <w:r w:rsidRPr="000221D5">
                  <w:rPr>
                    <w:rFonts w:ascii="Times New Roman" w:hAnsi="Times New Roman" w:cs="Times New Roman"/>
                    <w:noProof/>
                    <w:webHidden/>
                    <w:sz w:val="24"/>
                    <w:szCs w:val="24"/>
                  </w:rPr>
                  <w:fldChar w:fldCharType="end"/>
                </w:r>
              </w:hyperlink>
            </w:p>
            <w:p w14:paraId="4C5004BF" w14:textId="72114B18"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6" w:history="1">
                <w:r w:rsidRPr="000221D5">
                  <w:rPr>
                    <w:rStyle w:val="Hyperlink"/>
                    <w:rFonts w:ascii="Times New Roman" w:hAnsi="Times New Roman" w:cs="Times New Roman"/>
                    <w:i/>
                    <w:iCs/>
                    <w:noProof/>
                    <w:sz w:val="24"/>
                    <w:szCs w:val="24"/>
                  </w:rPr>
                  <w:t>Current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10</w:t>
                </w:r>
                <w:r w:rsidRPr="000221D5">
                  <w:rPr>
                    <w:rFonts w:ascii="Times New Roman" w:hAnsi="Times New Roman" w:cs="Times New Roman"/>
                    <w:noProof/>
                    <w:webHidden/>
                    <w:sz w:val="24"/>
                    <w:szCs w:val="24"/>
                  </w:rPr>
                  <w:fldChar w:fldCharType="end"/>
                </w:r>
              </w:hyperlink>
            </w:p>
            <w:p w14:paraId="34D2FCD0" w14:textId="54672E12"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7" w:history="1">
                <w:r w:rsidRPr="000221D5">
                  <w:rPr>
                    <w:rStyle w:val="Hyperlink"/>
                    <w:rFonts w:ascii="Times New Roman" w:hAnsi="Times New Roman" w:cs="Times New Roman"/>
                    <w:i/>
                    <w:iCs/>
                    <w:noProof/>
                    <w:sz w:val="24"/>
                    <w:szCs w:val="24"/>
                  </w:rPr>
                  <w:t>Quick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11</w:t>
                </w:r>
                <w:r w:rsidRPr="000221D5">
                  <w:rPr>
                    <w:rFonts w:ascii="Times New Roman" w:hAnsi="Times New Roman" w:cs="Times New Roman"/>
                    <w:noProof/>
                    <w:webHidden/>
                    <w:sz w:val="24"/>
                    <w:szCs w:val="24"/>
                  </w:rPr>
                  <w:fldChar w:fldCharType="end"/>
                </w:r>
              </w:hyperlink>
            </w:p>
            <w:p w14:paraId="1D3980D8" w14:textId="13785CE5"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8" w:history="1">
                <w:r w:rsidRPr="000221D5">
                  <w:rPr>
                    <w:rStyle w:val="Hyperlink"/>
                    <w:rFonts w:ascii="Times New Roman" w:hAnsi="Times New Roman" w:cs="Times New Roman"/>
                    <w:i/>
                    <w:iCs/>
                    <w:noProof/>
                    <w:sz w:val="24"/>
                    <w:szCs w:val="24"/>
                  </w:rPr>
                  <w:t>Gearing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11</w:t>
                </w:r>
                <w:r w:rsidRPr="000221D5">
                  <w:rPr>
                    <w:rFonts w:ascii="Times New Roman" w:hAnsi="Times New Roman" w:cs="Times New Roman"/>
                    <w:noProof/>
                    <w:webHidden/>
                    <w:sz w:val="24"/>
                    <w:szCs w:val="24"/>
                  </w:rPr>
                  <w:fldChar w:fldCharType="end"/>
                </w:r>
              </w:hyperlink>
            </w:p>
            <w:p w14:paraId="4210AAAC" w14:textId="193B3550"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39" w:history="1">
                <w:r w:rsidRPr="000221D5">
                  <w:rPr>
                    <w:rStyle w:val="Hyperlink"/>
                    <w:rFonts w:ascii="Times New Roman" w:hAnsi="Times New Roman" w:cs="Times New Roman"/>
                    <w:i/>
                    <w:iCs/>
                    <w:noProof/>
                    <w:sz w:val="24"/>
                    <w:szCs w:val="24"/>
                  </w:rPr>
                  <w:t>Efficiency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_Toc186239339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13</w:t>
                </w:r>
                <w:r w:rsidRPr="000221D5">
                  <w:rPr>
                    <w:rFonts w:ascii="Times New Roman" w:hAnsi="Times New Roman" w:cs="Times New Roman"/>
                    <w:noProof/>
                    <w:webHidden/>
                    <w:sz w:val="24"/>
                    <w:szCs w:val="24"/>
                  </w:rPr>
                  <w:fldChar w:fldCharType="end"/>
                </w:r>
              </w:hyperlink>
            </w:p>
            <w:p w14:paraId="147057E9" w14:textId="2397B70E"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0" w:history="1">
                <w:r w:rsidRPr="000221D5">
                  <w:rPr>
                    <w:rStyle w:val="Hyperlink"/>
                    <w:rFonts w:ascii="Times New Roman" w:hAnsi="Times New Roman" w:cs="Times New Roman"/>
                    <w:i/>
                    <w:iCs/>
                    <w:noProof/>
                    <w:sz w:val="24"/>
                    <w:szCs w:val="24"/>
                  </w:rPr>
                  <w:t>Stock Turnover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13</w:t>
                </w:r>
                <w:r w:rsidRPr="000221D5">
                  <w:rPr>
                    <w:rFonts w:ascii="Times New Roman" w:hAnsi="Times New Roman" w:cs="Times New Roman"/>
                    <w:noProof/>
                    <w:webHidden/>
                    <w:sz w:val="24"/>
                    <w:szCs w:val="24"/>
                  </w:rPr>
                  <w:fldChar w:fldCharType="end"/>
                </w:r>
              </w:hyperlink>
            </w:p>
            <w:p w14:paraId="34E94DCD" w14:textId="5F51C5F3"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1" w:history="1">
                <w:r w:rsidRPr="000221D5">
                  <w:rPr>
                    <w:rStyle w:val="Hyperlink"/>
                    <w:rFonts w:ascii="Times New Roman" w:hAnsi="Times New Roman" w:cs="Times New Roman"/>
                    <w:i/>
                    <w:iCs/>
                    <w:noProof/>
                    <w:sz w:val="24"/>
                    <w:szCs w:val="24"/>
                  </w:rPr>
                  <w:t>Debtor Collection Period</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14</w:t>
                </w:r>
                <w:r w:rsidRPr="000221D5">
                  <w:rPr>
                    <w:rFonts w:ascii="Times New Roman" w:hAnsi="Times New Roman" w:cs="Times New Roman"/>
                    <w:noProof/>
                    <w:webHidden/>
                    <w:sz w:val="24"/>
                    <w:szCs w:val="24"/>
                  </w:rPr>
                  <w:fldChar w:fldCharType="end"/>
                </w:r>
              </w:hyperlink>
            </w:p>
            <w:p w14:paraId="755A883D" w14:textId="3F424F7A"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2" w:history="1">
                <w:r w:rsidRPr="000221D5">
                  <w:rPr>
                    <w:rStyle w:val="Hyperlink"/>
                    <w:rFonts w:ascii="Times New Roman" w:hAnsi="Times New Roman" w:cs="Times New Roman"/>
                    <w:i/>
                    <w:iCs/>
                    <w:noProof/>
                    <w:sz w:val="24"/>
                    <w:szCs w:val="24"/>
                  </w:rPr>
                  <w:t>Creditor Payment Period</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15</w:t>
                </w:r>
                <w:r w:rsidRPr="000221D5">
                  <w:rPr>
                    <w:rFonts w:ascii="Times New Roman" w:hAnsi="Times New Roman" w:cs="Times New Roman"/>
                    <w:noProof/>
                    <w:webHidden/>
                    <w:sz w:val="24"/>
                    <w:szCs w:val="24"/>
                  </w:rPr>
                  <w:fldChar w:fldCharType="end"/>
                </w:r>
              </w:hyperlink>
            </w:p>
            <w:p w14:paraId="2D29730A" w14:textId="6CBB2687"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3" w:history="1">
                <w:r w:rsidRPr="000221D5">
                  <w:rPr>
                    <w:rStyle w:val="Hyperlink"/>
                    <w:rFonts w:ascii="Times New Roman" w:hAnsi="Times New Roman" w:cs="Times New Roman"/>
                    <w:i/>
                    <w:iCs/>
                    <w:noProof/>
                    <w:sz w:val="24"/>
                    <w:szCs w:val="24"/>
                  </w:rPr>
                  <w:t>Investor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15</w:t>
                </w:r>
                <w:r w:rsidRPr="000221D5">
                  <w:rPr>
                    <w:rFonts w:ascii="Times New Roman" w:hAnsi="Times New Roman" w:cs="Times New Roman"/>
                    <w:noProof/>
                    <w:webHidden/>
                    <w:sz w:val="24"/>
                    <w:szCs w:val="24"/>
                  </w:rPr>
                  <w:fldChar w:fldCharType="end"/>
                </w:r>
              </w:hyperlink>
            </w:p>
            <w:p w14:paraId="2A2F093F" w14:textId="77730E9E"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4" w:history="1">
                <w:r w:rsidRPr="000221D5">
                  <w:rPr>
                    <w:rStyle w:val="Hyperlink"/>
                    <w:rFonts w:ascii="Times New Roman" w:hAnsi="Times New Roman" w:cs="Times New Roman"/>
                    <w:i/>
                    <w:iCs/>
                    <w:noProof/>
                    <w:sz w:val="24"/>
                    <w:szCs w:val="24"/>
                  </w:rPr>
                  <w:t>Interest Cover</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16</w:t>
                </w:r>
                <w:r w:rsidRPr="000221D5">
                  <w:rPr>
                    <w:rFonts w:ascii="Times New Roman" w:hAnsi="Times New Roman" w:cs="Times New Roman"/>
                    <w:noProof/>
                    <w:webHidden/>
                    <w:sz w:val="24"/>
                    <w:szCs w:val="24"/>
                  </w:rPr>
                  <w:fldChar w:fldCharType="end"/>
                </w:r>
              </w:hyperlink>
            </w:p>
            <w:p w14:paraId="69827BB8" w14:textId="01BE9463"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5" w:history="1">
                <w:r w:rsidRPr="000221D5">
                  <w:rPr>
                    <w:rStyle w:val="Hyperlink"/>
                    <w:rFonts w:ascii="Times New Roman" w:hAnsi="Times New Roman" w:cs="Times New Roman"/>
                    <w:i/>
                    <w:iCs/>
                    <w:noProof/>
                    <w:sz w:val="24"/>
                    <w:szCs w:val="24"/>
                  </w:rPr>
                  <w:t>Dividend Yield</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17</w:t>
                </w:r>
                <w:r w:rsidRPr="000221D5">
                  <w:rPr>
                    <w:rFonts w:ascii="Times New Roman" w:hAnsi="Times New Roman" w:cs="Times New Roman"/>
                    <w:noProof/>
                    <w:webHidden/>
                    <w:sz w:val="24"/>
                    <w:szCs w:val="24"/>
                  </w:rPr>
                  <w:fldChar w:fldCharType="end"/>
                </w:r>
              </w:hyperlink>
            </w:p>
            <w:p w14:paraId="4DD126C6" w14:textId="0E43A225"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6" w:history="1">
                <w:r w:rsidRPr="000221D5">
                  <w:rPr>
                    <w:rStyle w:val="Hyperlink"/>
                    <w:rFonts w:ascii="Times New Roman" w:hAnsi="Times New Roman" w:cs="Times New Roman"/>
                    <w:noProof/>
                    <w:sz w:val="24"/>
                    <w:szCs w:val="24"/>
                  </w:rPr>
                  <w:t>Ratio Analysis Limitations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17</w:t>
                </w:r>
                <w:r w:rsidRPr="000221D5">
                  <w:rPr>
                    <w:rFonts w:ascii="Times New Roman" w:hAnsi="Times New Roman" w:cs="Times New Roman"/>
                    <w:noProof/>
                    <w:webHidden/>
                    <w:sz w:val="24"/>
                    <w:szCs w:val="24"/>
                  </w:rPr>
                  <w:fldChar w:fldCharType="end"/>
                </w:r>
              </w:hyperlink>
            </w:p>
            <w:p w14:paraId="6BC9471A" w14:textId="11E4C668"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7" w:history="1">
                <w:r w:rsidRPr="000221D5">
                  <w:rPr>
                    <w:rStyle w:val="Hyperlink"/>
                    <w:rFonts w:ascii="Times New Roman" w:hAnsi="Times New Roman" w:cs="Times New Roman"/>
                    <w:noProof/>
                    <w:sz w:val="24"/>
                    <w:szCs w:val="24"/>
                  </w:rPr>
                  <w:t>Financial management suggestions to Tesco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19</w:t>
                </w:r>
                <w:r w:rsidRPr="000221D5">
                  <w:rPr>
                    <w:rFonts w:ascii="Times New Roman" w:hAnsi="Times New Roman" w:cs="Times New Roman"/>
                    <w:noProof/>
                    <w:webHidden/>
                    <w:sz w:val="24"/>
                    <w:szCs w:val="24"/>
                  </w:rPr>
                  <w:fldChar w:fldCharType="end"/>
                </w:r>
              </w:hyperlink>
            </w:p>
            <w:p w14:paraId="23B9B419" w14:textId="3B6C8DC2" w:rsidR="000221D5" w:rsidRPr="000221D5" w:rsidRDefault="000221D5" w:rsidP="000221D5">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8" w:history="1">
                <w:r w:rsidRPr="000221D5">
                  <w:rPr>
                    <w:rStyle w:val="Hyperlink"/>
                    <w:rFonts w:ascii="Times New Roman" w:hAnsi="Times New Roman" w:cs="Times New Roman"/>
                    <w:b/>
                    <w:bCs/>
                    <w:noProof/>
                    <w:sz w:val="24"/>
                    <w:szCs w:val="24"/>
                  </w:rPr>
                  <w:t>PART 2</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20</w:t>
                </w:r>
                <w:r w:rsidRPr="000221D5">
                  <w:rPr>
                    <w:rFonts w:ascii="Times New Roman" w:hAnsi="Times New Roman" w:cs="Times New Roman"/>
                    <w:noProof/>
                    <w:webHidden/>
                    <w:sz w:val="24"/>
                    <w:szCs w:val="24"/>
                  </w:rPr>
                  <w:fldChar w:fldCharType="end"/>
                </w:r>
              </w:hyperlink>
            </w:p>
            <w:p w14:paraId="263EDC1B" w14:textId="75CCFDBC"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49" w:history="1">
                <w:r w:rsidRPr="000221D5">
                  <w:rPr>
                    <w:rStyle w:val="Hyperlink"/>
                    <w:rFonts w:ascii="Times New Roman" w:hAnsi="Times New Roman" w:cs="Times New Roman"/>
                    <w:noProof/>
                    <w:sz w:val="24"/>
                    <w:szCs w:val="24"/>
                  </w:rPr>
                  <w:t>Net present value of Proposal</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_Toc186239349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20</w:t>
                </w:r>
                <w:r w:rsidRPr="000221D5">
                  <w:rPr>
                    <w:rFonts w:ascii="Times New Roman" w:hAnsi="Times New Roman" w:cs="Times New Roman"/>
                    <w:noProof/>
                    <w:webHidden/>
                    <w:sz w:val="24"/>
                    <w:szCs w:val="24"/>
                  </w:rPr>
                  <w:fldChar w:fldCharType="end"/>
                </w:r>
              </w:hyperlink>
            </w:p>
            <w:p w14:paraId="548EB40D" w14:textId="4FEE6586"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0" w:history="1">
                <w:r w:rsidRPr="000221D5">
                  <w:rPr>
                    <w:rStyle w:val="Hyperlink"/>
                    <w:rFonts w:ascii="Times New Roman" w:hAnsi="Times New Roman" w:cs="Times New Roman"/>
                    <w:i/>
                    <w:iCs/>
                    <w:noProof/>
                    <w:sz w:val="24"/>
                    <w:szCs w:val="24"/>
                  </w:rPr>
                  <w:t>NPV of Proposal A</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21</w:t>
                </w:r>
                <w:r w:rsidRPr="000221D5">
                  <w:rPr>
                    <w:rFonts w:ascii="Times New Roman" w:hAnsi="Times New Roman" w:cs="Times New Roman"/>
                    <w:noProof/>
                    <w:webHidden/>
                    <w:sz w:val="24"/>
                    <w:szCs w:val="24"/>
                  </w:rPr>
                  <w:fldChar w:fldCharType="end"/>
                </w:r>
              </w:hyperlink>
            </w:p>
            <w:p w14:paraId="019E3210" w14:textId="0861DCAF"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1" w:history="1">
                <w:r w:rsidRPr="000221D5">
                  <w:rPr>
                    <w:rStyle w:val="Hyperlink"/>
                    <w:rFonts w:ascii="Times New Roman" w:hAnsi="Times New Roman" w:cs="Times New Roman"/>
                    <w:i/>
                    <w:iCs/>
                    <w:noProof/>
                    <w:sz w:val="24"/>
                    <w:szCs w:val="24"/>
                  </w:rPr>
                  <w:t>NPV of Proposal B</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22</w:t>
                </w:r>
                <w:r w:rsidRPr="000221D5">
                  <w:rPr>
                    <w:rFonts w:ascii="Times New Roman" w:hAnsi="Times New Roman" w:cs="Times New Roman"/>
                    <w:noProof/>
                    <w:webHidden/>
                    <w:sz w:val="24"/>
                    <w:szCs w:val="24"/>
                  </w:rPr>
                  <w:fldChar w:fldCharType="end"/>
                </w:r>
              </w:hyperlink>
            </w:p>
            <w:p w14:paraId="2CF35366" w14:textId="71BE72CD"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2" w:history="1">
                <w:r w:rsidRPr="000221D5">
                  <w:rPr>
                    <w:rStyle w:val="Hyperlink"/>
                    <w:rFonts w:ascii="Times New Roman" w:hAnsi="Times New Roman" w:cs="Times New Roman"/>
                    <w:i/>
                    <w:iCs/>
                    <w:noProof/>
                    <w:sz w:val="24"/>
                    <w:szCs w:val="24"/>
                  </w:rPr>
                  <w:t>NPV of Proposal C</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22</w:t>
                </w:r>
                <w:r w:rsidRPr="000221D5">
                  <w:rPr>
                    <w:rFonts w:ascii="Times New Roman" w:hAnsi="Times New Roman" w:cs="Times New Roman"/>
                    <w:noProof/>
                    <w:webHidden/>
                    <w:sz w:val="24"/>
                    <w:szCs w:val="24"/>
                  </w:rPr>
                  <w:fldChar w:fldCharType="end"/>
                </w:r>
              </w:hyperlink>
            </w:p>
            <w:p w14:paraId="0DD343C1" w14:textId="3831C2FD"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3" w:history="1">
                <w:r w:rsidRPr="000221D5">
                  <w:rPr>
                    <w:rStyle w:val="Hyperlink"/>
                    <w:rFonts w:ascii="Times New Roman" w:hAnsi="Times New Roman" w:cs="Times New Roman"/>
                    <w:i/>
                    <w:iCs/>
                    <w:noProof/>
                    <w:sz w:val="24"/>
                    <w:szCs w:val="24"/>
                    <w:lang w:val="en-IN"/>
                  </w:rPr>
                  <w:t>Suggestion</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23</w:t>
                </w:r>
                <w:r w:rsidRPr="000221D5">
                  <w:rPr>
                    <w:rFonts w:ascii="Times New Roman" w:hAnsi="Times New Roman" w:cs="Times New Roman"/>
                    <w:noProof/>
                    <w:webHidden/>
                    <w:sz w:val="24"/>
                    <w:szCs w:val="24"/>
                  </w:rPr>
                  <w:fldChar w:fldCharType="end"/>
                </w:r>
              </w:hyperlink>
            </w:p>
            <w:p w14:paraId="7CDAFDF7" w14:textId="5861211D"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4" w:history="1">
                <w:r w:rsidRPr="000221D5">
                  <w:rPr>
                    <w:rStyle w:val="Hyperlink"/>
                    <w:rFonts w:ascii="Times New Roman" w:hAnsi="Times New Roman" w:cs="Times New Roman"/>
                    <w:noProof/>
                    <w:sz w:val="24"/>
                    <w:szCs w:val="24"/>
                  </w:rPr>
                  <w:t>Internal rate of Return of Proposals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23</w:t>
                </w:r>
                <w:r w:rsidRPr="000221D5">
                  <w:rPr>
                    <w:rFonts w:ascii="Times New Roman" w:hAnsi="Times New Roman" w:cs="Times New Roman"/>
                    <w:noProof/>
                    <w:webHidden/>
                    <w:sz w:val="24"/>
                    <w:szCs w:val="24"/>
                  </w:rPr>
                  <w:fldChar w:fldCharType="end"/>
                </w:r>
              </w:hyperlink>
            </w:p>
            <w:p w14:paraId="784DF3C9" w14:textId="7A9D94B5"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5" w:history="1">
                <w:r w:rsidRPr="000221D5">
                  <w:rPr>
                    <w:rStyle w:val="Hyperlink"/>
                    <w:rFonts w:ascii="Times New Roman" w:hAnsi="Times New Roman" w:cs="Times New Roman"/>
                    <w:i/>
                    <w:iCs/>
                    <w:noProof/>
                    <w:sz w:val="24"/>
                    <w:szCs w:val="24"/>
                    <w:lang w:val="en-IN"/>
                  </w:rPr>
                  <w:t>IRR of Proposal A</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23</w:t>
                </w:r>
                <w:r w:rsidRPr="000221D5">
                  <w:rPr>
                    <w:rFonts w:ascii="Times New Roman" w:hAnsi="Times New Roman" w:cs="Times New Roman"/>
                    <w:noProof/>
                    <w:webHidden/>
                    <w:sz w:val="24"/>
                    <w:szCs w:val="24"/>
                  </w:rPr>
                  <w:fldChar w:fldCharType="end"/>
                </w:r>
              </w:hyperlink>
            </w:p>
            <w:p w14:paraId="618E62C6" w14:textId="2C176755"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6" w:history="1">
                <w:r w:rsidRPr="000221D5">
                  <w:rPr>
                    <w:rStyle w:val="Hyperlink"/>
                    <w:rFonts w:ascii="Times New Roman" w:hAnsi="Times New Roman" w:cs="Times New Roman"/>
                    <w:i/>
                    <w:iCs/>
                    <w:noProof/>
                    <w:sz w:val="24"/>
                    <w:szCs w:val="24"/>
                    <w:lang w:val="en-IN"/>
                  </w:rPr>
                  <w:t>IRR of Proposal B</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24</w:t>
                </w:r>
                <w:r w:rsidRPr="000221D5">
                  <w:rPr>
                    <w:rFonts w:ascii="Times New Roman" w:hAnsi="Times New Roman" w:cs="Times New Roman"/>
                    <w:noProof/>
                    <w:webHidden/>
                    <w:sz w:val="24"/>
                    <w:szCs w:val="24"/>
                  </w:rPr>
                  <w:fldChar w:fldCharType="end"/>
                </w:r>
              </w:hyperlink>
            </w:p>
            <w:p w14:paraId="2E703067" w14:textId="7518B066" w:rsidR="000221D5" w:rsidRPr="000221D5" w:rsidRDefault="000221D5" w:rsidP="000221D5">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7" w:history="1">
                <w:r w:rsidRPr="000221D5">
                  <w:rPr>
                    <w:rStyle w:val="Hyperlink"/>
                    <w:rFonts w:ascii="Times New Roman" w:hAnsi="Times New Roman" w:cs="Times New Roman"/>
                    <w:i/>
                    <w:iCs/>
                    <w:noProof/>
                    <w:sz w:val="24"/>
                    <w:szCs w:val="24"/>
                    <w:lang w:val="en-IN"/>
                  </w:rPr>
                  <w:t>IRR of Proposal C</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25</w:t>
                </w:r>
                <w:r w:rsidRPr="000221D5">
                  <w:rPr>
                    <w:rFonts w:ascii="Times New Roman" w:hAnsi="Times New Roman" w:cs="Times New Roman"/>
                    <w:noProof/>
                    <w:webHidden/>
                    <w:sz w:val="24"/>
                    <w:szCs w:val="24"/>
                  </w:rPr>
                  <w:fldChar w:fldCharType="end"/>
                </w:r>
              </w:hyperlink>
            </w:p>
            <w:p w14:paraId="20FDBD88" w14:textId="264DEAB8"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8" w:history="1">
                <w:r w:rsidRPr="000221D5">
                  <w:rPr>
                    <w:rStyle w:val="Hyperlink"/>
                    <w:rFonts w:ascii="Times New Roman" w:hAnsi="Times New Roman" w:cs="Times New Roman"/>
                    <w:noProof/>
                    <w:sz w:val="24"/>
                    <w:szCs w:val="24"/>
                  </w:rPr>
                  <w:t>State Significance of NPV as best Capital Budgeting approach</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26</w:t>
                </w:r>
                <w:r w:rsidRPr="000221D5">
                  <w:rPr>
                    <w:rFonts w:ascii="Times New Roman" w:hAnsi="Times New Roman" w:cs="Times New Roman"/>
                    <w:noProof/>
                    <w:webHidden/>
                    <w:sz w:val="24"/>
                    <w:szCs w:val="24"/>
                  </w:rPr>
                  <w:fldChar w:fldCharType="end"/>
                </w:r>
              </w:hyperlink>
            </w:p>
            <w:p w14:paraId="415CC347" w14:textId="657F9E04"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59" w:history="1">
                <w:r w:rsidRPr="000221D5">
                  <w:rPr>
                    <w:rStyle w:val="Hyperlink"/>
                    <w:rFonts w:ascii="Times New Roman" w:hAnsi="Times New Roman" w:cs="Times New Roman"/>
                    <w:noProof/>
                    <w:sz w:val="24"/>
                    <w:szCs w:val="24"/>
                  </w:rPr>
                  <w:t>Explain the importance of non-discounting methods of capital budgeting</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_Toc186239359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26</w:t>
                </w:r>
                <w:r w:rsidRPr="000221D5">
                  <w:rPr>
                    <w:rFonts w:ascii="Times New Roman" w:hAnsi="Times New Roman" w:cs="Times New Roman"/>
                    <w:noProof/>
                    <w:webHidden/>
                    <w:sz w:val="24"/>
                    <w:szCs w:val="24"/>
                  </w:rPr>
                  <w:fldChar w:fldCharType="end"/>
                </w:r>
              </w:hyperlink>
            </w:p>
            <w:p w14:paraId="1EBC4F77" w14:textId="4A30948D"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0" w:history="1">
                <w:r w:rsidRPr="000221D5">
                  <w:rPr>
                    <w:rStyle w:val="Hyperlink"/>
                    <w:rFonts w:ascii="Times New Roman" w:hAnsi="Times New Roman" w:cs="Times New Roman"/>
                    <w:noProof/>
                    <w:sz w:val="24"/>
                    <w:szCs w:val="24"/>
                  </w:rPr>
                  <w:t>Determine factors allowing an investor taking investment decisions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27</w:t>
                </w:r>
                <w:r w:rsidRPr="000221D5">
                  <w:rPr>
                    <w:rFonts w:ascii="Times New Roman" w:hAnsi="Times New Roman" w:cs="Times New Roman"/>
                    <w:noProof/>
                    <w:webHidden/>
                    <w:sz w:val="24"/>
                    <w:szCs w:val="24"/>
                  </w:rPr>
                  <w:fldChar w:fldCharType="end"/>
                </w:r>
              </w:hyperlink>
            </w:p>
            <w:p w14:paraId="39414573" w14:textId="54CEA2BD"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1" w:history="1">
                <w:r w:rsidRPr="000221D5">
                  <w:rPr>
                    <w:rStyle w:val="Hyperlink"/>
                    <w:rFonts w:ascii="Times New Roman" w:hAnsi="Times New Roman" w:cs="Times New Roman"/>
                    <w:noProof/>
                    <w:sz w:val="24"/>
                    <w:szCs w:val="24"/>
                  </w:rPr>
                  <w:t>NPV of Optimum Investment Policy</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27</w:t>
                </w:r>
                <w:r w:rsidRPr="000221D5">
                  <w:rPr>
                    <w:rFonts w:ascii="Times New Roman" w:hAnsi="Times New Roman" w:cs="Times New Roman"/>
                    <w:noProof/>
                    <w:webHidden/>
                    <w:sz w:val="24"/>
                    <w:szCs w:val="24"/>
                  </w:rPr>
                  <w:fldChar w:fldCharType="end"/>
                </w:r>
              </w:hyperlink>
            </w:p>
            <w:p w14:paraId="18120F9E" w14:textId="02CD8DCF"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2" w:history="1">
                <w:r w:rsidRPr="000221D5">
                  <w:rPr>
                    <w:rStyle w:val="Hyperlink"/>
                    <w:rFonts w:ascii="Times New Roman" w:hAnsi="Times New Roman" w:cs="Times New Roman"/>
                    <w:noProof/>
                    <w:sz w:val="24"/>
                    <w:szCs w:val="24"/>
                  </w:rPr>
                  <w:t>State sources of Finance in financing proposed Investment proposal</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28</w:t>
                </w:r>
                <w:r w:rsidRPr="000221D5">
                  <w:rPr>
                    <w:rFonts w:ascii="Times New Roman" w:hAnsi="Times New Roman" w:cs="Times New Roman"/>
                    <w:noProof/>
                    <w:webHidden/>
                    <w:sz w:val="24"/>
                    <w:szCs w:val="24"/>
                  </w:rPr>
                  <w:fldChar w:fldCharType="end"/>
                </w:r>
              </w:hyperlink>
            </w:p>
            <w:p w14:paraId="07EDD4C7" w14:textId="7F3B90DB" w:rsidR="000221D5" w:rsidRPr="000221D5" w:rsidRDefault="000221D5" w:rsidP="000221D5">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3" w:history="1">
                <w:r w:rsidRPr="000221D5">
                  <w:rPr>
                    <w:rStyle w:val="Hyperlink"/>
                    <w:rFonts w:ascii="Times New Roman" w:hAnsi="Times New Roman" w:cs="Times New Roman"/>
                    <w:b/>
                    <w:bCs/>
                    <w:noProof/>
                    <w:sz w:val="24"/>
                    <w:szCs w:val="24"/>
                  </w:rPr>
                  <w:t>REFERENCES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31</w:t>
                </w:r>
                <w:r w:rsidRPr="000221D5">
                  <w:rPr>
                    <w:rFonts w:ascii="Times New Roman" w:hAnsi="Times New Roman" w:cs="Times New Roman"/>
                    <w:noProof/>
                    <w:webHidden/>
                    <w:sz w:val="24"/>
                    <w:szCs w:val="24"/>
                  </w:rPr>
                  <w:fldChar w:fldCharType="end"/>
                </w:r>
              </w:hyperlink>
            </w:p>
            <w:p w14:paraId="4A08887F" w14:textId="2CAE8BDD" w:rsidR="000221D5" w:rsidRPr="000221D5" w:rsidRDefault="000221D5" w:rsidP="000221D5">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4" w:history="1">
                <w:r w:rsidRPr="000221D5">
                  <w:rPr>
                    <w:rStyle w:val="Hyperlink"/>
                    <w:rFonts w:ascii="Times New Roman" w:hAnsi="Times New Roman" w:cs="Times New Roman"/>
                    <w:b/>
                    <w:bCs/>
                    <w:noProof/>
                    <w:sz w:val="24"/>
                    <w:szCs w:val="24"/>
                  </w:rPr>
                  <w:t>APPENDIX</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34</w:t>
                </w:r>
                <w:r w:rsidRPr="000221D5">
                  <w:rPr>
                    <w:rFonts w:ascii="Times New Roman" w:hAnsi="Times New Roman" w:cs="Times New Roman"/>
                    <w:noProof/>
                    <w:webHidden/>
                    <w:sz w:val="24"/>
                    <w:szCs w:val="24"/>
                  </w:rPr>
                  <w:fldChar w:fldCharType="end"/>
                </w:r>
              </w:hyperlink>
            </w:p>
            <w:p w14:paraId="44693E70" w14:textId="4650C564"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5" w:history="1">
                <w:r w:rsidRPr="000221D5">
                  <w:rPr>
                    <w:rStyle w:val="Hyperlink"/>
                    <w:rFonts w:ascii="Times New Roman" w:hAnsi="Times New Roman" w:cs="Times New Roman"/>
                    <w:noProof/>
                    <w:sz w:val="24"/>
                    <w:szCs w:val="24"/>
                  </w:rPr>
                  <w:t>Appendices 1 Profitability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34</w:t>
                </w:r>
                <w:r w:rsidRPr="000221D5">
                  <w:rPr>
                    <w:rFonts w:ascii="Times New Roman" w:hAnsi="Times New Roman" w:cs="Times New Roman"/>
                    <w:noProof/>
                    <w:webHidden/>
                    <w:sz w:val="24"/>
                    <w:szCs w:val="24"/>
                  </w:rPr>
                  <w:fldChar w:fldCharType="end"/>
                </w:r>
              </w:hyperlink>
            </w:p>
            <w:p w14:paraId="148D2169" w14:textId="0FF60B82"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6" w:history="1">
                <w:r w:rsidRPr="000221D5">
                  <w:rPr>
                    <w:rStyle w:val="Hyperlink"/>
                    <w:rFonts w:ascii="Times New Roman" w:hAnsi="Times New Roman" w:cs="Times New Roman"/>
                    <w:noProof/>
                    <w:sz w:val="24"/>
                    <w:szCs w:val="24"/>
                  </w:rPr>
                  <w:t>Appendices 2 Liquidity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34</w:t>
                </w:r>
                <w:r w:rsidRPr="000221D5">
                  <w:rPr>
                    <w:rFonts w:ascii="Times New Roman" w:hAnsi="Times New Roman" w:cs="Times New Roman"/>
                    <w:noProof/>
                    <w:webHidden/>
                    <w:sz w:val="24"/>
                    <w:szCs w:val="24"/>
                  </w:rPr>
                  <w:fldChar w:fldCharType="end"/>
                </w:r>
              </w:hyperlink>
            </w:p>
            <w:p w14:paraId="05478101" w14:textId="4442809D"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7" w:history="1">
                <w:r w:rsidRPr="000221D5">
                  <w:rPr>
                    <w:rStyle w:val="Hyperlink"/>
                    <w:rFonts w:ascii="Times New Roman" w:hAnsi="Times New Roman" w:cs="Times New Roman"/>
                    <w:noProof/>
                    <w:sz w:val="24"/>
                    <w:szCs w:val="24"/>
                  </w:rPr>
                  <w:t>Appendices 3 Gearing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34</w:t>
                </w:r>
                <w:r w:rsidRPr="000221D5">
                  <w:rPr>
                    <w:rFonts w:ascii="Times New Roman" w:hAnsi="Times New Roman" w:cs="Times New Roman"/>
                    <w:noProof/>
                    <w:webHidden/>
                    <w:sz w:val="24"/>
                    <w:szCs w:val="24"/>
                  </w:rPr>
                  <w:fldChar w:fldCharType="end"/>
                </w:r>
              </w:hyperlink>
            </w:p>
            <w:p w14:paraId="232CBE42" w14:textId="348E2A2B"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8" w:history="1">
                <w:r w:rsidRPr="000221D5">
                  <w:rPr>
                    <w:rStyle w:val="Hyperlink"/>
                    <w:rFonts w:ascii="Times New Roman" w:hAnsi="Times New Roman" w:cs="Times New Roman"/>
                    <w:noProof/>
                    <w:sz w:val="24"/>
                    <w:szCs w:val="24"/>
                  </w:rPr>
                  <w:t>Appendices 4 Efficiency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35</w:t>
                </w:r>
                <w:r w:rsidRPr="000221D5">
                  <w:rPr>
                    <w:rFonts w:ascii="Times New Roman" w:hAnsi="Times New Roman" w:cs="Times New Roman"/>
                    <w:noProof/>
                    <w:webHidden/>
                    <w:sz w:val="24"/>
                    <w:szCs w:val="24"/>
                  </w:rPr>
                  <w:fldChar w:fldCharType="end"/>
                </w:r>
              </w:hyperlink>
            </w:p>
            <w:p w14:paraId="068BBAFA" w14:textId="3F99CA92"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69" w:history="1">
                <w:r w:rsidRPr="000221D5">
                  <w:rPr>
                    <w:rStyle w:val="Hyperlink"/>
                    <w:rFonts w:ascii="Times New Roman" w:hAnsi="Times New Roman" w:cs="Times New Roman"/>
                    <w:noProof/>
                    <w:sz w:val="24"/>
                    <w:szCs w:val="24"/>
                  </w:rPr>
                  <w:t>Appendices 5 Investor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_Toc186239369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35</w:t>
                </w:r>
                <w:r w:rsidRPr="000221D5">
                  <w:rPr>
                    <w:rFonts w:ascii="Times New Roman" w:hAnsi="Times New Roman" w:cs="Times New Roman"/>
                    <w:noProof/>
                    <w:webHidden/>
                    <w:sz w:val="24"/>
                    <w:szCs w:val="24"/>
                  </w:rPr>
                  <w:fldChar w:fldCharType="end"/>
                </w:r>
              </w:hyperlink>
            </w:p>
            <w:p w14:paraId="3990C9DC" w14:textId="64D69FCE"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70" w:history="1">
                <w:r w:rsidRPr="000221D5">
                  <w:rPr>
                    <w:rStyle w:val="Hyperlink"/>
                    <w:rFonts w:ascii="Times New Roman" w:hAnsi="Times New Roman" w:cs="Times New Roman"/>
                    <w:noProof/>
                    <w:sz w:val="24"/>
                    <w:szCs w:val="24"/>
                  </w:rPr>
                  <w:t>Appendices 6 Net Cash Flow</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_Toc186239370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35</w:t>
                </w:r>
                <w:r w:rsidRPr="000221D5">
                  <w:rPr>
                    <w:rFonts w:ascii="Times New Roman" w:hAnsi="Times New Roman" w:cs="Times New Roman"/>
                    <w:noProof/>
                    <w:webHidden/>
                    <w:sz w:val="24"/>
                    <w:szCs w:val="24"/>
                  </w:rPr>
                  <w:fldChar w:fldCharType="end"/>
                </w:r>
              </w:hyperlink>
            </w:p>
            <w:p w14:paraId="029CC9E1" w14:textId="04F0E9FF"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71" w:history="1">
                <w:r w:rsidRPr="000221D5">
                  <w:rPr>
                    <w:rStyle w:val="Hyperlink"/>
                    <w:rFonts w:ascii="Times New Roman" w:hAnsi="Times New Roman" w:cs="Times New Roman"/>
                    <w:noProof/>
                    <w:sz w:val="24"/>
                    <w:szCs w:val="24"/>
                  </w:rPr>
                  <w:t>Appendices 7 NPV</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_Toc186239371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36</w:t>
                </w:r>
                <w:r w:rsidRPr="000221D5">
                  <w:rPr>
                    <w:rFonts w:ascii="Times New Roman" w:hAnsi="Times New Roman" w:cs="Times New Roman"/>
                    <w:noProof/>
                    <w:webHidden/>
                    <w:sz w:val="24"/>
                    <w:szCs w:val="24"/>
                  </w:rPr>
                  <w:fldChar w:fldCharType="end"/>
                </w:r>
              </w:hyperlink>
            </w:p>
            <w:p w14:paraId="53F95EC1" w14:textId="1F561D00"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72" w:history="1">
                <w:r w:rsidRPr="000221D5">
                  <w:rPr>
                    <w:rStyle w:val="Hyperlink"/>
                    <w:rFonts w:ascii="Times New Roman" w:hAnsi="Times New Roman" w:cs="Times New Roman"/>
                    <w:noProof/>
                    <w:sz w:val="24"/>
                    <w:szCs w:val="24"/>
                  </w:rPr>
                  <w:t>Appendices 8 IRR</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_Toc186239372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37</w:t>
                </w:r>
                <w:r w:rsidRPr="000221D5">
                  <w:rPr>
                    <w:rFonts w:ascii="Times New Roman" w:hAnsi="Times New Roman" w:cs="Times New Roman"/>
                    <w:noProof/>
                    <w:webHidden/>
                    <w:sz w:val="24"/>
                    <w:szCs w:val="24"/>
                  </w:rPr>
                  <w:fldChar w:fldCharType="end"/>
                </w:r>
              </w:hyperlink>
            </w:p>
            <w:p w14:paraId="20B4FDCA" w14:textId="23447C6A"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73" w:history="1">
                <w:r w:rsidRPr="000221D5">
                  <w:rPr>
                    <w:rStyle w:val="Hyperlink"/>
                    <w:rFonts w:ascii="Times New Roman" w:hAnsi="Times New Roman" w:cs="Times New Roman"/>
                    <w:noProof/>
                    <w:sz w:val="24"/>
                    <w:szCs w:val="24"/>
                  </w:rPr>
                  <w:t>Appendices 9 Optimal Policy</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_Toc186239373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39</w:t>
                </w:r>
                <w:r w:rsidRPr="000221D5">
                  <w:rPr>
                    <w:rFonts w:ascii="Times New Roman" w:hAnsi="Times New Roman" w:cs="Times New Roman"/>
                    <w:noProof/>
                    <w:webHidden/>
                    <w:sz w:val="24"/>
                    <w:szCs w:val="24"/>
                  </w:rPr>
                  <w:fldChar w:fldCharType="end"/>
                </w:r>
              </w:hyperlink>
            </w:p>
            <w:p w14:paraId="5A78F989" w14:textId="446C5B72"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74" w:history="1">
                <w:r w:rsidRPr="000221D5">
                  <w:rPr>
                    <w:rStyle w:val="Hyperlink"/>
                    <w:rFonts w:ascii="Times New Roman" w:hAnsi="Times New Roman" w:cs="Times New Roman"/>
                    <w:noProof/>
                    <w:sz w:val="24"/>
                    <w:szCs w:val="24"/>
                  </w:rPr>
                  <w:t>Appendices 10 Income Statement of Tesco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_Toc186239374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40</w:t>
                </w:r>
                <w:r w:rsidRPr="000221D5">
                  <w:rPr>
                    <w:rFonts w:ascii="Times New Roman" w:hAnsi="Times New Roman" w:cs="Times New Roman"/>
                    <w:noProof/>
                    <w:webHidden/>
                    <w:sz w:val="24"/>
                    <w:szCs w:val="24"/>
                  </w:rPr>
                  <w:fldChar w:fldCharType="end"/>
                </w:r>
              </w:hyperlink>
            </w:p>
            <w:p w14:paraId="6E09DDB9" w14:textId="17E3342B" w:rsidR="000221D5" w:rsidRPr="000221D5" w:rsidRDefault="000221D5" w:rsidP="000221D5">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6239375" w:history="1">
                <w:r w:rsidRPr="000221D5">
                  <w:rPr>
                    <w:rStyle w:val="Hyperlink"/>
                    <w:rFonts w:ascii="Times New Roman" w:hAnsi="Times New Roman" w:cs="Times New Roman"/>
                    <w:noProof/>
                    <w:sz w:val="24"/>
                    <w:szCs w:val="24"/>
                  </w:rPr>
                  <w:t>Appendices 11 Balance Sheet</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_Toc186239375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41</w:t>
                </w:r>
                <w:r w:rsidRPr="000221D5">
                  <w:rPr>
                    <w:rFonts w:ascii="Times New Roman" w:hAnsi="Times New Roman" w:cs="Times New Roman"/>
                    <w:noProof/>
                    <w:webHidden/>
                    <w:sz w:val="24"/>
                    <w:szCs w:val="24"/>
                  </w:rPr>
                  <w:fldChar w:fldCharType="end"/>
                </w:r>
              </w:hyperlink>
            </w:p>
            <w:p w14:paraId="05194699" w14:textId="0B8C0410" w:rsidR="007D1947" w:rsidRDefault="007D1947" w:rsidP="000221D5">
              <w:pPr>
                <w:spacing w:line="360" w:lineRule="auto"/>
                <w:jc w:val="both"/>
              </w:pPr>
              <w:r w:rsidRPr="000221D5">
                <w:rPr>
                  <w:rFonts w:ascii="Times New Roman" w:hAnsi="Times New Roman" w:cs="Times New Roman"/>
                  <w:b/>
                  <w:bCs/>
                  <w:noProof/>
                  <w:sz w:val="24"/>
                  <w:szCs w:val="24"/>
                </w:rPr>
                <w:fldChar w:fldCharType="end"/>
              </w:r>
              <w:r w:rsidR="00762C3E">
                <w:rPr>
                  <w:b/>
                  <w:bCs/>
                  <w:noProof/>
                </w:rPr>
                <w:t xml:space="preserve"> </w:t>
              </w:r>
            </w:p>
          </w:sdtContent>
        </w:sdt>
        <w:p w14:paraId="35B6052B" w14:textId="6DBCFB63" w:rsidR="007D1947" w:rsidRDefault="000221D5" w:rsidP="000221D5">
          <w:pPr>
            <w:jc w:val="center"/>
            <w:rPr>
              <w:rFonts w:ascii="Times New Roman" w:hAnsi="Times New Roman" w:cs="Times New Roman"/>
              <w:b/>
              <w:bCs/>
              <w:sz w:val="28"/>
              <w:szCs w:val="28"/>
            </w:rPr>
          </w:pPr>
          <w:r w:rsidRPr="000221D5">
            <w:rPr>
              <w:rFonts w:ascii="Times New Roman" w:hAnsi="Times New Roman" w:cs="Times New Roman"/>
              <w:b/>
              <w:bCs/>
              <w:sz w:val="28"/>
              <w:szCs w:val="28"/>
            </w:rPr>
            <w:lastRenderedPageBreak/>
            <w:t>INDEX OF FIGURES</w:t>
          </w:r>
        </w:p>
        <w:p w14:paraId="0B908A52" w14:textId="299F636B"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TOC \h \z \c "Figure" </w:instrText>
          </w:r>
          <w:r>
            <w:rPr>
              <w:rFonts w:ascii="Times New Roman" w:hAnsi="Times New Roman" w:cs="Times New Roman"/>
              <w:b/>
              <w:bCs/>
              <w:sz w:val="28"/>
              <w:szCs w:val="28"/>
            </w:rPr>
            <w:fldChar w:fldCharType="separate"/>
          </w:r>
          <w:hyperlink w:anchor="_Toc186239392" w:history="1">
            <w:r w:rsidRPr="000221D5">
              <w:rPr>
                <w:rStyle w:val="Hyperlink"/>
                <w:rFonts w:ascii="Times New Roman" w:hAnsi="Times New Roman" w:cs="Times New Roman"/>
                <w:noProof/>
                <w:sz w:val="24"/>
                <w:szCs w:val="24"/>
              </w:rPr>
              <w:t>Figure 1 Tesco’s Profitability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6</w:t>
            </w:r>
            <w:r w:rsidRPr="000221D5">
              <w:rPr>
                <w:rFonts w:ascii="Times New Roman" w:hAnsi="Times New Roman" w:cs="Times New Roman"/>
                <w:noProof/>
                <w:webHidden/>
                <w:sz w:val="24"/>
                <w:szCs w:val="24"/>
              </w:rPr>
              <w:fldChar w:fldCharType="end"/>
            </w:r>
          </w:hyperlink>
        </w:p>
        <w:p w14:paraId="43172629" w14:textId="056E45D6"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3" w:history="1">
            <w:r w:rsidRPr="000221D5">
              <w:rPr>
                <w:rStyle w:val="Hyperlink"/>
                <w:rFonts w:ascii="Times New Roman" w:hAnsi="Times New Roman" w:cs="Times New Roman"/>
                <w:noProof/>
                <w:sz w:val="24"/>
                <w:szCs w:val="24"/>
              </w:rPr>
              <w:t>Figure 2 Gross Profit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6</w:t>
            </w:r>
            <w:r w:rsidRPr="000221D5">
              <w:rPr>
                <w:rFonts w:ascii="Times New Roman" w:hAnsi="Times New Roman" w:cs="Times New Roman"/>
                <w:noProof/>
                <w:webHidden/>
                <w:sz w:val="24"/>
                <w:szCs w:val="24"/>
              </w:rPr>
              <w:fldChar w:fldCharType="end"/>
            </w:r>
          </w:hyperlink>
        </w:p>
        <w:p w14:paraId="6A1FB97A" w14:textId="7E634301"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4" w:history="1">
            <w:r w:rsidRPr="000221D5">
              <w:rPr>
                <w:rStyle w:val="Hyperlink"/>
                <w:rFonts w:ascii="Times New Roman" w:hAnsi="Times New Roman" w:cs="Times New Roman"/>
                <w:noProof/>
                <w:sz w:val="24"/>
                <w:szCs w:val="24"/>
              </w:rPr>
              <w:t>Figure 3 Operating Profit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7</w:t>
            </w:r>
            <w:r w:rsidRPr="000221D5">
              <w:rPr>
                <w:rFonts w:ascii="Times New Roman" w:hAnsi="Times New Roman" w:cs="Times New Roman"/>
                <w:noProof/>
                <w:webHidden/>
                <w:sz w:val="24"/>
                <w:szCs w:val="24"/>
              </w:rPr>
              <w:fldChar w:fldCharType="end"/>
            </w:r>
          </w:hyperlink>
        </w:p>
        <w:p w14:paraId="5E1B5B34" w14:textId="4AA32032"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5" w:history="1">
            <w:r w:rsidRPr="000221D5">
              <w:rPr>
                <w:rStyle w:val="Hyperlink"/>
                <w:rFonts w:ascii="Times New Roman" w:hAnsi="Times New Roman" w:cs="Times New Roman"/>
                <w:noProof/>
                <w:sz w:val="24"/>
                <w:szCs w:val="24"/>
              </w:rPr>
              <w:t>Figure 4 Net Profit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8</w:t>
            </w:r>
            <w:r w:rsidRPr="000221D5">
              <w:rPr>
                <w:rFonts w:ascii="Times New Roman" w:hAnsi="Times New Roman" w:cs="Times New Roman"/>
                <w:noProof/>
                <w:webHidden/>
                <w:sz w:val="24"/>
                <w:szCs w:val="24"/>
              </w:rPr>
              <w:fldChar w:fldCharType="end"/>
            </w:r>
          </w:hyperlink>
        </w:p>
        <w:p w14:paraId="5A86CA95" w14:textId="473F1C4F"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6" w:history="1">
            <w:r w:rsidRPr="000221D5">
              <w:rPr>
                <w:rStyle w:val="Hyperlink"/>
                <w:rFonts w:ascii="Times New Roman" w:hAnsi="Times New Roman" w:cs="Times New Roman"/>
                <w:noProof/>
                <w:sz w:val="24"/>
                <w:szCs w:val="24"/>
              </w:rPr>
              <w:t>Figure 5 Return on Equity</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9</w:t>
            </w:r>
            <w:r w:rsidRPr="000221D5">
              <w:rPr>
                <w:rFonts w:ascii="Times New Roman" w:hAnsi="Times New Roman" w:cs="Times New Roman"/>
                <w:noProof/>
                <w:webHidden/>
                <w:sz w:val="24"/>
                <w:szCs w:val="24"/>
              </w:rPr>
              <w:fldChar w:fldCharType="end"/>
            </w:r>
          </w:hyperlink>
        </w:p>
        <w:p w14:paraId="0016972A" w14:textId="66568A74"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7" w:history="1">
            <w:r w:rsidRPr="000221D5">
              <w:rPr>
                <w:rStyle w:val="Hyperlink"/>
                <w:rFonts w:ascii="Times New Roman" w:hAnsi="Times New Roman" w:cs="Times New Roman"/>
                <w:noProof/>
                <w:sz w:val="24"/>
                <w:szCs w:val="24"/>
              </w:rPr>
              <w:t>Figure 6 Return on Capital Employed</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10</w:t>
            </w:r>
            <w:r w:rsidRPr="000221D5">
              <w:rPr>
                <w:rFonts w:ascii="Times New Roman" w:hAnsi="Times New Roman" w:cs="Times New Roman"/>
                <w:noProof/>
                <w:webHidden/>
                <w:sz w:val="24"/>
                <w:szCs w:val="24"/>
              </w:rPr>
              <w:fldChar w:fldCharType="end"/>
            </w:r>
          </w:hyperlink>
        </w:p>
        <w:p w14:paraId="7DB1E259" w14:textId="2C3CD916"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8" w:history="1">
            <w:r w:rsidRPr="000221D5">
              <w:rPr>
                <w:rStyle w:val="Hyperlink"/>
                <w:rFonts w:ascii="Times New Roman" w:hAnsi="Times New Roman" w:cs="Times New Roman"/>
                <w:noProof/>
                <w:sz w:val="24"/>
                <w:szCs w:val="24"/>
              </w:rPr>
              <w:t>Figure 7 Tesco's Liquidity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10</w:t>
            </w:r>
            <w:r w:rsidRPr="000221D5">
              <w:rPr>
                <w:rFonts w:ascii="Times New Roman" w:hAnsi="Times New Roman" w:cs="Times New Roman"/>
                <w:noProof/>
                <w:webHidden/>
                <w:sz w:val="24"/>
                <w:szCs w:val="24"/>
              </w:rPr>
              <w:fldChar w:fldCharType="end"/>
            </w:r>
          </w:hyperlink>
        </w:p>
        <w:p w14:paraId="2C456419" w14:textId="560849AD"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399" w:history="1">
            <w:r w:rsidRPr="000221D5">
              <w:rPr>
                <w:rStyle w:val="Hyperlink"/>
                <w:rFonts w:ascii="Times New Roman" w:hAnsi="Times New Roman" w:cs="Times New Roman"/>
                <w:noProof/>
                <w:sz w:val="24"/>
                <w:szCs w:val="24"/>
              </w:rPr>
              <w:t>Figure 8 Current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_Toc186239399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11</w:t>
            </w:r>
            <w:r w:rsidRPr="000221D5">
              <w:rPr>
                <w:rFonts w:ascii="Times New Roman" w:hAnsi="Times New Roman" w:cs="Times New Roman"/>
                <w:noProof/>
                <w:webHidden/>
                <w:sz w:val="24"/>
                <w:szCs w:val="24"/>
              </w:rPr>
              <w:fldChar w:fldCharType="end"/>
            </w:r>
          </w:hyperlink>
        </w:p>
        <w:p w14:paraId="7D1DEC9E" w14:textId="25EBA1E9"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0" w:history="1">
            <w:r w:rsidRPr="000221D5">
              <w:rPr>
                <w:rStyle w:val="Hyperlink"/>
                <w:rFonts w:ascii="Times New Roman" w:hAnsi="Times New Roman" w:cs="Times New Roman"/>
                <w:noProof/>
                <w:sz w:val="24"/>
                <w:szCs w:val="24"/>
              </w:rPr>
              <w:t>Figure 9 Quick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12</w:t>
            </w:r>
            <w:r w:rsidRPr="000221D5">
              <w:rPr>
                <w:rFonts w:ascii="Times New Roman" w:hAnsi="Times New Roman" w:cs="Times New Roman"/>
                <w:noProof/>
                <w:webHidden/>
                <w:sz w:val="24"/>
                <w:szCs w:val="24"/>
              </w:rPr>
              <w:fldChar w:fldCharType="end"/>
            </w:r>
          </w:hyperlink>
        </w:p>
        <w:p w14:paraId="000B6BEE" w14:textId="04183564"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1" w:history="1">
            <w:r w:rsidRPr="000221D5">
              <w:rPr>
                <w:rStyle w:val="Hyperlink"/>
                <w:rFonts w:ascii="Times New Roman" w:hAnsi="Times New Roman" w:cs="Times New Roman"/>
                <w:noProof/>
                <w:sz w:val="24"/>
                <w:szCs w:val="24"/>
              </w:rPr>
              <w:t>Figure 10 Gearing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12</w:t>
            </w:r>
            <w:r w:rsidRPr="000221D5">
              <w:rPr>
                <w:rFonts w:ascii="Times New Roman" w:hAnsi="Times New Roman" w:cs="Times New Roman"/>
                <w:noProof/>
                <w:webHidden/>
                <w:sz w:val="24"/>
                <w:szCs w:val="24"/>
              </w:rPr>
              <w:fldChar w:fldCharType="end"/>
            </w:r>
          </w:hyperlink>
        </w:p>
        <w:p w14:paraId="513826C2" w14:textId="0A6FFA6F"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2" w:history="1">
            <w:r w:rsidRPr="000221D5">
              <w:rPr>
                <w:rStyle w:val="Hyperlink"/>
                <w:rFonts w:ascii="Times New Roman" w:hAnsi="Times New Roman" w:cs="Times New Roman"/>
                <w:noProof/>
                <w:sz w:val="24"/>
                <w:szCs w:val="24"/>
              </w:rPr>
              <w:t>Figure 11 Gearing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13</w:t>
            </w:r>
            <w:r w:rsidRPr="000221D5">
              <w:rPr>
                <w:rFonts w:ascii="Times New Roman" w:hAnsi="Times New Roman" w:cs="Times New Roman"/>
                <w:noProof/>
                <w:webHidden/>
                <w:sz w:val="24"/>
                <w:szCs w:val="24"/>
              </w:rPr>
              <w:fldChar w:fldCharType="end"/>
            </w:r>
          </w:hyperlink>
        </w:p>
        <w:p w14:paraId="7233BB23" w14:textId="598765D8"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3" w:history="1">
            <w:r w:rsidRPr="000221D5">
              <w:rPr>
                <w:rStyle w:val="Hyperlink"/>
                <w:rFonts w:ascii="Times New Roman" w:hAnsi="Times New Roman" w:cs="Times New Roman"/>
                <w:noProof/>
                <w:sz w:val="24"/>
                <w:szCs w:val="24"/>
              </w:rPr>
              <w:t>Figure 12 Tesco's Efficiency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14</w:t>
            </w:r>
            <w:r w:rsidRPr="000221D5">
              <w:rPr>
                <w:rFonts w:ascii="Times New Roman" w:hAnsi="Times New Roman" w:cs="Times New Roman"/>
                <w:noProof/>
                <w:webHidden/>
                <w:sz w:val="24"/>
                <w:szCs w:val="24"/>
              </w:rPr>
              <w:fldChar w:fldCharType="end"/>
            </w:r>
          </w:hyperlink>
        </w:p>
        <w:p w14:paraId="459F3350" w14:textId="34F3F9F0"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4" w:history="1">
            <w:r w:rsidRPr="000221D5">
              <w:rPr>
                <w:rStyle w:val="Hyperlink"/>
                <w:rFonts w:ascii="Times New Roman" w:hAnsi="Times New Roman" w:cs="Times New Roman"/>
                <w:noProof/>
                <w:sz w:val="24"/>
                <w:szCs w:val="24"/>
              </w:rPr>
              <w:t>Figure 13 Stock turnover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14</w:t>
            </w:r>
            <w:r w:rsidRPr="000221D5">
              <w:rPr>
                <w:rFonts w:ascii="Times New Roman" w:hAnsi="Times New Roman" w:cs="Times New Roman"/>
                <w:noProof/>
                <w:webHidden/>
                <w:sz w:val="24"/>
                <w:szCs w:val="24"/>
              </w:rPr>
              <w:fldChar w:fldCharType="end"/>
            </w:r>
          </w:hyperlink>
        </w:p>
        <w:p w14:paraId="078058CF" w14:textId="7A4F6577"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5" w:history="1">
            <w:r w:rsidRPr="000221D5">
              <w:rPr>
                <w:rStyle w:val="Hyperlink"/>
                <w:rFonts w:ascii="Times New Roman" w:hAnsi="Times New Roman" w:cs="Times New Roman"/>
                <w:noProof/>
                <w:sz w:val="24"/>
                <w:szCs w:val="24"/>
              </w:rPr>
              <w:t>Figure 14 Debtor Collection Period</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15</w:t>
            </w:r>
            <w:r w:rsidRPr="000221D5">
              <w:rPr>
                <w:rFonts w:ascii="Times New Roman" w:hAnsi="Times New Roman" w:cs="Times New Roman"/>
                <w:noProof/>
                <w:webHidden/>
                <w:sz w:val="24"/>
                <w:szCs w:val="24"/>
              </w:rPr>
              <w:fldChar w:fldCharType="end"/>
            </w:r>
          </w:hyperlink>
        </w:p>
        <w:p w14:paraId="61DBC162" w14:textId="514DA266"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6" w:history="1">
            <w:r w:rsidRPr="000221D5">
              <w:rPr>
                <w:rStyle w:val="Hyperlink"/>
                <w:rFonts w:ascii="Times New Roman" w:hAnsi="Times New Roman" w:cs="Times New Roman"/>
                <w:noProof/>
                <w:sz w:val="24"/>
                <w:szCs w:val="24"/>
              </w:rPr>
              <w:t>Figure 15 Creditor Payment Period</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16</w:t>
            </w:r>
            <w:r w:rsidRPr="000221D5">
              <w:rPr>
                <w:rFonts w:ascii="Times New Roman" w:hAnsi="Times New Roman" w:cs="Times New Roman"/>
                <w:noProof/>
                <w:webHidden/>
                <w:sz w:val="24"/>
                <w:szCs w:val="24"/>
              </w:rPr>
              <w:fldChar w:fldCharType="end"/>
            </w:r>
          </w:hyperlink>
        </w:p>
        <w:p w14:paraId="4696B1AE" w14:textId="77E1DC27"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7" w:history="1">
            <w:r w:rsidRPr="000221D5">
              <w:rPr>
                <w:rStyle w:val="Hyperlink"/>
                <w:rFonts w:ascii="Times New Roman" w:hAnsi="Times New Roman" w:cs="Times New Roman"/>
                <w:noProof/>
                <w:sz w:val="24"/>
                <w:szCs w:val="24"/>
              </w:rPr>
              <w:t>Figure 16 Tesco’s Investor Ratios</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16</w:t>
            </w:r>
            <w:r w:rsidRPr="000221D5">
              <w:rPr>
                <w:rFonts w:ascii="Times New Roman" w:hAnsi="Times New Roman" w:cs="Times New Roman"/>
                <w:noProof/>
                <w:webHidden/>
                <w:sz w:val="24"/>
                <w:szCs w:val="24"/>
              </w:rPr>
              <w:fldChar w:fldCharType="end"/>
            </w:r>
          </w:hyperlink>
        </w:p>
        <w:p w14:paraId="1E2B3B53" w14:textId="06C3917E"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8" w:history="1">
            <w:r w:rsidRPr="000221D5">
              <w:rPr>
                <w:rStyle w:val="Hyperlink"/>
                <w:rFonts w:ascii="Times New Roman" w:hAnsi="Times New Roman" w:cs="Times New Roman"/>
                <w:noProof/>
                <w:sz w:val="24"/>
                <w:szCs w:val="24"/>
              </w:rPr>
              <w:t>Figure 17 Interest Cover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17</w:t>
            </w:r>
            <w:r w:rsidRPr="000221D5">
              <w:rPr>
                <w:rFonts w:ascii="Times New Roman" w:hAnsi="Times New Roman" w:cs="Times New Roman"/>
                <w:noProof/>
                <w:webHidden/>
                <w:sz w:val="24"/>
                <w:szCs w:val="24"/>
              </w:rPr>
              <w:fldChar w:fldCharType="end"/>
            </w:r>
          </w:hyperlink>
        </w:p>
        <w:p w14:paraId="7B8FB431" w14:textId="151F1499"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09" w:history="1">
            <w:r w:rsidRPr="000221D5">
              <w:rPr>
                <w:rStyle w:val="Hyperlink"/>
                <w:rFonts w:ascii="Times New Roman" w:hAnsi="Times New Roman" w:cs="Times New Roman"/>
                <w:noProof/>
                <w:sz w:val="24"/>
                <w:szCs w:val="24"/>
              </w:rPr>
              <w:t>Figure 18 Dividend Yield Ratio</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_Toc186239409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18</w:t>
            </w:r>
            <w:r w:rsidRPr="000221D5">
              <w:rPr>
                <w:rFonts w:ascii="Times New Roman" w:hAnsi="Times New Roman" w:cs="Times New Roman"/>
                <w:noProof/>
                <w:webHidden/>
                <w:sz w:val="24"/>
                <w:szCs w:val="24"/>
              </w:rPr>
              <w:fldChar w:fldCharType="end"/>
            </w:r>
          </w:hyperlink>
        </w:p>
        <w:p w14:paraId="5300C239" w14:textId="4FC5ACF5"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0" w:history="1">
            <w:r w:rsidRPr="000221D5">
              <w:rPr>
                <w:rStyle w:val="Hyperlink"/>
                <w:rFonts w:ascii="Times New Roman" w:hAnsi="Times New Roman" w:cs="Times New Roman"/>
                <w:noProof/>
                <w:sz w:val="24"/>
                <w:szCs w:val="24"/>
              </w:rPr>
              <w:t xml:space="preserve">Figure 19 </w:t>
            </w:r>
            <w:r w:rsidRPr="000221D5">
              <w:rPr>
                <w:rStyle w:val="Hyperlink"/>
                <w:rFonts w:ascii="Times New Roman" w:hAnsi="Times New Roman" w:cs="Times New Roman"/>
                <w:noProof/>
                <w:sz w:val="24"/>
                <w:szCs w:val="24"/>
              </w:rPr>
              <w:t>N</w:t>
            </w:r>
            <w:r w:rsidRPr="000221D5">
              <w:rPr>
                <w:rStyle w:val="Hyperlink"/>
                <w:rFonts w:ascii="Times New Roman" w:hAnsi="Times New Roman" w:cs="Times New Roman"/>
                <w:noProof/>
                <w:sz w:val="24"/>
                <w:szCs w:val="24"/>
              </w:rPr>
              <w:t>et Cash flow of Proposal A</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21</w:t>
            </w:r>
            <w:r w:rsidRPr="000221D5">
              <w:rPr>
                <w:rFonts w:ascii="Times New Roman" w:hAnsi="Times New Roman" w:cs="Times New Roman"/>
                <w:noProof/>
                <w:webHidden/>
                <w:sz w:val="24"/>
                <w:szCs w:val="24"/>
              </w:rPr>
              <w:fldChar w:fldCharType="end"/>
            </w:r>
          </w:hyperlink>
        </w:p>
        <w:p w14:paraId="5F27D973" w14:textId="18F9730F"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1" w:history="1">
            <w:r w:rsidRPr="000221D5">
              <w:rPr>
                <w:rStyle w:val="Hyperlink"/>
                <w:rFonts w:ascii="Times New Roman" w:hAnsi="Times New Roman" w:cs="Times New Roman"/>
                <w:noProof/>
                <w:sz w:val="24"/>
                <w:szCs w:val="24"/>
              </w:rPr>
              <w:t>Figure 20 Net Cash flow of Proposal B</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21</w:t>
            </w:r>
            <w:r w:rsidRPr="000221D5">
              <w:rPr>
                <w:rFonts w:ascii="Times New Roman" w:hAnsi="Times New Roman" w:cs="Times New Roman"/>
                <w:noProof/>
                <w:webHidden/>
                <w:sz w:val="24"/>
                <w:szCs w:val="24"/>
              </w:rPr>
              <w:fldChar w:fldCharType="end"/>
            </w:r>
          </w:hyperlink>
        </w:p>
        <w:p w14:paraId="16CDFB54" w14:textId="627B0DC0"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2" w:history="1">
            <w:r w:rsidRPr="000221D5">
              <w:rPr>
                <w:rStyle w:val="Hyperlink"/>
                <w:rFonts w:ascii="Times New Roman" w:hAnsi="Times New Roman" w:cs="Times New Roman"/>
                <w:noProof/>
                <w:sz w:val="24"/>
                <w:szCs w:val="24"/>
              </w:rPr>
              <w:t>Figure 21  Net Cash flow of Proposal C</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21</w:t>
            </w:r>
            <w:r w:rsidRPr="000221D5">
              <w:rPr>
                <w:rFonts w:ascii="Times New Roman" w:hAnsi="Times New Roman" w:cs="Times New Roman"/>
                <w:noProof/>
                <w:webHidden/>
                <w:sz w:val="24"/>
                <w:szCs w:val="24"/>
              </w:rPr>
              <w:fldChar w:fldCharType="end"/>
            </w:r>
          </w:hyperlink>
        </w:p>
        <w:p w14:paraId="772F843A" w14:textId="27E00163"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3" w:history="1">
            <w:r w:rsidRPr="000221D5">
              <w:rPr>
                <w:rStyle w:val="Hyperlink"/>
                <w:rFonts w:ascii="Times New Roman" w:hAnsi="Times New Roman" w:cs="Times New Roman"/>
                <w:noProof/>
                <w:sz w:val="24"/>
                <w:szCs w:val="24"/>
              </w:rPr>
              <w:t>Figure 22 NPV of Proposal A</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22</w:t>
            </w:r>
            <w:r w:rsidRPr="000221D5">
              <w:rPr>
                <w:rFonts w:ascii="Times New Roman" w:hAnsi="Times New Roman" w:cs="Times New Roman"/>
                <w:noProof/>
                <w:webHidden/>
                <w:sz w:val="24"/>
                <w:szCs w:val="24"/>
              </w:rPr>
              <w:fldChar w:fldCharType="end"/>
            </w:r>
          </w:hyperlink>
        </w:p>
        <w:p w14:paraId="74F0A68B" w14:textId="41E18A40"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4" w:history="1">
            <w:r w:rsidRPr="000221D5">
              <w:rPr>
                <w:rStyle w:val="Hyperlink"/>
                <w:rFonts w:ascii="Times New Roman" w:hAnsi="Times New Roman" w:cs="Times New Roman"/>
                <w:noProof/>
                <w:sz w:val="24"/>
                <w:szCs w:val="24"/>
              </w:rPr>
              <w:t>Figure 23 NPV of Proposal B</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_Toc186239414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23</w:t>
            </w:r>
            <w:r w:rsidRPr="000221D5">
              <w:rPr>
                <w:rFonts w:ascii="Times New Roman" w:hAnsi="Times New Roman" w:cs="Times New Roman"/>
                <w:noProof/>
                <w:webHidden/>
                <w:sz w:val="24"/>
                <w:szCs w:val="24"/>
              </w:rPr>
              <w:fldChar w:fldCharType="end"/>
            </w:r>
          </w:hyperlink>
        </w:p>
        <w:p w14:paraId="4F321DE7" w14:textId="6D3A8BE0"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5" w:history="1">
            <w:r w:rsidRPr="000221D5">
              <w:rPr>
                <w:rStyle w:val="Hyperlink"/>
                <w:rFonts w:ascii="Times New Roman" w:hAnsi="Times New Roman" w:cs="Times New Roman"/>
                <w:noProof/>
                <w:sz w:val="24"/>
                <w:szCs w:val="24"/>
              </w:rPr>
              <w:t>Figure 24 NPV of Proposal C</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_Toc186239415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23</w:t>
            </w:r>
            <w:r w:rsidRPr="000221D5">
              <w:rPr>
                <w:rFonts w:ascii="Times New Roman" w:hAnsi="Times New Roman" w:cs="Times New Roman"/>
                <w:noProof/>
                <w:webHidden/>
                <w:sz w:val="24"/>
                <w:szCs w:val="24"/>
              </w:rPr>
              <w:fldChar w:fldCharType="end"/>
            </w:r>
          </w:hyperlink>
        </w:p>
        <w:p w14:paraId="50B2070D" w14:textId="0E92148B"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6" w:history="1">
            <w:r w:rsidRPr="000221D5">
              <w:rPr>
                <w:rStyle w:val="Hyperlink"/>
                <w:rFonts w:ascii="Times New Roman" w:hAnsi="Times New Roman" w:cs="Times New Roman"/>
                <w:noProof/>
                <w:sz w:val="24"/>
                <w:szCs w:val="24"/>
              </w:rPr>
              <w:t>Figure 25 IRR of Proposal A</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_Toc186239416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24</w:t>
            </w:r>
            <w:r w:rsidRPr="000221D5">
              <w:rPr>
                <w:rFonts w:ascii="Times New Roman" w:hAnsi="Times New Roman" w:cs="Times New Roman"/>
                <w:noProof/>
                <w:webHidden/>
                <w:sz w:val="24"/>
                <w:szCs w:val="24"/>
              </w:rPr>
              <w:fldChar w:fldCharType="end"/>
            </w:r>
          </w:hyperlink>
        </w:p>
        <w:p w14:paraId="58C55949" w14:textId="2E9220D4"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7" w:history="1">
            <w:r w:rsidRPr="000221D5">
              <w:rPr>
                <w:rStyle w:val="Hyperlink"/>
                <w:rFonts w:ascii="Times New Roman" w:hAnsi="Times New Roman" w:cs="Times New Roman"/>
                <w:noProof/>
                <w:sz w:val="24"/>
                <w:szCs w:val="24"/>
              </w:rPr>
              <w:t>Figure 26 IRR working notes of Proposal A</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_Toc186239417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25</w:t>
            </w:r>
            <w:r w:rsidRPr="000221D5">
              <w:rPr>
                <w:rFonts w:ascii="Times New Roman" w:hAnsi="Times New Roman" w:cs="Times New Roman"/>
                <w:noProof/>
                <w:webHidden/>
                <w:sz w:val="24"/>
                <w:szCs w:val="24"/>
              </w:rPr>
              <w:fldChar w:fldCharType="end"/>
            </w:r>
          </w:hyperlink>
        </w:p>
        <w:p w14:paraId="25FF1E03" w14:textId="10723B0C"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8" w:history="1">
            <w:r w:rsidRPr="000221D5">
              <w:rPr>
                <w:rStyle w:val="Hyperlink"/>
                <w:rFonts w:ascii="Times New Roman" w:hAnsi="Times New Roman" w:cs="Times New Roman"/>
                <w:noProof/>
                <w:sz w:val="24"/>
                <w:szCs w:val="24"/>
              </w:rPr>
              <w:t>Figure 27 IRR of Proposal B</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_Toc186239418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25</w:t>
            </w:r>
            <w:r w:rsidRPr="000221D5">
              <w:rPr>
                <w:rFonts w:ascii="Times New Roman" w:hAnsi="Times New Roman" w:cs="Times New Roman"/>
                <w:noProof/>
                <w:webHidden/>
                <w:sz w:val="24"/>
                <w:szCs w:val="24"/>
              </w:rPr>
              <w:fldChar w:fldCharType="end"/>
            </w:r>
          </w:hyperlink>
        </w:p>
        <w:p w14:paraId="472F206C" w14:textId="3B7D97D7"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19" w:history="1">
            <w:r w:rsidRPr="000221D5">
              <w:rPr>
                <w:rStyle w:val="Hyperlink"/>
                <w:rFonts w:ascii="Times New Roman" w:hAnsi="Times New Roman" w:cs="Times New Roman"/>
                <w:noProof/>
                <w:sz w:val="24"/>
                <w:szCs w:val="24"/>
              </w:rPr>
              <w:t>Figure 28 IRR Working Notes of Proposal B</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_Toc186239419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26</w:t>
            </w:r>
            <w:r w:rsidRPr="000221D5">
              <w:rPr>
                <w:rFonts w:ascii="Times New Roman" w:hAnsi="Times New Roman" w:cs="Times New Roman"/>
                <w:noProof/>
                <w:webHidden/>
                <w:sz w:val="24"/>
                <w:szCs w:val="24"/>
              </w:rPr>
              <w:fldChar w:fldCharType="end"/>
            </w:r>
          </w:hyperlink>
        </w:p>
        <w:p w14:paraId="75FBA613" w14:textId="7985FE86"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20" w:history="1">
            <w:r w:rsidRPr="000221D5">
              <w:rPr>
                <w:rStyle w:val="Hyperlink"/>
                <w:rFonts w:ascii="Times New Roman" w:hAnsi="Times New Roman" w:cs="Times New Roman"/>
                <w:noProof/>
                <w:sz w:val="24"/>
                <w:szCs w:val="24"/>
              </w:rPr>
              <w:t>Figure 29 IRR of Proposal C</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_Toc186239420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26</w:t>
            </w:r>
            <w:r w:rsidRPr="000221D5">
              <w:rPr>
                <w:rFonts w:ascii="Times New Roman" w:hAnsi="Times New Roman" w:cs="Times New Roman"/>
                <w:noProof/>
                <w:webHidden/>
                <w:sz w:val="24"/>
                <w:szCs w:val="24"/>
              </w:rPr>
              <w:fldChar w:fldCharType="end"/>
            </w:r>
          </w:hyperlink>
        </w:p>
        <w:p w14:paraId="521F14BF" w14:textId="05D97159"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21" w:history="1">
            <w:r w:rsidRPr="000221D5">
              <w:rPr>
                <w:rStyle w:val="Hyperlink"/>
                <w:rFonts w:ascii="Times New Roman" w:hAnsi="Times New Roman" w:cs="Times New Roman"/>
                <w:noProof/>
                <w:sz w:val="24"/>
                <w:szCs w:val="24"/>
              </w:rPr>
              <w:t>Figure 30 IRR Working Notes Proposal C</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_Toc186239421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27</w:t>
            </w:r>
            <w:r w:rsidRPr="000221D5">
              <w:rPr>
                <w:rFonts w:ascii="Times New Roman" w:hAnsi="Times New Roman" w:cs="Times New Roman"/>
                <w:noProof/>
                <w:webHidden/>
                <w:sz w:val="24"/>
                <w:szCs w:val="24"/>
              </w:rPr>
              <w:fldChar w:fldCharType="end"/>
            </w:r>
          </w:hyperlink>
        </w:p>
        <w:p w14:paraId="0D6BC852" w14:textId="3A463F25" w:rsidR="000221D5" w:rsidRPr="000221D5" w:rsidRDefault="000221D5" w:rsidP="000221D5">
          <w:pPr>
            <w:pStyle w:val="TableofFigures"/>
            <w:tabs>
              <w:tab w:val="right" w:leader="dot" w:pos="9016"/>
            </w:tabs>
            <w:spacing w:line="360" w:lineRule="auto"/>
            <w:jc w:val="both"/>
            <w:rPr>
              <w:rFonts w:ascii="Times New Roman" w:hAnsi="Times New Roman" w:cs="Times New Roman"/>
              <w:noProof/>
              <w:sz w:val="24"/>
              <w:szCs w:val="24"/>
            </w:rPr>
          </w:pPr>
          <w:hyperlink w:anchor="_Toc186239422" w:history="1">
            <w:r w:rsidRPr="000221D5">
              <w:rPr>
                <w:rStyle w:val="Hyperlink"/>
                <w:rFonts w:ascii="Times New Roman" w:hAnsi="Times New Roman" w:cs="Times New Roman"/>
                <w:noProof/>
                <w:sz w:val="24"/>
                <w:szCs w:val="24"/>
              </w:rPr>
              <w:t>Figure 31 Project Priority on basis of Profitability Index</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_Toc186239422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28</w:t>
            </w:r>
            <w:r w:rsidRPr="000221D5">
              <w:rPr>
                <w:rFonts w:ascii="Times New Roman" w:hAnsi="Times New Roman" w:cs="Times New Roman"/>
                <w:noProof/>
                <w:webHidden/>
                <w:sz w:val="24"/>
                <w:szCs w:val="24"/>
              </w:rPr>
              <w:fldChar w:fldCharType="end"/>
            </w:r>
          </w:hyperlink>
        </w:p>
        <w:p w14:paraId="7AF09899" w14:textId="2BC3B689" w:rsidR="000221D5" w:rsidRDefault="000221D5" w:rsidP="000221D5">
          <w:pPr>
            <w:pStyle w:val="TableofFigures"/>
            <w:tabs>
              <w:tab w:val="right" w:leader="dot" w:pos="9016"/>
            </w:tabs>
            <w:spacing w:line="360" w:lineRule="auto"/>
            <w:jc w:val="both"/>
            <w:rPr>
              <w:noProof/>
            </w:rPr>
          </w:pPr>
          <w:hyperlink w:anchor="_Toc186239423" w:history="1">
            <w:r w:rsidRPr="000221D5">
              <w:rPr>
                <w:rStyle w:val="Hyperlink"/>
                <w:rFonts w:ascii="Times New Roman" w:hAnsi="Times New Roman" w:cs="Times New Roman"/>
                <w:noProof/>
                <w:sz w:val="24"/>
                <w:szCs w:val="24"/>
              </w:rPr>
              <w:t>Figure 32 NPV contribution of optimal Policy</w:t>
            </w:r>
            <w:r w:rsidRPr="000221D5">
              <w:rPr>
                <w:rFonts w:ascii="Times New Roman" w:hAnsi="Times New Roman" w:cs="Times New Roman"/>
                <w:noProof/>
                <w:webHidden/>
                <w:sz w:val="24"/>
                <w:szCs w:val="24"/>
              </w:rPr>
              <w:tab/>
            </w:r>
            <w:r w:rsidRPr="000221D5">
              <w:rPr>
                <w:rFonts w:ascii="Times New Roman" w:hAnsi="Times New Roman" w:cs="Times New Roman"/>
                <w:noProof/>
                <w:webHidden/>
                <w:sz w:val="24"/>
                <w:szCs w:val="24"/>
              </w:rPr>
              <w:fldChar w:fldCharType="begin"/>
            </w:r>
            <w:r w:rsidRPr="000221D5">
              <w:rPr>
                <w:rFonts w:ascii="Times New Roman" w:hAnsi="Times New Roman" w:cs="Times New Roman"/>
                <w:noProof/>
                <w:webHidden/>
                <w:sz w:val="24"/>
                <w:szCs w:val="24"/>
              </w:rPr>
              <w:instrText xml:space="preserve"> PAGEREF _Toc186239423 \h </w:instrText>
            </w:r>
            <w:r w:rsidRPr="000221D5">
              <w:rPr>
                <w:rFonts w:ascii="Times New Roman" w:hAnsi="Times New Roman" w:cs="Times New Roman"/>
                <w:noProof/>
                <w:webHidden/>
                <w:sz w:val="24"/>
                <w:szCs w:val="24"/>
              </w:rPr>
            </w:r>
            <w:r w:rsidRPr="000221D5">
              <w:rPr>
                <w:rFonts w:ascii="Times New Roman" w:hAnsi="Times New Roman" w:cs="Times New Roman"/>
                <w:noProof/>
                <w:webHidden/>
                <w:sz w:val="24"/>
                <w:szCs w:val="24"/>
              </w:rPr>
              <w:fldChar w:fldCharType="separate"/>
            </w:r>
            <w:r w:rsidRPr="000221D5">
              <w:rPr>
                <w:rFonts w:ascii="Times New Roman" w:hAnsi="Times New Roman" w:cs="Times New Roman"/>
                <w:noProof/>
                <w:webHidden/>
                <w:sz w:val="24"/>
                <w:szCs w:val="24"/>
              </w:rPr>
              <w:t>29</w:t>
            </w:r>
            <w:r w:rsidRPr="000221D5">
              <w:rPr>
                <w:rFonts w:ascii="Times New Roman" w:hAnsi="Times New Roman" w:cs="Times New Roman"/>
                <w:noProof/>
                <w:webHidden/>
                <w:sz w:val="24"/>
                <w:szCs w:val="24"/>
              </w:rPr>
              <w:fldChar w:fldCharType="end"/>
            </w:r>
          </w:hyperlink>
        </w:p>
        <w:p w14:paraId="54C81D2A" w14:textId="07C442AC" w:rsidR="007D1947" w:rsidRPr="008466F9" w:rsidRDefault="000221D5" w:rsidP="008466F9">
          <w:r>
            <w:rPr>
              <w:rFonts w:ascii="Times New Roman" w:hAnsi="Times New Roman" w:cs="Times New Roman"/>
              <w:b/>
              <w:bCs/>
              <w:sz w:val="28"/>
              <w:szCs w:val="28"/>
            </w:rPr>
            <w:lastRenderedPageBreak/>
            <w:fldChar w:fldCharType="end"/>
          </w:r>
          <w:bookmarkStart w:id="1" w:name="_Toc186239324"/>
          <w:r w:rsidR="00D4303E">
            <w:rPr>
              <w:rFonts w:ascii="Times New Roman" w:hAnsi="Times New Roman" w:cs="Times New Roman"/>
              <w:b/>
              <w:bCs/>
              <w:color w:val="000000" w:themeColor="text1"/>
              <w:sz w:val="28"/>
              <w:szCs w:val="28"/>
            </w:rPr>
            <w:t>I</w:t>
          </w:r>
          <w:r w:rsidR="008971C2" w:rsidRPr="008971C2">
            <w:rPr>
              <w:rFonts w:ascii="Times New Roman" w:hAnsi="Times New Roman" w:cs="Times New Roman"/>
              <w:b/>
              <w:bCs/>
              <w:color w:val="000000" w:themeColor="text1"/>
              <w:sz w:val="28"/>
              <w:szCs w:val="28"/>
            </w:rPr>
            <w:t>NTRODUCTION</w:t>
          </w:r>
          <w:bookmarkEnd w:id="1"/>
        </w:p>
        <w:p w14:paraId="6B0265F4" w14:textId="6FBA2E55" w:rsidR="008971C2" w:rsidRPr="008971C2" w:rsidRDefault="008971C2" w:rsidP="008971C2">
          <w:pPr>
            <w:pStyle w:val="Heading3"/>
            <w:rPr>
              <w:rFonts w:ascii="Times New Roman" w:hAnsi="Times New Roman" w:cs="Times New Roman"/>
              <w:i/>
              <w:iCs/>
              <w:color w:val="000000" w:themeColor="text1"/>
              <w:shd w:val="clear" w:color="auto" w:fill="FFFFFF"/>
              <w:lang w:val="en-IN"/>
            </w:rPr>
          </w:pPr>
          <w:bookmarkStart w:id="2" w:name="_Toc186239325"/>
          <w:r w:rsidRPr="008971C2">
            <w:rPr>
              <w:rFonts w:ascii="Times New Roman" w:hAnsi="Times New Roman" w:cs="Times New Roman"/>
              <w:i/>
              <w:iCs/>
              <w:color w:val="000000" w:themeColor="text1"/>
              <w:shd w:val="clear" w:color="auto" w:fill="FFFFFF"/>
              <w:lang w:val="en-IN"/>
            </w:rPr>
            <w:t>Scope</w:t>
          </w:r>
          <w:bookmarkEnd w:id="2"/>
        </w:p>
        <w:p w14:paraId="6B15C9F6" w14:textId="1DC6AE9B" w:rsidR="00AA4626" w:rsidRPr="00AA4626" w:rsidRDefault="00AA4626" w:rsidP="00AA4626">
          <w:pPr>
            <w:spacing w:line="360" w:lineRule="auto"/>
            <w:jc w:val="both"/>
            <w:rPr>
              <w:rFonts w:ascii="Times New Roman" w:hAnsi="Times New Roman" w:cs="Times New Roman"/>
              <w:sz w:val="24"/>
              <w:szCs w:val="24"/>
            </w:rPr>
          </w:pPr>
          <w:r w:rsidRPr="00AA4626">
            <w:rPr>
              <w:rFonts w:ascii="Times New Roman" w:hAnsi="Times New Roman" w:cs="Times New Roman"/>
              <w:sz w:val="24"/>
              <w:szCs w:val="24"/>
            </w:rPr>
            <w:t xml:space="preserve">The current report is about a deeper analysis of the monetary performance of Tesco for 2 years ranging from 2023 and 2024 emphasizing ratio analysis covering 5 parameters such as profitability liquidity efficiency gearing and investor ratios. Tesco company is selected which is a giant retailer in the United Kingdom that dominates the market being the largest chain of supermarkets and having significant market share with robust monitory performance. The report aims to give a holistic overview of the financial performance of Tesco considering ratio or trend analysis in the first part. Afterward, the report discusses potential investment proposals A, </w:t>
          </w:r>
          <w:r w:rsidR="00762C3E">
            <w:rPr>
              <w:rFonts w:ascii="Times New Roman" w:hAnsi="Times New Roman" w:cs="Times New Roman"/>
              <w:sz w:val="24"/>
              <w:szCs w:val="24"/>
            </w:rPr>
            <w:t>B</w:t>
          </w:r>
          <w:r w:rsidRPr="00AA4626">
            <w:rPr>
              <w:rFonts w:ascii="Times New Roman" w:hAnsi="Times New Roman" w:cs="Times New Roman"/>
              <w:sz w:val="24"/>
              <w:szCs w:val="24"/>
            </w:rPr>
            <w:t>, and C of Green Acres PLC using the internal rate of return and at present value method and determining the viability and terms of future profitability of the project.</w:t>
          </w:r>
        </w:p>
        <w:p w14:paraId="63BE38B9" w14:textId="449341D8" w:rsidR="004A11F6" w:rsidRPr="008971C2" w:rsidRDefault="008971C2" w:rsidP="008971C2">
          <w:pPr>
            <w:pStyle w:val="Heading3"/>
            <w:rPr>
              <w:rFonts w:ascii="Times New Roman" w:hAnsi="Times New Roman" w:cs="Times New Roman"/>
              <w:i/>
              <w:iCs/>
              <w:color w:val="000000" w:themeColor="text1"/>
              <w:shd w:val="clear" w:color="auto" w:fill="FFFFFF"/>
              <w:lang w:val="en-IN"/>
            </w:rPr>
          </w:pPr>
          <w:bookmarkStart w:id="3" w:name="_Toc186239326"/>
          <w:r w:rsidRPr="008971C2">
            <w:rPr>
              <w:rFonts w:ascii="Times New Roman" w:hAnsi="Times New Roman" w:cs="Times New Roman"/>
              <w:i/>
              <w:iCs/>
              <w:color w:val="000000" w:themeColor="text1"/>
              <w:shd w:val="clear" w:color="auto" w:fill="FFFFFF"/>
              <w:lang w:val="en-IN"/>
            </w:rPr>
            <w:t>Company Overview</w:t>
          </w:r>
          <w:bookmarkEnd w:id="3"/>
        </w:p>
        <w:p w14:paraId="78DBA4DE" w14:textId="73C07A90" w:rsidR="00AA4626" w:rsidRPr="006562CC" w:rsidRDefault="00731D6D"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 xml:space="preserve">The United Kingdom’s retail industry comprises over 235000 businesses witnessing sales of </w:t>
          </w:r>
          <w:r w:rsidR="007F59D8" w:rsidRPr="007F59D8">
            <w:rPr>
              <w:rFonts w:ascii="Times New Roman" w:hAnsi="Times New Roman" w:cs="Times New Roman"/>
              <w:sz w:val="24"/>
              <w:szCs w:val="24"/>
            </w:rPr>
            <w:t>£</w:t>
          </w:r>
          <w:r w:rsidRPr="007F59D8">
            <w:rPr>
              <w:rFonts w:ascii="Times New Roman" w:hAnsi="Times New Roman" w:cs="Times New Roman"/>
              <w:sz w:val="24"/>
              <w:szCs w:val="24"/>
            </w:rPr>
            <w:t>496 billion in the year 2020 and showing an increase from the last decade. It comprises supermarket food stores which have ruled the entire retail sector</w:t>
          </w:r>
          <w:r w:rsidR="006562CC">
            <w:rPr>
              <w:rFonts w:ascii="Times New Roman" w:hAnsi="Times New Roman" w:cs="Times New Roman"/>
              <w:sz w:val="24"/>
              <w:szCs w:val="24"/>
            </w:rPr>
            <w:t xml:space="preserve"> (</w:t>
          </w:r>
          <w:r w:rsidR="006562CC" w:rsidRPr="006562CC">
            <w:rPr>
              <w:rFonts w:ascii="Times New Roman" w:hAnsi="Times New Roman" w:cs="Times New Roman"/>
              <w:sz w:val="24"/>
              <w:szCs w:val="24"/>
              <w:lang w:val="en-IN"/>
            </w:rPr>
            <w:t>Statista, 2023</w:t>
          </w:r>
          <w:r w:rsidR="006562CC">
            <w:rPr>
              <w:rFonts w:ascii="Times New Roman" w:hAnsi="Times New Roman" w:cs="Times New Roman"/>
              <w:sz w:val="24"/>
              <w:szCs w:val="24"/>
            </w:rPr>
            <w:t>)</w:t>
          </w:r>
          <w:r w:rsidRPr="007F59D8">
            <w:rPr>
              <w:rFonts w:ascii="Times New Roman" w:hAnsi="Times New Roman" w:cs="Times New Roman"/>
              <w:sz w:val="24"/>
              <w:szCs w:val="24"/>
            </w:rPr>
            <w:t xml:space="preserve">. In similar supermarkets generated </w:t>
          </w:r>
          <w:r w:rsidR="007F59D8">
            <w:rPr>
              <w:rFonts w:ascii="Times New Roman" w:hAnsi="Times New Roman" w:cs="Times New Roman"/>
              <w:sz w:val="24"/>
              <w:szCs w:val="24"/>
            </w:rPr>
            <w:t xml:space="preserve">approx. </w:t>
          </w:r>
          <w:r w:rsidRPr="007F59D8">
            <w:rPr>
              <w:rFonts w:ascii="Times New Roman" w:hAnsi="Times New Roman" w:cs="Times New Roman"/>
              <w:sz w:val="24"/>
              <w:szCs w:val="24"/>
            </w:rPr>
            <w:t xml:space="preserve">£166 billion with a slight decline from last year. On the contrary other sectors such as footwear, clothing, and textiles resulted in </w:t>
          </w:r>
          <w:r w:rsidR="007F59D8" w:rsidRPr="007F59D8">
            <w:rPr>
              <w:rFonts w:ascii="Times New Roman" w:hAnsi="Times New Roman" w:cs="Times New Roman"/>
              <w:sz w:val="24"/>
              <w:szCs w:val="24"/>
            </w:rPr>
            <w:t>£</w:t>
          </w:r>
          <w:r w:rsidRPr="007F59D8">
            <w:rPr>
              <w:rFonts w:ascii="Times New Roman" w:hAnsi="Times New Roman" w:cs="Times New Roman"/>
              <w:sz w:val="24"/>
              <w:szCs w:val="24"/>
            </w:rPr>
            <w:t>49 billion in revenues after the pandemic</w:t>
          </w:r>
          <w:r w:rsidR="006562CC">
            <w:rPr>
              <w:rFonts w:ascii="Times New Roman" w:hAnsi="Times New Roman" w:cs="Times New Roman"/>
              <w:sz w:val="24"/>
              <w:szCs w:val="24"/>
            </w:rPr>
            <w:t xml:space="preserve"> (</w:t>
          </w:r>
          <w:r w:rsidR="006562CC" w:rsidRPr="006562CC">
            <w:rPr>
              <w:rFonts w:ascii="Times New Roman" w:hAnsi="Times New Roman" w:cs="Times New Roman"/>
              <w:sz w:val="24"/>
              <w:szCs w:val="24"/>
              <w:lang w:val="en-IN"/>
            </w:rPr>
            <w:t>Statista, 2023</w:t>
          </w:r>
          <w:r w:rsidR="006562CC">
            <w:rPr>
              <w:rFonts w:ascii="Times New Roman" w:hAnsi="Times New Roman" w:cs="Times New Roman"/>
              <w:sz w:val="24"/>
              <w:szCs w:val="24"/>
            </w:rPr>
            <w:t>)</w:t>
          </w:r>
          <w:r w:rsidRPr="007F59D8">
            <w:rPr>
              <w:rFonts w:ascii="Times New Roman" w:hAnsi="Times New Roman" w:cs="Times New Roman"/>
              <w:sz w:val="24"/>
              <w:szCs w:val="24"/>
            </w:rPr>
            <w:t xml:space="preserve">. Tesco emerged as a leading player in the supermarket segment located in the United Kingdom's retail sector. A company in 2023 captured the 1/4th grocery segment in Great Britain, surpassing its rivals like Aldi and Sainsbury with just a market share of 15%. Tesco remained a dominant player with </w:t>
          </w:r>
          <w:r w:rsidR="007F59D8" w:rsidRPr="007F59D8">
            <w:rPr>
              <w:rFonts w:ascii="Times New Roman" w:hAnsi="Times New Roman" w:cs="Times New Roman"/>
              <w:sz w:val="24"/>
              <w:szCs w:val="24"/>
            </w:rPr>
            <w:t>£</w:t>
          </w:r>
          <w:r w:rsidRPr="007F59D8">
            <w:rPr>
              <w:rFonts w:ascii="Times New Roman" w:hAnsi="Times New Roman" w:cs="Times New Roman"/>
              <w:sz w:val="24"/>
              <w:szCs w:val="24"/>
            </w:rPr>
            <w:t>16 billion revenues higher than Amazon United Kingdom comprises a robust base of customers having a competitive Edge</w:t>
          </w:r>
          <w:r w:rsidR="006562CC">
            <w:rPr>
              <w:rFonts w:ascii="Times New Roman" w:hAnsi="Times New Roman" w:cs="Times New Roman"/>
              <w:sz w:val="24"/>
              <w:szCs w:val="24"/>
            </w:rPr>
            <w:t xml:space="preserve"> (</w:t>
          </w:r>
          <w:r w:rsidR="006562CC" w:rsidRPr="006562CC">
            <w:rPr>
              <w:rFonts w:ascii="Times New Roman" w:hAnsi="Times New Roman" w:cs="Times New Roman"/>
              <w:sz w:val="24"/>
              <w:szCs w:val="24"/>
              <w:lang w:val="en-IN"/>
            </w:rPr>
            <w:t>Statista, 2023</w:t>
          </w:r>
          <w:r w:rsidR="006562CC">
            <w:rPr>
              <w:rFonts w:ascii="Times New Roman" w:hAnsi="Times New Roman" w:cs="Times New Roman"/>
              <w:sz w:val="24"/>
              <w:szCs w:val="24"/>
            </w:rPr>
            <w:t>)</w:t>
          </w:r>
          <w:r w:rsidRPr="007F59D8">
            <w:rPr>
              <w:rFonts w:ascii="Times New Roman" w:hAnsi="Times New Roman" w:cs="Times New Roman"/>
              <w:sz w:val="24"/>
              <w:szCs w:val="24"/>
            </w:rPr>
            <w:t>.</w:t>
          </w:r>
        </w:p>
        <w:p w14:paraId="783CBE29" w14:textId="77777777" w:rsidR="008971C2" w:rsidRDefault="008971C2"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377C9265" w14:textId="77777777" w:rsidR="004A11F6" w:rsidRDefault="004A11F6" w:rsidP="007D1947"/>
        <w:p w14:paraId="50EA4EC0" w14:textId="77777777" w:rsidR="004A11F6" w:rsidRDefault="004A11F6" w:rsidP="007D1947"/>
        <w:p w14:paraId="4133DA70" w14:textId="2CB76A0D" w:rsidR="00480872" w:rsidRPr="000479F5" w:rsidRDefault="00B24758" w:rsidP="000479F5">
          <w:pPr>
            <w:pStyle w:val="Heading1"/>
            <w:rPr>
              <w:rFonts w:ascii="Times New Roman" w:hAnsi="Times New Roman" w:cs="Times New Roman"/>
              <w:b/>
              <w:bCs/>
              <w:color w:val="000000" w:themeColor="text1"/>
              <w:sz w:val="28"/>
              <w:szCs w:val="28"/>
            </w:rPr>
          </w:pPr>
          <w:bookmarkStart w:id="4" w:name="_Toc186239327"/>
          <w:r w:rsidRPr="000479F5">
            <w:rPr>
              <w:rFonts w:ascii="Times New Roman" w:hAnsi="Times New Roman" w:cs="Times New Roman"/>
              <w:b/>
              <w:bCs/>
              <w:color w:val="000000" w:themeColor="text1"/>
              <w:sz w:val="28"/>
              <w:szCs w:val="28"/>
            </w:rPr>
            <w:lastRenderedPageBreak/>
            <w:t>Part 1</w:t>
          </w:r>
          <w:bookmarkEnd w:id="4"/>
          <w:r w:rsidRPr="000479F5">
            <w:rPr>
              <w:rFonts w:ascii="Times New Roman" w:hAnsi="Times New Roman" w:cs="Times New Roman"/>
              <w:b/>
              <w:bCs/>
              <w:color w:val="000000" w:themeColor="text1"/>
              <w:sz w:val="28"/>
              <w:szCs w:val="28"/>
            </w:rPr>
            <w:t xml:space="preserve"> </w:t>
          </w:r>
        </w:p>
        <w:p w14:paraId="4D1993E1" w14:textId="5EE29557" w:rsidR="00B24758" w:rsidRPr="000479F5" w:rsidRDefault="00B24758" w:rsidP="000479F5">
          <w:pPr>
            <w:pStyle w:val="Heading2"/>
            <w:rPr>
              <w:rFonts w:ascii="Times New Roman" w:hAnsi="Times New Roman" w:cs="Times New Roman"/>
              <w:color w:val="000000" w:themeColor="text1"/>
              <w:sz w:val="24"/>
              <w:szCs w:val="24"/>
              <w:u w:val="single"/>
            </w:rPr>
          </w:pPr>
          <w:bookmarkStart w:id="5" w:name="_Toc186239328"/>
          <w:r w:rsidRPr="000479F5">
            <w:rPr>
              <w:rFonts w:ascii="Times New Roman" w:hAnsi="Times New Roman" w:cs="Times New Roman"/>
              <w:color w:val="000000" w:themeColor="text1"/>
              <w:sz w:val="24"/>
              <w:szCs w:val="24"/>
              <w:u w:val="single"/>
            </w:rPr>
            <w:t>Ratio Analysis of Tesco</w:t>
          </w:r>
          <w:bookmarkEnd w:id="5"/>
        </w:p>
        <w:p w14:paraId="3FB4A8DA" w14:textId="4BCDD28B" w:rsidR="00B24758" w:rsidRDefault="007867D1" w:rsidP="007867D1">
          <w:pPr>
            <w:pStyle w:val="Heading3"/>
            <w:rPr>
              <w:rFonts w:ascii="Times New Roman" w:hAnsi="Times New Roman" w:cs="Times New Roman"/>
              <w:i/>
              <w:iCs/>
              <w:color w:val="000000" w:themeColor="text1"/>
            </w:rPr>
          </w:pPr>
          <w:bookmarkStart w:id="6" w:name="_Toc186239329"/>
          <w:r w:rsidRPr="007867D1">
            <w:rPr>
              <w:rFonts w:ascii="Times New Roman" w:hAnsi="Times New Roman" w:cs="Times New Roman"/>
              <w:i/>
              <w:iCs/>
              <w:color w:val="000000" w:themeColor="text1"/>
            </w:rPr>
            <w:t>Profitability Ratios</w:t>
          </w:r>
          <w:bookmarkEnd w:id="6"/>
        </w:p>
        <w:p w14:paraId="49A3538B" w14:textId="77777777" w:rsidR="007867D1" w:rsidRDefault="007867D1" w:rsidP="007867D1">
          <w:pPr>
            <w:keepNext/>
          </w:pPr>
          <w:r w:rsidRPr="007867D1">
            <w:rPr>
              <w:noProof/>
            </w:rPr>
            <w:drawing>
              <wp:inline distT="0" distB="0" distL="0" distR="0" wp14:anchorId="5F16627B" wp14:editId="23C1F61A">
                <wp:extent cx="5731510" cy="3326765"/>
                <wp:effectExtent l="0" t="0" r="2540" b="6985"/>
                <wp:docPr id="382077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26765"/>
                        </a:xfrm>
                        <a:prstGeom prst="rect">
                          <a:avLst/>
                        </a:prstGeom>
                        <a:noFill/>
                        <a:ln>
                          <a:noFill/>
                        </a:ln>
                      </pic:spPr>
                    </pic:pic>
                  </a:graphicData>
                </a:graphic>
              </wp:inline>
            </w:drawing>
          </w:r>
        </w:p>
        <w:p w14:paraId="33DDAD8C" w14:textId="64814983" w:rsidR="007867D1" w:rsidRPr="000479F5" w:rsidRDefault="007867D1" w:rsidP="000479F5">
          <w:pPr>
            <w:jc w:val="center"/>
            <w:rPr>
              <w:rFonts w:ascii="Times New Roman" w:hAnsi="Times New Roman" w:cs="Times New Roman"/>
              <w:sz w:val="24"/>
              <w:szCs w:val="24"/>
            </w:rPr>
          </w:pPr>
          <w:bookmarkStart w:id="7" w:name="_Toc186239392"/>
          <w:r w:rsidRPr="000479F5">
            <w:rPr>
              <w:rFonts w:ascii="Times New Roman" w:hAnsi="Times New Roman" w:cs="Times New Roman"/>
              <w:sz w:val="24"/>
              <w:szCs w:val="24"/>
            </w:rPr>
            <w:t xml:space="preserve">Figure </w:t>
          </w:r>
          <w:r w:rsidRPr="000479F5">
            <w:rPr>
              <w:rFonts w:ascii="Times New Roman" w:hAnsi="Times New Roman" w:cs="Times New Roman"/>
              <w:sz w:val="24"/>
              <w:szCs w:val="24"/>
            </w:rPr>
            <w:fldChar w:fldCharType="begin"/>
          </w:r>
          <w:r w:rsidRPr="000479F5">
            <w:rPr>
              <w:rFonts w:ascii="Times New Roman" w:hAnsi="Times New Roman" w:cs="Times New Roman"/>
              <w:sz w:val="24"/>
              <w:szCs w:val="24"/>
            </w:rPr>
            <w:instrText xml:space="preserve"> SEQ Figure \* ARABIC </w:instrText>
          </w:r>
          <w:r w:rsidRPr="000479F5">
            <w:rPr>
              <w:rFonts w:ascii="Times New Roman" w:hAnsi="Times New Roman" w:cs="Times New Roman"/>
              <w:sz w:val="24"/>
              <w:szCs w:val="24"/>
            </w:rPr>
            <w:fldChar w:fldCharType="separate"/>
          </w:r>
          <w:r w:rsidR="006F27C1">
            <w:rPr>
              <w:rFonts w:ascii="Times New Roman" w:hAnsi="Times New Roman" w:cs="Times New Roman"/>
              <w:noProof/>
              <w:sz w:val="24"/>
              <w:szCs w:val="24"/>
            </w:rPr>
            <w:t>1</w:t>
          </w:r>
          <w:r w:rsidRPr="000479F5">
            <w:rPr>
              <w:rFonts w:ascii="Times New Roman" w:hAnsi="Times New Roman" w:cs="Times New Roman"/>
              <w:sz w:val="24"/>
              <w:szCs w:val="24"/>
            </w:rPr>
            <w:fldChar w:fldCharType="end"/>
          </w:r>
          <w:r w:rsidRPr="000479F5">
            <w:rPr>
              <w:rFonts w:ascii="Times New Roman" w:hAnsi="Times New Roman" w:cs="Times New Roman"/>
              <w:sz w:val="24"/>
              <w:szCs w:val="24"/>
            </w:rPr>
            <w:t xml:space="preserve"> Tesco’s Profitability Ratios</w:t>
          </w:r>
          <w:bookmarkEnd w:id="7"/>
        </w:p>
        <w:p w14:paraId="03B726E4" w14:textId="245722F3" w:rsidR="007867D1" w:rsidRDefault="007867D1" w:rsidP="007867D1">
          <w:pPr>
            <w:jc w:val="center"/>
            <w:rPr>
              <w:rFonts w:ascii="Times New Roman" w:hAnsi="Times New Roman" w:cs="Times New Roman"/>
              <w:sz w:val="24"/>
              <w:szCs w:val="24"/>
            </w:rPr>
          </w:pPr>
          <w:r w:rsidRPr="000479F5">
            <w:rPr>
              <w:rFonts w:ascii="Times New Roman" w:hAnsi="Times New Roman" w:cs="Times New Roman"/>
              <w:sz w:val="24"/>
              <w:szCs w:val="24"/>
            </w:rPr>
            <w:t>(Source:</w:t>
          </w:r>
          <w:r w:rsidR="00762C3E">
            <w:rPr>
              <w:rFonts w:ascii="Times New Roman" w:hAnsi="Times New Roman" w:cs="Times New Roman"/>
              <w:sz w:val="24"/>
              <w:szCs w:val="24"/>
            </w:rPr>
            <w:t xml:space="preserve"> Self-Created</w:t>
          </w:r>
          <w:r w:rsidRPr="000479F5">
            <w:rPr>
              <w:rFonts w:ascii="Times New Roman" w:hAnsi="Times New Roman" w:cs="Times New Roman"/>
              <w:sz w:val="24"/>
              <w:szCs w:val="24"/>
            </w:rPr>
            <w:t>)</w:t>
          </w:r>
        </w:p>
        <w:p w14:paraId="4CB3501D" w14:textId="10754F0D" w:rsidR="007F59D8" w:rsidRPr="007F59D8" w:rsidRDefault="007F59D8" w:rsidP="007F59D8">
          <w:pPr>
            <w:pStyle w:val="Heading3"/>
            <w:rPr>
              <w:rFonts w:ascii="Times New Roman" w:hAnsi="Times New Roman" w:cs="Times New Roman"/>
              <w:i/>
              <w:iCs/>
              <w:color w:val="000000" w:themeColor="text1"/>
            </w:rPr>
          </w:pPr>
          <w:bookmarkStart w:id="8" w:name="_Toc186239330"/>
          <w:r w:rsidRPr="007F59D8">
            <w:rPr>
              <w:rFonts w:ascii="Times New Roman" w:hAnsi="Times New Roman" w:cs="Times New Roman"/>
              <w:i/>
              <w:iCs/>
              <w:color w:val="000000" w:themeColor="text1"/>
            </w:rPr>
            <w:t>Gross Profit Ratio</w:t>
          </w:r>
          <w:bookmarkEnd w:id="8"/>
        </w:p>
        <w:p w14:paraId="50C0D6A3" w14:textId="77777777" w:rsidR="007867D1" w:rsidRDefault="007867D1" w:rsidP="007867D1">
          <w:pPr>
            <w:keepNext/>
            <w:jc w:val="center"/>
          </w:pPr>
          <w:r>
            <w:rPr>
              <w:noProof/>
            </w:rPr>
            <w:drawing>
              <wp:inline distT="0" distB="0" distL="0" distR="0" wp14:anchorId="31179E68" wp14:editId="7224C12A">
                <wp:extent cx="4572000" cy="2971800"/>
                <wp:effectExtent l="0" t="0" r="0" b="0"/>
                <wp:docPr id="474745303" name="Chart 1">
                  <a:extLst xmlns:a="http://schemas.openxmlformats.org/drawingml/2006/main">
                    <a:ext uri="{FF2B5EF4-FFF2-40B4-BE49-F238E27FC236}">
                      <a16:creationId xmlns:a16="http://schemas.microsoft.com/office/drawing/2014/main" id="{4CA44FF0-74E8-1415-E7A3-6828D20D5B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F7273D" w14:textId="7864668F" w:rsidR="007867D1" w:rsidRPr="007867D1" w:rsidRDefault="007867D1" w:rsidP="007867D1">
          <w:pPr>
            <w:pStyle w:val="Caption"/>
            <w:spacing w:line="360" w:lineRule="auto"/>
            <w:jc w:val="center"/>
            <w:rPr>
              <w:rFonts w:ascii="Times New Roman" w:hAnsi="Times New Roman" w:cs="Times New Roman"/>
              <w:i w:val="0"/>
              <w:iCs w:val="0"/>
              <w:color w:val="000000" w:themeColor="text1"/>
              <w:sz w:val="24"/>
              <w:szCs w:val="24"/>
            </w:rPr>
          </w:pPr>
          <w:bookmarkStart w:id="9" w:name="_Toc186239393"/>
          <w:r w:rsidRPr="007867D1">
            <w:rPr>
              <w:rFonts w:ascii="Times New Roman" w:hAnsi="Times New Roman" w:cs="Times New Roman"/>
              <w:color w:val="000000" w:themeColor="text1"/>
              <w:sz w:val="24"/>
              <w:szCs w:val="24"/>
            </w:rPr>
            <w:t xml:space="preserve">Figure </w:t>
          </w:r>
          <w:r w:rsidRPr="007867D1">
            <w:rPr>
              <w:rFonts w:ascii="Times New Roman" w:hAnsi="Times New Roman" w:cs="Times New Roman"/>
              <w:color w:val="000000" w:themeColor="text1"/>
              <w:sz w:val="24"/>
              <w:szCs w:val="24"/>
            </w:rPr>
            <w:fldChar w:fldCharType="begin"/>
          </w:r>
          <w:r w:rsidRPr="007867D1">
            <w:rPr>
              <w:rFonts w:ascii="Times New Roman" w:hAnsi="Times New Roman" w:cs="Times New Roman"/>
              <w:color w:val="000000" w:themeColor="text1"/>
              <w:sz w:val="24"/>
              <w:szCs w:val="24"/>
            </w:rPr>
            <w:instrText xml:space="preserve"> SEQ Figure \* ARABIC </w:instrText>
          </w:r>
          <w:r w:rsidRPr="007867D1">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w:t>
          </w:r>
          <w:r w:rsidRPr="007867D1">
            <w:rPr>
              <w:rFonts w:ascii="Times New Roman" w:hAnsi="Times New Roman" w:cs="Times New Roman"/>
              <w:color w:val="000000" w:themeColor="text1"/>
              <w:sz w:val="24"/>
              <w:szCs w:val="24"/>
            </w:rPr>
            <w:fldChar w:fldCharType="end"/>
          </w:r>
          <w:r w:rsidRPr="007867D1">
            <w:rPr>
              <w:rFonts w:ascii="Times New Roman" w:hAnsi="Times New Roman" w:cs="Times New Roman"/>
              <w:i w:val="0"/>
              <w:iCs w:val="0"/>
              <w:color w:val="000000" w:themeColor="text1"/>
              <w:sz w:val="24"/>
              <w:szCs w:val="24"/>
            </w:rPr>
            <w:t xml:space="preserve"> Gross Profit Ratio</w:t>
          </w:r>
          <w:bookmarkEnd w:id="9"/>
        </w:p>
        <w:p w14:paraId="5BF489D3" w14:textId="1EF8EDDC" w:rsidR="007867D1" w:rsidRDefault="007867D1" w:rsidP="007867D1">
          <w:pPr>
            <w:spacing w:line="360" w:lineRule="auto"/>
            <w:jc w:val="center"/>
            <w:rPr>
              <w:rFonts w:ascii="Times New Roman" w:hAnsi="Times New Roman" w:cs="Times New Roman"/>
              <w:color w:val="000000" w:themeColor="text1"/>
              <w:sz w:val="24"/>
              <w:szCs w:val="24"/>
            </w:rPr>
          </w:pPr>
          <w:r w:rsidRPr="007867D1">
            <w:rPr>
              <w:rFonts w:ascii="Times New Roman" w:hAnsi="Times New Roman" w:cs="Times New Roman"/>
              <w:color w:val="000000" w:themeColor="text1"/>
              <w:sz w:val="24"/>
              <w:szCs w:val="24"/>
            </w:rPr>
            <w:t>(Source: Self-Created)</w:t>
          </w:r>
        </w:p>
        <w:p w14:paraId="2B096DB7" w14:textId="653F42EC"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lastRenderedPageBreak/>
            <w:t>Interpretations</w:t>
          </w:r>
        </w:p>
        <w:p w14:paraId="52F569D5" w14:textId="219F8065" w:rsidR="007F59D8" w:rsidRPr="006C5D46" w:rsidRDefault="007F59D8"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The gross margin ratio showcases the potential of Tesco in regulating its cost increasing its sales and revenue. Rising gross profit from 5.15% to 7.11% indicating effective cost regulation making significant changes in the product pricing also by negotiating better terms with suppliers</w:t>
          </w:r>
          <w:r w:rsidR="006C5D46">
            <w:rPr>
              <w:rFonts w:ascii="Times New Roman" w:hAnsi="Times New Roman" w:cs="Times New Roman"/>
              <w:sz w:val="24"/>
              <w:szCs w:val="24"/>
            </w:rPr>
            <w:t xml:space="preserve">, </w:t>
          </w:r>
          <w:r w:rsidRPr="007F59D8">
            <w:rPr>
              <w:rFonts w:ascii="Times New Roman" w:hAnsi="Times New Roman" w:cs="Times New Roman"/>
              <w:sz w:val="24"/>
              <w:szCs w:val="24"/>
            </w:rPr>
            <w:t>simplifying business operations</w:t>
          </w:r>
          <w:r w:rsidR="006C5D46">
            <w:rPr>
              <w:rFonts w:ascii="Times New Roman" w:hAnsi="Times New Roman" w:cs="Times New Roman"/>
              <w:sz w:val="24"/>
              <w:szCs w:val="24"/>
            </w:rPr>
            <w:t>,</w:t>
          </w:r>
          <w:r w:rsidRPr="007F59D8">
            <w:rPr>
              <w:rFonts w:ascii="Times New Roman" w:hAnsi="Times New Roman" w:cs="Times New Roman"/>
              <w:sz w:val="24"/>
              <w:szCs w:val="24"/>
            </w:rPr>
            <w:t xml:space="preserve"> and promoting high profit margin products. Tesco accomplished this growth in profitability due to its proactive strategy of regulating its cost by sustaining a dynamic business environment in the retail sector by providing High-quality services meeting the expectations of its stakeholders such as supply chain and procurement team members. However, rising margins of the company lead to supply-free structuring expenses indicating the strategy of Tesco and improving its profitability even in the volatile market and inflation</w:t>
          </w:r>
          <w:r w:rsidR="006C5D46">
            <w:rPr>
              <w:rFonts w:ascii="Times New Roman" w:hAnsi="Times New Roman" w:cs="Times New Roman"/>
              <w:sz w:val="24"/>
              <w:szCs w:val="24"/>
            </w:rPr>
            <w:t xml:space="preserve"> (</w:t>
          </w:r>
          <w:r w:rsidR="006C5D46" w:rsidRPr="006C5D46">
            <w:rPr>
              <w:rFonts w:ascii="Times New Roman" w:hAnsi="Times New Roman" w:cs="Times New Roman"/>
              <w:sz w:val="24"/>
              <w:szCs w:val="24"/>
              <w:lang w:val="en-IN"/>
            </w:rPr>
            <w:t>Mahdi and Khaddafi, 2020</w:t>
          </w:r>
          <w:r w:rsidR="006C5D46">
            <w:rPr>
              <w:rFonts w:ascii="Times New Roman" w:hAnsi="Times New Roman" w:cs="Times New Roman"/>
              <w:sz w:val="24"/>
              <w:szCs w:val="24"/>
            </w:rPr>
            <w:t>)</w:t>
          </w:r>
          <w:r w:rsidRPr="007F59D8">
            <w:rPr>
              <w:rFonts w:ascii="Times New Roman" w:hAnsi="Times New Roman" w:cs="Times New Roman"/>
              <w:sz w:val="24"/>
              <w:szCs w:val="24"/>
            </w:rPr>
            <w:t>.</w:t>
          </w:r>
        </w:p>
        <w:p w14:paraId="4F41E6BA" w14:textId="32EF2362" w:rsidR="007F59D8" w:rsidRPr="007F59D8" w:rsidRDefault="007F59D8" w:rsidP="007F59D8">
          <w:pPr>
            <w:pStyle w:val="Heading3"/>
            <w:rPr>
              <w:rFonts w:ascii="Times New Roman" w:hAnsi="Times New Roman" w:cs="Times New Roman"/>
              <w:i/>
              <w:iCs/>
              <w:color w:val="000000" w:themeColor="text1"/>
            </w:rPr>
          </w:pPr>
          <w:bookmarkStart w:id="10" w:name="_Toc186239331"/>
          <w:r w:rsidRPr="007F59D8">
            <w:rPr>
              <w:rFonts w:ascii="Times New Roman" w:hAnsi="Times New Roman" w:cs="Times New Roman"/>
              <w:i/>
              <w:iCs/>
              <w:color w:val="000000" w:themeColor="text1"/>
            </w:rPr>
            <w:t>Operating Profit Ratio</w:t>
          </w:r>
          <w:bookmarkEnd w:id="10"/>
        </w:p>
        <w:p w14:paraId="53280133" w14:textId="77777777" w:rsidR="007867D1" w:rsidRDefault="007867D1" w:rsidP="007867D1">
          <w:pPr>
            <w:keepNext/>
            <w:spacing w:line="360" w:lineRule="auto"/>
            <w:jc w:val="center"/>
          </w:pPr>
          <w:r>
            <w:rPr>
              <w:noProof/>
            </w:rPr>
            <w:drawing>
              <wp:inline distT="0" distB="0" distL="0" distR="0" wp14:anchorId="353148E0" wp14:editId="3EC5849A">
                <wp:extent cx="4572000" cy="2758440"/>
                <wp:effectExtent l="0" t="0" r="0" b="3810"/>
                <wp:docPr id="177247114" name="Chart 1">
                  <a:extLst xmlns:a="http://schemas.openxmlformats.org/drawingml/2006/main">
                    <a:ext uri="{FF2B5EF4-FFF2-40B4-BE49-F238E27FC236}">
                      <a16:creationId xmlns:a16="http://schemas.microsoft.com/office/drawing/2014/main" id="{2BB86C96-832D-555F-6427-4B83FD2639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96B3A4" w14:textId="75B06EA3" w:rsidR="007867D1" w:rsidRPr="007867D1" w:rsidRDefault="007867D1" w:rsidP="007867D1">
          <w:pPr>
            <w:spacing w:line="360" w:lineRule="auto"/>
            <w:jc w:val="center"/>
            <w:rPr>
              <w:rFonts w:ascii="Times New Roman" w:hAnsi="Times New Roman" w:cs="Times New Roman"/>
              <w:color w:val="000000" w:themeColor="text1"/>
              <w:sz w:val="24"/>
              <w:szCs w:val="24"/>
            </w:rPr>
          </w:pPr>
          <w:bookmarkStart w:id="11" w:name="_Toc186239394"/>
          <w:r w:rsidRPr="007867D1">
            <w:rPr>
              <w:rFonts w:ascii="Times New Roman" w:hAnsi="Times New Roman" w:cs="Times New Roman"/>
              <w:color w:val="000000" w:themeColor="text1"/>
              <w:sz w:val="24"/>
              <w:szCs w:val="24"/>
            </w:rPr>
            <w:t xml:space="preserve">Figure </w:t>
          </w:r>
          <w:r w:rsidRPr="007867D1">
            <w:rPr>
              <w:rFonts w:ascii="Times New Roman" w:hAnsi="Times New Roman" w:cs="Times New Roman"/>
              <w:color w:val="000000" w:themeColor="text1"/>
              <w:sz w:val="24"/>
              <w:szCs w:val="24"/>
            </w:rPr>
            <w:fldChar w:fldCharType="begin"/>
          </w:r>
          <w:r w:rsidRPr="007867D1">
            <w:rPr>
              <w:rFonts w:ascii="Times New Roman" w:hAnsi="Times New Roman" w:cs="Times New Roman"/>
              <w:color w:val="000000" w:themeColor="text1"/>
              <w:sz w:val="24"/>
              <w:szCs w:val="24"/>
            </w:rPr>
            <w:instrText xml:space="preserve"> SEQ Figure \* ARABIC </w:instrText>
          </w:r>
          <w:r w:rsidRPr="007867D1">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3</w:t>
          </w:r>
          <w:r w:rsidRPr="007867D1">
            <w:rPr>
              <w:rFonts w:ascii="Times New Roman" w:hAnsi="Times New Roman" w:cs="Times New Roman"/>
              <w:color w:val="000000" w:themeColor="text1"/>
              <w:sz w:val="24"/>
              <w:szCs w:val="24"/>
            </w:rPr>
            <w:fldChar w:fldCharType="end"/>
          </w:r>
          <w:r w:rsidRPr="007867D1">
            <w:rPr>
              <w:rFonts w:ascii="Times New Roman" w:hAnsi="Times New Roman" w:cs="Times New Roman"/>
              <w:color w:val="000000" w:themeColor="text1"/>
              <w:sz w:val="24"/>
              <w:szCs w:val="24"/>
            </w:rPr>
            <w:t xml:space="preserve"> Operating Profit Ratio</w:t>
          </w:r>
          <w:bookmarkEnd w:id="11"/>
        </w:p>
        <w:p w14:paraId="77E7D8CD" w14:textId="77777777" w:rsidR="007867D1" w:rsidRDefault="007867D1" w:rsidP="007867D1">
          <w:pPr>
            <w:spacing w:line="360" w:lineRule="auto"/>
            <w:jc w:val="center"/>
            <w:rPr>
              <w:rFonts w:ascii="Times New Roman" w:hAnsi="Times New Roman" w:cs="Times New Roman"/>
              <w:color w:val="000000" w:themeColor="text1"/>
              <w:sz w:val="24"/>
              <w:szCs w:val="24"/>
            </w:rPr>
          </w:pPr>
          <w:r w:rsidRPr="007867D1">
            <w:rPr>
              <w:rFonts w:ascii="Times New Roman" w:hAnsi="Times New Roman" w:cs="Times New Roman"/>
              <w:color w:val="000000" w:themeColor="text1"/>
              <w:sz w:val="24"/>
              <w:szCs w:val="24"/>
            </w:rPr>
            <w:t>(Source: Self-Created)</w:t>
          </w:r>
        </w:p>
        <w:p w14:paraId="6AE418E9" w14:textId="4EB3A388"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47101929" w14:textId="292F7296" w:rsidR="000479F5" w:rsidRPr="004B75E6" w:rsidRDefault="007F59D8"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 xml:space="preserve">The operating margin ratio determines the capacity of Tesco to regulate its current operation expenditure which is the result of the ratio increased from 2.16% to 4.14% showcasing higher growth in the revenue and effective control over the cost of goods sold. Improvement in the profit witnessed by the entity due to its optimum resource allocation, economy of scale, and decreasing overhead expenses. The financial management of Tesco achieved this growth due to its effectiveness in combatting challenges creating a good balance among operational </w:t>
          </w:r>
          <w:r w:rsidRPr="007F59D8">
            <w:rPr>
              <w:rFonts w:ascii="Times New Roman" w:hAnsi="Times New Roman" w:cs="Times New Roman"/>
              <w:sz w:val="24"/>
              <w:szCs w:val="24"/>
            </w:rPr>
            <w:lastRenderedPageBreak/>
            <w:t>investments along with profitability objectives. Tesco simplified the marketing and logistics sectors in completing this growth. However, operational efficiency as achieved considering changes in the workforce and initial capital investment. Revenue growth indicates a company strategy in sustaining in the competitive landscape of the retail industry combating its competition by showcas</w:t>
          </w:r>
          <w:r w:rsidR="004B75E6">
            <w:rPr>
              <w:rFonts w:ascii="Times New Roman" w:hAnsi="Times New Roman" w:cs="Times New Roman"/>
              <w:sz w:val="24"/>
              <w:szCs w:val="24"/>
            </w:rPr>
            <w:t xml:space="preserve">ing </w:t>
          </w:r>
          <w:r w:rsidRPr="007F59D8">
            <w:rPr>
              <w:rFonts w:ascii="Times New Roman" w:hAnsi="Times New Roman" w:cs="Times New Roman"/>
              <w:sz w:val="24"/>
              <w:szCs w:val="24"/>
            </w:rPr>
            <w:t>expense management approaches</w:t>
          </w:r>
          <w:r w:rsidR="004B75E6">
            <w:rPr>
              <w:rFonts w:ascii="Times New Roman" w:hAnsi="Times New Roman" w:cs="Times New Roman"/>
              <w:sz w:val="24"/>
              <w:szCs w:val="24"/>
            </w:rPr>
            <w:t xml:space="preserve"> (</w:t>
          </w:r>
          <w:r w:rsidR="004B75E6" w:rsidRPr="004B75E6">
            <w:rPr>
              <w:rFonts w:ascii="Times New Roman" w:hAnsi="Times New Roman" w:cs="Times New Roman"/>
              <w:sz w:val="24"/>
              <w:szCs w:val="24"/>
              <w:lang w:val="en-IN"/>
            </w:rPr>
            <w:t>Bai, Sarkis and Xue, 2024</w:t>
          </w:r>
          <w:r w:rsidR="004B75E6">
            <w:rPr>
              <w:rFonts w:ascii="Times New Roman" w:hAnsi="Times New Roman" w:cs="Times New Roman"/>
              <w:sz w:val="24"/>
              <w:szCs w:val="24"/>
            </w:rPr>
            <w:t>)</w:t>
          </w:r>
          <w:r w:rsidRPr="007F59D8">
            <w:rPr>
              <w:rFonts w:ascii="Times New Roman" w:hAnsi="Times New Roman" w:cs="Times New Roman"/>
              <w:sz w:val="24"/>
              <w:szCs w:val="24"/>
            </w:rPr>
            <w:t>.</w:t>
          </w:r>
        </w:p>
        <w:p w14:paraId="13FFD3DD" w14:textId="1092C9FF" w:rsidR="007F59D8" w:rsidRPr="007F59D8" w:rsidRDefault="007F59D8" w:rsidP="007F59D8">
          <w:pPr>
            <w:pStyle w:val="Heading3"/>
            <w:rPr>
              <w:rFonts w:ascii="Times New Roman" w:hAnsi="Times New Roman" w:cs="Times New Roman"/>
              <w:i/>
              <w:iCs/>
              <w:color w:val="000000" w:themeColor="text1"/>
            </w:rPr>
          </w:pPr>
          <w:bookmarkStart w:id="12" w:name="_Toc186239332"/>
          <w:r w:rsidRPr="007F59D8">
            <w:rPr>
              <w:rFonts w:ascii="Times New Roman" w:hAnsi="Times New Roman" w:cs="Times New Roman"/>
              <w:i/>
              <w:iCs/>
              <w:color w:val="000000" w:themeColor="text1"/>
            </w:rPr>
            <w:t>Net Profit Ratio</w:t>
          </w:r>
          <w:bookmarkEnd w:id="12"/>
        </w:p>
        <w:p w14:paraId="0A6B6692" w14:textId="77777777" w:rsidR="007867D1" w:rsidRDefault="007867D1" w:rsidP="007867D1">
          <w:pPr>
            <w:keepNext/>
            <w:jc w:val="center"/>
          </w:pPr>
          <w:r>
            <w:rPr>
              <w:noProof/>
            </w:rPr>
            <w:drawing>
              <wp:inline distT="0" distB="0" distL="0" distR="0" wp14:anchorId="3DEF66B6" wp14:editId="24441A08">
                <wp:extent cx="4572000" cy="2743200"/>
                <wp:effectExtent l="0" t="0" r="0" b="0"/>
                <wp:docPr id="1435274750" name="Chart 1">
                  <a:extLst xmlns:a="http://schemas.openxmlformats.org/drawingml/2006/main">
                    <a:ext uri="{FF2B5EF4-FFF2-40B4-BE49-F238E27FC236}">
                      <a16:creationId xmlns:a16="http://schemas.microsoft.com/office/drawing/2014/main" id="{6D989FDC-92CD-667F-454F-512A5CA279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EA4F0F" w14:textId="0D166227" w:rsidR="007867D1" w:rsidRPr="007867D1" w:rsidRDefault="007867D1" w:rsidP="007867D1">
          <w:pPr>
            <w:spacing w:line="360" w:lineRule="auto"/>
            <w:jc w:val="center"/>
            <w:rPr>
              <w:rFonts w:ascii="Times New Roman" w:hAnsi="Times New Roman" w:cs="Times New Roman"/>
              <w:color w:val="000000" w:themeColor="text1"/>
              <w:sz w:val="24"/>
              <w:szCs w:val="24"/>
            </w:rPr>
          </w:pPr>
          <w:bookmarkStart w:id="13" w:name="_Toc186239395"/>
          <w:r w:rsidRPr="007867D1">
            <w:rPr>
              <w:rFonts w:ascii="Times New Roman" w:hAnsi="Times New Roman" w:cs="Times New Roman"/>
              <w:color w:val="000000" w:themeColor="text1"/>
              <w:sz w:val="24"/>
              <w:szCs w:val="24"/>
            </w:rPr>
            <w:t xml:space="preserve">Figure </w:t>
          </w:r>
          <w:r w:rsidRPr="007867D1">
            <w:rPr>
              <w:rFonts w:ascii="Times New Roman" w:hAnsi="Times New Roman" w:cs="Times New Roman"/>
              <w:color w:val="000000" w:themeColor="text1"/>
              <w:sz w:val="24"/>
              <w:szCs w:val="24"/>
            </w:rPr>
            <w:fldChar w:fldCharType="begin"/>
          </w:r>
          <w:r w:rsidRPr="007867D1">
            <w:rPr>
              <w:rFonts w:ascii="Times New Roman" w:hAnsi="Times New Roman" w:cs="Times New Roman"/>
              <w:color w:val="000000" w:themeColor="text1"/>
              <w:sz w:val="24"/>
              <w:szCs w:val="24"/>
            </w:rPr>
            <w:instrText xml:space="preserve"> SEQ Figure \* ARABIC </w:instrText>
          </w:r>
          <w:r w:rsidRPr="007867D1">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4</w:t>
          </w:r>
          <w:r w:rsidRPr="007867D1">
            <w:rPr>
              <w:rFonts w:ascii="Times New Roman" w:hAnsi="Times New Roman" w:cs="Times New Roman"/>
              <w:color w:val="000000" w:themeColor="text1"/>
              <w:sz w:val="24"/>
              <w:szCs w:val="24"/>
            </w:rPr>
            <w:fldChar w:fldCharType="end"/>
          </w:r>
          <w:r w:rsidRPr="007867D1">
            <w:rPr>
              <w:rFonts w:ascii="Times New Roman" w:hAnsi="Times New Roman" w:cs="Times New Roman"/>
              <w:color w:val="000000" w:themeColor="text1"/>
              <w:sz w:val="24"/>
              <w:szCs w:val="24"/>
            </w:rPr>
            <w:t xml:space="preserve"> Net Profit Ratio</w:t>
          </w:r>
          <w:bookmarkEnd w:id="13"/>
        </w:p>
        <w:p w14:paraId="05AC09A7" w14:textId="77777777" w:rsidR="007867D1" w:rsidRDefault="007867D1" w:rsidP="007867D1">
          <w:pPr>
            <w:spacing w:line="360" w:lineRule="auto"/>
            <w:jc w:val="center"/>
            <w:rPr>
              <w:rFonts w:ascii="Times New Roman" w:hAnsi="Times New Roman" w:cs="Times New Roman"/>
              <w:color w:val="000000" w:themeColor="text1"/>
              <w:sz w:val="24"/>
              <w:szCs w:val="24"/>
            </w:rPr>
          </w:pPr>
          <w:r w:rsidRPr="007867D1">
            <w:rPr>
              <w:rFonts w:ascii="Times New Roman" w:hAnsi="Times New Roman" w:cs="Times New Roman"/>
              <w:color w:val="000000" w:themeColor="text1"/>
              <w:sz w:val="24"/>
              <w:szCs w:val="24"/>
            </w:rPr>
            <w:t>(Source: Self-Created)</w:t>
          </w:r>
        </w:p>
        <w:p w14:paraId="16C229D0" w14:textId="41BA3C8D"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764E7F4F" w14:textId="321ED206" w:rsidR="007F59D8" w:rsidRPr="000212E0" w:rsidRDefault="007F59D8"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The net profit ratio indicates profit remained by the company after deducting all the expenditures has increased from 1.01% to 2.59% showcasing effective control over companies’ expenditures and efficiency in operations. The growth has been achieved by the entity due to a reduction in financial causes such as interest on long-term borrowing, effective tax regulation, and changing product pricing to increase the revenue over the period in dealing with operational bottom line challenges over the period. Also, the leadership and finance department play a significant role in increasing the revenue growth for the time in achieving higher net profit by increasing the pricing of products and creating a loyal base of customers that generates contributes towards recurring purchases or contributing higher revenue. Tesco showcases the potential to maximize the value of shareholders without impacting due to competitive freshers sustaining its profitability</w:t>
          </w:r>
          <w:r w:rsidR="000212E0">
            <w:rPr>
              <w:rFonts w:ascii="Times New Roman" w:hAnsi="Times New Roman" w:cs="Times New Roman"/>
              <w:sz w:val="24"/>
              <w:szCs w:val="24"/>
            </w:rPr>
            <w:t xml:space="preserve"> (</w:t>
          </w:r>
          <w:r w:rsidR="000212E0" w:rsidRPr="000212E0">
            <w:rPr>
              <w:rFonts w:ascii="Times New Roman" w:hAnsi="Times New Roman" w:cs="Times New Roman"/>
              <w:sz w:val="24"/>
              <w:szCs w:val="24"/>
              <w:lang w:val="en-IN"/>
            </w:rPr>
            <w:t>O’Connell and Ward, 2020</w:t>
          </w:r>
          <w:r w:rsidR="000212E0">
            <w:rPr>
              <w:rFonts w:ascii="Times New Roman" w:hAnsi="Times New Roman" w:cs="Times New Roman"/>
              <w:sz w:val="24"/>
              <w:szCs w:val="24"/>
            </w:rPr>
            <w:t>)</w:t>
          </w:r>
          <w:r w:rsidRPr="007F59D8">
            <w:rPr>
              <w:rFonts w:ascii="Times New Roman" w:hAnsi="Times New Roman" w:cs="Times New Roman"/>
              <w:sz w:val="24"/>
              <w:szCs w:val="24"/>
            </w:rPr>
            <w:t>.</w:t>
          </w:r>
        </w:p>
        <w:p w14:paraId="621A20D7" w14:textId="17DCF580" w:rsidR="007F59D8" w:rsidRPr="007F59D8" w:rsidRDefault="007F59D8" w:rsidP="007F59D8">
          <w:pPr>
            <w:pStyle w:val="Heading3"/>
            <w:rPr>
              <w:rFonts w:ascii="Times New Roman" w:hAnsi="Times New Roman" w:cs="Times New Roman"/>
              <w:i/>
              <w:iCs/>
              <w:color w:val="000000" w:themeColor="text1"/>
            </w:rPr>
          </w:pPr>
          <w:bookmarkStart w:id="14" w:name="_Toc186239333"/>
          <w:r w:rsidRPr="007F59D8">
            <w:rPr>
              <w:rFonts w:ascii="Times New Roman" w:hAnsi="Times New Roman" w:cs="Times New Roman"/>
              <w:i/>
              <w:iCs/>
              <w:color w:val="000000" w:themeColor="text1"/>
            </w:rPr>
            <w:lastRenderedPageBreak/>
            <w:t>Return on Owner’s Equity Ratio</w:t>
          </w:r>
          <w:bookmarkEnd w:id="14"/>
        </w:p>
        <w:p w14:paraId="113F9243" w14:textId="77777777" w:rsidR="008D4739" w:rsidRPr="000479F5" w:rsidRDefault="008D4739" w:rsidP="000479F5">
          <w:pPr>
            <w:rPr>
              <w:lang w:val="en-IN"/>
            </w:rPr>
          </w:pPr>
        </w:p>
        <w:p w14:paraId="15490E14" w14:textId="77777777" w:rsidR="007867D1" w:rsidRDefault="007867D1" w:rsidP="007867D1">
          <w:pPr>
            <w:keepNext/>
            <w:jc w:val="center"/>
          </w:pPr>
          <w:r>
            <w:rPr>
              <w:noProof/>
            </w:rPr>
            <w:drawing>
              <wp:inline distT="0" distB="0" distL="0" distR="0" wp14:anchorId="63A5CE4F" wp14:editId="6AE8A3AF">
                <wp:extent cx="4572000" cy="2743200"/>
                <wp:effectExtent l="0" t="0" r="0" b="0"/>
                <wp:docPr id="1476796341" name="Chart 1">
                  <a:extLst xmlns:a="http://schemas.openxmlformats.org/drawingml/2006/main">
                    <a:ext uri="{FF2B5EF4-FFF2-40B4-BE49-F238E27FC236}">
                      <a16:creationId xmlns:a16="http://schemas.microsoft.com/office/drawing/2014/main" id="{0D3BE6B1-9993-E384-A952-839085AC87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819ED29" w14:textId="23A23007" w:rsidR="007867D1" w:rsidRPr="007867D1" w:rsidRDefault="007867D1" w:rsidP="007867D1">
          <w:pPr>
            <w:spacing w:line="360" w:lineRule="auto"/>
            <w:jc w:val="center"/>
            <w:rPr>
              <w:rFonts w:ascii="Times New Roman" w:hAnsi="Times New Roman" w:cs="Times New Roman"/>
              <w:sz w:val="24"/>
              <w:szCs w:val="24"/>
            </w:rPr>
          </w:pPr>
          <w:bookmarkStart w:id="15" w:name="_Toc186239396"/>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5</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Return on Equity</w:t>
          </w:r>
          <w:bookmarkEnd w:id="15"/>
        </w:p>
        <w:p w14:paraId="626C9A26" w14:textId="2CF22BFD" w:rsid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6EC818B3" w14:textId="77777777"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7E3186A9" w14:textId="0EED1E43" w:rsidR="007F59D8" w:rsidRPr="004A1EE8" w:rsidRDefault="007F59D8"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Return on equity determines the revenue capacity of Tesco utilizing its shareholder's fund has robustly increased from 18.27% to 49.33% for praying value added by Tesco in the life of the shareholders. The significant improvement due to the optimum use of equity contributing towards generating increased net profit over the period showcasing strategic initiatives of Tesco enhancing return over challenges</w:t>
          </w:r>
          <w:r w:rsidR="004A1EE8">
            <w:rPr>
              <w:rFonts w:ascii="Times New Roman" w:hAnsi="Times New Roman" w:cs="Times New Roman"/>
              <w:sz w:val="24"/>
              <w:szCs w:val="24"/>
            </w:rPr>
            <w:t xml:space="preserve"> (</w:t>
          </w:r>
          <w:r w:rsidR="004A1EE8" w:rsidRPr="004A1EE8">
            <w:rPr>
              <w:rFonts w:ascii="Times New Roman" w:hAnsi="Times New Roman" w:cs="Times New Roman"/>
              <w:sz w:val="24"/>
              <w:szCs w:val="24"/>
              <w:lang w:val="en-IN"/>
            </w:rPr>
            <w:t xml:space="preserve">Bunea, </w:t>
          </w:r>
          <w:proofErr w:type="spellStart"/>
          <w:r w:rsidR="004A1EE8" w:rsidRPr="004A1EE8">
            <w:rPr>
              <w:rFonts w:ascii="Times New Roman" w:hAnsi="Times New Roman" w:cs="Times New Roman"/>
              <w:sz w:val="24"/>
              <w:szCs w:val="24"/>
              <w:lang w:val="en-IN"/>
            </w:rPr>
            <w:t>Corbos</w:t>
          </w:r>
          <w:proofErr w:type="spellEnd"/>
          <w:r w:rsidR="004A1EE8" w:rsidRPr="004A1EE8">
            <w:rPr>
              <w:rFonts w:ascii="Times New Roman" w:hAnsi="Times New Roman" w:cs="Times New Roman"/>
              <w:sz w:val="24"/>
              <w:szCs w:val="24"/>
              <w:lang w:val="en-IN"/>
            </w:rPr>
            <w:t xml:space="preserve"> and Popescu, 2019</w:t>
          </w:r>
          <w:r w:rsidR="004A1EE8">
            <w:rPr>
              <w:rFonts w:ascii="Times New Roman" w:hAnsi="Times New Roman" w:cs="Times New Roman"/>
              <w:sz w:val="24"/>
              <w:szCs w:val="24"/>
            </w:rPr>
            <w:t>)</w:t>
          </w:r>
          <w:r w:rsidRPr="007F59D8">
            <w:rPr>
              <w:rFonts w:ascii="Times New Roman" w:hAnsi="Times New Roman" w:cs="Times New Roman"/>
              <w:sz w:val="24"/>
              <w:szCs w:val="24"/>
            </w:rPr>
            <w:t>. Also, the operational and finance team leverages this growth and aligning investments boosting profitability. Tesco needs to emphasize on returns of shareholders by creating balance among growth of equity along with sustainable trade in equity methods.</w:t>
          </w:r>
        </w:p>
        <w:p w14:paraId="29958DD0" w14:textId="0E40809D" w:rsidR="007F59D8" w:rsidRPr="007F59D8" w:rsidRDefault="007F59D8" w:rsidP="007F59D8">
          <w:pPr>
            <w:pStyle w:val="Heading3"/>
            <w:rPr>
              <w:rFonts w:ascii="Times New Roman" w:hAnsi="Times New Roman" w:cs="Times New Roman"/>
              <w:i/>
              <w:iCs/>
              <w:color w:val="000000" w:themeColor="text1"/>
            </w:rPr>
          </w:pPr>
          <w:bookmarkStart w:id="16" w:name="_Toc186239334"/>
          <w:r w:rsidRPr="007F59D8">
            <w:rPr>
              <w:rFonts w:ascii="Times New Roman" w:hAnsi="Times New Roman" w:cs="Times New Roman"/>
              <w:i/>
              <w:iCs/>
              <w:color w:val="000000" w:themeColor="text1"/>
            </w:rPr>
            <w:lastRenderedPageBreak/>
            <w:t>Return on Capital Employed Ratio</w:t>
          </w:r>
          <w:bookmarkEnd w:id="16"/>
        </w:p>
        <w:p w14:paraId="4DF6F674" w14:textId="77777777" w:rsidR="007867D1" w:rsidRP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noProof/>
              <w:sz w:val="24"/>
              <w:szCs w:val="24"/>
            </w:rPr>
            <w:drawing>
              <wp:inline distT="0" distB="0" distL="0" distR="0" wp14:anchorId="51F4E321" wp14:editId="3ABA4646">
                <wp:extent cx="4572000" cy="2743200"/>
                <wp:effectExtent l="0" t="0" r="0" b="0"/>
                <wp:docPr id="737566391" name="Chart 1">
                  <a:extLst xmlns:a="http://schemas.openxmlformats.org/drawingml/2006/main">
                    <a:ext uri="{FF2B5EF4-FFF2-40B4-BE49-F238E27FC236}">
                      <a16:creationId xmlns:a16="http://schemas.microsoft.com/office/drawing/2014/main" id="{16DA3D05-5F75-1EBB-68AE-10F47FE867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B299EE" w14:textId="05E0DBDE" w:rsidR="007867D1" w:rsidRPr="007867D1" w:rsidRDefault="007867D1" w:rsidP="007867D1">
          <w:pPr>
            <w:spacing w:line="360" w:lineRule="auto"/>
            <w:jc w:val="center"/>
            <w:rPr>
              <w:rFonts w:ascii="Times New Roman" w:hAnsi="Times New Roman" w:cs="Times New Roman"/>
              <w:sz w:val="24"/>
              <w:szCs w:val="24"/>
            </w:rPr>
          </w:pPr>
          <w:bookmarkStart w:id="17" w:name="_Toc186239397"/>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6</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Return on Capital Employed</w:t>
          </w:r>
          <w:bookmarkEnd w:id="17"/>
        </w:p>
        <w:p w14:paraId="39647B27" w14:textId="77777777" w:rsid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0A4C028E" w14:textId="335AF247"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28B2282F" w14:textId="3B29C33A" w:rsidR="007F59D8" w:rsidRPr="006F09F0" w:rsidRDefault="007F59D8"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Lastly, return on capital employed measures the efficiency of Tesco making profits out of its investment or capital outl</w:t>
          </w:r>
          <w:r w:rsidR="006F09F0">
            <w:rPr>
              <w:rFonts w:ascii="Times New Roman" w:hAnsi="Times New Roman" w:cs="Times New Roman"/>
              <w:sz w:val="24"/>
              <w:szCs w:val="24"/>
            </w:rPr>
            <w:t>ay</w:t>
          </w:r>
          <w:r w:rsidRPr="007F59D8">
            <w:rPr>
              <w:rFonts w:ascii="Times New Roman" w:hAnsi="Times New Roman" w:cs="Times New Roman"/>
              <w:sz w:val="24"/>
              <w:szCs w:val="24"/>
            </w:rPr>
            <w:t xml:space="preserve"> has w</w:t>
          </w:r>
          <w:r w:rsidR="006F09F0">
            <w:rPr>
              <w:rFonts w:ascii="Times New Roman" w:hAnsi="Times New Roman" w:cs="Times New Roman"/>
              <w:sz w:val="24"/>
              <w:szCs w:val="24"/>
            </w:rPr>
            <w:t>i</w:t>
          </w:r>
          <w:r w:rsidRPr="007F59D8">
            <w:rPr>
              <w:rFonts w:ascii="Times New Roman" w:hAnsi="Times New Roman" w:cs="Times New Roman"/>
              <w:sz w:val="24"/>
              <w:szCs w:val="24"/>
            </w:rPr>
            <w:t>tness growth from 8.98% to 13.85% indicating growth in profitability by using assets in generating profits. Rising net profit and strategic investments over the period showcased the optimized performance of assets held in both years showcasing the potential of Tesco in generating returns among the capital-intensive industry that is the retail industry</w:t>
          </w:r>
          <w:r w:rsidR="006F09F0">
            <w:rPr>
              <w:rFonts w:ascii="Times New Roman" w:hAnsi="Times New Roman" w:cs="Times New Roman"/>
              <w:sz w:val="24"/>
              <w:szCs w:val="24"/>
            </w:rPr>
            <w:t xml:space="preserve"> </w:t>
          </w:r>
          <w:r w:rsidR="006F09F0" w:rsidRPr="006F09F0">
            <w:rPr>
              <w:rFonts w:ascii="Times New Roman" w:hAnsi="Times New Roman" w:cs="Times New Roman"/>
              <w:sz w:val="24"/>
              <w:szCs w:val="24"/>
              <w:lang w:val="en-IN"/>
            </w:rPr>
            <w:t>(Edwards, 2024</w:t>
          </w:r>
          <w:r w:rsidR="006F09F0">
            <w:rPr>
              <w:rFonts w:ascii="Times New Roman" w:hAnsi="Times New Roman" w:cs="Times New Roman"/>
              <w:sz w:val="24"/>
              <w:szCs w:val="24"/>
            </w:rPr>
            <w:t>)</w:t>
          </w:r>
          <w:r w:rsidRPr="007F59D8">
            <w:rPr>
              <w:rFonts w:ascii="Times New Roman" w:hAnsi="Times New Roman" w:cs="Times New Roman"/>
              <w:sz w:val="24"/>
              <w:szCs w:val="24"/>
            </w:rPr>
            <w:t>. Financial and operational sector managers' assets liabilities of an entity play an integral part in this process. However, it could raise financial leverage by decreasing cash reserves affecting the overall liquidity position of Tesco.</w:t>
          </w:r>
        </w:p>
        <w:p w14:paraId="1B1600B4" w14:textId="4C715778" w:rsidR="007867D1" w:rsidRDefault="007867D1" w:rsidP="007867D1">
          <w:pPr>
            <w:pStyle w:val="Heading3"/>
            <w:rPr>
              <w:rFonts w:ascii="Times New Roman" w:hAnsi="Times New Roman" w:cs="Times New Roman"/>
              <w:i/>
              <w:iCs/>
              <w:color w:val="000000" w:themeColor="text1"/>
            </w:rPr>
          </w:pPr>
          <w:bookmarkStart w:id="18" w:name="_Toc186239335"/>
          <w:r w:rsidRPr="007867D1">
            <w:rPr>
              <w:rFonts w:ascii="Times New Roman" w:hAnsi="Times New Roman" w:cs="Times New Roman"/>
              <w:i/>
              <w:iCs/>
              <w:color w:val="000000" w:themeColor="text1"/>
            </w:rPr>
            <w:t>Liquidity Ratios</w:t>
          </w:r>
          <w:bookmarkEnd w:id="18"/>
        </w:p>
        <w:p w14:paraId="706B9FDC" w14:textId="77777777" w:rsidR="007867D1" w:rsidRDefault="007867D1" w:rsidP="007867D1">
          <w:pPr>
            <w:keepNext/>
          </w:pPr>
          <w:r w:rsidRPr="007867D1">
            <w:rPr>
              <w:noProof/>
            </w:rPr>
            <w:drawing>
              <wp:inline distT="0" distB="0" distL="0" distR="0" wp14:anchorId="283AE28E" wp14:editId="10909755">
                <wp:extent cx="5731510" cy="1545590"/>
                <wp:effectExtent l="0" t="0" r="2540" b="0"/>
                <wp:docPr id="8647193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545590"/>
                        </a:xfrm>
                        <a:prstGeom prst="rect">
                          <a:avLst/>
                        </a:prstGeom>
                        <a:noFill/>
                        <a:ln>
                          <a:noFill/>
                        </a:ln>
                      </pic:spPr>
                    </pic:pic>
                  </a:graphicData>
                </a:graphic>
              </wp:inline>
            </w:drawing>
          </w:r>
        </w:p>
        <w:p w14:paraId="73564EA5" w14:textId="4948C484" w:rsidR="007867D1" w:rsidRPr="007867D1" w:rsidRDefault="007867D1" w:rsidP="007867D1">
          <w:pPr>
            <w:spacing w:line="360" w:lineRule="auto"/>
            <w:jc w:val="center"/>
            <w:rPr>
              <w:rFonts w:ascii="Times New Roman" w:hAnsi="Times New Roman" w:cs="Times New Roman"/>
              <w:sz w:val="24"/>
              <w:szCs w:val="24"/>
            </w:rPr>
          </w:pPr>
          <w:bookmarkStart w:id="19" w:name="_Toc186239398"/>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7</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Tesco's Liquidity Ratios</w:t>
          </w:r>
          <w:bookmarkEnd w:id="19"/>
        </w:p>
        <w:p w14:paraId="08B7A933" w14:textId="35B36242" w:rsid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w:t>
          </w:r>
          <w:r w:rsidR="00762C3E">
            <w:rPr>
              <w:rFonts w:ascii="Times New Roman" w:hAnsi="Times New Roman" w:cs="Times New Roman"/>
              <w:sz w:val="24"/>
              <w:szCs w:val="24"/>
            </w:rPr>
            <w:t xml:space="preserve"> Self-Created</w:t>
          </w:r>
          <w:r w:rsidRPr="007867D1">
            <w:rPr>
              <w:rFonts w:ascii="Times New Roman" w:hAnsi="Times New Roman" w:cs="Times New Roman"/>
              <w:sz w:val="24"/>
              <w:szCs w:val="24"/>
            </w:rPr>
            <w:t>)</w:t>
          </w:r>
        </w:p>
        <w:p w14:paraId="2FC7EFFC" w14:textId="5A8819DE" w:rsidR="007F59D8" w:rsidRPr="007F59D8" w:rsidRDefault="007F59D8" w:rsidP="007F59D8">
          <w:pPr>
            <w:pStyle w:val="Heading3"/>
            <w:rPr>
              <w:rFonts w:ascii="Times New Roman" w:hAnsi="Times New Roman" w:cs="Times New Roman"/>
              <w:i/>
              <w:iCs/>
              <w:color w:val="000000" w:themeColor="text1"/>
            </w:rPr>
          </w:pPr>
          <w:bookmarkStart w:id="20" w:name="_Toc186239336"/>
          <w:r w:rsidRPr="007F59D8">
            <w:rPr>
              <w:rFonts w:ascii="Times New Roman" w:hAnsi="Times New Roman" w:cs="Times New Roman"/>
              <w:i/>
              <w:iCs/>
              <w:color w:val="000000" w:themeColor="text1"/>
            </w:rPr>
            <w:lastRenderedPageBreak/>
            <w:t>Current Ratio</w:t>
          </w:r>
          <w:bookmarkEnd w:id="20"/>
        </w:p>
        <w:p w14:paraId="5B23D0D2" w14:textId="77777777" w:rsidR="007867D1" w:rsidRDefault="007867D1" w:rsidP="007867D1">
          <w:pPr>
            <w:keepNext/>
            <w:spacing w:line="360" w:lineRule="auto"/>
            <w:jc w:val="center"/>
          </w:pPr>
          <w:r>
            <w:rPr>
              <w:noProof/>
            </w:rPr>
            <w:drawing>
              <wp:inline distT="0" distB="0" distL="0" distR="0" wp14:anchorId="64EB1E4F" wp14:editId="2AF6AF91">
                <wp:extent cx="4572000" cy="2819400"/>
                <wp:effectExtent l="0" t="0" r="0" b="0"/>
                <wp:docPr id="1732856129" name="Chart 1">
                  <a:extLst xmlns:a="http://schemas.openxmlformats.org/drawingml/2006/main">
                    <a:ext uri="{FF2B5EF4-FFF2-40B4-BE49-F238E27FC236}">
                      <a16:creationId xmlns:a16="http://schemas.microsoft.com/office/drawing/2014/main" id="{2A8153E7-ECFA-0A21-1F36-C6BBDC12FE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2C4B2D0" w14:textId="4BE70FF5" w:rsidR="007867D1" w:rsidRPr="007867D1" w:rsidRDefault="007867D1" w:rsidP="007867D1">
          <w:pPr>
            <w:spacing w:line="360" w:lineRule="auto"/>
            <w:jc w:val="center"/>
            <w:rPr>
              <w:rFonts w:ascii="Times New Roman" w:hAnsi="Times New Roman" w:cs="Times New Roman"/>
              <w:sz w:val="24"/>
              <w:szCs w:val="24"/>
            </w:rPr>
          </w:pPr>
          <w:bookmarkStart w:id="21" w:name="_Toc186239399"/>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8</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Current Ratio</w:t>
          </w:r>
          <w:bookmarkEnd w:id="21"/>
        </w:p>
        <w:p w14:paraId="419A6773" w14:textId="77777777" w:rsid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02C80ECA" w14:textId="77777777"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0FD91E54" w14:textId="1F6B898C" w:rsidR="007F59D8" w:rsidRPr="00C94D9F" w:rsidRDefault="007F59D8" w:rsidP="007F59D8">
          <w:pPr>
            <w:spacing w:line="360" w:lineRule="auto"/>
            <w:jc w:val="both"/>
            <w:rPr>
              <w:rFonts w:ascii="Times New Roman" w:hAnsi="Times New Roman" w:cs="Times New Roman"/>
              <w:sz w:val="24"/>
              <w:szCs w:val="24"/>
              <w:lang w:val="en-IN"/>
            </w:rPr>
          </w:pPr>
          <w:r w:rsidRPr="007F59D8">
            <w:rPr>
              <w:rFonts w:ascii="Times New Roman" w:hAnsi="Times New Roman" w:cs="Times New Roman"/>
              <w:sz w:val="24"/>
              <w:szCs w:val="24"/>
            </w:rPr>
            <w:t xml:space="preserve">The current ratio determines the paying capacity of Tesco by utilizing current </w:t>
          </w:r>
          <w:r w:rsidR="00C94D9F">
            <w:rPr>
              <w:rFonts w:ascii="Times New Roman" w:hAnsi="Times New Roman" w:cs="Times New Roman"/>
              <w:sz w:val="24"/>
              <w:szCs w:val="24"/>
            </w:rPr>
            <w:t xml:space="preserve">assets </w:t>
          </w:r>
          <w:r w:rsidRPr="007F59D8">
            <w:rPr>
              <w:rFonts w:ascii="Times New Roman" w:hAnsi="Times New Roman" w:cs="Times New Roman"/>
              <w:sz w:val="24"/>
              <w:szCs w:val="24"/>
            </w:rPr>
            <w:t>in paying off short-term liabilities or obligations and it is decreased from 2.38 to 2.28 showcasing slight changes in liquidity position due to declining current assets in comparison to current liabilities over the period</w:t>
          </w:r>
          <w:r w:rsidR="00C94D9F">
            <w:rPr>
              <w:rFonts w:ascii="Times New Roman" w:hAnsi="Times New Roman" w:cs="Times New Roman"/>
              <w:sz w:val="24"/>
              <w:szCs w:val="24"/>
            </w:rPr>
            <w:t xml:space="preserve"> (</w:t>
          </w:r>
          <w:proofErr w:type="spellStart"/>
          <w:r w:rsidR="00C94D9F" w:rsidRPr="00C94D9F">
            <w:rPr>
              <w:rFonts w:ascii="Times New Roman" w:hAnsi="Times New Roman" w:cs="Times New Roman"/>
              <w:sz w:val="24"/>
              <w:szCs w:val="24"/>
              <w:lang w:val="en-IN"/>
            </w:rPr>
            <w:t>Ordokhani</w:t>
          </w:r>
          <w:proofErr w:type="spellEnd"/>
          <w:r w:rsidR="00C94D9F" w:rsidRPr="00C94D9F">
            <w:rPr>
              <w:rFonts w:ascii="Times New Roman" w:hAnsi="Times New Roman" w:cs="Times New Roman"/>
              <w:sz w:val="24"/>
              <w:szCs w:val="24"/>
              <w:lang w:val="en-IN"/>
            </w:rPr>
            <w:t xml:space="preserve"> </w:t>
          </w:r>
          <w:r w:rsidR="00C94D9F" w:rsidRPr="00C94D9F">
            <w:rPr>
              <w:rFonts w:ascii="Times New Roman" w:hAnsi="Times New Roman" w:cs="Times New Roman"/>
              <w:i/>
              <w:iCs/>
              <w:sz w:val="24"/>
              <w:szCs w:val="24"/>
              <w:lang w:val="en-IN"/>
            </w:rPr>
            <w:t>et al.</w:t>
          </w:r>
          <w:r w:rsidR="00C94D9F" w:rsidRPr="00C94D9F">
            <w:rPr>
              <w:rFonts w:ascii="Times New Roman" w:hAnsi="Times New Roman" w:cs="Times New Roman"/>
              <w:sz w:val="24"/>
              <w:szCs w:val="24"/>
              <w:lang w:val="en-IN"/>
            </w:rPr>
            <w:t>, 2021</w:t>
          </w:r>
          <w:r w:rsidR="00C94D9F">
            <w:rPr>
              <w:rFonts w:ascii="Times New Roman" w:hAnsi="Times New Roman" w:cs="Times New Roman"/>
              <w:sz w:val="24"/>
              <w:szCs w:val="24"/>
            </w:rPr>
            <w:t>)</w:t>
          </w:r>
          <w:r w:rsidRPr="007F59D8">
            <w:rPr>
              <w:rFonts w:ascii="Times New Roman" w:hAnsi="Times New Roman" w:cs="Times New Roman"/>
              <w:sz w:val="24"/>
              <w:szCs w:val="24"/>
            </w:rPr>
            <w:t xml:space="preserve">. It is required to manage working capital by slightly decreasing a profit margin in </w:t>
          </w:r>
          <w:r w:rsidR="00C94D9F">
            <w:rPr>
              <w:rFonts w:ascii="Times New Roman" w:hAnsi="Times New Roman" w:cs="Times New Roman"/>
              <w:sz w:val="24"/>
              <w:szCs w:val="24"/>
            </w:rPr>
            <w:t xml:space="preserve">optimally </w:t>
          </w:r>
          <w:r w:rsidRPr="007F59D8">
            <w:rPr>
              <w:rFonts w:ascii="Times New Roman" w:hAnsi="Times New Roman" w:cs="Times New Roman"/>
              <w:sz w:val="24"/>
              <w:szCs w:val="24"/>
            </w:rPr>
            <w:t xml:space="preserve">allocating resources among businesses ensuring long-term growth. </w:t>
          </w:r>
          <w:r w:rsidR="00C94D9F">
            <w:rPr>
              <w:rFonts w:ascii="Times New Roman" w:hAnsi="Times New Roman" w:cs="Times New Roman"/>
              <w:sz w:val="24"/>
              <w:szCs w:val="24"/>
            </w:rPr>
            <w:t xml:space="preserve">However, </w:t>
          </w:r>
          <w:r w:rsidRPr="007F59D8">
            <w:rPr>
              <w:rFonts w:ascii="Times New Roman" w:hAnsi="Times New Roman" w:cs="Times New Roman"/>
              <w:sz w:val="24"/>
              <w:szCs w:val="24"/>
            </w:rPr>
            <w:t xml:space="preserve">current position of liquidity is not bad as it is higher than the benchmark of 1 which can be managed by increasing current assets about current liabilities where the operational department can manage </w:t>
          </w:r>
          <w:r w:rsidR="00C94D9F">
            <w:rPr>
              <w:rFonts w:ascii="Times New Roman" w:hAnsi="Times New Roman" w:cs="Times New Roman"/>
              <w:sz w:val="24"/>
              <w:szCs w:val="24"/>
            </w:rPr>
            <w:t xml:space="preserve">the </w:t>
          </w:r>
          <w:r w:rsidRPr="007F59D8">
            <w:rPr>
              <w:rFonts w:ascii="Times New Roman" w:hAnsi="Times New Roman" w:cs="Times New Roman"/>
              <w:sz w:val="24"/>
              <w:szCs w:val="24"/>
            </w:rPr>
            <w:t>financial d</w:t>
          </w:r>
          <w:r w:rsidR="00C94D9F">
            <w:rPr>
              <w:rFonts w:ascii="Times New Roman" w:hAnsi="Times New Roman" w:cs="Times New Roman"/>
              <w:sz w:val="24"/>
              <w:szCs w:val="24"/>
            </w:rPr>
            <w:t>ist</w:t>
          </w:r>
          <w:r w:rsidRPr="007F59D8">
            <w:rPr>
              <w:rFonts w:ascii="Times New Roman" w:hAnsi="Times New Roman" w:cs="Times New Roman"/>
              <w:sz w:val="24"/>
              <w:szCs w:val="24"/>
            </w:rPr>
            <w:t>ress by declining short-term obligations without impacting financial stability.</w:t>
          </w:r>
        </w:p>
        <w:p w14:paraId="1B5365ED" w14:textId="5E0D8982" w:rsidR="0055333B" w:rsidRPr="007B1343" w:rsidRDefault="007B1343" w:rsidP="007B1343">
          <w:pPr>
            <w:pStyle w:val="Heading3"/>
            <w:rPr>
              <w:rFonts w:ascii="Times New Roman" w:hAnsi="Times New Roman" w:cs="Times New Roman"/>
              <w:i/>
              <w:iCs/>
              <w:color w:val="000000" w:themeColor="text1"/>
            </w:rPr>
          </w:pPr>
          <w:bookmarkStart w:id="22" w:name="_Toc186239337"/>
          <w:r w:rsidRPr="007B1343">
            <w:rPr>
              <w:rFonts w:ascii="Times New Roman" w:hAnsi="Times New Roman" w:cs="Times New Roman"/>
              <w:i/>
              <w:iCs/>
              <w:color w:val="000000" w:themeColor="text1"/>
            </w:rPr>
            <w:lastRenderedPageBreak/>
            <w:t>Quick Ratio</w:t>
          </w:r>
          <w:bookmarkEnd w:id="22"/>
        </w:p>
        <w:p w14:paraId="25DCA9DF" w14:textId="77777777" w:rsidR="007867D1" w:rsidRDefault="007867D1" w:rsidP="007867D1">
          <w:pPr>
            <w:keepNext/>
            <w:spacing w:line="360" w:lineRule="auto"/>
            <w:jc w:val="center"/>
          </w:pPr>
          <w:r>
            <w:rPr>
              <w:noProof/>
            </w:rPr>
            <w:drawing>
              <wp:inline distT="0" distB="0" distL="0" distR="0" wp14:anchorId="33F01838" wp14:editId="1CDDF36A">
                <wp:extent cx="4572000" cy="2743200"/>
                <wp:effectExtent l="0" t="0" r="0" b="0"/>
                <wp:docPr id="1832976190" name="Chart 1">
                  <a:extLst xmlns:a="http://schemas.openxmlformats.org/drawingml/2006/main">
                    <a:ext uri="{FF2B5EF4-FFF2-40B4-BE49-F238E27FC236}">
                      <a16:creationId xmlns:a16="http://schemas.microsoft.com/office/drawing/2014/main" id="{AB7479F2-3B53-B203-44F1-ADF00814A5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BD27467" w14:textId="504BA57E" w:rsidR="007867D1" w:rsidRPr="007867D1" w:rsidRDefault="007867D1" w:rsidP="007867D1">
          <w:pPr>
            <w:spacing w:line="360" w:lineRule="auto"/>
            <w:jc w:val="center"/>
            <w:rPr>
              <w:rFonts w:ascii="Times New Roman" w:hAnsi="Times New Roman" w:cs="Times New Roman"/>
              <w:sz w:val="24"/>
              <w:szCs w:val="24"/>
            </w:rPr>
          </w:pPr>
          <w:bookmarkStart w:id="23" w:name="_Toc186239400"/>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9</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Quick Ratio</w:t>
          </w:r>
          <w:bookmarkEnd w:id="23"/>
        </w:p>
        <w:p w14:paraId="55B727AF" w14:textId="63547EA9" w:rsid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37AD2A5B" w14:textId="77777777" w:rsid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2B1DB734" w14:textId="146835B8" w:rsidR="007F59D8" w:rsidRPr="00C94D9F" w:rsidRDefault="0055333B" w:rsidP="0055333B">
          <w:pPr>
            <w:spacing w:line="360" w:lineRule="auto"/>
            <w:jc w:val="both"/>
            <w:rPr>
              <w:rFonts w:ascii="Times New Roman" w:hAnsi="Times New Roman" w:cs="Times New Roman"/>
              <w:sz w:val="24"/>
              <w:szCs w:val="24"/>
              <w:lang w:val="en-IN"/>
            </w:rPr>
          </w:pPr>
          <w:r w:rsidRPr="0055333B">
            <w:rPr>
              <w:rFonts w:ascii="Times New Roman" w:hAnsi="Times New Roman" w:cs="Times New Roman"/>
              <w:sz w:val="24"/>
              <w:szCs w:val="24"/>
            </w:rPr>
            <w:t>Quick ratio determines the potential of Tesco in paying off its current liabilities by not depending on the stock as decreased from 1.90 to 1.60 due to decreasing liquid assets which are current assets deducting stock declining liquidity position or it can save that declining cash or receivables in paying current liabilities by not using inventory amount over the period</w:t>
          </w:r>
          <w:r w:rsidR="00C94D9F">
            <w:rPr>
              <w:rFonts w:ascii="Times New Roman" w:hAnsi="Times New Roman" w:cs="Times New Roman"/>
              <w:sz w:val="24"/>
              <w:szCs w:val="24"/>
            </w:rPr>
            <w:t xml:space="preserve"> </w:t>
          </w:r>
          <w:r w:rsidR="00C94D9F" w:rsidRPr="00C94D9F">
            <w:rPr>
              <w:rFonts w:ascii="Times New Roman" w:hAnsi="Times New Roman" w:cs="Times New Roman"/>
              <w:sz w:val="24"/>
              <w:szCs w:val="24"/>
              <w:lang w:val="en-IN"/>
            </w:rPr>
            <w:t>(Chiaramonte and Casu, 2016</w:t>
          </w:r>
          <w:r w:rsidR="00C94D9F">
            <w:rPr>
              <w:rFonts w:ascii="Times New Roman" w:hAnsi="Times New Roman" w:cs="Times New Roman"/>
              <w:sz w:val="24"/>
              <w:szCs w:val="24"/>
            </w:rPr>
            <w:t>)</w:t>
          </w:r>
          <w:r w:rsidRPr="0055333B">
            <w:rPr>
              <w:rFonts w:ascii="Times New Roman" w:hAnsi="Times New Roman" w:cs="Times New Roman"/>
              <w:sz w:val="24"/>
              <w:szCs w:val="24"/>
            </w:rPr>
            <w:t>. Greater dependence on inventory poses a severe challenge to the liquidity of business where the financing</w:t>
          </w:r>
          <w:r w:rsidR="00C94D9F">
            <w:rPr>
              <w:rFonts w:ascii="Times New Roman" w:hAnsi="Times New Roman" w:cs="Times New Roman"/>
              <w:sz w:val="24"/>
              <w:szCs w:val="24"/>
            </w:rPr>
            <w:t>,</w:t>
          </w:r>
          <w:r w:rsidRPr="0055333B">
            <w:rPr>
              <w:rFonts w:ascii="Times New Roman" w:hAnsi="Times New Roman" w:cs="Times New Roman"/>
              <w:sz w:val="24"/>
              <w:szCs w:val="24"/>
            </w:rPr>
            <w:t xml:space="preserve"> procurement department needs to improve cash flow position by optimizing the working capital by collecting payment from trade debtors.</w:t>
          </w:r>
        </w:p>
        <w:p w14:paraId="228376E1" w14:textId="13506713" w:rsidR="007867D1" w:rsidRDefault="007867D1" w:rsidP="007867D1">
          <w:pPr>
            <w:pStyle w:val="Heading3"/>
            <w:rPr>
              <w:rFonts w:ascii="Times New Roman" w:hAnsi="Times New Roman" w:cs="Times New Roman"/>
              <w:i/>
              <w:iCs/>
              <w:color w:val="000000" w:themeColor="text1"/>
            </w:rPr>
          </w:pPr>
          <w:bookmarkStart w:id="24" w:name="_Toc186239338"/>
          <w:r w:rsidRPr="007867D1">
            <w:rPr>
              <w:rFonts w:ascii="Times New Roman" w:hAnsi="Times New Roman" w:cs="Times New Roman"/>
              <w:i/>
              <w:iCs/>
              <w:color w:val="000000" w:themeColor="text1"/>
            </w:rPr>
            <w:t>Gearing Ratio</w:t>
          </w:r>
          <w:bookmarkEnd w:id="24"/>
        </w:p>
        <w:p w14:paraId="06AC793A" w14:textId="77777777" w:rsidR="007867D1" w:rsidRDefault="007867D1" w:rsidP="007867D1">
          <w:pPr>
            <w:keepNext/>
          </w:pPr>
          <w:r w:rsidRPr="007867D1">
            <w:rPr>
              <w:noProof/>
            </w:rPr>
            <w:drawing>
              <wp:inline distT="0" distB="0" distL="0" distR="0" wp14:anchorId="08376B85" wp14:editId="046D1F37">
                <wp:extent cx="5731510" cy="733425"/>
                <wp:effectExtent l="0" t="0" r="2540" b="9525"/>
                <wp:docPr id="8206203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33425"/>
                        </a:xfrm>
                        <a:prstGeom prst="rect">
                          <a:avLst/>
                        </a:prstGeom>
                        <a:noFill/>
                        <a:ln>
                          <a:noFill/>
                        </a:ln>
                      </pic:spPr>
                    </pic:pic>
                  </a:graphicData>
                </a:graphic>
              </wp:inline>
            </w:drawing>
          </w:r>
        </w:p>
        <w:p w14:paraId="477ECB9B" w14:textId="4FDB1F2A" w:rsidR="007867D1" w:rsidRPr="007867D1" w:rsidRDefault="007867D1" w:rsidP="007867D1">
          <w:pPr>
            <w:spacing w:line="360" w:lineRule="auto"/>
            <w:jc w:val="center"/>
            <w:rPr>
              <w:rFonts w:ascii="Times New Roman" w:hAnsi="Times New Roman" w:cs="Times New Roman"/>
              <w:sz w:val="24"/>
              <w:szCs w:val="24"/>
            </w:rPr>
          </w:pPr>
          <w:bookmarkStart w:id="25" w:name="_Toc186239401"/>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10</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Gearing Ratio</w:t>
          </w:r>
          <w:bookmarkEnd w:id="25"/>
        </w:p>
        <w:p w14:paraId="4983F507" w14:textId="4EDF5AF0" w:rsidR="007B1343" w:rsidRDefault="007867D1" w:rsidP="007B1343">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w:t>
          </w:r>
          <w:r w:rsidR="00762C3E">
            <w:rPr>
              <w:rFonts w:ascii="Times New Roman" w:hAnsi="Times New Roman" w:cs="Times New Roman"/>
              <w:sz w:val="24"/>
              <w:szCs w:val="24"/>
            </w:rPr>
            <w:t xml:space="preserve"> Self-Created</w:t>
          </w:r>
          <w:r w:rsidRPr="007867D1">
            <w:rPr>
              <w:rFonts w:ascii="Times New Roman" w:hAnsi="Times New Roman" w:cs="Times New Roman"/>
              <w:sz w:val="24"/>
              <w:szCs w:val="24"/>
            </w:rPr>
            <w:t>)</w:t>
          </w:r>
        </w:p>
        <w:p w14:paraId="112711FD" w14:textId="77777777" w:rsidR="007867D1" w:rsidRDefault="007867D1" w:rsidP="007867D1">
          <w:pPr>
            <w:keepNext/>
            <w:spacing w:line="360" w:lineRule="auto"/>
            <w:jc w:val="center"/>
          </w:pPr>
          <w:r>
            <w:rPr>
              <w:noProof/>
            </w:rPr>
            <w:lastRenderedPageBreak/>
            <w:drawing>
              <wp:inline distT="0" distB="0" distL="0" distR="0" wp14:anchorId="627DE02E" wp14:editId="120E3E2C">
                <wp:extent cx="4572000" cy="2743200"/>
                <wp:effectExtent l="0" t="0" r="0" b="0"/>
                <wp:docPr id="1771119694" name="Chart 1">
                  <a:extLst xmlns:a="http://schemas.openxmlformats.org/drawingml/2006/main">
                    <a:ext uri="{FF2B5EF4-FFF2-40B4-BE49-F238E27FC236}">
                      <a16:creationId xmlns:a16="http://schemas.microsoft.com/office/drawing/2014/main" id="{4DEEB695-7114-1A06-3DB7-AE02CE288E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F4F6E44" w14:textId="06FDC805" w:rsidR="007867D1" w:rsidRPr="007867D1" w:rsidRDefault="007867D1" w:rsidP="007867D1">
          <w:pPr>
            <w:spacing w:line="360" w:lineRule="auto"/>
            <w:jc w:val="center"/>
            <w:rPr>
              <w:rFonts w:ascii="Times New Roman" w:hAnsi="Times New Roman" w:cs="Times New Roman"/>
              <w:sz w:val="24"/>
              <w:szCs w:val="24"/>
            </w:rPr>
          </w:pPr>
          <w:bookmarkStart w:id="26" w:name="_Toc186239402"/>
          <w:r w:rsidRPr="007867D1">
            <w:rPr>
              <w:rFonts w:ascii="Times New Roman" w:hAnsi="Times New Roman" w:cs="Times New Roman"/>
              <w:sz w:val="24"/>
              <w:szCs w:val="24"/>
            </w:rPr>
            <w:t xml:space="preserve">Figure </w:t>
          </w:r>
          <w:r w:rsidRPr="007867D1">
            <w:rPr>
              <w:rFonts w:ascii="Times New Roman" w:hAnsi="Times New Roman" w:cs="Times New Roman"/>
              <w:sz w:val="24"/>
              <w:szCs w:val="24"/>
            </w:rPr>
            <w:fldChar w:fldCharType="begin"/>
          </w:r>
          <w:r w:rsidRPr="007867D1">
            <w:rPr>
              <w:rFonts w:ascii="Times New Roman" w:hAnsi="Times New Roman" w:cs="Times New Roman"/>
              <w:sz w:val="24"/>
              <w:szCs w:val="24"/>
            </w:rPr>
            <w:instrText xml:space="preserve"> SEQ Figure \* ARABIC </w:instrText>
          </w:r>
          <w:r w:rsidRPr="007867D1">
            <w:rPr>
              <w:rFonts w:ascii="Times New Roman" w:hAnsi="Times New Roman" w:cs="Times New Roman"/>
              <w:sz w:val="24"/>
              <w:szCs w:val="24"/>
            </w:rPr>
            <w:fldChar w:fldCharType="separate"/>
          </w:r>
          <w:r w:rsidR="006F27C1">
            <w:rPr>
              <w:rFonts w:ascii="Times New Roman" w:hAnsi="Times New Roman" w:cs="Times New Roman"/>
              <w:noProof/>
              <w:sz w:val="24"/>
              <w:szCs w:val="24"/>
            </w:rPr>
            <w:t>11</w:t>
          </w:r>
          <w:r w:rsidRPr="007867D1">
            <w:rPr>
              <w:rFonts w:ascii="Times New Roman" w:hAnsi="Times New Roman" w:cs="Times New Roman"/>
              <w:sz w:val="24"/>
              <w:szCs w:val="24"/>
            </w:rPr>
            <w:fldChar w:fldCharType="end"/>
          </w:r>
          <w:r w:rsidRPr="007867D1">
            <w:rPr>
              <w:rFonts w:ascii="Times New Roman" w:hAnsi="Times New Roman" w:cs="Times New Roman"/>
              <w:sz w:val="24"/>
              <w:szCs w:val="24"/>
            </w:rPr>
            <w:t xml:space="preserve"> Gearing Ratio</w:t>
          </w:r>
          <w:bookmarkEnd w:id="26"/>
        </w:p>
        <w:p w14:paraId="4D256DFB" w14:textId="77777777" w:rsidR="007867D1" w:rsidRDefault="007867D1" w:rsidP="007867D1">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5F2F1346" w14:textId="77777777" w:rsidR="007867D1" w:rsidRPr="007867D1" w:rsidRDefault="007867D1" w:rsidP="007867D1">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0BE8ACAB" w14:textId="4E35240D" w:rsidR="0055333B" w:rsidRPr="00C94D9F" w:rsidRDefault="0055333B" w:rsidP="0055333B">
          <w:pPr>
            <w:spacing w:line="360" w:lineRule="auto"/>
            <w:jc w:val="both"/>
            <w:rPr>
              <w:rFonts w:ascii="Times New Roman" w:hAnsi="Times New Roman" w:cs="Times New Roman"/>
              <w:sz w:val="24"/>
              <w:szCs w:val="24"/>
              <w:lang w:val="en-IN"/>
            </w:rPr>
          </w:pPr>
          <w:r w:rsidRPr="0055333B">
            <w:rPr>
              <w:rFonts w:ascii="Times New Roman" w:hAnsi="Times New Roman" w:cs="Times New Roman"/>
              <w:sz w:val="24"/>
              <w:szCs w:val="24"/>
            </w:rPr>
            <w:t xml:space="preserve">Getting ratio determines the financial leverage of Tesco highlighting the portion of long-term that held in an overall capital structure of an entity has declined from 32.95% to 30.05% showcasing a decrease in debt financing. The above ratio indicates improvement in the financial </w:t>
          </w:r>
          <w:r w:rsidR="00C94D9F">
            <w:rPr>
              <w:rFonts w:ascii="Times New Roman" w:hAnsi="Times New Roman" w:cs="Times New Roman"/>
              <w:sz w:val="24"/>
              <w:szCs w:val="24"/>
            </w:rPr>
            <w:t xml:space="preserve">leverage </w:t>
          </w:r>
          <w:r w:rsidRPr="0055333B">
            <w:rPr>
              <w:rFonts w:ascii="Times New Roman" w:hAnsi="Times New Roman" w:cs="Times New Roman"/>
              <w:sz w:val="24"/>
              <w:szCs w:val="24"/>
            </w:rPr>
            <w:t xml:space="preserve">of Tesco by reducing the proportion of </w:t>
          </w:r>
          <w:r w:rsidR="00C94D9F">
            <w:rPr>
              <w:rFonts w:ascii="Times New Roman" w:hAnsi="Times New Roman" w:cs="Times New Roman"/>
              <w:sz w:val="24"/>
              <w:szCs w:val="24"/>
            </w:rPr>
            <w:t xml:space="preserve">debt </w:t>
          </w:r>
          <w:r w:rsidRPr="0055333B">
            <w:rPr>
              <w:rFonts w:ascii="Times New Roman" w:hAnsi="Times New Roman" w:cs="Times New Roman"/>
              <w:sz w:val="24"/>
              <w:szCs w:val="24"/>
            </w:rPr>
            <w:t>which can further be utilized in accessing equity financing</w:t>
          </w:r>
          <w:r w:rsidR="00C94D9F">
            <w:rPr>
              <w:rFonts w:ascii="Times New Roman" w:hAnsi="Times New Roman" w:cs="Times New Roman"/>
              <w:sz w:val="24"/>
              <w:szCs w:val="24"/>
            </w:rPr>
            <w:t xml:space="preserve"> (</w:t>
          </w:r>
          <w:proofErr w:type="spellStart"/>
          <w:r w:rsidR="00C94D9F" w:rsidRPr="00C94D9F">
            <w:rPr>
              <w:rFonts w:ascii="Times New Roman" w:hAnsi="Times New Roman" w:cs="Times New Roman"/>
              <w:sz w:val="24"/>
              <w:szCs w:val="24"/>
              <w:lang w:val="en-IN"/>
            </w:rPr>
            <w:t>Roos</w:t>
          </w:r>
          <w:proofErr w:type="spellEnd"/>
          <w:r w:rsidR="00C94D9F" w:rsidRPr="00C94D9F">
            <w:rPr>
              <w:rFonts w:ascii="Times New Roman" w:hAnsi="Times New Roman" w:cs="Times New Roman"/>
              <w:sz w:val="24"/>
              <w:szCs w:val="24"/>
              <w:lang w:val="en-IN"/>
            </w:rPr>
            <w:t xml:space="preserve"> and Wikander, 2006</w:t>
          </w:r>
          <w:r w:rsidR="00C94D9F">
            <w:rPr>
              <w:rFonts w:ascii="Times New Roman" w:hAnsi="Times New Roman" w:cs="Times New Roman"/>
              <w:sz w:val="24"/>
              <w:szCs w:val="24"/>
            </w:rPr>
            <w:t>)</w:t>
          </w:r>
          <w:r w:rsidRPr="0055333B">
            <w:rPr>
              <w:rFonts w:ascii="Times New Roman" w:hAnsi="Times New Roman" w:cs="Times New Roman"/>
              <w:sz w:val="24"/>
              <w:szCs w:val="24"/>
            </w:rPr>
            <w:t>. Decreasing the gearing ratio recommends Tesco in combating financial risk and declining proportion of interest to promote financial viability over the period refle</w:t>
          </w:r>
          <w:r w:rsidR="00C94D9F">
            <w:rPr>
              <w:rFonts w:ascii="Times New Roman" w:hAnsi="Times New Roman" w:cs="Times New Roman"/>
              <w:sz w:val="24"/>
              <w:szCs w:val="24"/>
            </w:rPr>
            <w:t>cts</w:t>
          </w:r>
          <w:r w:rsidRPr="0055333B">
            <w:rPr>
              <w:rFonts w:ascii="Times New Roman" w:hAnsi="Times New Roman" w:cs="Times New Roman"/>
              <w:sz w:val="24"/>
              <w:szCs w:val="24"/>
            </w:rPr>
            <w:t xml:space="preserve"> </w:t>
          </w:r>
          <w:r w:rsidR="00C94D9F" w:rsidRPr="0055333B">
            <w:rPr>
              <w:rFonts w:ascii="Times New Roman" w:hAnsi="Times New Roman" w:cs="Times New Roman"/>
              <w:sz w:val="24"/>
              <w:szCs w:val="24"/>
            </w:rPr>
            <w:t>pro</w:t>
          </w:r>
          <w:r w:rsidR="00C94D9F">
            <w:rPr>
              <w:rFonts w:ascii="Times New Roman" w:hAnsi="Times New Roman" w:cs="Times New Roman"/>
              <w:sz w:val="24"/>
              <w:szCs w:val="24"/>
            </w:rPr>
            <w:t xml:space="preserve">active </w:t>
          </w:r>
          <w:r w:rsidRPr="0055333B">
            <w:rPr>
              <w:rFonts w:ascii="Times New Roman" w:hAnsi="Times New Roman" w:cs="Times New Roman"/>
              <w:sz w:val="24"/>
              <w:szCs w:val="24"/>
            </w:rPr>
            <w:t xml:space="preserve">strategy in balancing overall capital structure even in market uncertainty. However, decreasing portion of </w:t>
          </w:r>
          <w:r w:rsidR="00C94D9F">
            <w:rPr>
              <w:rFonts w:ascii="Times New Roman" w:hAnsi="Times New Roman" w:cs="Times New Roman"/>
              <w:sz w:val="24"/>
              <w:szCs w:val="24"/>
            </w:rPr>
            <w:t xml:space="preserve">debt </w:t>
          </w:r>
          <w:r w:rsidRPr="0055333B">
            <w:rPr>
              <w:rFonts w:ascii="Times New Roman" w:hAnsi="Times New Roman" w:cs="Times New Roman"/>
              <w:sz w:val="24"/>
              <w:szCs w:val="24"/>
            </w:rPr>
            <w:t>could impact the growing opportunity for Tesco's need to use a risk management approach while sustaining in the competitive landscape.</w:t>
          </w:r>
        </w:p>
        <w:p w14:paraId="1FAEFF27" w14:textId="063A0A16" w:rsidR="007867D1" w:rsidRDefault="007867D1" w:rsidP="007867D1">
          <w:pPr>
            <w:pStyle w:val="Heading3"/>
            <w:rPr>
              <w:rFonts w:ascii="Times New Roman" w:hAnsi="Times New Roman" w:cs="Times New Roman"/>
              <w:i/>
              <w:iCs/>
              <w:color w:val="000000" w:themeColor="text1"/>
            </w:rPr>
          </w:pPr>
          <w:bookmarkStart w:id="27" w:name="_Toc186239339"/>
          <w:r w:rsidRPr="007867D1">
            <w:rPr>
              <w:rFonts w:ascii="Times New Roman" w:hAnsi="Times New Roman" w:cs="Times New Roman"/>
              <w:i/>
              <w:iCs/>
              <w:color w:val="000000" w:themeColor="text1"/>
            </w:rPr>
            <w:lastRenderedPageBreak/>
            <w:t>Efficiency Ratios</w:t>
          </w:r>
          <w:bookmarkEnd w:id="27"/>
          <w:r w:rsidRPr="007867D1">
            <w:rPr>
              <w:rFonts w:ascii="Times New Roman" w:hAnsi="Times New Roman" w:cs="Times New Roman"/>
              <w:i/>
              <w:iCs/>
              <w:color w:val="000000" w:themeColor="text1"/>
            </w:rPr>
            <w:t xml:space="preserve"> </w:t>
          </w:r>
        </w:p>
        <w:p w14:paraId="504AE005" w14:textId="77777777" w:rsidR="00E9159C" w:rsidRDefault="00E9159C" w:rsidP="00E9159C">
          <w:pPr>
            <w:keepNext/>
          </w:pPr>
          <w:r w:rsidRPr="00E9159C">
            <w:rPr>
              <w:noProof/>
            </w:rPr>
            <w:drawing>
              <wp:inline distT="0" distB="0" distL="0" distR="0" wp14:anchorId="0C2CB7D6" wp14:editId="7C86F269">
                <wp:extent cx="5265420" cy="2385060"/>
                <wp:effectExtent l="0" t="0" r="0" b="0"/>
                <wp:docPr id="3404652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65420" cy="2385060"/>
                        </a:xfrm>
                        <a:prstGeom prst="rect">
                          <a:avLst/>
                        </a:prstGeom>
                        <a:noFill/>
                        <a:ln>
                          <a:noFill/>
                        </a:ln>
                      </pic:spPr>
                    </pic:pic>
                  </a:graphicData>
                </a:graphic>
              </wp:inline>
            </w:drawing>
          </w:r>
        </w:p>
        <w:p w14:paraId="16418EAB" w14:textId="635B8F38" w:rsidR="007867D1" w:rsidRPr="00E9159C" w:rsidRDefault="00E9159C" w:rsidP="00E9159C">
          <w:pPr>
            <w:pStyle w:val="Caption"/>
            <w:jc w:val="center"/>
            <w:rPr>
              <w:rFonts w:ascii="Times New Roman" w:hAnsi="Times New Roman" w:cs="Times New Roman"/>
              <w:i w:val="0"/>
              <w:iCs w:val="0"/>
              <w:color w:val="000000" w:themeColor="text1"/>
              <w:sz w:val="24"/>
              <w:szCs w:val="24"/>
            </w:rPr>
          </w:pPr>
          <w:bookmarkStart w:id="28" w:name="_Toc186239403"/>
          <w:r w:rsidRPr="00E9159C">
            <w:rPr>
              <w:rFonts w:ascii="Times New Roman" w:hAnsi="Times New Roman" w:cs="Times New Roman"/>
              <w:color w:val="000000" w:themeColor="text1"/>
              <w:sz w:val="24"/>
              <w:szCs w:val="24"/>
            </w:rPr>
            <w:t xml:space="preserve">Figure </w:t>
          </w:r>
          <w:r w:rsidRPr="00E9159C">
            <w:rPr>
              <w:rFonts w:ascii="Times New Roman" w:hAnsi="Times New Roman" w:cs="Times New Roman"/>
              <w:color w:val="000000" w:themeColor="text1"/>
              <w:sz w:val="24"/>
              <w:szCs w:val="24"/>
            </w:rPr>
            <w:fldChar w:fldCharType="begin"/>
          </w:r>
          <w:r w:rsidRPr="00E9159C">
            <w:rPr>
              <w:rFonts w:ascii="Times New Roman" w:hAnsi="Times New Roman" w:cs="Times New Roman"/>
              <w:color w:val="000000" w:themeColor="text1"/>
              <w:sz w:val="24"/>
              <w:szCs w:val="24"/>
            </w:rPr>
            <w:instrText xml:space="preserve"> SEQ Figure \* ARABIC </w:instrText>
          </w:r>
          <w:r w:rsidRPr="00E9159C">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12</w:t>
          </w:r>
          <w:r w:rsidRPr="00E9159C">
            <w:rPr>
              <w:rFonts w:ascii="Times New Roman" w:hAnsi="Times New Roman" w:cs="Times New Roman"/>
              <w:color w:val="000000" w:themeColor="text1"/>
              <w:sz w:val="24"/>
              <w:szCs w:val="24"/>
            </w:rPr>
            <w:fldChar w:fldCharType="end"/>
          </w:r>
          <w:r w:rsidRPr="00E9159C">
            <w:rPr>
              <w:rFonts w:ascii="Times New Roman" w:hAnsi="Times New Roman" w:cs="Times New Roman"/>
              <w:i w:val="0"/>
              <w:iCs w:val="0"/>
              <w:color w:val="000000" w:themeColor="text1"/>
              <w:sz w:val="24"/>
              <w:szCs w:val="24"/>
            </w:rPr>
            <w:t xml:space="preserve"> Tesco's Efficiency Ratios</w:t>
          </w:r>
          <w:bookmarkEnd w:id="28"/>
        </w:p>
        <w:p w14:paraId="392507BF" w14:textId="6447B7EF" w:rsidR="00E9159C" w:rsidRDefault="00E9159C" w:rsidP="00E9159C">
          <w:pPr>
            <w:jc w:val="center"/>
            <w:rPr>
              <w:rFonts w:ascii="Times New Roman" w:hAnsi="Times New Roman" w:cs="Times New Roman"/>
              <w:color w:val="000000" w:themeColor="text1"/>
              <w:sz w:val="24"/>
              <w:szCs w:val="24"/>
            </w:rPr>
          </w:pPr>
          <w:r w:rsidRPr="00E9159C">
            <w:rPr>
              <w:rFonts w:ascii="Times New Roman" w:hAnsi="Times New Roman" w:cs="Times New Roman"/>
              <w:color w:val="000000" w:themeColor="text1"/>
              <w:sz w:val="24"/>
              <w:szCs w:val="24"/>
            </w:rPr>
            <w:t>(Source:</w:t>
          </w:r>
          <w:r w:rsidR="00762C3E">
            <w:rPr>
              <w:rFonts w:ascii="Times New Roman" w:hAnsi="Times New Roman" w:cs="Times New Roman"/>
              <w:color w:val="000000" w:themeColor="text1"/>
              <w:sz w:val="24"/>
              <w:szCs w:val="24"/>
            </w:rPr>
            <w:t xml:space="preserve"> </w:t>
          </w:r>
          <w:r w:rsidR="00762C3E">
            <w:rPr>
              <w:rFonts w:ascii="Times New Roman" w:hAnsi="Times New Roman" w:cs="Times New Roman"/>
              <w:sz w:val="24"/>
              <w:szCs w:val="24"/>
            </w:rPr>
            <w:t>Self-Created</w:t>
          </w:r>
          <w:r w:rsidRPr="00E9159C">
            <w:rPr>
              <w:rFonts w:ascii="Times New Roman" w:hAnsi="Times New Roman" w:cs="Times New Roman"/>
              <w:color w:val="000000" w:themeColor="text1"/>
              <w:sz w:val="24"/>
              <w:szCs w:val="24"/>
            </w:rPr>
            <w:t>)</w:t>
          </w:r>
        </w:p>
        <w:p w14:paraId="5750A4A9" w14:textId="1C1B9AD3" w:rsidR="007B1343" w:rsidRPr="007B1343" w:rsidRDefault="007B1343" w:rsidP="007B1343">
          <w:pPr>
            <w:pStyle w:val="Heading3"/>
            <w:rPr>
              <w:rFonts w:ascii="Times New Roman" w:hAnsi="Times New Roman" w:cs="Times New Roman"/>
              <w:i/>
              <w:iCs/>
              <w:color w:val="000000" w:themeColor="text1"/>
            </w:rPr>
          </w:pPr>
          <w:bookmarkStart w:id="29" w:name="_Toc186239340"/>
          <w:r w:rsidRPr="007B1343">
            <w:rPr>
              <w:rFonts w:ascii="Times New Roman" w:hAnsi="Times New Roman" w:cs="Times New Roman"/>
              <w:i/>
              <w:iCs/>
              <w:color w:val="000000" w:themeColor="text1"/>
            </w:rPr>
            <w:t>Stock Turnover Ratio</w:t>
          </w:r>
          <w:bookmarkEnd w:id="29"/>
        </w:p>
        <w:p w14:paraId="6890B6F1" w14:textId="77777777" w:rsidR="00E9159C" w:rsidRDefault="00E9159C" w:rsidP="00E9159C">
          <w:pPr>
            <w:keepNext/>
            <w:jc w:val="center"/>
          </w:pPr>
          <w:r>
            <w:rPr>
              <w:noProof/>
            </w:rPr>
            <w:drawing>
              <wp:inline distT="0" distB="0" distL="0" distR="0" wp14:anchorId="18FDF0E6" wp14:editId="610F6CA3">
                <wp:extent cx="4572000" cy="2895600"/>
                <wp:effectExtent l="0" t="0" r="0" b="0"/>
                <wp:docPr id="369287567" name="Chart 1">
                  <a:extLst xmlns:a="http://schemas.openxmlformats.org/drawingml/2006/main">
                    <a:ext uri="{FF2B5EF4-FFF2-40B4-BE49-F238E27FC236}">
                      <a16:creationId xmlns:a16="http://schemas.microsoft.com/office/drawing/2014/main" id="{4B2FF50C-AA7A-923E-E457-00C0AAC613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DD87DE1" w14:textId="0EF9A64C" w:rsidR="00E9159C" w:rsidRPr="00E9159C" w:rsidRDefault="00E9159C" w:rsidP="00E9159C">
          <w:pPr>
            <w:spacing w:line="360" w:lineRule="auto"/>
            <w:jc w:val="center"/>
            <w:rPr>
              <w:rFonts w:ascii="Times New Roman" w:hAnsi="Times New Roman" w:cs="Times New Roman"/>
              <w:sz w:val="24"/>
              <w:szCs w:val="24"/>
            </w:rPr>
          </w:pPr>
          <w:bookmarkStart w:id="30" w:name="_Toc186239404"/>
          <w:r w:rsidRPr="00E9159C">
            <w:rPr>
              <w:rFonts w:ascii="Times New Roman" w:hAnsi="Times New Roman" w:cs="Times New Roman"/>
              <w:sz w:val="24"/>
              <w:szCs w:val="24"/>
            </w:rPr>
            <w:t xml:space="preserve">Figure </w:t>
          </w:r>
          <w:r w:rsidRPr="00E9159C">
            <w:rPr>
              <w:rFonts w:ascii="Times New Roman" w:hAnsi="Times New Roman" w:cs="Times New Roman"/>
              <w:sz w:val="24"/>
              <w:szCs w:val="24"/>
            </w:rPr>
            <w:fldChar w:fldCharType="begin"/>
          </w:r>
          <w:r w:rsidRPr="00E9159C">
            <w:rPr>
              <w:rFonts w:ascii="Times New Roman" w:hAnsi="Times New Roman" w:cs="Times New Roman"/>
              <w:sz w:val="24"/>
              <w:szCs w:val="24"/>
            </w:rPr>
            <w:instrText xml:space="preserve"> SEQ Figure \* ARABIC </w:instrText>
          </w:r>
          <w:r w:rsidRPr="00E9159C">
            <w:rPr>
              <w:rFonts w:ascii="Times New Roman" w:hAnsi="Times New Roman" w:cs="Times New Roman"/>
              <w:sz w:val="24"/>
              <w:szCs w:val="24"/>
            </w:rPr>
            <w:fldChar w:fldCharType="separate"/>
          </w:r>
          <w:r w:rsidR="006F27C1">
            <w:rPr>
              <w:rFonts w:ascii="Times New Roman" w:hAnsi="Times New Roman" w:cs="Times New Roman"/>
              <w:noProof/>
              <w:sz w:val="24"/>
              <w:szCs w:val="24"/>
            </w:rPr>
            <w:t>13</w:t>
          </w:r>
          <w:r w:rsidRPr="00E9159C">
            <w:rPr>
              <w:rFonts w:ascii="Times New Roman" w:hAnsi="Times New Roman" w:cs="Times New Roman"/>
              <w:sz w:val="24"/>
              <w:szCs w:val="24"/>
            </w:rPr>
            <w:fldChar w:fldCharType="end"/>
          </w:r>
          <w:r w:rsidRPr="00E9159C">
            <w:rPr>
              <w:rFonts w:ascii="Times New Roman" w:hAnsi="Times New Roman" w:cs="Times New Roman"/>
              <w:sz w:val="24"/>
              <w:szCs w:val="24"/>
            </w:rPr>
            <w:t xml:space="preserve"> Stock turnover Ratio</w:t>
          </w:r>
          <w:bookmarkEnd w:id="30"/>
        </w:p>
        <w:p w14:paraId="7672C23B" w14:textId="77777777" w:rsidR="00E9159C" w:rsidRDefault="00E9159C" w:rsidP="00E9159C">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2B9238E9" w14:textId="77777777" w:rsidR="00E9159C" w:rsidRDefault="00E9159C" w:rsidP="00E9159C">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7A19261F" w14:textId="66F5CA1B" w:rsidR="008D4739" w:rsidRPr="00C94D9F" w:rsidRDefault="0055333B" w:rsidP="0055333B">
          <w:pPr>
            <w:spacing w:line="360" w:lineRule="auto"/>
            <w:jc w:val="both"/>
            <w:rPr>
              <w:rFonts w:ascii="Times New Roman" w:hAnsi="Times New Roman" w:cs="Times New Roman"/>
              <w:sz w:val="24"/>
              <w:szCs w:val="24"/>
              <w:lang w:val="en-IN"/>
            </w:rPr>
          </w:pPr>
          <w:r w:rsidRPr="0055333B">
            <w:rPr>
              <w:rFonts w:ascii="Times New Roman" w:hAnsi="Times New Roman" w:cs="Times New Roman"/>
              <w:sz w:val="24"/>
              <w:szCs w:val="24"/>
            </w:rPr>
            <w:t>Stock turnover in days determines the average time required by Tesco to convert inventories into cash supporting the cash flow and liquidity position which is consistent for both years at 15 days which reflects optimum inventory management of the company in balancing supply and demand</w:t>
          </w:r>
          <w:r w:rsidR="00C94D9F">
            <w:rPr>
              <w:rFonts w:ascii="Times New Roman" w:hAnsi="Times New Roman" w:cs="Times New Roman"/>
              <w:sz w:val="24"/>
              <w:szCs w:val="24"/>
            </w:rPr>
            <w:t xml:space="preserve"> </w:t>
          </w:r>
          <w:r w:rsidR="00C94D9F" w:rsidRPr="00C94D9F">
            <w:rPr>
              <w:rFonts w:ascii="Times New Roman" w:hAnsi="Times New Roman" w:cs="Times New Roman"/>
              <w:sz w:val="24"/>
              <w:szCs w:val="24"/>
              <w:lang w:val="en-IN"/>
            </w:rPr>
            <w:t xml:space="preserve">(Wang </w:t>
          </w:r>
          <w:r w:rsidR="00C94D9F" w:rsidRPr="00C94D9F">
            <w:rPr>
              <w:rFonts w:ascii="Times New Roman" w:hAnsi="Times New Roman" w:cs="Times New Roman"/>
              <w:i/>
              <w:iCs/>
              <w:sz w:val="24"/>
              <w:szCs w:val="24"/>
              <w:lang w:val="en-IN"/>
            </w:rPr>
            <w:t>et al.</w:t>
          </w:r>
          <w:r w:rsidR="00C94D9F" w:rsidRPr="00C94D9F">
            <w:rPr>
              <w:rFonts w:ascii="Times New Roman" w:hAnsi="Times New Roman" w:cs="Times New Roman"/>
              <w:sz w:val="24"/>
              <w:szCs w:val="24"/>
              <w:lang w:val="en-IN"/>
            </w:rPr>
            <w:t>, 2020</w:t>
          </w:r>
          <w:r w:rsidR="00C94D9F">
            <w:rPr>
              <w:rFonts w:ascii="Times New Roman" w:hAnsi="Times New Roman" w:cs="Times New Roman"/>
              <w:sz w:val="24"/>
              <w:szCs w:val="24"/>
            </w:rPr>
            <w:t>)</w:t>
          </w:r>
          <w:r w:rsidRPr="0055333B">
            <w:rPr>
              <w:rFonts w:ascii="Times New Roman" w:hAnsi="Times New Roman" w:cs="Times New Roman"/>
              <w:sz w:val="24"/>
              <w:szCs w:val="24"/>
            </w:rPr>
            <w:t xml:space="preserve">. Consistency of this ratio highlights Tesco has an effective inventory management system with no additional storage cost where goods spontaneously </w:t>
          </w:r>
          <w:r w:rsidRPr="0055333B">
            <w:rPr>
              <w:rFonts w:ascii="Times New Roman" w:hAnsi="Times New Roman" w:cs="Times New Roman"/>
              <w:sz w:val="24"/>
              <w:szCs w:val="24"/>
            </w:rPr>
            <w:lastRenderedPageBreak/>
            <w:t>convert into cash without any stockpile up. However</w:t>
          </w:r>
          <w:r w:rsidR="00C94D9F">
            <w:rPr>
              <w:rFonts w:ascii="Times New Roman" w:hAnsi="Times New Roman" w:cs="Times New Roman"/>
              <w:sz w:val="24"/>
              <w:szCs w:val="24"/>
            </w:rPr>
            <w:t xml:space="preserve">, </w:t>
          </w:r>
          <w:r w:rsidRPr="0055333B">
            <w:rPr>
              <w:rFonts w:ascii="Times New Roman" w:hAnsi="Times New Roman" w:cs="Times New Roman"/>
              <w:sz w:val="24"/>
              <w:szCs w:val="24"/>
            </w:rPr>
            <w:t xml:space="preserve">current inventory stability is positive but showcases growth inventory turnover need to improve this but reducing the stock turnover days and </w:t>
          </w:r>
          <w:r w:rsidR="00C94D9F">
            <w:rPr>
              <w:rFonts w:ascii="Times New Roman" w:hAnsi="Times New Roman" w:cs="Times New Roman"/>
              <w:sz w:val="24"/>
              <w:szCs w:val="24"/>
            </w:rPr>
            <w:t xml:space="preserve">safeguard </w:t>
          </w:r>
          <w:r w:rsidRPr="0055333B">
            <w:rPr>
              <w:rFonts w:ascii="Times New Roman" w:hAnsi="Times New Roman" w:cs="Times New Roman"/>
              <w:sz w:val="24"/>
              <w:szCs w:val="24"/>
            </w:rPr>
            <w:t>from stockout and over-stocking options meeting widely changing preferences of consumers in the market.</w:t>
          </w:r>
        </w:p>
        <w:p w14:paraId="06908ED5" w14:textId="15293B27" w:rsidR="007B1343" w:rsidRPr="007B1343" w:rsidRDefault="007B1343" w:rsidP="007B1343">
          <w:pPr>
            <w:pStyle w:val="Heading3"/>
            <w:rPr>
              <w:rFonts w:ascii="Times New Roman" w:hAnsi="Times New Roman" w:cs="Times New Roman"/>
              <w:i/>
              <w:iCs/>
              <w:color w:val="000000" w:themeColor="text1"/>
            </w:rPr>
          </w:pPr>
          <w:bookmarkStart w:id="31" w:name="_Toc186239341"/>
          <w:r w:rsidRPr="007B1343">
            <w:rPr>
              <w:rFonts w:ascii="Times New Roman" w:hAnsi="Times New Roman" w:cs="Times New Roman"/>
              <w:i/>
              <w:iCs/>
              <w:color w:val="000000" w:themeColor="text1"/>
            </w:rPr>
            <w:t>Debtor Collection Period</w:t>
          </w:r>
          <w:bookmarkEnd w:id="31"/>
        </w:p>
        <w:p w14:paraId="1F7934F9" w14:textId="77777777" w:rsidR="00E9159C" w:rsidRDefault="00E9159C" w:rsidP="00E9159C">
          <w:pPr>
            <w:keepNext/>
            <w:spacing w:line="360" w:lineRule="auto"/>
            <w:jc w:val="center"/>
          </w:pPr>
          <w:r>
            <w:rPr>
              <w:noProof/>
            </w:rPr>
            <w:drawing>
              <wp:inline distT="0" distB="0" distL="0" distR="0" wp14:anchorId="42885540" wp14:editId="033B57F0">
                <wp:extent cx="4572000" cy="2743200"/>
                <wp:effectExtent l="0" t="0" r="0" b="0"/>
                <wp:docPr id="253156751" name="Chart 1">
                  <a:extLst xmlns:a="http://schemas.openxmlformats.org/drawingml/2006/main">
                    <a:ext uri="{FF2B5EF4-FFF2-40B4-BE49-F238E27FC236}">
                      <a16:creationId xmlns:a16="http://schemas.microsoft.com/office/drawing/2014/main" id="{8D8AB25A-1B5E-3F72-BA62-F891A26F34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7783A35" w14:textId="2C77456B" w:rsidR="00E9159C" w:rsidRPr="00E9159C" w:rsidRDefault="00E9159C" w:rsidP="00E9159C">
          <w:pPr>
            <w:spacing w:line="360" w:lineRule="auto"/>
            <w:jc w:val="center"/>
            <w:rPr>
              <w:rFonts w:ascii="Times New Roman" w:hAnsi="Times New Roman" w:cs="Times New Roman"/>
              <w:sz w:val="24"/>
              <w:szCs w:val="24"/>
            </w:rPr>
          </w:pPr>
          <w:bookmarkStart w:id="32" w:name="_Toc186239405"/>
          <w:r w:rsidRPr="00E9159C">
            <w:rPr>
              <w:rFonts w:ascii="Times New Roman" w:hAnsi="Times New Roman" w:cs="Times New Roman"/>
              <w:sz w:val="24"/>
              <w:szCs w:val="24"/>
            </w:rPr>
            <w:t xml:space="preserve">Figure </w:t>
          </w:r>
          <w:r w:rsidRPr="00E9159C">
            <w:rPr>
              <w:rFonts w:ascii="Times New Roman" w:hAnsi="Times New Roman" w:cs="Times New Roman"/>
              <w:sz w:val="24"/>
              <w:szCs w:val="24"/>
            </w:rPr>
            <w:fldChar w:fldCharType="begin"/>
          </w:r>
          <w:r w:rsidRPr="00E9159C">
            <w:rPr>
              <w:rFonts w:ascii="Times New Roman" w:hAnsi="Times New Roman" w:cs="Times New Roman"/>
              <w:sz w:val="24"/>
              <w:szCs w:val="24"/>
            </w:rPr>
            <w:instrText xml:space="preserve"> SEQ Figure \* ARABIC </w:instrText>
          </w:r>
          <w:r w:rsidRPr="00E9159C">
            <w:rPr>
              <w:rFonts w:ascii="Times New Roman" w:hAnsi="Times New Roman" w:cs="Times New Roman"/>
              <w:sz w:val="24"/>
              <w:szCs w:val="24"/>
            </w:rPr>
            <w:fldChar w:fldCharType="separate"/>
          </w:r>
          <w:r w:rsidR="006F27C1">
            <w:rPr>
              <w:rFonts w:ascii="Times New Roman" w:hAnsi="Times New Roman" w:cs="Times New Roman"/>
              <w:noProof/>
              <w:sz w:val="24"/>
              <w:szCs w:val="24"/>
            </w:rPr>
            <w:t>14</w:t>
          </w:r>
          <w:r w:rsidRPr="00E9159C">
            <w:rPr>
              <w:rFonts w:ascii="Times New Roman" w:hAnsi="Times New Roman" w:cs="Times New Roman"/>
              <w:sz w:val="24"/>
              <w:szCs w:val="24"/>
            </w:rPr>
            <w:fldChar w:fldCharType="end"/>
          </w:r>
          <w:r w:rsidRPr="00E9159C">
            <w:rPr>
              <w:rFonts w:ascii="Times New Roman" w:hAnsi="Times New Roman" w:cs="Times New Roman"/>
              <w:sz w:val="24"/>
              <w:szCs w:val="24"/>
            </w:rPr>
            <w:t xml:space="preserve"> Debtor Collection Period</w:t>
          </w:r>
          <w:bookmarkEnd w:id="32"/>
        </w:p>
        <w:p w14:paraId="62CEF42E" w14:textId="77777777" w:rsidR="00E9159C" w:rsidRDefault="00E9159C" w:rsidP="00E9159C">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387A6253" w14:textId="77777777" w:rsidR="00E9159C" w:rsidRDefault="00E9159C" w:rsidP="00E9159C">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124CBDC3" w14:textId="410DEEF1" w:rsidR="00516F2D" w:rsidRPr="00C94D9F" w:rsidRDefault="007B1343" w:rsidP="007B1343">
          <w:pPr>
            <w:spacing w:line="360" w:lineRule="auto"/>
            <w:jc w:val="both"/>
            <w:rPr>
              <w:rFonts w:ascii="Times New Roman" w:hAnsi="Times New Roman" w:cs="Times New Roman"/>
              <w:sz w:val="24"/>
              <w:szCs w:val="24"/>
              <w:lang w:val="en-IN"/>
            </w:rPr>
          </w:pPr>
          <w:r w:rsidRPr="007B1343">
            <w:rPr>
              <w:rFonts w:ascii="Times New Roman" w:hAnsi="Times New Roman" w:cs="Times New Roman"/>
              <w:sz w:val="24"/>
              <w:szCs w:val="24"/>
            </w:rPr>
            <w:t>The debtor collection period measures the potential of Tesco in collecting money from trade debtors which is currently stable at 7 days in 2023 and 24 showcasing effective credit policies and effective receivable management of the company</w:t>
          </w:r>
          <w:r w:rsidR="00C94D9F">
            <w:rPr>
              <w:rFonts w:ascii="Times New Roman" w:hAnsi="Times New Roman" w:cs="Times New Roman"/>
              <w:sz w:val="24"/>
              <w:szCs w:val="24"/>
            </w:rPr>
            <w:t xml:space="preserve"> (</w:t>
          </w:r>
          <w:r w:rsidR="00C94D9F" w:rsidRPr="00C94D9F">
            <w:rPr>
              <w:rFonts w:ascii="Times New Roman" w:hAnsi="Times New Roman" w:cs="Times New Roman"/>
              <w:sz w:val="24"/>
              <w:szCs w:val="24"/>
              <w:lang w:val="en-IN"/>
            </w:rPr>
            <w:t>Han and Jang, 2012</w:t>
          </w:r>
          <w:r w:rsidR="00C94D9F">
            <w:rPr>
              <w:rFonts w:ascii="Times New Roman" w:hAnsi="Times New Roman" w:cs="Times New Roman"/>
              <w:sz w:val="24"/>
              <w:szCs w:val="24"/>
            </w:rPr>
            <w:t>)</w:t>
          </w:r>
          <w:r w:rsidRPr="007B1343">
            <w:rPr>
              <w:rFonts w:ascii="Times New Roman" w:hAnsi="Times New Roman" w:cs="Times New Roman"/>
              <w:sz w:val="24"/>
              <w:szCs w:val="24"/>
            </w:rPr>
            <w:t>. A short collection period is favourable for an entity contributing towards cash flow position declaring decreasing credit risk. Also, the financial team plays an important role in boosting the intensity of receivables contributing towards entire liquidity and working capital performance. However</w:t>
          </w:r>
          <w:r w:rsidR="00C94D9F">
            <w:rPr>
              <w:rFonts w:ascii="Times New Roman" w:hAnsi="Times New Roman" w:cs="Times New Roman"/>
              <w:sz w:val="24"/>
              <w:szCs w:val="24"/>
            </w:rPr>
            <w:t>,</w:t>
          </w:r>
          <w:r w:rsidRPr="007B1343">
            <w:rPr>
              <w:rFonts w:ascii="Times New Roman" w:hAnsi="Times New Roman" w:cs="Times New Roman"/>
              <w:sz w:val="24"/>
              <w:szCs w:val="24"/>
            </w:rPr>
            <w:t xml:space="preserve"> shorter collection period for customers could impact Tesco affecting customer satisfaction in a competitive world where its competitors give additional credit periods to the customers which can managed by offering loyalty programs to the customers.</w:t>
          </w:r>
        </w:p>
        <w:p w14:paraId="074A662E" w14:textId="4342EEAD" w:rsidR="007B1343" w:rsidRPr="007B1343" w:rsidRDefault="007B1343" w:rsidP="007B1343">
          <w:pPr>
            <w:pStyle w:val="Heading3"/>
            <w:rPr>
              <w:rFonts w:ascii="Times New Roman" w:hAnsi="Times New Roman" w:cs="Times New Roman"/>
              <w:i/>
              <w:iCs/>
              <w:color w:val="000000" w:themeColor="text1"/>
            </w:rPr>
          </w:pPr>
          <w:bookmarkStart w:id="33" w:name="_Toc186239342"/>
          <w:r w:rsidRPr="007B1343">
            <w:rPr>
              <w:rFonts w:ascii="Times New Roman" w:hAnsi="Times New Roman" w:cs="Times New Roman"/>
              <w:i/>
              <w:iCs/>
              <w:color w:val="000000" w:themeColor="text1"/>
            </w:rPr>
            <w:lastRenderedPageBreak/>
            <w:t>Creditor Payment Period</w:t>
          </w:r>
          <w:bookmarkEnd w:id="33"/>
        </w:p>
        <w:p w14:paraId="4DC9F9C9" w14:textId="77777777" w:rsidR="00E9159C" w:rsidRDefault="00E9159C" w:rsidP="00E9159C">
          <w:pPr>
            <w:keepNext/>
            <w:spacing w:line="360" w:lineRule="auto"/>
            <w:jc w:val="center"/>
          </w:pPr>
          <w:r>
            <w:rPr>
              <w:noProof/>
            </w:rPr>
            <w:drawing>
              <wp:inline distT="0" distB="0" distL="0" distR="0" wp14:anchorId="2FC2E2F6" wp14:editId="6289CF2E">
                <wp:extent cx="4572000" cy="2743200"/>
                <wp:effectExtent l="0" t="0" r="0" b="0"/>
                <wp:docPr id="2078271767" name="Chart 1">
                  <a:extLst xmlns:a="http://schemas.openxmlformats.org/drawingml/2006/main">
                    <a:ext uri="{FF2B5EF4-FFF2-40B4-BE49-F238E27FC236}">
                      <a16:creationId xmlns:a16="http://schemas.microsoft.com/office/drawing/2014/main" id="{91827712-302B-73E9-7548-EB02175CEA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622F8B4" w14:textId="44671F01" w:rsidR="00E9159C" w:rsidRPr="00E9159C" w:rsidRDefault="00E9159C" w:rsidP="00E9159C">
          <w:pPr>
            <w:spacing w:line="360" w:lineRule="auto"/>
            <w:jc w:val="center"/>
            <w:rPr>
              <w:rFonts w:ascii="Times New Roman" w:hAnsi="Times New Roman" w:cs="Times New Roman"/>
              <w:sz w:val="24"/>
              <w:szCs w:val="24"/>
            </w:rPr>
          </w:pPr>
          <w:bookmarkStart w:id="34" w:name="_Toc186239406"/>
          <w:r w:rsidRPr="00E9159C">
            <w:rPr>
              <w:rFonts w:ascii="Times New Roman" w:hAnsi="Times New Roman" w:cs="Times New Roman"/>
              <w:sz w:val="24"/>
              <w:szCs w:val="24"/>
            </w:rPr>
            <w:t xml:space="preserve">Figure </w:t>
          </w:r>
          <w:r w:rsidRPr="00E9159C">
            <w:rPr>
              <w:rFonts w:ascii="Times New Roman" w:hAnsi="Times New Roman" w:cs="Times New Roman"/>
              <w:sz w:val="24"/>
              <w:szCs w:val="24"/>
            </w:rPr>
            <w:fldChar w:fldCharType="begin"/>
          </w:r>
          <w:r w:rsidRPr="00E9159C">
            <w:rPr>
              <w:rFonts w:ascii="Times New Roman" w:hAnsi="Times New Roman" w:cs="Times New Roman"/>
              <w:sz w:val="24"/>
              <w:szCs w:val="24"/>
            </w:rPr>
            <w:instrText xml:space="preserve"> SEQ Figure \* ARABIC </w:instrText>
          </w:r>
          <w:r w:rsidRPr="00E9159C">
            <w:rPr>
              <w:rFonts w:ascii="Times New Roman" w:hAnsi="Times New Roman" w:cs="Times New Roman"/>
              <w:sz w:val="24"/>
              <w:szCs w:val="24"/>
            </w:rPr>
            <w:fldChar w:fldCharType="separate"/>
          </w:r>
          <w:r w:rsidR="006F27C1">
            <w:rPr>
              <w:rFonts w:ascii="Times New Roman" w:hAnsi="Times New Roman" w:cs="Times New Roman"/>
              <w:noProof/>
              <w:sz w:val="24"/>
              <w:szCs w:val="24"/>
            </w:rPr>
            <w:t>15</w:t>
          </w:r>
          <w:r w:rsidRPr="00E9159C">
            <w:rPr>
              <w:rFonts w:ascii="Times New Roman" w:hAnsi="Times New Roman" w:cs="Times New Roman"/>
              <w:sz w:val="24"/>
              <w:szCs w:val="24"/>
            </w:rPr>
            <w:fldChar w:fldCharType="end"/>
          </w:r>
          <w:r w:rsidRPr="00E9159C">
            <w:rPr>
              <w:rFonts w:ascii="Times New Roman" w:hAnsi="Times New Roman" w:cs="Times New Roman"/>
              <w:sz w:val="24"/>
              <w:szCs w:val="24"/>
            </w:rPr>
            <w:t xml:space="preserve"> Creditor Payment Period</w:t>
          </w:r>
          <w:bookmarkEnd w:id="34"/>
        </w:p>
        <w:p w14:paraId="3D86A78D" w14:textId="77777777" w:rsidR="00E9159C" w:rsidRDefault="00E9159C" w:rsidP="00E9159C">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71D69C51" w14:textId="77777777" w:rsidR="00E9159C" w:rsidRDefault="00E9159C" w:rsidP="00E9159C">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2FB17308" w14:textId="15F807F8" w:rsidR="007B1343" w:rsidRPr="00C94D9F" w:rsidRDefault="007B1343" w:rsidP="007B1343">
          <w:pPr>
            <w:spacing w:line="360" w:lineRule="auto"/>
            <w:jc w:val="both"/>
            <w:rPr>
              <w:rFonts w:ascii="Times New Roman" w:hAnsi="Times New Roman" w:cs="Times New Roman"/>
              <w:sz w:val="24"/>
              <w:szCs w:val="24"/>
              <w:lang w:val="en-IN"/>
            </w:rPr>
          </w:pPr>
          <w:r w:rsidRPr="007B1343">
            <w:rPr>
              <w:rFonts w:ascii="Times New Roman" w:hAnsi="Times New Roman" w:cs="Times New Roman"/>
              <w:sz w:val="24"/>
              <w:szCs w:val="24"/>
            </w:rPr>
            <w:t>Lastly, the creditor payment period measures the time required by an entity to pay its suppliers has increased from 58 days to 60 days reflecting an extension in payment terms assisting the company in holding cash for a longer period supporting the operational performance</w:t>
          </w:r>
          <w:r w:rsidR="00C94D9F">
            <w:rPr>
              <w:rFonts w:ascii="Times New Roman" w:hAnsi="Times New Roman" w:cs="Times New Roman"/>
              <w:sz w:val="24"/>
              <w:szCs w:val="24"/>
            </w:rPr>
            <w:t xml:space="preserve"> </w:t>
          </w:r>
          <w:r w:rsidR="00C94D9F" w:rsidRPr="00C94D9F">
            <w:rPr>
              <w:rFonts w:ascii="Times New Roman" w:hAnsi="Times New Roman" w:cs="Times New Roman"/>
              <w:sz w:val="24"/>
              <w:szCs w:val="24"/>
              <w:lang w:val="en-IN"/>
            </w:rPr>
            <w:t>(Wang, Zhao and Chen, 2018</w:t>
          </w:r>
          <w:r w:rsidR="00C94D9F">
            <w:rPr>
              <w:rFonts w:ascii="Times New Roman" w:hAnsi="Times New Roman" w:cs="Times New Roman"/>
              <w:sz w:val="24"/>
              <w:szCs w:val="24"/>
            </w:rPr>
            <w:t>)</w:t>
          </w:r>
          <w:r w:rsidRPr="007B1343">
            <w:rPr>
              <w:rFonts w:ascii="Times New Roman" w:hAnsi="Times New Roman" w:cs="Times New Roman"/>
              <w:sz w:val="24"/>
              <w:szCs w:val="24"/>
            </w:rPr>
            <w:t>. However, extensions of the creditor payment period due to re-negotiation with suppliers showcased an effective cash flow management technique adopted by Tesco which supports liquidity position to manage expenses by keeping cash for a longer period in a company.</w:t>
          </w:r>
        </w:p>
        <w:p w14:paraId="01C23585" w14:textId="3EAAF2EB" w:rsidR="007867D1" w:rsidRDefault="007867D1" w:rsidP="007867D1">
          <w:pPr>
            <w:pStyle w:val="Heading3"/>
            <w:rPr>
              <w:rFonts w:ascii="Times New Roman" w:hAnsi="Times New Roman" w:cs="Times New Roman"/>
              <w:i/>
              <w:iCs/>
              <w:color w:val="000000" w:themeColor="text1"/>
            </w:rPr>
          </w:pPr>
          <w:bookmarkStart w:id="35" w:name="_Toc186239343"/>
          <w:r w:rsidRPr="007867D1">
            <w:rPr>
              <w:rFonts w:ascii="Times New Roman" w:hAnsi="Times New Roman" w:cs="Times New Roman"/>
              <w:i/>
              <w:iCs/>
              <w:color w:val="000000" w:themeColor="text1"/>
            </w:rPr>
            <w:t>Investor Ratios</w:t>
          </w:r>
          <w:bookmarkEnd w:id="35"/>
        </w:p>
        <w:p w14:paraId="0EFC1AC9" w14:textId="77777777" w:rsidR="00E9159C" w:rsidRDefault="00E9159C" w:rsidP="00E9159C">
          <w:pPr>
            <w:keepNext/>
          </w:pPr>
          <w:r w:rsidRPr="00E9159C">
            <w:rPr>
              <w:noProof/>
            </w:rPr>
            <w:drawing>
              <wp:inline distT="0" distB="0" distL="0" distR="0" wp14:anchorId="64D336F6" wp14:editId="6C722663">
                <wp:extent cx="5731510" cy="1553845"/>
                <wp:effectExtent l="0" t="0" r="2540" b="8255"/>
                <wp:docPr id="20610232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553845"/>
                        </a:xfrm>
                        <a:prstGeom prst="rect">
                          <a:avLst/>
                        </a:prstGeom>
                        <a:noFill/>
                        <a:ln>
                          <a:noFill/>
                        </a:ln>
                      </pic:spPr>
                    </pic:pic>
                  </a:graphicData>
                </a:graphic>
              </wp:inline>
            </w:drawing>
          </w:r>
        </w:p>
        <w:p w14:paraId="59B4F3CA" w14:textId="00873F03" w:rsidR="00E9159C" w:rsidRPr="00E9159C" w:rsidRDefault="00E9159C" w:rsidP="00E9159C">
          <w:pPr>
            <w:spacing w:line="360" w:lineRule="auto"/>
            <w:jc w:val="center"/>
            <w:rPr>
              <w:rFonts w:ascii="Times New Roman" w:hAnsi="Times New Roman" w:cs="Times New Roman"/>
              <w:sz w:val="24"/>
              <w:szCs w:val="24"/>
            </w:rPr>
          </w:pPr>
          <w:bookmarkStart w:id="36" w:name="_Toc186239407"/>
          <w:r w:rsidRPr="00E9159C">
            <w:rPr>
              <w:rFonts w:ascii="Times New Roman" w:hAnsi="Times New Roman" w:cs="Times New Roman"/>
              <w:sz w:val="24"/>
              <w:szCs w:val="24"/>
            </w:rPr>
            <w:t xml:space="preserve">Figure </w:t>
          </w:r>
          <w:r w:rsidRPr="00E9159C">
            <w:rPr>
              <w:rFonts w:ascii="Times New Roman" w:hAnsi="Times New Roman" w:cs="Times New Roman"/>
              <w:sz w:val="24"/>
              <w:szCs w:val="24"/>
            </w:rPr>
            <w:fldChar w:fldCharType="begin"/>
          </w:r>
          <w:r w:rsidRPr="00E9159C">
            <w:rPr>
              <w:rFonts w:ascii="Times New Roman" w:hAnsi="Times New Roman" w:cs="Times New Roman"/>
              <w:sz w:val="24"/>
              <w:szCs w:val="24"/>
            </w:rPr>
            <w:instrText xml:space="preserve"> SEQ Figure \* ARABIC </w:instrText>
          </w:r>
          <w:r w:rsidRPr="00E9159C">
            <w:rPr>
              <w:rFonts w:ascii="Times New Roman" w:hAnsi="Times New Roman" w:cs="Times New Roman"/>
              <w:sz w:val="24"/>
              <w:szCs w:val="24"/>
            </w:rPr>
            <w:fldChar w:fldCharType="separate"/>
          </w:r>
          <w:r w:rsidR="006F27C1">
            <w:rPr>
              <w:rFonts w:ascii="Times New Roman" w:hAnsi="Times New Roman" w:cs="Times New Roman"/>
              <w:noProof/>
              <w:sz w:val="24"/>
              <w:szCs w:val="24"/>
            </w:rPr>
            <w:t>16</w:t>
          </w:r>
          <w:r w:rsidRPr="00E9159C">
            <w:rPr>
              <w:rFonts w:ascii="Times New Roman" w:hAnsi="Times New Roman" w:cs="Times New Roman"/>
              <w:sz w:val="24"/>
              <w:szCs w:val="24"/>
            </w:rPr>
            <w:fldChar w:fldCharType="end"/>
          </w:r>
          <w:r w:rsidRPr="00E9159C">
            <w:rPr>
              <w:rFonts w:ascii="Times New Roman" w:hAnsi="Times New Roman" w:cs="Times New Roman"/>
              <w:sz w:val="24"/>
              <w:szCs w:val="24"/>
            </w:rPr>
            <w:t xml:space="preserve"> Tesco’s Investor Ratios</w:t>
          </w:r>
          <w:bookmarkEnd w:id="36"/>
        </w:p>
        <w:p w14:paraId="0A442C86" w14:textId="23EDBFED" w:rsidR="00E9159C" w:rsidRDefault="00E9159C" w:rsidP="00E9159C">
          <w:pPr>
            <w:spacing w:line="360" w:lineRule="auto"/>
            <w:jc w:val="center"/>
            <w:rPr>
              <w:rFonts w:ascii="Times New Roman" w:hAnsi="Times New Roman" w:cs="Times New Roman"/>
              <w:sz w:val="24"/>
              <w:szCs w:val="24"/>
            </w:rPr>
          </w:pPr>
          <w:r w:rsidRPr="00E9159C">
            <w:rPr>
              <w:rFonts w:ascii="Times New Roman" w:hAnsi="Times New Roman" w:cs="Times New Roman"/>
              <w:sz w:val="24"/>
              <w:szCs w:val="24"/>
            </w:rPr>
            <w:t>(Source:</w:t>
          </w:r>
          <w:r w:rsidR="00762C3E">
            <w:rPr>
              <w:rFonts w:ascii="Times New Roman" w:hAnsi="Times New Roman" w:cs="Times New Roman"/>
              <w:sz w:val="24"/>
              <w:szCs w:val="24"/>
            </w:rPr>
            <w:t xml:space="preserve"> Self-Created</w:t>
          </w:r>
          <w:r w:rsidRPr="00E9159C">
            <w:rPr>
              <w:rFonts w:ascii="Times New Roman" w:hAnsi="Times New Roman" w:cs="Times New Roman"/>
              <w:sz w:val="24"/>
              <w:szCs w:val="24"/>
            </w:rPr>
            <w:t>)</w:t>
          </w:r>
        </w:p>
        <w:p w14:paraId="008E2CD8" w14:textId="4C4C0349" w:rsidR="002118AD" w:rsidRPr="002118AD" w:rsidRDefault="002118AD" w:rsidP="002118AD">
          <w:pPr>
            <w:pStyle w:val="Heading3"/>
            <w:rPr>
              <w:rFonts w:ascii="Times New Roman" w:hAnsi="Times New Roman" w:cs="Times New Roman"/>
              <w:i/>
              <w:iCs/>
              <w:color w:val="000000" w:themeColor="text1"/>
            </w:rPr>
          </w:pPr>
          <w:bookmarkStart w:id="37" w:name="_Toc186239344"/>
          <w:r w:rsidRPr="002118AD">
            <w:rPr>
              <w:rFonts w:ascii="Times New Roman" w:hAnsi="Times New Roman" w:cs="Times New Roman"/>
              <w:i/>
              <w:iCs/>
              <w:color w:val="000000" w:themeColor="text1"/>
            </w:rPr>
            <w:lastRenderedPageBreak/>
            <w:t>Interest Cover</w:t>
          </w:r>
          <w:bookmarkEnd w:id="37"/>
        </w:p>
        <w:p w14:paraId="30A1FAD4" w14:textId="77777777" w:rsidR="00E9159C" w:rsidRDefault="00E9159C" w:rsidP="00E9159C">
          <w:pPr>
            <w:keepNext/>
            <w:spacing w:line="360" w:lineRule="auto"/>
            <w:jc w:val="center"/>
          </w:pPr>
          <w:r>
            <w:rPr>
              <w:noProof/>
            </w:rPr>
            <w:drawing>
              <wp:inline distT="0" distB="0" distL="0" distR="0" wp14:anchorId="2C497DE1" wp14:editId="1A6EF1E3">
                <wp:extent cx="4572000" cy="2788920"/>
                <wp:effectExtent l="0" t="0" r="0" b="11430"/>
                <wp:docPr id="47674309" name="Chart 1">
                  <a:extLst xmlns:a="http://schemas.openxmlformats.org/drawingml/2006/main">
                    <a:ext uri="{FF2B5EF4-FFF2-40B4-BE49-F238E27FC236}">
                      <a16:creationId xmlns:a16="http://schemas.microsoft.com/office/drawing/2014/main" id="{9CB432D1-36B6-D46E-DCF5-628264B2C9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9098B57" w14:textId="5152EDCD" w:rsidR="00E9159C" w:rsidRPr="00E9159C" w:rsidRDefault="00E9159C" w:rsidP="00E9159C">
          <w:pPr>
            <w:spacing w:line="360" w:lineRule="auto"/>
            <w:jc w:val="center"/>
            <w:rPr>
              <w:rFonts w:ascii="Times New Roman" w:hAnsi="Times New Roman" w:cs="Times New Roman"/>
              <w:sz w:val="24"/>
              <w:szCs w:val="24"/>
            </w:rPr>
          </w:pPr>
          <w:bookmarkStart w:id="38" w:name="_Toc186239408"/>
          <w:r w:rsidRPr="00E9159C">
            <w:rPr>
              <w:rFonts w:ascii="Times New Roman" w:hAnsi="Times New Roman" w:cs="Times New Roman"/>
              <w:sz w:val="24"/>
              <w:szCs w:val="24"/>
            </w:rPr>
            <w:t xml:space="preserve">Figure </w:t>
          </w:r>
          <w:r w:rsidRPr="00E9159C">
            <w:rPr>
              <w:rFonts w:ascii="Times New Roman" w:hAnsi="Times New Roman" w:cs="Times New Roman"/>
              <w:sz w:val="24"/>
              <w:szCs w:val="24"/>
            </w:rPr>
            <w:fldChar w:fldCharType="begin"/>
          </w:r>
          <w:r w:rsidRPr="00E9159C">
            <w:rPr>
              <w:rFonts w:ascii="Times New Roman" w:hAnsi="Times New Roman" w:cs="Times New Roman"/>
              <w:sz w:val="24"/>
              <w:szCs w:val="24"/>
            </w:rPr>
            <w:instrText xml:space="preserve"> SEQ Figure \* ARABIC </w:instrText>
          </w:r>
          <w:r w:rsidRPr="00E9159C">
            <w:rPr>
              <w:rFonts w:ascii="Times New Roman" w:hAnsi="Times New Roman" w:cs="Times New Roman"/>
              <w:sz w:val="24"/>
              <w:szCs w:val="24"/>
            </w:rPr>
            <w:fldChar w:fldCharType="separate"/>
          </w:r>
          <w:r w:rsidR="006F27C1">
            <w:rPr>
              <w:rFonts w:ascii="Times New Roman" w:hAnsi="Times New Roman" w:cs="Times New Roman"/>
              <w:noProof/>
              <w:sz w:val="24"/>
              <w:szCs w:val="24"/>
            </w:rPr>
            <w:t>17</w:t>
          </w:r>
          <w:r w:rsidRPr="00E9159C">
            <w:rPr>
              <w:rFonts w:ascii="Times New Roman" w:hAnsi="Times New Roman" w:cs="Times New Roman"/>
              <w:sz w:val="24"/>
              <w:szCs w:val="24"/>
            </w:rPr>
            <w:fldChar w:fldCharType="end"/>
          </w:r>
          <w:r w:rsidRPr="00E9159C">
            <w:rPr>
              <w:rFonts w:ascii="Times New Roman" w:hAnsi="Times New Roman" w:cs="Times New Roman"/>
              <w:sz w:val="24"/>
              <w:szCs w:val="24"/>
            </w:rPr>
            <w:t xml:space="preserve"> Interest Cover Ratio</w:t>
          </w:r>
          <w:bookmarkEnd w:id="38"/>
        </w:p>
        <w:p w14:paraId="40CC45BF" w14:textId="77777777" w:rsidR="00E9159C" w:rsidRDefault="00E9159C" w:rsidP="00E9159C">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779C8640" w14:textId="77777777" w:rsidR="00E9159C" w:rsidRDefault="00E9159C" w:rsidP="00E9159C">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5A943460" w14:textId="4B72D7C8" w:rsidR="002118AD" w:rsidRPr="00C94D9F" w:rsidRDefault="002118AD" w:rsidP="007B1343">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Interest covers reflect the potential of Tesco in paying interest on long-term borrowings out of operating profit has increased from 2.26 to 3.5 over the period showcasing robust changes in the financial stability and growth in the revenu</w:t>
          </w:r>
          <w:r w:rsidR="00C94D9F">
            <w:rPr>
              <w:rFonts w:ascii="Times New Roman" w:hAnsi="Times New Roman" w:cs="Times New Roman"/>
              <w:sz w:val="24"/>
              <w:szCs w:val="24"/>
            </w:rPr>
            <w:t>e (</w:t>
          </w:r>
          <w:r w:rsidR="00C94D9F" w:rsidRPr="00C94D9F">
            <w:rPr>
              <w:rFonts w:ascii="Times New Roman" w:hAnsi="Times New Roman" w:cs="Times New Roman"/>
              <w:sz w:val="24"/>
              <w:szCs w:val="24"/>
              <w:lang w:val="en-IN"/>
            </w:rPr>
            <w:t xml:space="preserve">Li </w:t>
          </w:r>
          <w:r w:rsidR="00C94D9F" w:rsidRPr="00C94D9F">
            <w:rPr>
              <w:rFonts w:ascii="Times New Roman" w:hAnsi="Times New Roman" w:cs="Times New Roman"/>
              <w:i/>
              <w:iCs/>
              <w:sz w:val="24"/>
              <w:szCs w:val="24"/>
              <w:lang w:val="en-IN"/>
            </w:rPr>
            <w:t>et al.</w:t>
          </w:r>
          <w:r w:rsidR="00C94D9F" w:rsidRPr="00C94D9F">
            <w:rPr>
              <w:rFonts w:ascii="Times New Roman" w:hAnsi="Times New Roman" w:cs="Times New Roman"/>
              <w:sz w:val="24"/>
              <w:szCs w:val="24"/>
              <w:lang w:val="en-IN"/>
            </w:rPr>
            <w:t>, 2017</w:t>
          </w:r>
          <w:r w:rsidR="00C94D9F">
            <w:rPr>
              <w:rFonts w:ascii="Times New Roman" w:hAnsi="Times New Roman" w:cs="Times New Roman"/>
              <w:sz w:val="24"/>
              <w:szCs w:val="24"/>
            </w:rPr>
            <w:t>)</w:t>
          </w:r>
          <w:r w:rsidRPr="002118AD">
            <w:rPr>
              <w:rFonts w:ascii="Times New Roman" w:hAnsi="Times New Roman" w:cs="Times New Roman"/>
              <w:sz w:val="24"/>
              <w:szCs w:val="24"/>
            </w:rPr>
            <w:t xml:space="preserve">. Rising profit before interest </w:t>
          </w:r>
          <w:r w:rsidR="00C94D9F">
            <w:rPr>
              <w:rFonts w:ascii="Times New Roman" w:hAnsi="Times New Roman" w:cs="Times New Roman"/>
              <w:sz w:val="24"/>
              <w:szCs w:val="24"/>
            </w:rPr>
            <w:t>and</w:t>
          </w:r>
          <w:r w:rsidRPr="002118AD">
            <w:rPr>
              <w:rFonts w:ascii="Times New Roman" w:hAnsi="Times New Roman" w:cs="Times New Roman"/>
              <w:sz w:val="24"/>
              <w:szCs w:val="24"/>
            </w:rPr>
            <w:t xml:space="preserve"> tax supports Tesco in paying finance costs also minimising the financial distress of the business. It recommends effective cost regulation and operation performance by maximizing sales and reduction of expenses.</w:t>
          </w:r>
        </w:p>
        <w:p w14:paraId="6F120989" w14:textId="60B9023B" w:rsidR="002118AD" w:rsidRPr="002118AD" w:rsidRDefault="002118AD" w:rsidP="002118AD">
          <w:pPr>
            <w:pStyle w:val="Heading3"/>
            <w:rPr>
              <w:rFonts w:ascii="Times New Roman" w:hAnsi="Times New Roman" w:cs="Times New Roman"/>
              <w:i/>
              <w:iCs/>
              <w:color w:val="000000" w:themeColor="text1"/>
            </w:rPr>
          </w:pPr>
          <w:bookmarkStart w:id="39" w:name="_Toc186239345"/>
          <w:r w:rsidRPr="002118AD">
            <w:rPr>
              <w:rFonts w:ascii="Times New Roman" w:hAnsi="Times New Roman" w:cs="Times New Roman"/>
              <w:i/>
              <w:iCs/>
              <w:color w:val="000000" w:themeColor="text1"/>
            </w:rPr>
            <w:lastRenderedPageBreak/>
            <w:t>Dividend Yield</w:t>
          </w:r>
          <w:bookmarkEnd w:id="39"/>
        </w:p>
        <w:p w14:paraId="4C0010FF" w14:textId="77777777" w:rsidR="00E9159C" w:rsidRDefault="00E9159C" w:rsidP="00E9159C">
          <w:pPr>
            <w:keepNext/>
            <w:jc w:val="center"/>
          </w:pPr>
          <w:r>
            <w:rPr>
              <w:noProof/>
            </w:rPr>
            <w:drawing>
              <wp:inline distT="0" distB="0" distL="0" distR="0" wp14:anchorId="3C1EF2B3" wp14:editId="0A518ACE">
                <wp:extent cx="4572000" cy="2743200"/>
                <wp:effectExtent l="0" t="0" r="0" b="0"/>
                <wp:docPr id="861685908" name="Chart 1">
                  <a:extLst xmlns:a="http://schemas.openxmlformats.org/drawingml/2006/main">
                    <a:ext uri="{FF2B5EF4-FFF2-40B4-BE49-F238E27FC236}">
                      <a16:creationId xmlns:a16="http://schemas.microsoft.com/office/drawing/2014/main" id="{BE515569-EB27-761B-14D2-B1A07D73A6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06E414F" w14:textId="735F209F" w:rsidR="00E9159C" w:rsidRPr="00E9159C" w:rsidRDefault="00E9159C" w:rsidP="00E9159C">
          <w:pPr>
            <w:spacing w:line="360" w:lineRule="auto"/>
            <w:jc w:val="center"/>
            <w:rPr>
              <w:rFonts w:ascii="Times New Roman" w:hAnsi="Times New Roman" w:cs="Times New Roman"/>
              <w:sz w:val="24"/>
              <w:szCs w:val="24"/>
            </w:rPr>
          </w:pPr>
          <w:bookmarkStart w:id="40" w:name="_Toc186239409"/>
          <w:r w:rsidRPr="00E9159C">
            <w:rPr>
              <w:rFonts w:ascii="Times New Roman" w:hAnsi="Times New Roman" w:cs="Times New Roman"/>
              <w:sz w:val="24"/>
              <w:szCs w:val="24"/>
            </w:rPr>
            <w:t xml:space="preserve">Figure </w:t>
          </w:r>
          <w:r w:rsidRPr="00E9159C">
            <w:rPr>
              <w:rFonts w:ascii="Times New Roman" w:hAnsi="Times New Roman" w:cs="Times New Roman"/>
              <w:sz w:val="24"/>
              <w:szCs w:val="24"/>
            </w:rPr>
            <w:fldChar w:fldCharType="begin"/>
          </w:r>
          <w:r w:rsidRPr="00E9159C">
            <w:rPr>
              <w:rFonts w:ascii="Times New Roman" w:hAnsi="Times New Roman" w:cs="Times New Roman"/>
              <w:sz w:val="24"/>
              <w:szCs w:val="24"/>
            </w:rPr>
            <w:instrText xml:space="preserve"> SEQ Figure \* ARABIC </w:instrText>
          </w:r>
          <w:r w:rsidRPr="00E9159C">
            <w:rPr>
              <w:rFonts w:ascii="Times New Roman" w:hAnsi="Times New Roman" w:cs="Times New Roman"/>
              <w:sz w:val="24"/>
              <w:szCs w:val="24"/>
            </w:rPr>
            <w:fldChar w:fldCharType="separate"/>
          </w:r>
          <w:r w:rsidR="006F27C1">
            <w:rPr>
              <w:rFonts w:ascii="Times New Roman" w:hAnsi="Times New Roman" w:cs="Times New Roman"/>
              <w:noProof/>
              <w:sz w:val="24"/>
              <w:szCs w:val="24"/>
            </w:rPr>
            <w:t>18</w:t>
          </w:r>
          <w:r w:rsidRPr="00E9159C">
            <w:rPr>
              <w:rFonts w:ascii="Times New Roman" w:hAnsi="Times New Roman" w:cs="Times New Roman"/>
              <w:sz w:val="24"/>
              <w:szCs w:val="24"/>
            </w:rPr>
            <w:fldChar w:fldCharType="end"/>
          </w:r>
          <w:r w:rsidRPr="00E9159C">
            <w:rPr>
              <w:rFonts w:ascii="Times New Roman" w:hAnsi="Times New Roman" w:cs="Times New Roman"/>
              <w:sz w:val="24"/>
              <w:szCs w:val="24"/>
            </w:rPr>
            <w:t xml:space="preserve"> Dividend Yield Ratio</w:t>
          </w:r>
          <w:bookmarkEnd w:id="40"/>
        </w:p>
        <w:p w14:paraId="66B71F91" w14:textId="77777777" w:rsidR="00E9159C" w:rsidRDefault="00E9159C" w:rsidP="00E9159C">
          <w:pPr>
            <w:spacing w:line="360" w:lineRule="auto"/>
            <w:jc w:val="center"/>
            <w:rPr>
              <w:rFonts w:ascii="Times New Roman" w:hAnsi="Times New Roman" w:cs="Times New Roman"/>
              <w:sz w:val="24"/>
              <w:szCs w:val="24"/>
            </w:rPr>
          </w:pPr>
          <w:r w:rsidRPr="007867D1">
            <w:rPr>
              <w:rFonts w:ascii="Times New Roman" w:hAnsi="Times New Roman" w:cs="Times New Roman"/>
              <w:sz w:val="24"/>
              <w:szCs w:val="24"/>
            </w:rPr>
            <w:t>(Source: Self-Created)</w:t>
          </w:r>
        </w:p>
        <w:p w14:paraId="1A42FC88" w14:textId="77777777" w:rsidR="00E9159C" w:rsidRDefault="00E9159C" w:rsidP="00E9159C">
          <w:pPr>
            <w:spacing w:line="360" w:lineRule="auto"/>
            <w:rPr>
              <w:rFonts w:ascii="Times New Roman" w:hAnsi="Times New Roman" w:cs="Times New Roman"/>
              <w:b/>
              <w:bCs/>
              <w:color w:val="000000" w:themeColor="text1"/>
              <w:sz w:val="24"/>
              <w:szCs w:val="24"/>
            </w:rPr>
          </w:pPr>
          <w:r w:rsidRPr="007867D1">
            <w:rPr>
              <w:rFonts w:ascii="Times New Roman" w:hAnsi="Times New Roman" w:cs="Times New Roman"/>
              <w:b/>
              <w:bCs/>
              <w:color w:val="000000" w:themeColor="text1"/>
              <w:sz w:val="24"/>
              <w:szCs w:val="24"/>
            </w:rPr>
            <w:t>Interpretations</w:t>
          </w:r>
        </w:p>
        <w:p w14:paraId="4B892D6C" w14:textId="0E1DA479" w:rsidR="002118AD" w:rsidRPr="00C94D9F"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Dividend yield determines the return generated by Tesco for the shareholders about the market value of the share price has declined from 3.87% to 3.18% regardless of a higher dividend per share in relation to the higher market value of share price</w:t>
          </w:r>
          <w:r w:rsidR="00C94D9F">
            <w:rPr>
              <w:rFonts w:ascii="Times New Roman" w:hAnsi="Times New Roman" w:cs="Times New Roman"/>
              <w:sz w:val="24"/>
              <w:szCs w:val="24"/>
            </w:rPr>
            <w:t xml:space="preserve"> </w:t>
          </w:r>
          <w:r w:rsidR="00C94D9F" w:rsidRPr="00C94D9F">
            <w:rPr>
              <w:rFonts w:ascii="Times New Roman" w:hAnsi="Times New Roman" w:cs="Times New Roman"/>
              <w:sz w:val="24"/>
              <w:szCs w:val="24"/>
              <w:lang w:val="en-IN"/>
            </w:rPr>
            <w:t xml:space="preserve">(Yu </w:t>
          </w:r>
          <w:r w:rsidR="00C94D9F" w:rsidRPr="00C94D9F">
            <w:rPr>
              <w:rFonts w:ascii="Times New Roman" w:hAnsi="Times New Roman" w:cs="Times New Roman"/>
              <w:i/>
              <w:iCs/>
              <w:sz w:val="24"/>
              <w:szCs w:val="24"/>
              <w:lang w:val="en-IN"/>
            </w:rPr>
            <w:t>et al.</w:t>
          </w:r>
          <w:r w:rsidR="00C94D9F" w:rsidRPr="00C94D9F">
            <w:rPr>
              <w:rFonts w:ascii="Times New Roman" w:hAnsi="Times New Roman" w:cs="Times New Roman"/>
              <w:sz w:val="24"/>
              <w:szCs w:val="24"/>
              <w:lang w:val="en-IN"/>
            </w:rPr>
            <w:t>, 2023</w:t>
          </w:r>
          <w:r w:rsidR="00C94D9F">
            <w:rPr>
              <w:rFonts w:ascii="Times New Roman" w:hAnsi="Times New Roman" w:cs="Times New Roman"/>
              <w:sz w:val="24"/>
              <w:szCs w:val="24"/>
            </w:rPr>
            <w:t>)</w:t>
          </w:r>
          <w:r w:rsidRPr="002118AD">
            <w:rPr>
              <w:rFonts w:ascii="Times New Roman" w:hAnsi="Times New Roman" w:cs="Times New Roman"/>
              <w:sz w:val="24"/>
              <w:szCs w:val="24"/>
            </w:rPr>
            <w:t>. Indicating declining confidence of investors over Tesco due to slide changes in the dividend yield over the period while still offering higher returns for its shareholders</w:t>
          </w:r>
          <w:r w:rsidR="00762C3E">
            <w:rPr>
              <w:rFonts w:ascii="Times New Roman" w:hAnsi="Times New Roman" w:cs="Times New Roman"/>
              <w:sz w:val="24"/>
              <w:szCs w:val="24"/>
            </w:rPr>
            <w:t xml:space="preserve"> (</w:t>
          </w:r>
          <w:r w:rsidR="00762C3E" w:rsidRPr="00762C3E">
            <w:rPr>
              <w:rFonts w:ascii="Times New Roman" w:hAnsi="Times New Roman" w:cs="Times New Roman"/>
              <w:i/>
              <w:iCs/>
              <w:sz w:val="24"/>
              <w:szCs w:val="24"/>
              <w:lang w:val="en-IN"/>
            </w:rPr>
            <w:t>Tesco’s Market Performance</w:t>
          </w:r>
          <w:r w:rsidR="00762C3E" w:rsidRPr="00762C3E">
            <w:rPr>
              <w:rFonts w:ascii="Times New Roman" w:hAnsi="Times New Roman" w:cs="Times New Roman"/>
              <w:sz w:val="24"/>
              <w:szCs w:val="24"/>
              <w:lang w:val="en-IN"/>
            </w:rPr>
            <w:t>, no date</w:t>
          </w:r>
          <w:r w:rsidR="00762C3E">
            <w:rPr>
              <w:rFonts w:ascii="Times New Roman" w:hAnsi="Times New Roman" w:cs="Times New Roman"/>
              <w:sz w:val="24"/>
              <w:szCs w:val="24"/>
            </w:rPr>
            <w:t>)</w:t>
          </w:r>
          <w:r w:rsidRPr="002118AD">
            <w:rPr>
              <w:rFonts w:ascii="Times New Roman" w:hAnsi="Times New Roman" w:cs="Times New Roman"/>
              <w:sz w:val="24"/>
              <w:szCs w:val="24"/>
            </w:rPr>
            <w:t>.</w:t>
          </w:r>
        </w:p>
        <w:p w14:paraId="638C5ADF" w14:textId="0E266E53" w:rsidR="00CF0E48" w:rsidRDefault="00E9159C" w:rsidP="00E9159C">
          <w:pPr>
            <w:pStyle w:val="Heading2"/>
            <w:rPr>
              <w:rFonts w:ascii="Times New Roman" w:hAnsi="Times New Roman" w:cs="Times New Roman"/>
              <w:color w:val="000000" w:themeColor="text1"/>
              <w:sz w:val="24"/>
              <w:szCs w:val="24"/>
              <w:u w:val="single"/>
            </w:rPr>
          </w:pPr>
          <w:bookmarkStart w:id="41" w:name="_Toc186239346"/>
          <w:r w:rsidRPr="00E9159C">
            <w:rPr>
              <w:rFonts w:ascii="Times New Roman" w:hAnsi="Times New Roman" w:cs="Times New Roman"/>
              <w:color w:val="000000" w:themeColor="text1"/>
              <w:sz w:val="24"/>
              <w:szCs w:val="24"/>
              <w:u w:val="single"/>
            </w:rPr>
            <w:t>Ratio Analysis Limitations</w:t>
          </w:r>
          <w:bookmarkEnd w:id="41"/>
        </w:p>
        <w:p w14:paraId="0EF5F8BB" w14:textId="7C2E82B4" w:rsidR="00C94D9F"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There are several limitations of trend analysis or ratio analysis which is also known as historical financial performance analysis of financial statements such as income statement</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balance sheet</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and cash flow statement of the company. </w:t>
          </w:r>
        </w:p>
        <w:p w14:paraId="2E83AC43" w14:textId="2566B9BA" w:rsidR="002118AD" w:rsidRPr="00C94D9F"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 xml:space="preserve">Firstly, the limitation of ratio or trend analysis is outdated information impacting overall results as data used for calculating ratios based on the financial statements which could impact the decisions of financial managers on the basis of ratio </w:t>
          </w:r>
          <w:r w:rsidR="007746A9">
            <w:rPr>
              <w:rFonts w:ascii="Times New Roman" w:hAnsi="Times New Roman" w:cs="Times New Roman"/>
              <w:sz w:val="24"/>
              <w:szCs w:val="24"/>
            </w:rPr>
            <w:t xml:space="preserve">or </w:t>
          </w:r>
          <w:r w:rsidRPr="002118AD">
            <w:rPr>
              <w:rFonts w:ascii="Times New Roman" w:hAnsi="Times New Roman" w:cs="Times New Roman"/>
              <w:sz w:val="24"/>
              <w:szCs w:val="24"/>
            </w:rPr>
            <w:t>trend analysis</w:t>
          </w:r>
          <w:r w:rsidR="00C94D9F">
            <w:rPr>
              <w:rFonts w:ascii="Times New Roman" w:hAnsi="Times New Roman" w:cs="Times New Roman"/>
              <w:sz w:val="24"/>
              <w:szCs w:val="24"/>
            </w:rPr>
            <w:t xml:space="preserve"> (</w:t>
          </w:r>
          <w:proofErr w:type="spellStart"/>
          <w:r w:rsidR="00C94D9F" w:rsidRPr="00C94D9F">
            <w:rPr>
              <w:rFonts w:ascii="Times New Roman" w:hAnsi="Times New Roman" w:cs="Times New Roman"/>
              <w:sz w:val="24"/>
              <w:szCs w:val="24"/>
              <w:lang w:val="en-IN"/>
            </w:rPr>
            <w:t>Villez</w:t>
          </w:r>
          <w:proofErr w:type="spellEnd"/>
          <w:r w:rsidR="00C94D9F" w:rsidRPr="00C94D9F">
            <w:rPr>
              <w:rFonts w:ascii="Times New Roman" w:hAnsi="Times New Roman" w:cs="Times New Roman"/>
              <w:sz w:val="24"/>
              <w:szCs w:val="24"/>
              <w:lang w:val="en-IN"/>
            </w:rPr>
            <w:t>, 2014</w:t>
          </w:r>
          <w:r w:rsidR="00C94D9F">
            <w:rPr>
              <w:rFonts w:ascii="Times New Roman" w:hAnsi="Times New Roman" w:cs="Times New Roman"/>
              <w:sz w:val="24"/>
              <w:szCs w:val="24"/>
            </w:rPr>
            <w:t>)</w:t>
          </w:r>
          <w:r w:rsidRPr="002118AD">
            <w:rPr>
              <w:rFonts w:ascii="Times New Roman" w:hAnsi="Times New Roman" w:cs="Times New Roman"/>
              <w:sz w:val="24"/>
              <w:szCs w:val="24"/>
            </w:rPr>
            <w:t xml:space="preserve">. Historical data such as financial statements do not reflect overall market condition which disregards ratio analysis by just relying on the financial statement </w:t>
          </w:r>
          <w:r w:rsidR="007746A9">
            <w:rPr>
              <w:rFonts w:ascii="Times New Roman" w:hAnsi="Times New Roman" w:cs="Times New Roman"/>
              <w:sz w:val="24"/>
              <w:szCs w:val="24"/>
            </w:rPr>
            <w:t xml:space="preserve">which </w:t>
          </w:r>
          <w:r w:rsidRPr="002118AD">
            <w:rPr>
              <w:rFonts w:ascii="Times New Roman" w:hAnsi="Times New Roman" w:cs="Times New Roman"/>
              <w:sz w:val="24"/>
              <w:szCs w:val="24"/>
            </w:rPr>
            <w:t>gives outdated or no real-time analysis of the financial performance of the company</w:t>
          </w:r>
          <w:r w:rsidR="007746A9">
            <w:rPr>
              <w:rFonts w:ascii="Times New Roman" w:hAnsi="Times New Roman" w:cs="Times New Roman"/>
              <w:sz w:val="24"/>
              <w:szCs w:val="24"/>
            </w:rPr>
            <w:t xml:space="preserve">. </w:t>
          </w:r>
          <w:r w:rsidRPr="002118AD">
            <w:rPr>
              <w:rFonts w:ascii="Times New Roman" w:hAnsi="Times New Roman" w:cs="Times New Roman"/>
              <w:sz w:val="24"/>
              <w:szCs w:val="24"/>
            </w:rPr>
            <w:t xml:space="preserve">Moreover, annual reports </w:t>
          </w:r>
          <w:r w:rsidR="007746A9">
            <w:rPr>
              <w:rFonts w:ascii="Times New Roman" w:hAnsi="Times New Roman" w:cs="Times New Roman"/>
              <w:sz w:val="24"/>
              <w:szCs w:val="24"/>
            </w:rPr>
            <w:t xml:space="preserve">or </w:t>
          </w:r>
          <w:r w:rsidRPr="002118AD">
            <w:rPr>
              <w:rFonts w:ascii="Times New Roman" w:hAnsi="Times New Roman" w:cs="Times New Roman"/>
              <w:sz w:val="24"/>
              <w:szCs w:val="24"/>
            </w:rPr>
            <w:t xml:space="preserve">financial statements do not give detailed financial insights about the company as the ratio is based on just that. </w:t>
          </w:r>
          <w:r w:rsidRPr="002118AD">
            <w:rPr>
              <w:rFonts w:ascii="Times New Roman" w:hAnsi="Times New Roman" w:cs="Times New Roman"/>
              <w:sz w:val="24"/>
              <w:szCs w:val="24"/>
            </w:rPr>
            <w:lastRenderedPageBreak/>
            <w:t xml:space="preserve">Furthermore, ratios do not give insight into issues restricting the potential of strategic decision-making by the top-line management. </w:t>
          </w:r>
        </w:p>
        <w:p w14:paraId="0C74449C" w14:textId="78773920" w:rsidR="002118AD" w:rsidRPr="007746A9"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Further, there is no comparison over different time periods as the external market is dynamic in nature. Also changes in prices could impact the comparison factors such as changes in technology impact the valuation of assets future market dynamics changes in the economic or regulatory business environment affecting the over results. Afterward, amendments in accounting policies resulted in different outcomes creating difficulty in determining trends based on that</w:t>
          </w:r>
          <w:r w:rsidR="007746A9">
            <w:rPr>
              <w:rFonts w:ascii="Times New Roman" w:hAnsi="Times New Roman" w:cs="Times New Roman"/>
              <w:sz w:val="24"/>
              <w:szCs w:val="24"/>
            </w:rPr>
            <w:t xml:space="preserve"> (</w:t>
          </w:r>
          <w:r w:rsidR="007746A9" w:rsidRPr="007746A9">
            <w:rPr>
              <w:rFonts w:ascii="Times New Roman" w:hAnsi="Times New Roman" w:cs="Times New Roman"/>
              <w:sz w:val="24"/>
              <w:szCs w:val="24"/>
              <w:lang w:val="en-IN"/>
            </w:rPr>
            <w:t>Delen, Kuzey and Uyar, 2013</w:t>
          </w:r>
          <w:r w:rsidR="007746A9">
            <w:rPr>
              <w:rFonts w:ascii="Times New Roman" w:hAnsi="Times New Roman" w:cs="Times New Roman"/>
              <w:sz w:val="24"/>
              <w:szCs w:val="24"/>
            </w:rPr>
            <w:t>)</w:t>
          </w:r>
          <w:r w:rsidRPr="002118AD">
            <w:rPr>
              <w:rFonts w:ascii="Times New Roman" w:hAnsi="Times New Roman" w:cs="Times New Roman"/>
              <w:sz w:val="24"/>
              <w:szCs w:val="24"/>
            </w:rPr>
            <w:t>. Also, inter-firm comparisons result in complications for businesses that operate in different scenarios such as norms of the industry do not evaluate individual f</w:t>
          </w:r>
          <w:r w:rsidR="007746A9">
            <w:rPr>
              <w:rFonts w:ascii="Times New Roman" w:hAnsi="Times New Roman" w:cs="Times New Roman"/>
              <w:sz w:val="24"/>
              <w:szCs w:val="24"/>
            </w:rPr>
            <w:t>i</w:t>
          </w:r>
          <w:r w:rsidRPr="002118AD">
            <w:rPr>
              <w:rFonts w:ascii="Times New Roman" w:hAnsi="Times New Roman" w:cs="Times New Roman"/>
              <w:sz w:val="24"/>
              <w:szCs w:val="24"/>
            </w:rPr>
            <w:t xml:space="preserve">rms' performance also companies have varied operational </w:t>
          </w:r>
          <w:r w:rsidR="007746A9">
            <w:rPr>
              <w:rFonts w:ascii="Times New Roman" w:hAnsi="Times New Roman" w:cs="Times New Roman"/>
              <w:sz w:val="24"/>
              <w:szCs w:val="24"/>
            </w:rPr>
            <w:t xml:space="preserve">and </w:t>
          </w:r>
          <w:r w:rsidRPr="002118AD">
            <w:rPr>
              <w:rFonts w:ascii="Times New Roman" w:hAnsi="Times New Roman" w:cs="Times New Roman"/>
              <w:sz w:val="24"/>
              <w:szCs w:val="24"/>
            </w:rPr>
            <w:t xml:space="preserve">financial </w:t>
          </w:r>
          <w:r w:rsidR="007746A9">
            <w:rPr>
              <w:rFonts w:ascii="Times New Roman" w:hAnsi="Times New Roman" w:cs="Times New Roman"/>
              <w:sz w:val="24"/>
              <w:szCs w:val="24"/>
            </w:rPr>
            <w:t xml:space="preserve">reports </w:t>
          </w:r>
          <w:r w:rsidRPr="002118AD">
            <w:rPr>
              <w:rFonts w:ascii="Times New Roman" w:hAnsi="Times New Roman" w:cs="Times New Roman"/>
              <w:sz w:val="24"/>
              <w:szCs w:val="24"/>
            </w:rPr>
            <w:t>affecting the relevance of benchmarking of companies. Also</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changes in accounting practices among firms create complications for effective comparisons. Also</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changes in the operational scale of business</w:t>
          </w:r>
          <w:r w:rsidR="007746A9">
            <w:rPr>
              <w:rFonts w:ascii="Times New Roman" w:hAnsi="Times New Roman" w:cs="Times New Roman"/>
              <w:sz w:val="24"/>
              <w:szCs w:val="24"/>
            </w:rPr>
            <w:t xml:space="preserve">, </w:t>
          </w:r>
          <w:r w:rsidRPr="002118AD">
            <w:rPr>
              <w:rFonts w:ascii="Times New Roman" w:hAnsi="Times New Roman" w:cs="Times New Roman"/>
              <w:sz w:val="24"/>
              <w:szCs w:val="24"/>
            </w:rPr>
            <w:t>geographic and demographic of customers</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risk patterns</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and everything impact analytical business outcomes. However, ratio analysis is based on assumptions that business will stay stable and it creates vague results because in reality businesses are volatile in nature. Also, ratio and </w:t>
          </w:r>
          <w:r w:rsidR="007746A9">
            <w:rPr>
              <w:rFonts w:ascii="Times New Roman" w:hAnsi="Times New Roman" w:cs="Times New Roman"/>
              <w:sz w:val="24"/>
              <w:szCs w:val="24"/>
            </w:rPr>
            <w:t xml:space="preserve">trend </w:t>
          </w:r>
          <w:r w:rsidRPr="002118AD">
            <w:rPr>
              <w:rFonts w:ascii="Times New Roman" w:hAnsi="Times New Roman" w:cs="Times New Roman"/>
              <w:sz w:val="24"/>
              <w:szCs w:val="24"/>
            </w:rPr>
            <w:t>analysis do not consider qualitative factors as they just rely on quantit</w:t>
          </w:r>
          <w:r w:rsidR="007746A9">
            <w:rPr>
              <w:rFonts w:ascii="Times New Roman" w:hAnsi="Times New Roman" w:cs="Times New Roman"/>
              <w:sz w:val="24"/>
              <w:szCs w:val="24"/>
            </w:rPr>
            <w:t xml:space="preserve">ative </w:t>
          </w:r>
          <w:r w:rsidRPr="002118AD">
            <w:rPr>
              <w:rFonts w:ascii="Times New Roman" w:hAnsi="Times New Roman" w:cs="Times New Roman"/>
              <w:sz w:val="24"/>
              <w:szCs w:val="24"/>
            </w:rPr>
            <w:t xml:space="preserve">factors determining the monetary performance of the company. </w:t>
          </w:r>
        </w:p>
        <w:p w14:paraId="5B54ED01" w14:textId="16175341" w:rsidR="002118AD" w:rsidRP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Trend analysis </w:t>
          </w:r>
          <w:r w:rsidR="007746A9">
            <w:rPr>
              <w:rFonts w:ascii="Times New Roman" w:hAnsi="Times New Roman" w:cs="Times New Roman"/>
              <w:sz w:val="24"/>
              <w:szCs w:val="24"/>
            </w:rPr>
            <w:t xml:space="preserve">and </w:t>
          </w:r>
          <w:r w:rsidRPr="002118AD">
            <w:rPr>
              <w:rFonts w:ascii="Times New Roman" w:hAnsi="Times New Roman" w:cs="Times New Roman"/>
              <w:sz w:val="24"/>
              <w:szCs w:val="24"/>
            </w:rPr>
            <w:t>ratio analysis limitation directly poses challenges for Tesco impacting their financial management performance and hampering their valuable decisions. Updated and summarized information compiled in financial statements in the annual report of the company could impact analysis depth and timeliness affecting the potential of Tesco to make productive decisions based on the dynamics of the market. Also, historical cost accounting affects business valuations resulting in challenges in aligning financial approaches with the existing economic landscape. Ratio analysis is unable to determine the root causes of the problem affecting Tesco’s potential to deal with financial and operational efficiency</w:t>
          </w:r>
          <w:r w:rsidR="007746A9">
            <w:rPr>
              <w:rFonts w:ascii="Times New Roman" w:hAnsi="Times New Roman" w:cs="Times New Roman"/>
              <w:sz w:val="24"/>
              <w:szCs w:val="24"/>
            </w:rPr>
            <w:t xml:space="preserve"> (</w:t>
          </w:r>
          <w:r w:rsidR="007746A9" w:rsidRPr="007746A9">
            <w:rPr>
              <w:rFonts w:ascii="Times New Roman" w:hAnsi="Times New Roman" w:cs="Times New Roman"/>
              <w:sz w:val="24"/>
              <w:szCs w:val="24"/>
              <w:lang w:val="en-IN"/>
            </w:rPr>
            <w:t>Delen, Kuzey and Uyar, 2013</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Also, comparison of time periods is difficult considering changes in the external market such as technology price and regulatory environment resulting in misleading trends related to business performance. It impacts the decision-making potential of Tesco in evaluating benchmarks related to the business in adapting to business strategies. Accordingly, interfirm comparisons seem difficult for Tesco in determining the unique profile of risk sustaining their global presence without comparison with competitors or industry benchmarks. Moreover, changes in accounting policies among Tesco and the </w:t>
          </w:r>
          <w:r w:rsidR="007746A9">
            <w:rPr>
              <w:rFonts w:ascii="Times New Roman" w:hAnsi="Times New Roman" w:cs="Times New Roman"/>
              <w:sz w:val="24"/>
              <w:szCs w:val="24"/>
            </w:rPr>
            <w:t xml:space="preserve">peers </w:t>
          </w:r>
          <w:r w:rsidRPr="002118AD">
            <w:rPr>
              <w:rFonts w:ascii="Times New Roman" w:hAnsi="Times New Roman" w:cs="Times New Roman"/>
              <w:sz w:val="24"/>
              <w:szCs w:val="24"/>
            </w:rPr>
            <w:t xml:space="preserve">decrease the reliability of </w:t>
          </w:r>
          <w:r w:rsidRPr="002118AD">
            <w:rPr>
              <w:rFonts w:ascii="Times New Roman" w:hAnsi="Times New Roman" w:cs="Times New Roman"/>
              <w:sz w:val="24"/>
              <w:szCs w:val="24"/>
            </w:rPr>
            <w:lastRenderedPageBreak/>
            <w:t>comparison creating ineffective decisions. Limitations of ratio analysis focus on Tesco without considering qualitative information about external environment and the factors impacting Tesco’s overall financial performance.</w:t>
          </w:r>
        </w:p>
        <w:p w14:paraId="0BBBF01E" w14:textId="61918679" w:rsidR="00E9159C" w:rsidRDefault="00E9159C" w:rsidP="00E9159C">
          <w:pPr>
            <w:pStyle w:val="Heading2"/>
            <w:rPr>
              <w:rFonts w:ascii="Times New Roman" w:hAnsi="Times New Roman" w:cs="Times New Roman"/>
              <w:color w:val="000000" w:themeColor="text1"/>
              <w:sz w:val="24"/>
              <w:szCs w:val="24"/>
              <w:u w:val="single"/>
            </w:rPr>
          </w:pPr>
          <w:bookmarkStart w:id="42" w:name="_Toc186239347"/>
          <w:r w:rsidRPr="00E9159C">
            <w:rPr>
              <w:rFonts w:ascii="Times New Roman" w:hAnsi="Times New Roman" w:cs="Times New Roman"/>
              <w:color w:val="000000" w:themeColor="text1"/>
              <w:sz w:val="24"/>
              <w:szCs w:val="24"/>
              <w:u w:val="single"/>
            </w:rPr>
            <w:t>Financial management suggestions to Tesco</w:t>
          </w:r>
          <w:bookmarkEnd w:id="42"/>
        </w:p>
        <w:p w14:paraId="66BD1F44" w14:textId="6FDD4628" w:rsidR="002118AD" w:rsidRPr="007746A9"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 xml:space="preserve">It is recommended to the financial management of Tesco based on the ratio analysis or trend analysis results </w:t>
          </w:r>
          <w:r w:rsidR="007746A9">
            <w:rPr>
              <w:rFonts w:ascii="Times New Roman" w:hAnsi="Times New Roman" w:cs="Times New Roman"/>
              <w:sz w:val="24"/>
              <w:szCs w:val="24"/>
            </w:rPr>
            <w:t xml:space="preserve">in </w:t>
          </w:r>
          <w:r w:rsidRPr="002118AD">
            <w:rPr>
              <w:rFonts w:ascii="Times New Roman" w:hAnsi="Times New Roman" w:cs="Times New Roman"/>
              <w:sz w:val="24"/>
              <w:szCs w:val="24"/>
            </w:rPr>
            <w:t>relation to profitability</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liquidity</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gearing</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efficiency and investor performance of Tesco over the period 2023 and 2024 years by deploying artificial intelligence-enabled financial forecast</w:t>
          </w:r>
          <w:r w:rsidR="007746A9">
            <w:rPr>
              <w:rFonts w:ascii="Times New Roman" w:hAnsi="Times New Roman" w:cs="Times New Roman"/>
              <w:sz w:val="24"/>
              <w:szCs w:val="24"/>
            </w:rPr>
            <w:t>ing</w:t>
          </w:r>
          <w:r w:rsidRPr="002118AD">
            <w:rPr>
              <w:rFonts w:ascii="Times New Roman" w:hAnsi="Times New Roman" w:cs="Times New Roman"/>
              <w:sz w:val="24"/>
              <w:szCs w:val="24"/>
            </w:rPr>
            <w:t xml:space="preserve"> software in determining future financial performance of Tesco based on historical information</w:t>
          </w:r>
          <w:r w:rsidR="007746A9">
            <w:rPr>
              <w:rFonts w:ascii="Times New Roman" w:hAnsi="Times New Roman" w:cs="Times New Roman"/>
              <w:sz w:val="24"/>
              <w:szCs w:val="24"/>
            </w:rPr>
            <w:t xml:space="preserve"> (</w:t>
          </w:r>
          <w:proofErr w:type="spellStart"/>
          <w:r w:rsidR="007746A9" w:rsidRPr="007746A9">
            <w:rPr>
              <w:rFonts w:ascii="Times New Roman" w:hAnsi="Times New Roman" w:cs="Times New Roman"/>
              <w:sz w:val="24"/>
              <w:szCs w:val="24"/>
              <w:lang w:val="en-IN"/>
            </w:rPr>
            <w:t>Pattnaik</w:t>
          </w:r>
          <w:proofErr w:type="spellEnd"/>
          <w:r w:rsidR="007746A9" w:rsidRPr="007746A9">
            <w:rPr>
              <w:rFonts w:ascii="Times New Roman" w:hAnsi="Times New Roman" w:cs="Times New Roman"/>
              <w:sz w:val="24"/>
              <w:szCs w:val="24"/>
              <w:lang w:val="en-IN"/>
            </w:rPr>
            <w:t>, Ray and Raman, 2023</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The artificial intelligence-enabled estimation tool is currently used by several tech giants such as Microsoft and IBM. Tesco can use this method in getting real-time </w:t>
          </w:r>
          <w:r w:rsidR="007746A9">
            <w:rPr>
              <w:rFonts w:ascii="Times New Roman" w:hAnsi="Times New Roman" w:cs="Times New Roman"/>
              <w:sz w:val="24"/>
              <w:szCs w:val="24"/>
            </w:rPr>
            <w:t xml:space="preserve">data insights </w:t>
          </w:r>
          <w:r w:rsidRPr="002118AD">
            <w:rPr>
              <w:rFonts w:ascii="Times New Roman" w:hAnsi="Times New Roman" w:cs="Times New Roman"/>
              <w:sz w:val="24"/>
              <w:szCs w:val="24"/>
            </w:rPr>
            <w:t>and market trends along with predictive analytics reports determining issues about cash flow and identifying opportunities over the period</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w:t>
          </w:r>
          <w:r w:rsidR="007746A9">
            <w:rPr>
              <w:rFonts w:ascii="Times New Roman" w:hAnsi="Times New Roman" w:cs="Times New Roman"/>
              <w:sz w:val="24"/>
              <w:szCs w:val="24"/>
            </w:rPr>
            <w:t>An A</w:t>
          </w:r>
          <w:r w:rsidRPr="002118AD">
            <w:rPr>
              <w:rFonts w:ascii="Times New Roman" w:hAnsi="Times New Roman" w:cs="Times New Roman"/>
              <w:sz w:val="24"/>
              <w:szCs w:val="24"/>
            </w:rPr>
            <w:t xml:space="preserve">rtificial intelligence tool utilizes machine learning models for </w:t>
          </w:r>
          <w:r w:rsidR="007746A9">
            <w:rPr>
              <w:rFonts w:ascii="Times New Roman" w:hAnsi="Times New Roman" w:cs="Times New Roman"/>
              <w:sz w:val="24"/>
              <w:szCs w:val="24"/>
            </w:rPr>
            <w:t xml:space="preserve">estimating </w:t>
          </w:r>
          <w:r w:rsidRPr="002118AD">
            <w:rPr>
              <w:rFonts w:ascii="Times New Roman" w:hAnsi="Times New Roman" w:cs="Times New Roman"/>
              <w:sz w:val="24"/>
              <w:szCs w:val="24"/>
            </w:rPr>
            <w:t>future performance of Tesco supporting financial management and taking proactive strateg</w:t>
          </w:r>
          <w:r w:rsidR="007746A9">
            <w:rPr>
              <w:rFonts w:ascii="Times New Roman" w:hAnsi="Times New Roman" w:cs="Times New Roman"/>
              <w:sz w:val="24"/>
              <w:szCs w:val="24"/>
            </w:rPr>
            <w:t>ic</w:t>
          </w:r>
          <w:r w:rsidRPr="002118AD">
            <w:rPr>
              <w:rFonts w:ascii="Times New Roman" w:hAnsi="Times New Roman" w:cs="Times New Roman"/>
              <w:sz w:val="24"/>
              <w:szCs w:val="24"/>
            </w:rPr>
            <w:t xml:space="preserve"> growth ensuring long term growth by optimizing existing performance. </w:t>
          </w:r>
        </w:p>
        <w:p w14:paraId="69192022" w14:textId="38C46B32" w:rsidR="002118AD" w:rsidRPr="00A37815"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 xml:space="preserve">Secondly, </w:t>
          </w:r>
          <w:r w:rsidR="007746A9">
            <w:rPr>
              <w:rFonts w:ascii="Times New Roman" w:hAnsi="Times New Roman" w:cs="Times New Roman"/>
              <w:sz w:val="24"/>
              <w:szCs w:val="24"/>
            </w:rPr>
            <w:t>A</w:t>
          </w:r>
          <w:r w:rsidRPr="002118AD">
            <w:rPr>
              <w:rFonts w:ascii="Times New Roman" w:hAnsi="Times New Roman" w:cs="Times New Roman"/>
              <w:sz w:val="24"/>
              <w:szCs w:val="24"/>
            </w:rPr>
            <w:t>ctivity-based costing analysis is another approach suggested to Tesco in effectively allocating cost considering existing activities resulting in expenses aggregated into different categories of cost</w:t>
          </w:r>
          <w:r w:rsidR="007746A9">
            <w:rPr>
              <w:rFonts w:ascii="Times New Roman" w:hAnsi="Times New Roman" w:cs="Times New Roman"/>
              <w:sz w:val="24"/>
              <w:szCs w:val="24"/>
            </w:rPr>
            <w:t xml:space="preserve"> (</w:t>
          </w:r>
          <w:r w:rsidR="007746A9" w:rsidRPr="007746A9">
            <w:rPr>
              <w:rFonts w:ascii="Times New Roman" w:hAnsi="Times New Roman" w:cs="Times New Roman"/>
              <w:sz w:val="24"/>
              <w:szCs w:val="24"/>
              <w:lang w:val="en-IN"/>
            </w:rPr>
            <w:t>Almeida and Cunha, 2017</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This approach will allow Tesco to determine the visibility of cost in customer service in supply chain management which is different from the traditional cost location approach increasing efficiency of the product. </w:t>
          </w:r>
          <w:r w:rsidR="006562CC" w:rsidRPr="002118AD">
            <w:rPr>
              <w:rFonts w:ascii="Times New Roman" w:hAnsi="Times New Roman" w:cs="Times New Roman"/>
              <w:sz w:val="24"/>
              <w:szCs w:val="24"/>
            </w:rPr>
            <w:t>Also,</w:t>
          </w:r>
          <w:r w:rsidRPr="002118AD">
            <w:rPr>
              <w:rFonts w:ascii="Times New Roman" w:hAnsi="Times New Roman" w:cs="Times New Roman"/>
              <w:sz w:val="24"/>
              <w:szCs w:val="24"/>
            </w:rPr>
            <w:t xml:space="preserve"> Tesco can</w:t>
          </w:r>
          <w:r w:rsidR="006562CC">
            <w:rPr>
              <w:rFonts w:ascii="Times New Roman" w:hAnsi="Times New Roman" w:cs="Times New Roman"/>
              <w:sz w:val="24"/>
              <w:szCs w:val="24"/>
            </w:rPr>
            <w:t xml:space="preserve"> </w:t>
          </w:r>
          <w:r w:rsidRPr="002118AD">
            <w:rPr>
              <w:rFonts w:ascii="Times New Roman" w:hAnsi="Times New Roman" w:cs="Times New Roman"/>
              <w:sz w:val="24"/>
              <w:szCs w:val="24"/>
            </w:rPr>
            <w:t>identify specific activities such as storage</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delivery</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procurement and allocating overhead expenses</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and allocating resources according to these departments will give a complete overview of the cost structure of Tesco products in optimizing workers and negotiating effective terms with the suppliers which will further promote accuracy of allocation of cost among Tesco group taking effective decisions about pricing and profitability and sustaining competitive edge in the market.</w:t>
          </w:r>
        </w:p>
        <w:p w14:paraId="11657221" w14:textId="23547839" w:rsidR="00CF0E48" w:rsidRPr="000479F5" w:rsidRDefault="000479F5" w:rsidP="000479F5">
          <w:pPr>
            <w:pStyle w:val="Heading1"/>
            <w:rPr>
              <w:rFonts w:ascii="Times New Roman" w:hAnsi="Times New Roman" w:cs="Times New Roman"/>
              <w:b/>
              <w:bCs/>
              <w:color w:val="000000" w:themeColor="text1"/>
              <w:sz w:val="28"/>
              <w:szCs w:val="28"/>
            </w:rPr>
          </w:pPr>
          <w:bookmarkStart w:id="43" w:name="_Toc186239348"/>
          <w:r w:rsidRPr="000479F5">
            <w:rPr>
              <w:rFonts w:ascii="Times New Roman" w:hAnsi="Times New Roman" w:cs="Times New Roman"/>
              <w:b/>
              <w:bCs/>
              <w:color w:val="000000" w:themeColor="text1"/>
              <w:sz w:val="28"/>
              <w:szCs w:val="28"/>
            </w:rPr>
            <w:lastRenderedPageBreak/>
            <w:t>PART 2</w:t>
          </w:r>
          <w:bookmarkEnd w:id="43"/>
        </w:p>
        <w:p w14:paraId="7820AD2A" w14:textId="105CFF44" w:rsidR="00480872" w:rsidRPr="004560C3" w:rsidRDefault="00D65E9D" w:rsidP="004560C3">
          <w:pPr>
            <w:pStyle w:val="Heading2"/>
            <w:rPr>
              <w:rFonts w:ascii="Times New Roman" w:hAnsi="Times New Roman" w:cs="Times New Roman"/>
              <w:color w:val="000000" w:themeColor="text1"/>
              <w:sz w:val="24"/>
              <w:szCs w:val="24"/>
              <w:u w:val="single"/>
            </w:rPr>
          </w:pPr>
          <w:bookmarkStart w:id="44" w:name="_Toc186239349"/>
          <w:r w:rsidRPr="004560C3">
            <w:rPr>
              <w:rFonts w:ascii="Times New Roman" w:hAnsi="Times New Roman" w:cs="Times New Roman"/>
              <w:color w:val="000000" w:themeColor="text1"/>
              <w:sz w:val="24"/>
              <w:szCs w:val="24"/>
              <w:u w:val="single"/>
            </w:rPr>
            <w:t>Net present value of Proposal</w:t>
          </w:r>
          <w:bookmarkEnd w:id="44"/>
        </w:p>
        <w:p w14:paraId="6EE145F9" w14:textId="77777777" w:rsidR="00D65E9D" w:rsidRDefault="00D65E9D" w:rsidP="00D65E9D">
          <w:pPr>
            <w:keepNext/>
          </w:pPr>
          <w:r w:rsidRPr="00D65E9D">
            <w:rPr>
              <w:noProof/>
            </w:rPr>
            <w:drawing>
              <wp:inline distT="0" distB="0" distL="0" distR="0" wp14:anchorId="30A86383" wp14:editId="4ACD1AE9">
                <wp:extent cx="5731510" cy="1379855"/>
                <wp:effectExtent l="0" t="0" r="2540" b="0"/>
                <wp:docPr id="3519719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379855"/>
                        </a:xfrm>
                        <a:prstGeom prst="rect">
                          <a:avLst/>
                        </a:prstGeom>
                        <a:noFill/>
                        <a:ln>
                          <a:noFill/>
                        </a:ln>
                      </pic:spPr>
                    </pic:pic>
                  </a:graphicData>
                </a:graphic>
              </wp:inline>
            </w:drawing>
          </w:r>
        </w:p>
        <w:p w14:paraId="2EB15552" w14:textId="5F426877" w:rsidR="00D65E9D" w:rsidRPr="00D65E9D" w:rsidRDefault="00D65E9D" w:rsidP="00D65E9D">
          <w:pPr>
            <w:pStyle w:val="Caption"/>
            <w:jc w:val="center"/>
            <w:rPr>
              <w:rFonts w:ascii="Times New Roman" w:hAnsi="Times New Roman" w:cs="Times New Roman"/>
              <w:i w:val="0"/>
              <w:iCs w:val="0"/>
              <w:color w:val="000000" w:themeColor="text1"/>
              <w:sz w:val="24"/>
              <w:szCs w:val="24"/>
            </w:rPr>
          </w:pPr>
          <w:bookmarkStart w:id="45" w:name="_Toc186239410"/>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19</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i w:val="0"/>
              <w:iCs w:val="0"/>
              <w:color w:val="000000" w:themeColor="text1"/>
              <w:sz w:val="24"/>
              <w:szCs w:val="24"/>
            </w:rPr>
            <w:t xml:space="preserve"> Net Cash flow of Proposal A</w:t>
          </w:r>
          <w:bookmarkEnd w:id="45"/>
        </w:p>
        <w:p w14:paraId="45272549" w14:textId="43FE949F" w:rsidR="00D65E9D" w:rsidRDefault="00D65E9D" w:rsidP="00D65E9D">
          <w:pPr>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12E1B94B" w14:textId="77777777" w:rsidR="00D65E9D" w:rsidRDefault="00D65E9D" w:rsidP="00D65E9D">
          <w:pPr>
            <w:keepNext/>
            <w:jc w:val="center"/>
          </w:pPr>
          <w:r w:rsidRPr="00D65E9D">
            <w:rPr>
              <w:noProof/>
            </w:rPr>
            <w:drawing>
              <wp:inline distT="0" distB="0" distL="0" distR="0" wp14:anchorId="38432D03" wp14:editId="6418D38C">
                <wp:extent cx="5731510" cy="1379855"/>
                <wp:effectExtent l="0" t="0" r="2540" b="0"/>
                <wp:docPr id="19493412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379855"/>
                        </a:xfrm>
                        <a:prstGeom prst="rect">
                          <a:avLst/>
                        </a:prstGeom>
                        <a:noFill/>
                        <a:ln>
                          <a:noFill/>
                        </a:ln>
                      </pic:spPr>
                    </pic:pic>
                  </a:graphicData>
                </a:graphic>
              </wp:inline>
            </w:drawing>
          </w:r>
        </w:p>
        <w:p w14:paraId="289351EA" w14:textId="4879CBB1" w:rsidR="00D65E9D" w:rsidRPr="00D65E9D" w:rsidRDefault="00D65E9D" w:rsidP="00D65E9D">
          <w:pPr>
            <w:jc w:val="center"/>
            <w:rPr>
              <w:rFonts w:ascii="Times New Roman" w:hAnsi="Times New Roman" w:cs="Times New Roman"/>
              <w:color w:val="000000" w:themeColor="text1"/>
              <w:sz w:val="24"/>
              <w:szCs w:val="24"/>
            </w:rPr>
          </w:pPr>
          <w:bookmarkStart w:id="46" w:name="_Toc186239411"/>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20</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color w:val="000000" w:themeColor="text1"/>
              <w:sz w:val="24"/>
              <w:szCs w:val="24"/>
            </w:rPr>
            <w:t xml:space="preserve"> Net Cash flow of Proposal B</w:t>
          </w:r>
          <w:bookmarkEnd w:id="46"/>
        </w:p>
        <w:p w14:paraId="2727402D" w14:textId="77777777" w:rsidR="00D65E9D" w:rsidRDefault="00D65E9D" w:rsidP="00D65E9D">
          <w:pPr>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3CF53CB8" w14:textId="77777777" w:rsidR="00D65E9D" w:rsidRPr="00D65E9D" w:rsidRDefault="00D65E9D" w:rsidP="00D65E9D"/>
        <w:p w14:paraId="4EC3CF37" w14:textId="77777777" w:rsidR="00D65E9D" w:rsidRDefault="00D65E9D" w:rsidP="00D65E9D">
          <w:pPr>
            <w:keepNext/>
          </w:pPr>
          <w:r w:rsidRPr="00D65E9D">
            <w:rPr>
              <w:noProof/>
            </w:rPr>
            <w:drawing>
              <wp:inline distT="0" distB="0" distL="0" distR="0" wp14:anchorId="6DB81E5A" wp14:editId="7F503855">
                <wp:extent cx="5731510" cy="1379855"/>
                <wp:effectExtent l="0" t="0" r="2540" b="0"/>
                <wp:docPr id="10855444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379855"/>
                        </a:xfrm>
                        <a:prstGeom prst="rect">
                          <a:avLst/>
                        </a:prstGeom>
                        <a:noFill/>
                        <a:ln>
                          <a:noFill/>
                        </a:ln>
                      </pic:spPr>
                    </pic:pic>
                  </a:graphicData>
                </a:graphic>
              </wp:inline>
            </w:drawing>
          </w:r>
        </w:p>
        <w:p w14:paraId="6879BE4B" w14:textId="772EBCFA" w:rsidR="00D65E9D" w:rsidRPr="00D65E9D" w:rsidRDefault="00D65E9D" w:rsidP="00D65E9D">
          <w:pPr>
            <w:jc w:val="center"/>
            <w:rPr>
              <w:rFonts w:ascii="Times New Roman" w:hAnsi="Times New Roman" w:cs="Times New Roman"/>
              <w:color w:val="000000" w:themeColor="text1"/>
              <w:sz w:val="24"/>
              <w:szCs w:val="24"/>
            </w:rPr>
          </w:pPr>
          <w:bookmarkStart w:id="47" w:name="_Toc186239412"/>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21</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color w:val="000000" w:themeColor="text1"/>
              <w:sz w:val="24"/>
              <w:szCs w:val="24"/>
            </w:rPr>
            <w:t xml:space="preserve">  Net Cash flow of Proposal C</w:t>
          </w:r>
          <w:bookmarkEnd w:id="47"/>
        </w:p>
        <w:p w14:paraId="638C941E" w14:textId="77777777" w:rsidR="00D65E9D" w:rsidRDefault="00D65E9D" w:rsidP="00D65E9D">
          <w:pPr>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691FA73E" w14:textId="3FC80469" w:rsidR="00490F6B" w:rsidRPr="00490F6B" w:rsidRDefault="00490F6B" w:rsidP="00490F6B">
          <w:pPr>
            <w:pStyle w:val="Heading3"/>
            <w:rPr>
              <w:rFonts w:ascii="Times New Roman" w:hAnsi="Times New Roman" w:cs="Times New Roman"/>
              <w:i/>
              <w:iCs/>
              <w:color w:val="000000" w:themeColor="text1"/>
            </w:rPr>
          </w:pPr>
          <w:bookmarkStart w:id="48" w:name="_Toc186239350"/>
          <w:r w:rsidRPr="00490F6B">
            <w:rPr>
              <w:rFonts w:ascii="Times New Roman" w:hAnsi="Times New Roman" w:cs="Times New Roman"/>
              <w:i/>
              <w:iCs/>
              <w:color w:val="000000" w:themeColor="text1"/>
            </w:rPr>
            <w:lastRenderedPageBreak/>
            <w:t>NPV of Proposal A</w:t>
          </w:r>
          <w:bookmarkEnd w:id="48"/>
        </w:p>
        <w:p w14:paraId="0077FFF6" w14:textId="77777777" w:rsidR="00D65E9D" w:rsidRDefault="00D65E9D" w:rsidP="00D65E9D">
          <w:pPr>
            <w:keepNext/>
          </w:pPr>
          <w:r w:rsidRPr="00D65E9D">
            <w:rPr>
              <w:noProof/>
            </w:rPr>
            <w:drawing>
              <wp:inline distT="0" distB="0" distL="0" distR="0" wp14:anchorId="269649B8" wp14:editId="3400A642">
                <wp:extent cx="5707380" cy="1988820"/>
                <wp:effectExtent l="0" t="0" r="7620" b="0"/>
                <wp:docPr id="15767365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07380" cy="1988820"/>
                        </a:xfrm>
                        <a:prstGeom prst="rect">
                          <a:avLst/>
                        </a:prstGeom>
                        <a:noFill/>
                        <a:ln>
                          <a:noFill/>
                        </a:ln>
                      </pic:spPr>
                    </pic:pic>
                  </a:graphicData>
                </a:graphic>
              </wp:inline>
            </w:drawing>
          </w:r>
        </w:p>
        <w:p w14:paraId="7D98CEDD" w14:textId="1FB42B19" w:rsidR="00D65E9D" w:rsidRPr="00D65E9D" w:rsidRDefault="00D65E9D" w:rsidP="00D65E9D">
          <w:pPr>
            <w:pStyle w:val="Caption"/>
            <w:spacing w:line="360" w:lineRule="auto"/>
            <w:jc w:val="center"/>
            <w:rPr>
              <w:rFonts w:ascii="Times New Roman" w:hAnsi="Times New Roman" w:cs="Times New Roman"/>
              <w:i w:val="0"/>
              <w:iCs w:val="0"/>
              <w:color w:val="000000" w:themeColor="text1"/>
              <w:sz w:val="24"/>
              <w:szCs w:val="24"/>
            </w:rPr>
          </w:pPr>
          <w:bookmarkStart w:id="49" w:name="_Toc186239413"/>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22</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i w:val="0"/>
              <w:iCs w:val="0"/>
              <w:color w:val="000000" w:themeColor="text1"/>
              <w:sz w:val="24"/>
              <w:szCs w:val="24"/>
            </w:rPr>
            <w:t xml:space="preserve"> NPV of Proposal A</w:t>
          </w:r>
          <w:bookmarkEnd w:id="49"/>
        </w:p>
        <w:p w14:paraId="4AE61F16" w14:textId="76D9BAF1" w:rsidR="00D65E9D" w:rsidRDefault="00D65E9D" w:rsidP="00D65E9D">
          <w:pPr>
            <w:spacing w:line="360" w:lineRule="auto"/>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16992D32" w14:textId="13ABD6E8" w:rsidR="00D65E9D" w:rsidRDefault="00D65E9D" w:rsidP="00D65E9D">
          <w:pPr>
            <w:spacing w:line="360" w:lineRule="auto"/>
            <w:rPr>
              <w:rFonts w:ascii="Times New Roman" w:hAnsi="Times New Roman" w:cs="Times New Roman"/>
              <w:b/>
              <w:bCs/>
              <w:color w:val="000000" w:themeColor="text1"/>
              <w:sz w:val="24"/>
              <w:szCs w:val="24"/>
            </w:rPr>
          </w:pPr>
          <w:r w:rsidRPr="00D65E9D">
            <w:rPr>
              <w:rFonts w:ascii="Times New Roman" w:hAnsi="Times New Roman" w:cs="Times New Roman"/>
              <w:b/>
              <w:bCs/>
              <w:color w:val="000000" w:themeColor="text1"/>
              <w:sz w:val="24"/>
              <w:szCs w:val="24"/>
            </w:rPr>
            <w:t>Interpretations</w:t>
          </w:r>
        </w:p>
        <w:p w14:paraId="2A945A1B" w14:textId="712245BE" w:rsid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The net present value method of the first proposal or proposal </w:t>
          </w:r>
          <w:r w:rsidR="007746A9">
            <w:rPr>
              <w:rFonts w:ascii="Times New Roman" w:hAnsi="Times New Roman" w:cs="Times New Roman"/>
              <w:sz w:val="24"/>
              <w:szCs w:val="24"/>
            </w:rPr>
            <w:t xml:space="preserve">A </w:t>
          </w:r>
          <w:r w:rsidRPr="002118AD">
            <w:rPr>
              <w:rFonts w:ascii="Times New Roman" w:hAnsi="Times New Roman" w:cs="Times New Roman"/>
              <w:sz w:val="24"/>
              <w:szCs w:val="24"/>
            </w:rPr>
            <w:t xml:space="preserve">accounts for </w:t>
          </w:r>
          <w:r w:rsidR="006562CC">
            <w:rPr>
              <w:rFonts w:ascii="Times New Roman" w:hAnsi="Times New Roman" w:cs="Times New Roman"/>
              <w:sz w:val="24"/>
              <w:szCs w:val="24"/>
            </w:rPr>
            <w:t>£</w:t>
          </w:r>
          <w:r w:rsidRPr="002118AD">
            <w:rPr>
              <w:rFonts w:ascii="Times New Roman" w:hAnsi="Times New Roman" w:cs="Times New Roman"/>
              <w:sz w:val="24"/>
              <w:szCs w:val="24"/>
            </w:rPr>
            <w:t>514</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is a favourable return out of investment indicating the feasibility of this project generating positive value for Greenacres PLC in the future which is discounted at 6% cost of capital with the initial capital outlay of </w:t>
          </w:r>
          <w:r w:rsidR="006562CC">
            <w:rPr>
              <w:rFonts w:ascii="Times New Roman" w:hAnsi="Times New Roman" w:cs="Times New Roman"/>
              <w:sz w:val="24"/>
              <w:szCs w:val="24"/>
            </w:rPr>
            <w:t>£</w:t>
          </w:r>
          <w:r w:rsidRPr="002118AD">
            <w:rPr>
              <w:rFonts w:ascii="Times New Roman" w:hAnsi="Times New Roman" w:cs="Times New Roman"/>
              <w:sz w:val="24"/>
              <w:szCs w:val="24"/>
            </w:rPr>
            <w:t>660</w:t>
          </w:r>
          <w:r w:rsidR="006562CC">
            <w:rPr>
              <w:rFonts w:ascii="Times New Roman" w:hAnsi="Times New Roman" w:cs="Times New Roman"/>
              <w:sz w:val="24"/>
              <w:szCs w:val="24"/>
            </w:rPr>
            <w:t>,</w:t>
          </w:r>
          <w:r w:rsidRPr="002118AD">
            <w:rPr>
              <w:rFonts w:ascii="Times New Roman" w:hAnsi="Times New Roman" w:cs="Times New Roman"/>
              <w:sz w:val="24"/>
              <w:szCs w:val="24"/>
            </w:rPr>
            <w:t>000. A positive value of the net present value method indicates the future profitability of the project ensuring its financial viability depends on certain parameters</w:t>
          </w:r>
          <w:r w:rsidR="007746A9">
            <w:rPr>
              <w:rFonts w:ascii="Times New Roman" w:hAnsi="Times New Roman" w:cs="Times New Roman"/>
              <w:sz w:val="24"/>
              <w:szCs w:val="24"/>
            </w:rPr>
            <w:t xml:space="preserve"> </w:t>
          </w:r>
          <w:r w:rsidR="007746A9" w:rsidRPr="007746A9">
            <w:rPr>
              <w:rFonts w:ascii="Times New Roman" w:hAnsi="Times New Roman" w:cs="Times New Roman"/>
              <w:sz w:val="24"/>
              <w:szCs w:val="24"/>
              <w:lang w:val="en-IN"/>
            </w:rPr>
            <w:t>(Durham, Bouma and Meunier-Goddik, 2015</w:t>
          </w:r>
          <w:r w:rsidR="007746A9">
            <w:rPr>
              <w:rFonts w:ascii="Times New Roman" w:hAnsi="Times New Roman" w:cs="Times New Roman"/>
              <w:sz w:val="24"/>
              <w:szCs w:val="24"/>
            </w:rPr>
            <w:t>)</w:t>
          </w:r>
          <w:r w:rsidRPr="002118AD">
            <w:rPr>
              <w:rFonts w:ascii="Times New Roman" w:hAnsi="Times New Roman" w:cs="Times New Roman"/>
              <w:sz w:val="24"/>
              <w:szCs w:val="24"/>
            </w:rPr>
            <w:t xml:space="preserve">. Firstly, a discounting rate of 6% is one of the parameters in deciding whether to consider the project or not where the discounting rate indicates future cash flows will get adjusted according to the time value of money concept used by the net present value method if the cost of capital is higher it is difficult for a project and NPV to recover opportunity cost in future investing to generate returns. Moreover, cash flow projections of the proposal start from </w:t>
          </w:r>
          <w:r w:rsidR="006562CC">
            <w:rPr>
              <w:rFonts w:ascii="Times New Roman" w:hAnsi="Times New Roman" w:cs="Times New Roman"/>
              <w:sz w:val="24"/>
              <w:szCs w:val="24"/>
            </w:rPr>
            <w:t>£</w:t>
          </w:r>
          <w:r w:rsidRPr="002118AD">
            <w:rPr>
              <w:rFonts w:ascii="Times New Roman" w:hAnsi="Times New Roman" w:cs="Times New Roman"/>
              <w:sz w:val="24"/>
              <w:szCs w:val="24"/>
            </w:rPr>
            <w:t>250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and reach </w:t>
          </w:r>
          <w:r w:rsidR="006562CC">
            <w:rPr>
              <w:rFonts w:ascii="Times New Roman" w:hAnsi="Times New Roman" w:cs="Times New Roman"/>
              <w:sz w:val="24"/>
              <w:szCs w:val="24"/>
            </w:rPr>
            <w:t>£</w:t>
          </w:r>
          <w:r w:rsidRPr="002118AD">
            <w:rPr>
              <w:rFonts w:ascii="Times New Roman" w:hAnsi="Times New Roman" w:cs="Times New Roman"/>
              <w:sz w:val="24"/>
              <w:szCs w:val="24"/>
            </w:rPr>
            <w:t>408</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 the last year indicating positive cash flows over the period as lower </w:t>
          </w:r>
          <w:r w:rsidR="007746A9">
            <w:rPr>
              <w:rFonts w:ascii="Times New Roman" w:hAnsi="Times New Roman" w:cs="Times New Roman"/>
              <w:sz w:val="24"/>
              <w:szCs w:val="24"/>
            </w:rPr>
            <w:t xml:space="preserve">cashflows </w:t>
          </w:r>
          <w:r w:rsidRPr="002118AD">
            <w:rPr>
              <w:rFonts w:ascii="Times New Roman" w:hAnsi="Times New Roman" w:cs="Times New Roman"/>
              <w:sz w:val="24"/>
              <w:szCs w:val="24"/>
            </w:rPr>
            <w:t>generate lesser net present value method.</w:t>
          </w:r>
        </w:p>
        <w:p w14:paraId="7F220B8A" w14:textId="5A7A64F8" w:rsidR="00490F6B" w:rsidRPr="00E963FF" w:rsidRDefault="00490F6B" w:rsidP="00490F6B">
          <w:pPr>
            <w:pStyle w:val="Heading3"/>
            <w:rPr>
              <w:rFonts w:ascii="Times New Roman" w:hAnsi="Times New Roman" w:cs="Times New Roman"/>
              <w:i/>
              <w:iCs/>
              <w:color w:val="000000" w:themeColor="text1"/>
            </w:rPr>
          </w:pPr>
          <w:bookmarkStart w:id="50" w:name="_Toc186239351"/>
          <w:r w:rsidRPr="00490F6B">
            <w:rPr>
              <w:rFonts w:ascii="Times New Roman" w:hAnsi="Times New Roman" w:cs="Times New Roman"/>
              <w:i/>
              <w:iCs/>
              <w:color w:val="000000" w:themeColor="text1"/>
            </w:rPr>
            <w:lastRenderedPageBreak/>
            <w:t>NPV of Proposal B</w:t>
          </w:r>
          <w:bookmarkEnd w:id="50"/>
        </w:p>
        <w:p w14:paraId="0EAB706D" w14:textId="77777777" w:rsidR="00D65E9D" w:rsidRDefault="00D65E9D" w:rsidP="00D65E9D">
          <w:pPr>
            <w:keepNext/>
            <w:spacing w:line="360" w:lineRule="auto"/>
          </w:pPr>
          <w:r w:rsidRPr="00D65E9D">
            <w:rPr>
              <w:noProof/>
            </w:rPr>
            <w:drawing>
              <wp:inline distT="0" distB="0" distL="0" distR="0" wp14:anchorId="61A7E771" wp14:editId="794B5FC9">
                <wp:extent cx="5707380" cy="1988820"/>
                <wp:effectExtent l="0" t="0" r="7620" b="0"/>
                <wp:docPr id="5527268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07380" cy="1988820"/>
                        </a:xfrm>
                        <a:prstGeom prst="rect">
                          <a:avLst/>
                        </a:prstGeom>
                        <a:noFill/>
                        <a:ln>
                          <a:noFill/>
                        </a:ln>
                      </pic:spPr>
                    </pic:pic>
                  </a:graphicData>
                </a:graphic>
              </wp:inline>
            </w:drawing>
          </w:r>
        </w:p>
        <w:p w14:paraId="7E8855D4" w14:textId="4029B4CB" w:rsidR="00D65E9D" w:rsidRPr="00D65E9D" w:rsidRDefault="00D65E9D" w:rsidP="00D65E9D">
          <w:pPr>
            <w:spacing w:line="360" w:lineRule="auto"/>
            <w:jc w:val="center"/>
            <w:rPr>
              <w:rFonts w:ascii="Times New Roman" w:hAnsi="Times New Roman" w:cs="Times New Roman"/>
              <w:color w:val="000000" w:themeColor="text1"/>
              <w:sz w:val="24"/>
              <w:szCs w:val="24"/>
            </w:rPr>
          </w:pPr>
          <w:bookmarkStart w:id="51" w:name="_Toc186239414"/>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23</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color w:val="000000" w:themeColor="text1"/>
              <w:sz w:val="24"/>
              <w:szCs w:val="24"/>
            </w:rPr>
            <w:t xml:space="preserve"> NPV of Proposal B</w:t>
          </w:r>
          <w:bookmarkEnd w:id="51"/>
        </w:p>
        <w:p w14:paraId="2DC01449" w14:textId="717246EB" w:rsidR="00D65E9D" w:rsidRDefault="00D65E9D" w:rsidP="00516F2D">
          <w:pPr>
            <w:spacing w:line="360" w:lineRule="auto"/>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21EFA9DB" w14:textId="77777777" w:rsidR="00D65E9D" w:rsidRDefault="00D65E9D" w:rsidP="00D65E9D">
          <w:pPr>
            <w:spacing w:line="360" w:lineRule="auto"/>
            <w:rPr>
              <w:rFonts w:ascii="Times New Roman" w:hAnsi="Times New Roman" w:cs="Times New Roman"/>
              <w:b/>
              <w:bCs/>
              <w:color w:val="000000" w:themeColor="text1"/>
              <w:sz w:val="24"/>
              <w:szCs w:val="24"/>
            </w:rPr>
          </w:pPr>
          <w:r w:rsidRPr="00D65E9D">
            <w:rPr>
              <w:rFonts w:ascii="Times New Roman" w:hAnsi="Times New Roman" w:cs="Times New Roman"/>
              <w:b/>
              <w:bCs/>
              <w:color w:val="000000" w:themeColor="text1"/>
              <w:sz w:val="24"/>
              <w:szCs w:val="24"/>
            </w:rPr>
            <w:t>Interpretations</w:t>
          </w:r>
        </w:p>
        <w:p w14:paraId="1BA4E9DF" w14:textId="4285A743" w:rsid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The net present value method of proposal B accounts for </w:t>
          </w:r>
          <w:r w:rsidR="006562CC">
            <w:rPr>
              <w:rFonts w:ascii="Times New Roman" w:hAnsi="Times New Roman" w:cs="Times New Roman"/>
              <w:sz w:val="24"/>
              <w:szCs w:val="24"/>
            </w:rPr>
            <w:t>£</w:t>
          </w:r>
          <w:r w:rsidRPr="002118AD">
            <w:rPr>
              <w:rFonts w:ascii="Times New Roman" w:hAnsi="Times New Roman" w:cs="Times New Roman"/>
              <w:sz w:val="24"/>
              <w:szCs w:val="24"/>
            </w:rPr>
            <w:t>898</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and showcases another significant project generating higher returns consider by Greenacres PLC is a highly profitable project in comparison to proposal </w:t>
          </w:r>
          <w:r w:rsidR="007746A9">
            <w:rPr>
              <w:rFonts w:ascii="Times New Roman" w:hAnsi="Times New Roman" w:cs="Times New Roman"/>
              <w:sz w:val="24"/>
              <w:szCs w:val="24"/>
            </w:rPr>
            <w:t>A</w:t>
          </w:r>
          <w:r w:rsidRPr="002118AD">
            <w:rPr>
              <w:rFonts w:ascii="Times New Roman" w:hAnsi="Times New Roman" w:cs="Times New Roman"/>
              <w:sz w:val="24"/>
              <w:szCs w:val="24"/>
            </w:rPr>
            <w:t xml:space="preserve"> which is discounted on a similar 6% cost of capital</w:t>
          </w:r>
          <w:r w:rsidR="007746A9">
            <w:rPr>
              <w:rFonts w:ascii="Times New Roman" w:hAnsi="Times New Roman" w:cs="Times New Roman"/>
              <w:sz w:val="24"/>
              <w:szCs w:val="24"/>
            </w:rPr>
            <w:t xml:space="preserve">. However, </w:t>
          </w:r>
          <w:r w:rsidRPr="002118AD">
            <w:rPr>
              <w:rFonts w:ascii="Times New Roman" w:hAnsi="Times New Roman" w:cs="Times New Roman"/>
              <w:sz w:val="24"/>
              <w:szCs w:val="24"/>
            </w:rPr>
            <w:t xml:space="preserve">its initial capital account to </w:t>
          </w:r>
          <w:r w:rsidR="006562CC">
            <w:rPr>
              <w:rFonts w:ascii="Times New Roman" w:hAnsi="Times New Roman" w:cs="Times New Roman"/>
              <w:sz w:val="24"/>
              <w:szCs w:val="24"/>
            </w:rPr>
            <w:t>£</w:t>
          </w:r>
          <w:r w:rsidRPr="002118AD">
            <w:rPr>
              <w:rFonts w:ascii="Times New Roman" w:hAnsi="Times New Roman" w:cs="Times New Roman"/>
              <w:sz w:val="24"/>
              <w:szCs w:val="24"/>
            </w:rPr>
            <w:t>1000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 comparison to </w:t>
          </w:r>
          <w:r w:rsidR="006562CC">
            <w:rPr>
              <w:rFonts w:ascii="Times New Roman" w:hAnsi="Times New Roman" w:cs="Times New Roman"/>
              <w:sz w:val="24"/>
              <w:szCs w:val="24"/>
            </w:rPr>
            <w:t>£</w:t>
          </w:r>
          <w:r w:rsidRPr="002118AD">
            <w:rPr>
              <w:rFonts w:ascii="Times New Roman" w:hAnsi="Times New Roman" w:cs="Times New Roman"/>
              <w:sz w:val="24"/>
              <w:szCs w:val="24"/>
            </w:rPr>
            <w:t>660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initial capital of proposal 1. When compared with the cash flow of this proposal it starts at </w:t>
          </w:r>
          <w:r w:rsidR="006562CC">
            <w:rPr>
              <w:rFonts w:ascii="Times New Roman" w:hAnsi="Times New Roman" w:cs="Times New Roman"/>
              <w:sz w:val="24"/>
              <w:szCs w:val="24"/>
            </w:rPr>
            <w:t>£</w:t>
          </w:r>
          <w:r w:rsidRPr="002118AD">
            <w:rPr>
              <w:rFonts w:ascii="Times New Roman" w:hAnsi="Times New Roman" w:cs="Times New Roman"/>
              <w:sz w:val="24"/>
              <w:szCs w:val="24"/>
            </w:rPr>
            <w:t>425</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initially and ended up at </w:t>
          </w:r>
          <w:r w:rsidR="006562CC">
            <w:rPr>
              <w:rFonts w:ascii="Times New Roman" w:hAnsi="Times New Roman" w:cs="Times New Roman"/>
              <w:sz w:val="24"/>
              <w:szCs w:val="24"/>
            </w:rPr>
            <w:t>£</w:t>
          </w:r>
          <w:r w:rsidRPr="002118AD">
            <w:rPr>
              <w:rFonts w:ascii="Times New Roman" w:hAnsi="Times New Roman" w:cs="Times New Roman"/>
              <w:sz w:val="24"/>
              <w:szCs w:val="24"/>
            </w:rPr>
            <w:t>762</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 the last year which is comparatively or proportionality higher than compared to proposal </w:t>
          </w:r>
          <w:r w:rsidR="007746A9">
            <w:rPr>
              <w:rFonts w:ascii="Times New Roman" w:hAnsi="Times New Roman" w:cs="Times New Roman"/>
              <w:sz w:val="24"/>
              <w:szCs w:val="24"/>
            </w:rPr>
            <w:t>A also</w:t>
          </w:r>
          <w:r w:rsidRPr="002118AD">
            <w:rPr>
              <w:rFonts w:ascii="Times New Roman" w:hAnsi="Times New Roman" w:cs="Times New Roman"/>
              <w:sz w:val="24"/>
              <w:szCs w:val="24"/>
            </w:rPr>
            <w:t xml:space="preserve"> portraying higher profitability</w:t>
          </w:r>
          <w:r w:rsidR="007746A9">
            <w:rPr>
              <w:rFonts w:ascii="Times New Roman" w:hAnsi="Times New Roman" w:cs="Times New Roman"/>
              <w:sz w:val="24"/>
              <w:szCs w:val="24"/>
            </w:rPr>
            <w:t xml:space="preserve">. </w:t>
          </w:r>
        </w:p>
        <w:p w14:paraId="4C414748" w14:textId="10BAC7AC" w:rsidR="00490F6B" w:rsidRPr="00490F6B" w:rsidRDefault="00490F6B" w:rsidP="00490F6B">
          <w:pPr>
            <w:pStyle w:val="Heading3"/>
            <w:rPr>
              <w:rFonts w:ascii="Times New Roman" w:hAnsi="Times New Roman" w:cs="Times New Roman"/>
              <w:i/>
              <w:iCs/>
              <w:color w:val="000000" w:themeColor="text1"/>
            </w:rPr>
          </w:pPr>
          <w:bookmarkStart w:id="52" w:name="_Toc186239352"/>
          <w:r w:rsidRPr="00490F6B">
            <w:rPr>
              <w:rFonts w:ascii="Times New Roman" w:hAnsi="Times New Roman" w:cs="Times New Roman"/>
              <w:i/>
              <w:iCs/>
              <w:color w:val="000000" w:themeColor="text1"/>
            </w:rPr>
            <w:t>NPV of Proposal C</w:t>
          </w:r>
          <w:bookmarkEnd w:id="52"/>
        </w:p>
        <w:p w14:paraId="1AC1F7DA" w14:textId="77777777" w:rsidR="00D65E9D" w:rsidRDefault="00D65E9D" w:rsidP="00D65E9D">
          <w:pPr>
            <w:keepNext/>
          </w:pPr>
          <w:r w:rsidRPr="00D65E9D">
            <w:rPr>
              <w:noProof/>
            </w:rPr>
            <w:drawing>
              <wp:inline distT="0" distB="0" distL="0" distR="0" wp14:anchorId="5E0D33D5" wp14:editId="3E27CFDA">
                <wp:extent cx="5707380" cy="1988820"/>
                <wp:effectExtent l="0" t="0" r="7620" b="0"/>
                <wp:docPr id="16905342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07380" cy="1988820"/>
                        </a:xfrm>
                        <a:prstGeom prst="rect">
                          <a:avLst/>
                        </a:prstGeom>
                        <a:noFill/>
                        <a:ln>
                          <a:noFill/>
                        </a:ln>
                      </pic:spPr>
                    </pic:pic>
                  </a:graphicData>
                </a:graphic>
              </wp:inline>
            </w:drawing>
          </w:r>
        </w:p>
        <w:p w14:paraId="42EB002E" w14:textId="5FE5454C" w:rsidR="00D65E9D" w:rsidRPr="00D65E9D" w:rsidRDefault="00D65E9D" w:rsidP="00D65E9D">
          <w:pPr>
            <w:spacing w:line="360" w:lineRule="auto"/>
            <w:jc w:val="center"/>
            <w:rPr>
              <w:rFonts w:ascii="Times New Roman" w:hAnsi="Times New Roman" w:cs="Times New Roman"/>
              <w:color w:val="000000" w:themeColor="text1"/>
              <w:sz w:val="24"/>
              <w:szCs w:val="24"/>
            </w:rPr>
          </w:pPr>
          <w:bookmarkStart w:id="53" w:name="_Toc186239415"/>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24</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color w:val="000000" w:themeColor="text1"/>
              <w:sz w:val="24"/>
              <w:szCs w:val="24"/>
            </w:rPr>
            <w:t xml:space="preserve"> NPV of Proposal C</w:t>
          </w:r>
          <w:bookmarkEnd w:id="53"/>
        </w:p>
        <w:p w14:paraId="43D25290" w14:textId="266D8D9D" w:rsidR="00D65E9D" w:rsidRDefault="00D65E9D" w:rsidP="00C74095">
          <w:pPr>
            <w:spacing w:line="360" w:lineRule="auto"/>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76B63F6B" w14:textId="77777777" w:rsidR="00D65E9D" w:rsidRDefault="00D65E9D" w:rsidP="00D65E9D">
          <w:pPr>
            <w:spacing w:line="360" w:lineRule="auto"/>
            <w:rPr>
              <w:rFonts w:ascii="Times New Roman" w:hAnsi="Times New Roman" w:cs="Times New Roman"/>
              <w:b/>
              <w:bCs/>
              <w:color w:val="000000" w:themeColor="text1"/>
              <w:sz w:val="24"/>
              <w:szCs w:val="24"/>
            </w:rPr>
          </w:pPr>
          <w:r w:rsidRPr="00D65E9D">
            <w:rPr>
              <w:rFonts w:ascii="Times New Roman" w:hAnsi="Times New Roman" w:cs="Times New Roman"/>
              <w:b/>
              <w:bCs/>
              <w:color w:val="000000" w:themeColor="text1"/>
              <w:sz w:val="24"/>
              <w:szCs w:val="24"/>
            </w:rPr>
            <w:t>Interpretations</w:t>
          </w:r>
        </w:p>
        <w:p w14:paraId="617190EE" w14:textId="10623BEA" w:rsidR="002118AD" w:rsidRPr="00E963FF"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lastRenderedPageBreak/>
            <w:t xml:space="preserve">The net present value method of proposal C accounts for </w:t>
          </w:r>
          <w:r w:rsidR="006562CC">
            <w:rPr>
              <w:rFonts w:ascii="Times New Roman" w:hAnsi="Times New Roman" w:cs="Times New Roman"/>
              <w:sz w:val="24"/>
              <w:szCs w:val="24"/>
            </w:rPr>
            <w:t>£</w:t>
          </w:r>
          <w:r w:rsidRPr="002118AD">
            <w:rPr>
              <w:rFonts w:ascii="Times New Roman" w:hAnsi="Times New Roman" w:cs="Times New Roman"/>
              <w:sz w:val="24"/>
              <w:szCs w:val="24"/>
            </w:rPr>
            <w:t>856</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showcasing positive and profitable opportunities </w:t>
          </w:r>
          <w:r w:rsidR="00FC2FBA">
            <w:rPr>
              <w:rFonts w:ascii="Times New Roman" w:hAnsi="Times New Roman" w:cs="Times New Roman"/>
              <w:sz w:val="24"/>
              <w:szCs w:val="24"/>
            </w:rPr>
            <w:t xml:space="preserve">where </w:t>
          </w:r>
          <w:r w:rsidRPr="002118AD">
            <w:rPr>
              <w:rFonts w:ascii="Times New Roman" w:hAnsi="Times New Roman" w:cs="Times New Roman"/>
              <w:sz w:val="24"/>
              <w:szCs w:val="24"/>
            </w:rPr>
            <w:t xml:space="preserve">Greenacres PLC can consider this project and however in comparison with all proposal options. Based on cash flow, it starts from </w:t>
          </w:r>
          <w:r w:rsidR="006562CC">
            <w:rPr>
              <w:rFonts w:ascii="Times New Roman" w:hAnsi="Times New Roman" w:cs="Times New Roman"/>
              <w:sz w:val="24"/>
              <w:szCs w:val="24"/>
            </w:rPr>
            <w:t>£</w:t>
          </w:r>
          <w:r w:rsidRPr="002118AD">
            <w:rPr>
              <w:rFonts w:ascii="Times New Roman" w:hAnsi="Times New Roman" w:cs="Times New Roman"/>
              <w:sz w:val="24"/>
              <w:szCs w:val="24"/>
            </w:rPr>
            <w:t>460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initially and reached </w:t>
          </w:r>
          <w:r w:rsidR="006562CC">
            <w:rPr>
              <w:rFonts w:ascii="Times New Roman" w:hAnsi="Times New Roman" w:cs="Times New Roman"/>
              <w:sz w:val="24"/>
              <w:szCs w:val="24"/>
            </w:rPr>
            <w:t>£</w:t>
          </w:r>
          <w:r w:rsidRPr="002118AD">
            <w:rPr>
              <w:rFonts w:ascii="Times New Roman" w:hAnsi="Times New Roman" w:cs="Times New Roman"/>
              <w:sz w:val="24"/>
              <w:szCs w:val="24"/>
            </w:rPr>
            <w:t>985</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 the last year generating a positive higher NPV compared to proposal </w:t>
          </w:r>
          <w:r w:rsidR="00FC2FBA">
            <w:rPr>
              <w:rFonts w:ascii="Times New Roman" w:hAnsi="Times New Roman" w:cs="Times New Roman"/>
              <w:sz w:val="24"/>
              <w:szCs w:val="24"/>
            </w:rPr>
            <w:t xml:space="preserve">A </w:t>
          </w:r>
          <w:r w:rsidRPr="002118AD">
            <w:rPr>
              <w:rFonts w:ascii="Times New Roman" w:hAnsi="Times New Roman" w:cs="Times New Roman"/>
              <w:sz w:val="24"/>
              <w:szCs w:val="24"/>
            </w:rPr>
            <w:t xml:space="preserve">and a slightly lesser NPV compared to proposal b with an initial capital outlay of </w:t>
          </w:r>
          <w:r w:rsidR="006562CC">
            <w:rPr>
              <w:rFonts w:ascii="Times New Roman" w:hAnsi="Times New Roman" w:cs="Times New Roman"/>
              <w:sz w:val="24"/>
              <w:szCs w:val="24"/>
            </w:rPr>
            <w:t>£</w:t>
          </w:r>
          <w:r w:rsidRPr="002118AD">
            <w:rPr>
              <w:rFonts w:ascii="Times New Roman" w:hAnsi="Times New Roman" w:cs="Times New Roman"/>
              <w:sz w:val="24"/>
              <w:szCs w:val="24"/>
            </w:rPr>
            <w:t>1700</w:t>
          </w:r>
          <w:r w:rsidR="006562CC">
            <w:rPr>
              <w:rFonts w:ascii="Times New Roman" w:hAnsi="Times New Roman" w:cs="Times New Roman"/>
              <w:sz w:val="24"/>
              <w:szCs w:val="24"/>
            </w:rPr>
            <w:t>,</w:t>
          </w:r>
          <w:r w:rsidRPr="002118AD">
            <w:rPr>
              <w:rFonts w:ascii="Times New Roman" w:hAnsi="Times New Roman" w:cs="Times New Roman"/>
              <w:sz w:val="24"/>
              <w:szCs w:val="24"/>
            </w:rPr>
            <w:t>000.</w:t>
          </w:r>
        </w:p>
        <w:p w14:paraId="1221B612" w14:textId="613C6E38" w:rsidR="00E963FF" w:rsidRPr="002118AD" w:rsidRDefault="00E963FF" w:rsidP="002118AD">
          <w:pPr>
            <w:pStyle w:val="Heading3"/>
            <w:rPr>
              <w:rFonts w:ascii="Times New Roman" w:hAnsi="Times New Roman" w:cs="Times New Roman"/>
              <w:i/>
              <w:iCs/>
              <w:color w:val="000000" w:themeColor="text1"/>
              <w:lang w:val="en-IN"/>
            </w:rPr>
          </w:pPr>
          <w:bookmarkStart w:id="54" w:name="_Toc186239353"/>
          <w:r w:rsidRPr="002118AD">
            <w:rPr>
              <w:rFonts w:ascii="Times New Roman" w:hAnsi="Times New Roman" w:cs="Times New Roman"/>
              <w:i/>
              <w:iCs/>
              <w:color w:val="000000" w:themeColor="text1"/>
              <w:lang w:val="en-IN"/>
            </w:rPr>
            <w:t>Suggestion</w:t>
          </w:r>
          <w:bookmarkEnd w:id="54"/>
        </w:p>
        <w:p w14:paraId="12E01DCA" w14:textId="1EE78C19" w:rsidR="002118AD" w:rsidRP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Th</w:t>
          </w:r>
          <w:r w:rsidR="00FC2FBA">
            <w:rPr>
              <w:rFonts w:ascii="Times New Roman" w:hAnsi="Times New Roman" w:cs="Times New Roman"/>
              <w:sz w:val="24"/>
              <w:szCs w:val="24"/>
            </w:rPr>
            <w:t>e</w:t>
          </w:r>
          <w:r w:rsidRPr="002118AD">
            <w:rPr>
              <w:rFonts w:ascii="Times New Roman" w:hAnsi="Times New Roman" w:cs="Times New Roman"/>
              <w:sz w:val="24"/>
              <w:szCs w:val="24"/>
            </w:rPr>
            <w:t xml:space="preserve"> present value method is used in evaluating all three options changing from proposal A proposal B and proposal C determining favourable and financially viable projects for Greenacres PLC that generate higher net present value methods for profitability in the future in proportionate with the initial capital outlay. In comparison to all the three-options proposal </w:t>
          </w:r>
          <w:r w:rsidR="00FC2FBA">
            <w:rPr>
              <w:rFonts w:ascii="Times New Roman" w:hAnsi="Times New Roman" w:cs="Times New Roman"/>
              <w:sz w:val="24"/>
              <w:szCs w:val="24"/>
            </w:rPr>
            <w:t xml:space="preserve">B </w:t>
          </w:r>
          <w:r w:rsidRPr="002118AD">
            <w:rPr>
              <w:rFonts w:ascii="Times New Roman" w:hAnsi="Times New Roman" w:cs="Times New Roman"/>
              <w:sz w:val="24"/>
              <w:szCs w:val="24"/>
            </w:rPr>
            <w:t xml:space="preserve">is recommended to Greenacres PLC which generates a higher net present value method of </w:t>
          </w:r>
          <w:r w:rsidR="006562CC">
            <w:rPr>
              <w:rFonts w:ascii="Times New Roman" w:hAnsi="Times New Roman" w:cs="Times New Roman"/>
              <w:sz w:val="24"/>
              <w:szCs w:val="24"/>
            </w:rPr>
            <w:t>£</w:t>
          </w:r>
          <w:r w:rsidRPr="002118AD">
            <w:rPr>
              <w:rFonts w:ascii="Times New Roman" w:hAnsi="Times New Roman" w:cs="Times New Roman"/>
              <w:sz w:val="24"/>
              <w:szCs w:val="24"/>
            </w:rPr>
            <w:t>898</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which is higher than proposal A, which generates </w:t>
          </w:r>
          <w:r w:rsidR="006562CC">
            <w:rPr>
              <w:rFonts w:ascii="Times New Roman" w:hAnsi="Times New Roman" w:cs="Times New Roman"/>
              <w:sz w:val="24"/>
              <w:szCs w:val="24"/>
            </w:rPr>
            <w:t>£</w:t>
          </w:r>
          <w:r w:rsidRPr="002118AD">
            <w:rPr>
              <w:rFonts w:ascii="Times New Roman" w:hAnsi="Times New Roman" w:cs="Times New Roman"/>
              <w:sz w:val="24"/>
              <w:szCs w:val="24"/>
            </w:rPr>
            <w:t>514</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and proposal C which generates </w:t>
          </w:r>
          <w:r w:rsidR="006562CC">
            <w:rPr>
              <w:rFonts w:ascii="Times New Roman" w:hAnsi="Times New Roman" w:cs="Times New Roman"/>
              <w:sz w:val="24"/>
              <w:szCs w:val="24"/>
            </w:rPr>
            <w:t>£</w:t>
          </w:r>
          <w:r w:rsidRPr="002118AD">
            <w:rPr>
              <w:rFonts w:ascii="Times New Roman" w:hAnsi="Times New Roman" w:cs="Times New Roman"/>
              <w:sz w:val="24"/>
              <w:szCs w:val="24"/>
            </w:rPr>
            <w:t>856</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Greenacres PLC needs to invest </w:t>
          </w:r>
          <w:r w:rsidR="006562CC">
            <w:rPr>
              <w:rFonts w:ascii="Times New Roman" w:hAnsi="Times New Roman" w:cs="Times New Roman"/>
              <w:sz w:val="24"/>
              <w:szCs w:val="24"/>
            </w:rPr>
            <w:t>£</w:t>
          </w:r>
          <w:r w:rsidRPr="002118AD">
            <w:rPr>
              <w:rFonts w:ascii="Times New Roman" w:hAnsi="Times New Roman" w:cs="Times New Roman"/>
              <w:sz w:val="24"/>
              <w:szCs w:val="24"/>
            </w:rPr>
            <w:t>1000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in generating a net present value method of </w:t>
          </w:r>
          <w:r w:rsidR="006562CC">
            <w:rPr>
              <w:rFonts w:ascii="Times New Roman" w:hAnsi="Times New Roman" w:cs="Times New Roman"/>
              <w:sz w:val="24"/>
              <w:szCs w:val="24"/>
            </w:rPr>
            <w:t>£</w:t>
          </w:r>
          <w:r w:rsidRPr="002118AD">
            <w:rPr>
              <w:rFonts w:ascii="Times New Roman" w:hAnsi="Times New Roman" w:cs="Times New Roman"/>
              <w:sz w:val="24"/>
              <w:szCs w:val="24"/>
            </w:rPr>
            <w:t>898</w:t>
          </w:r>
          <w:r w:rsidR="006562CC">
            <w:rPr>
              <w:rFonts w:ascii="Times New Roman" w:hAnsi="Times New Roman" w:cs="Times New Roman"/>
              <w:sz w:val="24"/>
              <w:szCs w:val="24"/>
            </w:rPr>
            <w:t>,</w:t>
          </w:r>
          <w:r w:rsidRPr="002118AD">
            <w:rPr>
              <w:rFonts w:ascii="Times New Roman" w:hAnsi="Times New Roman" w:cs="Times New Roman"/>
              <w:sz w:val="24"/>
              <w:szCs w:val="24"/>
            </w:rPr>
            <w:t>000 over the period of 4 years generating higher profitability in comparison to all these options. Proposal B is about generating digital sales which is the reason it generates higher NPV as digital transformation is booming across the globe and can benefit Greenacres PLC by taking up this project.</w:t>
          </w:r>
        </w:p>
        <w:p w14:paraId="43E33231" w14:textId="687FA2BA" w:rsidR="00D65E9D" w:rsidRDefault="00D65E9D" w:rsidP="004560C3">
          <w:pPr>
            <w:pStyle w:val="Heading2"/>
            <w:rPr>
              <w:rFonts w:ascii="Times New Roman" w:hAnsi="Times New Roman" w:cs="Times New Roman"/>
              <w:color w:val="000000" w:themeColor="text1"/>
              <w:sz w:val="24"/>
              <w:szCs w:val="24"/>
              <w:u w:val="single"/>
            </w:rPr>
          </w:pPr>
          <w:bookmarkStart w:id="55" w:name="_Toc186239354"/>
          <w:r w:rsidRPr="004560C3">
            <w:rPr>
              <w:rFonts w:ascii="Times New Roman" w:hAnsi="Times New Roman" w:cs="Times New Roman"/>
              <w:color w:val="000000" w:themeColor="text1"/>
              <w:sz w:val="24"/>
              <w:szCs w:val="24"/>
              <w:u w:val="single"/>
            </w:rPr>
            <w:t>Internal rate of Return of Proposals</w:t>
          </w:r>
          <w:bookmarkEnd w:id="55"/>
        </w:p>
        <w:p w14:paraId="69660A20" w14:textId="370356D8" w:rsidR="00490F6B" w:rsidRPr="00490F6B" w:rsidRDefault="00490F6B" w:rsidP="00490F6B">
          <w:pPr>
            <w:pStyle w:val="Heading3"/>
            <w:rPr>
              <w:rFonts w:ascii="Times New Roman" w:hAnsi="Times New Roman" w:cs="Times New Roman"/>
              <w:i/>
              <w:iCs/>
              <w:color w:val="000000" w:themeColor="text1"/>
              <w:lang w:val="en-IN"/>
            </w:rPr>
          </w:pPr>
          <w:bookmarkStart w:id="56" w:name="_Toc186239355"/>
          <w:r w:rsidRPr="00490F6B">
            <w:rPr>
              <w:rFonts w:ascii="Times New Roman" w:hAnsi="Times New Roman" w:cs="Times New Roman"/>
              <w:i/>
              <w:iCs/>
              <w:color w:val="000000" w:themeColor="text1"/>
              <w:lang w:val="en-IN"/>
            </w:rPr>
            <w:t>IRR of Proposal A</w:t>
          </w:r>
          <w:bookmarkEnd w:id="56"/>
        </w:p>
        <w:p w14:paraId="6DF8B0F8" w14:textId="77777777" w:rsidR="00D65E9D" w:rsidRDefault="00D65E9D" w:rsidP="00D65E9D">
          <w:pPr>
            <w:keepNext/>
          </w:pPr>
          <w:r w:rsidRPr="00D65E9D">
            <w:rPr>
              <w:noProof/>
            </w:rPr>
            <w:drawing>
              <wp:inline distT="0" distB="0" distL="0" distR="0" wp14:anchorId="6F536DF2" wp14:editId="0CCEE5D8">
                <wp:extent cx="6436594" cy="944880"/>
                <wp:effectExtent l="0" t="0" r="2540" b="7620"/>
                <wp:docPr id="9148451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444716" cy="946072"/>
                        </a:xfrm>
                        <a:prstGeom prst="rect">
                          <a:avLst/>
                        </a:prstGeom>
                        <a:noFill/>
                        <a:ln>
                          <a:noFill/>
                        </a:ln>
                      </pic:spPr>
                    </pic:pic>
                  </a:graphicData>
                </a:graphic>
              </wp:inline>
            </w:drawing>
          </w:r>
        </w:p>
        <w:p w14:paraId="3E7152B4" w14:textId="44AD86DF" w:rsidR="00D65E9D" w:rsidRPr="00D65E9D" w:rsidRDefault="00D65E9D" w:rsidP="00D65E9D">
          <w:pPr>
            <w:pStyle w:val="Caption"/>
            <w:spacing w:line="360" w:lineRule="auto"/>
            <w:jc w:val="center"/>
            <w:rPr>
              <w:rFonts w:ascii="Times New Roman" w:hAnsi="Times New Roman" w:cs="Times New Roman"/>
              <w:i w:val="0"/>
              <w:iCs w:val="0"/>
              <w:color w:val="000000" w:themeColor="text1"/>
              <w:sz w:val="24"/>
              <w:szCs w:val="24"/>
            </w:rPr>
          </w:pPr>
          <w:bookmarkStart w:id="57" w:name="_Toc186239416"/>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25</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i w:val="0"/>
              <w:iCs w:val="0"/>
              <w:color w:val="000000" w:themeColor="text1"/>
              <w:sz w:val="24"/>
              <w:szCs w:val="24"/>
            </w:rPr>
            <w:t xml:space="preserve"> IRR of Proposal A</w:t>
          </w:r>
          <w:bookmarkEnd w:id="57"/>
        </w:p>
        <w:p w14:paraId="4C90F56A" w14:textId="113A4A74" w:rsidR="00D65E9D" w:rsidRDefault="00D65E9D" w:rsidP="00D65E9D">
          <w:pPr>
            <w:spacing w:line="360" w:lineRule="auto"/>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44B82A09" w14:textId="77777777" w:rsidR="00D65E9D" w:rsidRDefault="00D65E9D" w:rsidP="00D65E9D">
          <w:pPr>
            <w:keepNext/>
            <w:spacing w:line="360" w:lineRule="auto"/>
            <w:jc w:val="center"/>
          </w:pPr>
          <w:r w:rsidRPr="00D65E9D">
            <w:rPr>
              <w:noProof/>
            </w:rPr>
            <w:lastRenderedPageBreak/>
            <w:drawing>
              <wp:inline distT="0" distB="0" distL="0" distR="0" wp14:anchorId="4C659E79" wp14:editId="4C21B958">
                <wp:extent cx="5234940" cy="2202180"/>
                <wp:effectExtent l="0" t="0" r="3810" b="7620"/>
                <wp:docPr id="8224124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34940" cy="2202180"/>
                        </a:xfrm>
                        <a:prstGeom prst="rect">
                          <a:avLst/>
                        </a:prstGeom>
                        <a:noFill/>
                        <a:ln>
                          <a:noFill/>
                        </a:ln>
                      </pic:spPr>
                    </pic:pic>
                  </a:graphicData>
                </a:graphic>
              </wp:inline>
            </w:drawing>
          </w:r>
        </w:p>
        <w:p w14:paraId="27118308" w14:textId="6D740763" w:rsidR="00D65E9D" w:rsidRPr="00490F6B" w:rsidRDefault="00D65E9D" w:rsidP="00490F6B">
          <w:pPr>
            <w:spacing w:line="360" w:lineRule="auto"/>
            <w:jc w:val="center"/>
            <w:rPr>
              <w:rFonts w:ascii="Times New Roman" w:hAnsi="Times New Roman" w:cs="Times New Roman"/>
              <w:color w:val="000000" w:themeColor="text1"/>
              <w:sz w:val="24"/>
              <w:szCs w:val="24"/>
            </w:rPr>
          </w:pPr>
          <w:bookmarkStart w:id="58" w:name="_Toc186239417"/>
          <w:r w:rsidRPr="00490F6B">
            <w:rPr>
              <w:rFonts w:ascii="Times New Roman" w:hAnsi="Times New Roman" w:cs="Times New Roman"/>
              <w:color w:val="000000" w:themeColor="text1"/>
              <w:sz w:val="24"/>
              <w:szCs w:val="24"/>
            </w:rPr>
            <w:t xml:space="preserve">Figure </w:t>
          </w:r>
          <w:r w:rsidRPr="00490F6B">
            <w:rPr>
              <w:rFonts w:ascii="Times New Roman" w:hAnsi="Times New Roman" w:cs="Times New Roman"/>
              <w:color w:val="000000" w:themeColor="text1"/>
              <w:sz w:val="24"/>
              <w:szCs w:val="24"/>
            </w:rPr>
            <w:fldChar w:fldCharType="begin"/>
          </w:r>
          <w:r w:rsidRPr="00490F6B">
            <w:rPr>
              <w:rFonts w:ascii="Times New Roman" w:hAnsi="Times New Roman" w:cs="Times New Roman"/>
              <w:color w:val="000000" w:themeColor="text1"/>
              <w:sz w:val="24"/>
              <w:szCs w:val="24"/>
            </w:rPr>
            <w:instrText xml:space="preserve"> SEQ Figure \* ARABIC </w:instrText>
          </w:r>
          <w:r w:rsidRPr="00490F6B">
            <w:rPr>
              <w:rFonts w:ascii="Times New Roman" w:hAnsi="Times New Roman" w:cs="Times New Roman"/>
              <w:color w:val="000000" w:themeColor="text1"/>
              <w:sz w:val="24"/>
              <w:szCs w:val="24"/>
            </w:rPr>
            <w:fldChar w:fldCharType="separate"/>
          </w:r>
          <w:r w:rsidR="006F27C1" w:rsidRPr="00490F6B">
            <w:rPr>
              <w:rFonts w:ascii="Times New Roman" w:hAnsi="Times New Roman" w:cs="Times New Roman"/>
              <w:color w:val="000000" w:themeColor="text1"/>
              <w:sz w:val="24"/>
              <w:szCs w:val="24"/>
            </w:rPr>
            <w:t>26</w:t>
          </w:r>
          <w:r w:rsidRPr="00490F6B">
            <w:rPr>
              <w:rFonts w:ascii="Times New Roman" w:hAnsi="Times New Roman" w:cs="Times New Roman"/>
              <w:color w:val="000000" w:themeColor="text1"/>
              <w:sz w:val="24"/>
              <w:szCs w:val="24"/>
            </w:rPr>
            <w:fldChar w:fldCharType="end"/>
          </w:r>
          <w:r w:rsidRPr="00490F6B">
            <w:rPr>
              <w:rFonts w:ascii="Times New Roman" w:hAnsi="Times New Roman" w:cs="Times New Roman"/>
              <w:color w:val="000000" w:themeColor="text1"/>
              <w:sz w:val="24"/>
              <w:szCs w:val="24"/>
            </w:rPr>
            <w:t xml:space="preserve"> IRR working notes of Proposal A</w:t>
          </w:r>
          <w:bookmarkEnd w:id="58"/>
        </w:p>
        <w:p w14:paraId="285DD508" w14:textId="34157FDC" w:rsidR="00D65E9D" w:rsidRPr="00490F6B" w:rsidRDefault="00D65E9D" w:rsidP="00490F6B">
          <w:pPr>
            <w:spacing w:line="360" w:lineRule="auto"/>
            <w:jc w:val="center"/>
            <w:rPr>
              <w:rFonts w:ascii="Times New Roman" w:hAnsi="Times New Roman" w:cs="Times New Roman"/>
              <w:color w:val="000000" w:themeColor="text1"/>
              <w:sz w:val="24"/>
              <w:szCs w:val="24"/>
            </w:rPr>
          </w:pPr>
          <w:r w:rsidRPr="00490F6B">
            <w:rPr>
              <w:rFonts w:ascii="Times New Roman" w:hAnsi="Times New Roman" w:cs="Times New Roman"/>
              <w:color w:val="000000" w:themeColor="text1"/>
              <w:sz w:val="24"/>
              <w:szCs w:val="24"/>
            </w:rPr>
            <w:t>(Source: Self-Created)</w:t>
          </w:r>
        </w:p>
        <w:p w14:paraId="266662A8" w14:textId="0812E681" w:rsidR="00D65E9D" w:rsidRPr="00490F6B" w:rsidRDefault="00D65E9D" w:rsidP="00D65E9D">
          <w:pPr>
            <w:rPr>
              <w:rFonts w:ascii="Times New Roman" w:hAnsi="Times New Roman" w:cs="Times New Roman"/>
              <w:b/>
              <w:bCs/>
              <w:sz w:val="24"/>
              <w:szCs w:val="24"/>
            </w:rPr>
          </w:pPr>
          <w:r w:rsidRPr="00490F6B">
            <w:rPr>
              <w:rFonts w:ascii="Times New Roman" w:hAnsi="Times New Roman" w:cs="Times New Roman"/>
              <w:b/>
              <w:bCs/>
              <w:sz w:val="24"/>
              <w:szCs w:val="24"/>
            </w:rPr>
            <w:t>Interpretations</w:t>
          </w:r>
        </w:p>
        <w:p w14:paraId="41EB7EE1" w14:textId="1958B2A5" w:rsid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Internal rate of return in another capital budgeting method determines the rate of return determining future profitability by using discounting factor by taking two different rates in determining net present value at different rates in determining future profitability of this project if it is higher than the cost of capital or not as higher or exceeding initial cost of capital considered as profitable investment opportunity for 12.54% which is higher than 6% cost of capital</w:t>
          </w:r>
          <w:r w:rsidR="00FC2FBA">
            <w:rPr>
              <w:rFonts w:ascii="Times New Roman" w:hAnsi="Times New Roman" w:cs="Times New Roman"/>
              <w:sz w:val="24"/>
              <w:szCs w:val="24"/>
            </w:rPr>
            <w:t xml:space="preserve"> </w:t>
          </w:r>
          <w:r w:rsidR="00FC2FBA" w:rsidRPr="00FC2FBA">
            <w:rPr>
              <w:rFonts w:ascii="Times New Roman" w:hAnsi="Times New Roman" w:cs="Times New Roman"/>
              <w:sz w:val="24"/>
              <w:szCs w:val="24"/>
              <w:lang w:val="en-IN"/>
            </w:rPr>
            <w:t>(Mellichamp, 2017</w:t>
          </w:r>
          <w:r w:rsidR="00FC2FBA">
            <w:rPr>
              <w:rFonts w:ascii="Times New Roman" w:hAnsi="Times New Roman" w:cs="Times New Roman"/>
              <w:sz w:val="24"/>
              <w:szCs w:val="24"/>
            </w:rPr>
            <w:t>)</w:t>
          </w:r>
          <w:r w:rsidRPr="002118AD">
            <w:rPr>
              <w:rFonts w:ascii="Times New Roman" w:hAnsi="Times New Roman" w:cs="Times New Roman"/>
              <w:sz w:val="24"/>
              <w:szCs w:val="24"/>
            </w:rPr>
            <w:t>.</w:t>
          </w:r>
        </w:p>
        <w:p w14:paraId="3DA58FE1" w14:textId="6954DA31" w:rsidR="00490F6B" w:rsidRPr="00490F6B" w:rsidRDefault="00490F6B" w:rsidP="00490F6B">
          <w:pPr>
            <w:pStyle w:val="Heading3"/>
            <w:rPr>
              <w:rFonts w:ascii="Times New Roman" w:hAnsi="Times New Roman" w:cs="Times New Roman"/>
              <w:i/>
              <w:iCs/>
              <w:color w:val="000000" w:themeColor="text1"/>
              <w:lang w:val="en-IN"/>
            </w:rPr>
          </w:pPr>
          <w:bookmarkStart w:id="59" w:name="_Toc186239356"/>
          <w:r w:rsidRPr="00490F6B">
            <w:rPr>
              <w:rFonts w:ascii="Times New Roman" w:hAnsi="Times New Roman" w:cs="Times New Roman"/>
              <w:i/>
              <w:iCs/>
              <w:color w:val="000000" w:themeColor="text1"/>
              <w:lang w:val="en-IN"/>
            </w:rPr>
            <w:t>IRR of Proposal B</w:t>
          </w:r>
          <w:bookmarkEnd w:id="59"/>
        </w:p>
        <w:p w14:paraId="19A4C07C" w14:textId="77777777" w:rsidR="00D65E9D" w:rsidRDefault="00D65E9D" w:rsidP="00D65E9D">
          <w:pPr>
            <w:keepNext/>
          </w:pPr>
          <w:r w:rsidRPr="00D65E9D">
            <w:rPr>
              <w:noProof/>
            </w:rPr>
            <w:drawing>
              <wp:inline distT="0" distB="0" distL="0" distR="0" wp14:anchorId="043E814D" wp14:editId="364B8317">
                <wp:extent cx="6488502" cy="952500"/>
                <wp:effectExtent l="0" t="0" r="7620" b="0"/>
                <wp:docPr id="17862467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88998" cy="952573"/>
                        </a:xfrm>
                        <a:prstGeom prst="rect">
                          <a:avLst/>
                        </a:prstGeom>
                        <a:noFill/>
                        <a:ln>
                          <a:noFill/>
                        </a:ln>
                      </pic:spPr>
                    </pic:pic>
                  </a:graphicData>
                </a:graphic>
              </wp:inline>
            </w:drawing>
          </w:r>
        </w:p>
        <w:p w14:paraId="1B7A5A51" w14:textId="7909F440" w:rsidR="00D65E9D" w:rsidRPr="00D65E9D" w:rsidRDefault="00D65E9D" w:rsidP="00D65E9D">
          <w:pPr>
            <w:pStyle w:val="Caption"/>
            <w:jc w:val="center"/>
            <w:rPr>
              <w:rFonts w:ascii="Times New Roman" w:hAnsi="Times New Roman" w:cs="Times New Roman"/>
              <w:i w:val="0"/>
              <w:iCs w:val="0"/>
              <w:color w:val="000000" w:themeColor="text1"/>
              <w:sz w:val="24"/>
              <w:szCs w:val="24"/>
            </w:rPr>
          </w:pPr>
          <w:bookmarkStart w:id="60" w:name="_Toc186239418"/>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27</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i w:val="0"/>
              <w:iCs w:val="0"/>
              <w:color w:val="000000" w:themeColor="text1"/>
              <w:sz w:val="24"/>
              <w:szCs w:val="24"/>
            </w:rPr>
            <w:t xml:space="preserve"> IRR of Proposal B</w:t>
          </w:r>
          <w:bookmarkEnd w:id="60"/>
        </w:p>
        <w:p w14:paraId="4738B59B" w14:textId="460925AA" w:rsidR="00D65E9D" w:rsidRDefault="00D65E9D" w:rsidP="00D65E9D">
          <w:pPr>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5A72A593" w14:textId="77777777" w:rsidR="00D65E9D" w:rsidRDefault="00D65E9D" w:rsidP="00D65E9D">
          <w:pPr>
            <w:keepNext/>
          </w:pPr>
          <w:r w:rsidRPr="00D65E9D">
            <w:rPr>
              <w:noProof/>
            </w:rPr>
            <w:lastRenderedPageBreak/>
            <w:drawing>
              <wp:inline distT="0" distB="0" distL="0" distR="0" wp14:anchorId="31D536A8" wp14:editId="048C6576">
                <wp:extent cx="5234940" cy="2202180"/>
                <wp:effectExtent l="0" t="0" r="3810" b="7620"/>
                <wp:docPr id="2362373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34940" cy="2202180"/>
                        </a:xfrm>
                        <a:prstGeom prst="rect">
                          <a:avLst/>
                        </a:prstGeom>
                        <a:noFill/>
                        <a:ln>
                          <a:noFill/>
                        </a:ln>
                      </pic:spPr>
                    </pic:pic>
                  </a:graphicData>
                </a:graphic>
              </wp:inline>
            </w:drawing>
          </w:r>
        </w:p>
        <w:p w14:paraId="7EECC9C1" w14:textId="4B708EDC" w:rsidR="00D65E9D" w:rsidRPr="00D65E9D" w:rsidRDefault="00D65E9D" w:rsidP="00D65E9D">
          <w:pPr>
            <w:jc w:val="center"/>
            <w:rPr>
              <w:rFonts w:ascii="Times New Roman" w:hAnsi="Times New Roman" w:cs="Times New Roman"/>
              <w:color w:val="000000" w:themeColor="text1"/>
              <w:sz w:val="24"/>
              <w:szCs w:val="24"/>
            </w:rPr>
          </w:pPr>
          <w:bookmarkStart w:id="61" w:name="_Toc186239419"/>
          <w:r w:rsidRPr="00D65E9D">
            <w:rPr>
              <w:rFonts w:ascii="Times New Roman" w:hAnsi="Times New Roman" w:cs="Times New Roman"/>
              <w:color w:val="000000" w:themeColor="text1"/>
              <w:sz w:val="24"/>
              <w:szCs w:val="24"/>
            </w:rPr>
            <w:t xml:space="preserve">Figure </w:t>
          </w:r>
          <w:r w:rsidRPr="00D65E9D">
            <w:rPr>
              <w:rFonts w:ascii="Times New Roman" w:hAnsi="Times New Roman" w:cs="Times New Roman"/>
              <w:color w:val="000000" w:themeColor="text1"/>
              <w:sz w:val="24"/>
              <w:szCs w:val="24"/>
            </w:rPr>
            <w:fldChar w:fldCharType="begin"/>
          </w:r>
          <w:r w:rsidRPr="00D65E9D">
            <w:rPr>
              <w:rFonts w:ascii="Times New Roman" w:hAnsi="Times New Roman" w:cs="Times New Roman"/>
              <w:color w:val="000000" w:themeColor="text1"/>
              <w:sz w:val="24"/>
              <w:szCs w:val="24"/>
            </w:rPr>
            <w:instrText xml:space="preserve"> SEQ Figure \* ARABIC </w:instrText>
          </w:r>
          <w:r w:rsidRPr="00D65E9D">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28</w:t>
          </w:r>
          <w:r w:rsidRPr="00D65E9D">
            <w:rPr>
              <w:rFonts w:ascii="Times New Roman" w:hAnsi="Times New Roman" w:cs="Times New Roman"/>
              <w:color w:val="000000" w:themeColor="text1"/>
              <w:sz w:val="24"/>
              <w:szCs w:val="24"/>
            </w:rPr>
            <w:fldChar w:fldCharType="end"/>
          </w:r>
          <w:r w:rsidRPr="00D65E9D">
            <w:rPr>
              <w:rFonts w:ascii="Times New Roman" w:hAnsi="Times New Roman" w:cs="Times New Roman"/>
              <w:color w:val="000000" w:themeColor="text1"/>
              <w:sz w:val="24"/>
              <w:szCs w:val="24"/>
            </w:rPr>
            <w:t xml:space="preserve"> IRR Working Notes of Proposal B</w:t>
          </w:r>
          <w:bookmarkEnd w:id="61"/>
        </w:p>
        <w:p w14:paraId="0983C7E3" w14:textId="77777777" w:rsidR="00D65E9D" w:rsidRDefault="00D65E9D" w:rsidP="00D65E9D">
          <w:pPr>
            <w:jc w:val="center"/>
            <w:rPr>
              <w:rFonts w:ascii="Times New Roman" w:hAnsi="Times New Roman" w:cs="Times New Roman"/>
              <w:color w:val="000000" w:themeColor="text1"/>
              <w:sz w:val="24"/>
              <w:szCs w:val="24"/>
            </w:rPr>
          </w:pPr>
          <w:r w:rsidRPr="00D65E9D">
            <w:rPr>
              <w:rFonts w:ascii="Times New Roman" w:hAnsi="Times New Roman" w:cs="Times New Roman"/>
              <w:color w:val="000000" w:themeColor="text1"/>
              <w:sz w:val="24"/>
              <w:szCs w:val="24"/>
            </w:rPr>
            <w:t>(Source: Self-Created)</w:t>
          </w:r>
        </w:p>
        <w:p w14:paraId="39AF5728" w14:textId="1F9C2823" w:rsidR="00D65E9D" w:rsidRDefault="00D65E9D" w:rsidP="00D65E9D">
          <w:pPr>
            <w:rPr>
              <w:rFonts w:ascii="Times New Roman" w:hAnsi="Times New Roman" w:cs="Times New Roman"/>
              <w:b/>
              <w:bCs/>
              <w:color w:val="000000" w:themeColor="text1"/>
              <w:sz w:val="24"/>
              <w:szCs w:val="24"/>
            </w:rPr>
          </w:pPr>
          <w:r w:rsidRPr="00D65E9D">
            <w:rPr>
              <w:rFonts w:ascii="Times New Roman" w:hAnsi="Times New Roman" w:cs="Times New Roman"/>
              <w:b/>
              <w:bCs/>
              <w:color w:val="000000" w:themeColor="text1"/>
              <w:sz w:val="24"/>
              <w:szCs w:val="24"/>
            </w:rPr>
            <w:t>Interpretations</w:t>
          </w:r>
        </w:p>
        <w:p w14:paraId="5CBACF4E" w14:textId="6C5484B8" w:rsid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The internal rate of return for proposal B accounts for 11.42% which is higher than the 6% cost of capital of this project however it is less than the initial rate of return of the proposal</w:t>
          </w:r>
          <w:r w:rsidR="00FC2FBA">
            <w:rPr>
              <w:rFonts w:ascii="Times New Roman" w:hAnsi="Times New Roman" w:cs="Times New Roman"/>
              <w:sz w:val="24"/>
              <w:szCs w:val="24"/>
            </w:rPr>
            <w:t xml:space="preserve"> A</w:t>
          </w:r>
          <w:r w:rsidRPr="002118AD">
            <w:rPr>
              <w:rFonts w:ascii="Times New Roman" w:hAnsi="Times New Roman" w:cs="Times New Roman"/>
              <w:sz w:val="24"/>
              <w:szCs w:val="24"/>
            </w:rPr>
            <w:t xml:space="preserve"> which accounts for 12.5% gets higher on a priority list of </w:t>
          </w:r>
          <w:r>
            <w:rPr>
              <w:rFonts w:ascii="Times New Roman" w:hAnsi="Times New Roman" w:cs="Times New Roman"/>
              <w:sz w:val="24"/>
              <w:szCs w:val="24"/>
            </w:rPr>
            <w:t>G</w:t>
          </w:r>
          <w:r w:rsidRPr="002118AD">
            <w:rPr>
              <w:rFonts w:ascii="Times New Roman" w:hAnsi="Times New Roman" w:cs="Times New Roman"/>
              <w:sz w:val="24"/>
              <w:szCs w:val="24"/>
            </w:rPr>
            <w:t xml:space="preserve">reenacres PLC while </w:t>
          </w:r>
          <w:r w:rsidR="00FC2FBA">
            <w:rPr>
              <w:rFonts w:ascii="Times New Roman" w:hAnsi="Times New Roman" w:cs="Times New Roman"/>
              <w:sz w:val="24"/>
              <w:szCs w:val="24"/>
            </w:rPr>
            <w:t xml:space="preserve">project consideration </w:t>
          </w:r>
          <w:r w:rsidRPr="002118AD">
            <w:rPr>
              <w:rFonts w:ascii="Times New Roman" w:hAnsi="Times New Roman" w:cs="Times New Roman"/>
              <w:sz w:val="24"/>
              <w:szCs w:val="24"/>
            </w:rPr>
            <w:t>in terms of IRR with generates profitability in future and which is discounted at second rate of 20% like proposal A.</w:t>
          </w:r>
        </w:p>
        <w:p w14:paraId="739481C2" w14:textId="0CF7B606" w:rsidR="00490F6B" w:rsidRPr="00490F6B" w:rsidRDefault="00490F6B" w:rsidP="00490F6B">
          <w:pPr>
            <w:pStyle w:val="Heading3"/>
            <w:rPr>
              <w:rFonts w:ascii="Times New Roman" w:hAnsi="Times New Roman" w:cs="Times New Roman"/>
              <w:i/>
              <w:iCs/>
              <w:color w:val="000000" w:themeColor="text1"/>
              <w:lang w:val="en-IN"/>
            </w:rPr>
          </w:pPr>
          <w:bookmarkStart w:id="62" w:name="_Toc186239357"/>
          <w:r w:rsidRPr="00490F6B">
            <w:rPr>
              <w:rFonts w:ascii="Times New Roman" w:hAnsi="Times New Roman" w:cs="Times New Roman"/>
              <w:i/>
              <w:iCs/>
              <w:color w:val="000000" w:themeColor="text1"/>
              <w:lang w:val="en-IN"/>
            </w:rPr>
            <w:t>IRR of Proposal C</w:t>
          </w:r>
          <w:bookmarkEnd w:id="62"/>
        </w:p>
        <w:p w14:paraId="6DBC8885" w14:textId="77777777" w:rsidR="00D555D8" w:rsidRDefault="00D555D8" w:rsidP="00D555D8">
          <w:pPr>
            <w:keepNext/>
          </w:pPr>
          <w:r w:rsidRPr="00D555D8">
            <w:rPr>
              <w:noProof/>
            </w:rPr>
            <w:drawing>
              <wp:inline distT="0" distB="0" distL="0" distR="0" wp14:anchorId="5462C641" wp14:editId="4A19F288">
                <wp:extent cx="6488501" cy="952500"/>
                <wp:effectExtent l="0" t="0" r="7620" b="0"/>
                <wp:docPr id="3305253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495109" cy="953470"/>
                        </a:xfrm>
                        <a:prstGeom prst="rect">
                          <a:avLst/>
                        </a:prstGeom>
                        <a:noFill/>
                        <a:ln>
                          <a:noFill/>
                        </a:ln>
                      </pic:spPr>
                    </pic:pic>
                  </a:graphicData>
                </a:graphic>
              </wp:inline>
            </w:drawing>
          </w:r>
        </w:p>
        <w:p w14:paraId="16D521F1" w14:textId="185FD726" w:rsidR="00D65E9D" w:rsidRPr="00D555D8" w:rsidRDefault="00D555D8" w:rsidP="00D555D8">
          <w:pPr>
            <w:pStyle w:val="Caption"/>
            <w:jc w:val="center"/>
            <w:rPr>
              <w:rFonts w:ascii="Times New Roman" w:hAnsi="Times New Roman" w:cs="Times New Roman"/>
              <w:i w:val="0"/>
              <w:iCs w:val="0"/>
              <w:color w:val="000000" w:themeColor="text1"/>
              <w:sz w:val="24"/>
              <w:szCs w:val="24"/>
            </w:rPr>
          </w:pPr>
          <w:bookmarkStart w:id="63" w:name="_Toc186239420"/>
          <w:r w:rsidRPr="00D555D8">
            <w:rPr>
              <w:rFonts w:ascii="Times New Roman" w:hAnsi="Times New Roman" w:cs="Times New Roman"/>
              <w:color w:val="000000" w:themeColor="text1"/>
              <w:sz w:val="24"/>
              <w:szCs w:val="24"/>
            </w:rPr>
            <w:t xml:space="preserve">Figure </w:t>
          </w:r>
          <w:r w:rsidRPr="00D555D8">
            <w:rPr>
              <w:rFonts w:ascii="Times New Roman" w:hAnsi="Times New Roman" w:cs="Times New Roman"/>
              <w:color w:val="000000" w:themeColor="text1"/>
              <w:sz w:val="24"/>
              <w:szCs w:val="24"/>
            </w:rPr>
            <w:fldChar w:fldCharType="begin"/>
          </w:r>
          <w:r w:rsidRPr="00D555D8">
            <w:rPr>
              <w:rFonts w:ascii="Times New Roman" w:hAnsi="Times New Roman" w:cs="Times New Roman"/>
              <w:color w:val="000000" w:themeColor="text1"/>
              <w:sz w:val="24"/>
              <w:szCs w:val="24"/>
            </w:rPr>
            <w:instrText xml:space="preserve"> SEQ Figure \* ARABIC </w:instrText>
          </w:r>
          <w:r w:rsidRPr="00D555D8">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29</w:t>
          </w:r>
          <w:r w:rsidRPr="00D555D8">
            <w:rPr>
              <w:rFonts w:ascii="Times New Roman" w:hAnsi="Times New Roman" w:cs="Times New Roman"/>
              <w:color w:val="000000" w:themeColor="text1"/>
              <w:sz w:val="24"/>
              <w:szCs w:val="24"/>
            </w:rPr>
            <w:fldChar w:fldCharType="end"/>
          </w:r>
          <w:r w:rsidRPr="00D555D8">
            <w:rPr>
              <w:rFonts w:ascii="Times New Roman" w:hAnsi="Times New Roman" w:cs="Times New Roman"/>
              <w:i w:val="0"/>
              <w:iCs w:val="0"/>
              <w:color w:val="000000" w:themeColor="text1"/>
              <w:sz w:val="24"/>
              <w:szCs w:val="24"/>
            </w:rPr>
            <w:t xml:space="preserve"> IRR of Proposal C</w:t>
          </w:r>
          <w:bookmarkEnd w:id="63"/>
        </w:p>
        <w:p w14:paraId="10E5C73B" w14:textId="4B4D183F" w:rsidR="00D555D8" w:rsidRDefault="00D555D8" w:rsidP="00D555D8">
          <w:pPr>
            <w:jc w:val="center"/>
            <w:rPr>
              <w:rFonts w:ascii="Times New Roman" w:hAnsi="Times New Roman" w:cs="Times New Roman"/>
              <w:color w:val="000000" w:themeColor="text1"/>
              <w:sz w:val="24"/>
              <w:szCs w:val="24"/>
            </w:rPr>
          </w:pPr>
          <w:r w:rsidRPr="00D555D8">
            <w:rPr>
              <w:rFonts w:ascii="Times New Roman" w:hAnsi="Times New Roman" w:cs="Times New Roman"/>
              <w:color w:val="000000" w:themeColor="text1"/>
              <w:sz w:val="24"/>
              <w:szCs w:val="24"/>
            </w:rPr>
            <w:t>(Source: Self-Created)</w:t>
          </w:r>
        </w:p>
        <w:p w14:paraId="5C960FE4" w14:textId="77777777" w:rsidR="00D555D8" w:rsidRDefault="00D555D8" w:rsidP="00D555D8">
          <w:pPr>
            <w:keepNext/>
            <w:jc w:val="center"/>
          </w:pPr>
          <w:r w:rsidRPr="00D555D8">
            <w:rPr>
              <w:noProof/>
            </w:rPr>
            <w:lastRenderedPageBreak/>
            <w:drawing>
              <wp:inline distT="0" distB="0" distL="0" distR="0" wp14:anchorId="6F6A08C0" wp14:editId="29976CE6">
                <wp:extent cx="5234940" cy="2202180"/>
                <wp:effectExtent l="0" t="0" r="3810" b="7620"/>
                <wp:docPr id="7064454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34940" cy="2202180"/>
                        </a:xfrm>
                        <a:prstGeom prst="rect">
                          <a:avLst/>
                        </a:prstGeom>
                        <a:noFill/>
                        <a:ln>
                          <a:noFill/>
                        </a:ln>
                      </pic:spPr>
                    </pic:pic>
                  </a:graphicData>
                </a:graphic>
              </wp:inline>
            </w:drawing>
          </w:r>
        </w:p>
        <w:p w14:paraId="369107CF" w14:textId="41B5B1DB" w:rsidR="00D555D8" w:rsidRPr="00D555D8" w:rsidRDefault="00D555D8" w:rsidP="00D555D8">
          <w:pPr>
            <w:jc w:val="center"/>
            <w:rPr>
              <w:rFonts w:ascii="Times New Roman" w:hAnsi="Times New Roman" w:cs="Times New Roman"/>
              <w:color w:val="000000" w:themeColor="text1"/>
              <w:sz w:val="24"/>
              <w:szCs w:val="24"/>
            </w:rPr>
          </w:pPr>
          <w:bookmarkStart w:id="64" w:name="_Toc186239421"/>
          <w:r w:rsidRPr="00D555D8">
            <w:rPr>
              <w:rFonts w:ascii="Times New Roman" w:hAnsi="Times New Roman" w:cs="Times New Roman"/>
              <w:color w:val="000000" w:themeColor="text1"/>
              <w:sz w:val="24"/>
              <w:szCs w:val="24"/>
            </w:rPr>
            <w:t xml:space="preserve">Figure </w:t>
          </w:r>
          <w:r w:rsidRPr="00D555D8">
            <w:rPr>
              <w:rFonts w:ascii="Times New Roman" w:hAnsi="Times New Roman" w:cs="Times New Roman"/>
              <w:color w:val="000000" w:themeColor="text1"/>
              <w:sz w:val="24"/>
              <w:szCs w:val="24"/>
            </w:rPr>
            <w:fldChar w:fldCharType="begin"/>
          </w:r>
          <w:r w:rsidRPr="00D555D8">
            <w:rPr>
              <w:rFonts w:ascii="Times New Roman" w:hAnsi="Times New Roman" w:cs="Times New Roman"/>
              <w:color w:val="000000" w:themeColor="text1"/>
              <w:sz w:val="24"/>
              <w:szCs w:val="24"/>
            </w:rPr>
            <w:instrText xml:space="preserve"> SEQ Figure \* ARABIC </w:instrText>
          </w:r>
          <w:r w:rsidRPr="00D555D8">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30</w:t>
          </w:r>
          <w:r w:rsidRPr="00D555D8">
            <w:rPr>
              <w:rFonts w:ascii="Times New Roman" w:hAnsi="Times New Roman" w:cs="Times New Roman"/>
              <w:color w:val="000000" w:themeColor="text1"/>
              <w:sz w:val="24"/>
              <w:szCs w:val="24"/>
            </w:rPr>
            <w:fldChar w:fldCharType="end"/>
          </w:r>
          <w:r w:rsidRPr="00D555D8">
            <w:rPr>
              <w:rFonts w:ascii="Times New Roman" w:hAnsi="Times New Roman" w:cs="Times New Roman"/>
              <w:color w:val="000000" w:themeColor="text1"/>
              <w:sz w:val="24"/>
              <w:szCs w:val="24"/>
            </w:rPr>
            <w:t xml:space="preserve"> IRR Working Notes Proposal C</w:t>
          </w:r>
          <w:bookmarkEnd w:id="64"/>
        </w:p>
        <w:p w14:paraId="2684B3C9" w14:textId="77777777" w:rsidR="00D555D8" w:rsidRDefault="00D555D8" w:rsidP="00D555D8">
          <w:pPr>
            <w:jc w:val="center"/>
            <w:rPr>
              <w:rFonts w:ascii="Times New Roman" w:hAnsi="Times New Roman" w:cs="Times New Roman"/>
              <w:color w:val="000000" w:themeColor="text1"/>
              <w:sz w:val="24"/>
              <w:szCs w:val="24"/>
            </w:rPr>
          </w:pPr>
          <w:r w:rsidRPr="00D555D8">
            <w:rPr>
              <w:rFonts w:ascii="Times New Roman" w:hAnsi="Times New Roman" w:cs="Times New Roman"/>
              <w:color w:val="000000" w:themeColor="text1"/>
              <w:sz w:val="24"/>
              <w:szCs w:val="24"/>
            </w:rPr>
            <w:t>(Source: Self-Created)</w:t>
          </w:r>
        </w:p>
        <w:p w14:paraId="2C00BCE4" w14:textId="74F05DE4" w:rsidR="00D555D8" w:rsidRDefault="00D555D8" w:rsidP="00D555D8">
          <w:pPr>
            <w:rPr>
              <w:rFonts w:ascii="Times New Roman" w:hAnsi="Times New Roman" w:cs="Times New Roman"/>
              <w:b/>
              <w:bCs/>
              <w:color w:val="000000" w:themeColor="text1"/>
              <w:sz w:val="24"/>
              <w:szCs w:val="24"/>
            </w:rPr>
          </w:pPr>
          <w:r w:rsidRPr="00D555D8">
            <w:rPr>
              <w:rFonts w:ascii="Times New Roman" w:hAnsi="Times New Roman" w:cs="Times New Roman"/>
              <w:b/>
              <w:bCs/>
              <w:color w:val="000000" w:themeColor="text1"/>
              <w:sz w:val="24"/>
              <w:szCs w:val="24"/>
            </w:rPr>
            <w:t>Interpretations</w:t>
          </w:r>
        </w:p>
        <w:p w14:paraId="3603D5BE" w14:textId="5D38FCF4" w:rsidR="002118AD" w:rsidRP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Proposal C generates a higher internal rate of return of 13.35% which is higher than the 6% initial cost of capital of the project and the highest among both proposals such as </w:t>
          </w:r>
          <w:r>
            <w:rPr>
              <w:rFonts w:ascii="Times New Roman" w:hAnsi="Times New Roman" w:cs="Times New Roman"/>
              <w:sz w:val="24"/>
              <w:szCs w:val="24"/>
            </w:rPr>
            <w:t xml:space="preserve">A and B </w:t>
          </w:r>
          <w:r w:rsidRPr="002118AD">
            <w:rPr>
              <w:rFonts w:ascii="Times New Roman" w:hAnsi="Times New Roman" w:cs="Times New Roman"/>
              <w:sz w:val="24"/>
              <w:szCs w:val="24"/>
            </w:rPr>
            <w:t>indicating Greenacres PLC needs to consider this project based on the internal rate of return generating higher profit compared to both the options and feasible for the company.</w:t>
          </w:r>
        </w:p>
        <w:p w14:paraId="203E17B8" w14:textId="49CF7AF3" w:rsidR="004560C3" w:rsidRDefault="004560C3" w:rsidP="004560C3">
          <w:pPr>
            <w:pStyle w:val="Heading2"/>
            <w:rPr>
              <w:rFonts w:ascii="Times New Roman" w:hAnsi="Times New Roman" w:cs="Times New Roman"/>
              <w:color w:val="000000" w:themeColor="text1"/>
              <w:sz w:val="24"/>
              <w:szCs w:val="24"/>
              <w:u w:val="single"/>
            </w:rPr>
          </w:pPr>
          <w:bookmarkStart w:id="65" w:name="_Toc186239358"/>
          <w:r w:rsidRPr="004560C3">
            <w:rPr>
              <w:rFonts w:ascii="Times New Roman" w:hAnsi="Times New Roman" w:cs="Times New Roman"/>
              <w:color w:val="000000" w:themeColor="text1"/>
              <w:sz w:val="24"/>
              <w:szCs w:val="24"/>
              <w:u w:val="single"/>
            </w:rPr>
            <w:t>State Significance of NPV as best Capital Budgeting approach</w:t>
          </w:r>
          <w:bookmarkEnd w:id="65"/>
        </w:p>
        <w:p w14:paraId="4A44F6EB" w14:textId="2DB7339F" w:rsidR="002118AD" w:rsidRPr="00FC2FBA"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The time value of money concept is one of the factors why businesses consider this method as best among other capital budgeting methods in determining the future profitability of a project in the present time considering external factors such as inflation risk and opportunity cost and other methods such as payback period</w:t>
          </w:r>
          <w:r w:rsidR="00FC2FBA">
            <w:rPr>
              <w:rFonts w:ascii="Times New Roman" w:hAnsi="Times New Roman" w:cs="Times New Roman"/>
              <w:sz w:val="24"/>
              <w:szCs w:val="24"/>
            </w:rPr>
            <w:t xml:space="preserve"> and</w:t>
          </w:r>
          <w:r w:rsidRPr="002118AD">
            <w:rPr>
              <w:rFonts w:ascii="Times New Roman" w:hAnsi="Times New Roman" w:cs="Times New Roman"/>
              <w:sz w:val="24"/>
              <w:szCs w:val="24"/>
            </w:rPr>
            <w:t xml:space="preserve"> accounting rate of return does not use discounting factor</w:t>
          </w:r>
          <w:r w:rsidR="00FC2FBA">
            <w:rPr>
              <w:rFonts w:ascii="Times New Roman" w:hAnsi="Times New Roman" w:cs="Times New Roman"/>
              <w:sz w:val="24"/>
              <w:szCs w:val="24"/>
            </w:rPr>
            <w:t xml:space="preserve"> (</w:t>
          </w:r>
          <w:r w:rsidR="00FC2FBA" w:rsidRPr="00FC2FBA">
            <w:rPr>
              <w:rFonts w:ascii="Times New Roman" w:hAnsi="Times New Roman" w:cs="Times New Roman"/>
              <w:sz w:val="24"/>
              <w:szCs w:val="24"/>
              <w:lang w:val="en-IN"/>
            </w:rPr>
            <w:t>Espinoza, 2014</w:t>
          </w:r>
          <w:r w:rsidR="00FC2FBA">
            <w:rPr>
              <w:rFonts w:ascii="Times New Roman" w:hAnsi="Times New Roman" w:cs="Times New Roman"/>
              <w:sz w:val="24"/>
              <w:szCs w:val="24"/>
            </w:rPr>
            <w:t>)</w:t>
          </w:r>
          <w:r w:rsidRPr="002118AD">
            <w:rPr>
              <w:rFonts w:ascii="Times New Roman" w:hAnsi="Times New Roman" w:cs="Times New Roman"/>
              <w:sz w:val="24"/>
              <w:szCs w:val="24"/>
            </w:rPr>
            <w:t xml:space="preserve">. </w:t>
          </w:r>
        </w:p>
        <w:p w14:paraId="1D5B9309" w14:textId="4D37956D" w:rsidR="002118AD" w:rsidRPr="006F27C1"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Moreover, it is an objective decision-making approach that gives clarity to an investor on whether to invest in a project or not based on negative and positive net present value methods indicating profit or loss arises from a project in the future whereas internal rate of return just determines profitability rate with no scenario of future loss. Also, it gives a holistic overview of the cash flow position determining the long-term profitability of a project</w:t>
          </w:r>
          <w:r w:rsidR="00FC2FBA">
            <w:rPr>
              <w:rFonts w:ascii="Times New Roman" w:hAnsi="Times New Roman" w:cs="Times New Roman"/>
              <w:sz w:val="24"/>
              <w:szCs w:val="24"/>
            </w:rPr>
            <w:t xml:space="preserve"> (</w:t>
          </w:r>
          <w:proofErr w:type="spellStart"/>
          <w:r w:rsidR="00FC2FBA" w:rsidRPr="00FC2FBA">
            <w:rPr>
              <w:rFonts w:ascii="Times New Roman" w:hAnsi="Times New Roman" w:cs="Times New Roman"/>
              <w:sz w:val="24"/>
              <w:szCs w:val="24"/>
              <w:lang w:val="en-IN"/>
            </w:rPr>
            <w:t>Žižlavský</w:t>
          </w:r>
          <w:proofErr w:type="spellEnd"/>
          <w:r w:rsidR="00FC2FBA" w:rsidRPr="00FC2FBA">
            <w:rPr>
              <w:rFonts w:ascii="Times New Roman" w:hAnsi="Times New Roman" w:cs="Times New Roman"/>
              <w:sz w:val="24"/>
              <w:szCs w:val="24"/>
              <w:lang w:val="en-IN"/>
            </w:rPr>
            <w:t>, 2014</w:t>
          </w:r>
          <w:r w:rsidR="00FC2FBA">
            <w:rPr>
              <w:rFonts w:ascii="Times New Roman" w:hAnsi="Times New Roman" w:cs="Times New Roman"/>
              <w:sz w:val="24"/>
              <w:szCs w:val="24"/>
            </w:rPr>
            <w:t>)</w:t>
          </w:r>
          <w:r w:rsidRPr="002118AD">
            <w:rPr>
              <w:rFonts w:ascii="Times New Roman" w:hAnsi="Times New Roman" w:cs="Times New Roman"/>
              <w:sz w:val="24"/>
              <w:szCs w:val="24"/>
            </w:rPr>
            <w:t>.</w:t>
          </w:r>
        </w:p>
        <w:p w14:paraId="7297B39C" w14:textId="6D242B79" w:rsidR="004560C3" w:rsidRDefault="004560C3" w:rsidP="004560C3">
          <w:pPr>
            <w:pStyle w:val="Heading2"/>
            <w:rPr>
              <w:rFonts w:ascii="Times New Roman" w:hAnsi="Times New Roman" w:cs="Times New Roman"/>
              <w:color w:val="000000" w:themeColor="text1"/>
              <w:sz w:val="24"/>
              <w:szCs w:val="24"/>
              <w:u w:val="single"/>
            </w:rPr>
          </w:pPr>
          <w:bookmarkStart w:id="66" w:name="_Toc186239359"/>
          <w:r w:rsidRPr="004560C3">
            <w:rPr>
              <w:rFonts w:ascii="Times New Roman" w:hAnsi="Times New Roman" w:cs="Times New Roman"/>
              <w:color w:val="000000" w:themeColor="text1"/>
              <w:sz w:val="24"/>
              <w:szCs w:val="24"/>
              <w:u w:val="single"/>
            </w:rPr>
            <w:t>Explain the importance of non-discounting methods of capital budgeting</w:t>
          </w:r>
          <w:bookmarkEnd w:id="66"/>
        </w:p>
        <w:p w14:paraId="6016EF10" w14:textId="3D619A01" w:rsidR="002118AD" w:rsidRPr="00AE342C"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 xml:space="preserve">Payback period and accounting rate of return </w:t>
          </w:r>
          <w:r w:rsidR="00AE342C">
            <w:rPr>
              <w:rFonts w:ascii="Times New Roman" w:hAnsi="Times New Roman" w:cs="Times New Roman"/>
              <w:sz w:val="24"/>
              <w:szCs w:val="24"/>
            </w:rPr>
            <w:t xml:space="preserve">are </w:t>
          </w:r>
          <w:r w:rsidRPr="002118AD">
            <w:rPr>
              <w:rFonts w:ascii="Times New Roman" w:hAnsi="Times New Roman" w:cs="Times New Roman"/>
              <w:sz w:val="24"/>
              <w:szCs w:val="24"/>
            </w:rPr>
            <w:t>two methods that do not use discounting factors like net present value method</w:t>
          </w:r>
          <w:r w:rsidR="00AE342C">
            <w:rPr>
              <w:rFonts w:ascii="Times New Roman" w:hAnsi="Times New Roman" w:cs="Times New Roman"/>
              <w:sz w:val="24"/>
              <w:szCs w:val="24"/>
            </w:rPr>
            <w:t xml:space="preserve">, </w:t>
          </w:r>
          <w:r w:rsidRPr="002118AD">
            <w:rPr>
              <w:rFonts w:ascii="Times New Roman" w:hAnsi="Times New Roman" w:cs="Times New Roman"/>
              <w:sz w:val="24"/>
              <w:szCs w:val="24"/>
            </w:rPr>
            <w:t xml:space="preserve">profitability index and internal rate of return in evaluating projects determining future profitability. Simplification is a key </w:t>
          </w:r>
          <w:r w:rsidR="00AE342C">
            <w:rPr>
              <w:rFonts w:ascii="Times New Roman" w:hAnsi="Times New Roman" w:cs="Times New Roman"/>
              <w:sz w:val="24"/>
              <w:szCs w:val="24"/>
            </w:rPr>
            <w:t xml:space="preserve">advantage </w:t>
          </w:r>
          <w:r w:rsidRPr="002118AD">
            <w:rPr>
              <w:rFonts w:ascii="Times New Roman" w:hAnsi="Times New Roman" w:cs="Times New Roman"/>
              <w:sz w:val="24"/>
              <w:szCs w:val="24"/>
            </w:rPr>
            <w:t>of payback period method that can be used by all businesses or managers in a business without any technical details as it is easy to use and can form decisions based on that</w:t>
          </w:r>
          <w:r w:rsidR="00AE342C">
            <w:rPr>
              <w:rFonts w:ascii="Times New Roman" w:hAnsi="Times New Roman" w:cs="Times New Roman"/>
              <w:sz w:val="24"/>
              <w:szCs w:val="24"/>
            </w:rPr>
            <w:t xml:space="preserve"> (</w:t>
          </w:r>
          <w:r w:rsidR="00AE342C" w:rsidRPr="00AE342C">
            <w:rPr>
              <w:rFonts w:ascii="Times New Roman" w:hAnsi="Times New Roman" w:cs="Times New Roman"/>
              <w:sz w:val="24"/>
              <w:szCs w:val="24"/>
              <w:lang w:val="en-IN"/>
            </w:rPr>
            <w:t>Siziba and Hall, 2019</w:t>
          </w:r>
          <w:r w:rsidR="00AE342C">
            <w:rPr>
              <w:rFonts w:ascii="Times New Roman" w:hAnsi="Times New Roman" w:cs="Times New Roman"/>
              <w:sz w:val="24"/>
              <w:szCs w:val="24"/>
            </w:rPr>
            <w:t>)</w:t>
          </w:r>
          <w:r w:rsidRPr="002118AD">
            <w:rPr>
              <w:rFonts w:ascii="Times New Roman" w:hAnsi="Times New Roman" w:cs="Times New Roman"/>
              <w:sz w:val="24"/>
              <w:szCs w:val="24"/>
            </w:rPr>
            <w:t xml:space="preserve">. </w:t>
          </w:r>
          <w:r w:rsidRPr="002118AD">
            <w:rPr>
              <w:rFonts w:ascii="Times New Roman" w:hAnsi="Times New Roman" w:cs="Times New Roman"/>
              <w:sz w:val="24"/>
              <w:szCs w:val="24"/>
            </w:rPr>
            <w:lastRenderedPageBreak/>
            <w:t xml:space="preserve">Moreover, every investor is </w:t>
          </w:r>
          <w:proofErr w:type="spellStart"/>
          <w:r w:rsidRPr="002118AD">
            <w:rPr>
              <w:rFonts w:ascii="Times New Roman" w:hAnsi="Times New Roman" w:cs="Times New Roman"/>
              <w:sz w:val="24"/>
              <w:szCs w:val="24"/>
            </w:rPr>
            <w:t>skeptical</w:t>
          </w:r>
          <w:proofErr w:type="spellEnd"/>
          <w:r w:rsidRPr="002118AD">
            <w:rPr>
              <w:rFonts w:ascii="Times New Roman" w:hAnsi="Times New Roman" w:cs="Times New Roman"/>
              <w:sz w:val="24"/>
              <w:szCs w:val="24"/>
            </w:rPr>
            <w:t xml:space="preserve"> of investing in a project without an assurance of getting returns out of this investment or recovering the initial investment in a specific period in which the payback period determines contributing towards liquidity of businesses and supports investors with a liquid budget and recovering their initial capital in a specific timeline to decide whether to consider or reject the project. Moreover, this approach is favourable for projects with limited timelines, or investors looking to get quick returns out of the project can consider this approach in determining future financial risk and recovery</w:t>
          </w:r>
          <w:r w:rsidR="00AE342C">
            <w:rPr>
              <w:rFonts w:ascii="Times New Roman" w:hAnsi="Times New Roman" w:cs="Times New Roman"/>
              <w:sz w:val="24"/>
              <w:szCs w:val="24"/>
            </w:rPr>
            <w:t xml:space="preserve"> (</w:t>
          </w:r>
          <w:r w:rsidR="00AE342C" w:rsidRPr="00AE342C">
            <w:rPr>
              <w:rFonts w:ascii="Times New Roman" w:hAnsi="Times New Roman" w:cs="Times New Roman"/>
              <w:sz w:val="24"/>
              <w:szCs w:val="24"/>
              <w:lang w:val="en-IN"/>
            </w:rPr>
            <w:t xml:space="preserve">Sinaga </w:t>
          </w:r>
          <w:r w:rsidR="00AE342C" w:rsidRPr="00AE342C">
            <w:rPr>
              <w:rFonts w:ascii="Times New Roman" w:hAnsi="Times New Roman" w:cs="Times New Roman"/>
              <w:i/>
              <w:iCs/>
              <w:sz w:val="24"/>
              <w:szCs w:val="24"/>
              <w:lang w:val="en-IN"/>
            </w:rPr>
            <w:t>et al.</w:t>
          </w:r>
          <w:r w:rsidR="00AE342C" w:rsidRPr="00AE342C">
            <w:rPr>
              <w:rFonts w:ascii="Times New Roman" w:hAnsi="Times New Roman" w:cs="Times New Roman"/>
              <w:sz w:val="24"/>
              <w:szCs w:val="24"/>
              <w:lang w:val="en-IN"/>
            </w:rPr>
            <w:t>, 2023</w:t>
          </w:r>
          <w:r w:rsidR="00AE342C">
            <w:rPr>
              <w:rFonts w:ascii="Times New Roman" w:hAnsi="Times New Roman" w:cs="Times New Roman"/>
              <w:sz w:val="24"/>
              <w:szCs w:val="24"/>
            </w:rPr>
            <w:t xml:space="preserve">). </w:t>
          </w:r>
          <w:r w:rsidRPr="002118AD">
            <w:rPr>
              <w:rFonts w:ascii="Times New Roman" w:hAnsi="Times New Roman" w:cs="Times New Roman"/>
              <w:sz w:val="24"/>
              <w:szCs w:val="24"/>
            </w:rPr>
            <w:t>Furthermore, accounting rate of return is another important non-discounting capital budgeting approach used for its simple-to-use approach that determines returns generated out of an investment determining the worth of the project.</w:t>
          </w:r>
        </w:p>
        <w:p w14:paraId="09D60A38" w14:textId="2188ED9F" w:rsidR="004560C3" w:rsidRDefault="004560C3" w:rsidP="004560C3">
          <w:pPr>
            <w:pStyle w:val="Heading2"/>
            <w:rPr>
              <w:rFonts w:ascii="Times New Roman" w:hAnsi="Times New Roman" w:cs="Times New Roman"/>
              <w:color w:val="000000" w:themeColor="text1"/>
              <w:sz w:val="24"/>
              <w:szCs w:val="24"/>
              <w:u w:val="single"/>
            </w:rPr>
          </w:pPr>
          <w:bookmarkStart w:id="67" w:name="_Toc186239360"/>
          <w:r w:rsidRPr="004560C3">
            <w:rPr>
              <w:rFonts w:ascii="Times New Roman" w:hAnsi="Times New Roman" w:cs="Times New Roman"/>
              <w:color w:val="000000" w:themeColor="text1"/>
              <w:sz w:val="24"/>
              <w:szCs w:val="24"/>
              <w:u w:val="single"/>
            </w:rPr>
            <w:t>Determine factors allowing an investor taking investment decisions</w:t>
          </w:r>
          <w:bookmarkEnd w:id="67"/>
        </w:p>
        <w:p w14:paraId="5BFC9D4E" w14:textId="77777777" w:rsidR="00F72830"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Managers need to ensure several factors before deciding whether to invest in a project or not by </w:t>
          </w:r>
          <w:r w:rsidR="00B55C08">
            <w:rPr>
              <w:rFonts w:ascii="Times New Roman" w:hAnsi="Times New Roman" w:cs="Times New Roman"/>
              <w:sz w:val="24"/>
              <w:szCs w:val="24"/>
            </w:rPr>
            <w:t xml:space="preserve">aligning </w:t>
          </w:r>
          <w:r w:rsidRPr="002118AD">
            <w:rPr>
              <w:rFonts w:ascii="Times New Roman" w:hAnsi="Times New Roman" w:cs="Times New Roman"/>
              <w:sz w:val="24"/>
              <w:szCs w:val="24"/>
            </w:rPr>
            <w:t xml:space="preserve">with financial goals and the required resources of the company. The rate of return of a project is the initial requirement of factor access while investors determine the weighted average cost of capital that determines the cost of financing such as equity and </w:t>
          </w:r>
          <w:r w:rsidR="00B55C08">
            <w:rPr>
              <w:rFonts w:ascii="Times New Roman" w:hAnsi="Times New Roman" w:cs="Times New Roman"/>
              <w:sz w:val="24"/>
              <w:szCs w:val="24"/>
            </w:rPr>
            <w:t xml:space="preserve">debt </w:t>
          </w:r>
          <w:r w:rsidRPr="002118AD">
            <w:rPr>
              <w:rFonts w:ascii="Times New Roman" w:hAnsi="Times New Roman" w:cs="Times New Roman"/>
              <w:sz w:val="24"/>
              <w:szCs w:val="24"/>
            </w:rPr>
            <w:t>proportion evaluated estimated returns exceeding the WACC to generate profit for the company in future whereas return less than WACC considered as project generating future loss</w:t>
          </w:r>
          <w:r w:rsidR="00B55C08">
            <w:rPr>
              <w:rFonts w:ascii="Times New Roman" w:hAnsi="Times New Roman" w:cs="Times New Roman"/>
              <w:sz w:val="24"/>
              <w:szCs w:val="24"/>
            </w:rPr>
            <w:t xml:space="preserve"> (</w:t>
          </w:r>
          <w:r w:rsidR="00B55C08" w:rsidRPr="00B55C08">
            <w:rPr>
              <w:rFonts w:ascii="Times New Roman" w:hAnsi="Times New Roman" w:cs="Times New Roman"/>
              <w:sz w:val="24"/>
              <w:szCs w:val="24"/>
              <w:lang w:val="en-IN"/>
            </w:rPr>
            <w:t>Kostov, 2020</w:t>
          </w:r>
          <w:r w:rsidR="00B55C08">
            <w:rPr>
              <w:rFonts w:ascii="Times New Roman" w:hAnsi="Times New Roman" w:cs="Times New Roman"/>
              <w:sz w:val="24"/>
              <w:szCs w:val="24"/>
            </w:rPr>
            <w:t>)</w:t>
          </w:r>
          <w:r w:rsidRPr="002118AD">
            <w:rPr>
              <w:rFonts w:ascii="Times New Roman" w:hAnsi="Times New Roman" w:cs="Times New Roman"/>
              <w:sz w:val="24"/>
              <w:szCs w:val="24"/>
            </w:rPr>
            <w:t xml:space="preserve">. </w:t>
          </w:r>
        </w:p>
        <w:p w14:paraId="49C92F8A" w14:textId="2993C163" w:rsidR="002118AD" w:rsidRPr="00B55C08"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 xml:space="preserve">Moreover, the risk tolerance of a project is another important factor. Projects with higher risk led to high returns as well but could impact the financial viability of an entity. Liquidity is another important aspect of determining the timeline in which a project recovers the initial capital investment which is determined using the payback period method. Moreover, the financial health of investment projects is important and can be estimated by </w:t>
          </w:r>
          <w:proofErr w:type="spellStart"/>
          <w:r w:rsidRPr="002118AD">
            <w:rPr>
              <w:rFonts w:ascii="Times New Roman" w:hAnsi="Times New Roman" w:cs="Times New Roman"/>
              <w:sz w:val="24"/>
              <w:szCs w:val="24"/>
            </w:rPr>
            <w:t>analyzing</w:t>
          </w:r>
          <w:proofErr w:type="spellEnd"/>
          <w:r w:rsidRPr="002118AD">
            <w:rPr>
              <w:rFonts w:ascii="Times New Roman" w:hAnsi="Times New Roman" w:cs="Times New Roman"/>
              <w:sz w:val="24"/>
              <w:szCs w:val="24"/>
            </w:rPr>
            <w:t xml:space="preserve"> financial operational stability, and the market position of an entity</w:t>
          </w:r>
          <w:r w:rsidR="00F72830">
            <w:rPr>
              <w:rFonts w:ascii="Times New Roman" w:hAnsi="Times New Roman" w:cs="Times New Roman"/>
              <w:sz w:val="24"/>
              <w:szCs w:val="24"/>
            </w:rPr>
            <w:t xml:space="preserve"> (</w:t>
          </w:r>
          <w:r w:rsidR="00F72830" w:rsidRPr="00F72830">
            <w:rPr>
              <w:rFonts w:ascii="Times New Roman" w:hAnsi="Times New Roman" w:cs="Times New Roman"/>
              <w:sz w:val="24"/>
              <w:szCs w:val="24"/>
              <w:lang w:val="en-IN"/>
            </w:rPr>
            <w:t xml:space="preserve">Hassan </w:t>
          </w:r>
          <w:r w:rsidR="00F72830" w:rsidRPr="00F72830">
            <w:rPr>
              <w:rFonts w:ascii="Times New Roman" w:hAnsi="Times New Roman" w:cs="Times New Roman"/>
              <w:i/>
              <w:iCs/>
              <w:sz w:val="24"/>
              <w:szCs w:val="24"/>
              <w:lang w:val="en-IN"/>
            </w:rPr>
            <w:t>et al.</w:t>
          </w:r>
          <w:r w:rsidR="00F72830" w:rsidRPr="00F72830">
            <w:rPr>
              <w:rFonts w:ascii="Times New Roman" w:hAnsi="Times New Roman" w:cs="Times New Roman"/>
              <w:sz w:val="24"/>
              <w:szCs w:val="24"/>
              <w:lang w:val="en-IN"/>
            </w:rPr>
            <w:t>, 2023</w:t>
          </w:r>
          <w:r w:rsidR="00F72830">
            <w:rPr>
              <w:rFonts w:ascii="Times New Roman" w:hAnsi="Times New Roman" w:cs="Times New Roman"/>
              <w:sz w:val="24"/>
              <w:szCs w:val="24"/>
            </w:rPr>
            <w:t>)</w:t>
          </w:r>
          <w:r w:rsidRPr="002118AD">
            <w:rPr>
              <w:rFonts w:ascii="Times New Roman" w:hAnsi="Times New Roman" w:cs="Times New Roman"/>
              <w:sz w:val="24"/>
              <w:szCs w:val="24"/>
            </w:rPr>
            <w:t>. External market impact on a company such as interest rates, Geo-political aspects affecting an investment project followed by implication of tax affecting returns generated from a project.</w:t>
          </w:r>
        </w:p>
        <w:p w14:paraId="75FDD942" w14:textId="6C04BBFE" w:rsidR="00D555D8" w:rsidRPr="004560C3" w:rsidRDefault="00C82515" w:rsidP="004560C3">
          <w:pPr>
            <w:pStyle w:val="Heading2"/>
            <w:rPr>
              <w:rFonts w:ascii="Times New Roman" w:hAnsi="Times New Roman" w:cs="Times New Roman"/>
              <w:color w:val="000000" w:themeColor="text1"/>
              <w:sz w:val="24"/>
              <w:szCs w:val="24"/>
              <w:u w:val="single"/>
            </w:rPr>
          </w:pPr>
          <w:bookmarkStart w:id="68" w:name="_Toc186239361"/>
          <w:r w:rsidRPr="004560C3">
            <w:rPr>
              <w:rFonts w:ascii="Times New Roman" w:hAnsi="Times New Roman" w:cs="Times New Roman"/>
              <w:color w:val="000000" w:themeColor="text1"/>
              <w:sz w:val="24"/>
              <w:szCs w:val="24"/>
              <w:u w:val="single"/>
            </w:rPr>
            <w:t>NPV of Optimum Investment Policy</w:t>
          </w:r>
          <w:bookmarkEnd w:id="68"/>
        </w:p>
        <w:p w14:paraId="165A07AE" w14:textId="77777777" w:rsidR="00C82515" w:rsidRDefault="00C82515" w:rsidP="00C82515">
          <w:pPr>
            <w:keepNext/>
          </w:pPr>
          <w:r w:rsidRPr="00C82515">
            <w:rPr>
              <w:noProof/>
            </w:rPr>
            <w:drawing>
              <wp:inline distT="0" distB="0" distL="0" distR="0" wp14:anchorId="1B7A1B85" wp14:editId="7B0948A3">
                <wp:extent cx="5731510" cy="636270"/>
                <wp:effectExtent l="0" t="0" r="2540" b="0"/>
                <wp:docPr id="78278037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636270"/>
                        </a:xfrm>
                        <a:prstGeom prst="rect">
                          <a:avLst/>
                        </a:prstGeom>
                        <a:noFill/>
                        <a:ln>
                          <a:noFill/>
                        </a:ln>
                      </pic:spPr>
                    </pic:pic>
                  </a:graphicData>
                </a:graphic>
              </wp:inline>
            </w:drawing>
          </w:r>
        </w:p>
        <w:p w14:paraId="25290591" w14:textId="7BBBBD00" w:rsidR="00C82515" w:rsidRPr="00C82515" w:rsidRDefault="00C82515" w:rsidP="00C82515">
          <w:pPr>
            <w:pStyle w:val="Caption"/>
            <w:spacing w:line="360" w:lineRule="auto"/>
            <w:jc w:val="center"/>
            <w:rPr>
              <w:rFonts w:ascii="Times New Roman" w:hAnsi="Times New Roman" w:cs="Times New Roman"/>
              <w:i w:val="0"/>
              <w:iCs w:val="0"/>
              <w:color w:val="000000" w:themeColor="text1"/>
              <w:sz w:val="24"/>
              <w:szCs w:val="24"/>
            </w:rPr>
          </w:pPr>
          <w:bookmarkStart w:id="69" w:name="_Toc186239422"/>
          <w:r w:rsidRPr="00C82515">
            <w:rPr>
              <w:rFonts w:ascii="Times New Roman" w:hAnsi="Times New Roman" w:cs="Times New Roman"/>
              <w:color w:val="000000" w:themeColor="text1"/>
              <w:sz w:val="24"/>
              <w:szCs w:val="24"/>
            </w:rPr>
            <w:t xml:space="preserve">Figure </w:t>
          </w:r>
          <w:r w:rsidRPr="00C82515">
            <w:rPr>
              <w:rFonts w:ascii="Times New Roman" w:hAnsi="Times New Roman" w:cs="Times New Roman"/>
              <w:color w:val="000000" w:themeColor="text1"/>
              <w:sz w:val="24"/>
              <w:szCs w:val="24"/>
            </w:rPr>
            <w:fldChar w:fldCharType="begin"/>
          </w:r>
          <w:r w:rsidRPr="00C82515">
            <w:rPr>
              <w:rFonts w:ascii="Times New Roman" w:hAnsi="Times New Roman" w:cs="Times New Roman"/>
              <w:color w:val="000000" w:themeColor="text1"/>
              <w:sz w:val="24"/>
              <w:szCs w:val="24"/>
            </w:rPr>
            <w:instrText xml:space="preserve"> SEQ Figure \* ARABIC </w:instrText>
          </w:r>
          <w:r w:rsidRPr="00C82515">
            <w:rPr>
              <w:rFonts w:ascii="Times New Roman" w:hAnsi="Times New Roman" w:cs="Times New Roman"/>
              <w:color w:val="000000" w:themeColor="text1"/>
              <w:sz w:val="24"/>
              <w:szCs w:val="24"/>
            </w:rPr>
            <w:fldChar w:fldCharType="separate"/>
          </w:r>
          <w:r w:rsidR="006F27C1">
            <w:rPr>
              <w:rFonts w:ascii="Times New Roman" w:hAnsi="Times New Roman" w:cs="Times New Roman"/>
              <w:noProof/>
              <w:color w:val="000000" w:themeColor="text1"/>
              <w:sz w:val="24"/>
              <w:szCs w:val="24"/>
            </w:rPr>
            <w:t>31</w:t>
          </w:r>
          <w:r w:rsidRPr="00C82515">
            <w:rPr>
              <w:rFonts w:ascii="Times New Roman" w:hAnsi="Times New Roman" w:cs="Times New Roman"/>
              <w:color w:val="000000" w:themeColor="text1"/>
              <w:sz w:val="24"/>
              <w:szCs w:val="24"/>
            </w:rPr>
            <w:fldChar w:fldCharType="end"/>
          </w:r>
          <w:r w:rsidRPr="00C82515">
            <w:rPr>
              <w:rFonts w:ascii="Times New Roman" w:hAnsi="Times New Roman" w:cs="Times New Roman"/>
              <w:i w:val="0"/>
              <w:iCs w:val="0"/>
              <w:color w:val="000000" w:themeColor="text1"/>
              <w:sz w:val="24"/>
              <w:szCs w:val="24"/>
            </w:rPr>
            <w:t xml:space="preserve"> Project Priority on basis of Profitability Index</w:t>
          </w:r>
          <w:bookmarkEnd w:id="69"/>
        </w:p>
        <w:p w14:paraId="1AB07A8D" w14:textId="2141B317" w:rsidR="00C82515" w:rsidRDefault="00C82515" w:rsidP="00C82515">
          <w:pPr>
            <w:spacing w:line="360" w:lineRule="auto"/>
            <w:jc w:val="center"/>
            <w:rPr>
              <w:rFonts w:ascii="Times New Roman" w:hAnsi="Times New Roman" w:cs="Times New Roman"/>
              <w:color w:val="000000" w:themeColor="text1"/>
              <w:sz w:val="24"/>
              <w:szCs w:val="24"/>
            </w:rPr>
          </w:pPr>
          <w:r w:rsidRPr="00C82515">
            <w:rPr>
              <w:rFonts w:ascii="Times New Roman" w:hAnsi="Times New Roman" w:cs="Times New Roman"/>
              <w:color w:val="000000" w:themeColor="text1"/>
              <w:sz w:val="24"/>
              <w:szCs w:val="24"/>
            </w:rPr>
            <w:t>(Source: Self-Created)</w:t>
          </w:r>
        </w:p>
        <w:p w14:paraId="4681717A" w14:textId="77777777" w:rsidR="006F27C1" w:rsidRDefault="006F27C1" w:rsidP="006F27C1">
          <w:pPr>
            <w:keepNext/>
            <w:spacing w:line="360" w:lineRule="auto"/>
            <w:jc w:val="center"/>
          </w:pPr>
          <w:r>
            <w:rPr>
              <w:rFonts w:ascii="Times New Roman" w:hAnsi="Times New Roman" w:cs="Times New Roman"/>
              <w:noProof/>
              <w:color w:val="000000" w:themeColor="text1"/>
              <w:sz w:val="24"/>
              <w:szCs w:val="24"/>
            </w:rPr>
            <w:lastRenderedPageBreak/>
            <w:drawing>
              <wp:inline distT="0" distB="0" distL="0" distR="0" wp14:anchorId="2CC01B54" wp14:editId="0F516B05">
                <wp:extent cx="5739626" cy="2487295"/>
                <wp:effectExtent l="0" t="0" r="0" b="8255"/>
                <wp:docPr id="206308647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47414" cy="2490670"/>
                        </a:xfrm>
                        <a:prstGeom prst="rect">
                          <a:avLst/>
                        </a:prstGeom>
                        <a:noFill/>
                      </pic:spPr>
                    </pic:pic>
                  </a:graphicData>
                </a:graphic>
              </wp:inline>
            </w:drawing>
          </w:r>
        </w:p>
        <w:p w14:paraId="1E2F00E6" w14:textId="42D04C72" w:rsidR="006F27C1" w:rsidRPr="006F27C1" w:rsidRDefault="006F27C1" w:rsidP="006F27C1">
          <w:pPr>
            <w:spacing w:line="360" w:lineRule="auto"/>
            <w:jc w:val="center"/>
            <w:rPr>
              <w:rFonts w:ascii="Times New Roman" w:hAnsi="Times New Roman" w:cs="Times New Roman"/>
              <w:color w:val="000000" w:themeColor="text1"/>
              <w:sz w:val="24"/>
              <w:szCs w:val="24"/>
            </w:rPr>
          </w:pPr>
          <w:bookmarkStart w:id="70" w:name="_Toc186239423"/>
          <w:r w:rsidRPr="006F27C1">
            <w:rPr>
              <w:rFonts w:ascii="Times New Roman" w:hAnsi="Times New Roman" w:cs="Times New Roman"/>
              <w:color w:val="000000" w:themeColor="text1"/>
              <w:sz w:val="24"/>
              <w:szCs w:val="24"/>
            </w:rPr>
            <w:t xml:space="preserve">Figure </w:t>
          </w:r>
          <w:r w:rsidRPr="006F27C1">
            <w:rPr>
              <w:rFonts w:ascii="Times New Roman" w:hAnsi="Times New Roman" w:cs="Times New Roman"/>
              <w:color w:val="000000" w:themeColor="text1"/>
              <w:sz w:val="24"/>
              <w:szCs w:val="24"/>
            </w:rPr>
            <w:fldChar w:fldCharType="begin"/>
          </w:r>
          <w:r w:rsidRPr="006F27C1">
            <w:rPr>
              <w:rFonts w:ascii="Times New Roman" w:hAnsi="Times New Roman" w:cs="Times New Roman"/>
              <w:color w:val="000000" w:themeColor="text1"/>
              <w:sz w:val="24"/>
              <w:szCs w:val="24"/>
            </w:rPr>
            <w:instrText xml:space="preserve"> SEQ Figure \* ARABIC </w:instrText>
          </w:r>
          <w:r w:rsidRPr="006F27C1">
            <w:rPr>
              <w:rFonts w:ascii="Times New Roman" w:hAnsi="Times New Roman" w:cs="Times New Roman"/>
              <w:color w:val="000000" w:themeColor="text1"/>
              <w:sz w:val="24"/>
              <w:szCs w:val="24"/>
            </w:rPr>
            <w:fldChar w:fldCharType="separate"/>
          </w:r>
          <w:r w:rsidRPr="006F27C1">
            <w:rPr>
              <w:rFonts w:ascii="Times New Roman" w:hAnsi="Times New Roman" w:cs="Times New Roman"/>
              <w:color w:val="000000" w:themeColor="text1"/>
              <w:sz w:val="24"/>
              <w:szCs w:val="24"/>
            </w:rPr>
            <w:t>32</w:t>
          </w:r>
          <w:r w:rsidRPr="006F27C1">
            <w:rPr>
              <w:rFonts w:ascii="Times New Roman" w:hAnsi="Times New Roman" w:cs="Times New Roman"/>
              <w:color w:val="000000" w:themeColor="text1"/>
              <w:sz w:val="24"/>
              <w:szCs w:val="24"/>
            </w:rPr>
            <w:fldChar w:fldCharType="end"/>
          </w:r>
          <w:r w:rsidRPr="006F27C1">
            <w:rPr>
              <w:rFonts w:ascii="Times New Roman" w:hAnsi="Times New Roman" w:cs="Times New Roman"/>
              <w:color w:val="000000" w:themeColor="text1"/>
              <w:sz w:val="24"/>
              <w:szCs w:val="24"/>
            </w:rPr>
            <w:t xml:space="preserve"> NPV contribution of optimal Policy</w:t>
          </w:r>
          <w:bookmarkEnd w:id="70"/>
        </w:p>
        <w:p w14:paraId="5CF2E786" w14:textId="77777777" w:rsidR="006F27C1" w:rsidRDefault="006F27C1" w:rsidP="006F27C1">
          <w:pPr>
            <w:spacing w:line="360" w:lineRule="auto"/>
            <w:jc w:val="center"/>
            <w:rPr>
              <w:rFonts w:ascii="Times New Roman" w:hAnsi="Times New Roman" w:cs="Times New Roman"/>
              <w:color w:val="000000" w:themeColor="text1"/>
              <w:sz w:val="24"/>
              <w:szCs w:val="24"/>
            </w:rPr>
          </w:pPr>
          <w:r w:rsidRPr="00C82515">
            <w:rPr>
              <w:rFonts w:ascii="Times New Roman" w:hAnsi="Times New Roman" w:cs="Times New Roman"/>
              <w:color w:val="000000" w:themeColor="text1"/>
              <w:sz w:val="24"/>
              <w:szCs w:val="24"/>
            </w:rPr>
            <w:t>(Source: Self-Created)</w:t>
          </w:r>
        </w:p>
        <w:p w14:paraId="1A44D02C" w14:textId="77777777" w:rsidR="006F27C1" w:rsidRPr="006F27C1" w:rsidRDefault="006F27C1" w:rsidP="006F27C1"/>
        <w:p w14:paraId="26720133" w14:textId="009B246F" w:rsidR="004560C3" w:rsidRDefault="004560C3" w:rsidP="004560C3">
          <w:pPr>
            <w:spacing w:line="360" w:lineRule="auto"/>
            <w:rPr>
              <w:rFonts w:ascii="Times New Roman" w:hAnsi="Times New Roman" w:cs="Times New Roman"/>
              <w:b/>
              <w:bCs/>
              <w:color w:val="000000" w:themeColor="text1"/>
              <w:sz w:val="24"/>
              <w:szCs w:val="24"/>
            </w:rPr>
          </w:pPr>
          <w:r w:rsidRPr="004560C3">
            <w:rPr>
              <w:rFonts w:ascii="Times New Roman" w:hAnsi="Times New Roman" w:cs="Times New Roman"/>
              <w:b/>
              <w:bCs/>
              <w:color w:val="000000" w:themeColor="text1"/>
              <w:sz w:val="24"/>
              <w:szCs w:val="24"/>
            </w:rPr>
            <w:t>Interpretations</w:t>
          </w:r>
        </w:p>
        <w:p w14:paraId="7DABE53D" w14:textId="6B78BADB" w:rsidR="002118AD" w:rsidRP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In the current scenario, there is a budget constraint </w:t>
          </w:r>
          <w:r w:rsidR="003D1FA7" w:rsidRPr="002118AD">
            <w:rPr>
              <w:rFonts w:ascii="Times New Roman" w:hAnsi="Times New Roman" w:cs="Times New Roman"/>
              <w:sz w:val="24"/>
              <w:szCs w:val="24"/>
            </w:rPr>
            <w:t>of £</w:t>
          </w:r>
          <w:r w:rsidRPr="002118AD">
            <w:rPr>
              <w:rFonts w:ascii="Times New Roman" w:hAnsi="Times New Roman" w:cs="Times New Roman"/>
              <w:sz w:val="24"/>
              <w:szCs w:val="24"/>
            </w:rPr>
            <w:t>25,00,000 in funding projects accordingly based on the profitability index the priority of the project, and the net present value contribution of every proposal</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 however</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 the objective is to maximize NPV of optimal investment policy with the required budget. As per the Profitability Index, proposal B is given priority with generated profitability index of 0.90 followed by a higher NPV of </w:t>
          </w:r>
          <w:r w:rsidR="006562CC">
            <w:rPr>
              <w:rFonts w:ascii="Times New Roman" w:hAnsi="Times New Roman" w:cs="Times New Roman"/>
              <w:sz w:val="24"/>
              <w:szCs w:val="24"/>
            </w:rPr>
            <w:t>£</w:t>
          </w:r>
          <w:r w:rsidRPr="002118AD">
            <w:rPr>
              <w:rFonts w:ascii="Times New Roman" w:hAnsi="Times New Roman" w:cs="Times New Roman"/>
              <w:sz w:val="24"/>
              <w:szCs w:val="24"/>
            </w:rPr>
            <w:t>898</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will be fully funded with the budget with the initial investment of </w:t>
          </w:r>
          <w:r w:rsidR="006562CC">
            <w:rPr>
              <w:rFonts w:ascii="Times New Roman" w:hAnsi="Times New Roman" w:cs="Times New Roman"/>
              <w:sz w:val="24"/>
              <w:szCs w:val="24"/>
            </w:rPr>
            <w:t>£</w:t>
          </w:r>
          <w:r w:rsidRPr="002118AD">
            <w:rPr>
              <w:rFonts w:ascii="Times New Roman" w:hAnsi="Times New Roman" w:cs="Times New Roman"/>
              <w:sz w:val="24"/>
              <w:szCs w:val="24"/>
            </w:rPr>
            <w:t>1000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followed by the second priority given to proposal A with 0.78 profitability index and NPV of </w:t>
          </w:r>
          <w:r w:rsidR="00762C3E">
            <w:rPr>
              <w:rFonts w:ascii="Times New Roman" w:hAnsi="Times New Roman" w:cs="Times New Roman"/>
              <w:sz w:val="24"/>
              <w:szCs w:val="24"/>
            </w:rPr>
            <w:t>£</w:t>
          </w:r>
          <w:r w:rsidRPr="002118AD">
            <w:rPr>
              <w:rFonts w:ascii="Times New Roman" w:hAnsi="Times New Roman" w:cs="Times New Roman"/>
              <w:sz w:val="24"/>
              <w:szCs w:val="24"/>
            </w:rPr>
            <w:t>514</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000 by paying initial capital investment of </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660000 followed by remaining </w:t>
          </w:r>
          <w:r w:rsidR="006562CC">
            <w:rPr>
              <w:rFonts w:ascii="Times New Roman" w:hAnsi="Times New Roman" w:cs="Times New Roman"/>
              <w:sz w:val="24"/>
              <w:szCs w:val="24"/>
            </w:rPr>
            <w:t>£</w:t>
          </w:r>
          <w:r w:rsidRPr="002118AD">
            <w:rPr>
              <w:rFonts w:ascii="Times New Roman" w:hAnsi="Times New Roman" w:cs="Times New Roman"/>
              <w:sz w:val="24"/>
              <w:szCs w:val="24"/>
            </w:rPr>
            <w:t>840</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allocated to proposal C which has a profitability index of 0.5 and NPV of </w:t>
          </w:r>
          <w:r w:rsidR="006562CC">
            <w:rPr>
              <w:rFonts w:ascii="Times New Roman" w:hAnsi="Times New Roman" w:cs="Times New Roman"/>
              <w:sz w:val="24"/>
              <w:szCs w:val="24"/>
            </w:rPr>
            <w:t>£</w:t>
          </w:r>
          <w:r w:rsidRPr="002118AD">
            <w:rPr>
              <w:rFonts w:ascii="Times New Roman" w:hAnsi="Times New Roman" w:cs="Times New Roman"/>
              <w:sz w:val="24"/>
              <w:szCs w:val="24"/>
            </w:rPr>
            <w:t>856</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get partially funded with the remaining budget of </w:t>
          </w:r>
          <w:r w:rsidR="00762C3E" w:rsidRPr="002118AD">
            <w:rPr>
              <w:rFonts w:ascii="Times New Roman" w:hAnsi="Times New Roman" w:cs="Times New Roman"/>
              <w:sz w:val="24"/>
              <w:szCs w:val="24"/>
            </w:rPr>
            <w:t xml:space="preserve"> </w:t>
          </w:r>
          <w:r w:rsidR="00762C3E">
            <w:rPr>
              <w:rFonts w:ascii="Times New Roman" w:hAnsi="Times New Roman" w:cs="Times New Roman"/>
              <w:sz w:val="24"/>
              <w:szCs w:val="24"/>
            </w:rPr>
            <w:t>£</w:t>
          </w:r>
          <w:r w:rsidRPr="002118AD">
            <w:rPr>
              <w:rFonts w:ascii="Times New Roman" w:hAnsi="Times New Roman" w:cs="Times New Roman"/>
              <w:sz w:val="24"/>
              <w:szCs w:val="24"/>
            </w:rPr>
            <w:t>840</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000 which is funded on a fraction of 49.4% where remaining budget is divided with the actual budget of the project and similarly it is applicable in distributing the fraction of the project and NPV is accounted to </w:t>
          </w:r>
          <w:r w:rsidR="006562CC">
            <w:rPr>
              <w:rFonts w:ascii="Times New Roman" w:hAnsi="Times New Roman" w:cs="Times New Roman"/>
              <w:sz w:val="24"/>
              <w:szCs w:val="24"/>
            </w:rPr>
            <w:t>£</w:t>
          </w:r>
          <w:r w:rsidRPr="002118AD">
            <w:rPr>
              <w:rFonts w:ascii="Times New Roman" w:hAnsi="Times New Roman" w:cs="Times New Roman"/>
              <w:sz w:val="24"/>
              <w:szCs w:val="24"/>
            </w:rPr>
            <w:t>423</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which is 49.4% of </w:t>
          </w:r>
          <w:r w:rsidR="006562CC">
            <w:rPr>
              <w:rFonts w:ascii="Times New Roman" w:hAnsi="Times New Roman" w:cs="Times New Roman"/>
              <w:sz w:val="24"/>
              <w:szCs w:val="24"/>
            </w:rPr>
            <w:t>£</w:t>
          </w:r>
          <w:r w:rsidRPr="002118AD">
            <w:rPr>
              <w:rFonts w:ascii="Times New Roman" w:hAnsi="Times New Roman" w:cs="Times New Roman"/>
              <w:sz w:val="24"/>
              <w:szCs w:val="24"/>
            </w:rPr>
            <w:t>85</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6000. </w:t>
          </w:r>
        </w:p>
        <w:p w14:paraId="1BA95178" w14:textId="0B21BF4D" w:rsidR="002118AD" w:rsidRP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Overall net present value contribution generated from all the projects accounts for </w:t>
          </w:r>
          <w:r w:rsidR="006562CC">
            <w:rPr>
              <w:rFonts w:ascii="Times New Roman" w:hAnsi="Times New Roman" w:cs="Times New Roman"/>
              <w:sz w:val="24"/>
              <w:szCs w:val="24"/>
            </w:rPr>
            <w:t>£</w:t>
          </w:r>
          <w:r w:rsidRPr="002118AD">
            <w:rPr>
              <w:rFonts w:ascii="Times New Roman" w:hAnsi="Times New Roman" w:cs="Times New Roman"/>
              <w:sz w:val="24"/>
              <w:szCs w:val="24"/>
            </w:rPr>
            <w:t>1835</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which is the summation of </w:t>
          </w:r>
          <w:r w:rsidR="006562CC">
            <w:rPr>
              <w:rFonts w:ascii="Times New Roman" w:hAnsi="Times New Roman" w:cs="Times New Roman"/>
              <w:sz w:val="24"/>
              <w:szCs w:val="24"/>
            </w:rPr>
            <w:t>£</w:t>
          </w:r>
          <w:r w:rsidRPr="002118AD">
            <w:rPr>
              <w:rFonts w:ascii="Times New Roman" w:hAnsi="Times New Roman" w:cs="Times New Roman"/>
              <w:sz w:val="24"/>
              <w:szCs w:val="24"/>
            </w:rPr>
            <w:t>898</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and </w:t>
          </w:r>
          <w:r w:rsidR="006562CC">
            <w:rPr>
              <w:rFonts w:ascii="Times New Roman" w:hAnsi="Times New Roman" w:cs="Times New Roman"/>
              <w:sz w:val="24"/>
              <w:szCs w:val="24"/>
            </w:rPr>
            <w:t>N</w:t>
          </w:r>
          <w:r w:rsidRPr="002118AD">
            <w:rPr>
              <w:rFonts w:ascii="Times New Roman" w:hAnsi="Times New Roman" w:cs="Times New Roman"/>
              <w:sz w:val="24"/>
              <w:szCs w:val="24"/>
            </w:rPr>
            <w:t xml:space="preserve">PV of proposal </w:t>
          </w:r>
          <w:r w:rsidR="006562CC">
            <w:rPr>
              <w:rFonts w:ascii="Times New Roman" w:hAnsi="Times New Roman" w:cs="Times New Roman"/>
              <w:sz w:val="24"/>
              <w:szCs w:val="24"/>
            </w:rPr>
            <w:t>B</w:t>
          </w:r>
          <w:r w:rsidRPr="002118AD">
            <w:rPr>
              <w:rFonts w:ascii="Times New Roman" w:hAnsi="Times New Roman" w:cs="Times New Roman"/>
              <w:sz w:val="24"/>
              <w:szCs w:val="24"/>
            </w:rPr>
            <w:t xml:space="preserve"> </w:t>
          </w:r>
          <w:r w:rsidR="006562CC">
            <w:rPr>
              <w:rFonts w:ascii="Times New Roman" w:hAnsi="Times New Roman" w:cs="Times New Roman"/>
              <w:sz w:val="24"/>
              <w:szCs w:val="24"/>
            </w:rPr>
            <w:t>£</w:t>
          </w:r>
          <w:r w:rsidRPr="002118AD">
            <w:rPr>
              <w:rFonts w:ascii="Times New Roman" w:hAnsi="Times New Roman" w:cs="Times New Roman"/>
              <w:sz w:val="24"/>
              <w:szCs w:val="24"/>
            </w:rPr>
            <w:t>514</w:t>
          </w:r>
          <w:r w:rsidR="006562CC">
            <w:rPr>
              <w:rFonts w:ascii="Times New Roman" w:hAnsi="Times New Roman" w:cs="Times New Roman"/>
              <w:sz w:val="24"/>
              <w:szCs w:val="24"/>
            </w:rPr>
            <w:t>,</w:t>
          </w:r>
          <w:r w:rsidRPr="002118AD">
            <w:rPr>
              <w:rFonts w:ascii="Times New Roman" w:hAnsi="Times New Roman" w:cs="Times New Roman"/>
              <w:sz w:val="24"/>
              <w:szCs w:val="24"/>
            </w:rPr>
            <w:t xml:space="preserve">000 and PV of proposal a and </w:t>
          </w:r>
          <w:r w:rsidR="006562CC">
            <w:rPr>
              <w:rFonts w:ascii="Times New Roman" w:hAnsi="Times New Roman" w:cs="Times New Roman"/>
              <w:sz w:val="24"/>
              <w:szCs w:val="24"/>
            </w:rPr>
            <w:t>£</w:t>
          </w:r>
          <w:r w:rsidRPr="002118AD">
            <w:rPr>
              <w:rFonts w:ascii="Times New Roman" w:hAnsi="Times New Roman" w:cs="Times New Roman"/>
              <w:sz w:val="24"/>
              <w:szCs w:val="24"/>
            </w:rPr>
            <w:t>423</w:t>
          </w:r>
          <w:r w:rsidR="006562CC">
            <w:rPr>
              <w:rFonts w:ascii="Times New Roman" w:hAnsi="Times New Roman" w:cs="Times New Roman"/>
              <w:sz w:val="24"/>
              <w:szCs w:val="24"/>
            </w:rPr>
            <w:t>,</w:t>
          </w:r>
          <w:r w:rsidRPr="002118AD">
            <w:rPr>
              <w:rFonts w:ascii="Times New Roman" w:hAnsi="Times New Roman" w:cs="Times New Roman"/>
              <w:sz w:val="24"/>
              <w:szCs w:val="24"/>
            </w:rPr>
            <w:t>000 and PV of proposal c.</w:t>
          </w:r>
        </w:p>
        <w:p w14:paraId="716D320B" w14:textId="77777777" w:rsidR="00C74095" w:rsidRDefault="004560C3" w:rsidP="004560C3">
          <w:pPr>
            <w:pStyle w:val="Heading2"/>
            <w:rPr>
              <w:rFonts w:ascii="Times New Roman" w:hAnsi="Times New Roman" w:cs="Times New Roman"/>
              <w:color w:val="000000" w:themeColor="text1"/>
              <w:sz w:val="24"/>
              <w:szCs w:val="24"/>
              <w:u w:val="single"/>
            </w:rPr>
          </w:pPr>
          <w:bookmarkStart w:id="71" w:name="_Toc186239362"/>
          <w:r w:rsidRPr="004560C3">
            <w:rPr>
              <w:rFonts w:ascii="Times New Roman" w:hAnsi="Times New Roman" w:cs="Times New Roman"/>
              <w:color w:val="000000" w:themeColor="text1"/>
              <w:sz w:val="24"/>
              <w:szCs w:val="24"/>
              <w:u w:val="single"/>
            </w:rPr>
            <w:t>State sources of Finance in financing proposed Investment proposal</w:t>
          </w:r>
          <w:bookmarkEnd w:id="71"/>
        </w:p>
        <w:p w14:paraId="4B510C6E" w14:textId="6FFB260A" w:rsidR="002118AD" w:rsidRP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 xml:space="preserve">Out of the three proposals mentioned above proposal </w:t>
          </w:r>
          <w:r w:rsidR="00762C3E">
            <w:rPr>
              <w:rFonts w:ascii="Times New Roman" w:hAnsi="Times New Roman" w:cs="Times New Roman"/>
              <w:sz w:val="24"/>
              <w:szCs w:val="24"/>
            </w:rPr>
            <w:t>B</w:t>
          </w:r>
          <w:r w:rsidRPr="002118AD">
            <w:rPr>
              <w:rFonts w:ascii="Times New Roman" w:hAnsi="Times New Roman" w:cs="Times New Roman"/>
              <w:sz w:val="24"/>
              <w:szCs w:val="24"/>
            </w:rPr>
            <w:t xml:space="preserve"> is recommended to Greenacres PLC considering its higher and present value method </w:t>
          </w:r>
          <w:r w:rsidR="003D1FA7" w:rsidRPr="002118AD">
            <w:rPr>
              <w:rFonts w:ascii="Times New Roman" w:hAnsi="Times New Roman" w:cs="Times New Roman"/>
              <w:sz w:val="24"/>
              <w:szCs w:val="24"/>
            </w:rPr>
            <w:t>of £</w:t>
          </w:r>
          <w:r w:rsidRPr="002118AD">
            <w:rPr>
              <w:rFonts w:ascii="Times New Roman" w:hAnsi="Times New Roman" w:cs="Times New Roman"/>
              <w:sz w:val="24"/>
              <w:szCs w:val="24"/>
            </w:rPr>
            <w:t>898</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000 in comparison to the other two </w:t>
          </w:r>
          <w:r w:rsidRPr="002118AD">
            <w:rPr>
              <w:rFonts w:ascii="Times New Roman" w:hAnsi="Times New Roman" w:cs="Times New Roman"/>
              <w:sz w:val="24"/>
              <w:szCs w:val="24"/>
            </w:rPr>
            <w:lastRenderedPageBreak/>
            <w:t xml:space="preserve">options that generate lesser net present value method. Below mentioned three sources of finance in funding the proposal in developing internet sales in Greenacres PLC consider the digital transformation Trend bombing in the market are given as follows </w:t>
          </w:r>
        </w:p>
        <w:p w14:paraId="453B695C" w14:textId="77777777" w:rsidR="00762C3E"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 xml:space="preserve">Equity financing is a commonly used source of finance under which an entity issues equity shares from the public at large giving ownership in a company in exchange for capital raised from them considered an effective source of funding for projects with long-term investment as there is no obligation to in </w:t>
          </w:r>
          <w:r w:rsidR="00762C3E">
            <w:rPr>
              <w:rFonts w:ascii="Times New Roman" w:hAnsi="Times New Roman" w:cs="Times New Roman"/>
              <w:sz w:val="24"/>
              <w:szCs w:val="24"/>
            </w:rPr>
            <w:t xml:space="preserve">repaying </w:t>
          </w:r>
          <w:r w:rsidRPr="002118AD">
            <w:rPr>
              <w:rFonts w:ascii="Times New Roman" w:hAnsi="Times New Roman" w:cs="Times New Roman"/>
              <w:sz w:val="24"/>
              <w:szCs w:val="24"/>
            </w:rPr>
            <w:t xml:space="preserve">payment like </w:t>
          </w:r>
          <w:r w:rsidR="00762C3E">
            <w:rPr>
              <w:rFonts w:ascii="Times New Roman" w:hAnsi="Times New Roman" w:cs="Times New Roman"/>
              <w:sz w:val="24"/>
              <w:szCs w:val="24"/>
            </w:rPr>
            <w:t xml:space="preserve">Debt </w:t>
          </w:r>
          <w:r w:rsidRPr="002118AD">
            <w:rPr>
              <w:rFonts w:ascii="Times New Roman" w:hAnsi="Times New Roman" w:cs="Times New Roman"/>
              <w:sz w:val="24"/>
              <w:szCs w:val="24"/>
            </w:rPr>
            <w:t>finance ownership of the business</w:t>
          </w:r>
          <w:r w:rsidR="00762C3E">
            <w:rPr>
              <w:rFonts w:ascii="Times New Roman" w:hAnsi="Times New Roman" w:cs="Times New Roman"/>
              <w:sz w:val="24"/>
              <w:szCs w:val="24"/>
            </w:rPr>
            <w:t xml:space="preserve"> (</w:t>
          </w:r>
          <w:r w:rsidR="00762C3E" w:rsidRPr="00762C3E">
            <w:rPr>
              <w:rFonts w:ascii="Times New Roman" w:hAnsi="Times New Roman" w:cs="Times New Roman"/>
              <w:sz w:val="24"/>
              <w:szCs w:val="24"/>
              <w:lang w:val="en-IN"/>
            </w:rPr>
            <w:t xml:space="preserve">Santos, </w:t>
          </w:r>
          <w:proofErr w:type="spellStart"/>
          <w:r w:rsidR="00762C3E" w:rsidRPr="00762C3E">
            <w:rPr>
              <w:rFonts w:ascii="Times New Roman" w:hAnsi="Times New Roman" w:cs="Times New Roman"/>
              <w:sz w:val="24"/>
              <w:szCs w:val="24"/>
              <w:lang w:val="en-IN"/>
            </w:rPr>
            <w:t>Cincera</w:t>
          </w:r>
          <w:proofErr w:type="spellEnd"/>
          <w:r w:rsidR="00762C3E" w:rsidRPr="00762C3E">
            <w:rPr>
              <w:rFonts w:ascii="Times New Roman" w:hAnsi="Times New Roman" w:cs="Times New Roman"/>
              <w:sz w:val="24"/>
              <w:szCs w:val="24"/>
              <w:lang w:val="en-IN"/>
            </w:rPr>
            <w:t xml:space="preserve"> and Cerulli, 2024</w:t>
          </w:r>
          <w:r w:rsidR="00762C3E">
            <w:rPr>
              <w:rFonts w:ascii="Times New Roman" w:hAnsi="Times New Roman" w:cs="Times New Roman"/>
              <w:sz w:val="24"/>
              <w:szCs w:val="24"/>
            </w:rPr>
            <w:t>)</w:t>
          </w:r>
          <w:r w:rsidRPr="002118AD">
            <w:rPr>
              <w:rFonts w:ascii="Times New Roman" w:hAnsi="Times New Roman" w:cs="Times New Roman"/>
              <w:sz w:val="24"/>
              <w:szCs w:val="24"/>
            </w:rPr>
            <w:t>. In the current case</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 where proposal </w:t>
          </w:r>
          <w:r w:rsidR="00762C3E">
            <w:rPr>
              <w:rFonts w:ascii="Times New Roman" w:hAnsi="Times New Roman" w:cs="Times New Roman"/>
              <w:sz w:val="24"/>
              <w:szCs w:val="24"/>
            </w:rPr>
            <w:t>B</w:t>
          </w:r>
          <w:r w:rsidRPr="002118AD">
            <w:rPr>
              <w:rFonts w:ascii="Times New Roman" w:hAnsi="Times New Roman" w:cs="Times New Roman"/>
              <w:sz w:val="24"/>
              <w:szCs w:val="24"/>
            </w:rPr>
            <w:t xml:space="preserve"> is recommended to the company indicating higher profitability index and net present value method can consider equity financing in funding the entire project with no obligation of repayment.</w:t>
          </w:r>
          <w:r w:rsidR="00762C3E">
            <w:rPr>
              <w:rFonts w:ascii="Times New Roman" w:hAnsi="Times New Roman" w:cs="Times New Roman"/>
              <w:sz w:val="24"/>
              <w:szCs w:val="24"/>
              <w:lang w:val="en-IN"/>
            </w:rPr>
            <w:t xml:space="preserve"> </w:t>
          </w:r>
        </w:p>
        <w:p w14:paraId="1AE2011B" w14:textId="4B200216" w:rsidR="002118AD" w:rsidRPr="00762C3E" w:rsidRDefault="002118AD" w:rsidP="002118AD">
          <w:pPr>
            <w:spacing w:line="360" w:lineRule="auto"/>
            <w:jc w:val="both"/>
            <w:rPr>
              <w:rFonts w:ascii="Times New Roman" w:hAnsi="Times New Roman" w:cs="Times New Roman"/>
              <w:sz w:val="24"/>
              <w:szCs w:val="24"/>
              <w:lang w:val="en-IN"/>
            </w:rPr>
          </w:pPr>
          <w:r w:rsidRPr="002118AD">
            <w:rPr>
              <w:rFonts w:ascii="Times New Roman" w:hAnsi="Times New Roman" w:cs="Times New Roman"/>
              <w:sz w:val="24"/>
              <w:szCs w:val="24"/>
            </w:rPr>
            <w:t>Moreover, debt financing is another form of raising funds through bank loans and Government bonds under which an investor can gate funding without giving ownership of the business however there is an obligation of repayment along with interest other than the princi</w:t>
          </w:r>
          <w:r w:rsidR="00762C3E">
            <w:rPr>
              <w:rFonts w:ascii="Times New Roman" w:hAnsi="Times New Roman" w:cs="Times New Roman"/>
              <w:sz w:val="24"/>
              <w:szCs w:val="24"/>
            </w:rPr>
            <w:t>pal (</w:t>
          </w:r>
          <w:r w:rsidR="00762C3E" w:rsidRPr="00762C3E">
            <w:rPr>
              <w:rFonts w:ascii="Times New Roman" w:hAnsi="Times New Roman" w:cs="Times New Roman"/>
              <w:sz w:val="24"/>
              <w:szCs w:val="24"/>
              <w:lang w:val="en-IN"/>
            </w:rPr>
            <w:t xml:space="preserve">Santos, </w:t>
          </w:r>
          <w:proofErr w:type="spellStart"/>
          <w:r w:rsidR="00762C3E" w:rsidRPr="00762C3E">
            <w:rPr>
              <w:rFonts w:ascii="Times New Roman" w:hAnsi="Times New Roman" w:cs="Times New Roman"/>
              <w:sz w:val="24"/>
              <w:szCs w:val="24"/>
              <w:lang w:val="en-IN"/>
            </w:rPr>
            <w:t>Cincera</w:t>
          </w:r>
          <w:proofErr w:type="spellEnd"/>
          <w:r w:rsidR="00762C3E" w:rsidRPr="00762C3E">
            <w:rPr>
              <w:rFonts w:ascii="Times New Roman" w:hAnsi="Times New Roman" w:cs="Times New Roman"/>
              <w:sz w:val="24"/>
              <w:szCs w:val="24"/>
              <w:lang w:val="en-IN"/>
            </w:rPr>
            <w:t xml:space="preserve"> and Cerulli, 2024</w:t>
          </w:r>
          <w:r w:rsidR="00762C3E">
            <w:rPr>
              <w:rFonts w:ascii="Times New Roman" w:hAnsi="Times New Roman" w:cs="Times New Roman"/>
              <w:sz w:val="24"/>
              <w:szCs w:val="24"/>
            </w:rPr>
            <w:t>)</w:t>
          </w:r>
          <w:r w:rsidRPr="002118AD">
            <w:rPr>
              <w:rFonts w:ascii="Times New Roman" w:hAnsi="Times New Roman" w:cs="Times New Roman"/>
              <w:sz w:val="24"/>
              <w:szCs w:val="24"/>
            </w:rPr>
            <w:t xml:space="preserve">. Moreover, </w:t>
          </w:r>
          <w:r w:rsidR="00762C3E">
            <w:rPr>
              <w:rFonts w:ascii="Times New Roman" w:hAnsi="Times New Roman" w:cs="Times New Roman"/>
              <w:sz w:val="24"/>
              <w:szCs w:val="24"/>
            </w:rPr>
            <w:t>G</w:t>
          </w:r>
          <w:r w:rsidRPr="002118AD">
            <w:rPr>
              <w:rFonts w:ascii="Times New Roman" w:hAnsi="Times New Roman" w:cs="Times New Roman"/>
              <w:sz w:val="24"/>
              <w:szCs w:val="24"/>
            </w:rPr>
            <w:t xml:space="preserve">rants and subsidies from the government in funding proposal </w:t>
          </w:r>
          <w:r w:rsidR="00762C3E">
            <w:rPr>
              <w:rFonts w:ascii="Times New Roman" w:hAnsi="Times New Roman" w:cs="Times New Roman"/>
              <w:sz w:val="24"/>
              <w:szCs w:val="24"/>
            </w:rPr>
            <w:t>B</w:t>
          </w:r>
          <w:r w:rsidRPr="002118AD">
            <w:rPr>
              <w:rFonts w:ascii="Times New Roman" w:hAnsi="Times New Roman" w:cs="Times New Roman"/>
              <w:sz w:val="24"/>
              <w:szCs w:val="24"/>
            </w:rPr>
            <w:t xml:space="preserve"> of developing internet sales without any obligation of payment and diluting the ownership of the company.</w:t>
          </w:r>
        </w:p>
        <w:p w14:paraId="466909FA" w14:textId="70D0810B" w:rsidR="002118AD" w:rsidRDefault="002118AD" w:rsidP="002118AD">
          <w:pPr>
            <w:spacing w:line="360" w:lineRule="auto"/>
            <w:jc w:val="both"/>
            <w:rPr>
              <w:rFonts w:ascii="Times New Roman" w:hAnsi="Times New Roman" w:cs="Times New Roman"/>
              <w:sz w:val="24"/>
              <w:szCs w:val="24"/>
            </w:rPr>
          </w:pPr>
          <w:r w:rsidRPr="002118AD">
            <w:rPr>
              <w:rFonts w:ascii="Times New Roman" w:hAnsi="Times New Roman" w:cs="Times New Roman"/>
              <w:sz w:val="24"/>
              <w:szCs w:val="24"/>
            </w:rPr>
            <w:t>In the current case, Greenacres PLC can consider gran</w:t>
          </w:r>
          <w:r w:rsidR="00762C3E">
            <w:rPr>
              <w:rFonts w:ascii="Times New Roman" w:hAnsi="Times New Roman" w:cs="Times New Roman"/>
              <w:sz w:val="24"/>
              <w:szCs w:val="24"/>
            </w:rPr>
            <w:t xml:space="preserve">ts and </w:t>
          </w:r>
          <w:r w:rsidRPr="002118AD">
            <w:rPr>
              <w:rFonts w:ascii="Times New Roman" w:hAnsi="Times New Roman" w:cs="Times New Roman"/>
              <w:sz w:val="24"/>
              <w:szCs w:val="24"/>
            </w:rPr>
            <w:t xml:space="preserve">subsidies as a source of funding for the digital sales proposal </w:t>
          </w:r>
          <w:r w:rsidR="00762C3E">
            <w:rPr>
              <w:rFonts w:ascii="Times New Roman" w:hAnsi="Times New Roman" w:cs="Times New Roman"/>
              <w:sz w:val="24"/>
              <w:szCs w:val="24"/>
            </w:rPr>
            <w:t>B</w:t>
          </w:r>
          <w:r w:rsidRPr="002118AD">
            <w:rPr>
              <w:rFonts w:ascii="Times New Roman" w:hAnsi="Times New Roman" w:cs="Times New Roman"/>
              <w:sz w:val="24"/>
              <w:szCs w:val="24"/>
            </w:rPr>
            <w:t xml:space="preserve"> which is an innovative sustainable project attracting government organisations to support the cause creating employment opportunities for the community and it feasible for an entity.</w:t>
          </w:r>
        </w:p>
        <w:p w14:paraId="2BA733BF" w14:textId="46B0A28C" w:rsidR="004560C3" w:rsidRPr="00C65FFA" w:rsidRDefault="004560C3" w:rsidP="002118AD">
          <w:pPr>
            <w:spacing w:line="360" w:lineRule="auto"/>
            <w:jc w:val="both"/>
          </w:pPr>
          <w:r w:rsidRPr="00C74095">
            <w:rPr>
              <w:rFonts w:ascii="Times New Roman" w:hAnsi="Times New Roman" w:cs="Times New Roman"/>
              <w:color w:val="000000" w:themeColor="text1"/>
              <w:sz w:val="24"/>
              <w:szCs w:val="24"/>
              <w:u w:val="single"/>
            </w:rPr>
            <w:t>Determine advantages and disadvantages of sources of Finance</w:t>
          </w:r>
        </w:p>
        <w:p w14:paraId="6009C273" w14:textId="18E165D5" w:rsidR="006562CC" w:rsidRPr="006562CC" w:rsidRDefault="006562CC" w:rsidP="006562CC">
          <w:pPr>
            <w:spacing w:line="360" w:lineRule="auto"/>
            <w:jc w:val="both"/>
            <w:rPr>
              <w:rFonts w:ascii="Times New Roman" w:hAnsi="Times New Roman" w:cs="Times New Roman"/>
              <w:sz w:val="24"/>
              <w:szCs w:val="24"/>
            </w:rPr>
          </w:pPr>
          <w:r w:rsidRPr="006562CC">
            <w:rPr>
              <w:rFonts w:ascii="Times New Roman" w:hAnsi="Times New Roman" w:cs="Times New Roman"/>
              <w:sz w:val="24"/>
              <w:szCs w:val="24"/>
            </w:rPr>
            <w:t xml:space="preserve">Equity financing is beneficial for an entity and funding its project with no obligation of repayment as it gives flexibility to an entity supporting its cash flow by raising capital from shareholders which decreases financial dress with no rep payment </w:t>
          </w:r>
          <w:r w:rsidR="00762C3E">
            <w:rPr>
              <w:rFonts w:ascii="Times New Roman" w:hAnsi="Times New Roman" w:cs="Times New Roman"/>
              <w:sz w:val="24"/>
              <w:szCs w:val="24"/>
            </w:rPr>
            <w:t xml:space="preserve">obligation </w:t>
          </w:r>
          <w:r w:rsidRPr="006562CC">
            <w:rPr>
              <w:rFonts w:ascii="Times New Roman" w:hAnsi="Times New Roman" w:cs="Times New Roman"/>
              <w:sz w:val="24"/>
              <w:szCs w:val="24"/>
            </w:rPr>
            <w:t xml:space="preserve">even in the case of loss. In the case of </w:t>
          </w:r>
          <w:r w:rsidR="00762C3E">
            <w:rPr>
              <w:rFonts w:ascii="Times New Roman" w:hAnsi="Times New Roman" w:cs="Times New Roman"/>
              <w:sz w:val="24"/>
              <w:szCs w:val="24"/>
            </w:rPr>
            <w:t>G</w:t>
          </w:r>
          <w:r w:rsidRPr="006562CC">
            <w:rPr>
              <w:rFonts w:ascii="Times New Roman" w:hAnsi="Times New Roman" w:cs="Times New Roman"/>
              <w:sz w:val="24"/>
              <w:szCs w:val="24"/>
            </w:rPr>
            <w:t xml:space="preserve">reenacres PLC proposal </w:t>
          </w:r>
          <w:r w:rsidR="00762C3E">
            <w:rPr>
              <w:rFonts w:ascii="Times New Roman" w:hAnsi="Times New Roman" w:cs="Times New Roman"/>
              <w:sz w:val="24"/>
              <w:szCs w:val="24"/>
            </w:rPr>
            <w:t>B</w:t>
          </w:r>
          <w:r w:rsidRPr="006562CC">
            <w:rPr>
              <w:rFonts w:ascii="Times New Roman" w:hAnsi="Times New Roman" w:cs="Times New Roman"/>
              <w:sz w:val="24"/>
              <w:szCs w:val="24"/>
            </w:rPr>
            <w:t xml:space="preserve"> is recommended due to higher NPV can consider this form of funding </w:t>
          </w:r>
          <w:r w:rsidR="00762C3E">
            <w:rPr>
              <w:rFonts w:ascii="Times New Roman" w:hAnsi="Times New Roman" w:cs="Times New Roman"/>
              <w:sz w:val="24"/>
              <w:szCs w:val="24"/>
            </w:rPr>
            <w:t xml:space="preserve">the project </w:t>
          </w:r>
          <w:r w:rsidRPr="006562CC">
            <w:rPr>
              <w:rFonts w:ascii="Times New Roman" w:hAnsi="Times New Roman" w:cs="Times New Roman"/>
              <w:sz w:val="24"/>
              <w:szCs w:val="24"/>
            </w:rPr>
            <w:t xml:space="preserve">with an investment capital of </w:t>
          </w:r>
          <w:r>
            <w:rPr>
              <w:rFonts w:ascii="Times New Roman" w:hAnsi="Times New Roman" w:cs="Times New Roman"/>
              <w:sz w:val="24"/>
              <w:szCs w:val="24"/>
            </w:rPr>
            <w:t>£</w:t>
          </w:r>
          <w:r w:rsidRPr="006562CC">
            <w:rPr>
              <w:rFonts w:ascii="Times New Roman" w:hAnsi="Times New Roman" w:cs="Times New Roman"/>
              <w:sz w:val="24"/>
              <w:szCs w:val="24"/>
            </w:rPr>
            <w:t>1000</w:t>
          </w:r>
          <w:r w:rsidR="00762C3E">
            <w:rPr>
              <w:rFonts w:ascii="Times New Roman" w:hAnsi="Times New Roman" w:cs="Times New Roman"/>
              <w:sz w:val="24"/>
              <w:szCs w:val="24"/>
            </w:rPr>
            <w:t>,</w:t>
          </w:r>
          <w:r w:rsidRPr="006562CC">
            <w:rPr>
              <w:rFonts w:ascii="Times New Roman" w:hAnsi="Times New Roman" w:cs="Times New Roman"/>
              <w:sz w:val="24"/>
              <w:szCs w:val="24"/>
            </w:rPr>
            <w:t xml:space="preserve">000 by issuing equity shares from the public. However, one of the limitations of this form of financing is that an entity needs to lose some ownership or control of the business by giving ownership rights to equity shareholders according to their share capital in a business and also the </w:t>
          </w:r>
          <w:r w:rsidR="00762C3E">
            <w:rPr>
              <w:rFonts w:ascii="Times New Roman" w:hAnsi="Times New Roman" w:cs="Times New Roman"/>
              <w:sz w:val="24"/>
              <w:szCs w:val="24"/>
            </w:rPr>
            <w:t xml:space="preserve">intervene </w:t>
          </w:r>
          <w:r w:rsidRPr="006562CC">
            <w:rPr>
              <w:rFonts w:ascii="Times New Roman" w:hAnsi="Times New Roman" w:cs="Times New Roman"/>
              <w:sz w:val="24"/>
              <w:szCs w:val="24"/>
            </w:rPr>
            <w:t xml:space="preserve">in decision-making of business. </w:t>
          </w:r>
        </w:p>
        <w:p w14:paraId="7175B201" w14:textId="68D8A49A" w:rsidR="006562CC" w:rsidRPr="006562CC" w:rsidRDefault="006562CC" w:rsidP="006562CC">
          <w:pPr>
            <w:spacing w:line="360" w:lineRule="auto"/>
            <w:jc w:val="both"/>
            <w:rPr>
              <w:rFonts w:ascii="Times New Roman" w:hAnsi="Times New Roman" w:cs="Times New Roman"/>
              <w:sz w:val="24"/>
              <w:szCs w:val="24"/>
            </w:rPr>
          </w:pPr>
          <w:r w:rsidRPr="006562CC">
            <w:rPr>
              <w:rFonts w:ascii="Times New Roman" w:hAnsi="Times New Roman" w:cs="Times New Roman"/>
              <w:sz w:val="24"/>
              <w:szCs w:val="24"/>
            </w:rPr>
            <w:lastRenderedPageBreak/>
            <w:t>Moreover, debt financing gives the flexibility to retain business ownership and control with an entity by just paying principal along with interest every month w</w:t>
          </w:r>
          <w:r w:rsidR="00762C3E">
            <w:rPr>
              <w:rFonts w:ascii="Times New Roman" w:hAnsi="Times New Roman" w:cs="Times New Roman"/>
              <w:sz w:val="24"/>
              <w:szCs w:val="24"/>
            </w:rPr>
            <w:t xml:space="preserve">hose </w:t>
          </w:r>
          <w:r w:rsidRPr="006562CC">
            <w:rPr>
              <w:rFonts w:ascii="Times New Roman" w:hAnsi="Times New Roman" w:cs="Times New Roman"/>
              <w:sz w:val="24"/>
              <w:szCs w:val="24"/>
            </w:rPr>
            <w:t xml:space="preserve">is cost is lower than the rate of project returns. However, there is an obligation to </w:t>
          </w:r>
          <w:r w:rsidR="00762C3E">
            <w:rPr>
              <w:rFonts w:ascii="Times New Roman" w:hAnsi="Times New Roman" w:cs="Times New Roman"/>
              <w:sz w:val="24"/>
              <w:szCs w:val="24"/>
            </w:rPr>
            <w:t xml:space="preserve">repay </w:t>
          </w:r>
          <w:r w:rsidRPr="006562CC">
            <w:rPr>
              <w:rFonts w:ascii="Times New Roman" w:hAnsi="Times New Roman" w:cs="Times New Roman"/>
              <w:sz w:val="24"/>
              <w:szCs w:val="24"/>
            </w:rPr>
            <w:t xml:space="preserve">which could impact the liquidity and cash flow position of an entity and can create a financial burden in the case of loss. </w:t>
          </w:r>
        </w:p>
        <w:p w14:paraId="2E54B463" w14:textId="4B3AD6B6" w:rsidR="006562CC" w:rsidRPr="006562CC" w:rsidRDefault="006562CC" w:rsidP="006562CC">
          <w:pPr>
            <w:spacing w:line="360" w:lineRule="auto"/>
            <w:jc w:val="both"/>
            <w:rPr>
              <w:rFonts w:ascii="Times New Roman" w:hAnsi="Times New Roman" w:cs="Times New Roman"/>
              <w:sz w:val="24"/>
              <w:szCs w:val="24"/>
            </w:rPr>
          </w:pPr>
          <w:r w:rsidRPr="006562CC">
            <w:rPr>
              <w:rFonts w:ascii="Times New Roman" w:hAnsi="Times New Roman" w:cs="Times New Roman"/>
              <w:sz w:val="24"/>
              <w:szCs w:val="24"/>
            </w:rPr>
            <w:t>Grants and subsidies gave financial assistance to businesses or projects working on sustainability and innovation without any obligation of repayment or giving ownership of the company is feasible for funding proposal B of Greenacres PLC.</w:t>
          </w:r>
        </w:p>
        <w:p w14:paraId="781664DC" w14:textId="61E81A82" w:rsidR="00480872" w:rsidRDefault="004560C3" w:rsidP="00C74095">
          <w:pPr>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CONCLUSION</w:t>
          </w:r>
        </w:p>
        <w:p w14:paraId="3E4A89B1" w14:textId="00B3C27D" w:rsidR="006562CC" w:rsidRPr="00840FE2" w:rsidRDefault="00762C3E" w:rsidP="00840F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w:t>
          </w:r>
          <w:r w:rsidR="006562CC" w:rsidRPr="006562CC">
            <w:rPr>
              <w:rFonts w:ascii="Times New Roman" w:hAnsi="Times New Roman" w:cs="Times New Roman"/>
              <w:sz w:val="24"/>
              <w:szCs w:val="24"/>
            </w:rPr>
            <w:t>summarized from the above report that the profitability of Tesco PLC is positive and witnessed growth over the period but a slight decline in the liquidity position</w:t>
          </w:r>
          <w:r>
            <w:rPr>
              <w:rFonts w:ascii="Times New Roman" w:hAnsi="Times New Roman" w:cs="Times New Roman"/>
              <w:sz w:val="24"/>
              <w:szCs w:val="24"/>
            </w:rPr>
            <w:t xml:space="preserve">. However, gearing ratio </w:t>
          </w:r>
          <w:r w:rsidR="006562CC" w:rsidRPr="006562CC">
            <w:rPr>
              <w:rFonts w:ascii="Times New Roman" w:hAnsi="Times New Roman" w:cs="Times New Roman"/>
              <w:sz w:val="24"/>
              <w:szCs w:val="24"/>
            </w:rPr>
            <w:t xml:space="preserve">is decreasing which is positive for the company </w:t>
          </w:r>
          <w:r>
            <w:rPr>
              <w:rFonts w:ascii="Times New Roman" w:hAnsi="Times New Roman" w:cs="Times New Roman"/>
              <w:sz w:val="24"/>
              <w:szCs w:val="24"/>
            </w:rPr>
            <w:t xml:space="preserve">in </w:t>
          </w:r>
          <w:r w:rsidR="006562CC" w:rsidRPr="006562CC">
            <w:rPr>
              <w:rFonts w:ascii="Times New Roman" w:hAnsi="Times New Roman" w:cs="Times New Roman"/>
              <w:sz w:val="24"/>
              <w:szCs w:val="24"/>
            </w:rPr>
            <w:t xml:space="preserve">terms of reducing the portion of </w:t>
          </w:r>
          <w:r>
            <w:rPr>
              <w:rFonts w:ascii="Times New Roman" w:hAnsi="Times New Roman" w:cs="Times New Roman"/>
              <w:sz w:val="24"/>
              <w:szCs w:val="24"/>
            </w:rPr>
            <w:t xml:space="preserve">debt </w:t>
          </w:r>
          <w:r w:rsidR="006562CC" w:rsidRPr="006562CC">
            <w:rPr>
              <w:rFonts w:ascii="Times New Roman" w:hAnsi="Times New Roman" w:cs="Times New Roman"/>
              <w:sz w:val="24"/>
              <w:szCs w:val="24"/>
            </w:rPr>
            <w:t xml:space="preserve">from the capital structure with constant efficiency ratios followed by rising interest cover but slightly decline in the dividend yield. Moreover, proposal </w:t>
          </w:r>
          <w:r>
            <w:rPr>
              <w:rFonts w:ascii="Times New Roman" w:hAnsi="Times New Roman" w:cs="Times New Roman"/>
              <w:sz w:val="24"/>
              <w:szCs w:val="24"/>
            </w:rPr>
            <w:t>B</w:t>
          </w:r>
          <w:r w:rsidR="006562CC" w:rsidRPr="006562CC">
            <w:rPr>
              <w:rFonts w:ascii="Times New Roman" w:hAnsi="Times New Roman" w:cs="Times New Roman"/>
              <w:sz w:val="24"/>
              <w:szCs w:val="24"/>
            </w:rPr>
            <w:t xml:space="preserve"> which is developing internet sales is recommended to Greenacres PLC considering its higher NPV of </w:t>
          </w:r>
          <w:r w:rsidR="006562CC">
            <w:rPr>
              <w:rFonts w:ascii="Times New Roman" w:hAnsi="Times New Roman" w:cs="Times New Roman"/>
              <w:sz w:val="24"/>
              <w:szCs w:val="24"/>
            </w:rPr>
            <w:t>£</w:t>
          </w:r>
          <w:r w:rsidR="006562CC" w:rsidRPr="006562CC">
            <w:rPr>
              <w:rFonts w:ascii="Times New Roman" w:hAnsi="Times New Roman" w:cs="Times New Roman"/>
              <w:sz w:val="24"/>
              <w:szCs w:val="24"/>
            </w:rPr>
            <w:t>898000 as compared to the other two proposals and according to the internal rate of return proposal C is given preference considering its higher internal rate of return of 13.35%</w:t>
          </w:r>
          <w:r>
            <w:rPr>
              <w:rFonts w:ascii="Times New Roman" w:hAnsi="Times New Roman" w:cs="Times New Roman"/>
              <w:sz w:val="24"/>
              <w:szCs w:val="24"/>
            </w:rPr>
            <w:t xml:space="preserve">. However, </w:t>
          </w:r>
          <w:r w:rsidR="006562CC" w:rsidRPr="006562CC">
            <w:rPr>
              <w:rFonts w:ascii="Times New Roman" w:hAnsi="Times New Roman" w:cs="Times New Roman"/>
              <w:sz w:val="24"/>
              <w:szCs w:val="24"/>
            </w:rPr>
            <w:t xml:space="preserve">greater preference is given to net present value method being an effective capital budgeting approach. The optimal investment policy where budget constraint is </w:t>
          </w:r>
          <w:r w:rsidR="006562CC">
            <w:rPr>
              <w:rFonts w:ascii="Times New Roman" w:hAnsi="Times New Roman" w:cs="Times New Roman"/>
              <w:sz w:val="24"/>
              <w:szCs w:val="24"/>
            </w:rPr>
            <w:t>£</w:t>
          </w:r>
          <w:r w:rsidR="006562CC" w:rsidRPr="006562CC">
            <w:rPr>
              <w:rFonts w:ascii="Times New Roman" w:hAnsi="Times New Roman" w:cs="Times New Roman"/>
              <w:sz w:val="24"/>
              <w:szCs w:val="24"/>
            </w:rPr>
            <w:t xml:space="preserve">25,00,000 under which proposal B and proposal A are fully funded except proposal C which is partially funded by </w:t>
          </w:r>
          <w:r w:rsidR="006562CC">
            <w:rPr>
              <w:rFonts w:ascii="Times New Roman" w:hAnsi="Times New Roman" w:cs="Times New Roman"/>
              <w:sz w:val="24"/>
              <w:szCs w:val="24"/>
            </w:rPr>
            <w:t>£</w:t>
          </w:r>
          <w:r w:rsidR="006562CC" w:rsidRPr="006562CC">
            <w:rPr>
              <w:rFonts w:ascii="Times New Roman" w:hAnsi="Times New Roman" w:cs="Times New Roman"/>
              <w:sz w:val="24"/>
              <w:szCs w:val="24"/>
            </w:rPr>
            <w:t xml:space="preserve">840000 and which is a fraction of 49.4% of NPV and overall contribution of optimal policy and terms of net present value method accounts to </w:t>
          </w:r>
          <w:r w:rsidR="006562CC">
            <w:rPr>
              <w:rFonts w:ascii="Times New Roman" w:hAnsi="Times New Roman" w:cs="Times New Roman"/>
              <w:sz w:val="24"/>
              <w:szCs w:val="24"/>
            </w:rPr>
            <w:t>£</w:t>
          </w:r>
          <w:r w:rsidR="006562CC" w:rsidRPr="006562CC">
            <w:rPr>
              <w:rFonts w:ascii="Times New Roman" w:hAnsi="Times New Roman" w:cs="Times New Roman"/>
              <w:sz w:val="24"/>
              <w:szCs w:val="24"/>
            </w:rPr>
            <w:t>1835000 of all these three proposals under this constant budget.</w:t>
          </w:r>
        </w:p>
        <w:p w14:paraId="68F58A6B" w14:textId="77777777" w:rsidR="00762C3E" w:rsidRDefault="00762C3E">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0E285665" w14:textId="0BC39346" w:rsidR="00480872" w:rsidRDefault="00762C3E" w:rsidP="00AA2A91">
          <w:pPr>
            <w:pStyle w:val="Heading1"/>
            <w:rPr>
              <w:rFonts w:ascii="Times New Roman" w:hAnsi="Times New Roman" w:cs="Times New Roman"/>
              <w:b/>
              <w:bCs/>
              <w:color w:val="000000" w:themeColor="text1"/>
              <w:sz w:val="28"/>
              <w:szCs w:val="28"/>
            </w:rPr>
          </w:pPr>
          <w:bookmarkStart w:id="72" w:name="_Toc186239363"/>
          <w:r w:rsidRPr="00762C3E">
            <w:rPr>
              <w:rFonts w:ascii="Times New Roman" w:hAnsi="Times New Roman" w:cs="Times New Roman"/>
              <w:b/>
              <w:bCs/>
              <w:color w:val="000000" w:themeColor="text1"/>
              <w:sz w:val="28"/>
              <w:szCs w:val="28"/>
            </w:rPr>
            <w:lastRenderedPageBreak/>
            <w:t>REFERENCES</w:t>
          </w:r>
          <w:bookmarkEnd w:id="72"/>
        </w:p>
        <w:p w14:paraId="61294913"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Almeida, A. and Cunha, J. (2017) 'The implementation of an Activity-Based Costing (ABC) system in a manufacturing company,' </w:t>
          </w:r>
          <w:r w:rsidRPr="004F4A55">
            <w:rPr>
              <w:rFonts w:ascii="Times New Roman" w:hAnsi="Times New Roman" w:cs="Times New Roman"/>
              <w:i/>
              <w:iCs/>
              <w:sz w:val="24"/>
              <w:szCs w:val="24"/>
              <w:lang w:val="en-IN"/>
            </w:rPr>
            <w:t>Procedia Manufacturing</w:t>
          </w:r>
          <w:r w:rsidRPr="004F4A55">
            <w:rPr>
              <w:rFonts w:ascii="Times New Roman" w:hAnsi="Times New Roman" w:cs="Times New Roman"/>
              <w:sz w:val="24"/>
              <w:szCs w:val="24"/>
              <w:lang w:val="en-IN"/>
            </w:rPr>
            <w:t>, 13, pp. 932–939. https://doi.org/10.1016/j.promfg.2017.09.162.</w:t>
          </w:r>
        </w:p>
        <w:p w14:paraId="07E551E5"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Bai, C.A., Sarkis, J. and Xue, W. (2024) 'Improving operational efficiency and effectiveness through blockchain technology,' </w:t>
          </w:r>
          <w:r w:rsidRPr="004F4A55">
            <w:rPr>
              <w:rFonts w:ascii="Times New Roman" w:hAnsi="Times New Roman" w:cs="Times New Roman"/>
              <w:i/>
              <w:iCs/>
              <w:sz w:val="24"/>
              <w:szCs w:val="24"/>
              <w:lang w:val="en-IN"/>
            </w:rPr>
            <w:t>Production Planning &amp; Control</w:t>
          </w:r>
          <w:r w:rsidRPr="004F4A55">
            <w:rPr>
              <w:rFonts w:ascii="Times New Roman" w:hAnsi="Times New Roman" w:cs="Times New Roman"/>
              <w:sz w:val="24"/>
              <w:szCs w:val="24"/>
              <w:lang w:val="en-IN"/>
            </w:rPr>
            <w:t>, 35(9), pp. 857–865. https://doi.org/10.1080/09537287.2024.2329182.</w:t>
          </w:r>
        </w:p>
        <w:p w14:paraId="03837891"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Bunea, O.-I., </w:t>
          </w:r>
          <w:proofErr w:type="spellStart"/>
          <w:r w:rsidRPr="004F4A55">
            <w:rPr>
              <w:rFonts w:ascii="Times New Roman" w:hAnsi="Times New Roman" w:cs="Times New Roman"/>
              <w:sz w:val="24"/>
              <w:szCs w:val="24"/>
              <w:lang w:val="en-IN"/>
            </w:rPr>
            <w:t>Corbos</w:t>
          </w:r>
          <w:proofErr w:type="spellEnd"/>
          <w:r w:rsidRPr="004F4A55">
            <w:rPr>
              <w:rFonts w:ascii="Times New Roman" w:hAnsi="Times New Roman" w:cs="Times New Roman"/>
              <w:sz w:val="24"/>
              <w:szCs w:val="24"/>
              <w:lang w:val="en-IN"/>
            </w:rPr>
            <w:t xml:space="preserve">, R.-A. and Popescu, R.-I. (2019) 'Influence of some financial indicators on return on equity ratio in the Romanian energy sector - A competitive approach using a DuPont-based analysis,' </w:t>
          </w:r>
          <w:r w:rsidRPr="004F4A55">
            <w:rPr>
              <w:rFonts w:ascii="Times New Roman" w:hAnsi="Times New Roman" w:cs="Times New Roman"/>
              <w:i/>
              <w:iCs/>
              <w:sz w:val="24"/>
              <w:szCs w:val="24"/>
              <w:lang w:val="en-IN"/>
            </w:rPr>
            <w:t>Energy</w:t>
          </w:r>
          <w:r w:rsidRPr="004F4A55">
            <w:rPr>
              <w:rFonts w:ascii="Times New Roman" w:hAnsi="Times New Roman" w:cs="Times New Roman"/>
              <w:sz w:val="24"/>
              <w:szCs w:val="24"/>
              <w:lang w:val="en-IN"/>
            </w:rPr>
            <w:t>, 189, p. 116251. https://doi.org/10.1016/j.energy.2019.116251.</w:t>
          </w:r>
        </w:p>
        <w:p w14:paraId="65B4F2E5"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Chiaramonte, L. and Casu, B. (2016) 'Capital and liquidity ratios and financial distress. Evidence from the European banking industry,' </w:t>
          </w:r>
          <w:r w:rsidRPr="004F4A55">
            <w:rPr>
              <w:rFonts w:ascii="Times New Roman" w:hAnsi="Times New Roman" w:cs="Times New Roman"/>
              <w:i/>
              <w:iCs/>
              <w:sz w:val="24"/>
              <w:szCs w:val="24"/>
              <w:lang w:val="en-IN"/>
            </w:rPr>
            <w:t>The British Accounting Review</w:t>
          </w:r>
          <w:r w:rsidRPr="004F4A55">
            <w:rPr>
              <w:rFonts w:ascii="Times New Roman" w:hAnsi="Times New Roman" w:cs="Times New Roman"/>
              <w:sz w:val="24"/>
              <w:szCs w:val="24"/>
              <w:lang w:val="en-IN"/>
            </w:rPr>
            <w:t>, 49(2), pp. 138–161. https://doi.org/10.1016/j.bar.2016.04.001.</w:t>
          </w:r>
        </w:p>
        <w:p w14:paraId="69D71913"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Delen, D., Kuzey, C. and Uyar, A. (2013) 'Measuring firm performance using financial ratios: A decision tree approach,' </w:t>
          </w:r>
          <w:r w:rsidRPr="004F4A55">
            <w:rPr>
              <w:rFonts w:ascii="Times New Roman" w:hAnsi="Times New Roman" w:cs="Times New Roman"/>
              <w:i/>
              <w:iCs/>
              <w:sz w:val="24"/>
              <w:szCs w:val="24"/>
              <w:lang w:val="en-IN"/>
            </w:rPr>
            <w:t xml:space="preserve">Expert Systems </w:t>
          </w:r>
          <w:proofErr w:type="gramStart"/>
          <w:r w:rsidRPr="004F4A55">
            <w:rPr>
              <w:rFonts w:ascii="Times New Roman" w:hAnsi="Times New Roman" w:cs="Times New Roman"/>
              <w:i/>
              <w:iCs/>
              <w:sz w:val="24"/>
              <w:szCs w:val="24"/>
              <w:lang w:val="en-IN"/>
            </w:rPr>
            <w:t>With</w:t>
          </w:r>
          <w:proofErr w:type="gramEnd"/>
          <w:r w:rsidRPr="004F4A55">
            <w:rPr>
              <w:rFonts w:ascii="Times New Roman" w:hAnsi="Times New Roman" w:cs="Times New Roman"/>
              <w:i/>
              <w:iCs/>
              <w:sz w:val="24"/>
              <w:szCs w:val="24"/>
              <w:lang w:val="en-IN"/>
            </w:rPr>
            <w:t xml:space="preserve"> Applications</w:t>
          </w:r>
          <w:r w:rsidRPr="004F4A55">
            <w:rPr>
              <w:rFonts w:ascii="Times New Roman" w:hAnsi="Times New Roman" w:cs="Times New Roman"/>
              <w:sz w:val="24"/>
              <w:szCs w:val="24"/>
              <w:lang w:val="en-IN"/>
            </w:rPr>
            <w:t>, 40(10), pp. 3970–3983. https://doi.org/10.1016/j.eswa.2013.01.012.</w:t>
          </w:r>
        </w:p>
        <w:p w14:paraId="7BE9DE97"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Durham, C.A., Bouma, A. and Meunier-Goddik, L. (2015) 'A decision-making tool to determine economic feasibility and break-even prices for artisan cheese operations,' </w:t>
          </w:r>
          <w:r w:rsidRPr="004F4A55">
            <w:rPr>
              <w:rFonts w:ascii="Times New Roman" w:hAnsi="Times New Roman" w:cs="Times New Roman"/>
              <w:i/>
              <w:iCs/>
              <w:sz w:val="24"/>
              <w:szCs w:val="24"/>
              <w:lang w:val="en-IN"/>
            </w:rPr>
            <w:t>Journal of Dairy Science</w:t>
          </w:r>
          <w:r w:rsidRPr="004F4A55">
            <w:rPr>
              <w:rFonts w:ascii="Times New Roman" w:hAnsi="Times New Roman" w:cs="Times New Roman"/>
              <w:sz w:val="24"/>
              <w:szCs w:val="24"/>
              <w:lang w:val="en-IN"/>
            </w:rPr>
            <w:t>, 98(12), pp. 8319–8332. https://doi.org/10.3168/jds.2014-9252.</w:t>
          </w:r>
        </w:p>
        <w:p w14:paraId="560D4E40"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Edwards, J.R. (2024) 'Capitalism and the return on capital employed. Some further evidence,' </w:t>
          </w:r>
          <w:r w:rsidRPr="004F4A55">
            <w:rPr>
              <w:rFonts w:ascii="Times New Roman" w:hAnsi="Times New Roman" w:cs="Times New Roman"/>
              <w:i/>
              <w:iCs/>
              <w:sz w:val="24"/>
              <w:szCs w:val="24"/>
              <w:lang w:val="en-IN"/>
            </w:rPr>
            <w:t>The British Accounting Review</w:t>
          </w:r>
          <w:r w:rsidRPr="004F4A55">
            <w:rPr>
              <w:rFonts w:ascii="Times New Roman" w:hAnsi="Times New Roman" w:cs="Times New Roman"/>
              <w:sz w:val="24"/>
              <w:szCs w:val="24"/>
              <w:lang w:val="en-IN"/>
            </w:rPr>
            <w:t>, 56(6), p. 101320. https://doi.org/10.1016/j.bar.2024.101320.</w:t>
          </w:r>
        </w:p>
        <w:p w14:paraId="577FCFC8"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Espinoza, R.D. (2014) 'Separating project risk from the time value of money: A step toward integration of risk management and valuation of infrastructure investments,' </w:t>
          </w:r>
          <w:r w:rsidRPr="004F4A55">
            <w:rPr>
              <w:rFonts w:ascii="Times New Roman" w:hAnsi="Times New Roman" w:cs="Times New Roman"/>
              <w:i/>
              <w:iCs/>
              <w:sz w:val="24"/>
              <w:szCs w:val="24"/>
              <w:lang w:val="en-IN"/>
            </w:rPr>
            <w:t>International Journal of Project Management</w:t>
          </w:r>
          <w:r w:rsidRPr="004F4A55">
            <w:rPr>
              <w:rFonts w:ascii="Times New Roman" w:hAnsi="Times New Roman" w:cs="Times New Roman"/>
              <w:sz w:val="24"/>
              <w:szCs w:val="24"/>
              <w:lang w:val="en-IN"/>
            </w:rPr>
            <w:t>, 32(6), pp. 1056–1072. https://doi.org/10.1016/j.ijproman.2013.12.006.</w:t>
          </w:r>
        </w:p>
        <w:p w14:paraId="5D530006"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Han, C. and Jang, Y. (2012) 'Effects of debt collection practices on loss given default,' </w:t>
          </w:r>
          <w:r w:rsidRPr="004F4A55">
            <w:rPr>
              <w:rFonts w:ascii="Times New Roman" w:hAnsi="Times New Roman" w:cs="Times New Roman"/>
              <w:i/>
              <w:iCs/>
              <w:sz w:val="24"/>
              <w:szCs w:val="24"/>
              <w:lang w:val="en-IN"/>
            </w:rPr>
            <w:t>Journal of Banking &amp; Finance</w:t>
          </w:r>
          <w:r w:rsidRPr="004F4A55">
            <w:rPr>
              <w:rFonts w:ascii="Times New Roman" w:hAnsi="Times New Roman" w:cs="Times New Roman"/>
              <w:sz w:val="24"/>
              <w:szCs w:val="24"/>
              <w:lang w:val="en-IN"/>
            </w:rPr>
            <w:t>, 37(1), pp. 21–31. https://doi.org/10.1016/j.jbankfin.2012.08.009.</w:t>
          </w:r>
        </w:p>
        <w:p w14:paraId="5434D440"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lastRenderedPageBreak/>
            <w:t xml:space="preserve">Hassan, N.C. </w:t>
          </w:r>
          <w:r w:rsidRPr="004F4A55">
            <w:rPr>
              <w:rFonts w:ascii="Times New Roman" w:hAnsi="Times New Roman" w:cs="Times New Roman"/>
              <w:i/>
              <w:iCs/>
              <w:sz w:val="24"/>
              <w:szCs w:val="24"/>
              <w:lang w:val="en-IN"/>
            </w:rPr>
            <w:t>et al.</w:t>
          </w:r>
          <w:r w:rsidRPr="004F4A55">
            <w:rPr>
              <w:rFonts w:ascii="Times New Roman" w:hAnsi="Times New Roman" w:cs="Times New Roman"/>
              <w:sz w:val="24"/>
              <w:szCs w:val="24"/>
              <w:lang w:val="en-IN"/>
            </w:rPr>
            <w:t xml:space="preserve"> (2023) 'Investment Intention and Decision Making: A systematic literature review and future research agenda,' </w:t>
          </w:r>
          <w:r w:rsidRPr="004F4A55">
            <w:rPr>
              <w:rFonts w:ascii="Times New Roman" w:hAnsi="Times New Roman" w:cs="Times New Roman"/>
              <w:i/>
              <w:iCs/>
              <w:sz w:val="24"/>
              <w:szCs w:val="24"/>
              <w:lang w:val="en-IN"/>
            </w:rPr>
            <w:t>Sustainability</w:t>
          </w:r>
          <w:r w:rsidRPr="004F4A55">
            <w:rPr>
              <w:rFonts w:ascii="Times New Roman" w:hAnsi="Times New Roman" w:cs="Times New Roman"/>
              <w:sz w:val="24"/>
              <w:szCs w:val="24"/>
              <w:lang w:val="en-IN"/>
            </w:rPr>
            <w:t>, 15(5), p. 3949. https://doi.org/10.3390/su15053949.</w:t>
          </w:r>
        </w:p>
        <w:p w14:paraId="09BF6E93"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Kostov, K.S. (2020) 'How investors Really make decisions: What entrepreneurs need to know when raising money,' in </w:t>
          </w:r>
          <w:r w:rsidRPr="004F4A55">
            <w:rPr>
              <w:rFonts w:ascii="Times New Roman" w:hAnsi="Times New Roman" w:cs="Times New Roman"/>
              <w:i/>
              <w:iCs/>
              <w:sz w:val="24"/>
              <w:szCs w:val="24"/>
              <w:lang w:val="en-IN"/>
            </w:rPr>
            <w:t>Elsevier eBooks</w:t>
          </w:r>
          <w:r w:rsidRPr="004F4A55">
            <w:rPr>
              <w:rFonts w:ascii="Times New Roman" w:hAnsi="Times New Roman" w:cs="Times New Roman"/>
              <w:sz w:val="24"/>
              <w:szCs w:val="24"/>
              <w:lang w:val="en-IN"/>
            </w:rPr>
            <w:t>, pp. 267–278. https://doi.org/10.1016/b978-0-12-815585-1.00018-8.</w:t>
          </w:r>
        </w:p>
        <w:p w14:paraId="1001B048"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Li, B. </w:t>
          </w:r>
          <w:r w:rsidRPr="004F4A55">
            <w:rPr>
              <w:rFonts w:ascii="Times New Roman" w:hAnsi="Times New Roman" w:cs="Times New Roman"/>
              <w:i/>
              <w:iCs/>
              <w:sz w:val="24"/>
              <w:szCs w:val="24"/>
              <w:lang w:val="en-IN"/>
            </w:rPr>
            <w:t>et al.</w:t>
          </w:r>
          <w:r w:rsidRPr="004F4A55">
            <w:rPr>
              <w:rFonts w:ascii="Times New Roman" w:hAnsi="Times New Roman" w:cs="Times New Roman"/>
              <w:sz w:val="24"/>
              <w:szCs w:val="24"/>
              <w:lang w:val="en-IN"/>
            </w:rPr>
            <w:t xml:space="preserve"> (2017) 'The impact of the liquidity coverage ratio on money creation: A stock-flow based dynamic approach,' </w:t>
          </w:r>
          <w:r w:rsidRPr="004F4A55">
            <w:rPr>
              <w:rFonts w:ascii="Times New Roman" w:hAnsi="Times New Roman" w:cs="Times New Roman"/>
              <w:i/>
              <w:iCs/>
              <w:sz w:val="24"/>
              <w:szCs w:val="24"/>
              <w:lang w:val="en-IN"/>
            </w:rPr>
            <w:t>Economic Modelling</w:t>
          </w:r>
          <w:r w:rsidRPr="004F4A55">
            <w:rPr>
              <w:rFonts w:ascii="Times New Roman" w:hAnsi="Times New Roman" w:cs="Times New Roman"/>
              <w:sz w:val="24"/>
              <w:szCs w:val="24"/>
              <w:lang w:val="en-IN"/>
            </w:rPr>
            <w:t>, 67, pp. 193–202. https://doi.org/10.1016/j.econmod.2016.12.016.</w:t>
          </w:r>
        </w:p>
        <w:p w14:paraId="2BD47A72"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Mahdi, M. and Khaddafi, M. (2020) 'The influence of gross profit margin, operating profit margin and net profit margin on the stock price of consumer good industry in the Indonesia Stock Exchange on 2012-2014,' </w:t>
          </w:r>
          <w:r w:rsidRPr="004F4A55">
            <w:rPr>
              <w:rFonts w:ascii="Times New Roman" w:hAnsi="Times New Roman" w:cs="Times New Roman"/>
              <w:i/>
              <w:iCs/>
              <w:sz w:val="24"/>
              <w:szCs w:val="24"/>
              <w:lang w:val="en-IN"/>
            </w:rPr>
            <w:t>International Journal of Business Economics and Social Development</w:t>
          </w:r>
          <w:r w:rsidRPr="004F4A55">
            <w:rPr>
              <w:rFonts w:ascii="Times New Roman" w:hAnsi="Times New Roman" w:cs="Times New Roman"/>
              <w:sz w:val="24"/>
              <w:szCs w:val="24"/>
              <w:lang w:val="en-IN"/>
            </w:rPr>
            <w:t>, 1(3). https://doi.org/10.46336/ijbesd.v1i3.53.</w:t>
          </w:r>
        </w:p>
        <w:p w14:paraId="116A3B69"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Mellichamp, D.A. (2017) 'Internal rate of return: Good and bad features, and a new way of interpreting the historic measure,' </w:t>
          </w:r>
          <w:r w:rsidRPr="004F4A55">
            <w:rPr>
              <w:rFonts w:ascii="Times New Roman" w:hAnsi="Times New Roman" w:cs="Times New Roman"/>
              <w:i/>
              <w:iCs/>
              <w:sz w:val="24"/>
              <w:szCs w:val="24"/>
              <w:lang w:val="en-IN"/>
            </w:rPr>
            <w:t>Computers &amp; Chemical Engineering</w:t>
          </w:r>
          <w:r w:rsidRPr="004F4A55">
            <w:rPr>
              <w:rFonts w:ascii="Times New Roman" w:hAnsi="Times New Roman" w:cs="Times New Roman"/>
              <w:sz w:val="24"/>
              <w:szCs w:val="24"/>
              <w:lang w:val="en-IN"/>
            </w:rPr>
            <w:t>, 106, pp. 396–406. https://doi.org/10.1016/j.compchemeng.2017.06.005.</w:t>
          </w:r>
        </w:p>
        <w:p w14:paraId="3375F660"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O’Connell, M. and Ward, A.M. (2020) 'Shareholder Theory/Shareholder Value,' in </w:t>
          </w:r>
          <w:r w:rsidRPr="004F4A55">
            <w:rPr>
              <w:rFonts w:ascii="Times New Roman" w:hAnsi="Times New Roman" w:cs="Times New Roman"/>
              <w:i/>
              <w:iCs/>
              <w:sz w:val="24"/>
              <w:szCs w:val="24"/>
              <w:lang w:val="en-IN"/>
            </w:rPr>
            <w:t>Springer eBooks</w:t>
          </w:r>
          <w:r w:rsidRPr="004F4A55">
            <w:rPr>
              <w:rFonts w:ascii="Times New Roman" w:hAnsi="Times New Roman" w:cs="Times New Roman"/>
              <w:sz w:val="24"/>
              <w:szCs w:val="24"/>
              <w:lang w:val="en-IN"/>
            </w:rPr>
            <w:t>, pp. 1–7. https://doi.org/10.1007/978-3-030-02006-4_49-1.</w:t>
          </w:r>
        </w:p>
        <w:p w14:paraId="4F798270" w14:textId="77777777" w:rsidR="00D31063" w:rsidRPr="004F4A55" w:rsidRDefault="00D31063" w:rsidP="00D31063">
          <w:pPr>
            <w:spacing w:line="360" w:lineRule="auto"/>
            <w:jc w:val="both"/>
            <w:rPr>
              <w:rFonts w:ascii="Times New Roman" w:hAnsi="Times New Roman" w:cs="Times New Roman"/>
              <w:sz w:val="24"/>
              <w:szCs w:val="24"/>
              <w:lang w:val="en-IN"/>
            </w:rPr>
          </w:pPr>
          <w:proofErr w:type="spellStart"/>
          <w:r w:rsidRPr="004F4A55">
            <w:rPr>
              <w:rFonts w:ascii="Times New Roman" w:hAnsi="Times New Roman" w:cs="Times New Roman"/>
              <w:sz w:val="24"/>
              <w:szCs w:val="24"/>
              <w:lang w:val="en-IN"/>
            </w:rPr>
            <w:t>Ordokhani</w:t>
          </w:r>
          <w:proofErr w:type="spellEnd"/>
          <w:r w:rsidRPr="004F4A55">
            <w:rPr>
              <w:rFonts w:ascii="Times New Roman" w:hAnsi="Times New Roman" w:cs="Times New Roman"/>
              <w:sz w:val="24"/>
              <w:szCs w:val="24"/>
              <w:lang w:val="en-IN"/>
            </w:rPr>
            <w:t xml:space="preserve">, F. </w:t>
          </w:r>
          <w:r w:rsidRPr="004F4A55">
            <w:rPr>
              <w:rFonts w:ascii="Times New Roman" w:hAnsi="Times New Roman" w:cs="Times New Roman"/>
              <w:i/>
              <w:iCs/>
              <w:sz w:val="24"/>
              <w:szCs w:val="24"/>
              <w:lang w:val="en-IN"/>
            </w:rPr>
            <w:t>et al.</w:t>
          </w:r>
          <w:r w:rsidRPr="004F4A55">
            <w:rPr>
              <w:rFonts w:ascii="Times New Roman" w:hAnsi="Times New Roman" w:cs="Times New Roman"/>
              <w:sz w:val="24"/>
              <w:szCs w:val="24"/>
              <w:lang w:val="en-IN"/>
            </w:rPr>
            <w:t xml:space="preserve"> (2021) 'Improving threshold voltage and on/off current ratio of single-walled carbon nanotube field-effect transistor by post-sonication treatments,' </w:t>
          </w:r>
          <w:r w:rsidRPr="004F4A55">
            <w:rPr>
              <w:rFonts w:ascii="Times New Roman" w:hAnsi="Times New Roman" w:cs="Times New Roman"/>
              <w:i/>
              <w:iCs/>
              <w:sz w:val="24"/>
              <w:szCs w:val="24"/>
              <w:lang w:val="en-IN"/>
            </w:rPr>
            <w:t>Thin Solid Films</w:t>
          </w:r>
          <w:r w:rsidRPr="004F4A55">
            <w:rPr>
              <w:rFonts w:ascii="Times New Roman" w:hAnsi="Times New Roman" w:cs="Times New Roman"/>
              <w:sz w:val="24"/>
              <w:szCs w:val="24"/>
              <w:lang w:val="en-IN"/>
            </w:rPr>
            <w:t>, 727, p. 138677. https://doi.org/10.1016/j.tsf.2021.138677.</w:t>
          </w:r>
        </w:p>
        <w:p w14:paraId="038DDA0F" w14:textId="77777777" w:rsidR="00D31063" w:rsidRPr="004F4A55" w:rsidRDefault="00D31063" w:rsidP="00D31063">
          <w:pPr>
            <w:spacing w:line="360" w:lineRule="auto"/>
            <w:jc w:val="both"/>
            <w:rPr>
              <w:rFonts w:ascii="Times New Roman" w:hAnsi="Times New Roman" w:cs="Times New Roman"/>
              <w:sz w:val="24"/>
              <w:szCs w:val="24"/>
              <w:lang w:val="en-IN"/>
            </w:rPr>
          </w:pPr>
          <w:proofErr w:type="spellStart"/>
          <w:r w:rsidRPr="004F4A55">
            <w:rPr>
              <w:rFonts w:ascii="Times New Roman" w:hAnsi="Times New Roman" w:cs="Times New Roman"/>
              <w:sz w:val="24"/>
              <w:szCs w:val="24"/>
              <w:lang w:val="en-IN"/>
            </w:rPr>
            <w:t>Pattnaik</w:t>
          </w:r>
          <w:proofErr w:type="spellEnd"/>
          <w:r w:rsidRPr="004F4A55">
            <w:rPr>
              <w:rFonts w:ascii="Times New Roman" w:hAnsi="Times New Roman" w:cs="Times New Roman"/>
              <w:sz w:val="24"/>
              <w:szCs w:val="24"/>
              <w:lang w:val="en-IN"/>
            </w:rPr>
            <w:t xml:space="preserve">, D., Ray, S. and Raman, R. (2023) 'Applications of artificial intelligence and machine learning in the financial services industry: A bibliometric review,' </w:t>
          </w:r>
          <w:proofErr w:type="spellStart"/>
          <w:r w:rsidRPr="004F4A55">
            <w:rPr>
              <w:rFonts w:ascii="Times New Roman" w:hAnsi="Times New Roman" w:cs="Times New Roman"/>
              <w:i/>
              <w:iCs/>
              <w:sz w:val="24"/>
              <w:szCs w:val="24"/>
              <w:lang w:val="en-IN"/>
            </w:rPr>
            <w:t>Heliyon</w:t>
          </w:r>
          <w:proofErr w:type="spellEnd"/>
          <w:r w:rsidRPr="004F4A55">
            <w:rPr>
              <w:rFonts w:ascii="Times New Roman" w:hAnsi="Times New Roman" w:cs="Times New Roman"/>
              <w:sz w:val="24"/>
              <w:szCs w:val="24"/>
              <w:lang w:val="en-IN"/>
            </w:rPr>
            <w:t>, 10(1), p. e23492. https://doi.org/10.1016/j.heliyon.2023.e23492.</w:t>
          </w:r>
        </w:p>
        <w:p w14:paraId="73F31CFB" w14:textId="77777777" w:rsidR="00D31063" w:rsidRPr="004F4A55" w:rsidRDefault="00D31063" w:rsidP="00D31063">
          <w:pPr>
            <w:spacing w:line="360" w:lineRule="auto"/>
            <w:jc w:val="both"/>
            <w:rPr>
              <w:rFonts w:ascii="Times New Roman" w:hAnsi="Times New Roman" w:cs="Times New Roman"/>
              <w:sz w:val="24"/>
              <w:szCs w:val="24"/>
              <w:lang w:val="en-IN"/>
            </w:rPr>
          </w:pPr>
          <w:proofErr w:type="spellStart"/>
          <w:r w:rsidRPr="004F4A55">
            <w:rPr>
              <w:rFonts w:ascii="Times New Roman" w:hAnsi="Times New Roman" w:cs="Times New Roman"/>
              <w:sz w:val="24"/>
              <w:szCs w:val="24"/>
              <w:lang w:val="en-IN"/>
            </w:rPr>
            <w:t>Roos</w:t>
          </w:r>
          <w:proofErr w:type="spellEnd"/>
          <w:r w:rsidRPr="004F4A55">
            <w:rPr>
              <w:rFonts w:ascii="Times New Roman" w:hAnsi="Times New Roman" w:cs="Times New Roman"/>
              <w:sz w:val="24"/>
              <w:szCs w:val="24"/>
              <w:lang w:val="en-IN"/>
            </w:rPr>
            <w:t xml:space="preserve">, F. and Wikander, J. (2006) 'THE INFLUENCE OF GEAR RATIO ON PERFORMANCE OF ELECTROMECHANICAL SERVO SYSTEMS,' </w:t>
          </w:r>
          <w:r w:rsidRPr="004F4A55">
            <w:rPr>
              <w:rFonts w:ascii="Times New Roman" w:hAnsi="Times New Roman" w:cs="Times New Roman"/>
              <w:i/>
              <w:iCs/>
              <w:sz w:val="24"/>
              <w:szCs w:val="24"/>
              <w:lang w:val="en-IN"/>
            </w:rPr>
            <w:t>IFAC Proceedings Volumes</w:t>
          </w:r>
          <w:r w:rsidRPr="004F4A55">
            <w:rPr>
              <w:rFonts w:ascii="Times New Roman" w:hAnsi="Times New Roman" w:cs="Times New Roman"/>
              <w:sz w:val="24"/>
              <w:szCs w:val="24"/>
              <w:lang w:val="en-IN"/>
            </w:rPr>
            <w:t>, 39(16), pp. 884–889. https://doi.org/10.3182/20060912-3-de-2911.00152.</w:t>
          </w:r>
        </w:p>
        <w:p w14:paraId="50ABB77A"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Santos, A.M., </w:t>
          </w:r>
          <w:proofErr w:type="spellStart"/>
          <w:r w:rsidRPr="004F4A55">
            <w:rPr>
              <w:rFonts w:ascii="Times New Roman" w:hAnsi="Times New Roman" w:cs="Times New Roman"/>
              <w:sz w:val="24"/>
              <w:szCs w:val="24"/>
              <w:lang w:val="en-IN"/>
            </w:rPr>
            <w:t>Cincera</w:t>
          </w:r>
          <w:proofErr w:type="spellEnd"/>
          <w:r w:rsidRPr="004F4A55">
            <w:rPr>
              <w:rFonts w:ascii="Times New Roman" w:hAnsi="Times New Roman" w:cs="Times New Roman"/>
              <w:sz w:val="24"/>
              <w:szCs w:val="24"/>
              <w:lang w:val="en-IN"/>
            </w:rPr>
            <w:t xml:space="preserve">, M. and Cerulli, G. (2024) 'Sources of financing: Which ones are more effective in innovation–growth </w:t>
          </w:r>
          <w:proofErr w:type="gramStart"/>
          <w:r w:rsidRPr="004F4A55">
            <w:rPr>
              <w:rFonts w:ascii="Times New Roman" w:hAnsi="Times New Roman" w:cs="Times New Roman"/>
              <w:sz w:val="24"/>
              <w:szCs w:val="24"/>
              <w:lang w:val="en-IN"/>
            </w:rPr>
            <w:t>linkage?,</w:t>
          </w:r>
          <w:proofErr w:type="gramEnd"/>
          <w:r w:rsidRPr="004F4A55">
            <w:rPr>
              <w:rFonts w:ascii="Times New Roman" w:hAnsi="Times New Roman" w:cs="Times New Roman"/>
              <w:sz w:val="24"/>
              <w:szCs w:val="24"/>
              <w:lang w:val="en-IN"/>
            </w:rPr>
            <w:t xml:space="preserve">' </w:t>
          </w:r>
          <w:r w:rsidRPr="004F4A55">
            <w:rPr>
              <w:rFonts w:ascii="Times New Roman" w:hAnsi="Times New Roman" w:cs="Times New Roman"/>
              <w:i/>
              <w:iCs/>
              <w:sz w:val="24"/>
              <w:szCs w:val="24"/>
              <w:lang w:val="en-IN"/>
            </w:rPr>
            <w:t>Economic Systems</w:t>
          </w:r>
          <w:r w:rsidRPr="004F4A55">
            <w:rPr>
              <w:rFonts w:ascii="Times New Roman" w:hAnsi="Times New Roman" w:cs="Times New Roman"/>
              <w:sz w:val="24"/>
              <w:szCs w:val="24"/>
              <w:lang w:val="en-IN"/>
            </w:rPr>
            <w:t>, 48(2), p. 101177. https://doi.org/10.1016/j.ecosys.2023.101177.</w:t>
          </w:r>
        </w:p>
        <w:p w14:paraId="66AAAB8B"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lastRenderedPageBreak/>
            <w:t xml:space="preserve">Sinaga, N.A.S. </w:t>
          </w:r>
          <w:r w:rsidRPr="004F4A55">
            <w:rPr>
              <w:rFonts w:ascii="Times New Roman" w:hAnsi="Times New Roman" w:cs="Times New Roman"/>
              <w:i/>
              <w:iCs/>
              <w:sz w:val="24"/>
              <w:szCs w:val="24"/>
              <w:lang w:val="en-IN"/>
            </w:rPr>
            <w:t>et al.</w:t>
          </w:r>
          <w:r w:rsidRPr="004F4A55">
            <w:rPr>
              <w:rFonts w:ascii="Times New Roman" w:hAnsi="Times New Roman" w:cs="Times New Roman"/>
              <w:sz w:val="24"/>
              <w:szCs w:val="24"/>
              <w:lang w:val="en-IN"/>
            </w:rPr>
            <w:t xml:space="preserve"> (2023) 'Comparison of capital budgeting methods: NPV, IRR, PAYBACK PERIOD,' </w:t>
          </w:r>
          <w:r w:rsidRPr="004F4A55">
            <w:rPr>
              <w:rFonts w:ascii="Times New Roman" w:hAnsi="Times New Roman" w:cs="Times New Roman"/>
              <w:i/>
              <w:iCs/>
              <w:sz w:val="24"/>
              <w:szCs w:val="24"/>
              <w:lang w:val="en-IN"/>
            </w:rPr>
            <w:t>World Journal of Advanced Research and Reviews</w:t>
          </w:r>
          <w:r w:rsidRPr="004F4A55">
            <w:rPr>
              <w:rFonts w:ascii="Times New Roman" w:hAnsi="Times New Roman" w:cs="Times New Roman"/>
              <w:sz w:val="24"/>
              <w:szCs w:val="24"/>
              <w:lang w:val="en-IN"/>
            </w:rPr>
            <w:t>, 19(2), pp. 1078–1081. https://doi.org/10.30574/wjarr.2023.19.2.1483.</w:t>
          </w:r>
        </w:p>
        <w:p w14:paraId="3C83E6BD"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Siziba, S. and Hall, J.H. (2019) 'The evolution of the application of capital budgeting techniques in enterprises,' </w:t>
          </w:r>
          <w:r w:rsidRPr="004F4A55">
            <w:rPr>
              <w:rFonts w:ascii="Times New Roman" w:hAnsi="Times New Roman" w:cs="Times New Roman"/>
              <w:i/>
              <w:iCs/>
              <w:sz w:val="24"/>
              <w:szCs w:val="24"/>
              <w:lang w:val="en-IN"/>
            </w:rPr>
            <w:t>Global Finance Journal</w:t>
          </w:r>
          <w:r w:rsidRPr="004F4A55">
            <w:rPr>
              <w:rFonts w:ascii="Times New Roman" w:hAnsi="Times New Roman" w:cs="Times New Roman"/>
              <w:sz w:val="24"/>
              <w:szCs w:val="24"/>
              <w:lang w:val="en-IN"/>
            </w:rPr>
            <w:t>, 47, p. 100504. https://doi.org/10.1016/j.gfj.2019.100504.</w:t>
          </w:r>
        </w:p>
        <w:p w14:paraId="2B37A213"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Statista (2023) </w:t>
          </w:r>
          <w:r w:rsidRPr="004F4A55">
            <w:rPr>
              <w:rFonts w:ascii="Times New Roman" w:hAnsi="Times New Roman" w:cs="Times New Roman"/>
              <w:i/>
              <w:iCs/>
              <w:sz w:val="24"/>
              <w:szCs w:val="24"/>
              <w:lang w:val="en-IN"/>
            </w:rPr>
            <w:t>Topic: Retail trade in the UK</w:t>
          </w:r>
          <w:r w:rsidRPr="004F4A55">
            <w:rPr>
              <w:rFonts w:ascii="Times New Roman" w:hAnsi="Times New Roman" w:cs="Times New Roman"/>
              <w:sz w:val="24"/>
              <w:szCs w:val="24"/>
              <w:lang w:val="en-IN"/>
            </w:rPr>
            <w:t>. https://www.statista.com/topics/8671/retail-trade-in-the-uk/#topicOverview.</w:t>
          </w:r>
        </w:p>
        <w:p w14:paraId="10517C56" w14:textId="7D343190" w:rsidR="00D31063" w:rsidRPr="00D31063" w:rsidRDefault="00D31063" w:rsidP="00D31063">
          <w:pPr>
            <w:spacing w:line="360" w:lineRule="auto"/>
            <w:jc w:val="both"/>
            <w:rPr>
              <w:rFonts w:ascii="Times New Roman" w:hAnsi="Times New Roman" w:cs="Times New Roman"/>
              <w:sz w:val="24"/>
              <w:szCs w:val="24"/>
              <w:lang w:val="en-IN"/>
            </w:rPr>
          </w:pPr>
          <w:r w:rsidRPr="00762C3E">
            <w:rPr>
              <w:rFonts w:ascii="Times New Roman" w:hAnsi="Times New Roman" w:cs="Times New Roman"/>
              <w:i/>
              <w:iCs/>
              <w:sz w:val="24"/>
              <w:szCs w:val="24"/>
              <w:lang w:val="en-IN"/>
            </w:rPr>
            <w:t>Tesco’s Market Performance</w:t>
          </w:r>
          <w:r w:rsidRPr="00762C3E">
            <w:rPr>
              <w:rFonts w:ascii="Times New Roman" w:hAnsi="Times New Roman" w:cs="Times New Roman"/>
              <w:sz w:val="24"/>
              <w:szCs w:val="24"/>
              <w:lang w:val="en-IN"/>
            </w:rPr>
            <w:t xml:space="preserve"> (no date). https://finance.yahoo.com/quote/TSCO.L/history/ (Accessed: December 2</w:t>
          </w:r>
          <w:r w:rsidR="0062203A">
            <w:rPr>
              <w:rFonts w:ascii="Times New Roman" w:hAnsi="Times New Roman" w:cs="Times New Roman"/>
              <w:sz w:val="24"/>
              <w:szCs w:val="24"/>
              <w:lang w:val="en-IN"/>
            </w:rPr>
            <w:t>7</w:t>
          </w:r>
          <w:r w:rsidRPr="00762C3E">
            <w:rPr>
              <w:rFonts w:ascii="Times New Roman" w:hAnsi="Times New Roman" w:cs="Times New Roman"/>
              <w:sz w:val="24"/>
              <w:szCs w:val="24"/>
              <w:lang w:val="en-IN"/>
            </w:rPr>
            <w:t>, 2024).</w:t>
          </w:r>
        </w:p>
        <w:p w14:paraId="211BA305" w14:textId="77777777" w:rsidR="00D31063" w:rsidRPr="004F4A55" w:rsidRDefault="00D31063" w:rsidP="00D31063">
          <w:pPr>
            <w:spacing w:line="360" w:lineRule="auto"/>
            <w:jc w:val="both"/>
            <w:rPr>
              <w:rFonts w:ascii="Times New Roman" w:hAnsi="Times New Roman" w:cs="Times New Roman"/>
              <w:sz w:val="24"/>
              <w:szCs w:val="24"/>
              <w:lang w:val="en-IN"/>
            </w:rPr>
          </w:pPr>
          <w:proofErr w:type="spellStart"/>
          <w:r w:rsidRPr="004F4A55">
            <w:rPr>
              <w:rFonts w:ascii="Times New Roman" w:hAnsi="Times New Roman" w:cs="Times New Roman"/>
              <w:sz w:val="24"/>
              <w:szCs w:val="24"/>
              <w:lang w:val="en-IN"/>
            </w:rPr>
            <w:t>Villez</w:t>
          </w:r>
          <w:proofErr w:type="spellEnd"/>
          <w:r w:rsidRPr="004F4A55">
            <w:rPr>
              <w:rFonts w:ascii="Times New Roman" w:hAnsi="Times New Roman" w:cs="Times New Roman"/>
              <w:sz w:val="24"/>
              <w:szCs w:val="24"/>
              <w:lang w:val="en-IN"/>
            </w:rPr>
            <w:t xml:space="preserve">, K. (2014) 'Qualitative trend analysis for process monitoring and supervision based on likelihood optimization: state-of-the-art and current limitations,' </w:t>
          </w:r>
          <w:r w:rsidRPr="004F4A55">
            <w:rPr>
              <w:rFonts w:ascii="Times New Roman" w:hAnsi="Times New Roman" w:cs="Times New Roman"/>
              <w:i/>
              <w:iCs/>
              <w:sz w:val="24"/>
              <w:szCs w:val="24"/>
              <w:lang w:val="en-IN"/>
            </w:rPr>
            <w:t>IFAC Proceedings Volumes</w:t>
          </w:r>
          <w:r w:rsidRPr="004F4A55">
            <w:rPr>
              <w:rFonts w:ascii="Times New Roman" w:hAnsi="Times New Roman" w:cs="Times New Roman"/>
              <w:sz w:val="24"/>
              <w:szCs w:val="24"/>
              <w:lang w:val="en-IN"/>
            </w:rPr>
            <w:t>, 47(3), pp. 7140–7145. https://doi.org/10.3182/20140824-6-za-1003.01596.</w:t>
          </w:r>
        </w:p>
        <w:p w14:paraId="3C49BE00"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Wang, A. </w:t>
          </w:r>
          <w:r w:rsidRPr="004F4A55">
            <w:rPr>
              <w:rFonts w:ascii="Times New Roman" w:hAnsi="Times New Roman" w:cs="Times New Roman"/>
              <w:i/>
              <w:iCs/>
              <w:sz w:val="24"/>
              <w:szCs w:val="24"/>
              <w:lang w:val="en-IN"/>
            </w:rPr>
            <w:t>et al.</w:t>
          </w:r>
          <w:r w:rsidRPr="004F4A55">
            <w:rPr>
              <w:rFonts w:ascii="Times New Roman" w:hAnsi="Times New Roman" w:cs="Times New Roman"/>
              <w:sz w:val="24"/>
              <w:szCs w:val="24"/>
              <w:lang w:val="en-IN"/>
            </w:rPr>
            <w:t xml:space="preserve"> (2020) 'Stock liquidity and return distribution: Evidence from the London Stock Exchange,' </w:t>
          </w:r>
          <w:r w:rsidRPr="004F4A55">
            <w:rPr>
              <w:rFonts w:ascii="Times New Roman" w:hAnsi="Times New Roman" w:cs="Times New Roman"/>
              <w:i/>
              <w:iCs/>
              <w:sz w:val="24"/>
              <w:szCs w:val="24"/>
              <w:lang w:val="en-IN"/>
            </w:rPr>
            <w:t>Finance Research Letters</w:t>
          </w:r>
          <w:r w:rsidRPr="004F4A55">
            <w:rPr>
              <w:rFonts w:ascii="Times New Roman" w:hAnsi="Times New Roman" w:cs="Times New Roman"/>
              <w:sz w:val="24"/>
              <w:szCs w:val="24"/>
              <w:lang w:val="en-IN"/>
            </w:rPr>
            <w:t>, 39, p. 101539. https://doi.org/10.1016/j.frl.2020.101539.</w:t>
          </w:r>
        </w:p>
        <w:p w14:paraId="740ACEE7"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Wang, K., Zhao, R. and Chen, H. (2018) 'Optimal credit period and green consumption policies with cash-credit payments under asymmetric information,' </w:t>
          </w:r>
          <w:r w:rsidRPr="004F4A55">
            <w:rPr>
              <w:rFonts w:ascii="Times New Roman" w:hAnsi="Times New Roman" w:cs="Times New Roman"/>
              <w:i/>
              <w:iCs/>
              <w:sz w:val="24"/>
              <w:szCs w:val="24"/>
              <w:lang w:val="en-IN"/>
            </w:rPr>
            <w:t>Journal of Cleaner Production</w:t>
          </w:r>
          <w:r w:rsidRPr="004F4A55">
            <w:rPr>
              <w:rFonts w:ascii="Times New Roman" w:hAnsi="Times New Roman" w:cs="Times New Roman"/>
              <w:sz w:val="24"/>
              <w:szCs w:val="24"/>
              <w:lang w:val="en-IN"/>
            </w:rPr>
            <w:t>, 205, pp. 706–720. https://doi.org/10.1016/j.jclepro.2018.09.081.</w:t>
          </w:r>
        </w:p>
        <w:p w14:paraId="5DB06A01" w14:textId="77777777" w:rsidR="00D31063" w:rsidRPr="004F4A55" w:rsidRDefault="00D31063" w:rsidP="00D31063">
          <w:pPr>
            <w:spacing w:line="360" w:lineRule="auto"/>
            <w:jc w:val="both"/>
            <w:rPr>
              <w:rFonts w:ascii="Times New Roman" w:hAnsi="Times New Roman" w:cs="Times New Roman"/>
              <w:sz w:val="24"/>
              <w:szCs w:val="24"/>
              <w:lang w:val="en-IN"/>
            </w:rPr>
          </w:pPr>
          <w:r w:rsidRPr="004F4A55">
            <w:rPr>
              <w:rFonts w:ascii="Times New Roman" w:hAnsi="Times New Roman" w:cs="Times New Roman"/>
              <w:sz w:val="24"/>
              <w:szCs w:val="24"/>
              <w:lang w:val="en-IN"/>
            </w:rPr>
            <w:t xml:space="preserve">Yu, D. </w:t>
          </w:r>
          <w:r w:rsidRPr="004F4A55">
            <w:rPr>
              <w:rFonts w:ascii="Times New Roman" w:hAnsi="Times New Roman" w:cs="Times New Roman"/>
              <w:i/>
              <w:iCs/>
              <w:sz w:val="24"/>
              <w:szCs w:val="24"/>
              <w:lang w:val="en-IN"/>
            </w:rPr>
            <w:t>et al.</w:t>
          </w:r>
          <w:r w:rsidRPr="004F4A55">
            <w:rPr>
              <w:rFonts w:ascii="Times New Roman" w:hAnsi="Times New Roman" w:cs="Times New Roman"/>
              <w:sz w:val="24"/>
              <w:szCs w:val="24"/>
              <w:lang w:val="en-IN"/>
            </w:rPr>
            <w:t xml:space="preserve"> (2023) 'Forecasting dividend growth: The role of adjusted earnings yield,' </w:t>
          </w:r>
          <w:r w:rsidRPr="004F4A55">
            <w:rPr>
              <w:rFonts w:ascii="Times New Roman" w:hAnsi="Times New Roman" w:cs="Times New Roman"/>
              <w:i/>
              <w:iCs/>
              <w:sz w:val="24"/>
              <w:szCs w:val="24"/>
              <w:lang w:val="en-IN"/>
            </w:rPr>
            <w:t>Economic Modelling</w:t>
          </w:r>
          <w:r w:rsidRPr="004F4A55">
            <w:rPr>
              <w:rFonts w:ascii="Times New Roman" w:hAnsi="Times New Roman" w:cs="Times New Roman"/>
              <w:sz w:val="24"/>
              <w:szCs w:val="24"/>
              <w:lang w:val="en-IN"/>
            </w:rPr>
            <w:t>, 120, p. 106188. https://doi.org/10.1016/j.econmod.2022.106188.</w:t>
          </w:r>
        </w:p>
        <w:p w14:paraId="53DF8C64" w14:textId="77777777" w:rsidR="00D31063" w:rsidRPr="004F4A55" w:rsidRDefault="00D31063" w:rsidP="00D31063">
          <w:pPr>
            <w:spacing w:line="360" w:lineRule="auto"/>
            <w:jc w:val="both"/>
            <w:rPr>
              <w:rFonts w:ascii="Times New Roman" w:hAnsi="Times New Roman" w:cs="Times New Roman"/>
              <w:sz w:val="24"/>
              <w:szCs w:val="24"/>
              <w:lang w:val="en-IN"/>
            </w:rPr>
          </w:pPr>
          <w:proofErr w:type="spellStart"/>
          <w:r w:rsidRPr="004F4A55">
            <w:rPr>
              <w:rFonts w:ascii="Times New Roman" w:hAnsi="Times New Roman" w:cs="Times New Roman"/>
              <w:sz w:val="24"/>
              <w:szCs w:val="24"/>
              <w:lang w:val="en-IN"/>
            </w:rPr>
            <w:t>Žižlavský</w:t>
          </w:r>
          <w:proofErr w:type="spellEnd"/>
          <w:r w:rsidRPr="004F4A55">
            <w:rPr>
              <w:rFonts w:ascii="Times New Roman" w:hAnsi="Times New Roman" w:cs="Times New Roman"/>
              <w:sz w:val="24"/>
              <w:szCs w:val="24"/>
              <w:lang w:val="en-IN"/>
            </w:rPr>
            <w:t xml:space="preserve">, O. (2014) 'Net Present Value Approach: Method for Economic Assessment of Innovation Projects,' </w:t>
          </w:r>
          <w:r w:rsidRPr="004F4A55">
            <w:rPr>
              <w:rFonts w:ascii="Times New Roman" w:hAnsi="Times New Roman" w:cs="Times New Roman"/>
              <w:i/>
              <w:iCs/>
              <w:sz w:val="24"/>
              <w:szCs w:val="24"/>
              <w:lang w:val="en-IN"/>
            </w:rPr>
            <w:t xml:space="preserve">Procedia - Social and </w:t>
          </w:r>
          <w:proofErr w:type="spellStart"/>
          <w:r w:rsidRPr="004F4A55">
            <w:rPr>
              <w:rFonts w:ascii="Times New Roman" w:hAnsi="Times New Roman" w:cs="Times New Roman"/>
              <w:i/>
              <w:iCs/>
              <w:sz w:val="24"/>
              <w:szCs w:val="24"/>
              <w:lang w:val="en-IN"/>
            </w:rPr>
            <w:t>Behavioral</w:t>
          </w:r>
          <w:proofErr w:type="spellEnd"/>
          <w:r w:rsidRPr="004F4A55">
            <w:rPr>
              <w:rFonts w:ascii="Times New Roman" w:hAnsi="Times New Roman" w:cs="Times New Roman"/>
              <w:i/>
              <w:iCs/>
              <w:sz w:val="24"/>
              <w:szCs w:val="24"/>
              <w:lang w:val="en-IN"/>
            </w:rPr>
            <w:t xml:space="preserve"> Sciences</w:t>
          </w:r>
          <w:r w:rsidRPr="004F4A55">
            <w:rPr>
              <w:rFonts w:ascii="Times New Roman" w:hAnsi="Times New Roman" w:cs="Times New Roman"/>
              <w:sz w:val="24"/>
              <w:szCs w:val="24"/>
              <w:lang w:val="en-IN"/>
            </w:rPr>
            <w:t>, 156, pp. 506–512. https://doi.org/10.1016/j.sbspro.2014.11.230.</w:t>
          </w:r>
        </w:p>
        <w:p w14:paraId="34F0987E" w14:textId="77777777" w:rsidR="00762C3E" w:rsidRDefault="00762C3E" w:rsidP="00762C3E"/>
        <w:p w14:paraId="7FFF99FE" w14:textId="77777777" w:rsidR="00762C3E" w:rsidRPr="00762C3E" w:rsidRDefault="00762C3E" w:rsidP="00762C3E"/>
        <w:p w14:paraId="23AE9DED" w14:textId="77777777" w:rsidR="00324763" w:rsidRDefault="00324763">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3C870794" w14:textId="53273F27" w:rsidR="00480872" w:rsidRPr="00C444E6" w:rsidRDefault="00C444E6" w:rsidP="00AA2A91">
          <w:pPr>
            <w:pStyle w:val="Heading1"/>
            <w:rPr>
              <w:rFonts w:ascii="Times New Roman" w:hAnsi="Times New Roman" w:cs="Times New Roman"/>
              <w:b/>
              <w:bCs/>
              <w:color w:val="000000" w:themeColor="text1"/>
              <w:sz w:val="28"/>
              <w:szCs w:val="28"/>
            </w:rPr>
          </w:pPr>
          <w:bookmarkStart w:id="73" w:name="_Toc186239364"/>
          <w:r w:rsidRPr="00C444E6">
            <w:rPr>
              <w:rFonts w:ascii="Times New Roman" w:hAnsi="Times New Roman" w:cs="Times New Roman"/>
              <w:b/>
              <w:bCs/>
              <w:color w:val="000000" w:themeColor="text1"/>
              <w:sz w:val="28"/>
              <w:szCs w:val="28"/>
            </w:rPr>
            <w:lastRenderedPageBreak/>
            <w:t>APPENDIX</w:t>
          </w:r>
          <w:bookmarkEnd w:id="73"/>
        </w:p>
        <w:p w14:paraId="233A9D06" w14:textId="67074AC1" w:rsidR="00480872" w:rsidRDefault="00C444E6" w:rsidP="00C444E6">
          <w:pPr>
            <w:pStyle w:val="Heading2"/>
            <w:rPr>
              <w:rFonts w:ascii="Times New Roman" w:hAnsi="Times New Roman" w:cs="Times New Roman"/>
              <w:color w:val="000000" w:themeColor="text1"/>
              <w:sz w:val="24"/>
              <w:szCs w:val="24"/>
              <w:u w:val="single"/>
            </w:rPr>
          </w:pPr>
          <w:bookmarkStart w:id="74" w:name="_Toc186239365"/>
          <w:r w:rsidRPr="00C444E6">
            <w:rPr>
              <w:rFonts w:ascii="Times New Roman" w:hAnsi="Times New Roman" w:cs="Times New Roman"/>
              <w:color w:val="000000" w:themeColor="text1"/>
              <w:sz w:val="24"/>
              <w:szCs w:val="24"/>
              <w:u w:val="single"/>
            </w:rPr>
            <w:t>Appendices 1 Profitability Ratios</w:t>
          </w:r>
          <w:bookmarkEnd w:id="74"/>
        </w:p>
        <w:tbl>
          <w:tblPr>
            <w:tblW w:w="5000" w:type="pct"/>
            <w:tblLook w:val="04A0" w:firstRow="1" w:lastRow="0" w:firstColumn="1" w:lastColumn="0" w:noHBand="0" w:noVBand="1"/>
          </w:tblPr>
          <w:tblGrid>
            <w:gridCol w:w="2693"/>
            <w:gridCol w:w="4343"/>
            <w:gridCol w:w="990"/>
            <w:gridCol w:w="990"/>
          </w:tblGrid>
          <w:tr w:rsidR="00C444E6" w:rsidRPr="00C444E6" w14:paraId="06B3CC2D" w14:textId="77777777" w:rsidTr="00C444E6">
            <w:trPr>
              <w:trHeight w:val="312"/>
            </w:trPr>
            <w:tc>
              <w:tcPr>
                <w:tcW w:w="143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136417"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2582" w:type="pct"/>
                <w:tcBorders>
                  <w:top w:val="single" w:sz="4" w:space="0" w:color="auto"/>
                  <w:left w:val="nil"/>
                  <w:bottom w:val="single" w:sz="4" w:space="0" w:color="auto"/>
                  <w:right w:val="single" w:sz="4" w:space="0" w:color="auto"/>
                </w:tcBorders>
                <w:shd w:val="clear" w:color="auto" w:fill="auto"/>
                <w:noWrap/>
                <w:vAlign w:val="bottom"/>
                <w:hideMark/>
              </w:tcPr>
              <w:p w14:paraId="4CF3A00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494" w:type="pct"/>
                <w:tcBorders>
                  <w:top w:val="single" w:sz="4" w:space="0" w:color="auto"/>
                  <w:left w:val="nil"/>
                  <w:bottom w:val="single" w:sz="4" w:space="0" w:color="auto"/>
                  <w:right w:val="single" w:sz="4" w:space="0" w:color="auto"/>
                </w:tcBorders>
                <w:shd w:val="clear" w:color="auto" w:fill="auto"/>
                <w:noWrap/>
                <w:vAlign w:val="bottom"/>
                <w:hideMark/>
              </w:tcPr>
              <w:p w14:paraId="394FB018"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2023 £m</w:t>
                </w:r>
              </w:p>
            </w:tc>
            <w:tc>
              <w:tcPr>
                <w:tcW w:w="494" w:type="pct"/>
                <w:tcBorders>
                  <w:top w:val="single" w:sz="4" w:space="0" w:color="auto"/>
                  <w:left w:val="nil"/>
                  <w:bottom w:val="single" w:sz="4" w:space="0" w:color="auto"/>
                  <w:right w:val="single" w:sz="4" w:space="0" w:color="auto"/>
                </w:tcBorders>
                <w:shd w:val="clear" w:color="auto" w:fill="auto"/>
                <w:noWrap/>
                <w:vAlign w:val="bottom"/>
                <w:hideMark/>
              </w:tcPr>
              <w:p w14:paraId="41236A5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2024 £m</w:t>
                </w:r>
              </w:p>
            </w:tc>
          </w:tr>
          <w:tr w:rsidR="00C444E6" w:rsidRPr="00C444E6" w14:paraId="7114E845"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3AAC86C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Revenue</w:t>
                </w:r>
              </w:p>
            </w:tc>
            <w:tc>
              <w:tcPr>
                <w:tcW w:w="2582" w:type="pct"/>
                <w:tcBorders>
                  <w:top w:val="nil"/>
                  <w:left w:val="nil"/>
                  <w:bottom w:val="single" w:sz="4" w:space="0" w:color="auto"/>
                  <w:right w:val="single" w:sz="4" w:space="0" w:color="auto"/>
                </w:tcBorders>
                <w:shd w:val="clear" w:color="auto" w:fill="auto"/>
                <w:noWrap/>
                <w:vAlign w:val="bottom"/>
                <w:hideMark/>
              </w:tcPr>
              <w:p w14:paraId="07BB757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3D96CCD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65322</w:t>
                </w:r>
              </w:p>
            </w:tc>
            <w:tc>
              <w:tcPr>
                <w:tcW w:w="494" w:type="pct"/>
                <w:tcBorders>
                  <w:top w:val="nil"/>
                  <w:left w:val="nil"/>
                  <w:bottom w:val="single" w:sz="4" w:space="0" w:color="auto"/>
                  <w:right w:val="single" w:sz="4" w:space="0" w:color="auto"/>
                </w:tcBorders>
                <w:shd w:val="clear" w:color="auto" w:fill="auto"/>
                <w:noWrap/>
                <w:vAlign w:val="bottom"/>
                <w:hideMark/>
              </w:tcPr>
              <w:p w14:paraId="5D3C65A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68187</w:t>
                </w:r>
              </w:p>
            </w:tc>
          </w:tr>
          <w:tr w:rsidR="00C444E6" w:rsidRPr="00C444E6" w14:paraId="0F30C805"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4A1FA42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Gross Profit</w:t>
                </w:r>
              </w:p>
            </w:tc>
            <w:tc>
              <w:tcPr>
                <w:tcW w:w="2582" w:type="pct"/>
                <w:tcBorders>
                  <w:top w:val="nil"/>
                  <w:left w:val="nil"/>
                  <w:bottom w:val="single" w:sz="4" w:space="0" w:color="auto"/>
                  <w:right w:val="single" w:sz="4" w:space="0" w:color="auto"/>
                </w:tcBorders>
                <w:shd w:val="clear" w:color="auto" w:fill="auto"/>
                <w:noWrap/>
                <w:vAlign w:val="bottom"/>
                <w:hideMark/>
              </w:tcPr>
              <w:p w14:paraId="3AE8C35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0E9A6DF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3361</w:t>
                </w:r>
              </w:p>
            </w:tc>
            <w:tc>
              <w:tcPr>
                <w:tcW w:w="494" w:type="pct"/>
                <w:tcBorders>
                  <w:top w:val="nil"/>
                  <w:left w:val="nil"/>
                  <w:bottom w:val="single" w:sz="4" w:space="0" w:color="auto"/>
                  <w:right w:val="single" w:sz="4" w:space="0" w:color="auto"/>
                </w:tcBorders>
                <w:shd w:val="clear" w:color="auto" w:fill="auto"/>
                <w:noWrap/>
                <w:vAlign w:val="bottom"/>
                <w:hideMark/>
              </w:tcPr>
              <w:p w14:paraId="55789D2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4849</w:t>
                </w:r>
              </w:p>
            </w:tc>
          </w:tr>
          <w:tr w:rsidR="00C444E6" w:rsidRPr="00C444E6" w14:paraId="69A5FC44"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5D7610C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Gross Profit Ratio</w:t>
                </w:r>
              </w:p>
            </w:tc>
            <w:tc>
              <w:tcPr>
                <w:tcW w:w="2582" w:type="pct"/>
                <w:tcBorders>
                  <w:top w:val="nil"/>
                  <w:left w:val="nil"/>
                  <w:bottom w:val="single" w:sz="4" w:space="0" w:color="auto"/>
                  <w:right w:val="single" w:sz="4" w:space="0" w:color="auto"/>
                </w:tcBorders>
                <w:shd w:val="clear" w:color="auto" w:fill="auto"/>
                <w:noWrap/>
                <w:vAlign w:val="bottom"/>
                <w:hideMark/>
              </w:tcPr>
              <w:p w14:paraId="156F7007" w14:textId="5D9D699E"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Gross profit/Revenue *100</w:t>
                </w:r>
              </w:p>
            </w:tc>
            <w:tc>
              <w:tcPr>
                <w:tcW w:w="494" w:type="pct"/>
                <w:tcBorders>
                  <w:top w:val="nil"/>
                  <w:left w:val="nil"/>
                  <w:bottom w:val="single" w:sz="4" w:space="0" w:color="auto"/>
                  <w:right w:val="single" w:sz="4" w:space="0" w:color="auto"/>
                </w:tcBorders>
                <w:shd w:val="clear" w:color="auto" w:fill="auto"/>
                <w:noWrap/>
                <w:vAlign w:val="bottom"/>
                <w:hideMark/>
              </w:tcPr>
              <w:p w14:paraId="6F29711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5.15%</w:t>
                </w:r>
              </w:p>
            </w:tc>
            <w:tc>
              <w:tcPr>
                <w:tcW w:w="494" w:type="pct"/>
                <w:tcBorders>
                  <w:top w:val="nil"/>
                  <w:left w:val="nil"/>
                  <w:bottom w:val="single" w:sz="4" w:space="0" w:color="auto"/>
                  <w:right w:val="single" w:sz="4" w:space="0" w:color="auto"/>
                </w:tcBorders>
                <w:shd w:val="clear" w:color="auto" w:fill="auto"/>
                <w:noWrap/>
                <w:vAlign w:val="bottom"/>
                <w:hideMark/>
              </w:tcPr>
              <w:p w14:paraId="23E37FA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7.11%</w:t>
                </w:r>
              </w:p>
            </w:tc>
          </w:tr>
          <w:tr w:rsidR="00C444E6" w:rsidRPr="00C444E6" w14:paraId="2C435DBE"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1FCBB68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2582" w:type="pct"/>
                <w:tcBorders>
                  <w:top w:val="nil"/>
                  <w:left w:val="nil"/>
                  <w:bottom w:val="single" w:sz="4" w:space="0" w:color="auto"/>
                  <w:right w:val="single" w:sz="4" w:space="0" w:color="auto"/>
                </w:tcBorders>
                <w:shd w:val="clear" w:color="auto" w:fill="auto"/>
                <w:noWrap/>
                <w:vAlign w:val="bottom"/>
                <w:hideMark/>
              </w:tcPr>
              <w:p w14:paraId="65268CF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12F9FE5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1B9E8AE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38C34D6B"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2F7000B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Operating Profit</w:t>
                </w:r>
              </w:p>
            </w:tc>
            <w:tc>
              <w:tcPr>
                <w:tcW w:w="2582" w:type="pct"/>
                <w:tcBorders>
                  <w:top w:val="nil"/>
                  <w:left w:val="nil"/>
                  <w:bottom w:val="single" w:sz="4" w:space="0" w:color="auto"/>
                  <w:right w:val="single" w:sz="4" w:space="0" w:color="auto"/>
                </w:tcBorders>
                <w:shd w:val="clear" w:color="auto" w:fill="auto"/>
                <w:noWrap/>
                <w:vAlign w:val="bottom"/>
                <w:hideMark/>
              </w:tcPr>
              <w:p w14:paraId="76D92DC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04BDD9F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1410</w:t>
                </w:r>
              </w:p>
            </w:tc>
            <w:tc>
              <w:tcPr>
                <w:tcW w:w="494" w:type="pct"/>
                <w:tcBorders>
                  <w:top w:val="nil"/>
                  <w:left w:val="nil"/>
                  <w:bottom w:val="single" w:sz="4" w:space="0" w:color="auto"/>
                  <w:right w:val="single" w:sz="4" w:space="0" w:color="auto"/>
                </w:tcBorders>
                <w:shd w:val="clear" w:color="auto" w:fill="auto"/>
                <w:noWrap/>
                <w:vAlign w:val="bottom"/>
                <w:hideMark/>
              </w:tcPr>
              <w:p w14:paraId="0260059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2821</w:t>
                </w:r>
              </w:p>
            </w:tc>
          </w:tr>
          <w:tr w:rsidR="00C444E6" w:rsidRPr="00C444E6" w14:paraId="7075B1A1"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377DDA5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Operating Profit Ratio</w:t>
                </w:r>
              </w:p>
            </w:tc>
            <w:tc>
              <w:tcPr>
                <w:tcW w:w="2582" w:type="pct"/>
                <w:tcBorders>
                  <w:top w:val="nil"/>
                  <w:left w:val="nil"/>
                  <w:bottom w:val="single" w:sz="4" w:space="0" w:color="auto"/>
                  <w:right w:val="single" w:sz="4" w:space="0" w:color="auto"/>
                </w:tcBorders>
                <w:shd w:val="clear" w:color="auto" w:fill="auto"/>
                <w:noWrap/>
                <w:vAlign w:val="bottom"/>
                <w:hideMark/>
              </w:tcPr>
              <w:p w14:paraId="722F001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Operating Profit Ratio/Revenue *100</w:t>
                </w:r>
              </w:p>
            </w:tc>
            <w:tc>
              <w:tcPr>
                <w:tcW w:w="494" w:type="pct"/>
                <w:tcBorders>
                  <w:top w:val="nil"/>
                  <w:left w:val="nil"/>
                  <w:bottom w:val="single" w:sz="4" w:space="0" w:color="auto"/>
                  <w:right w:val="single" w:sz="4" w:space="0" w:color="auto"/>
                </w:tcBorders>
                <w:shd w:val="clear" w:color="auto" w:fill="auto"/>
                <w:noWrap/>
                <w:vAlign w:val="bottom"/>
                <w:hideMark/>
              </w:tcPr>
              <w:p w14:paraId="1024730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2.16%</w:t>
                </w:r>
              </w:p>
            </w:tc>
            <w:tc>
              <w:tcPr>
                <w:tcW w:w="494" w:type="pct"/>
                <w:tcBorders>
                  <w:top w:val="nil"/>
                  <w:left w:val="nil"/>
                  <w:bottom w:val="single" w:sz="4" w:space="0" w:color="auto"/>
                  <w:right w:val="single" w:sz="4" w:space="0" w:color="auto"/>
                </w:tcBorders>
                <w:shd w:val="clear" w:color="auto" w:fill="auto"/>
                <w:noWrap/>
                <w:vAlign w:val="bottom"/>
                <w:hideMark/>
              </w:tcPr>
              <w:p w14:paraId="615E0F1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4.14%</w:t>
                </w:r>
              </w:p>
            </w:tc>
          </w:tr>
          <w:tr w:rsidR="00C444E6" w:rsidRPr="00C444E6" w14:paraId="5A081A52"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6E2C6A3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2582" w:type="pct"/>
                <w:tcBorders>
                  <w:top w:val="nil"/>
                  <w:left w:val="nil"/>
                  <w:bottom w:val="single" w:sz="4" w:space="0" w:color="auto"/>
                  <w:right w:val="single" w:sz="4" w:space="0" w:color="auto"/>
                </w:tcBorders>
                <w:shd w:val="clear" w:color="auto" w:fill="auto"/>
                <w:noWrap/>
                <w:vAlign w:val="bottom"/>
                <w:hideMark/>
              </w:tcPr>
              <w:p w14:paraId="38F4B6F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1F1D32D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3E33887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3139D0F4"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03E69FB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Profit</w:t>
                </w:r>
              </w:p>
            </w:tc>
            <w:tc>
              <w:tcPr>
                <w:tcW w:w="2582" w:type="pct"/>
                <w:tcBorders>
                  <w:top w:val="nil"/>
                  <w:left w:val="nil"/>
                  <w:bottom w:val="single" w:sz="4" w:space="0" w:color="auto"/>
                  <w:right w:val="single" w:sz="4" w:space="0" w:color="auto"/>
                </w:tcBorders>
                <w:shd w:val="clear" w:color="auto" w:fill="auto"/>
                <w:noWrap/>
                <w:vAlign w:val="bottom"/>
                <w:hideMark/>
              </w:tcPr>
              <w:p w14:paraId="418B21B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1198BC8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658</w:t>
                </w:r>
              </w:p>
            </w:tc>
            <w:tc>
              <w:tcPr>
                <w:tcW w:w="494" w:type="pct"/>
                <w:tcBorders>
                  <w:top w:val="nil"/>
                  <w:left w:val="nil"/>
                  <w:bottom w:val="single" w:sz="4" w:space="0" w:color="auto"/>
                  <w:right w:val="single" w:sz="4" w:space="0" w:color="auto"/>
                </w:tcBorders>
                <w:shd w:val="clear" w:color="auto" w:fill="auto"/>
                <w:noWrap/>
                <w:vAlign w:val="bottom"/>
                <w:hideMark/>
              </w:tcPr>
              <w:p w14:paraId="2B853B1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1764</w:t>
                </w:r>
              </w:p>
            </w:tc>
          </w:tr>
          <w:tr w:rsidR="00C444E6" w:rsidRPr="00C444E6" w14:paraId="6720D078"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1211FF6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Profit Ratio</w:t>
                </w:r>
              </w:p>
            </w:tc>
            <w:tc>
              <w:tcPr>
                <w:tcW w:w="2582" w:type="pct"/>
                <w:tcBorders>
                  <w:top w:val="nil"/>
                  <w:left w:val="nil"/>
                  <w:bottom w:val="single" w:sz="4" w:space="0" w:color="auto"/>
                  <w:right w:val="single" w:sz="4" w:space="0" w:color="auto"/>
                </w:tcBorders>
                <w:shd w:val="clear" w:color="auto" w:fill="auto"/>
                <w:noWrap/>
                <w:vAlign w:val="bottom"/>
                <w:hideMark/>
              </w:tcPr>
              <w:p w14:paraId="5780C9D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Profit Ratio/Revenue *100</w:t>
                </w:r>
              </w:p>
            </w:tc>
            <w:tc>
              <w:tcPr>
                <w:tcW w:w="494" w:type="pct"/>
                <w:tcBorders>
                  <w:top w:val="nil"/>
                  <w:left w:val="nil"/>
                  <w:bottom w:val="single" w:sz="4" w:space="0" w:color="auto"/>
                  <w:right w:val="single" w:sz="4" w:space="0" w:color="auto"/>
                </w:tcBorders>
                <w:shd w:val="clear" w:color="auto" w:fill="auto"/>
                <w:noWrap/>
                <w:vAlign w:val="bottom"/>
                <w:hideMark/>
              </w:tcPr>
              <w:p w14:paraId="02CB533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1.01%</w:t>
                </w:r>
              </w:p>
            </w:tc>
            <w:tc>
              <w:tcPr>
                <w:tcW w:w="494" w:type="pct"/>
                <w:tcBorders>
                  <w:top w:val="nil"/>
                  <w:left w:val="nil"/>
                  <w:bottom w:val="single" w:sz="4" w:space="0" w:color="auto"/>
                  <w:right w:val="single" w:sz="4" w:space="0" w:color="auto"/>
                </w:tcBorders>
                <w:shd w:val="clear" w:color="auto" w:fill="auto"/>
                <w:noWrap/>
                <w:vAlign w:val="bottom"/>
                <w:hideMark/>
              </w:tcPr>
              <w:p w14:paraId="4D44E56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2.59%</w:t>
                </w:r>
              </w:p>
            </w:tc>
          </w:tr>
          <w:tr w:rsidR="00C444E6" w:rsidRPr="00C444E6" w14:paraId="3E445C0C"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70EA83B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2582" w:type="pct"/>
                <w:tcBorders>
                  <w:top w:val="nil"/>
                  <w:left w:val="nil"/>
                  <w:bottom w:val="single" w:sz="4" w:space="0" w:color="auto"/>
                  <w:right w:val="single" w:sz="4" w:space="0" w:color="auto"/>
                </w:tcBorders>
                <w:shd w:val="clear" w:color="auto" w:fill="auto"/>
                <w:noWrap/>
                <w:vAlign w:val="bottom"/>
                <w:hideMark/>
              </w:tcPr>
              <w:p w14:paraId="6FCB70B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6AB1400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2CF1408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4AE38E17"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5F8C014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Ordinary shares</w:t>
                </w:r>
              </w:p>
            </w:tc>
            <w:tc>
              <w:tcPr>
                <w:tcW w:w="2582" w:type="pct"/>
                <w:tcBorders>
                  <w:top w:val="nil"/>
                  <w:left w:val="nil"/>
                  <w:bottom w:val="single" w:sz="4" w:space="0" w:color="auto"/>
                  <w:right w:val="single" w:sz="4" w:space="0" w:color="auto"/>
                </w:tcBorders>
                <w:shd w:val="clear" w:color="auto" w:fill="auto"/>
                <w:noWrap/>
                <w:vAlign w:val="bottom"/>
                <w:hideMark/>
              </w:tcPr>
              <w:p w14:paraId="19195D6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7D2202A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463</w:t>
                </w:r>
              </w:p>
            </w:tc>
            <w:tc>
              <w:tcPr>
                <w:tcW w:w="494" w:type="pct"/>
                <w:tcBorders>
                  <w:top w:val="nil"/>
                  <w:left w:val="nil"/>
                  <w:bottom w:val="single" w:sz="4" w:space="0" w:color="auto"/>
                  <w:right w:val="single" w:sz="4" w:space="0" w:color="auto"/>
                </w:tcBorders>
                <w:shd w:val="clear" w:color="auto" w:fill="auto"/>
                <w:noWrap/>
                <w:vAlign w:val="bottom"/>
                <w:hideMark/>
              </w:tcPr>
              <w:p w14:paraId="1CCBA0C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445</w:t>
                </w:r>
              </w:p>
            </w:tc>
          </w:tr>
          <w:tr w:rsidR="00C444E6" w:rsidRPr="00C444E6" w14:paraId="32848206"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16CEF11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Reserves</w:t>
                </w:r>
              </w:p>
            </w:tc>
            <w:tc>
              <w:tcPr>
                <w:tcW w:w="2582" w:type="pct"/>
                <w:tcBorders>
                  <w:top w:val="nil"/>
                  <w:left w:val="nil"/>
                  <w:bottom w:val="single" w:sz="4" w:space="0" w:color="auto"/>
                  <w:right w:val="single" w:sz="4" w:space="0" w:color="auto"/>
                </w:tcBorders>
                <w:shd w:val="clear" w:color="auto" w:fill="auto"/>
                <w:noWrap/>
                <w:vAlign w:val="bottom"/>
                <w:hideMark/>
              </w:tcPr>
              <w:p w14:paraId="1C04701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714D605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3139</w:t>
                </w:r>
              </w:p>
            </w:tc>
            <w:tc>
              <w:tcPr>
                <w:tcW w:w="494" w:type="pct"/>
                <w:tcBorders>
                  <w:top w:val="nil"/>
                  <w:left w:val="nil"/>
                  <w:bottom w:val="single" w:sz="4" w:space="0" w:color="auto"/>
                  <w:right w:val="single" w:sz="4" w:space="0" w:color="auto"/>
                </w:tcBorders>
                <w:shd w:val="clear" w:color="auto" w:fill="auto"/>
                <w:noWrap/>
                <w:vAlign w:val="bottom"/>
                <w:hideMark/>
              </w:tcPr>
              <w:p w14:paraId="40770EE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3131</w:t>
                </w:r>
              </w:p>
            </w:tc>
          </w:tr>
          <w:tr w:rsidR="00C444E6" w:rsidRPr="00C444E6" w14:paraId="4F58AC9A"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207CF78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Return on Owner's Equity</w:t>
                </w:r>
              </w:p>
            </w:tc>
            <w:tc>
              <w:tcPr>
                <w:tcW w:w="2582" w:type="pct"/>
                <w:tcBorders>
                  <w:top w:val="nil"/>
                  <w:left w:val="nil"/>
                  <w:bottom w:val="single" w:sz="4" w:space="0" w:color="auto"/>
                  <w:right w:val="single" w:sz="4" w:space="0" w:color="auto"/>
                </w:tcBorders>
                <w:shd w:val="clear" w:color="auto" w:fill="auto"/>
                <w:noWrap/>
                <w:vAlign w:val="bottom"/>
                <w:hideMark/>
              </w:tcPr>
              <w:p w14:paraId="753187C1" w14:textId="21994C05"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profit/Ordinary shares</w:t>
                </w:r>
                <w:r>
                  <w:rPr>
                    <w:rFonts w:ascii="Times New Roman" w:eastAsia="Times New Roman" w:hAnsi="Times New Roman" w:cs="Times New Roman"/>
                    <w:color w:val="000000"/>
                    <w:sz w:val="24"/>
                    <w:szCs w:val="24"/>
                    <w:lang w:val="en-IN" w:eastAsia="en-IN"/>
                  </w:rPr>
                  <w:t>+</w:t>
                </w:r>
                <w:r w:rsidRPr="00C444E6">
                  <w:rPr>
                    <w:rFonts w:ascii="Times New Roman" w:eastAsia="Times New Roman" w:hAnsi="Times New Roman" w:cs="Times New Roman"/>
                    <w:color w:val="000000"/>
                    <w:sz w:val="24"/>
                    <w:szCs w:val="24"/>
                    <w:lang w:val="en-IN" w:eastAsia="en-IN"/>
                  </w:rPr>
                  <w:t xml:space="preserve"> Reserves*100</w:t>
                </w:r>
              </w:p>
            </w:tc>
            <w:tc>
              <w:tcPr>
                <w:tcW w:w="494" w:type="pct"/>
                <w:tcBorders>
                  <w:top w:val="nil"/>
                  <w:left w:val="nil"/>
                  <w:bottom w:val="single" w:sz="4" w:space="0" w:color="auto"/>
                  <w:right w:val="single" w:sz="4" w:space="0" w:color="auto"/>
                </w:tcBorders>
                <w:shd w:val="clear" w:color="auto" w:fill="auto"/>
                <w:noWrap/>
                <w:vAlign w:val="bottom"/>
                <w:hideMark/>
              </w:tcPr>
              <w:p w14:paraId="0831E56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18.27%</w:t>
                </w:r>
              </w:p>
            </w:tc>
            <w:tc>
              <w:tcPr>
                <w:tcW w:w="494" w:type="pct"/>
                <w:tcBorders>
                  <w:top w:val="nil"/>
                  <w:left w:val="nil"/>
                  <w:bottom w:val="single" w:sz="4" w:space="0" w:color="auto"/>
                  <w:right w:val="single" w:sz="4" w:space="0" w:color="auto"/>
                </w:tcBorders>
                <w:shd w:val="clear" w:color="auto" w:fill="auto"/>
                <w:noWrap/>
                <w:vAlign w:val="bottom"/>
                <w:hideMark/>
              </w:tcPr>
              <w:p w14:paraId="7D3AAF0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49.33%</w:t>
                </w:r>
              </w:p>
            </w:tc>
          </w:tr>
          <w:tr w:rsidR="00C444E6" w:rsidRPr="00C444E6" w14:paraId="0C7AB42C"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17E277E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2582" w:type="pct"/>
                <w:tcBorders>
                  <w:top w:val="nil"/>
                  <w:left w:val="nil"/>
                  <w:bottom w:val="single" w:sz="4" w:space="0" w:color="auto"/>
                  <w:right w:val="single" w:sz="4" w:space="0" w:color="auto"/>
                </w:tcBorders>
                <w:shd w:val="clear" w:color="auto" w:fill="auto"/>
                <w:noWrap/>
                <w:vAlign w:val="bottom"/>
                <w:hideMark/>
              </w:tcPr>
              <w:p w14:paraId="661D7D6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145FC42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38F43AA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3F487D33"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5A5EA27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Total Assets</w:t>
                </w:r>
              </w:p>
            </w:tc>
            <w:tc>
              <w:tcPr>
                <w:tcW w:w="2582" w:type="pct"/>
                <w:tcBorders>
                  <w:top w:val="nil"/>
                  <w:left w:val="nil"/>
                  <w:bottom w:val="single" w:sz="4" w:space="0" w:color="auto"/>
                  <w:right w:val="single" w:sz="4" w:space="0" w:color="auto"/>
                </w:tcBorders>
                <w:shd w:val="clear" w:color="auto" w:fill="auto"/>
                <w:noWrap/>
                <w:vAlign w:val="bottom"/>
                <w:hideMark/>
              </w:tcPr>
              <w:p w14:paraId="7B8CC9E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632ADF7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12469</w:t>
                </w:r>
              </w:p>
            </w:tc>
            <w:tc>
              <w:tcPr>
                <w:tcW w:w="494" w:type="pct"/>
                <w:tcBorders>
                  <w:top w:val="nil"/>
                  <w:left w:val="nil"/>
                  <w:bottom w:val="single" w:sz="4" w:space="0" w:color="auto"/>
                  <w:right w:val="single" w:sz="4" w:space="0" w:color="auto"/>
                </w:tcBorders>
                <w:shd w:val="clear" w:color="auto" w:fill="auto"/>
                <w:noWrap/>
                <w:vAlign w:val="bottom"/>
                <w:hideMark/>
              </w:tcPr>
              <w:p w14:paraId="7ECAA5D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16606</w:t>
                </w:r>
              </w:p>
            </w:tc>
          </w:tr>
          <w:tr w:rsidR="00C444E6" w:rsidRPr="00C444E6" w14:paraId="40D571A8"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5AF7D69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Current Liabilities</w:t>
                </w:r>
              </w:p>
            </w:tc>
            <w:tc>
              <w:tcPr>
                <w:tcW w:w="2582" w:type="pct"/>
                <w:tcBorders>
                  <w:top w:val="nil"/>
                  <w:left w:val="nil"/>
                  <w:bottom w:val="single" w:sz="4" w:space="0" w:color="auto"/>
                  <w:right w:val="single" w:sz="4" w:space="0" w:color="auto"/>
                </w:tcBorders>
                <w:shd w:val="clear" w:color="auto" w:fill="auto"/>
                <w:noWrap/>
                <w:vAlign w:val="bottom"/>
                <w:hideMark/>
              </w:tcPr>
              <w:p w14:paraId="70EFEFC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94" w:type="pct"/>
                <w:tcBorders>
                  <w:top w:val="nil"/>
                  <w:left w:val="nil"/>
                  <w:bottom w:val="single" w:sz="4" w:space="0" w:color="auto"/>
                  <w:right w:val="single" w:sz="4" w:space="0" w:color="auto"/>
                </w:tcBorders>
                <w:shd w:val="clear" w:color="auto" w:fill="auto"/>
                <w:noWrap/>
                <w:vAlign w:val="bottom"/>
                <w:hideMark/>
              </w:tcPr>
              <w:p w14:paraId="3FCEF42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5141</w:t>
                </w:r>
              </w:p>
            </w:tc>
            <w:tc>
              <w:tcPr>
                <w:tcW w:w="494" w:type="pct"/>
                <w:tcBorders>
                  <w:top w:val="nil"/>
                  <w:left w:val="nil"/>
                  <w:bottom w:val="single" w:sz="4" w:space="0" w:color="auto"/>
                  <w:right w:val="single" w:sz="4" w:space="0" w:color="auto"/>
                </w:tcBorders>
                <w:shd w:val="clear" w:color="auto" w:fill="auto"/>
                <w:noWrap/>
                <w:vAlign w:val="bottom"/>
                <w:hideMark/>
              </w:tcPr>
              <w:p w14:paraId="017A031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3866</w:t>
                </w:r>
              </w:p>
            </w:tc>
          </w:tr>
          <w:tr w:rsidR="00C444E6" w:rsidRPr="00C444E6" w14:paraId="4371E243" w14:textId="77777777" w:rsidTr="00C444E6">
            <w:trPr>
              <w:trHeight w:val="312"/>
            </w:trPr>
            <w:tc>
              <w:tcPr>
                <w:tcW w:w="1431" w:type="pct"/>
                <w:tcBorders>
                  <w:top w:val="nil"/>
                  <w:left w:val="single" w:sz="4" w:space="0" w:color="auto"/>
                  <w:bottom w:val="single" w:sz="4" w:space="0" w:color="auto"/>
                  <w:right w:val="single" w:sz="4" w:space="0" w:color="auto"/>
                </w:tcBorders>
                <w:shd w:val="clear" w:color="auto" w:fill="auto"/>
                <w:noWrap/>
                <w:vAlign w:val="bottom"/>
                <w:hideMark/>
              </w:tcPr>
              <w:p w14:paraId="57760DE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Return on Capital Employed</w:t>
                </w:r>
              </w:p>
            </w:tc>
            <w:tc>
              <w:tcPr>
                <w:tcW w:w="2582" w:type="pct"/>
                <w:tcBorders>
                  <w:top w:val="nil"/>
                  <w:left w:val="nil"/>
                  <w:bottom w:val="single" w:sz="4" w:space="0" w:color="auto"/>
                  <w:right w:val="single" w:sz="4" w:space="0" w:color="auto"/>
                </w:tcBorders>
                <w:shd w:val="clear" w:color="auto" w:fill="auto"/>
                <w:noWrap/>
                <w:vAlign w:val="bottom"/>
                <w:hideMark/>
              </w:tcPr>
              <w:p w14:paraId="66FF397E" w14:textId="31CD332D"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profit/Total Assets-Current Liabilities *100</w:t>
                </w:r>
              </w:p>
            </w:tc>
            <w:tc>
              <w:tcPr>
                <w:tcW w:w="494" w:type="pct"/>
                <w:tcBorders>
                  <w:top w:val="nil"/>
                  <w:left w:val="nil"/>
                  <w:bottom w:val="single" w:sz="4" w:space="0" w:color="auto"/>
                  <w:right w:val="single" w:sz="4" w:space="0" w:color="auto"/>
                </w:tcBorders>
                <w:shd w:val="clear" w:color="auto" w:fill="auto"/>
                <w:noWrap/>
                <w:vAlign w:val="bottom"/>
                <w:hideMark/>
              </w:tcPr>
              <w:p w14:paraId="684D7EE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8.98%</w:t>
                </w:r>
              </w:p>
            </w:tc>
            <w:tc>
              <w:tcPr>
                <w:tcW w:w="494" w:type="pct"/>
                <w:tcBorders>
                  <w:top w:val="nil"/>
                  <w:left w:val="nil"/>
                  <w:bottom w:val="single" w:sz="4" w:space="0" w:color="auto"/>
                  <w:right w:val="single" w:sz="4" w:space="0" w:color="auto"/>
                </w:tcBorders>
                <w:shd w:val="clear" w:color="auto" w:fill="auto"/>
                <w:noWrap/>
                <w:vAlign w:val="bottom"/>
                <w:hideMark/>
              </w:tcPr>
              <w:p w14:paraId="000B100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13.85%</w:t>
                </w:r>
              </w:p>
            </w:tc>
          </w:tr>
        </w:tbl>
        <w:p w14:paraId="2BE7CE83" w14:textId="77777777" w:rsidR="00C444E6" w:rsidRPr="00C444E6" w:rsidRDefault="00C444E6" w:rsidP="00C444E6"/>
        <w:p w14:paraId="6B4FDAFA" w14:textId="7FE28564" w:rsidR="00C444E6" w:rsidRDefault="00C444E6" w:rsidP="00C444E6">
          <w:pPr>
            <w:pStyle w:val="Heading2"/>
            <w:rPr>
              <w:rFonts w:ascii="Times New Roman" w:hAnsi="Times New Roman" w:cs="Times New Roman"/>
              <w:color w:val="000000" w:themeColor="text1"/>
              <w:sz w:val="24"/>
              <w:szCs w:val="24"/>
              <w:u w:val="single"/>
            </w:rPr>
          </w:pPr>
          <w:bookmarkStart w:id="75" w:name="_Toc186239366"/>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2</w:t>
          </w:r>
          <w:r w:rsidRPr="00C444E6">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Liquidity Ratios</w:t>
          </w:r>
          <w:bookmarkEnd w:id="75"/>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2480"/>
            <w:gridCol w:w="4384"/>
            <w:gridCol w:w="1076"/>
            <w:gridCol w:w="1076"/>
          </w:tblGrid>
          <w:tr w:rsidR="00C444E6" w:rsidRPr="00C444E6" w14:paraId="2E10E772" w14:textId="77777777" w:rsidTr="00C444E6">
            <w:trPr>
              <w:trHeight w:val="312"/>
            </w:trPr>
            <w:tc>
              <w:tcPr>
                <w:tcW w:w="145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AEB8D4"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2511" w:type="pct"/>
                <w:tcBorders>
                  <w:top w:val="single" w:sz="4" w:space="0" w:color="auto"/>
                  <w:left w:val="nil"/>
                  <w:bottom w:val="single" w:sz="4" w:space="0" w:color="auto"/>
                  <w:right w:val="single" w:sz="4" w:space="0" w:color="auto"/>
                </w:tcBorders>
                <w:shd w:val="clear" w:color="auto" w:fill="auto"/>
                <w:noWrap/>
                <w:vAlign w:val="bottom"/>
                <w:hideMark/>
              </w:tcPr>
              <w:p w14:paraId="5BF565B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517" w:type="pct"/>
                <w:tcBorders>
                  <w:top w:val="single" w:sz="4" w:space="0" w:color="auto"/>
                  <w:left w:val="nil"/>
                  <w:bottom w:val="single" w:sz="4" w:space="0" w:color="auto"/>
                  <w:right w:val="single" w:sz="4" w:space="0" w:color="auto"/>
                </w:tcBorders>
                <w:shd w:val="clear" w:color="auto" w:fill="auto"/>
                <w:noWrap/>
                <w:vAlign w:val="bottom"/>
                <w:hideMark/>
              </w:tcPr>
              <w:p w14:paraId="704B3ED8"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2023 £m</w:t>
                </w:r>
              </w:p>
            </w:tc>
            <w:tc>
              <w:tcPr>
                <w:tcW w:w="517" w:type="pct"/>
                <w:tcBorders>
                  <w:top w:val="single" w:sz="4" w:space="0" w:color="auto"/>
                  <w:left w:val="nil"/>
                  <w:bottom w:val="single" w:sz="4" w:space="0" w:color="auto"/>
                  <w:right w:val="single" w:sz="4" w:space="0" w:color="auto"/>
                </w:tcBorders>
                <w:shd w:val="clear" w:color="auto" w:fill="auto"/>
                <w:noWrap/>
                <w:vAlign w:val="bottom"/>
                <w:hideMark/>
              </w:tcPr>
              <w:p w14:paraId="11B6D4DD"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2024 £m</w:t>
                </w:r>
              </w:p>
            </w:tc>
          </w:tr>
          <w:tr w:rsidR="00C444E6" w:rsidRPr="00C444E6" w14:paraId="6BBCBC73"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598BCCF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Current Assets</w:t>
                </w:r>
              </w:p>
            </w:tc>
            <w:tc>
              <w:tcPr>
                <w:tcW w:w="2511" w:type="pct"/>
                <w:tcBorders>
                  <w:top w:val="nil"/>
                  <w:left w:val="nil"/>
                  <w:bottom w:val="single" w:sz="4" w:space="0" w:color="auto"/>
                  <w:right w:val="single" w:sz="4" w:space="0" w:color="auto"/>
                </w:tcBorders>
                <w:shd w:val="clear" w:color="auto" w:fill="auto"/>
                <w:noWrap/>
                <w:vAlign w:val="bottom"/>
                <w:hideMark/>
              </w:tcPr>
              <w:p w14:paraId="6343F82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7" w:type="pct"/>
                <w:tcBorders>
                  <w:top w:val="nil"/>
                  <w:left w:val="nil"/>
                  <w:bottom w:val="single" w:sz="4" w:space="0" w:color="auto"/>
                  <w:right w:val="single" w:sz="4" w:space="0" w:color="auto"/>
                </w:tcBorders>
                <w:shd w:val="clear" w:color="auto" w:fill="auto"/>
                <w:noWrap/>
                <w:vAlign w:val="bottom"/>
                <w:hideMark/>
              </w:tcPr>
              <w:p w14:paraId="4194B04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12259</w:t>
                </w:r>
              </w:p>
            </w:tc>
            <w:tc>
              <w:tcPr>
                <w:tcW w:w="517" w:type="pct"/>
                <w:tcBorders>
                  <w:top w:val="nil"/>
                  <w:left w:val="nil"/>
                  <w:bottom w:val="single" w:sz="4" w:space="0" w:color="auto"/>
                  <w:right w:val="single" w:sz="4" w:space="0" w:color="auto"/>
                </w:tcBorders>
                <w:shd w:val="clear" w:color="auto" w:fill="auto"/>
                <w:noWrap/>
                <w:vAlign w:val="bottom"/>
                <w:hideMark/>
              </w:tcPr>
              <w:p w14:paraId="003AD2F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8823</w:t>
                </w:r>
              </w:p>
            </w:tc>
          </w:tr>
          <w:tr w:rsidR="00C444E6" w:rsidRPr="00C444E6" w14:paraId="2D199567"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42967CB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Current Liabilities</w:t>
                </w:r>
              </w:p>
            </w:tc>
            <w:tc>
              <w:tcPr>
                <w:tcW w:w="2511" w:type="pct"/>
                <w:tcBorders>
                  <w:top w:val="nil"/>
                  <w:left w:val="nil"/>
                  <w:bottom w:val="single" w:sz="4" w:space="0" w:color="auto"/>
                  <w:right w:val="single" w:sz="4" w:space="0" w:color="auto"/>
                </w:tcBorders>
                <w:shd w:val="clear" w:color="auto" w:fill="auto"/>
                <w:noWrap/>
                <w:vAlign w:val="bottom"/>
                <w:hideMark/>
              </w:tcPr>
              <w:p w14:paraId="223C5BB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7" w:type="pct"/>
                <w:tcBorders>
                  <w:top w:val="nil"/>
                  <w:left w:val="nil"/>
                  <w:bottom w:val="single" w:sz="4" w:space="0" w:color="auto"/>
                  <w:right w:val="single" w:sz="4" w:space="0" w:color="auto"/>
                </w:tcBorders>
                <w:shd w:val="clear" w:color="auto" w:fill="auto"/>
                <w:noWrap/>
                <w:vAlign w:val="bottom"/>
                <w:hideMark/>
              </w:tcPr>
              <w:p w14:paraId="00975B6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5141</w:t>
                </w:r>
              </w:p>
            </w:tc>
            <w:tc>
              <w:tcPr>
                <w:tcW w:w="517" w:type="pct"/>
                <w:tcBorders>
                  <w:top w:val="nil"/>
                  <w:left w:val="nil"/>
                  <w:bottom w:val="single" w:sz="4" w:space="0" w:color="auto"/>
                  <w:right w:val="single" w:sz="4" w:space="0" w:color="auto"/>
                </w:tcBorders>
                <w:shd w:val="clear" w:color="auto" w:fill="auto"/>
                <w:noWrap/>
                <w:vAlign w:val="bottom"/>
                <w:hideMark/>
              </w:tcPr>
              <w:p w14:paraId="4999D1F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3866</w:t>
                </w:r>
              </w:p>
            </w:tc>
          </w:tr>
          <w:tr w:rsidR="00C444E6" w:rsidRPr="00C444E6" w14:paraId="1AC4E95D"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4985621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Current Ratio</w:t>
                </w:r>
              </w:p>
            </w:tc>
            <w:tc>
              <w:tcPr>
                <w:tcW w:w="2511" w:type="pct"/>
                <w:tcBorders>
                  <w:top w:val="nil"/>
                  <w:left w:val="nil"/>
                  <w:bottom w:val="single" w:sz="4" w:space="0" w:color="auto"/>
                  <w:right w:val="single" w:sz="4" w:space="0" w:color="auto"/>
                </w:tcBorders>
                <w:shd w:val="clear" w:color="auto" w:fill="auto"/>
                <w:noWrap/>
                <w:vAlign w:val="bottom"/>
                <w:hideMark/>
              </w:tcPr>
              <w:p w14:paraId="1D10E5B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Current Assets/Current Liabilities</w:t>
                </w:r>
              </w:p>
            </w:tc>
            <w:tc>
              <w:tcPr>
                <w:tcW w:w="517" w:type="pct"/>
                <w:tcBorders>
                  <w:top w:val="nil"/>
                  <w:left w:val="nil"/>
                  <w:bottom w:val="single" w:sz="4" w:space="0" w:color="auto"/>
                  <w:right w:val="single" w:sz="4" w:space="0" w:color="auto"/>
                </w:tcBorders>
                <w:shd w:val="clear" w:color="auto" w:fill="auto"/>
                <w:noWrap/>
                <w:vAlign w:val="bottom"/>
                <w:hideMark/>
              </w:tcPr>
              <w:p w14:paraId="2C4A9E9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2.38</w:t>
                </w:r>
              </w:p>
            </w:tc>
            <w:tc>
              <w:tcPr>
                <w:tcW w:w="517" w:type="pct"/>
                <w:tcBorders>
                  <w:top w:val="nil"/>
                  <w:left w:val="nil"/>
                  <w:bottom w:val="single" w:sz="4" w:space="0" w:color="auto"/>
                  <w:right w:val="single" w:sz="4" w:space="0" w:color="auto"/>
                </w:tcBorders>
                <w:shd w:val="clear" w:color="auto" w:fill="auto"/>
                <w:noWrap/>
                <w:vAlign w:val="bottom"/>
                <w:hideMark/>
              </w:tcPr>
              <w:p w14:paraId="45B3B8C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2.28</w:t>
                </w:r>
              </w:p>
            </w:tc>
          </w:tr>
          <w:tr w:rsidR="00C444E6" w:rsidRPr="00C444E6" w14:paraId="7B1A5714"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0F394F4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2511" w:type="pct"/>
                <w:tcBorders>
                  <w:top w:val="nil"/>
                  <w:left w:val="nil"/>
                  <w:bottom w:val="single" w:sz="4" w:space="0" w:color="auto"/>
                  <w:right w:val="single" w:sz="4" w:space="0" w:color="auto"/>
                </w:tcBorders>
                <w:shd w:val="clear" w:color="auto" w:fill="auto"/>
                <w:noWrap/>
                <w:vAlign w:val="bottom"/>
                <w:hideMark/>
              </w:tcPr>
              <w:p w14:paraId="24A437D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7" w:type="pct"/>
                <w:tcBorders>
                  <w:top w:val="nil"/>
                  <w:left w:val="nil"/>
                  <w:bottom w:val="single" w:sz="4" w:space="0" w:color="auto"/>
                  <w:right w:val="single" w:sz="4" w:space="0" w:color="auto"/>
                </w:tcBorders>
                <w:shd w:val="clear" w:color="auto" w:fill="auto"/>
                <w:noWrap/>
                <w:vAlign w:val="bottom"/>
                <w:hideMark/>
              </w:tcPr>
              <w:p w14:paraId="4AFFA23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7" w:type="pct"/>
                <w:tcBorders>
                  <w:top w:val="nil"/>
                  <w:left w:val="nil"/>
                  <w:bottom w:val="single" w:sz="4" w:space="0" w:color="auto"/>
                  <w:right w:val="single" w:sz="4" w:space="0" w:color="auto"/>
                </w:tcBorders>
                <w:shd w:val="clear" w:color="auto" w:fill="auto"/>
                <w:noWrap/>
                <w:vAlign w:val="bottom"/>
                <w:hideMark/>
              </w:tcPr>
              <w:p w14:paraId="4BFE6FF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02D47A15"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3C8BA03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Inventories</w:t>
                </w:r>
              </w:p>
            </w:tc>
            <w:tc>
              <w:tcPr>
                <w:tcW w:w="2511" w:type="pct"/>
                <w:tcBorders>
                  <w:top w:val="nil"/>
                  <w:left w:val="nil"/>
                  <w:bottom w:val="single" w:sz="4" w:space="0" w:color="auto"/>
                  <w:right w:val="single" w:sz="4" w:space="0" w:color="auto"/>
                </w:tcBorders>
                <w:shd w:val="clear" w:color="auto" w:fill="auto"/>
                <w:noWrap/>
                <w:vAlign w:val="bottom"/>
                <w:hideMark/>
              </w:tcPr>
              <w:p w14:paraId="538F154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7" w:type="pct"/>
                <w:tcBorders>
                  <w:top w:val="nil"/>
                  <w:left w:val="nil"/>
                  <w:bottom w:val="single" w:sz="4" w:space="0" w:color="auto"/>
                  <w:right w:val="single" w:sz="4" w:space="0" w:color="auto"/>
                </w:tcBorders>
                <w:shd w:val="clear" w:color="auto" w:fill="auto"/>
                <w:noWrap/>
                <w:vAlign w:val="bottom"/>
                <w:hideMark/>
              </w:tcPr>
              <w:p w14:paraId="333146A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2510</w:t>
                </w:r>
              </w:p>
            </w:tc>
            <w:tc>
              <w:tcPr>
                <w:tcW w:w="517" w:type="pct"/>
                <w:tcBorders>
                  <w:top w:val="nil"/>
                  <w:left w:val="nil"/>
                  <w:bottom w:val="single" w:sz="4" w:space="0" w:color="auto"/>
                  <w:right w:val="single" w:sz="4" w:space="0" w:color="auto"/>
                </w:tcBorders>
                <w:shd w:val="clear" w:color="auto" w:fill="auto"/>
                <w:noWrap/>
                <w:vAlign w:val="bottom"/>
                <w:hideMark/>
              </w:tcPr>
              <w:p w14:paraId="04711F9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2635</w:t>
                </w:r>
              </w:p>
            </w:tc>
          </w:tr>
          <w:tr w:rsidR="00C444E6" w:rsidRPr="00C444E6" w14:paraId="5EB57E62"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2C5C35E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Quick asset</w:t>
                </w:r>
              </w:p>
            </w:tc>
            <w:tc>
              <w:tcPr>
                <w:tcW w:w="2511" w:type="pct"/>
                <w:tcBorders>
                  <w:top w:val="nil"/>
                  <w:left w:val="nil"/>
                  <w:bottom w:val="single" w:sz="4" w:space="0" w:color="auto"/>
                  <w:right w:val="single" w:sz="4" w:space="0" w:color="auto"/>
                </w:tcBorders>
                <w:shd w:val="clear" w:color="auto" w:fill="auto"/>
                <w:noWrap/>
                <w:vAlign w:val="bottom"/>
                <w:hideMark/>
              </w:tcPr>
              <w:p w14:paraId="688C69D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Current Assets- Inventories</w:t>
                </w:r>
              </w:p>
            </w:tc>
            <w:tc>
              <w:tcPr>
                <w:tcW w:w="517" w:type="pct"/>
                <w:tcBorders>
                  <w:top w:val="nil"/>
                  <w:left w:val="nil"/>
                  <w:bottom w:val="single" w:sz="4" w:space="0" w:color="auto"/>
                  <w:right w:val="single" w:sz="4" w:space="0" w:color="auto"/>
                </w:tcBorders>
                <w:shd w:val="clear" w:color="auto" w:fill="auto"/>
                <w:noWrap/>
                <w:vAlign w:val="bottom"/>
                <w:hideMark/>
              </w:tcPr>
              <w:p w14:paraId="6DC5FB5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9749</w:t>
                </w:r>
              </w:p>
            </w:tc>
            <w:tc>
              <w:tcPr>
                <w:tcW w:w="517" w:type="pct"/>
                <w:tcBorders>
                  <w:top w:val="nil"/>
                  <w:left w:val="nil"/>
                  <w:bottom w:val="single" w:sz="4" w:space="0" w:color="auto"/>
                  <w:right w:val="single" w:sz="4" w:space="0" w:color="auto"/>
                </w:tcBorders>
                <w:shd w:val="clear" w:color="auto" w:fill="auto"/>
                <w:noWrap/>
                <w:vAlign w:val="bottom"/>
                <w:hideMark/>
              </w:tcPr>
              <w:p w14:paraId="5F47C09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6188</w:t>
                </w:r>
              </w:p>
            </w:tc>
          </w:tr>
          <w:tr w:rsidR="00C444E6" w:rsidRPr="00C444E6" w14:paraId="283C7983" w14:textId="77777777" w:rsidTr="00C444E6">
            <w:trPr>
              <w:trHeight w:val="312"/>
            </w:trPr>
            <w:tc>
              <w:tcPr>
                <w:tcW w:w="1455" w:type="pct"/>
                <w:tcBorders>
                  <w:top w:val="nil"/>
                  <w:left w:val="single" w:sz="4" w:space="0" w:color="auto"/>
                  <w:bottom w:val="single" w:sz="4" w:space="0" w:color="auto"/>
                  <w:right w:val="single" w:sz="4" w:space="0" w:color="auto"/>
                </w:tcBorders>
                <w:shd w:val="clear" w:color="auto" w:fill="auto"/>
                <w:noWrap/>
                <w:vAlign w:val="bottom"/>
                <w:hideMark/>
              </w:tcPr>
              <w:p w14:paraId="73BE61A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Quick Ratio</w:t>
                </w:r>
              </w:p>
            </w:tc>
            <w:tc>
              <w:tcPr>
                <w:tcW w:w="2511" w:type="pct"/>
                <w:tcBorders>
                  <w:top w:val="nil"/>
                  <w:left w:val="nil"/>
                  <w:bottom w:val="single" w:sz="4" w:space="0" w:color="auto"/>
                  <w:right w:val="single" w:sz="4" w:space="0" w:color="auto"/>
                </w:tcBorders>
                <w:shd w:val="clear" w:color="auto" w:fill="auto"/>
                <w:noWrap/>
                <w:vAlign w:val="bottom"/>
                <w:hideMark/>
              </w:tcPr>
              <w:p w14:paraId="69B4F44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Quick Asset/Current Liabilities</w:t>
                </w:r>
              </w:p>
            </w:tc>
            <w:tc>
              <w:tcPr>
                <w:tcW w:w="517" w:type="pct"/>
                <w:tcBorders>
                  <w:top w:val="nil"/>
                  <w:left w:val="nil"/>
                  <w:bottom w:val="single" w:sz="4" w:space="0" w:color="auto"/>
                  <w:right w:val="single" w:sz="4" w:space="0" w:color="auto"/>
                </w:tcBorders>
                <w:shd w:val="clear" w:color="auto" w:fill="auto"/>
                <w:noWrap/>
                <w:vAlign w:val="bottom"/>
                <w:hideMark/>
              </w:tcPr>
              <w:p w14:paraId="5E0CDD1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1.90</w:t>
                </w:r>
              </w:p>
            </w:tc>
            <w:tc>
              <w:tcPr>
                <w:tcW w:w="517" w:type="pct"/>
                <w:tcBorders>
                  <w:top w:val="nil"/>
                  <w:left w:val="nil"/>
                  <w:bottom w:val="single" w:sz="4" w:space="0" w:color="auto"/>
                  <w:right w:val="single" w:sz="4" w:space="0" w:color="auto"/>
                </w:tcBorders>
                <w:shd w:val="clear" w:color="auto" w:fill="auto"/>
                <w:noWrap/>
                <w:vAlign w:val="bottom"/>
                <w:hideMark/>
              </w:tcPr>
              <w:p w14:paraId="2E8B11F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1.60</w:t>
                </w:r>
              </w:p>
            </w:tc>
          </w:tr>
        </w:tbl>
        <w:p w14:paraId="7E0AD72D" w14:textId="77777777" w:rsidR="00C444E6" w:rsidRPr="00C444E6" w:rsidRDefault="00C444E6" w:rsidP="00C444E6"/>
        <w:p w14:paraId="52CBA8ED" w14:textId="29953E6E" w:rsidR="00C444E6" w:rsidRDefault="00C444E6" w:rsidP="00C444E6">
          <w:pPr>
            <w:pStyle w:val="Heading2"/>
            <w:rPr>
              <w:rFonts w:ascii="Times New Roman" w:hAnsi="Times New Roman" w:cs="Times New Roman"/>
              <w:color w:val="000000" w:themeColor="text1"/>
              <w:sz w:val="24"/>
              <w:szCs w:val="24"/>
              <w:u w:val="single"/>
            </w:rPr>
          </w:pPr>
          <w:bookmarkStart w:id="76" w:name="_Toc186239367"/>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3</w:t>
          </w:r>
          <w:r w:rsidRPr="00C444E6">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Gearing Ratio</w:t>
          </w:r>
          <w:bookmarkEnd w:id="76"/>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1723"/>
            <w:gridCol w:w="5607"/>
            <w:gridCol w:w="843"/>
            <w:gridCol w:w="843"/>
          </w:tblGrid>
          <w:tr w:rsidR="00C444E6" w:rsidRPr="00C444E6" w14:paraId="72417357" w14:textId="77777777" w:rsidTr="00C444E6">
            <w:trPr>
              <w:trHeight w:val="312"/>
            </w:trPr>
            <w:tc>
              <w:tcPr>
                <w:tcW w:w="104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9A52D4"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3143" w:type="pct"/>
                <w:tcBorders>
                  <w:top w:val="single" w:sz="4" w:space="0" w:color="auto"/>
                  <w:left w:val="nil"/>
                  <w:bottom w:val="single" w:sz="4" w:space="0" w:color="auto"/>
                  <w:right w:val="single" w:sz="4" w:space="0" w:color="auto"/>
                </w:tcBorders>
                <w:shd w:val="clear" w:color="auto" w:fill="auto"/>
                <w:noWrap/>
                <w:vAlign w:val="bottom"/>
                <w:hideMark/>
              </w:tcPr>
              <w:p w14:paraId="1F68700D"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423" w:type="pct"/>
                <w:tcBorders>
                  <w:top w:val="single" w:sz="4" w:space="0" w:color="auto"/>
                  <w:left w:val="nil"/>
                  <w:bottom w:val="single" w:sz="4" w:space="0" w:color="auto"/>
                  <w:right w:val="single" w:sz="4" w:space="0" w:color="auto"/>
                </w:tcBorders>
                <w:shd w:val="clear" w:color="auto" w:fill="auto"/>
                <w:noWrap/>
                <w:vAlign w:val="bottom"/>
                <w:hideMark/>
              </w:tcPr>
              <w:p w14:paraId="049F5ED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2023 £m</w:t>
                </w:r>
              </w:p>
            </w:tc>
            <w:tc>
              <w:tcPr>
                <w:tcW w:w="391" w:type="pct"/>
                <w:tcBorders>
                  <w:top w:val="single" w:sz="4" w:space="0" w:color="auto"/>
                  <w:left w:val="nil"/>
                  <w:bottom w:val="single" w:sz="4" w:space="0" w:color="auto"/>
                  <w:right w:val="single" w:sz="4" w:space="0" w:color="auto"/>
                </w:tcBorders>
                <w:shd w:val="clear" w:color="auto" w:fill="auto"/>
                <w:noWrap/>
                <w:vAlign w:val="bottom"/>
                <w:hideMark/>
              </w:tcPr>
              <w:p w14:paraId="71054553"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2024 £m</w:t>
                </w:r>
              </w:p>
            </w:tc>
          </w:tr>
          <w:tr w:rsidR="00C444E6" w:rsidRPr="00C444E6" w14:paraId="6672FAF2" w14:textId="77777777" w:rsidTr="00C444E6">
            <w:trPr>
              <w:trHeight w:val="312"/>
            </w:trPr>
            <w:tc>
              <w:tcPr>
                <w:tcW w:w="1042" w:type="pct"/>
                <w:tcBorders>
                  <w:top w:val="nil"/>
                  <w:left w:val="single" w:sz="4" w:space="0" w:color="auto"/>
                  <w:bottom w:val="single" w:sz="4" w:space="0" w:color="auto"/>
                  <w:right w:val="single" w:sz="4" w:space="0" w:color="auto"/>
                </w:tcBorders>
                <w:shd w:val="clear" w:color="auto" w:fill="auto"/>
                <w:noWrap/>
                <w:vAlign w:val="bottom"/>
                <w:hideMark/>
              </w:tcPr>
              <w:p w14:paraId="53F2C9EA" w14:textId="7B894E90"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Long term borrowing</w:t>
                </w:r>
              </w:p>
            </w:tc>
            <w:tc>
              <w:tcPr>
                <w:tcW w:w="3143" w:type="pct"/>
                <w:tcBorders>
                  <w:top w:val="nil"/>
                  <w:left w:val="nil"/>
                  <w:bottom w:val="single" w:sz="4" w:space="0" w:color="auto"/>
                  <w:right w:val="single" w:sz="4" w:space="0" w:color="auto"/>
                </w:tcBorders>
                <w:shd w:val="clear" w:color="auto" w:fill="auto"/>
                <w:noWrap/>
                <w:vAlign w:val="bottom"/>
                <w:hideMark/>
              </w:tcPr>
              <w:p w14:paraId="2438F2D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23" w:type="pct"/>
                <w:tcBorders>
                  <w:top w:val="nil"/>
                  <w:left w:val="nil"/>
                  <w:bottom w:val="single" w:sz="4" w:space="0" w:color="auto"/>
                  <w:right w:val="single" w:sz="4" w:space="0" w:color="auto"/>
                </w:tcBorders>
                <w:shd w:val="clear" w:color="auto" w:fill="auto"/>
                <w:noWrap/>
                <w:vAlign w:val="bottom"/>
                <w:hideMark/>
              </w:tcPr>
              <w:p w14:paraId="37C9245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1770</w:t>
                </w:r>
              </w:p>
            </w:tc>
            <w:tc>
              <w:tcPr>
                <w:tcW w:w="391" w:type="pct"/>
                <w:tcBorders>
                  <w:top w:val="nil"/>
                  <w:left w:val="nil"/>
                  <w:bottom w:val="single" w:sz="4" w:space="0" w:color="auto"/>
                  <w:right w:val="single" w:sz="4" w:space="0" w:color="auto"/>
                </w:tcBorders>
                <w:shd w:val="clear" w:color="auto" w:fill="auto"/>
                <w:noWrap/>
                <w:vAlign w:val="bottom"/>
                <w:hideMark/>
              </w:tcPr>
              <w:p w14:paraId="3A839EE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1536</w:t>
                </w:r>
              </w:p>
            </w:tc>
          </w:tr>
          <w:tr w:rsidR="00C444E6" w:rsidRPr="00C444E6" w14:paraId="382D9BD0" w14:textId="77777777" w:rsidTr="00C444E6">
            <w:trPr>
              <w:trHeight w:val="312"/>
            </w:trPr>
            <w:tc>
              <w:tcPr>
                <w:tcW w:w="1042" w:type="pct"/>
                <w:tcBorders>
                  <w:top w:val="nil"/>
                  <w:left w:val="single" w:sz="4" w:space="0" w:color="auto"/>
                  <w:bottom w:val="single" w:sz="4" w:space="0" w:color="auto"/>
                  <w:right w:val="single" w:sz="4" w:space="0" w:color="auto"/>
                </w:tcBorders>
                <w:shd w:val="clear" w:color="auto" w:fill="auto"/>
                <w:noWrap/>
                <w:vAlign w:val="bottom"/>
                <w:hideMark/>
              </w:tcPr>
              <w:p w14:paraId="6412149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Ordinary shares</w:t>
                </w:r>
              </w:p>
            </w:tc>
            <w:tc>
              <w:tcPr>
                <w:tcW w:w="3143" w:type="pct"/>
                <w:tcBorders>
                  <w:top w:val="nil"/>
                  <w:left w:val="nil"/>
                  <w:bottom w:val="single" w:sz="4" w:space="0" w:color="auto"/>
                  <w:right w:val="single" w:sz="4" w:space="0" w:color="auto"/>
                </w:tcBorders>
                <w:shd w:val="clear" w:color="auto" w:fill="auto"/>
                <w:noWrap/>
                <w:vAlign w:val="bottom"/>
                <w:hideMark/>
              </w:tcPr>
              <w:p w14:paraId="24ADD12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23" w:type="pct"/>
                <w:tcBorders>
                  <w:top w:val="nil"/>
                  <w:left w:val="nil"/>
                  <w:bottom w:val="single" w:sz="4" w:space="0" w:color="auto"/>
                  <w:right w:val="single" w:sz="4" w:space="0" w:color="auto"/>
                </w:tcBorders>
                <w:shd w:val="clear" w:color="auto" w:fill="auto"/>
                <w:noWrap/>
                <w:vAlign w:val="bottom"/>
                <w:hideMark/>
              </w:tcPr>
              <w:p w14:paraId="3B3DCA9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463</w:t>
                </w:r>
              </w:p>
            </w:tc>
            <w:tc>
              <w:tcPr>
                <w:tcW w:w="391" w:type="pct"/>
                <w:tcBorders>
                  <w:top w:val="nil"/>
                  <w:left w:val="nil"/>
                  <w:bottom w:val="single" w:sz="4" w:space="0" w:color="auto"/>
                  <w:right w:val="single" w:sz="4" w:space="0" w:color="auto"/>
                </w:tcBorders>
                <w:shd w:val="clear" w:color="auto" w:fill="auto"/>
                <w:noWrap/>
                <w:vAlign w:val="bottom"/>
                <w:hideMark/>
              </w:tcPr>
              <w:p w14:paraId="4C92D62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445</w:t>
                </w:r>
              </w:p>
            </w:tc>
          </w:tr>
          <w:tr w:rsidR="00C444E6" w:rsidRPr="00C444E6" w14:paraId="32B2F7D1" w14:textId="77777777" w:rsidTr="00C444E6">
            <w:trPr>
              <w:trHeight w:val="312"/>
            </w:trPr>
            <w:tc>
              <w:tcPr>
                <w:tcW w:w="1042" w:type="pct"/>
                <w:tcBorders>
                  <w:top w:val="nil"/>
                  <w:left w:val="single" w:sz="4" w:space="0" w:color="auto"/>
                  <w:bottom w:val="single" w:sz="4" w:space="0" w:color="auto"/>
                  <w:right w:val="single" w:sz="4" w:space="0" w:color="auto"/>
                </w:tcBorders>
                <w:shd w:val="clear" w:color="auto" w:fill="auto"/>
                <w:noWrap/>
                <w:vAlign w:val="bottom"/>
                <w:hideMark/>
              </w:tcPr>
              <w:p w14:paraId="48BF3CA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Reserves</w:t>
                </w:r>
              </w:p>
            </w:tc>
            <w:tc>
              <w:tcPr>
                <w:tcW w:w="3143" w:type="pct"/>
                <w:tcBorders>
                  <w:top w:val="nil"/>
                  <w:left w:val="nil"/>
                  <w:bottom w:val="single" w:sz="4" w:space="0" w:color="auto"/>
                  <w:right w:val="single" w:sz="4" w:space="0" w:color="auto"/>
                </w:tcBorders>
                <w:shd w:val="clear" w:color="auto" w:fill="auto"/>
                <w:noWrap/>
                <w:vAlign w:val="bottom"/>
                <w:hideMark/>
              </w:tcPr>
              <w:p w14:paraId="6B868E1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423" w:type="pct"/>
                <w:tcBorders>
                  <w:top w:val="nil"/>
                  <w:left w:val="nil"/>
                  <w:bottom w:val="single" w:sz="4" w:space="0" w:color="auto"/>
                  <w:right w:val="single" w:sz="4" w:space="0" w:color="auto"/>
                </w:tcBorders>
                <w:shd w:val="clear" w:color="auto" w:fill="auto"/>
                <w:noWrap/>
                <w:vAlign w:val="bottom"/>
                <w:hideMark/>
              </w:tcPr>
              <w:p w14:paraId="2405BD6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3139</w:t>
                </w:r>
              </w:p>
            </w:tc>
            <w:tc>
              <w:tcPr>
                <w:tcW w:w="391" w:type="pct"/>
                <w:tcBorders>
                  <w:top w:val="nil"/>
                  <w:left w:val="nil"/>
                  <w:bottom w:val="single" w:sz="4" w:space="0" w:color="auto"/>
                  <w:right w:val="single" w:sz="4" w:space="0" w:color="auto"/>
                </w:tcBorders>
                <w:shd w:val="clear" w:color="auto" w:fill="auto"/>
                <w:noWrap/>
                <w:vAlign w:val="bottom"/>
                <w:hideMark/>
              </w:tcPr>
              <w:p w14:paraId="0B40095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3131</w:t>
                </w:r>
              </w:p>
            </w:tc>
          </w:tr>
          <w:tr w:rsidR="00C444E6" w:rsidRPr="00C444E6" w14:paraId="43288044" w14:textId="77777777" w:rsidTr="00C444E6">
            <w:trPr>
              <w:trHeight w:val="312"/>
            </w:trPr>
            <w:tc>
              <w:tcPr>
                <w:tcW w:w="1042" w:type="pct"/>
                <w:tcBorders>
                  <w:top w:val="nil"/>
                  <w:left w:val="single" w:sz="4" w:space="0" w:color="auto"/>
                  <w:bottom w:val="single" w:sz="4" w:space="0" w:color="auto"/>
                  <w:right w:val="single" w:sz="4" w:space="0" w:color="auto"/>
                </w:tcBorders>
                <w:shd w:val="clear" w:color="auto" w:fill="auto"/>
                <w:noWrap/>
                <w:vAlign w:val="bottom"/>
                <w:hideMark/>
              </w:tcPr>
              <w:p w14:paraId="16D9E30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Gearing Ratio</w:t>
                </w:r>
              </w:p>
            </w:tc>
            <w:tc>
              <w:tcPr>
                <w:tcW w:w="3143" w:type="pct"/>
                <w:tcBorders>
                  <w:top w:val="nil"/>
                  <w:left w:val="nil"/>
                  <w:bottom w:val="single" w:sz="4" w:space="0" w:color="auto"/>
                  <w:right w:val="single" w:sz="4" w:space="0" w:color="auto"/>
                </w:tcBorders>
                <w:shd w:val="clear" w:color="auto" w:fill="auto"/>
                <w:noWrap/>
                <w:vAlign w:val="bottom"/>
                <w:hideMark/>
              </w:tcPr>
              <w:p w14:paraId="3FE70557" w14:textId="4022EF8D"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Long term Borrowing/Long term borrowing</w:t>
                </w:r>
                <w:r>
                  <w:rPr>
                    <w:rFonts w:ascii="Times New Roman" w:eastAsia="Times New Roman" w:hAnsi="Times New Roman" w:cs="Times New Roman"/>
                    <w:color w:val="000000"/>
                    <w:sz w:val="24"/>
                    <w:szCs w:val="24"/>
                    <w:lang w:val="en-IN" w:eastAsia="en-IN"/>
                  </w:rPr>
                  <w:t xml:space="preserve"> + </w:t>
                </w:r>
                <w:r w:rsidRPr="00C444E6">
                  <w:rPr>
                    <w:rFonts w:ascii="Times New Roman" w:eastAsia="Times New Roman" w:hAnsi="Times New Roman" w:cs="Times New Roman"/>
                    <w:color w:val="000000"/>
                    <w:sz w:val="24"/>
                    <w:szCs w:val="24"/>
                    <w:lang w:val="en-IN" w:eastAsia="en-IN"/>
                  </w:rPr>
                  <w:t>ordinary share</w:t>
                </w:r>
                <w:r>
                  <w:rPr>
                    <w:rFonts w:ascii="Times New Roman" w:eastAsia="Times New Roman" w:hAnsi="Times New Roman" w:cs="Times New Roman"/>
                    <w:color w:val="000000"/>
                    <w:sz w:val="24"/>
                    <w:szCs w:val="24"/>
                    <w:lang w:val="en-IN" w:eastAsia="en-IN"/>
                  </w:rPr>
                  <w:t xml:space="preserve">+ </w:t>
                </w:r>
                <w:r w:rsidRPr="00C444E6">
                  <w:rPr>
                    <w:rFonts w:ascii="Times New Roman" w:eastAsia="Times New Roman" w:hAnsi="Times New Roman" w:cs="Times New Roman"/>
                    <w:color w:val="000000"/>
                    <w:sz w:val="24"/>
                    <w:szCs w:val="24"/>
                    <w:lang w:val="en-IN" w:eastAsia="en-IN"/>
                  </w:rPr>
                  <w:t>reserves *100</w:t>
                </w:r>
              </w:p>
            </w:tc>
            <w:tc>
              <w:tcPr>
                <w:tcW w:w="423" w:type="pct"/>
                <w:tcBorders>
                  <w:top w:val="nil"/>
                  <w:left w:val="nil"/>
                  <w:bottom w:val="single" w:sz="4" w:space="0" w:color="auto"/>
                  <w:right w:val="single" w:sz="4" w:space="0" w:color="auto"/>
                </w:tcBorders>
                <w:shd w:val="clear" w:color="auto" w:fill="auto"/>
                <w:noWrap/>
                <w:vAlign w:val="bottom"/>
                <w:hideMark/>
              </w:tcPr>
              <w:p w14:paraId="1CC4C23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32.95</w:t>
                </w:r>
              </w:p>
            </w:tc>
            <w:tc>
              <w:tcPr>
                <w:tcW w:w="391" w:type="pct"/>
                <w:tcBorders>
                  <w:top w:val="nil"/>
                  <w:left w:val="nil"/>
                  <w:bottom w:val="single" w:sz="4" w:space="0" w:color="auto"/>
                  <w:right w:val="single" w:sz="4" w:space="0" w:color="auto"/>
                </w:tcBorders>
                <w:shd w:val="clear" w:color="auto" w:fill="auto"/>
                <w:noWrap/>
                <w:vAlign w:val="bottom"/>
                <w:hideMark/>
              </w:tcPr>
              <w:p w14:paraId="435C334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30.05</w:t>
                </w:r>
              </w:p>
            </w:tc>
          </w:tr>
        </w:tbl>
        <w:p w14:paraId="5516601D" w14:textId="77777777" w:rsidR="00C444E6" w:rsidRPr="00C444E6" w:rsidRDefault="00C444E6" w:rsidP="00C444E6"/>
        <w:p w14:paraId="7701A863" w14:textId="1A084F0B" w:rsidR="00C444E6" w:rsidRDefault="00C444E6" w:rsidP="00C444E6">
          <w:pPr>
            <w:pStyle w:val="Heading2"/>
            <w:rPr>
              <w:rFonts w:ascii="Times New Roman" w:hAnsi="Times New Roman" w:cs="Times New Roman"/>
              <w:color w:val="000000" w:themeColor="text1"/>
              <w:sz w:val="24"/>
              <w:szCs w:val="24"/>
              <w:u w:val="single"/>
            </w:rPr>
          </w:pPr>
          <w:bookmarkStart w:id="77" w:name="_Toc186239368"/>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4</w:t>
          </w:r>
          <w:r w:rsidRPr="00C444E6">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Efficiency Ratios</w:t>
          </w:r>
          <w:bookmarkEnd w:id="77"/>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3465"/>
            <w:gridCol w:w="3369"/>
            <w:gridCol w:w="1106"/>
            <w:gridCol w:w="1076"/>
          </w:tblGrid>
          <w:tr w:rsidR="00C444E6" w:rsidRPr="00C444E6" w14:paraId="29627291" w14:textId="77777777" w:rsidTr="00C444E6">
            <w:trPr>
              <w:trHeight w:val="312"/>
            </w:trPr>
            <w:tc>
              <w:tcPr>
                <w:tcW w:w="193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F6FA9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1876" w:type="pct"/>
                <w:tcBorders>
                  <w:top w:val="single" w:sz="4" w:space="0" w:color="auto"/>
                  <w:left w:val="nil"/>
                  <w:bottom w:val="single" w:sz="4" w:space="0" w:color="auto"/>
                  <w:right w:val="single" w:sz="4" w:space="0" w:color="auto"/>
                </w:tcBorders>
                <w:shd w:val="clear" w:color="auto" w:fill="auto"/>
                <w:noWrap/>
                <w:vAlign w:val="bottom"/>
                <w:hideMark/>
              </w:tcPr>
              <w:p w14:paraId="5AF90CA9"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1F678F01"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2023 £m</w:t>
                </w:r>
              </w:p>
            </w:tc>
            <w:tc>
              <w:tcPr>
                <w:tcW w:w="573" w:type="pct"/>
                <w:tcBorders>
                  <w:top w:val="single" w:sz="4" w:space="0" w:color="auto"/>
                  <w:left w:val="nil"/>
                  <w:bottom w:val="single" w:sz="4" w:space="0" w:color="auto"/>
                  <w:right w:val="single" w:sz="4" w:space="0" w:color="auto"/>
                </w:tcBorders>
                <w:shd w:val="clear" w:color="auto" w:fill="auto"/>
                <w:noWrap/>
                <w:vAlign w:val="bottom"/>
                <w:hideMark/>
              </w:tcPr>
              <w:p w14:paraId="62E5EA8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2024 £m</w:t>
                </w:r>
              </w:p>
            </w:tc>
          </w:tr>
          <w:tr w:rsidR="00C444E6" w:rsidRPr="00C444E6" w14:paraId="2E7EF668"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40D1E96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Inventories</w:t>
                </w:r>
              </w:p>
            </w:tc>
            <w:tc>
              <w:tcPr>
                <w:tcW w:w="1876" w:type="pct"/>
                <w:tcBorders>
                  <w:top w:val="nil"/>
                  <w:left w:val="nil"/>
                  <w:bottom w:val="single" w:sz="4" w:space="0" w:color="auto"/>
                  <w:right w:val="single" w:sz="4" w:space="0" w:color="auto"/>
                </w:tcBorders>
                <w:shd w:val="clear" w:color="auto" w:fill="auto"/>
                <w:noWrap/>
                <w:vAlign w:val="bottom"/>
                <w:hideMark/>
              </w:tcPr>
              <w:p w14:paraId="4FF3441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4288315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2510</w:t>
                </w:r>
              </w:p>
            </w:tc>
            <w:tc>
              <w:tcPr>
                <w:tcW w:w="573" w:type="pct"/>
                <w:tcBorders>
                  <w:top w:val="nil"/>
                  <w:left w:val="nil"/>
                  <w:bottom w:val="single" w:sz="4" w:space="0" w:color="auto"/>
                  <w:right w:val="single" w:sz="4" w:space="0" w:color="auto"/>
                </w:tcBorders>
                <w:shd w:val="clear" w:color="auto" w:fill="auto"/>
                <w:noWrap/>
                <w:vAlign w:val="bottom"/>
                <w:hideMark/>
              </w:tcPr>
              <w:p w14:paraId="7DD9FAF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2635</w:t>
                </w:r>
              </w:p>
            </w:tc>
          </w:tr>
          <w:tr w:rsidR="00C444E6" w:rsidRPr="00C444E6" w14:paraId="40F6744E"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57BFD1A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Cost of Sales</w:t>
                </w:r>
              </w:p>
            </w:tc>
            <w:tc>
              <w:tcPr>
                <w:tcW w:w="1876" w:type="pct"/>
                <w:tcBorders>
                  <w:top w:val="nil"/>
                  <w:left w:val="nil"/>
                  <w:bottom w:val="single" w:sz="4" w:space="0" w:color="auto"/>
                  <w:right w:val="single" w:sz="4" w:space="0" w:color="auto"/>
                </w:tcBorders>
                <w:shd w:val="clear" w:color="auto" w:fill="auto"/>
                <w:noWrap/>
                <w:vAlign w:val="bottom"/>
                <w:hideMark/>
              </w:tcPr>
              <w:p w14:paraId="74DB577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1DB6B7D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61516</w:t>
                </w:r>
              </w:p>
            </w:tc>
            <w:tc>
              <w:tcPr>
                <w:tcW w:w="573" w:type="pct"/>
                <w:tcBorders>
                  <w:top w:val="nil"/>
                  <w:left w:val="nil"/>
                  <w:bottom w:val="single" w:sz="4" w:space="0" w:color="auto"/>
                  <w:right w:val="single" w:sz="4" w:space="0" w:color="auto"/>
                </w:tcBorders>
                <w:shd w:val="clear" w:color="auto" w:fill="auto"/>
                <w:noWrap/>
                <w:vAlign w:val="bottom"/>
                <w:hideMark/>
              </w:tcPr>
              <w:p w14:paraId="05B662B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62836</w:t>
                </w:r>
              </w:p>
            </w:tc>
          </w:tr>
          <w:tr w:rsidR="00C444E6" w:rsidRPr="00C444E6" w14:paraId="68630523"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49D89C0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Stock Turnover in Days</w:t>
                </w:r>
              </w:p>
            </w:tc>
            <w:tc>
              <w:tcPr>
                <w:tcW w:w="1876" w:type="pct"/>
                <w:tcBorders>
                  <w:top w:val="nil"/>
                  <w:left w:val="nil"/>
                  <w:bottom w:val="single" w:sz="4" w:space="0" w:color="auto"/>
                  <w:right w:val="single" w:sz="4" w:space="0" w:color="auto"/>
                </w:tcBorders>
                <w:shd w:val="clear" w:color="auto" w:fill="auto"/>
                <w:noWrap/>
                <w:vAlign w:val="bottom"/>
                <w:hideMark/>
              </w:tcPr>
              <w:p w14:paraId="15E7255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Inventories/Cost of Sales *365</w:t>
                </w:r>
              </w:p>
            </w:tc>
            <w:tc>
              <w:tcPr>
                <w:tcW w:w="621" w:type="pct"/>
                <w:tcBorders>
                  <w:top w:val="nil"/>
                  <w:left w:val="nil"/>
                  <w:bottom w:val="single" w:sz="4" w:space="0" w:color="auto"/>
                  <w:right w:val="single" w:sz="4" w:space="0" w:color="auto"/>
                </w:tcBorders>
                <w:shd w:val="clear" w:color="auto" w:fill="auto"/>
                <w:noWrap/>
                <w:vAlign w:val="bottom"/>
                <w:hideMark/>
              </w:tcPr>
              <w:p w14:paraId="5F8F6DA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15</w:t>
                </w:r>
              </w:p>
            </w:tc>
            <w:tc>
              <w:tcPr>
                <w:tcW w:w="573" w:type="pct"/>
                <w:tcBorders>
                  <w:top w:val="nil"/>
                  <w:left w:val="nil"/>
                  <w:bottom w:val="single" w:sz="4" w:space="0" w:color="auto"/>
                  <w:right w:val="single" w:sz="4" w:space="0" w:color="auto"/>
                </w:tcBorders>
                <w:shd w:val="clear" w:color="auto" w:fill="auto"/>
                <w:noWrap/>
                <w:vAlign w:val="bottom"/>
                <w:hideMark/>
              </w:tcPr>
              <w:p w14:paraId="1C6EF96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15</w:t>
                </w:r>
              </w:p>
            </w:tc>
          </w:tr>
          <w:tr w:rsidR="00C444E6" w:rsidRPr="00C444E6" w14:paraId="21438D58"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39C9014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876" w:type="pct"/>
                <w:tcBorders>
                  <w:top w:val="nil"/>
                  <w:left w:val="nil"/>
                  <w:bottom w:val="single" w:sz="4" w:space="0" w:color="auto"/>
                  <w:right w:val="single" w:sz="4" w:space="0" w:color="auto"/>
                </w:tcBorders>
                <w:shd w:val="clear" w:color="auto" w:fill="auto"/>
                <w:noWrap/>
                <w:vAlign w:val="bottom"/>
                <w:hideMark/>
              </w:tcPr>
              <w:p w14:paraId="6F43F54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1D24E2B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auto" w:fill="auto"/>
                <w:noWrap/>
                <w:vAlign w:val="bottom"/>
                <w:hideMark/>
              </w:tcPr>
              <w:p w14:paraId="2B1A0BC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5ED741E5"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3792229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Receivables</w:t>
                </w:r>
              </w:p>
            </w:tc>
            <w:tc>
              <w:tcPr>
                <w:tcW w:w="1876" w:type="pct"/>
                <w:tcBorders>
                  <w:top w:val="nil"/>
                  <w:left w:val="nil"/>
                  <w:bottom w:val="single" w:sz="4" w:space="0" w:color="auto"/>
                  <w:right w:val="single" w:sz="4" w:space="0" w:color="auto"/>
                </w:tcBorders>
                <w:shd w:val="clear" w:color="auto" w:fill="auto"/>
                <w:noWrap/>
                <w:vAlign w:val="bottom"/>
                <w:hideMark/>
              </w:tcPr>
              <w:p w14:paraId="7C45C87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1C28F76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1235</w:t>
                </w:r>
              </w:p>
            </w:tc>
            <w:tc>
              <w:tcPr>
                <w:tcW w:w="573" w:type="pct"/>
                <w:tcBorders>
                  <w:top w:val="nil"/>
                  <w:left w:val="nil"/>
                  <w:bottom w:val="single" w:sz="4" w:space="0" w:color="auto"/>
                  <w:right w:val="single" w:sz="4" w:space="0" w:color="auto"/>
                </w:tcBorders>
                <w:shd w:val="clear" w:color="auto" w:fill="auto"/>
                <w:noWrap/>
                <w:vAlign w:val="bottom"/>
                <w:hideMark/>
              </w:tcPr>
              <w:p w14:paraId="6AA88A8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1349</w:t>
                </w:r>
              </w:p>
            </w:tc>
          </w:tr>
          <w:tr w:rsidR="00C444E6" w:rsidRPr="00C444E6" w14:paraId="7CAE9FC6"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0307DAC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Sales</w:t>
                </w:r>
              </w:p>
            </w:tc>
            <w:tc>
              <w:tcPr>
                <w:tcW w:w="1876" w:type="pct"/>
                <w:tcBorders>
                  <w:top w:val="nil"/>
                  <w:left w:val="nil"/>
                  <w:bottom w:val="single" w:sz="4" w:space="0" w:color="auto"/>
                  <w:right w:val="single" w:sz="4" w:space="0" w:color="auto"/>
                </w:tcBorders>
                <w:shd w:val="clear" w:color="auto" w:fill="auto"/>
                <w:noWrap/>
                <w:vAlign w:val="bottom"/>
                <w:hideMark/>
              </w:tcPr>
              <w:p w14:paraId="5F604C3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0C59EBD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65322</w:t>
                </w:r>
              </w:p>
            </w:tc>
            <w:tc>
              <w:tcPr>
                <w:tcW w:w="573" w:type="pct"/>
                <w:tcBorders>
                  <w:top w:val="nil"/>
                  <w:left w:val="nil"/>
                  <w:bottom w:val="single" w:sz="4" w:space="0" w:color="auto"/>
                  <w:right w:val="single" w:sz="4" w:space="0" w:color="auto"/>
                </w:tcBorders>
                <w:shd w:val="clear" w:color="auto" w:fill="auto"/>
                <w:noWrap/>
                <w:vAlign w:val="bottom"/>
                <w:hideMark/>
              </w:tcPr>
              <w:p w14:paraId="70B8CD7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68187</w:t>
                </w:r>
              </w:p>
            </w:tc>
          </w:tr>
          <w:tr w:rsidR="00C444E6" w:rsidRPr="00C444E6" w14:paraId="4FDC2F0E"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5234577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Debtor Collection period in Days</w:t>
                </w:r>
              </w:p>
            </w:tc>
            <w:tc>
              <w:tcPr>
                <w:tcW w:w="1876" w:type="pct"/>
                <w:tcBorders>
                  <w:top w:val="nil"/>
                  <w:left w:val="nil"/>
                  <w:bottom w:val="single" w:sz="4" w:space="0" w:color="auto"/>
                  <w:right w:val="single" w:sz="4" w:space="0" w:color="auto"/>
                </w:tcBorders>
                <w:shd w:val="clear" w:color="auto" w:fill="auto"/>
                <w:noWrap/>
                <w:vAlign w:val="bottom"/>
                <w:hideMark/>
              </w:tcPr>
              <w:p w14:paraId="3D0BE5F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Receivables/Sales *365</w:t>
                </w:r>
              </w:p>
            </w:tc>
            <w:tc>
              <w:tcPr>
                <w:tcW w:w="621" w:type="pct"/>
                <w:tcBorders>
                  <w:top w:val="nil"/>
                  <w:left w:val="nil"/>
                  <w:bottom w:val="single" w:sz="4" w:space="0" w:color="auto"/>
                  <w:right w:val="single" w:sz="4" w:space="0" w:color="auto"/>
                </w:tcBorders>
                <w:shd w:val="clear" w:color="auto" w:fill="auto"/>
                <w:noWrap/>
                <w:vAlign w:val="bottom"/>
                <w:hideMark/>
              </w:tcPr>
              <w:p w14:paraId="0C8212F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w:t>
                </w:r>
              </w:p>
            </w:tc>
            <w:tc>
              <w:tcPr>
                <w:tcW w:w="573" w:type="pct"/>
                <w:tcBorders>
                  <w:top w:val="nil"/>
                  <w:left w:val="nil"/>
                  <w:bottom w:val="single" w:sz="4" w:space="0" w:color="auto"/>
                  <w:right w:val="single" w:sz="4" w:space="0" w:color="auto"/>
                </w:tcBorders>
                <w:shd w:val="clear" w:color="auto" w:fill="auto"/>
                <w:noWrap/>
                <w:vAlign w:val="bottom"/>
                <w:hideMark/>
              </w:tcPr>
              <w:p w14:paraId="751F611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w:t>
                </w:r>
              </w:p>
            </w:tc>
          </w:tr>
          <w:tr w:rsidR="00C444E6" w:rsidRPr="00C444E6" w14:paraId="7ABA27B7"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4D06106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876" w:type="pct"/>
                <w:tcBorders>
                  <w:top w:val="nil"/>
                  <w:left w:val="nil"/>
                  <w:bottom w:val="single" w:sz="4" w:space="0" w:color="auto"/>
                  <w:right w:val="single" w:sz="4" w:space="0" w:color="auto"/>
                </w:tcBorders>
                <w:shd w:val="clear" w:color="auto" w:fill="auto"/>
                <w:noWrap/>
                <w:vAlign w:val="bottom"/>
                <w:hideMark/>
              </w:tcPr>
              <w:p w14:paraId="7CB094A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1D4415A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auto" w:fill="auto"/>
                <w:noWrap/>
                <w:vAlign w:val="bottom"/>
                <w:hideMark/>
              </w:tcPr>
              <w:p w14:paraId="57FF5DB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7017D44F"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52927E3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Payables</w:t>
                </w:r>
              </w:p>
            </w:tc>
            <w:tc>
              <w:tcPr>
                <w:tcW w:w="1876" w:type="pct"/>
                <w:tcBorders>
                  <w:top w:val="nil"/>
                  <w:left w:val="nil"/>
                  <w:bottom w:val="single" w:sz="4" w:space="0" w:color="auto"/>
                  <w:right w:val="single" w:sz="4" w:space="0" w:color="auto"/>
                </w:tcBorders>
                <w:shd w:val="clear" w:color="auto" w:fill="auto"/>
                <w:noWrap/>
                <w:vAlign w:val="bottom"/>
                <w:hideMark/>
              </w:tcPr>
              <w:p w14:paraId="5900924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05F9155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9762</w:t>
                </w:r>
              </w:p>
            </w:tc>
            <w:tc>
              <w:tcPr>
                <w:tcW w:w="573" w:type="pct"/>
                <w:tcBorders>
                  <w:top w:val="nil"/>
                  <w:left w:val="nil"/>
                  <w:bottom w:val="single" w:sz="4" w:space="0" w:color="auto"/>
                  <w:right w:val="single" w:sz="4" w:space="0" w:color="auto"/>
                </w:tcBorders>
                <w:shd w:val="clear" w:color="auto" w:fill="auto"/>
                <w:noWrap/>
                <w:vAlign w:val="bottom"/>
                <w:hideMark/>
              </w:tcPr>
              <w:p w14:paraId="3FB3CEF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10264</w:t>
                </w:r>
              </w:p>
            </w:tc>
          </w:tr>
          <w:tr w:rsidR="00C444E6" w:rsidRPr="00C444E6" w14:paraId="4444F17C"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5D38E13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Cost of Goods</w:t>
                </w:r>
              </w:p>
            </w:tc>
            <w:tc>
              <w:tcPr>
                <w:tcW w:w="1876" w:type="pct"/>
                <w:tcBorders>
                  <w:top w:val="nil"/>
                  <w:left w:val="nil"/>
                  <w:bottom w:val="single" w:sz="4" w:space="0" w:color="auto"/>
                  <w:right w:val="single" w:sz="4" w:space="0" w:color="auto"/>
                </w:tcBorders>
                <w:shd w:val="clear" w:color="auto" w:fill="auto"/>
                <w:noWrap/>
                <w:vAlign w:val="bottom"/>
                <w:hideMark/>
              </w:tcPr>
              <w:p w14:paraId="6A2416C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058B95E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61516</w:t>
                </w:r>
              </w:p>
            </w:tc>
            <w:tc>
              <w:tcPr>
                <w:tcW w:w="573" w:type="pct"/>
                <w:tcBorders>
                  <w:top w:val="nil"/>
                  <w:left w:val="nil"/>
                  <w:bottom w:val="single" w:sz="4" w:space="0" w:color="auto"/>
                  <w:right w:val="single" w:sz="4" w:space="0" w:color="auto"/>
                </w:tcBorders>
                <w:shd w:val="clear" w:color="auto" w:fill="auto"/>
                <w:noWrap/>
                <w:vAlign w:val="bottom"/>
                <w:hideMark/>
              </w:tcPr>
              <w:p w14:paraId="5703B50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62836</w:t>
                </w:r>
              </w:p>
            </w:tc>
          </w:tr>
          <w:tr w:rsidR="00C444E6" w:rsidRPr="00C444E6" w14:paraId="55863D12" w14:textId="77777777" w:rsidTr="00C444E6">
            <w:trPr>
              <w:trHeight w:val="312"/>
            </w:trPr>
            <w:tc>
              <w:tcPr>
                <w:tcW w:w="1930" w:type="pct"/>
                <w:tcBorders>
                  <w:top w:val="nil"/>
                  <w:left w:val="single" w:sz="4" w:space="0" w:color="auto"/>
                  <w:bottom w:val="single" w:sz="4" w:space="0" w:color="auto"/>
                  <w:right w:val="single" w:sz="4" w:space="0" w:color="auto"/>
                </w:tcBorders>
                <w:shd w:val="clear" w:color="auto" w:fill="auto"/>
                <w:noWrap/>
                <w:vAlign w:val="bottom"/>
                <w:hideMark/>
              </w:tcPr>
              <w:p w14:paraId="23F10C5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Creditor Payment Period in Days</w:t>
                </w:r>
              </w:p>
            </w:tc>
            <w:tc>
              <w:tcPr>
                <w:tcW w:w="1876" w:type="pct"/>
                <w:tcBorders>
                  <w:top w:val="nil"/>
                  <w:left w:val="nil"/>
                  <w:bottom w:val="single" w:sz="4" w:space="0" w:color="auto"/>
                  <w:right w:val="single" w:sz="4" w:space="0" w:color="auto"/>
                </w:tcBorders>
                <w:shd w:val="clear" w:color="auto" w:fill="auto"/>
                <w:noWrap/>
                <w:vAlign w:val="bottom"/>
                <w:hideMark/>
              </w:tcPr>
              <w:p w14:paraId="717468A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Payables/Cost of Goods *365</w:t>
                </w:r>
              </w:p>
            </w:tc>
            <w:tc>
              <w:tcPr>
                <w:tcW w:w="621" w:type="pct"/>
                <w:tcBorders>
                  <w:top w:val="nil"/>
                  <w:left w:val="nil"/>
                  <w:bottom w:val="single" w:sz="4" w:space="0" w:color="auto"/>
                  <w:right w:val="single" w:sz="4" w:space="0" w:color="auto"/>
                </w:tcBorders>
                <w:shd w:val="clear" w:color="auto" w:fill="auto"/>
                <w:noWrap/>
                <w:vAlign w:val="bottom"/>
                <w:hideMark/>
              </w:tcPr>
              <w:p w14:paraId="19E0E90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58</w:t>
                </w:r>
              </w:p>
            </w:tc>
            <w:tc>
              <w:tcPr>
                <w:tcW w:w="573" w:type="pct"/>
                <w:tcBorders>
                  <w:top w:val="nil"/>
                  <w:left w:val="nil"/>
                  <w:bottom w:val="single" w:sz="4" w:space="0" w:color="auto"/>
                  <w:right w:val="single" w:sz="4" w:space="0" w:color="auto"/>
                </w:tcBorders>
                <w:shd w:val="clear" w:color="auto" w:fill="auto"/>
                <w:noWrap/>
                <w:vAlign w:val="bottom"/>
                <w:hideMark/>
              </w:tcPr>
              <w:p w14:paraId="64596BB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60</w:t>
                </w:r>
              </w:p>
            </w:tc>
          </w:tr>
        </w:tbl>
        <w:p w14:paraId="754E32BA" w14:textId="77777777" w:rsidR="00C444E6" w:rsidRPr="00C444E6" w:rsidRDefault="00C444E6" w:rsidP="00C444E6"/>
        <w:p w14:paraId="31E4B056" w14:textId="17458F56" w:rsidR="00C444E6" w:rsidRDefault="00C444E6" w:rsidP="00C444E6">
          <w:pPr>
            <w:pStyle w:val="Heading2"/>
            <w:rPr>
              <w:rFonts w:ascii="Times New Roman" w:hAnsi="Times New Roman" w:cs="Times New Roman"/>
              <w:color w:val="000000" w:themeColor="text1"/>
              <w:sz w:val="24"/>
              <w:szCs w:val="24"/>
              <w:u w:val="single"/>
            </w:rPr>
          </w:pPr>
          <w:bookmarkStart w:id="78" w:name="_Toc186239369"/>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5 Investor Ratios</w:t>
          </w:r>
          <w:bookmarkEnd w:id="78"/>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2773"/>
            <w:gridCol w:w="4211"/>
            <w:gridCol w:w="1016"/>
            <w:gridCol w:w="1016"/>
          </w:tblGrid>
          <w:tr w:rsidR="00C444E6" w:rsidRPr="00C444E6" w14:paraId="0BDEEE1A" w14:textId="77777777" w:rsidTr="00C444E6">
            <w:trPr>
              <w:trHeight w:val="312"/>
            </w:trPr>
            <w:tc>
              <w:tcPr>
                <w:tcW w:w="16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681B3"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2298" w:type="pct"/>
                <w:tcBorders>
                  <w:top w:val="single" w:sz="4" w:space="0" w:color="auto"/>
                  <w:left w:val="nil"/>
                  <w:bottom w:val="single" w:sz="4" w:space="0" w:color="auto"/>
                  <w:right w:val="single" w:sz="4" w:space="0" w:color="auto"/>
                </w:tcBorders>
                <w:shd w:val="clear" w:color="auto" w:fill="auto"/>
                <w:noWrap/>
                <w:vAlign w:val="bottom"/>
                <w:hideMark/>
              </w:tcPr>
              <w:p w14:paraId="131A8A3E"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511" w:type="pct"/>
                <w:tcBorders>
                  <w:top w:val="single" w:sz="4" w:space="0" w:color="auto"/>
                  <w:left w:val="nil"/>
                  <w:bottom w:val="single" w:sz="4" w:space="0" w:color="auto"/>
                  <w:right w:val="single" w:sz="4" w:space="0" w:color="auto"/>
                </w:tcBorders>
                <w:shd w:val="clear" w:color="auto" w:fill="auto"/>
                <w:noWrap/>
                <w:vAlign w:val="bottom"/>
                <w:hideMark/>
              </w:tcPr>
              <w:p w14:paraId="7C363AA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2023 £m</w:t>
                </w:r>
              </w:p>
            </w:tc>
            <w:tc>
              <w:tcPr>
                <w:tcW w:w="511" w:type="pct"/>
                <w:tcBorders>
                  <w:top w:val="single" w:sz="4" w:space="0" w:color="auto"/>
                  <w:left w:val="nil"/>
                  <w:bottom w:val="single" w:sz="4" w:space="0" w:color="auto"/>
                  <w:right w:val="single" w:sz="4" w:space="0" w:color="auto"/>
                </w:tcBorders>
                <w:shd w:val="clear" w:color="auto" w:fill="auto"/>
                <w:noWrap/>
                <w:vAlign w:val="bottom"/>
                <w:hideMark/>
              </w:tcPr>
              <w:p w14:paraId="4775C3A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2024 £m</w:t>
                </w:r>
              </w:p>
            </w:tc>
          </w:tr>
          <w:tr w:rsidR="00C444E6" w:rsidRPr="00C444E6" w14:paraId="344C4424"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0261238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Profit before interest and tax</w:t>
                </w:r>
              </w:p>
            </w:tc>
            <w:tc>
              <w:tcPr>
                <w:tcW w:w="2298" w:type="pct"/>
                <w:tcBorders>
                  <w:top w:val="nil"/>
                  <w:left w:val="nil"/>
                  <w:bottom w:val="single" w:sz="4" w:space="0" w:color="auto"/>
                  <w:right w:val="single" w:sz="4" w:space="0" w:color="auto"/>
                </w:tcBorders>
                <w:shd w:val="clear" w:color="auto" w:fill="auto"/>
                <w:noWrap/>
                <w:vAlign w:val="bottom"/>
                <w:hideMark/>
              </w:tcPr>
              <w:p w14:paraId="639CC1D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1" w:type="pct"/>
                <w:tcBorders>
                  <w:top w:val="nil"/>
                  <w:left w:val="nil"/>
                  <w:bottom w:val="single" w:sz="4" w:space="0" w:color="auto"/>
                  <w:right w:val="single" w:sz="4" w:space="0" w:color="auto"/>
                </w:tcBorders>
                <w:shd w:val="clear" w:color="auto" w:fill="auto"/>
                <w:noWrap/>
                <w:vAlign w:val="bottom"/>
                <w:hideMark/>
              </w:tcPr>
              <w:p w14:paraId="0FC5401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1410</w:t>
                </w:r>
              </w:p>
            </w:tc>
            <w:tc>
              <w:tcPr>
                <w:tcW w:w="511" w:type="pct"/>
                <w:tcBorders>
                  <w:top w:val="nil"/>
                  <w:left w:val="nil"/>
                  <w:bottom w:val="single" w:sz="4" w:space="0" w:color="auto"/>
                  <w:right w:val="single" w:sz="4" w:space="0" w:color="auto"/>
                </w:tcBorders>
                <w:shd w:val="clear" w:color="auto" w:fill="auto"/>
                <w:noWrap/>
                <w:vAlign w:val="bottom"/>
                <w:hideMark/>
              </w:tcPr>
              <w:p w14:paraId="1D3924F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2821</w:t>
                </w:r>
              </w:p>
            </w:tc>
          </w:tr>
          <w:tr w:rsidR="00C444E6" w:rsidRPr="00C444E6" w14:paraId="66C83DF4"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6CDEF13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Interest </w:t>
                </w:r>
              </w:p>
            </w:tc>
            <w:tc>
              <w:tcPr>
                <w:tcW w:w="2298" w:type="pct"/>
                <w:tcBorders>
                  <w:top w:val="nil"/>
                  <w:left w:val="nil"/>
                  <w:bottom w:val="single" w:sz="4" w:space="0" w:color="auto"/>
                  <w:right w:val="single" w:sz="4" w:space="0" w:color="auto"/>
                </w:tcBorders>
                <w:shd w:val="clear" w:color="auto" w:fill="auto"/>
                <w:noWrap/>
                <w:vAlign w:val="bottom"/>
                <w:hideMark/>
              </w:tcPr>
              <w:p w14:paraId="3FD7D60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1" w:type="pct"/>
                <w:tcBorders>
                  <w:top w:val="nil"/>
                  <w:left w:val="nil"/>
                  <w:bottom w:val="single" w:sz="4" w:space="0" w:color="auto"/>
                  <w:right w:val="single" w:sz="4" w:space="0" w:color="auto"/>
                </w:tcBorders>
                <w:shd w:val="clear" w:color="auto" w:fill="auto"/>
                <w:noWrap/>
                <w:vAlign w:val="bottom"/>
                <w:hideMark/>
              </w:tcPr>
              <w:p w14:paraId="563A42F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623</w:t>
                </w:r>
              </w:p>
            </w:tc>
            <w:tc>
              <w:tcPr>
                <w:tcW w:w="511" w:type="pct"/>
                <w:tcBorders>
                  <w:top w:val="nil"/>
                  <w:left w:val="nil"/>
                  <w:bottom w:val="single" w:sz="4" w:space="0" w:color="auto"/>
                  <w:right w:val="single" w:sz="4" w:space="0" w:color="auto"/>
                </w:tcBorders>
                <w:shd w:val="clear" w:color="auto" w:fill="auto"/>
                <w:noWrap/>
                <w:vAlign w:val="bottom"/>
                <w:hideMark/>
              </w:tcPr>
              <w:p w14:paraId="14283D6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805</w:t>
                </w:r>
              </w:p>
            </w:tc>
          </w:tr>
          <w:tr w:rsidR="00C444E6" w:rsidRPr="00C444E6" w14:paraId="3CDFC769"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2AFDB9E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Interest Cover</w:t>
                </w:r>
              </w:p>
            </w:tc>
            <w:tc>
              <w:tcPr>
                <w:tcW w:w="2298" w:type="pct"/>
                <w:tcBorders>
                  <w:top w:val="nil"/>
                  <w:left w:val="nil"/>
                  <w:bottom w:val="single" w:sz="4" w:space="0" w:color="auto"/>
                  <w:right w:val="single" w:sz="4" w:space="0" w:color="auto"/>
                </w:tcBorders>
                <w:shd w:val="clear" w:color="auto" w:fill="auto"/>
                <w:noWrap/>
                <w:vAlign w:val="bottom"/>
                <w:hideMark/>
              </w:tcPr>
              <w:p w14:paraId="62D2450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Profit Before interest and Tax/Interest</w:t>
                </w:r>
              </w:p>
            </w:tc>
            <w:tc>
              <w:tcPr>
                <w:tcW w:w="511" w:type="pct"/>
                <w:tcBorders>
                  <w:top w:val="nil"/>
                  <w:left w:val="nil"/>
                  <w:bottom w:val="single" w:sz="4" w:space="0" w:color="auto"/>
                  <w:right w:val="single" w:sz="4" w:space="0" w:color="auto"/>
                </w:tcBorders>
                <w:shd w:val="clear" w:color="auto" w:fill="auto"/>
                <w:noWrap/>
                <w:vAlign w:val="bottom"/>
                <w:hideMark/>
              </w:tcPr>
              <w:p w14:paraId="37AE595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2.26</w:t>
                </w:r>
              </w:p>
            </w:tc>
            <w:tc>
              <w:tcPr>
                <w:tcW w:w="511" w:type="pct"/>
                <w:tcBorders>
                  <w:top w:val="nil"/>
                  <w:left w:val="nil"/>
                  <w:bottom w:val="single" w:sz="4" w:space="0" w:color="auto"/>
                  <w:right w:val="single" w:sz="4" w:space="0" w:color="auto"/>
                </w:tcBorders>
                <w:shd w:val="clear" w:color="auto" w:fill="auto"/>
                <w:noWrap/>
                <w:vAlign w:val="bottom"/>
                <w:hideMark/>
              </w:tcPr>
              <w:p w14:paraId="36A6ED0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3.50</w:t>
                </w:r>
              </w:p>
            </w:tc>
          </w:tr>
          <w:tr w:rsidR="00C444E6" w:rsidRPr="00C444E6" w14:paraId="490AF38D"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6FF1E4E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2298" w:type="pct"/>
                <w:tcBorders>
                  <w:top w:val="nil"/>
                  <w:left w:val="nil"/>
                  <w:bottom w:val="single" w:sz="4" w:space="0" w:color="auto"/>
                  <w:right w:val="single" w:sz="4" w:space="0" w:color="auto"/>
                </w:tcBorders>
                <w:shd w:val="clear" w:color="auto" w:fill="auto"/>
                <w:noWrap/>
                <w:vAlign w:val="bottom"/>
                <w:hideMark/>
              </w:tcPr>
              <w:p w14:paraId="2DE66E7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1" w:type="pct"/>
                <w:tcBorders>
                  <w:top w:val="nil"/>
                  <w:left w:val="nil"/>
                  <w:bottom w:val="single" w:sz="4" w:space="0" w:color="auto"/>
                  <w:right w:val="single" w:sz="4" w:space="0" w:color="auto"/>
                </w:tcBorders>
                <w:shd w:val="clear" w:color="auto" w:fill="auto"/>
                <w:noWrap/>
                <w:vAlign w:val="bottom"/>
                <w:hideMark/>
              </w:tcPr>
              <w:p w14:paraId="7C29C13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1" w:type="pct"/>
                <w:tcBorders>
                  <w:top w:val="nil"/>
                  <w:left w:val="nil"/>
                  <w:bottom w:val="single" w:sz="4" w:space="0" w:color="auto"/>
                  <w:right w:val="single" w:sz="4" w:space="0" w:color="auto"/>
                </w:tcBorders>
                <w:shd w:val="clear" w:color="auto" w:fill="auto"/>
                <w:noWrap/>
                <w:vAlign w:val="bottom"/>
                <w:hideMark/>
              </w:tcPr>
              <w:p w14:paraId="68E58AC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6834381A"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442E459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Dividend per share</w:t>
                </w:r>
              </w:p>
            </w:tc>
            <w:tc>
              <w:tcPr>
                <w:tcW w:w="2298" w:type="pct"/>
                <w:tcBorders>
                  <w:top w:val="nil"/>
                  <w:left w:val="nil"/>
                  <w:bottom w:val="single" w:sz="4" w:space="0" w:color="auto"/>
                  <w:right w:val="single" w:sz="4" w:space="0" w:color="auto"/>
                </w:tcBorders>
                <w:shd w:val="clear" w:color="auto" w:fill="auto"/>
                <w:noWrap/>
                <w:vAlign w:val="bottom"/>
                <w:hideMark/>
              </w:tcPr>
              <w:p w14:paraId="3E304B6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1" w:type="pct"/>
                <w:tcBorders>
                  <w:top w:val="nil"/>
                  <w:left w:val="nil"/>
                  <w:bottom w:val="single" w:sz="4" w:space="0" w:color="auto"/>
                  <w:right w:val="single" w:sz="4" w:space="0" w:color="auto"/>
                </w:tcBorders>
                <w:shd w:val="clear" w:color="auto" w:fill="auto"/>
                <w:noWrap/>
                <w:vAlign w:val="bottom"/>
                <w:hideMark/>
              </w:tcPr>
              <w:p w14:paraId="5DC9AC4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10.9</w:t>
                </w:r>
              </w:p>
            </w:tc>
            <w:tc>
              <w:tcPr>
                <w:tcW w:w="511" w:type="pct"/>
                <w:tcBorders>
                  <w:top w:val="nil"/>
                  <w:left w:val="nil"/>
                  <w:bottom w:val="single" w:sz="4" w:space="0" w:color="auto"/>
                  <w:right w:val="single" w:sz="4" w:space="0" w:color="auto"/>
                </w:tcBorders>
                <w:shd w:val="clear" w:color="auto" w:fill="auto"/>
                <w:noWrap/>
                <w:vAlign w:val="bottom"/>
                <w:hideMark/>
              </w:tcPr>
              <w:p w14:paraId="1CE3BF7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11.7</w:t>
                </w:r>
              </w:p>
            </w:tc>
          </w:tr>
          <w:tr w:rsidR="00C444E6" w:rsidRPr="00C444E6" w14:paraId="77F8A0D4"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3659266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Market Value per share</w:t>
                </w:r>
              </w:p>
            </w:tc>
            <w:tc>
              <w:tcPr>
                <w:tcW w:w="2298" w:type="pct"/>
                <w:tcBorders>
                  <w:top w:val="nil"/>
                  <w:left w:val="nil"/>
                  <w:bottom w:val="single" w:sz="4" w:space="0" w:color="auto"/>
                  <w:right w:val="single" w:sz="4" w:space="0" w:color="auto"/>
                </w:tcBorders>
                <w:shd w:val="clear" w:color="auto" w:fill="auto"/>
                <w:noWrap/>
                <w:vAlign w:val="bottom"/>
                <w:hideMark/>
              </w:tcPr>
              <w:p w14:paraId="1523C31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511" w:type="pct"/>
                <w:tcBorders>
                  <w:top w:val="nil"/>
                  <w:left w:val="nil"/>
                  <w:bottom w:val="single" w:sz="4" w:space="0" w:color="auto"/>
                  <w:right w:val="single" w:sz="4" w:space="0" w:color="auto"/>
                </w:tcBorders>
                <w:shd w:val="clear" w:color="auto" w:fill="auto"/>
                <w:noWrap/>
                <w:vAlign w:val="bottom"/>
                <w:hideMark/>
              </w:tcPr>
              <w:p w14:paraId="17FF481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281.99</w:t>
                </w:r>
              </w:p>
            </w:tc>
            <w:tc>
              <w:tcPr>
                <w:tcW w:w="511" w:type="pct"/>
                <w:tcBorders>
                  <w:top w:val="nil"/>
                  <w:left w:val="nil"/>
                  <w:bottom w:val="single" w:sz="4" w:space="0" w:color="auto"/>
                  <w:right w:val="single" w:sz="4" w:space="0" w:color="auto"/>
                </w:tcBorders>
                <w:shd w:val="clear" w:color="auto" w:fill="auto"/>
                <w:noWrap/>
                <w:vAlign w:val="bottom"/>
                <w:hideMark/>
              </w:tcPr>
              <w:p w14:paraId="377E00F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368.5</w:t>
                </w:r>
              </w:p>
            </w:tc>
          </w:tr>
          <w:tr w:rsidR="00C444E6" w:rsidRPr="00C444E6" w14:paraId="20C4635B" w14:textId="77777777" w:rsidTr="00C444E6">
            <w:trPr>
              <w:trHeight w:val="312"/>
            </w:trPr>
            <w:tc>
              <w:tcPr>
                <w:tcW w:w="1680" w:type="pct"/>
                <w:tcBorders>
                  <w:top w:val="nil"/>
                  <w:left w:val="single" w:sz="4" w:space="0" w:color="auto"/>
                  <w:bottom w:val="single" w:sz="4" w:space="0" w:color="auto"/>
                  <w:right w:val="single" w:sz="4" w:space="0" w:color="auto"/>
                </w:tcBorders>
                <w:shd w:val="clear" w:color="auto" w:fill="auto"/>
                <w:noWrap/>
                <w:vAlign w:val="bottom"/>
                <w:hideMark/>
              </w:tcPr>
              <w:p w14:paraId="183EEAB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Dividend Yield</w:t>
                </w:r>
              </w:p>
            </w:tc>
            <w:tc>
              <w:tcPr>
                <w:tcW w:w="2298" w:type="pct"/>
                <w:tcBorders>
                  <w:top w:val="nil"/>
                  <w:left w:val="nil"/>
                  <w:bottom w:val="single" w:sz="4" w:space="0" w:color="auto"/>
                  <w:right w:val="single" w:sz="4" w:space="0" w:color="auto"/>
                </w:tcBorders>
                <w:shd w:val="clear" w:color="auto" w:fill="auto"/>
                <w:noWrap/>
                <w:vAlign w:val="bottom"/>
                <w:hideMark/>
              </w:tcPr>
              <w:p w14:paraId="40BE3D9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Dividend Yield/Market Value per share*100</w:t>
                </w:r>
              </w:p>
            </w:tc>
            <w:tc>
              <w:tcPr>
                <w:tcW w:w="511" w:type="pct"/>
                <w:tcBorders>
                  <w:top w:val="nil"/>
                  <w:left w:val="nil"/>
                  <w:bottom w:val="single" w:sz="4" w:space="0" w:color="auto"/>
                  <w:right w:val="single" w:sz="4" w:space="0" w:color="auto"/>
                </w:tcBorders>
                <w:shd w:val="clear" w:color="auto" w:fill="auto"/>
                <w:noWrap/>
                <w:vAlign w:val="bottom"/>
                <w:hideMark/>
              </w:tcPr>
              <w:p w14:paraId="5D4D0FD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3.87%</w:t>
                </w:r>
              </w:p>
            </w:tc>
            <w:tc>
              <w:tcPr>
                <w:tcW w:w="511" w:type="pct"/>
                <w:tcBorders>
                  <w:top w:val="nil"/>
                  <w:left w:val="nil"/>
                  <w:bottom w:val="single" w:sz="4" w:space="0" w:color="auto"/>
                  <w:right w:val="single" w:sz="4" w:space="0" w:color="auto"/>
                </w:tcBorders>
                <w:shd w:val="clear" w:color="auto" w:fill="auto"/>
                <w:noWrap/>
                <w:vAlign w:val="bottom"/>
                <w:hideMark/>
              </w:tcPr>
              <w:p w14:paraId="7066547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3.18%</w:t>
                </w:r>
              </w:p>
            </w:tc>
          </w:tr>
        </w:tbl>
        <w:p w14:paraId="434EFC95" w14:textId="77777777" w:rsidR="00C444E6" w:rsidRPr="00C444E6" w:rsidRDefault="00C444E6" w:rsidP="00C444E6"/>
        <w:p w14:paraId="33686811" w14:textId="5E309B81" w:rsidR="00C444E6" w:rsidRDefault="00C444E6" w:rsidP="00C444E6">
          <w:pPr>
            <w:pStyle w:val="Heading2"/>
            <w:rPr>
              <w:rFonts w:ascii="Times New Roman" w:hAnsi="Times New Roman" w:cs="Times New Roman"/>
              <w:color w:val="000000" w:themeColor="text1"/>
              <w:sz w:val="24"/>
              <w:szCs w:val="24"/>
              <w:u w:val="single"/>
            </w:rPr>
          </w:pPr>
          <w:bookmarkStart w:id="79" w:name="_Toc186239370"/>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6 Net Cash Flow</w:t>
          </w:r>
          <w:bookmarkEnd w:id="79"/>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2049"/>
            <w:gridCol w:w="3016"/>
            <w:gridCol w:w="755"/>
            <w:gridCol w:w="799"/>
            <w:gridCol w:w="799"/>
            <w:gridCol w:w="799"/>
            <w:gridCol w:w="799"/>
          </w:tblGrid>
          <w:tr w:rsidR="00C444E6" w:rsidRPr="00C444E6" w14:paraId="5A517A19" w14:textId="77777777" w:rsidTr="00C444E6">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29EC0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A</w:t>
                </w:r>
              </w:p>
            </w:tc>
          </w:tr>
          <w:tr w:rsidR="00C444E6" w:rsidRPr="00C444E6" w14:paraId="1C6BD1CB"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02C606F3"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1843" w:type="pct"/>
                <w:tcBorders>
                  <w:top w:val="nil"/>
                  <w:left w:val="nil"/>
                  <w:bottom w:val="single" w:sz="4" w:space="0" w:color="auto"/>
                  <w:right w:val="single" w:sz="4" w:space="0" w:color="auto"/>
                </w:tcBorders>
                <w:shd w:val="clear" w:color="auto" w:fill="auto"/>
                <w:noWrap/>
                <w:vAlign w:val="bottom"/>
                <w:hideMark/>
              </w:tcPr>
              <w:p w14:paraId="0205410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367" w:type="pct"/>
                <w:tcBorders>
                  <w:top w:val="nil"/>
                  <w:left w:val="nil"/>
                  <w:bottom w:val="single" w:sz="4" w:space="0" w:color="auto"/>
                  <w:right w:val="single" w:sz="4" w:space="0" w:color="auto"/>
                </w:tcBorders>
                <w:shd w:val="clear" w:color="auto" w:fill="auto"/>
                <w:noWrap/>
                <w:vAlign w:val="bottom"/>
                <w:hideMark/>
              </w:tcPr>
              <w:p w14:paraId="1E9CEF49"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0 £’000</w:t>
                </w:r>
              </w:p>
            </w:tc>
            <w:tc>
              <w:tcPr>
                <w:tcW w:w="395" w:type="pct"/>
                <w:tcBorders>
                  <w:top w:val="nil"/>
                  <w:left w:val="nil"/>
                  <w:bottom w:val="single" w:sz="4" w:space="0" w:color="auto"/>
                  <w:right w:val="single" w:sz="4" w:space="0" w:color="auto"/>
                </w:tcBorders>
                <w:shd w:val="clear" w:color="auto" w:fill="auto"/>
                <w:noWrap/>
                <w:vAlign w:val="bottom"/>
                <w:hideMark/>
              </w:tcPr>
              <w:p w14:paraId="0594750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1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2B5AFBA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2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5C758C56"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3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2495A87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4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5C64F62F"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6F5C0AF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Initial Investment</w:t>
                </w:r>
              </w:p>
            </w:tc>
            <w:tc>
              <w:tcPr>
                <w:tcW w:w="1843" w:type="pct"/>
                <w:tcBorders>
                  <w:top w:val="nil"/>
                  <w:left w:val="nil"/>
                  <w:bottom w:val="single" w:sz="4" w:space="0" w:color="auto"/>
                  <w:right w:val="single" w:sz="4" w:space="0" w:color="auto"/>
                </w:tcBorders>
                <w:shd w:val="clear" w:color="auto" w:fill="auto"/>
                <w:noWrap/>
                <w:vAlign w:val="bottom"/>
                <w:hideMark/>
              </w:tcPr>
              <w:p w14:paraId="391CDA9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22FA329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660</w:t>
                </w:r>
              </w:p>
            </w:tc>
            <w:tc>
              <w:tcPr>
                <w:tcW w:w="395" w:type="pct"/>
                <w:tcBorders>
                  <w:top w:val="nil"/>
                  <w:left w:val="nil"/>
                  <w:bottom w:val="single" w:sz="4" w:space="0" w:color="auto"/>
                  <w:right w:val="single" w:sz="4" w:space="0" w:color="auto"/>
                </w:tcBorders>
                <w:shd w:val="clear" w:color="auto" w:fill="auto"/>
                <w:noWrap/>
                <w:vAlign w:val="bottom"/>
                <w:hideMark/>
              </w:tcPr>
              <w:p w14:paraId="73728D2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0C9D54D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0ACD00A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759E7E6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5B4046C3"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28455A2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w:t>
                </w:r>
              </w:p>
            </w:tc>
            <w:tc>
              <w:tcPr>
                <w:tcW w:w="1843" w:type="pct"/>
                <w:tcBorders>
                  <w:top w:val="nil"/>
                  <w:left w:val="nil"/>
                  <w:bottom w:val="single" w:sz="4" w:space="0" w:color="auto"/>
                  <w:right w:val="single" w:sz="4" w:space="0" w:color="auto"/>
                </w:tcBorders>
                <w:shd w:val="clear" w:color="auto" w:fill="auto"/>
                <w:noWrap/>
                <w:vAlign w:val="bottom"/>
                <w:hideMark/>
              </w:tcPr>
              <w:p w14:paraId="079FF49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1E7712B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5915790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300</w:t>
                </w:r>
              </w:p>
            </w:tc>
            <w:tc>
              <w:tcPr>
                <w:tcW w:w="395" w:type="pct"/>
                <w:tcBorders>
                  <w:top w:val="nil"/>
                  <w:left w:val="nil"/>
                  <w:bottom w:val="single" w:sz="4" w:space="0" w:color="auto"/>
                  <w:right w:val="single" w:sz="4" w:space="0" w:color="auto"/>
                </w:tcBorders>
                <w:shd w:val="clear" w:color="auto" w:fill="auto"/>
                <w:noWrap/>
                <w:vAlign w:val="bottom"/>
                <w:hideMark/>
              </w:tcPr>
              <w:p w14:paraId="27D0E22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400</w:t>
                </w:r>
              </w:p>
            </w:tc>
            <w:tc>
              <w:tcPr>
                <w:tcW w:w="395" w:type="pct"/>
                <w:tcBorders>
                  <w:top w:val="nil"/>
                  <w:left w:val="nil"/>
                  <w:bottom w:val="single" w:sz="4" w:space="0" w:color="auto"/>
                  <w:right w:val="single" w:sz="4" w:space="0" w:color="auto"/>
                </w:tcBorders>
                <w:shd w:val="clear" w:color="auto" w:fill="auto"/>
                <w:noWrap/>
                <w:vAlign w:val="bottom"/>
                <w:hideMark/>
              </w:tcPr>
              <w:p w14:paraId="137FC4A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450</w:t>
                </w:r>
              </w:p>
            </w:tc>
            <w:tc>
              <w:tcPr>
                <w:tcW w:w="395" w:type="pct"/>
                <w:tcBorders>
                  <w:top w:val="nil"/>
                  <w:left w:val="nil"/>
                  <w:bottom w:val="single" w:sz="4" w:space="0" w:color="auto"/>
                  <w:right w:val="single" w:sz="4" w:space="0" w:color="auto"/>
                </w:tcBorders>
                <w:shd w:val="clear" w:color="auto" w:fill="auto"/>
                <w:noWrap/>
                <w:vAlign w:val="bottom"/>
                <w:hideMark/>
              </w:tcPr>
              <w:p w14:paraId="27A760F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500</w:t>
                </w:r>
              </w:p>
            </w:tc>
          </w:tr>
          <w:tr w:rsidR="00C444E6" w:rsidRPr="00C444E6" w14:paraId="6F45C511"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4BE78EE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Capital Allowance @20%</w:t>
                </w:r>
              </w:p>
            </w:tc>
            <w:tc>
              <w:tcPr>
                <w:tcW w:w="1843" w:type="pct"/>
                <w:tcBorders>
                  <w:top w:val="nil"/>
                  <w:left w:val="nil"/>
                  <w:bottom w:val="single" w:sz="4" w:space="0" w:color="auto"/>
                  <w:right w:val="single" w:sz="4" w:space="0" w:color="auto"/>
                </w:tcBorders>
                <w:shd w:val="clear" w:color="auto" w:fill="auto"/>
                <w:noWrap/>
                <w:vAlign w:val="bottom"/>
                <w:hideMark/>
              </w:tcPr>
              <w:p w14:paraId="0D628C5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18ADA2B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5848358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132</w:t>
                </w:r>
              </w:p>
            </w:tc>
            <w:tc>
              <w:tcPr>
                <w:tcW w:w="395" w:type="pct"/>
                <w:tcBorders>
                  <w:top w:val="nil"/>
                  <w:left w:val="nil"/>
                  <w:bottom w:val="single" w:sz="4" w:space="0" w:color="auto"/>
                  <w:right w:val="single" w:sz="4" w:space="0" w:color="auto"/>
                </w:tcBorders>
                <w:shd w:val="clear" w:color="auto" w:fill="auto"/>
                <w:noWrap/>
                <w:vAlign w:val="bottom"/>
                <w:hideMark/>
              </w:tcPr>
              <w:p w14:paraId="653A36D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132</w:t>
                </w:r>
              </w:p>
            </w:tc>
            <w:tc>
              <w:tcPr>
                <w:tcW w:w="395" w:type="pct"/>
                <w:tcBorders>
                  <w:top w:val="nil"/>
                  <w:left w:val="nil"/>
                  <w:bottom w:val="single" w:sz="4" w:space="0" w:color="auto"/>
                  <w:right w:val="single" w:sz="4" w:space="0" w:color="auto"/>
                </w:tcBorders>
                <w:shd w:val="clear" w:color="auto" w:fill="auto"/>
                <w:noWrap/>
                <w:vAlign w:val="bottom"/>
                <w:hideMark/>
              </w:tcPr>
              <w:p w14:paraId="0557865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132</w:t>
                </w:r>
              </w:p>
            </w:tc>
            <w:tc>
              <w:tcPr>
                <w:tcW w:w="395" w:type="pct"/>
                <w:tcBorders>
                  <w:top w:val="nil"/>
                  <w:left w:val="nil"/>
                  <w:bottom w:val="single" w:sz="4" w:space="0" w:color="auto"/>
                  <w:right w:val="single" w:sz="4" w:space="0" w:color="auto"/>
                </w:tcBorders>
                <w:shd w:val="clear" w:color="auto" w:fill="auto"/>
                <w:noWrap/>
                <w:vAlign w:val="bottom"/>
                <w:hideMark/>
              </w:tcPr>
              <w:p w14:paraId="09C8969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132</w:t>
                </w:r>
              </w:p>
            </w:tc>
          </w:tr>
          <w:tr w:rsidR="00C444E6" w:rsidRPr="00C444E6" w14:paraId="5FD2A1D2"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62A60F7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Taxable Cash Flow </w:t>
                </w:r>
              </w:p>
            </w:tc>
            <w:tc>
              <w:tcPr>
                <w:tcW w:w="1843" w:type="pct"/>
                <w:tcBorders>
                  <w:top w:val="nil"/>
                  <w:left w:val="nil"/>
                  <w:bottom w:val="single" w:sz="4" w:space="0" w:color="auto"/>
                  <w:right w:val="single" w:sz="4" w:space="0" w:color="auto"/>
                </w:tcBorders>
                <w:shd w:val="clear" w:color="auto" w:fill="auto"/>
                <w:noWrap/>
                <w:vAlign w:val="bottom"/>
                <w:hideMark/>
              </w:tcPr>
              <w:p w14:paraId="17AB3C0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 Capital Allowance</w:t>
                </w:r>
              </w:p>
            </w:tc>
            <w:tc>
              <w:tcPr>
                <w:tcW w:w="367" w:type="pct"/>
                <w:tcBorders>
                  <w:top w:val="nil"/>
                  <w:left w:val="nil"/>
                  <w:bottom w:val="single" w:sz="4" w:space="0" w:color="auto"/>
                  <w:right w:val="single" w:sz="4" w:space="0" w:color="auto"/>
                </w:tcBorders>
                <w:shd w:val="clear" w:color="auto" w:fill="auto"/>
                <w:noWrap/>
                <w:vAlign w:val="bottom"/>
                <w:hideMark/>
              </w:tcPr>
              <w:p w14:paraId="1F2B2B3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5626BAA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168</w:t>
                </w:r>
              </w:p>
            </w:tc>
            <w:tc>
              <w:tcPr>
                <w:tcW w:w="395" w:type="pct"/>
                <w:tcBorders>
                  <w:top w:val="nil"/>
                  <w:left w:val="nil"/>
                  <w:bottom w:val="single" w:sz="4" w:space="0" w:color="auto"/>
                  <w:right w:val="single" w:sz="4" w:space="0" w:color="auto"/>
                </w:tcBorders>
                <w:shd w:val="clear" w:color="auto" w:fill="auto"/>
                <w:noWrap/>
                <w:vAlign w:val="bottom"/>
                <w:hideMark/>
              </w:tcPr>
              <w:p w14:paraId="26D4277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268</w:t>
                </w:r>
              </w:p>
            </w:tc>
            <w:tc>
              <w:tcPr>
                <w:tcW w:w="395" w:type="pct"/>
                <w:tcBorders>
                  <w:top w:val="nil"/>
                  <w:left w:val="nil"/>
                  <w:bottom w:val="single" w:sz="4" w:space="0" w:color="auto"/>
                  <w:right w:val="single" w:sz="4" w:space="0" w:color="auto"/>
                </w:tcBorders>
                <w:shd w:val="clear" w:color="auto" w:fill="auto"/>
                <w:noWrap/>
                <w:vAlign w:val="bottom"/>
                <w:hideMark/>
              </w:tcPr>
              <w:p w14:paraId="33FA9E9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318</w:t>
                </w:r>
              </w:p>
            </w:tc>
            <w:tc>
              <w:tcPr>
                <w:tcW w:w="395" w:type="pct"/>
                <w:tcBorders>
                  <w:top w:val="nil"/>
                  <w:left w:val="nil"/>
                  <w:bottom w:val="single" w:sz="4" w:space="0" w:color="auto"/>
                  <w:right w:val="single" w:sz="4" w:space="0" w:color="auto"/>
                </w:tcBorders>
                <w:shd w:val="clear" w:color="auto" w:fill="auto"/>
                <w:noWrap/>
                <w:vAlign w:val="bottom"/>
                <w:hideMark/>
              </w:tcPr>
              <w:p w14:paraId="30A25CE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368</w:t>
                </w:r>
              </w:p>
            </w:tc>
          </w:tr>
          <w:tr w:rsidR="00C444E6" w:rsidRPr="00C444E6" w14:paraId="00867D71"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2E96CCF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 Liability @25%</w:t>
                </w:r>
              </w:p>
            </w:tc>
            <w:tc>
              <w:tcPr>
                <w:tcW w:w="1843" w:type="pct"/>
                <w:tcBorders>
                  <w:top w:val="nil"/>
                  <w:left w:val="nil"/>
                  <w:bottom w:val="single" w:sz="4" w:space="0" w:color="auto"/>
                  <w:right w:val="single" w:sz="4" w:space="0" w:color="auto"/>
                </w:tcBorders>
                <w:shd w:val="clear" w:color="auto" w:fill="auto"/>
                <w:noWrap/>
                <w:vAlign w:val="bottom"/>
                <w:hideMark/>
              </w:tcPr>
              <w:p w14:paraId="6A419A6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Taxable Cash flow*25%</w:t>
                </w:r>
              </w:p>
            </w:tc>
            <w:tc>
              <w:tcPr>
                <w:tcW w:w="367" w:type="pct"/>
                <w:tcBorders>
                  <w:top w:val="nil"/>
                  <w:left w:val="nil"/>
                  <w:bottom w:val="single" w:sz="4" w:space="0" w:color="auto"/>
                  <w:right w:val="single" w:sz="4" w:space="0" w:color="auto"/>
                </w:tcBorders>
                <w:shd w:val="clear" w:color="auto" w:fill="auto"/>
                <w:noWrap/>
                <w:vAlign w:val="bottom"/>
                <w:hideMark/>
              </w:tcPr>
              <w:p w14:paraId="71CD8BF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757EF95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42</w:t>
                </w:r>
              </w:p>
            </w:tc>
            <w:tc>
              <w:tcPr>
                <w:tcW w:w="395" w:type="pct"/>
                <w:tcBorders>
                  <w:top w:val="nil"/>
                  <w:left w:val="nil"/>
                  <w:bottom w:val="single" w:sz="4" w:space="0" w:color="auto"/>
                  <w:right w:val="single" w:sz="4" w:space="0" w:color="auto"/>
                </w:tcBorders>
                <w:shd w:val="clear" w:color="auto" w:fill="auto"/>
                <w:noWrap/>
                <w:vAlign w:val="bottom"/>
                <w:hideMark/>
              </w:tcPr>
              <w:p w14:paraId="23314A0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67</w:t>
                </w:r>
              </w:p>
            </w:tc>
            <w:tc>
              <w:tcPr>
                <w:tcW w:w="395" w:type="pct"/>
                <w:tcBorders>
                  <w:top w:val="nil"/>
                  <w:left w:val="nil"/>
                  <w:bottom w:val="single" w:sz="4" w:space="0" w:color="auto"/>
                  <w:right w:val="single" w:sz="4" w:space="0" w:color="auto"/>
                </w:tcBorders>
                <w:shd w:val="clear" w:color="auto" w:fill="auto"/>
                <w:noWrap/>
                <w:vAlign w:val="bottom"/>
                <w:hideMark/>
              </w:tcPr>
              <w:p w14:paraId="34F13E3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80</w:t>
                </w:r>
              </w:p>
            </w:tc>
            <w:tc>
              <w:tcPr>
                <w:tcW w:w="395" w:type="pct"/>
                <w:tcBorders>
                  <w:top w:val="nil"/>
                  <w:left w:val="nil"/>
                  <w:bottom w:val="single" w:sz="4" w:space="0" w:color="auto"/>
                  <w:right w:val="single" w:sz="4" w:space="0" w:color="auto"/>
                </w:tcBorders>
                <w:shd w:val="clear" w:color="auto" w:fill="auto"/>
                <w:noWrap/>
                <w:vAlign w:val="bottom"/>
                <w:hideMark/>
              </w:tcPr>
              <w:p w14:paraId="25EC97C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92</w:t>
                </w:r>
              </w:p>
            </w:tc>
          </w:tr>
          <w:tr w:rsidR="00C444E6" w:rsidRPr="00C444E6" w14:paraId="72BDA827"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4286FF9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 after tax</w:t>
                </w:r>
              </w:p>
            </w:tc>
            <w:tc>
              <w:tcPr>
                <w:tcW w:w="1843" w:type="pct"/>
                <w:tcBorders>
                  <w:top w:val="nil"/>
                  <w:left w:val="nil"/>
                  <w:bottom w:val="single" w:sz="4" w:space="0" w:color="auto"/>
                  <w:right w:val="single" w:sz="4" w:space="0" w:color="auto"/>
                </w:tcBorders>
                <w:shd w:val="clear" w:color="auto" w:fill="auto"/>
                <w:noWrap/>
                <w:vAlign w:val="bottom"/>
                <w:hideMark/>
              </w:tcPr>
              <w:p w14:paraId="5009004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Taxable cash flow-Tax liability</w:t>
                </w:r>
              </w:p>
            </w:tc>
            <w:tc>
              <w:tcPr>
                <w:tcW w:w="367" w:type="pct"/>
                <w:tcBorders>
                  <w:top w:val="nil"/>
                  <w:left w:val="nil"/>
                  <w:bottom w:val="single" w:sz="4" w:space="0" w:color="auto"/>
                  <w:right w:val="single" w:sz="4" w:space="0" w:color="auto"/>
                </w:tcBorders>
                <w:shd w:val="clear" w:color="auto" w:fill="auto"/>
                <w:noWrap/>
                <w:vAlign w:val="bottom"/>
                <w:hideMark/>
              </w:tcPr>
              <w:p w14:paraId="045C8BB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6D68E93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126</w:t>
                </w:r>
              </w:p>
            </w:tc>
            <w:tc>
              <w:tcPr>
                <w:tcW w:w="395" w:type="pct"/>
                <w:tcBorders>
                  <w:top w:val="nil"/>
                  <w:left w:val="nil"/>
                  <w:bottom w:val="single" w:sz="4" w:space="0" w:color="auto"/>
                  <w:right w:val="single" w:sz="4" w:space="0" w:color="auto"/>
                </w:tcBorders>
                <w:shd w:val="clear" w:color="auto" w:fill="auto"/>
                <w:noWrap/>
                <w:vAlign w:val="bottom"/>
                <w:hideMark/>
              </w:tcPr>
              <w:p w14:paraId="6CC78E8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201</w:t>
                </w:r>
              </w:p>
            </w:tc>
            <w:tc>
              <w:tcPr>
                <w:tcW w:w="395" w:type="pct"/>
                <w:tcBorders>
                  <w:top w:val="nil"/>
                  <w:left w:val="nil"/>
                  <w:bottom w:val="single" w:sz="4" w:space="0" w:color="auto"/>
                  <w:right w:val="single" w:sz="4" w:space="0" w:color="auto"/>
                </w:tcBorders>
                <w:shd w:val="clear" w:color="auto" w:fill="auto"/>
                <w:noWrap/>
                <w:vAlign w:val="bottom"/>
                <w:hideMark/>
              </w:tcPr>
              <w:p w14:paraId="3EB325F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238</w:t>
                </w:r>
              </w:p>
            </w:tc>
            <w:tc>
              <w:tcPr>
                <w:tcW w:w="395" w:type="pct"/>
                <w:tcBorders>
                  <w:top w:val="nil"/>
                  <w:left w:val="nil"/>
                  <w:bottom w:val="single" w:sz="4" w:space="0" w:color="auto"/>
                  <w:right w:val="single" w:sz="4" w:space="0" w:color="auto"/>
                </w:tcBorders>
                <w:shd w:val="clear" w:color="auto" w:fill="auto"/>
                <w:noWrap/>
                <w:vAlign w:val="bottom"/>
                <w:hideMark/>
              </w:tcPr>
              <w:p w14:paraId="79C4174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276</w:t>
                </w:r>
              </w:p>
            </w:tc>
          </w:tr>
          <w:tr w:rsidR="00C444E6" w:rsidRPr="00C444E6" w14:paraId="53835810"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70E8C43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lastRenderedPageBreak/>
                  <w:t>Net Cash flow</w:t>
                </w:r>
              </w:p>
            </w:tc>
            <w:tc>
              <w:tcPr>
                <w:tcW w:w="1843" w:type="pct"/>
                <w:tcBorders>
                  <w:top w:val="nil"/>
                  <w:left w:val="nil"/>
                  <w:bottom w:val="single" w:sz="4" w:space="0" w:color="auto"/>
                  <w:right w:val="single" w:sz="4" w:space="0" w:color="auto"/>
                </w:tcBorders>
                <w:shd w:val="clear" w:color="auto" w:fill="auto"/>
                <w:noWrap/>
                <w:vAlign w:val="bottom"/>
                <w:hideMark/>
              </w:tcPr>
              <w:p w14:paraId="2CBB9EE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Cash flow after </w:t>
                </w:r>
                <w:proofErr w:type="spellStart"/>
                <w:r w:rsidRPr="00C444E6">
                  <w:rPr>
                    <w:rFonts w:ascii="Times New Roman" w:eastAsia="Times New Roman" w:hAnsi="Times New Roman" w:cs="Times New Roman"/>
                    <w:color w:val="000000"/>
                    <w:sz w:val="24"/>
                    <w:szCs w:val="24"/>
                    <w:lang w:val="en-IN" w:eastAsia="en-IN"/>
                  </w:rPr>
                  <w:t>Tax+Capital</w:t>
                </w:r>
                <w:proofErr w:type="spellEnd"/>
                <w:r w:rsidRPr="00C444E6">
                  <w:rPr>
                    <w:rFonts w:ascii="Times New Roman" w:eastAsia="Times New Roman" w:hAnsi="Times New Roman" w:cs="Times New Roman"/>
                    <w:color w:val="000000"/>
                    <w:sz w:val="24"/>
                    <w:szCs w:val="24"/>
                    <w:lang w:val="en-IN" w:eastAsia="en-IN"/>
                  </w:rPr>
                  <w:t xml:space="preserve"> Allowance</w:t>
                </w:r>
              </w:p>
            </w:tc>
            <w:tc>
              <w:tcPr>
                <w:tcW w:w="367" w:type="pct"/>
                <w:tcBorders>
                  <w:top w:val="nil"/>
                  <w:left w:val="nil"/>
                  <w:bottom w:val="single" w:sz="4" w:space="0" w:color="auto"/>
                  <w:right w:val="single" w:sz="4" w:space="0" w:color="auto"/>
                </w:tcBorders>
                <w:shd w:val="clear" w:color="auto" w:fill="auto"/>
                <w:noWrap/>
                <w:vAlign w:val="bottom"/>
                <w:hideMark/>
              </w:tcPr>
              <w:p w14:paraId="34CB338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728452F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258</w:t>
                </w:r>
              </w:p>
            </w:tc>
            <w:tc>
              <w:tcPr>
                <w:tcW w:w="395" w:type="pct"/>
                <w:tcBorders>
                  <w:top w:val="nil"/>
                  <w:left w:val="nil"/>
                  <w:bottom w:val="single" w:sz="4" w:space="0" w:color="auto"/>
                  <w:right w:val="single" w:sz="4" w:space="0" w:color="auto"/>
                </w:tcBorders>
                <w:shd w:val="clear" w:color="auto" w:fill="auto"/>
                <w:noWrap/>
                <w:vAlign w:val="bottom"/>
                <w:hideMark/>
              </w:tcPr>
              <w:p w14:paraId="59701C9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333</w:t>
                </w:r>
              </w:p>
            </w:tc>
            <w:tc>
              <w:tcPr>
                <w:tcW w:w="395" w:type="pct"/>
                <w:tcBorders>
                  <w:top w:val="nil"/>
                  <w:left w:val="nil"/>
                  <w:bottom w:val="single" w:sz="4" w:space="0" w:color="auto"/>
                  <w:right w:val="single" w:sz="4" w:space="0" w:color="auto"/>
                </w:tcBorders>
                <w:shd w:val="clear" w:color="auto" w:fill="auto"/>
                <w:noWrap/>
                <w:vAlign w:val="bottom"/>
                <w:hideMark/>
              </w:tcPr>
              <w:p w14:paraId="3D0653C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370</w:t>
                </w:r>
              </w:p>
            </w:tc>
            <w:tc>
              <w:tcPr>
                <w:tcW w:w="395" w:type="pct"/>
                <w:tcBorders>
                  <w:top w:val="nil"/>
                  <w:left w:val="nil"/>
                  <w:bottom w:val="single" w:sz="4" w:space="0" w:color="auto"/>
                  <w:right w:val="single" w:sz="4" w:space="0" w:color="auto"/>
                </w:tcBorders>
                <w:shd w:val="clear" w:color="auto" w:fill="auto"/>
                <w:noWrap/>
                <w:vAlign w:val="bottom"/>
                <w:hideMark/>
              </w:tcPr>
              <w:p w14:paraId="36C8E19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408</w:t>
                </w:r>
              </w:p>
            </w:tc>
          </w:tr>
          <w:tr w:rsidR="00C444E6" w:rsidRPr="00C444E6" w14:paraId="7A9B0702" w14:textId="77777777" w:rsidTr="00C444E6">
            <w:trPr>
              <w:trHeight w:val="288"/>
            </w:trPr>
            <w:tc>
              <w:tcPr>
                <w:tcW w:w="1211" w:type="pct"/>
                <w:tcBorders>
                  <w:top w:val="nil"/>
                  <w:left w:val="nil"/>
                  <w:bottom w:val="nil"/>
                  <w:right w:val="nil"/>
                </w:tcBorders>
                <w:shd w:val="clear" w:color="auto" w:fill="auto"/>
                <w:noWrap/>
                <w:vAlign w:val="bottom"/>
                <w:hideMark/>
              </w:tcPr>
              <w:p w14:paraId="70D6417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p>
            </w:tc>
            <w:tc>
              <w:tcPr>
                <w:tcW w:w="1843" w:type="pct"/>
                <w:tcBorders>
                  <w:top w:val="nil"/>
                  <w:left w:val="nil"/>
                  <w:bottom w:val="nil"/>
                  <w:right w:val="nil"/>
                </w:tcBorders>
                <w:shd w:val="clear" w:color="auto" w:fill="auto"/>
                <w:noWrap/>
                <w:vAlign w:val="bottom"/>
                <w:hideMark/>
              </w:tcPr>
              <w:p w14:paraId="669A626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67" w:type="pct"/>
                <w:tcBorders>
                  <w:top w:val="nil"/>
                  <w:left w:val="nil"/>
                  <w:bottom w:val="nil"/>
                  <w:right w:val="nil"/>
                </w:tcBorders>
                <w:shd w:val="clear" w:color="auto" w:fill="auto"/>
                <w:noWrap/>
                <w:vAlign w:val="bottom"/>
                <w:hideMark/>
              </w:tcPr>
              <w:p w14:paraId="4BBDB9B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488BB44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32908E4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6EAEAB8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3DF8532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F0816B3" w14:textId="77777777" w:rsidTr="00C444E6">
            <w:trPr>
              <w:trHeight w:val="288"/>
            </w:trPr>
            <w:tc>
              <w:tcPr>
                <w:tcW w:w="1211" w:type="pct"/>
                <w:tcBorders>
                  <w:top w:val="nil"/>
                  <w:left w:val="nil"/>
                  <w:bottom w:val="nil"/>
                  <w:right w:val="nil"/>
                </w:tcBorders>
                <w:shd w:val="clear" w:color="auto" w:fill="auto"/>
                <w:noWrap/>
                <w:vAlign w:val="bottom"/>
                <w:hideMark/>
              </w:tcPr>
              <w:p w14:paraId="2868E3F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843" w:type="pct"/>
                <w:tcBorders>
                  <w:top w:val="nil"/>
                  <w:left w:val="nil"/>
                  <w:bottom w:val="nil"/>
                  <w:right w:val="nil"/>
                </w:tcBorders>
                <w:shd w:val="clear" w:color="auto" w:fill="auto"/>
                <w:noWrap/>
                <w:vAlign w:val="bottom"/>
                <w:hideMark/>
              </w:tcPr>
              <w:p w14:paraId="5AFF624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67" w:type="pct"/>
                <w:tcBorders>
                  <w:top w:val="nil"/>
                  <w:left w:val="nil"/>
                  <w:bottom w:val="nil"/>
                  <w:right w:val="nil"/>
                </w:tcBorders>
                <w:shd w:val="clear" w:color="auto" w:fill="auto"/>
                <w:noWrap/>
                <w:vAlign w:val="bottom"/>
                <w:hideMark/>
              </w:tcPr>
              <w:p w14:paraId="126B652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3D13D3E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3CB4CC6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7F12B84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0C34575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B06398E" w14:textId="77777777" w:rsidTr="00C444E6">
            <w:trPr>
              <w:trHeight w:val="288"/>
            </w:trPr>
            <w:tc>
              <w:tcPr>
                <w:tcW w:w="1211" w:type="pct"/>
                <w:tcBorders>
                  <w:top w:val="nil"/>
                  <w:left w:val="nil"/>
                  <w:bottom w:val="nil"/>
                  <w:right w:val="nil"/>
                </w:tcBorders>
                <w:shd w:val="clear" w:color="auto" w:fill="auto"/>
                <w:noWrap/>
                <w:vAlign w:val="bottom"/>
                <w:hideMark/>
              </w:tcPr>
              <w:p w14:paraId="045BA64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843" w:type="pct"/>
                <w:tcBorders>
                  <w:top w:val="nil"/>
                  <w:left w:val="nil"/>
                  <w:bottom w:val="nil"/>
                  <w:right w:val="nil"/>
                </w:tcBorders>
                <w:shd w:val="clear" w:color="auto" w:fill="auto"/>
                <w:noWrap/>
                <w:vAlign w:val="bottom"/>
                <w:hideMark/>
              </w:tcPr>
              <w:p w14:paraId="4B07803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67" w:type="pct"/>
                <w:tcBorders>
                  <w:top w:val="nil"/>
                  <w:left w:val="nil"/>
                  <w:bottom w:val="nil"/>
                  <w:right w:val="nil"/>
                </w:tcBorders>
                <w:shd w:val="clear" w:color="auto" w:fill="auto"/>
                <w:noWrap/>
                <w:vAlign w:val="bottom"/>
                <w:hideMark/>
              </w:tcPr>
              <w:p w14:paraId="79CE5FD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7D3FE59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1756CE8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783D1B2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5B48984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892C821" w14:textId="77777777" w:rsidTr="00C444E6">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DAAFB1"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B</w:t>
                </w:r>
              </w:p>
            </w:tc>
          </w:tr>
          <w:tr w:rsidR="00C444E6" w:rsidRPr="00C444E6" w14:paraId="52D4CE1C"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421487F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1843" w:type="pct"/>
                <w:tcBorders>
                  <w:top w:val="nil"/>
                  <w:left w:val="nil"/>
                  <w:bottom w:val="single" w:sz="4" w:space="0" w:color="auto"/>
                  <w:right w:val="single" w:sz="4" w:space="0" w:color="auto"/>
                </w:tcBorders>
                <w:shd w:val="clear" w:color="auto" w:fill="auto"/>
                <w:noWrap/>
                <w:vAlign w:val="bottom"/>
                <w:hideMark/>
              </w:tcPr>
              <w:p w14:paraId="28B19AE7"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367" w:type="pct"/>
                <w:tcBorders>
                  <w:top w:val="nil"/>
                  <w:left w:val="nil"/>
                  <w:bottom w:val="single" w:sz="4" w:space="0" w:color="auto"/>
                  <w:right w:val="single" w:sz="4" w:space="0" w:color="auto"/>
                </w:tcBorders>
                <w:shd w:val="clear" w:color="auto" w:fill="auto"/>
                <w:noWrap/>
                <w:vAlign w:val="bottom"/>
                <w:hideMark/>
              </w:tcPr>
              <w:p w14:paraId="409046E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0 £’000</w:t>
                </w:r>
              </w:p>
            </w:tc>
            <w:tc>
              <w:tcPr>
                <w:tcW w:w="395" w:type="pct"/>
                <w:tcBorders>
                  <w:top w:val="nil"/>
                  <w:left w:val="nil"/>
                  <w:bottom w:val="single" w:sz="4" w:space="0" w:color="auto"/>
                  <w:right w:val="single" w:sz="4" w:space="0" w:color="auto"/>
                </w:tcBorders>
                <w:shd w:val="clear" w:color="auto" w:fill="auto"/>
                <w:noWrap/>
                <w:vAlign w:val="bottom"/>
                <w:hideMark/>
              </w:tcPr>
              <w:p w14:paraId="79FD6548"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1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0923790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2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30E72E1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3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2FE08180"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4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6B3122CF"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48F3F45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Initial Investment</w:t>
                </w:r>
              </w:p>
            </w:tc>
            <w:tc>
              <w:tcPr>
                <w:tcW w:w="1843" w:type="pct"/>
                <w:tcBorders>
                  <w:top w:val="nil"/>
                  <w:left w:val="nil"/>
                  <w:bottom w:val="single" w:sz="4" w:space="0" w:color="auto"/>
                  <w:right w:val="single" w:sz="4" w:space="0" w:color="auto"/>
                </w:tcBorders>
                <w:shd w:val="clear" w:color="auto" w:fill="auto"/>
                <w:noWrap/>
                <w:vAlign w:val="bottom"/>
                <w:hideMark/>
              </w:tcPr>
              <w:p w14:paraId="51F29F1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63CD8F7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1000</w:t>
                </w:r>
              </w:p>
            </w:tc>
            <w:tc>
              <w:tcPr>
                <w:tcW w:w="395" w:type="pct"/>
                <w:tcBorders>
                  <w:top w:val="nil"/>
                  <w:left w:val="nil"/>
                  <w:bottom w:val="single" w:sz="4" w:space="0" w:color="auto"/>
                  <w:right w:val="single" w:sz="4" w:space="0" w:color="auto"/>
                </w:tcBorders>
                <w:shd w:val="clear" w:color="auto" w:fill="auto"/>
                <w:noWrap/>
                <w:vAlign w:val="bottom"/>
                <w:hideMark/>
              </w:tcPr>
              <w:p w14:paraId="6004BF5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312D258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2C066DD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0DB1706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4A29258C"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57115CC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w:t>
                </w:r>
              </w:p>
            </w:tc>
            <w:tc>
              <w:tcPr>
                <w:tcW w:w="1843" w:type="pct"/>
                <w:tcBorders>
                  <w:top w:val="nil"/>
                  <w:left w:val="nil"/>
                  <w:bottom w:val="single" w:sz="4" w:space="0" w:color="auto"/>
                  <w:right w:val="single" w:sz="4" w:space="0" w:color="auto"/>
                </w:tcBorders>
                <w:shd w:val="clear" w:color="auto" w:fill="auto"/>
                <w:noWrap/>
                <w:vAlign w:val="bottom"/>
                <w:hideMark/>
              </w:tcPr>
              <w:p w14:paraId="5021289E"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2320059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1E82998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500</w:t>
                </w:r>
              </w:p>
            </w:tc>
            <w:tc>
              <w:tcPr>
                <w:tcW w:w="395" w:type="pct"/>
                <w:tcBorders>
                  <w:top w:val="nil"/>
                  <w:left w:val="nil"/>
                  <w:bottom w:val="single" w:sz="4" w:space="0" w:color="auto"/>
                  <w:right w:val="single" w:sz="4" w:space="0" w:color="auto"/>
                </w:tcBorders>
                <w:shd w:val="clear" w:color="auto" w:fill="auto"/>
                <w:noWrap/>
                <w:vAlign w:val="bottom"/>
                <w:hideMark/>
              </w:tcPr>
              <w:p w14:paraId="134830E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550</w:t>
                </w:r>
              </w:p>
            </w:tc>
            <w:tc>
              <w:tcPr>
                <w:tcW w:w="395" w:type="pct"/>
                <w:tcBorders>
                  <w:top w:val="nil"/>
                  <w:left w:val="nil"/>
                  <w:bottom w:val="single" w:sz="4" w:space="0" w:color="auto"/>
                  <w:right w:val="single" w:sz="4" w:space="0" w:color="auto"/>
                </w:tcBorders>
                <w:shd w:val="clear" w:color="auto" w:fill="auto"/>
                <w:noWrap/>
                <w:vAlign w:val="bottom"/>
                <w:hideMark/>
              </w:tcPr>
              <w:p w14:paraId="5387C5A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700</w:t>
                </w:r>
              </w:p>
            </w:tc>
            <w:tc>
              <w:tcPr>
                <w:tcW w:w="395" w:type="pct"/>
                <w:tcBorders>
                  <w:top w:val="nil"/>
                  <w:left w:val="nil"/>
                  <w:bottom w:val="single" w:sz="4" w:space="0" w:color="auto"/>
                  <w:right w:val="single" w:sz="4" w:space="0" w:color="auto"/>
                </w:tcBorders>
                <w:shd w:val="clear" w:color="auto" w:fill="auto"/>
                <w:noWrap/>
                <w:vAlign w:val="bottom"/>
                <w:hideMark/>
              </w:tcPr>
              <w:p w14:paraId="1AB5C3E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950</w:t>
                </w:r>
              </w:p>
            </w:tc>
          </w:tr>
          <w:tr w:rsidR="00C444E6" w:rsidRPr="00C444E6" w14:paraId="65E801B8"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2792414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Capital Allowance @20%</w:t>
                </w:r>
              </w:p>
            </w:tc>
            <w:tc>
              <w:tcPr>
                <w:tcW w:w="1843" w:type="pct"/>
                <w:tcBorders>
                  <w:top w:val="nil"/>
                  <w:left w:val="nil"/>
                  <w:bottom w:val="single" w:sz="4" w:space="0" w:color="auto"/>
                  <w:right w:val="single" w:sz="4" w:space="0" w:color="auto"/>
                </w:tcBorders>
                <w:shd w:val="clear" w:color="auto" w:fill="auto"/>
                <w:noWrap/>
                <w:vAlign w:val="bottom"/>
                <w:hideMark/>
              </w:tcPr>
              <w:p w14:paraId="30DF1D5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7A7505D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766EF42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200</w:t>
                </w:r>
              </w:p>
            </w:tc>
            <w:tc>
              <w:tcPr>
                <w:tcW w:w="395" w:type="pct"/>
                <w:tcBorders>
                  <w:top w:val="nil"/>
                  <w:left w:val="nil"/>
                  <w:bottom w:val="single" w:sz="4" w:space="0" w:color="auto"/>
                  <w:right w:val="single" w:sz="4" w:space="0" w:color="auto"/>
                </w:tcBorders>
                <w:shd w:val="clear" w:color="auto" w:fill="auto"/>
                <w:noWrap/>
                <w:vAlign w:val="bottom"/>
                <w:hideMark/>
              </w:tcPr>
              <w:p w14:paraId="1998982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200</w:t>
                </w:r>
              </w:p>
            </w:tc>
            <w:tc>
              <w:tcPr>
                <w:tcW w:w="395" w:type="pct"/>
                <w:tcBorders>
                  <w:top w:val="nil"/>
                  <w:left w:val="nil"/>
                  <w:bottom w:val="single" w:sz="4" w:space="0" w:color="auto"/>
                  <w:right w:val="single" w:sz="4" w:space="0" w:color="auto"/>
                </w:tcBorders>
                <w:shd w:val="clear" w:color="auto" w:fill="auto"/>
                <w:noWrap/>
                <w:vAlign w:val="bottom"/>
                <w:hideMark/>
              </w:tcPr>
              <w:p w14:paraId="0E11643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200</w:t>
                </w:r>
              </w:p>
            </w:tc>
            <w:tc>
              <w:tcPr>
                <w:tcW w:w="395" w:type="pct"/>
                <w:tcBorders>
                  <w:top w:val="nil"/>
                  <w:left w:val="nil"/>
                  <w:bottom w:val="single" w:sz="4" w:space="0" w:color="auto"/>
                  <w:right w:val="single" w:sz="4" w:space="0" w:color="auto"/>
                </w:tcBorders>
                <w:shd w:val="clear" w:color="auto" w:fill="auto"/>
                <w:noWrap/>
                <w:vAlign w:val="bottom"/>
                <w:hideMark/>
              </w:tcPr>
              <w:p w14:paraId="4C3D476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200</w:t>
                </w:r>
              </w:p>
            </w:tc>
          </w:tr>
          <w:tr w:rsidR="00C444E6" w:rsidRPr="00C444E6" w14:paraId="4482331F"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1096D38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Taxable Cash Flow </w:t>
                </w:r>
              </w:p>
            </w:tc>
            <w:tc>
              <w:tcPr>
                <w:tcW w:w="1843" w:type="pct"/>
                <w:tcBorders>
                  <w:top w:val="nil"/>
                  <w:left w:val="nil"/>
                  <w:bottom w:val="single" w:sz="4" w:space="0" w:color="auto"/>
                  <w:right w:val="single" w:sz="4" w:space="0" w:color="auto"/>
                </w:tcBorders>
                <w:shd w:val="clear" w:color="auto" w:fill="auto"/>
                <w:noWrap/>
                <w:vAlign w:val="bottom"/>
                <w:hideMark/>
              </w:tcPr>
              <w:p w14:paraId="053C9F4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 Capital Allowance</w:t>
                </w:r>
              </w:p>
            </w:tc>
            <w:tc>
              <w:tcPr>
                <w:tcW w:w="367" w:type="pct"/>
                <w:tcBorders>
                  <w:top w:val="nil"/>
                  <w:left w:val="nil"/>
                  <w:bottom w:val="single" w:sz="4" w:space="0" w:color="auto"/>
                  <w:right w:val="single" w:sz="4" w:space="0" w:color="auto"/>
                </w:tcBorders>
                <w:shd w:val="clear" w:color="auto" w:fill="auto"/>
                <w:noWrap/>
                <w:vAlign w:val="bottom"/>
                <w:hideMark/>
              </w:tcPr>
              <w:p w14:paraId="01B849F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15F9EE9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300</w:t>
                </w:r>
              </w:p>
            </w:tc>
            <w:tc>
              <w:tcPr>
                <w:tcW w:w="395" w:type="pct"/>
                <w:tcBorders>
                  <w:top w:val="nil"/>
                  <w:left w:val="nil"/>
                  <w:bottom w:val="single" w:sz="4" w:space="0" w:color="auto"/>
                  <w:right w:val="single" w:sz="4" w:space="0" w:color="auto"/>
                </w:tcBorders>
                <w:shd w:val="clear" w:color="auto" w:fill="auto"/>
                <w:noWrap/>
                <w:vAlign w:val="bottom"/>
                <w:hideMark/>
              </w:tcPr>
              <w:p w14:paraId="304294E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350</w:t>
                </w:r>
              </w:p>
            </w:tc>
            <w:tc>
              <w:tcPr>
                <w:tcW w:w="395" w:type="pct"/>
                <w:tcBorders>
                  <w:top w:val="nil"/>
                  <w:left w:val="nil"/>
                  <w:bottom w:val="single" w:sz="4" w:space="0" w:color="auto"/>
                  <w:right w:val="single" w:sz="4" w:space="0" w:color="auto"/>
                </w:tcBorders>
                <w:shd w:val="clear" w:color="auto" w:fill="auto"/>
                <w:noWrap/>
                <w:vAlign w:val="bottom"/>
                <w:hideMark/>
              </w:tcPr>
              <w:p w14:paraId="055783C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500</w:t>
                </w:r>
              </w:p>
            </w:tc>
            <w:tc>
              <w:tcPr>
                <w:tcW w:w="395" w:type="pct"/>
                <w:tcBorders>
                  <w:top w:val="nil"/>
                  <w:left w:val="nil"/>
                  <w:bottom w:val="single" w:sz="4" w:space="0" w:color="auto"/>
                  <w:right w:val="single" w:sz="4" w:space="0" w:color="auto"/>
                </w:tcBorders>
                <w:shd w:val="clear" w:color="auto" w:fill="auto"/>
                <w:noWrap/>
                <w:vAlign w:val="bottom"/>
                <w:hideMark/>
              </w:tcPr>
              <w:p w14:paraId="0966B6D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750</w:t>
                </w:r>
              </w:p>
            </w:tc>
          </w:tr>
          <w:tr w:rsidR="00C444E6" w:rsidRPr="00C444E6" w14:paraId="1D7A5E62"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51F0093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 Liability @25%</w:t>
                </w:r>
              </w:p>
            </w:tc>
            <w:tc>
              <w:tcPr>
                <w:tcW w:w="1843" w:type="pct"/>
                <w:tcBorders>
                  <w:top w:val="nil"/>
                  <w:left w:val="nil"/>
                  <w:bottom w:val="single" w:sz="4" w:space="0" w:color="auto"/>
                  <w:right w:val="single" w:sz="4" w:space="0" w:color="auto"/>
                </w:tcBorders>
                <w:shd w:val="clear" w:color="auto" w:fill="auto"/>
                <w:noWrap/>
                <w:vAlign w:val="bottom"/>
                <w:hideMark/>
              </w:tcPr>
              <w:p w14:paraId="009F9FB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Taxable Cash flow*25%</w:t>
                </w:r>
              </w:p>
            </w:tc>
            <w:tc>
              <w:tcPr>
                <w:tcW w:w="367" w:type="pct"/>
                <w:tcBorders>
                  <w:top w:val="nil"/>
                  <w:left w:val="nil"/>
                  <w:bottom w:val="single" w:sz="4" w:space="0" w:color="auto"/>
                  <w:right w:val="single" w:sz="4" w:space="0" w:color="auto"/>
                </w:tcBorders>
                <w:shd w:val="clear" w:color="auto" w:fill="auto"/>
                <w:noWrap/>
                <w:vAlign w:val="bottom"/>
                <w:hideMark/>
              </w:tcPr>
              <w:p w14:paraId="06BDE8B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3E94D2A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75</w:t>
                </w:r>
              </w:p>
            </w:tc>
            <w:tc>
              <w:tcPr>
                <w:tcW w:w="395" w:type="pct"/>
                <w:tcBorders>
                  <w:top w:val="nil"/>
                  <w:left w:val="nil"/>
                  <w:bottom w:val="single" w:sz="4" w:space="0" w:color="auto"/>
                  <w:right w:val="single" w:sz="4" w:space="0" w:color="auto"/>
                </w:tcBorders>
                <w:shd w:val="clear" w:color="auto" w:fill="auto"/>
                <w:noWrap/>
                <w:vAlign w:val="bottom"/>
                <w:hideMark/>
              </w:tcPr>
              <w:p w14:paraId="6E6120E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88</w:t>
                </w:r>
              </w:p>
            </w:tc>
            <w:tc>
              <w:tcPr>
                <w:tcW w:w="395" w:type="pct"/>
                <w:tcBorders>
                  <w:top w:val="nil"/>
                  <w:left w:val="nil"/>
                  <w:bottom w:val="single" w:sz="4" w:space="0" w:color="auto"/>
                  <w:right w:val="single" w:sz="4" w:space="0" w:color="auto"/>
                </w:tcBorders>
                <w:shd w:val="clear" w:color="auto" w:fill="auto"/>
                <w:noWrap/>
                <w:vAlign w:val="bottom"/>
                <w:hideMark/>
              </w:tcPr>
              <w:p w14:paraId="1F38E95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125</w:t>
                </w:r>
              </w:p>
            </w:tc>
            <w:tc>
              <w:tcPr>
                <w:tcW w:w="395" w:type="pct"/>
                <w:tcBorders>
                  <w:top w:val="nil"/>
                  <w:left w:val="nil"/>
                  <w:bottom w:val="single" w:sz="4" w:space="0" w:color="auto"/>
                  <w:right w:val="single" w:sz="4" w:space="0" w:color="auto"/>
                </w:tcBorders>
                <w:shd w:val="clear" w:color="auto" w:fill="auto"/>
                <w:noWrap/>
                <w:vAlign w:val="bottom"/>
                <w:hideMark/>
              </w:tcPr>
              <w:p w14:paraId="655C356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188</w:t>
                </w:r>
              </w:p>
            </w:tc>
          </w:tr>
          <w:tr w:rsidR="00C444E6" w:rsidRPr="00C444E6" w14:paraId="6CAC0F79"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7A83898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 after tax</w:t>
                </w:r>
              </w:p>
            </w:tc>
            <w:tc>
              <w:tcPr>
                <w:tcW w:w="1843" w:type="pct"/>
                <w:tcBorders>
                  <w:top w:val="nil"/>
                  <w:left w:val="nil"/>
                  <w:bottom w:val="single" w:sz="4" w:space="0" w:color="auto"/>
                  <w:right w:val="single" w:sz="4" w:space="0" w:color="auto"/>
                </w:tcBorders>
                <w:shd w:val="clear" w:color="auto" w:fill="auto"/>
                <w:noWrap/>
                <w:vAlign w:val="bottom"/>
                <w:hideMark/>
              </w:tcPr>
              <w:p w14:paraId="233FD52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Taxable cash flow-Tax liability</w:t>
                </w:r>
              </w:p>
            </w:tc>
            <w:tc>
              <w:tcPr>
                <w:tcW w:w="367" w:type="pct"/>
                <w:tcBorders>
                  <w:top w:val="nil"/>
                  <w:left w:val="nil"/>
                  <w:bottom w:val="single" w:sz="4" w:space="0" w:color="auto"/>
                  <w:right w:val="single" w:sz="4" w:space="0" w:color="auto"/>
                </w:tcBorders>
                <w:shd w:val="clear" w:color="auto" w:fill="auto"/>
                <w:noWrap/>
                <w:vAlign w:val="bottom"/>
                <w:hideMark/>
              </w:tcPr>
              <w:p w14:paraId="62E16CE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7D1C6A3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225</w:t>
                </w:r>
              </w:p>
            </w:tc>
            <w:tc>
              <w:tcPr>
                <w:tcW w:w="395" w:type="pct"/>
                <w:tcBorders>
                  <w:top w:val="nil"/>
                  <w:left w:val="nil"/>
                  <w:bottom w:val="single" w:sz="4" w:space="0" w:color="auto"/>
                  <w:right w:val="single" w:sz="4" w:space="0" w:color="auto"/>
                </w:tcBorders>
                <w:shd w:val="clear" w:color="auto" w:fill="auto"/>
                <w:noWrap/>
                <w:vAlign w:val="bottom"/>
                <w:hideMark/>
              </w:tcPr>
              <w:p w14:paraId="4623503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262</w:t>
                </w:r>
              </w:p>
            </w:tc>
            <w:tc>
              <w:tcPr>
                <w:tcW w:w="395" w:type="pct"/>
                <w:tcBorders>
                  <w:top w:val="nil"/>
                  <w:left w:val="nil"/>
                  <w:bottom w:val="single" w:sz="4" w:space="0" w:color="auto"/>
                  <w:right w:val="single" w:sz="4" w:space="0" w:color="auto"/>
                </w:tcBorders>
                <w:shd w:val="clear" w:color="auto" w:fill="auto"/>
                <w:noWrap/>
                <w:vAlign w:val="bottom"/>
                <w:hideMark/>
              </w:tcPr>
              <w:p w14:paraId="53CA1E0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375</w:t>
                </w:r>
              </w:p>
            </w:tc>
            <w:tc>
              <w:tcPr>
                <w:tcW w:w="395" w:type="pct"/>
                <w:tcBorders>
                  <w:top w:val="nil"/>
                  <w:left w:val="nil"/>
                  <w:bottom w:val="single" w:sz="4" w:space="0" w:color="auto"/>
                  <w:right w:val="single" w:sz="4" w:space="0" w:color="auto"/>
                </w:tcBorders>
                <w:shd w:val="clear" w:color="auto" w:fill="auto"/>
                <w:noWrap/>
                <w:vAlign w:val="bottom"/>
                <w:hideMark/>
              </w:tcPr>
              <w:p w14:paraId="0BEF0C0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562</w:t>
                </w:r>
              </w:p>
            </w:tc>
          </w:tr>
          <w:tr w:rsidR="00C444E6" w:rsidRPr="00C444E6" w14:paraId="10E2F077"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1FDA8CFF"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Cash flow</w:t>
                </w:r>
              </w:p>
            </w:tc>
            <w:tc>
              <w:tcPr>
                <w:tcW w:w="1843" w:type="pct"/>
                <w:tcBorders>
                  <w:top w:val="nil"/>
                  <w:left w:val="nil"/>
                  <w:bottom w:val="single" w:sz="4" w:space="0" w:color="auto"/>
                  <w:right w:val="single" w:sz="4" w:space="0" w:color="auto"/>
                </w:tcBorders>
                <w:shd w:val="clear" w:color="auto" w:fill="auto"/>
                <w:noWrap/>
                <w:vAlign w:val="bottom"/>
                <w:hideMark/>
              </w:tcPr>
              <w:p w14:paraId="1E5FC5D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Cash flow after </w:t>
                </w:r>
                <w:proofErr w:type="spellStart"/>
                <w:r w:rsidRPr="00C444E6">
                  <w:rPr>
                    <w:rFonts w:ascii="Times New Roman" w:eastAsia="Times New Roman" w:hAnsi="Times New Roman" w:cs="Times New Roman"/>
                    <w:color w:val="000000"/>
                    <w:sz w:val="24"/>
                    <w:szCs w:val="24"/>
                    <w:lang w:val="en-IN" w:eastAsia="en-IN"/>
                  </w:rPr>
                  <w:t>Tax+Capital</w:t>
                </w:r>
                <w:proofErr w:type="spellEnd"/>
                <w:r w:rsidRPr="00C444E6">
                  <w:rPr>
                    <w:rFonts w:ascii="Times New Roman" w:eastAsia="Times New Roman" w:hAnsi="Times New Roman" w:cs="Times New Roman"/>
                    <w:color w:val="000000"/>
                    <w:sz w:val="24"/>
                    <w:szCs w:val="24"/>
                    <w:lang w:val="en-IN" w:eastAsia="en-IN"/>
                  </w:rPr>
                  <w:t xml:space="preserve"> Allowance</w:t>
                </w:r>
              </w:p>
            </w:tc>
            <w:tc>
              <w:tcPr>
                <w:tcW w:w="367" w:type="pct"/>
                <w:tcBorders>
                  <w:top w:val="nil"/>
                  <w:left w:val="nil"/>
                  <w:bottom w:val="single" w:sz="4" w:space="0" w:color="auto"/>
                  <w:right w:val="single" w:sz="4" w:space="0" w:color="auto"/>
                </w:tcBorders>
                <w:shd w:val="clear" w:color="auto" w:fill="auto"/>
                <w:noWrap/>
                <w:vAlign w:val="bottom"/>
                <w:hideMark/>
              </w:tcPr>
              <w:p w14:paraId="5B3498B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0BD3DB1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425</w:t>
                </w:r>
              </w:p>
            </w:tc>
            <w:tc>
              <w:tcPr>
                <w:tcW w:w="395" w:type="pct"/>
                <w:tcBorders>
                  <w:top w:val="nil"/>
                  <w:left w:val="nil"/>
                  <w:bottom w:val="single" w:sz="4" w:space="0" w:color="auto"/>
                  <w:right w:val="single" w:sz="4" w:space="0" w:color="auto"/>
                </w:tcBorders>
                <w:shd w:val="clear" w:color="auto" w:fill="auto"/>
                <w:noWrap/>
                <w:vAlign w:val="bottom"/>
                <w:hideMark/>
              </w:tcPr>
              <w:p w14:paraId="5988815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462</w:t>
                </w:r>
              </w:p>
            </w:tc>
            <w:tc>
              <w:tcPr>
                <w:tcW w:w="395" w:type="pct"/>
                <w:tcBorders>
                  <w:top w:val="nil"/>
                  <w:left w:val="nil"/>
                  <w:bottom w:val="single" w:sz="4" w:space="0" w:color="auto"/>
                  <w:right w:val="single" w:sz="4" w:space="0" w:color="auto"/>
                </w:tcBorders>
                <w:shd w:val="clear" w:color="auto" w:fill="auto"/>
                <w:noWrap/>
                <w:vAlign w:val="bottom"/>
                <w:hideMark/>
              </w:tcPr>
              <w:p w14:paraId="64D759E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575</w:t>
                </w:r>
              </w:p>
            </w:tc>
            <w:tc>
              <w:tcPr>
                <w:tcW w:w="395" w:type="pct"/>
                <w:tcBorders>
                  <w:top w:val="nil"/>
                  <w:left w:val="nil"/>
                  <w:bottom w:val="single" w:sz="4" w:space="0" w:color="auto"/>
                  <w:right w:val="single" w:sz="4" w:space="0" w:color="auto"/>
                </w:tcBorders>
                <w:shd w:val="clear" w:color="auto" w:fill="auto"/>
                <w:noWrap/>
                <w:vAlign w:val="bottom"/>
                <w:hideMark/>
              </w:tcPr>
              <w:p w14:paraId="34A09E3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762</w:t>
                </w:r>
              </w:p>
            </w:tc>
          </w:tr>
          <w:tr w:rsidR="00C444E6" w:rsidRPr="00C444E6" w14:paraId="248928F9" w14:textId="77777777" w:rsidTr="00C444E6">
            <w:trPr>
              <w:trHeight w:val="288"/>
            </w:trPr>
            <w:tc>
              <w:tcPr>
                <w:tcW w:w="1211" w:type="pct"/>
                <w:tcBorders>
                  <w:top w:val="nil"/>
                  <w:left w:val="nil"/>
                  <w:bottom w:val="nil"/>
                  <w:right w:val="nil"/>
                </w:tcBorders>
                <w:shd w:val="clear" w:color="auto" w:fill="auto"/>
                <w:noWrap/>
                <w:vAlign w:val="bottom"/>
                <w:hideMark/>
              </w:tcPr>
              <w:p w14:paraId="6D2FAD1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p>
            </w:tc>
            <w:tc>
              <w:tcPr>
                <w:tcW w:w="1843" w:type="pct"/>
                <w:tcBorders>
                  <w:top w:val="nil"/>
                  <w:left w:val="nil"/>
                  <w:bottom w:val="nil"/>
                  <w:right w:val="nil"/>
                </w:tcBorders>
                <w:shd w:val="clear" w:color="auto" w:fill="auto"/>
                <w:noWrap/>
                <w:vAlign w:val="bottom"/>
                <w:hideMark/>
              </w:tcPr>
              <w:p w14:paraId="59103D7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67" w:type="pct"/>
                <w:tcBorders>
                  <w:top w:val="nil"/>
                  <w:left w:val="nil"/>
                  <w:bottom w:val="nil"/>
                  <w:right w:val="nil"/>
                </w:tcBorders>
                <w:shd w:val="clear" w:color="auto" w:fill="auto"/>
                <w:noWrap/>
                <w:vAlign w:val="bottom"/>
                <w:hideMark/>
              </w:tcPr>
              <w:p w14:paraId="5F13170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7A668F9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4B9EF12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2B96AE5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4EAB813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3E50AFC9" w14:textId="77777777" w:rsidTr="00C444E6">
            <w:trPr>
              <w:trHeight w:val="288"/>
            </w:trPr>
            <w:tc>
              <w:tcPr>
                <w:tcW w:w="1211" w:type="pct"/>
                <w:tcBorders>
                  <w:top w:val="nil"/>
                  <w:left w:val="nil"/>
                  <w:bottom w:val="nil"/>
                  <w:right w:val="nil"/>
                </w:tcBorders>
                <w:shd w:val="clear" w:color="auto" w:fill="auto"/>
                <w:noWrap/>
                <w:vAlign w:val="bottom"/>
                <w:hideMark/>
              </w:tcPr>
              <w:p w14:paraId="3CF593F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843" w:type="pct"/>
                <w:tcBorders>
                  <w:top w:val="nil"/>
                  <w:left w:val="nil"/>
                  <w:bottom w:val="nil"/>
                  <w:right w:val="nil"/>
                </w:tcBorders>
                <w:shd w:val="clear" w:color="auto" w:fill="auto"/>
                <w:noWrap/>
                <w:vAlign w:val="bottom"/>
                <w:hideMark/>
              </w:tcPr>
              <w:p w14:paraId="3439B3A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67" w:type="pct"/>
                <w:tcBorders>
                  <w:top w:val="nil"/>
                  <w:left w:val="nil"/>
                  <w:bottom w:val="nil"/>
                  <w:right w:val="nil"/>
                </w:tcBorders>
                <w:shd w:val="clear" w:color="auto" w:fill="auto"/>
                <w:noWrap/>
                <w:vAlign w:val="bottom"/>
                <w:hideMark/>
              </w:tcPr>
              <w:p w14:paraId="24AE20D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472E34F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52B2BA4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2DA1FC4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3A57331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F258AAF" w14:textId="77777777" w:rsidTr="00C444E6">
            <w:trPr>
              <w:trHeight w:val="288"/>
            </w:trPr>
            <w:tc>
              <w:tcPr>
                <w:tcW w:w="1211" w:type="pct"/>
                <w:tcBorders>
                  <w:top w:val="nil"/>
                  <w:left w:val="nil"/>
                  <w:bottom w:val="nil"/>
                  <w:right w:val="nil"/>
                </w:tcBorders>
                <w:shd w:val="clear" w:color="auto" w:fill="auto"/>
                <w:noWrap/>
                <w:vAlign w:val="bottom"/>
                <w:hideMark/>
              </w:tcPr>
              <w:p w14:paraId="38747A1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843" w:type="pct"/>
                <w:tcBorders>
                  <w:top w:val="nil"/>
                  <w:left w:val="nil"/>
                  <w:bottom w:val="nil"/>
                  <w:right w:val="nil"/>
                </w:tcBorders>
                <w:shd w:val="clear" w:color="auto" w:fill="auto"/>
                <w:noWrap/>
                <w:vAlign w:val="bottom"/>
                <w:hideMark/>
              </w:tcPr>
              <w:p w14:paraId="677D073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67" w:type="pct"/>
                <w:tcBorders>
                  <w:top w:val="nil"/>
                  <w:left w:val="nil"/>
                  <w:bottom w:val="nil"/>
                  <w:right w:val="nil"/>
                </w:tcBorders>
                <w:shd w:val="clear" w:color="auto" w:fill="auto"/>
                <w:noWrap/>
                <w:vAlign w:val="bottom"/>
                <w:hideMark/>
              </w:tcPr>
              <w:p w14:paraId="428BC08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066596D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02589ED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1CD30ED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95" w:type="pct"/>
                <w:tcBorders>
                  <w:top w:val="nil"/>
                  <w:left w:val="nil"/>
                  <w:bottom w:val="nil"/>
                  <w:right w:val="nil"/>
                </w:tcBorders>
                <w:shd w:val="clear" w:color="auto" w:fill="auto"/>
                <w:noWrap/>
                <w:vAlign w:val="bottom"/>
                <w:hideMark/>
              </w:tcPr>
              <w:p w14:paraId="67ED8C2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179EEDB" w14:textId="77777777" w:rsidTr="00C444E6">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4613FE"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C</w:t>
                </w:r>
              </w:p>
            </w:tc>
          </w:tr>
          <w:tr w:rsidR="00C444E6" w:rsidRPr="00C444E6" w14:paraId="023D1D68"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1DCD43DE"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Particulars</w:t>
                </w:r>
              </w:p>
            </w:tc>
            <w:tc>
              <w:tcPr>
                <w:tcW w:w="1843" w:type="pct"/>
                <w:tcBorders>
                  <w:top w:val="nil"/>
                  <w:left w:val="nil"/>
                  <w:bottom w:val="single" w:sz="4" w:space="0" w:color="auto"/>
                  <w:right w:val="single" w:sz="4" w:space="0" w:color="auto"/>
                </w:tcBorders>
                <w:shd w:val="clear" w:color="auto" w:fill="auto"/>
                <w:noWrap/>
                <w:vAlign w:val="bottom"/>
                <w:hideMark/>
              </w:tcPr>
              <w:p w14:paraId="66B15C3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367" w:type="pct"/>
                <w:tcBorders>
                  <w:top w:val="nil"/>
                  <w:left w:val="nil"/>
                  <w:bottom w:val="single" w:sz="4" w:space="0" w:color="auto"/>
                  <w:right w:val="single" w:sz="4" w:space="0" w:color="auto"/>
                </w:tcBorders>
                <w:shd w:val="clear" w:color="auto" w:fill="auto"/>
                <w:noWrap/>
                <w:vAlign w:val="bottom"/>
                <w:hideMark/>
              </w:tcPr>
              <w:p w14:paraId="3D2C59A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0 £’000</w:t>
                </w:r>
              </w:p>
            </w:tc>
            <w:tc>
              <w:tcPr>
                <w:tcW w:w="395" w:type="pct"/>
                <w:tcBorders>
                  <w:top w:val="nil"/>
                  <w:left w:val="nil"/>
                  <w:bottom w:val="single" w:sz="4" w:space="0" w:color="auto"/>
                  <w:right w:val="single" w:sz="4" w:space="0" w:color="auto"/>
                </w:tcBorders>
                <w:shd w:val="clear" w:color="auto" w:fill="auto"/>
                <w:noWrap/>
                <w:vAlign w:val="bottom"/>
                <w:hideMark/>
              </w:tcPr>
              <w:p w14:paraId="6978AFDD"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1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55FF9AB5"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2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49DF0166"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3  £</w:t>
                </w:r>
                <w:proofErr w:type="gramEnd"/>
                <w:r w:rsidRPr="00C444E6">
                  <w:rPr>
                    <w:rFonts w:ascii="Times New Roman" w:eastAsia="Times New Roman" w:hAnsi="Times New Roman" w:cs="Times New Roman"/>
                    <w:b/>
                    <w:bCs/>
                    <w:color w:val="000000"/>
                    <w:sz w:val="24"/>
                    <w:szCs w:val="24"/>
                    <w:lang w:val="en-IN" w:eastAsia="en-IN"/>
                  </w:rPr>
                  <w:t>’000</w:t>
                </w:r>
              </w:p>
            </w:tc>
            <w:tc>
              <w:tcPr>
                <w:tcW w:w="395" w:type="pct"/>
                <w:tcBorders>
                  <w:top w:val="nil"/>
                  <w:left w:val="nil"/>
                  <w:bottom w:val="single" w:sz="4" w:space="0" w:color="auto"/>
                  <w:right w:val="single" w:sz="4" w:space="0" w:color="auto"/>
                </w:tcBorders>
                <w:shd w:val="clear" w:color="auto" w:fill="auto"/>
                <w:noWrap/>
                <w:vAlign w:val="bottom"/>
                <w:hideMark/>
              </w:tcPr>
              <w:p w14:paraId="0B457243"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C444E6">
                  <w:rPr>
                    <w:rFonts w:ascii="Times New Roman" w:eastAsia="Times New Roman" w:hAnsi="Times New Roman" w:cs="Times New Roman"/>
                    <w:b/>
                    <w:bCs/>
                    <w:color w:val="000000"/>
                    <w:sz w:val="24"/>
                    <w:szCs w:val="24"/>
                    <w:lang w:val="en-IN" w:eastAsia="en-IN"/>
                  </w:rPr>
                  <w:t>4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65A04A31"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7D9DC09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Initial Investment</w:t>
                </w:r>
              </w:p>
            </w:tc>
            <w:tc>
              <w:tcPr>
                <w:tcW w:w="1843" w:type="pct"/>
                <w:tcBorders>
                  <w:top w:val="nil"/>
                  <w:left w:val="nil"/>
                  <w:bottom w:val="single" w:sz="4" w:space="0" w:color="auto"/>
                  <w:right w:val="single" w:sz="4" w:space="0" w:color="auto"/>
                </w:tcBorders>
                <w:shd w:val="clear" w:color="auto" w:fill="auto"/>
                <w:noWrap/>
                <w:vAlign w:val="bottom"/>
                <w:hideMark/>
              </w:tcPr>
              <w:p w14:paraId="27F19E2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7B4DD59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1700</w:t>
                </w:r>
              </w:p>
            </w:tc>
            <w:tc>
              <w:tcPr>
                <w:tcW w:w="395" w:type="pct"/>
                <w:tcBorders>
                  <w:top w:val="nil"/>
                  <w:left w:val="nil"/>
                  <w:bottom w:val="single" w:sz="4" w:space="0" w:color="auto"/>
                  <w:right w:val="single" w:sz="4" w:space="0" w:color="auto"/>
                </w:tcBorders>
                <w:shd w:val="clear" w:color="auto" w:fill="auto"/>
                <w:noWrap/>
                <w:vAlign w:val="bottom"/>
                <w:hideMark/>
              </w:tcPr>
              <w:p w14:paraId="74074F3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57765FD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7346E4B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01C109C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r>
          <w:tr w:rsidR="00C444E6" w:rsidRPr="00C444E6" w14:paraId="27EB94BD"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514B172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w:t>
                </w:r>
              </w:p>
            </w:tc>
            <w:tc>
              <w:tcPr>
                <w:tcW w:w="1843" w:type="pct"/>
                <w:tcBorders>
                  <w:top w:val="nil"/>
                  <w:left w:val="nil"/>
                  <w:bottom w:val="single" w:sz="4" w:space="0" w:color="auto"/>
                  <w:right w:val="single" w:sz="4" w:space="0" w:color="auto"/>
                </w:tcBorders>
                <w:shd w:val="clear" w:color="auto" w:fill="auto"/>
                <w:noWrap/>
                <w:vAlign w:val="bottom"/>
                <w:hideMark/>
              </w:tcPr>
              <w:p w14:paraId="48C47D2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3502F5C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4D9C73C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500</w:t>
                </w:r>
              </w:p>
            </w:tc>
            <w:tc>
              <w:tcPr>
                <w:tcW w:w="395" w:type="pct"/>
                <w:tcBorders>
                  <w:top w:val="nil"/>
                  <w:left w:val="nil"/>
                  <w:bottom w:val="single" w:sz="4" w:space="0" w:color="auto"/>
                  <w:right w:val="single" w:sz="4" w:space="0" w:color="auto"/>
                </w:tcBorders>
                <w:shd w:val="clear" w:color="auto" w:fill="auto"/>
                <w:noWrap/>
                <w:vAlign w:val="bottom"/>
                <w:hideMark/>
              </w:tcPr>
              <w:p w14:paraId="06120C2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800</w:t>
                </w:r>
              </w:p>
            </w:tc>
            <w:tc>
              <w:tcPr>
                <w:tcW w:w="395" w:type="pct"/>
                <w:tcBorders>
                  <w:top w:val="nil"/>
                  <w:left w:val="nil"/>
                  <w:bottom w:val="single" w:sz="4" w:space="0" w:color="auto"/>
                  <w:right w:val="single" w:sz="4" w:space="0" w:color="auto"/>
                </w:tcBorders>
                <w:shd w:val="clear" w:color="auto" w:fill="auto"/>
                <w:noWrap/>
                <w:vAlign w:val="bottom"/>
                <w:hideMark/>
              </w:tcPr>
              <w:p w14:paraId="7D6A22B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1050</w:t>
                </w:r>
              </w:p>
            </w:tc>
            <w:tc>
              <w:tcPr>
                <w:tcW w:w="395" w:type="pct"/>
                <w:tcBorders>
                  <w:top w:val="nil"/>
                  <w:left w:val="nil"/>
                  <w:bottom w:val="single" w:sz="4" w:space="0" w:color="auto"/>
                  <w:right w:val="single" w:sz="4" w:space="0" w:color="auto"/>
                </w:tcBorders>
                <w:shd w:val="clear" w:color="auto" w:fill="auto"/>
                <w:noWrap/>
                <w:vAlign w:val="bottom"/>
                <w:hideMark/>
              </w:tcPr>
              <w:p w14:paraId="6BC2B6C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1200</w:t>
                </w:r>
              </w:p>
            </w:tc>
          </w:tr>
          <w:tr w:rsidR="00C444E6" w:rsidRPr="00C444E6" w14:paraId="65CE917E"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13B5EE6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Capital Allowance @20%</w:t>
                </w:r>
              </w:p>
            </w:tc>
            <w:tc>
              <w:tcPr>
                <w:tcW w:w="1843" w:type="pct"/>
                <w:tcBorders>
                  <w:top w:val="nil"/>
                  <w:left w:val="nil"/>
                  <w:bottom w:val="single" w:sz="4" w:space="0" w:color="auto"/>
                  <w:right w:val="single" w:sz="4" w:space="0" w:color="auto"/>
                </w:tcBorders>
                <w:shd w:val="clear" w:color="auto" w:fill="auto"/>
                <w:noWrap/>
                <w:vAlign w:val="bottom"/>
                <w:hideMark/>
              </w:tcPr>
              <w:p w14:paraId="4587B3C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67" w:type="pct"/>
                <w:tcBorders>
                  <w:top w:val="nil"/>
                  <w:left w:val="nil"/>
                  <w:bottom w:val="single" w:sz="4" w:space="0" w:color="auto"/>
                  <w:right w:val="single" w:sz="4" w:space="0" w:color="auto"/>
                </w:tcBorders>
                <w:shd w:val="clear" w:color="auto" w:fill="auto"/>
                <w:noWrap/>
                <w:vAlign w:val="bottom"/>
                <w:hideMark/>
              </w:tcPr>
              <w:p w14:paraId="02094C7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39C6286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340</w:t>
                </w:r>
              </w:p>
            </w:tc>
            <w:tc>
              <w:tcPr>
                <w:tcW w:w="395" w:type="pct"/>
                <w:tcBorders>
                  <w:top w:val="nil"/>
                  <w:left w:val="nil"/>
                  <w:bottom w:val="single" w:sz="4" w:space="0" w:color="auto"/>
                  <w:right w:val="single" w:sz="4" w:space="0" w:color="auto"/>
                </w:tcBorders>
                <w:shd w:val="clear" w:color="auto" w:fill="auto"/>
                <w:noWrap/>
                <w:vAlign w:val="bottom"/>
                <w:hideMark/>
              </w:tcPr>
              <w:p w14:paraId="020998D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340</w:t>
                </w:r>
              </w:p>
            </w:tc>
            <w:tc>
              <w:tcPr>
                <w:tcW w:w="395" w:type="pct"/>
                <w:tcBorders>
                  <w:top w:val="nil"/>
                  <w:left w:val="nil"/>
                  <w:bottom w:val="single" w:sz="4" w:space="0" w:color="auto"/>
                  <w:right w:val="single" w:sz="4" w:space="0" w:color="auto"/>
                </w:tcBorders>
                <w:shd w:val="clear" w:color="auto" w:fill="auto"/>
                <w:noWrap/>
                <w:vAlign w:val="bottom"/>
                <w:hideMark/>
              </w:tcPr>
              <w:p w14:paraId="453A612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340</w:t>
                </w:r>
              </w:p>
            </w:tc>
            <w:tc>
              <w:tcPr>
                <w:tcW w:w="395" w:type="pct"/>
                <w:tcBorders>
                  <w:top w:val="nil"/>
                  <w:left w:val="nil"/>
                  <w:bottom w:val="single" w:sz="4" w:space="0" w:color="auto"/>
                  <w:right w:val="single" w:sz="4" w:space="0" w:color="auto"/>
                </w:tcBorders>
                <w:shd w:val="clear" w:color="auto" w:fill="auto"/>
                <w:noWrap/>
                <w:vAlign w:val="bottom"/>
                <w:hideMark/>
              </w:tcPr>
              <w:p w14:paraId="6BACF8B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340</w:t>
                </w:r>
              </w:p>
            </w:tc>
          </w:tr>
          <w:tr w:rsidR="00C444E6" w:rsidRPr="00C444E6" w14:paraId="62E3B7C2"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40B0894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Taxable Cash Flow </w:t>
                </w:r>
              </w:p>
            </w:tc>
            <w:tc>
              <w:tcPr>
                <w:tcW w:w="1843" w:type="pct"/>
                <w:tcBorders>
                  <w:top w:val="nil"/>
                  <w:left w:val="nil"/>
                  <w:bottom w:val="single" w:sz="4" w:space="0" w:color="auto"/>
                  <w:right w:val="single" w:sz="4" w:space="0" w:color="auto"/>
                </w:tcBorders>
                <w:shd w:val="clear" w:color="auto" w:fill="auto"/>
                <w:noWrap/>
                <w:vAlign w:val="bottom"/>
                <w:hideMark/>
              </w:tcPr>
              <w:p w14:paraId="4F8F685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 Capital Allowance</w:t>
                </w:r>
              </w:p>
            </w:tc>
            <w:tc>
              <w:tcPr>
                <w:tcW w:w="367" w:type="pct"/>
                <w:tcBorders>
                  <w:top w:val="nil"/>
                  <w:left w:val="nil"/>
                  <w:bottom w:val="single" w:sz="4" w:space="0" w:color="auto"/>
                  <w:right w:val="single" w:sz="4" w:space="0" w:color="auto"/>
                </w:tcBorders>
                <w:shd w:val="clear" w:color="auto" w:fill="auto"/>
                <w:noWrap/>
                <w:vAlign w:val="bottom"/>
                <w:hideMark/>
              </w:tcPr>
              <w:p w14:paraId="4BA1F17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1EB9871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160</w:t>
                </w:r>
              </w:p>
            </w:tc>
            <w:tc>
              <w:tcPr>
                <w:tcW w:w="395" w:type="pct"/>
                <w:tcBorders>
                  <w:top w:val="nil"/>
                  <w:left w:val="nil"/>
                  <w:bottom w:val="single" w:sz="4" w:space="0" w:color="auto"/>
                  <w:right w:val="single" w:sz="4" w:space="0" w:color="auto"/>
                </w:tcBorders>
                <w:shd w:val="clear" w:color="auto" w:fill="auto"/>
                <w:noWrap/>
                <w:vAlign w:val="bottom"/>
                <w:hideMark/>
              </w:tcPr>
              <w:p w14:paraId="4E7FAEC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460</w:t>
                </w:r>
              </w:p>
            </w:tc>
            <w:tc>
              <w:tcPr>
                <w:tcW w:w="395" w:type="pct"/>
                <w:tcBorders>
                  <w:top w:val="nil"/>
                  <w:left w:val="nil"/>
                  <w:bottom w:val="single" w:sz="4" w:space="0" w:color="auto"/>
                  <w:right w:val="single" w:sz="4" w:space="0" w:color="auto"/>
                </w:tcBorders>
                <w:shd w:val="clear" w:color="auto" w:fill="auto"/>
                <w:noWrap/>
                <w:vAlign w:val="bottom"/>
                <w:hideMark/>
              </w:tcPr>
              <w:p w14:paraId="13600D9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710</w:t>
                </w:r>
              </w:p>
            </w:tc>
            <w:tc>
              <w:tcPr>
                <w:tcW w:w="395" w:type="pct"/>
                <w:tcBorders>
                  <w:top w:val="nil"/>
                  <w:left w:val="nil"/>
                  <w:bottom w:val="single" w:sz="4" w:space="0" w:color="auto"/>
                  <w:right w:val="single" w:sz="4" w:space="0" w:color="auto"/>
                </w:tcBorders>
                <w:shd w:val="clear" w:color="auto" w:fill="auto"/>
                <w:noWrap/>
                <w:vAlign w:val="bottom"/>
                <w:hideMark/>
              </w:tcPr>
              <w:p w14:paraId="66F512E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860</w:t>
                </w:r>
              </w:p>
            </w:tc>
          </w:tr>
          <w:tr w:rsidR="00C444E6" w:rsidRPr="00C444E6" w14:paraId="761A19ED"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550D670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 Liability @25%</w:t>
                </w:r>
              </w:p>
            </w:tc>
            <w:tc>
              <w:tcPr>
                <w:tcW w:w="1843" w:type="pct"/>
                <w:tcBorders>
                  <w:top w:val="nil"/>
                  <w:left w:val="nil"/>
                  <w:bottom w:val="single" w:sz="4" w:space="0" w:color="auto"/>
                  <w:right w:val="single" w:sz="4" w:space="0" w:color="auto"/>
                </w:tcBorders>
                <w:shd w:val="clear" w:color="auto" w:fill="auto"/>
                <w:noWrap/>
                <w:vAlign w:val="bottom"/>
                <w:hideMark/>
              </w:tcPr>
              <w:p w14:paraId="7E35E09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Taxable Cash flow*25%</w:t>
                </w:r>
              </w:p>
            </w:tc>
            <w:tc>
              <w:tcPr>
                <w:tcW w:w="367" w:type="pct"/>
                <w:tcBorders>
                  <w:top w:val="nil"/>
                  <w:left w:val="nil"/>
                  <w:bottom w:val="single" w:sz="4" w:space="0" w:color="auto"/>
                  <w:right w:val="single" w:sz="4" w:space="0" w:color="auto"/>
                </w:tcBorders>
                <w:shd w:val="clear" w:color="auto" w:fill="auto"/>
                <w:noWrap/>
                <w:vAlign w:val="bottom"/>
                <w:hideMark/>
              </w:tcPr>
              <w:p w14:paraId="73F6D0E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5EB9477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40</w:t>
                </w:r>
              </w:p>
            </w:tc>
            <w:tc>
              <w:tcPr>
                <w:tcW w:w="395" w:type="pct"/>
                <w:tcBorders>
                  <w:top w:val="nil"/>
                  <w:left w:val="nil"/>
                  <w:bottom w:val="single" w:sz="4" w:space="0" w:color="auto"/>
                  <w:right w:val="single" w:sz="4" w:space="0" w:color="auto"/>
                </w:tcBorders>
                <w:shd w:val="clear" w:color="auto" w:fill="auto"/>
                <w:noWrap/>
                <w:vAlign w:val="bottom"/>
                <w:hideMark/>
              </w:tcPr>
              <w:p w14:paraId="04F6C14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115</w:t>
                </w:r>
              </w:p>
            </w:tc>
            <w:tc>
              <w:tcPr>
                <w:tcW w:w="395" w:type="pct"/>
                <w:tcBorders>
                  <w:top w:val="nil"/>
                  <w:left w:val="nil"/>
                  <w:bottom w:val="single" w:sz="4" w:space="0" w:color="auto"/>
                  <w:right w:val="single" w:sz="4" w:space="0" w:color="auto"/>
                </w:tcBorders>
                <w:shd w:val="clear" w:color="auto" w:fill="auto"/>
                <w:noWrap/>
                <w:vAlign w:val="bottom"/>
                <w:hideMark/>
              </w:tcPr>
              <w:p w14:paraId="0962552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178</w:t>
                </w:r>
              </w:p>
            </w:tc>
            <w:tc>
              <w:tcPr>
                <w:tcW w:w="395" w:type="pct"/>
                <w:tcBorders>
                  <w:top w:val="nil"/>
                  <w:left w:val="nil"/>
                  <w:bottom w:val="single" w:sz="4" w:space="0" w:color="auto"/>
                  <w:right w:val="single" w:sz="4" w:space="0" w:color="auto"/>
                </w:tcBorders>
                <w:shd w:val="clear" w:color="auto" w:fill="auto"/>
                <w:noWrap/>
                <w:vAlign w:val="bottom"/>
                <w:hideMark/>
              </w:tcPr>
              <w:p w14:paraId="1C68A8A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215</w:t>
                </w:r>
              </w:p>
            </w:tc>
          </w:tr>
          <w:tr w:rsidR="00C444E6" w:rsidRPr="00C444E6" w14:paraId="738171A7"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6261997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Cash Flow after tax</w:t>
                </w:r>
              </w:p>
            </w:tc>
            <w:tc>
              <w:tcPr>
                <w:tcW w:w="1843" w:type="pct"/>
                <w:tcBorders>
                  <w:top w:val="nil"/>
                  <w:left w:val="nil"/>
                  <w:bottom w:val="single" w:sz="4" w:space="0" w:color="auto"/>
                  <w:right w:val="single" w:sz="4" w:space="0" w:color="auto"/>
                </w:tcBorders>
                <w:shd w:val="clear" w:color="auto" w:fill="auto"/>
                <w:noWrap/>
                <w:vAlign w:val="bottom"/>
                <w:hideMark/>
              </w:tcPr>
              <w:p w14:paraId="5548B07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Taxable cash flow-Tax liability</w:t>
                </w:r>
              </w:p>
            </w:tc>
            <w:tc>
              <w:tcPr>
                <w:tcW w:w="367" w:type="pct"/>
                <w:tcBorders>
                  <w:top w:val="nil"/>
                  <w:left w:val="nil"/>
                  <w:bottom w:val="single" w:sz="4" w:space="0" w:color="auto"/>
                  <w:right w:val="single" w:sz="4" w:space="0" w:color="auto"/>
                </w:tcBorders>
                <w:shd w:val="clear" w:color="auto" w:fill="auto"/>
                <w:noWrap/>
                <w:vAlign w:val="bottom"/>
                <w:hideMark/>
              </w:tcPr>
              <w:p w14:paraId="60A676F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6D2F6C6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120</w:t>
                </w:r>
              </w:p>
            </w:tc>
            <w:tc>
              <w:tcPr>
                <w:tcW w:w="395" w:type="pct"/>
                <w:tcBorders>
                  <w:top w:val="nil"/>
                  <w:left w:val="nil"/>
                  <w:bottom w:val="single" w:sz="4" w:space="0" w:color="auto"/>
                  <w:right w:val="single" w:sz="4" w:space="0" w:color="auto"/>
                </w:tcBorders>
                <w:shd w:val="clear" w:color="auto" w:fill="auto"/>
                <w:noWrap/>
                <w:vAlign w:val="bottom"/>
                <w:hideMark/>
              </w:tcPr>
              <w:p w14:paraId="4F5E708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345</w:t>
                </w:r>
              </w:p>
            </w:tc>
            <w:tc>
              <w:tcPr>
                <w:tcW w:w="395" w:type="pct"/>
                <w:tcBorders>
                  <w:top w:val="nil"/>
                  <w:left w:val="nil"/>
                  <w:bottom w:val="single" w:sz="4" w:space="0" w:color="auto"/>
                  <w:right w:val="single" w:sz="4" w:space="0" w:color="auto"/>
                </w:tcBorders>
                <w:shd w:val="clear" w:color="auto" w:fill="auto"/>
                <w:noWrap/>
                <w:vAlign w:val="bottom"/>
                <w:hideMark/>
              </w:tcPr>
              <w:p w14:paraId="750ECA9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532</w:t>
                </w:r>
              </w:p>
            </w:tc>
            <w:tc>
              <w:tcPr>
                <w:tcW w:w="395" w:type="pct"/>
                <w:tcBorders>
                  <w:top w:val="nil"/>
                  <w:left w:val="nil"/>
                  <w:bottom w:val="single" w:sz="4" w:space="0" w:color="auto"/>
                  <w:right w:val="single" w:sz="4" w:space="0" w:color="auto"/>
                </w:tcBorders>
                <w:shd w:val="clear" w:color="auto" w:fill="auto"/>
                <w:noWrap/>
                <w:vAlign w:val="bottom"/>
                <w:hideMark/>
              </w:tcPr>
              <w:p w14:paraId="538013B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645</w:t>
                </w:r>
              </w:p>
            </w:tc>
          </w:tr>
          <w:tr w:rsidR="00C444E6" w:rsidRPr="00C444E6" w14:paraId="046FED21" w14:textId="77777777" w:rsidTr="00C444E6">
            <w:trPr>
              <w:trHeight w:val="312"/>
            </w:trPr>
            <w:tc>
              <w:tcPr>
                <w:tcW w:w="1211" w:type="pct"/>
                <w:tcBorders>
                  <w:top w:val="nil"/>
                  <w:left w:val="single" w:sz="4" w:space="0" w:color="auto"/>
                  <w:bottom w:val="single" w:sz="4" w:space="0" w:color="auto"/>
                  <w:right w:val="single" w:sz="4" w:space="0" w:color="auto"/>
                </w:tcBorders>
                <w:shd w:val="clear" w:color="auto" w:fill="auto"/>
                <w:noWrap/>
                <w:vAlign w:val="bottom"/>
                <w:hideMark/>
              </w:tcPr>
              <w:p w14:paraId="47F1FE8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Cash flow</w:t>
                </w:r>
              </w:p>
            </w:tc>
            <w:tc>
              <w:tcPr>
                <w:tcW w:w="1843" w:type="pct"/>
                <w:tcBorders>
                  <w:top w:val="nil"/>
                  <w:left w:val="nil"/>
                  <w:bottom w:val="single" w:sz="4" w:space="0" w:color="auto"/>
                  <w:right w:val="single" w:sz="4" w:space="0" w:color="auto"/>
                </w:tcBorders>
                <w:shd w:val="clear" w:color="auto" w:fill="auto"/>
                <w:noWrap/>
                <w:vAlign w:val="bottom"/>
                <w:hideMark/>
              </w:tcPr>
              <w:p w14:paraId="29BDE8B1"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xml:space="preserve">Cash flow after </w:t>
                </w:r>
                <w:proofErr w:type="spellStart"/>
                <w:r w:rsidRPr="00C444E6">
                  <w:rPr>
                    <w:rFonts w:ascii="Times New Roman" w:eastAsia="Times New Roman" w:hAnsi="Times New Roman" w:cs="Times New Roman"/>
                    <w:color w:val="000000"/>
                    <w:sz w:val="24"/>
                    <w:szCs w:val="24"/>
                    <w:lang w:val="en-IN" w:eastAsia="en-IN"/>
                  </w:rPr>
                  <w:t>Tax+Capital</w:t>
                </w:r>
                <w:proofErr w:type="spellEnd"/>
                <w:r w:rsidRPr="00C444E6">
                  <w:rPr>
                    <w:rFonts w:ascii="Times New Roman" w:eastAsia="Times New Roman" w:hAnsi="Times New Roman" w:cs="Times New Roman"/>
                    <w:color w:val="000000"/>
                    <w:sz w:val="24"/>
                    <w:szCs w:val="24"/>
                    <w:lang w:val="en-IN" w:eastAsia="en-IN"/>
                  </w:rPr>
                  <w:t xml:space="preserve"> Allowance</w:t>
                </w:r>
              </w:p>
            </w:tc>
            <w:tc>
              <w:tcPr>
                <w:tcW w:w="367" w:type="pct"/>
                <w:tcBorders>
                  <w:top w:val="nil"/>
                  <w:left w:val="nil"/>
                  <w:bottom w:val="single" w:sz="4" w:space="0" w:color="auto"/>
                  <w:right w:val="single" w:sz="4" w:space="0" w:color="auto"/>
                </w:tcBorders>
                <w:shd w:val="clear" w:color="auto" w:fill="auto"/>
                <w:noWrap/>
                <w:vAlign w:val="bottom"/>
                <w:hideMark/>
              </w:tcPr>
              <w:p w14:paraId="7594A6D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395" w:type="pct"/>
                <w:tcBorders>
                  <w:top w:val="nil"/>
                  <w:left w:val="nil"/>
                  <w:bottom w:val="single" w:sz="4" w:space="0" w:color="auto"/>
                  <w:right w:val="single" w:sz="4" w:space="0" w:color="auto"/>
                </w:tcBorders>
                <w:shd w:val="clear" w:color="auto" w:fill="auto"/>
                <w:noWrap/>
                <w:vAlign w:val="bottom"/>
                <w:hideMark/>
              </w:tcPr>
              <w:p w14:paraId="62D260F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460</w:t>
                </w:r>
              </w:p>
            </w:tc>
            <w:tc>
              <w:tcPr>
                <w:tcW w:w="395" w:type="pct"/>
                <w:tcBorders>
                  <w:top w:val="nil"/>
                  <w:left w:val="nil"/>
                  <w:bottom w:val="single" w:sz="4" w:space="0" w:color="auto"/>
                  <w:right w:val="single" w:sz="4" w:space="0" w:color="auto"/>
                </w:tcBorders>
                <w:shd w:val="clear" w:color="auto" w:fill="auto"/>
                <w:noWrap/>
                <w:vAlign w:val="bottom"/>
                <w:hideMark/>
              </w:tcPr>
              <w:p w14:paraId="3BDE1D1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685</w:t>
                </w:r>
              </w:p>
            </w:tc>
            <w:tc>
              <w:tcPr>
                <w:tcW w:w="395" w:type="pct"/>
                <w:tcBorders>
                  <w:top w:val="nil"/>
                  <w:left w:val="nil"/>
                  <w:bottom w:val="single" w:sz="4" w:space="0" w:color="auto"/>
                  <w:right w:val="single" w:sz="4" w:space="0" w:color="auto"/>
                </w:tcBorders>
                <w:shd w:val="clear" w:color="auto" w:fill="auto"/>
                <w:noWrap/>
                <w:vAlign w:val="bottom"/>
                <w:hideMark/>
              </w:tcPr>
              <w:p w14:paraId="530E30B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872</w:t>
                </w:r>
              </w:p>
            </w:tc>
            <w:tc>
              <w:tcPr>
                <w:tcW w:w="395" w:type="pct"/>
                <w:tcBorders>
                  <w:top w:val="nil"/>
                  <w:left w:val="nil"/>
                  <w:bottom w:val="single" w:sz="4" w:space="0" w:color="auto"/>
                  <w:right w:val="single" w:sz="4" w:space="0" w:color="auto"/>
                </w:tcBorders>
                <w:shd w:val="clear" w:color="auto" w:fill="auto"/>
                <w:noWrap/>
                <w:vAlign w:val="bottom"/>
                <w:hideMark/>
              </w:tcPr>
              <w:p w14:paraId="62702CB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985</w:t>
                </w:r>
              </w:p>
            </w:tc>
          </w:tr>
        </w:tbl>
        <w:p w14:paraId="58ADEC11" w14:textId="77777777" w:rsidR="00C444E6" w:rsidRPr="00C444E6" w:rsidRDefault="00C444E6" w:rsidP="00C444E6"/>
        <w:p w14:paraId="28089C27" w14:textId="6C8E60D3" w:rsidR="00C444E6" w:rsidRDefault="00C444E6" w:rsidP="00C444E6">
          <w:pPr>
            <w:pStyle w:val="Heading2"/>
            <w:rPr>
              <w:rFonts w:ascii="Times New Roman" w:hAnsi="Times New Roman" w:cs="Times New Roman"/>
              <w:color w:val="000000" w:themeColor="text1"/>
              <w:sz w:val="24"/>
              <w:szCs w:val="24"/>
              <w:u w:val="single"/>
            </w:rPr>
          </w:pPr>
          <w:bookmarkStart w:id="80" w:name="_Toc186239371"/>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7 NPV</w:t>
          </w:r>
          <w:bookmarkEnd w:id="80"/>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2281"/>
            <w:gridCol w:w="1931"/>
            <w:gridCol w:w="2604"/>
            <w:gridCol w:w="2200"/>
          </w:tblGrid>
          <w:tr w:rsidR="00C444E6" w:rsidRPr="00C444E6" w14:paraId="4C1BBB82" w14:textId="77777777" w:rsidTr="00C444E6">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FC9638"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A</w:t>
                </w:r>
              </w:p>
            </w:tc>
          </w:tr>
          <w:tr w:rsidR="00C444E6" w:rsidRPr="00C444E6" w14:paraId="7C956D5C"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5EF549E9"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Year</w:t>
                </w:r>
              </w:p>
            </w:tc>
            <w:tc>
              <w:tcPr>
                <w:tcW w:w="1055" w:type="pct"/>
                <w:tcBorders>
                  <w:top w:val="nil"/>
                  <w:left w:val="nil"/>
                  <w:bottom w:val="single" w:sz="4" w:space="0" w:color="auto"/>
                  <w:right w:val="single" w:sz="4" w:space="0" w:color="auto"/>
                </w:tcBorders>
                <w:shd w:val="clear" w:color="auto" w:fill="auto"/>
                <w:noWrap/>
                <w:vAlign w:val="bottom"/>
                <w:hideMark/>
              </w:tcPr>
              <w:p w14:paraId="032147C4"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Cash Flow   £’000</w:t>
                </w:r>
              </w:p>
            </w:tc>
            <w:tc>
              <w:tcPr>
                <w:tcW w:w="1462" w:type="pct"/>
                <w:tcBorders>
                  <w:top w:val="nil"/>
                  <w:left w:val="nil"/>
                  <w:bottom w:val="single" w:sz="4" w:space="0" w:color="auto"/>
                  <w:right w:val="single" w:sz="4" w:space="0" w:color="auto"/>
                </w:tcBorders>
                <w:shd w:val="clear" w:color="auto" w:fill="auto"/>
                <w:noWrap/>
                <w:vAlign w:val="bottom"/>
                <w:hideMark/>
              </w:tcPr>
              <w:p w14:paraId="2ECACEB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@6%</w:t>
                </w:r>
              </w:p>
            </w:tc>
            <w:tc>
              <w:tcPr>
                <w:tcW w:w="1217" w:type="pct"/>
                <w:tcBorders>
                  <w:top w:val="nil"/>
                  <w:left w:val="nil"/>
                  <w:bottom w:val="single" w:sz="4" w:space="0" w:color="auto"/>
                  <w:right w:val="single" w:sz="4" w:space="0" w:color="auto"/>
                </w:tcBorders>
                <w:shd w:val="clear" w:color="auto" w:fill="auto"/>
                <w:noWrap/>
                <w:vAlign w:val="bottom"/>
                <w:hideMark/>
              </w:tcPr>
              <w:p w14:paraId="356847C0"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31AC828A"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0B914FB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w:t>
                </w:r>
              </w:p>
            </w:tc>
            <w:tc>
              <w:tcPr>
                <w:tcW w:w="1055" w:type="pct"/>
                <w:tcBorders>
                  <w:top w:val="nil"/>
                  <w:left w:val="nil"/>
                  <w:bottom w:val="single" w:sz="4" w:space="0" w:color="auto"/>
                  <w:right w:val="single" w:sz="4" w:space="0" w:color="auto"/>
                </w:tcBorders>
                <w:shd w:val="clear" w:color="auto" w:fill="auto"/>
                <w:noWrap/>
                <w:vAlign w:val="bottom"/>
                <w:hideMark/>
              </w:tcPr>
              <w:p w14:paraId="60AD067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-660</w:t>
                </w:r>
              </w:p>
            </w:tc>
            <w:tc>
              <w:tcPr>
                <w:tcW w:w="1462" w:type="pct"/>
                <w:tcBorders>
                  <w:top w:val="nil"/>
                  <w:left w:val="nil"/>
                  <w:bottom w:val="single" w:sz="4" w:space="0" w:color="auto"/>
                  <w:right w:val="single" w:sz="4" w:space="0" w:color="auto"/>
                </w:tcBorders>
                <w:shd w:val="clear" w:color="auto" w:fill="auto"/>
                <w:noWrap/>
                <w:vAlign w:val="bottom"/>
                <w:hideMark/>
              </w:tcPr>
              <w:p w14:paraId="68DDBFE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c>
              <w:tcPr>
                <w:tcW w:w="1217" w:type="pct"/>
                <w:tcBorders>
                  <w:top w:val="nil"/>
                  <w:left w:val="nil"/>
                  <w:bottom w:val="single" w:sz="4" w:space="0" w:color="auto"/>
                  <w:right w:val="single" w:sz="4" w:space="0" w:color="auto"/>
                </w:tcBorders>
                <w:shd w:val="clear" w:color="auto" w:fill="auto"/>
                <w:noWrap/>
                <w:vAlign w:val="bottom"/>
                <w:hideMark/>
              </w:tcPr>
              <w:p w14:paraId="1E189F8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-660</w:t>
                </w:r>
              </w:p>
            </w:tc>
          </w:tr>
          <w:tr w:rsidR="00C444E6" w:rsidRPr="00C444E6" w14:paraId="478A1ACC"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4218BE1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c>
              <w:tcPr>
                <w:tcW w:w="1055" w:type="pct"/>
                <w:tcBorders>
                  <w:top w:val="nil"/>
                  <w:left w:val="nil"/>
                  <w:bottom w:val="single" w:sz="4" w:space="0" w:color="auto"/>
                  <w:right w:val="single" w:sz="4" w:space="0" w:color="auto"/>
                </w:tcBorders>
                <w:shd w:val="clear" w:color="auto" w:fill="auto"/>
                <w:noWrap/>
                <w:vAlign w:val="bottom"/>
                <w:hideMark/>
              </w:tcPr>
              <w:p w14:paraId="4A40C5D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258</w:t>
                </w:r>
              </w:p>
            </w:tc>
            <w:tc>
              <w:tcPr>
                <w:tcW w:w="1462" w:type="pct"/>
                <w:tcBorders>
                  <w:top w:val="nil"/>
                  <w:left w:val="nil"/>
                  <w:bottom w:val="single" w:sz="4" w:space="0" w:color="auto"/>
                  <w:right w:val="single" w:sz="4" w:space="0" w:color="auto"/>
                </w:tcBorders>
                <w:shd w:val="clear" w:color="auto" w:fill="auto"/>
                <w:noWrap/>
                <w:vAlign w:val="bottom"/>
                <w:hideMark/>
              </w:tcPr>
              <w:p w14:paraId="31F32C1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0.943396226</w:t>
                </w:r>
              </w:p>
            </w:tc>
            <w:tc>
              <w:tcPr>
                <w:tcW w:w="1217" w:type="pct"/>
                <w:tcBorders>
                  <w:top w:val="nil"/>
                  <w:left w:val="nil"/>
                  <w:bottom w:val="single" w:sz="4" w:space="0" w:color="auto"/>
                  <w:right w:val="single" w:sz="4" w:space="0" w:color="auto"/>
                </w:tcBorders>
                <w:shd w:val="clear" w:color="auto" w:fill="auto"/>
                <w:noWrap/>
                <w:vAlign w:val="bottom"/>
                <w:hideMark/>
              </w:tcPr>
              <w:p w14:paraId="58EE42E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243</w:t>
                </w:r>
              </w:p>
            </w:tc>
          </w:tr>
          <w:tr w:rsidR="00C444E6" w:rsidRPr="00C444E6" w14:paraId="202E5A8A"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1832CD6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lastRenderedPageBreak/>
                  <w:t>2</w:t>
                </w:r>
              </w:p>
            </w:tc>
            <w:tc>
              <w:tcPr>
                <w:tcW w:w="1055" w:type="pct"/>
                <w:tcBorders>
                  <w:top w:val="nil"/>
                  <w:left w:val="nil"/>
                  <w:bottom w:val="single" w:sz="4" w:space="0" w:color="auto"/>
                  <w:right w:val="single" w:sz="4" w:space="0" w:color="auto"/>
                </w:tcBorders>
                <w:shd w:val="clear" w:color="auto" w:fill="auto"/>
                <w:noWrap/>
                <w:vAlign w:val="bottom"/>
                <w:hideMark/>
              </w:tcPr>
              <w:p w14:paraId="6FFE418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333</w:t>
                </w:r>
              </w:p>
            </w:tc>
            <w:tc>
              <w:tcPr>
                <w:tcW w:w="1462" w:type="pct"/>
                <w:tcBorders>
                  <w:top w:val="nil"/>
                  <w:left w:val="nil"/>
                  <w:bottom w:val="single" w:sz="4" w:space="0" w:color="auto"/>
                  <w:right w:val="single" w:sz="4" w:space="0" w:color="auto"/>
                </w:tcBorders>
                <w:shd w:val="clear" w:color="auto" w:fill="auto"/>
                <w:noWrap/>
                <w:vAlign w:val="bottom"/>
                <w:hideMark/>
              </w:tcPr>
              <w:p w14:paraId="0824CDD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0.88999644</w:t>
                </w:r>
              </w:p>
            </w:tc>
            <w:tc>
              <w:tcPr>
                <w:tcW w:w="1217" w:type="pct"/>
                <w:tcBorders>
                  <w:top w:val="nil"/>
                  <w:left w:val="nil"/>
                  <w:bottom w:val="single" w:sz="4" w:space="0" w:color="auto"/>
                  <w:right w:val="single" w:sz="4" w:space="0" w:color="auto"/>
                </w:tcBorders>
                <w:shd w:val="clear" w:color="auto" w:fill="auto"/>
                <w:noWrap/>
                <w:vAlign w:val="bottom"/>
                <w:hideMark/>
              </w:tcPr>
              <w:p w14:paraId="06F92C8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296</w:t>
                </w:r>
              </w:p>
            </w:tc>
          </w:tr>
          <w:tr w:rsidR="00C444E6" w:rsidRPr="00C444E6" w14:paraId="58AE7743"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2D5420A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w:t>
                </w:r>
              </w:p>
            </w:tc>
            <w:tc>
              <w:tcPr>
                <w:tcW w:w="1055" w:type="pct"/>
                <w:tcBorders>
                  <w:top w:val="nil"/>
                  <w:left w:val="nil"/>
                  <w:bottom w:val="single" w:sz="4" w:space="0" w:color="auto"/>
                  <w:right w:val="single" w:sz="4" w:space="0" w:color="auto"/>
                </w:tcBorders>
                <w:shd w:val="clear" w:color="auto" w:fill="auto"/>
                <w:noWrap/>
                <w:vAlign w:val="bottom"/>
                <w:hideMark/>
              </w:tcPr>
              <w:p w14:paraId="0F7542D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370</w:t>
                </w:r>
              </w:p>
            </w:tc>
            <w:tc>
              <w:tcPr>
                <w:tcW w:w="1462" w:type="pct"/>
                <w:tcBorders>
                  <w:top w:val="nil"/>
                  <w:left w:val="nil"/>
                  <w:bottom w:val="single" w:sz="4" w:space="0" w:color="auto"/>
                  <w:right w:val="single" w:sz="4" w:space="0" w:color="auto"/>
                </w:tcBorders>
                <w:shd w:val="clear" w:color="auto" w:fill="auto"/>
                <w:noWrap/>
                <w:vAlign w:val="bottom"/>
                <w:hideMark/>
              </w:tcPr>
              <w:p w14:paraId="2092175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0.839619283</w:t>
                </w:r>
              </w:p>
            </w:tc>
            <w:tc>
              <w:tcPr>
                <w:tcW w:w="1217" w:type="pct"/>
                <w:tcBorders>
                  <w:top w:val="nil"/>
                  <w:left w:val="nil"/>
                  <w:bottom w:val="single" w:sz="4" w:space="0" w:color="auto"/>
                  <w:right w:val="single" w:sz="4" w:space="0" w:color="auto"/>
                </w:tcBorders>
                <w:shd w:val="clear" w:color="auto" w:fill="auto"/>
                <w:noWrap/>
                <w:vAlign w:val="bottom"/>
                <w:hideMark/>
              </w:tcPr>
              <w:p w14:paraId="1F9600E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311</w:t>
                </w:r>
              </w:p>
            </w:tc>
          </w:tr>
          <w:tr w:rsidR="00C444E6" w:rsidRPr="00C444E6" w14:paraId="63E98291"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3822262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w:t>
                </w:r>
              </w:p>
            </w:tc>
            <w:tc>
              <w:tcPr>
                <w:tcW w:w="1055" w:type="pct"/>
                <w:tcBorders>
                  <w:top w:val="nil"/>
                  <w:left w:val="nil"/>
                  <w:bottom w:val="single" w:sz="4" w:space="0" w:color="auto"/>
                  <w:right w:val="single" w:sz="4" w:space="0" w:color="auto"/>
                </w:tcBorders>
                <w:shd w:val="clear" w:color="auto" w:fill="auto"/>
                <w:noWrap/>
                <w:vAlign w:val="bottom"/>
                <w:hideMark/>
              </w:tcPr>
              <w:p w14:paraId="111E4D5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408</w:t>
                </w:r>
              </w:p>
            </w:tc>
            <w:tc>
              <w:tcPr>
                <w:tcW w:w="1462" w:type="pct"/>
                <w:tcBorders>
                  <w:top w:val="nil"/>
                  <w:left w:val="nil"/>
                  <w:bottom w:val="single" w:sz="4" w:space="0" w:color="auto"/>
                  <w:right w:val="single" w:sz="4" w:space="0" w:color="auto"/>
                </w:tcBorders>
                <w:shd w:val="clear" w:color="auto" w:fill="auto"/>
                <w:noWrap/>
                <w:vAlign w:val="bottom"/>
                <w:hideMark/>
              </w:tcPr>
              <w:p w14:paraId="528A75D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0.792093663</w:t>
                </w:r>
              </w:p>
            </w:tc>
            <w:tc>
              <w:tcPr>
                <w:tcW w:w="1217" w:type="pct"/>
                <w:tcBorders>
                  <w:top w:val="nil"/>
                  <w:left w:val="nil"/>
                  <w:bottom w:val="single" w:sz="4" w:space="0" w:color="auto"/>
                  <w:right w:val="single" w:sz="4" w:space="0" w:color="auto"/>
                </w:tcBorders>
                <w:shd w:val="clear" w:color="auto" w:fill="auto"/>
                <w:noWrap/>
                <w:vAlign w:val="bottom"/>
                <w:hideMark/>
              </w:tcPr>
              <w:p w14:paraId="24D6EA5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323</w:t>
                </w:r>
              </w:p>
            </w:tc>
          </w:tr>
          <w:tr w:rsidR="00C444E6" w:rsidRPr="00C444E6" w14:paraId="57A10638"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1042E8E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Total</w:t>
                </w:r>
              </w:p>
            </w:tc>
            <w:tc>
              <w:tcPr>
                <w:tcW w:w="1055" w:type="pct"/>
                <w:tcBorders>
                  <w:top w:val="nil"/>
                  <w:left w:val="nil"/>
                  <w:bottom w:val="single" w:sz="4" w:space="0" w:color="auto"/>
                  <w:right w:val="single" w:sz="4" w:space="0" w:color="auto"/>
                </w:tcBorders>
                <w:shd w:val="clear" w:color="auto" w:fill="auto"/>
                <w:noWrap/>
                <w:vAlign w:val="bottom"/>
                <w:hideMark/>
              </w:tcPr>
              <w:p w14:paraId="71ED421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360DC00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488CABA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1174</w:t>
                </w:r>
              </w:p>
            </w:tc>
          </w:tr>
          <w:tr w:rsidR="00C444E6" w:rsidRPr="00C444E6" w14:paraId="395572A1"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57787E2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Less Initial Investment</w:t>
                </w:r>
              </w:p>
            </w:tc>
            <w:tc>
              <w:tcPr>
                <w:tcW w:w="1055" w:type="pct"/>
                <w:tcBorders>
                  <w:top w:val="nil"/>
                  <w:left w:val="nil"/>
                  <w:bottom w:val="single" w:sz="4" w:space="0" w:color="auto"/>
                  <w:right w:val="single" w:sz="4" w:space="0" w:color="auto"/>
                </w:tcBorders>
                <w:shd w:val="clear" w:color="auto" w:fill="auto"/>
                <w:noWrap/>
                <w:vAlign w:val="bottom"/>
                <w:hideMark/>
              </w:tcPr>
              <w:p w14:paraId="448CF9B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6F54768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1654412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-660</w:t>
                </w:r>
              </w:p>
            </w:tc>
          </w:tr>
          <w:tr w:rsidR="00C444E6" w:rsidRPr="00C444E6" w14:paraId="427BC1B9"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1E1B5A11"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Net Present Value</w:t>
                </w:r>
              </w:p>
            </w:tc>
            <w:tc>
              <w:tcPr>
                <w:tcW w:w="1055" w:type="pct"/>
                <w:tcBorders>
                  <w:top w:val="nil"/>
                  <w:left w:val="nil"/>
                  <w:bottom w:val="single" w:sz="4" w:space="0" w:color="auto"/>
                  <w:right w:val="single" w:sz="4" w:space="0" w:color="auto"/>
                </w:tcBorders>
                <w:shd w:val="clear" w:color="auto" w:fill="auto"/>
                <w:noWrap/>
                <w:vAlign w:val="bottom"/>
                <w:hideMark/>
              </w:tcPr>
              <w:p w14:paraId="1A5AEDE8"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2D65ABCF"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307CE577" w14:textId="77777777" w:rsidR="00C444E6" w:rsidRPr="00C444E6" w:rsidRDefault="00C444E6" w:rsidP="00C444E6">
                <w:pPr>
                  <w:spacing w:after="0" w:line="240" w:lineRule="auto"/>
                  <w:jc w:val="right"/>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514</w:t>
                </w:r>
              </w:p>
            </w:tc>
          </w:tr>
          <w:tr w:rsidR="00C444E6" w:rsidRPr="00C444E6" w14:paraId="370BC490" w14:textId="77777777" w:rsidTr="00C444E6">
            <w:trPr>
              <w:trHeight w:val="288"/>
            </w:trPr>
            <w:tc>
              <w:tcPr>
                <w:tcW w:w="1267" w:type="pct"/>
                <w:tcBorders>
                  <w:top w:val="nil"/>
                  <w:left w:val="nil"/>
                  <w:bottom w:val="nil"/>
                  <w:right w:val="nil"/>
                </w:tcBorders>
                <w:shd w:val="clear" w:color="auto" w:fill="auto"/>
                <w:noWrap/>
                <w:vAlign w:val="bottom"/>
                <w:hideMark/>
              </w:tcPr>
              <w:p w14:paraId="20C3B897" w14:textId="77777777" w:rsidR="00C444E6" w:rsidRPr="00C444E6" w:rsidRDefault="00C444E6" w:rsidP="00C444E6">
                <w:pPr>
                  <w:spacing w:after="0" w:line="240" w:lineRule="auto"/>
                  <w:jc w:val="right"/>
                  <w:rPr>
                    <w:rFonts w:ascii="Times New Roman" w:eastAsia="Times New Roman" w:hAnsi="Times New Roman" w:cs="Times New Roman"/>
                    <w:b/>
                    <w:bCs/>
                    <w:color w:val="000000"/>
                    <w:sz w:val="24"/>
                    <w:szCs w:val="24"/>
                    <w:lang w:val="en-IN" w:eastAsia="en-IN"/>
                  </w:rPr>
                </w:pPr>
              </w:p>
            </w:tc>
            <w:tc>
              <w:tcPr>
                <w:tcW w:w="1055" w:type="pct"/>
                <w:tcBorders>
                  <w:top w:val="nil"/>
                  <w:left w:val="nil"/>
                  <w:bottom w:val="nil"/>
                  <w:right w:val="nil"/>
                </w:tcBorders>
                <w:shd w:val="clear" w:color="auto" w:fill="auto"/>
                <w:noWrap/>
                <w:vAlign w:val="bottom"/>
                <w:hideMark/>
              </w:tcPr>
              <w:p w14:paraId="0F8D3F4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462" w:type="pct"/>
                <w:tcBorders>
                  <w:top w:val="nil"/>
                  <w:left w:val="nil"/>
                  <w:bottom w:val="nil"/>
                  <w:right w:val="nil"/>
                </w:tcBorders>
                <w:shd w:val="clear" w:color="auto" w:fill="auto"/>
                <w:noWrap/>
                <w:vAlign w:val="bottom"/>
                <w:hideMark/>
              </w:tcPr>
              <w:p w14:paraId="38C1C9D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217" w:type="pct"/>
                <w:tcBorders>
                  <w:top w:val="nil"/>
                  <w:left w:val="nil"/>
                  <w:bottom w:val="nil"/>
                  <w:right w:val="nil"/>
                </w:tcBorders>
                <w:shd w:val="clear" w:color="auto" w:fill="auto"/>
                <w:noWrap/>
                <w:vAlign w:val="bottom"/>
                <w:hideMark/>
              </w:tcPr>
              <w:p w14:paraId="7D68C2F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238501A" w14:textId="77777777" w:rsidTr="00C444E6">
            <w:trPr>
              <w:trHeight w:val="288"/>
            </w:trPr>
            <w:tc>
              <w:tcPr>
                <w:tcW w:w="1267" w:type="pct"/>
                <w:tcBorders>
                  <w:top w:val="nil"/>
                  <w:left w:val="nil"/>
                  <w:bottom w:val="nil"/>
                  <w:right w:val="nil"/>
                </w:tcBorders>
                <w:shd w:val="clear" w:color="auto" w:fill="auto"/>
                <w:noWrap/>
                <w:vAlign w:val="bottom"/>
                <w:hideMark/>
              </w:tcPr>
              <w:p w14:paraId="59808B8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55" w:type="pct"/>
                <w:tcBorders>
                  <w:top w:val="nil"/>
                  <w:left w:val="nil"/>
                  <w:bottom w:val="nil"/>
                  <w:right w:val="nil"/>
                </w:tcBorders>
                <w:shd w:val="clear" w:color="auto" w:fill="auto"/>
                <w:noWrap/>
                <w:vAlign w:val="bottom"/>
                <w:hideMark/>
              </w:tcPr>
              <w:p w14:paraId="33756AE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462" w:type="pct"/>
                <w:tcBorders>
                  <w:top w:val="nil"/>
                  <w:left w:val="nil"/>
                  <w:bottom w:val="nil"/>
                  <w:right w:val="nil"/>
                </w:tcBorders>
                <w:shd w:val="clear" w:color="auto" w:fill="auto"/>
                <w:noWrap/>
                <w:vAlign w:val="bottom"/>
                <w:hideMark/>
              </w:tcPr>
              <w:p w14:paraId="3A92BD8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217" w:type="pct"/>
                <w:tcBorders>
                  <w:top w:val="nil"/>
                  <w:left w:val="nil"/>
                  <w:bottom w:val="nil"/>
                  <w:right w:val="nil"/>
                </w:tcBorders>
                <w:shd w:val="clear" w:color="auto" w:fill="auto"/>
                <w:noWrap/>
                <w:vAlign w:val="bottom"/>
                <w:hideMark/>
              </w:tcPr>
              <w:p w14:paraId="2A7D412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38D67225" w14:textId="77777777" w:rsidTr="00C444E6">
            <w:trPr>
              <w:trHeight w:val="288"/>
            </w:trPr>
            <w:tc>
              <w:tcPr>
                <w:tcW w:w="1267" w:type="pct"/>
                <w:tcBorders>
                  <w:top w:val="nil"/>
                  <w:left w:val="nil"/>
                  <w:bottom w:val="nil"/>
                  <w:right w:val="nil"/>
                </w:tcBorders>
                <w:shd w:val="clear" w:color="auto" w:fill="auto"/>
                <w:noWrap/>
                <w:vAlign w:val="bottom"/>
                <w:hideMark/>
              </w:tcPr>
              <w:p w14:paraId="6565C95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55" w:type="pct"/>
                <w:tcBorders>
                  <w:top w:val="nil"/>
                  <w:left w:val="nil"/>
                  <w:bottom w:val="nil"/>
                  <w:right w:val="nil"/>
                </w:tcBorders>
                <w:shd w:val="clear" w:color="auto" w:fill="auto"/>
                <w:noWrap/>
                <w:vAlign w:val="bottom"/>
                <w:hideMark/>
              </w:tcPr>
              <w:p w14:paraId="0CEADF6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462" w:type="pct"/>
                <w:tcBorders>
                  <w:top w:val="nil"/>
                  <w:left w:val="nil"/>
                  <w:bottom w:val="nil"/>
                  <w:right w:val="nil"/>
                </w:tcBorders>
                <w:shd w:val="clear" w:color="auto" w:fill="auto"/>
                <w:noWrap/>
                <w:vAlign w:val="bottom"/>
                <w:hideMark/>
              </w:tcPr>
              <w:p w14:paraId="298984D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217" w:type="pct"/>
                <w:tcBorders>
                  <w:top w:val="nil"/>
                  <w:left w:val="nil"/>
                  <w:bottom w:val="nil"/>
                  <w:right w:val="nil"/>
                </w:tcBorders>
                <w:shd w:val="clear" w:color="auto" w:fill="auto"/>
                <w:noWrap/>
                <w:vAlign w:val="bottom"/>
                <w:hideMark/>
              </w:tcPr>
              <w:p w14:paraId="1BB9900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CB54A2D" w14:textId="77777777" w:rsidTr="00C444E6">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E5D1F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B</w:t>
                </w:r>
              </w:p>
            </w:tc>
          </w:tr>
          <w:tr w:rsidR="00C444E6" w:rsidRPr="00C444E6" w14:paraId="6704ABB5"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41EB5878"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Year</w:t>
                </w:r>
              </w:p>
            </w:tc>
            <w:tc>
              <w:tcPr>
                <w:tcW w:w="1055" w:type="pct"/>
                <w:tcBorders>
                  <w:top w:val="nil"/>
                  <w:left w:val="nil"/>
                  <w:bottom w:val="single" w:sz="4" w:space="0" w:color="auto"/>
                  <w:right w:val="single" w:sz="4" w:space="0" w:color="auto"/>
                </w:tcBorders>
                <w:shd w:val="clear" w:color="auto" w:fill="auto"/>
                <w:noWrap/>
                <w:vAlign w:val="bottom"/>
                <w:hideMark/>
              </w:tcPr>
              <w:p w14:paraId="7CADCF4D"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Cash Flow   £’000</w:t>
                </w:r>
              </w:p>
            </w:tc>
            <w:tc>
              <w:tcPr>
                <w:tcW w:w="1462" w:type="pct"/>
                <w:tcBorders>
                  <w:top w:val="nil"/>
                  <w:left w:val="nil"/>
                  <w:bottom w:val="single" w:sz="4" w:space="0" w:color="auto"/>
                  <w:right w:val="single" w:sz="4" w:space="0" w:color="auto"/>
                </w:tcBorders>
                <w:shd w:val="clear" w:color="auto" w:fill="auto"/>
                <w:noWrap/>
                <w:vAlign w:val="bottom"/>
                <w:hideMark/>
              </w:tcPr>
              <w:p w14:paraId="32F6C9C4"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@6%</w:t>
                </w:r>
              </w:p>
            </w:tc>
            <w:tc>
              <w:tcPr>
                <w:tcW w:w="1217" w:type="pct"/>
                <w:tcBorders>
                  <w:top w:val="nil"/>
                  <w:left w:val="nil"/>
                  <w:bottom w:val="single" w:sz="4" w:space="0" w:color="auto"/>
                  <w:right w:val="single" w:sz="4" w:space="0" w:color="auto"/>
                </w:tcBorders>
                <w:shd w:val="clear" w:color="auto" w:fill="auto"/>
                <w:noWrap/>
                <w:vAlign w:val="bottom"/>
                <w:hideMark/>
              </w:tcPr>
              <w:p w14:paraId="40A7235E"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356CD056"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393C216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w:t>
                </w:r>
              </w:p>
            </w:tc>
            <w:tc>
              <w:tcPr>
                <w:tcW w:w="1055" w:type="pct"/>
                <w:tcBorders>
                  <w:top w:val="nil"/>
                  <w:left w:val="nil"/>
                  <w:bottom w:val="single" w:sz="4" w:space="0" w:color="auto"/>
                  <w:right w:val="single" w:sz="4" w:space="0" w:color="auto"/>
                </w:tcBorders>
                <w:shd w:val="clear" w:color="auto" w:fill="auto"/>
                <w:noWrap/>
                <w:vAlign w:val="bottom"/>
                <w:hideMark/>
              </w:tcPr>
              <w:p w14:paraId="52DB81A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-1000</w:t>
                </w:r>
              </w:p>
            </w:tc>
            <w:tc>
              <w:tcPr>
                <w:tcW w:w="1462" w:type="pct"/>
                <w:tcBorders>
                  <w:top w:val="nil"/>
                  <w:left w:val="nil"/>
                  <w:bottom w:val="single" w:sz="4" w:space="0" w:color="auto"/>
                  <w:right w:val="single" w:sz="4" w:space="0" w:color="auto"/>
                </w:tcBorders>
                <w:shd w:val="clear" w:color="auto" w:fill="auto"/>
                <w:noWrap/>
                <w:vAlign w:val="bottom"/>
                <w:hideMark/>
              </w:tcPr>
              <w:p w14:paraId="4A08E35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c>
              <w:tcPr>
                <w:tcW w:w="1217" w:type="pct"/>
                <w:tcBorders>
                  <w:top w:val="nil"/>
                  <w:left w:val="nil"/>
                  <w:bottom w:val="single" w:sz="4" w:space="0" w:color="auto"/>
                  <w:right w:val="single" w:sz="4" w:space="0" w:color="auto"/>
                </w:tcBorders>
                <w:shd w:val="clear" w:color="auto" w:fill="auto"/>
                <w:noWrap/>
                <w:vAlign w:val="bottom"/>
                <w:hideMark/>
              </w:tcPr>
              <w:p w14:paraId="52056E7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-1000</w:t>
                </w:r>
              </w:p>
            </w:tc>
          </w:tr>
          <w:tr w:rsidR="00C444E6" w:rsidRPr="00C444E6" w14:paraId="2EE8D6FF"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2A8130A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c>
              <w:tcPr>
                <w:tcW w:w="1055" w:type="pct"/>
                <w:tcBorders>
                  <w:top w:val="nil"/>
                  <w:left w:val="nil"/>
                  <w:bottom w:val="single" w:sz="4" w:space="0" w:color="auto"/>
                  <w:right w:val="single" w:sz="4" w:space="0" w:color="auto"/>
                </w:tcBorders>
                <w:shd w:val="clear" w:color="auto" w:fill="auto"/>
                <w:noWrap/>
                <w:vAlign w:val="bottom"/>
                <w:hideMark/>
              </w:tcPr>
              <w:p w14:paraId="3935815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425</w:t>
                </w:r>
              </w:p>
            </w:tc>
            <w:tc>
              <w:tcPr>
                <w:tcW w:w="1462" w:type="pct"/>
                <w:tcBorders>
                  <w:top w:val="nil"/>
                  <w:left w:val="nil"/>
                  <w:bottom w:val="single" w:sz="4" w:space="0" w:color="auto"/>
                  <w:right w:val="single" w:sz="4" w:space="0" w:color="auto"/>
                </w:tcBorders>
                <w:shd w:val="clear" w:color="auto" w:fill="auto"/>
                <w:noWrap/>
                <w:vAlign w:val="bottom"/>
                <w:hideMark/>
              </w:tcPr>
              <w:p w14:paraId="54AECEC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0.943396226</w:t>
                </w:r>
              </w:p>
            </w:tc>
            <w:tc>
              <w:tcPr>
                <w:tcW w:w="1217" w:type="pct"/>
                <w:tcBorders>
                  <w:top w:val="nil"/>
                  <w:left w:val="nil"/>
                  <w:bottom w:val="single" w:sz="4" w:space="0" w:color="auto"/>
                  <w:right w:val="single" w:sz="4" w:space="0" w:color="auto"/>
                </w:tcBorders>
                <w:shd w:val="clear" w:color="auto" w:fill="auto"/>
                <w:noWrap/>
                <w:vAlign w:val="bottom"/>
                <w:hideMark/>
              </w:tcPr>
              <w:p w14:paraId="5140682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401</w:t>
                </w:r>
              </w:p>
            </w:tc>
          </w:tr>
          <w:tr w:rsidR="00C444E6" w:rsidRPr="00C444E6" w14:paraId="6B47979E"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358CAFE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w:t>
                </w:r>
              </w:p>
            </w:tc>
            <w:tc>
              <w:tcPr>
                <w:tcW w:w="1055" w:type="pct"/>
                <w:tcBorders>
                  <w:top w:val="nil"/>
                  <w:left w:val="nil"/>
                  <w:bottom w:val="single" w:sz="4" w:space="0" w:color="auto"/>
                  <w:right w:val="single" w:sz="4" w:space="0" w:color="auto"/>
                </w:tcBorders>
                <w:shd w:val="clear" w:color="auto" w:fill="auto"/>
                <w:noWrap/>
                <w:vAlign w:val="bottom"/>
                <w:hideMark/>
              </w:tcPr>
              <w:p w14:paraId="714524C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462</w:t>
                </w:r>
              </w:p>
            </w:tc>
            <w:tc>
              <w:tcPr>
                <w:tcW w:w="1462" w:type="pct"/>
                <w:tcBorders>
                  <w:top w:val="nil"/>
                  <w:left w:val="nil"/>
                  <w:bottom w:val="single" w:sz="4" w:space="0" w:color="auto"/>
                  <w:right w:val="single" w:sz="4" w:space="0" w:color="auto"/>
                </w:tcBorders>
                <w:shd w:val="clear" w:color="auto" w:fill="auto"/>
                <w:noWrap/>
                <w:vAlign w:val="bottom"/>
                <w:hideMark/>
              </w:tcPr>
              <w:p w14:paraId="049FF94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0.88999644</w:t>
                </w:r>
              </w:p>
            </w:tc>
            <w:tc>
              <w:tcPr>
                <w:tcW w:w="1217" w:type="pct"/>
                <w:tcBorders>
                  <w:top w:val="nil"/>
                  <w:left w:val="nil"/>
                  <w:bottom w:val="single" w:sz="4" w:space="0" w:color="auto"/>
                  <w:right w:val="single" w:sz="4" w:space="0" w:color="auto"/>
                </w:tcBorders>
                <w:shd w:val="clear" w:color="auto" w:fill="auto"/>
                <w:noWrap/>
                <w:vAlign w:val="bottom"/>
                <w:hideMark/>
              </w:tcPr>
              <w:p w14:paraId="082AC15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411</w:t>
                </w:r>
              </w:p>
            </w:tc>
          </w:tr>
          <w:tr w:rsidR="00C444E6" w:rsidRPr="00C444E6" w14:paraId="2B48C4A3"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34907C04"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w:t>
                </w:r>
              </w:p>
            </w:tc>
            <w:tc>
              <w:tcPr>
                <w:tcW w:w="1055" w:type="pct"/>
                <w:tcBorders>
                  <w:top w:val="nil"/>
                  <w:left w:val="nil"/>
                  <w:bottom w:val="single" w:sz="4" w:space="0" w:color="auto"/>
                  <w:right w:val="single" w:sz="4" w:space="0" w:color="auto"/>
                </w:tcBorders>
                <w:shd w:val="clear" w:color="auto" w:fill="auto"/>
                <w:noWrap/>
                <w:vAlign w:val="bottom"/>
                <w:hideMark/>
              </w:tcPr>
              <w:p w14:paraId="25F2636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575</w:t>
                </w:r>
              </w:p>
            </w:tc>
            <w:tc>
              <w:tcPr>
                <w:tcW w:w="1462" w:type="pct"/>
                <w:tcBorders>
                  <w:top w:val="nil"/>
                  <w:left w:val="nil"/>
                  <w:bottom w:val="single" w:sz="4" w:space="0" w:color="auto"/>
                  <w:right w:val="single" w:sz="4" w:space="0" w:color="auto"/>
                </w:tcBorders>
                <w:shd w:val="clear" w:color="auto" w:fill="auto"/>
                <w:noWrap/>
                <w:vAlign w:val="bottom"/>
                <w:hideMark/>
              </w:tcPr>
              <w:p w14:paraId="5EDCE20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0.839619283</w:t>
                </w:r>
              </w:p>
            </w:tc>
            <w:tc>
              <w:tcPr>
                <w:tcW w:w="1217" w:type="pct"/>
                <w:tcBorders>
                  <w:top w:val="nil"/>
                  <w:left w:val="nil"/>
                  <w:bottom w:val="single" w:sz="4" w:space="0" w:color="auto"/>
                  <w:right w:val="single" w:sz="4" w:space="0" w:color="auto"/>
                </w:tcBorders>
                <w:shd w:val="clear" w:color="auto" w:fill="auto"/>
                <w:noWrap/>
                <w:vAlign w:val="bottom"/>
                <w:hideMark/>
              </w:tcPr>
              <w:p w14:paraId="5AD7FE6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483</w:t>
                </w:r>
              </w:p>
            </w:tc>
          </w:tr>
          <w:tr w:rsidR="00C444E6" w:rsidRPr="00C444E6" w14:paraId="560C0DBF"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21AC72A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w:t>
                </w:r>
              </w:p>
            </w:tc>
            <w:tc>
              <w:tcPr>
                <w:tcW w:w="1055" w:type="pct"/>
                <w:tcBorders>
                  <w:top w:val="nil"/>
                  <w:left w:val="nil"/>
                  <w:bottom w:val="single" w:sz="4" w:space="0" w:color="auto"/>
                  <w:right w:val="single" w:sz="4" w:space="0" w:color="auto"/>
                </w:tcBorders>
                <w:shd w:val="clear" w:color="auto" w:fill="auto"/>
                <w:noWrap/>
                <w:vAlign w:val="bottom"/>
                <w:hideMark/>
              </w:tcPr>
              <w:p w14:paraId="6FB7A83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762</w:t>
                </w:r>
              </w:p>
            </w:tc>
            <w:tc>
              <w:tcPr>
                <w:tcW w:w="1462" w:type="pct"/>
                <w:tcBorders>
                  <w:top w:val="nil"/>
                  <w:left w:val="nil"/>
                  <w:bottom w:val="single" w:sz="4" w:space="0" w:color="auto"/>
                  <w:right w:val="single" w:sz="4" w:space="0" w:color="auto"/>
                </w:tcBorders>
                <w:shd w:val="clear" w:color="auto" w:fill="auto"/>
                <w:noWrap/>
                <w:vAlign w:val="bottom"/>
                <w:hideMark/>
              </w:tcPr>
              <w:p w14:paraId="73BE2D1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0.792093663</w:t>
                </w:r>
              </w:p>
            </w:tc>
            <w:tc>
              <w:tcPr>
                <w:tcW w:w="1217" w:type="pct"/>
                <w:tcBorders>
                  <w:top w:val="nil"/>
                  <w:left w:val="nil"/>
                  <w:bottom w:val="single" w:sz="4" w:space="0" w:color="auto"/>
                  <w:right w:val="single" w:sz="4" w:space="0" w:color="auto"/>
                </w:tcBorders>
                <w:shd w:val="clear" w:color="auto" w:fill="auto"/>
                <w:noWrap/>
                <w:vAlign w:val="bottom"/>
                <w:hideMark/>
              </w:tcPr>
              <w:p w14:paraId="61D57C3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604</w:t>
                </w:r>
              </w:p>
            </w:tc>
          </w:tr>
          <w:tr w:rsidR="00C444E6" w:rsidRPr="00C444E6" w14:paraId="4DD24853"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27782D35"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Total</w:t>
                </w:r>
              </w:p>
            </w:tc>
            <w:tc>
              <w:tcPr>
                <w:tcW w:w="1055" w:type="pct"/>
                <w:tcBorders>
                  <w:top w:val="nil"/>
                  <w:left w:val="nil"/>
                  <w:bottom w:val="single" w:sz="4" w:space="0" w:color="auto"/>
                  <w:right w:val="single" w:sz="4" w:space="0" w:color="auto"/>
                </w:tcBorders>
                <w:shd w:val="clear" w:color="auto" w:fill="auto"/>
                <w:noWrap/>
                <w:vAlign w:val="bottom"/>
                <w:hideMark/>
              </w:tcPr>
              <w:p w14:paraId="486B1568"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4F2117BD"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4398892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1898</w:t>
                </w:r>
              </w:p>
            </w:tc>
          </w:tr>
          <w:tr w:rsidR="00C444E6" w:rsidRPr="00C444E6" w14:paraId="2D18C725"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172D89F9"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Less Initial Investment</w:t>
                </w:r>
              </w:p>
            </w:tc>
            <w:tc>
              <w:tcPr>
                <w:tcW w:w="1055" w:type="pct"/>
                <w:tcBorders>
                  <w:top w:val="nil"/>
                  <w:left w:val="nil"/>
                  <w:bottom w:val="single" w:sz="4" w:space="0" w:color="auto"/>
                  <w:right w:val="single" w:sz="4" w:space="0" w:color="auto"/>
                </w:tcBorders>
                <w:shd w:val="clear" w:color="auto" w:fill="auto"/>
                <w:noWrap/>
                <w:vAlign w:val="bottom"/>
                <w:hideMark/>
              </w:tcPr>
              <w:p w14:paraId="4912C59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7031F05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46DD267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-1000</w:t>
                </w:r>
              </w:p>
            </w:tc>
          </w:tr>
          <w:tr w:rsidR="00C444E6" w:rsidRPr="00C444E6" w14:paraId="402765D5"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2A9CA73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Net Present Value</w:t>
                </w:r>
              </w:p>
            </w:tc>
            <w:tc>
              <w:tcPr>
                <w:tcW w:w="1055" w:type="pct"/>
                <w:tcBorders>
                  <w:top w:val="nil"/>
                  <w:left w:val="nil"/>
                  <w:bottom w:val="single" w:sz="4" w:space="0" w:color="auto"/>
                  <w:right w:val="single" w:sz="4" w:space="0" w:color="auto"/>
                </w:tcBorders>
                <w:shd w:val="clear" w:color="auto" w:fill="auto"/>
                <w:noWrap/>
                <w:vAlign w:val="bottom"/>
                <w:hideMark/>
              </w:tcPr>
              <w:p w14:paraId="56C7BB7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477010A2"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313B0479" w14:textId="77777777" w:rsidR="00C444E6" w:rsidRPr="00C444E6" w:rsidRDefault="00C444E6" w:rsidP="00C444E6">
                <w:pPr>
                  <w:spacing w:after="0" w:line="240" w:lineRule="auto"/>
                  <w:jc w:val="right"/>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898</w:t>
                </w:r>
              </w:p>
            </w:tc>
          </w:tr>
          <w:tr w:rsidR="00C444E6" w:rsidRPr="00C444E6" w14:paraId="6382622D" w14:textId="77777777" w:rsidTr="00C444E6">
            <w:trPr>
              <w:trHeight w:val="288"/>
            </w:trPr>
            <w:tc>
              <w:tcPr>
                <w:tcW w:w="1267" w:type="pct"/>
                <w:tcBorders>
                  <w:top w:val="nil"/>
                  <w:left w:val="nil"/>
                  <w:bottom w:val="nil"/>
                  <w:right w:val="nil"/>
                </w:tcBorders>
                <w:shd w:val="clear" w:color="auto" w:fill="auto"/>
                <w:noWrap/>
                <w:vAlign w:val="bottom"/>
                <w:hideMark/>
              </w:tcPr>
              <w:p w14:paraId="427A67FB" w14:textId="77777777" w:rsidR="00C444E6" w:rsidRPr="00C444E6" w:rsidRDefault="00C444E6" w:rsidP="00C444E6">
                <w:pPr>
                  <w:spacing w:after="0" w:line="240" w:lineRule="auto"/>
                  <w:jc w:val="right"/>
                  <w:rPr>
                    <w:rFonts w:ascii="Times New Roman" w:eastAsia="Times New Roman" w:hAnsi="Times New Roman" w:cs="Times New Roman"/>
                    <w:b/>
                    <w:bCs/>
                    <w:color w:val="000000"/>
                    <w:sz w:val="24"/>
                    <w:szCs w:val="24"/>
                    <w:lang w:val="en-IN" w:eastAsia="en-IN"/>
                  </w:rPr>
                </w:pPr>
              </w:p>
            </w:tc>
            <w:tc>
              <w:tcPr>
                <w:tcW w:w="1055" w:type="pct"/>
                <w:tcBorders>
                  <w:top w:val="nil"/>
                  <w:left w:val="nil"/>
                  <w:bottom w:val="nil"/>
                  <w:right w:val="nil"/>
                </w:tcBorders>
                <w:shd w:val="clear" w:color="auto" w:fill="auto"/>
                <w:noWrap/>
                <w:vAlign w:val="bottom"/>
                <w:hideMark/>
              </w:tcPr>
              <w:p w14:paraId="6CF3EC9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462" w:type="pct"/>
                <w:tcBorders>
                  <w:top w:val="nil"/>
                  <w:left w:val="nil"/>
                  <w:bottom w:val="nil"/>
                  <w:right w:val="nil"/>
                </w:tcBorders>
                <w:shd w:val="clear" w:color="auto" w:fill="auto"/>
                <w:noWrap/>
                <w:vAlign w:val="bottom"/>
                <w:hideMark/>
              </w:tcPr>
              <w:p w14:paraId="64C81F9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217" w:type="pct"/>
                <w:tcBorders>
                  <w:top w:val="nil"/>
                  <w:left w:val="nil"/>
                  <w:bottom w:val="nil"/>
                  <w:right w:val="nil"/>
                </w:tcBorders>
                <w:shd w:val="clear" w:color="auto" w:fill="auto"/>
                <w:noWrap/>
                <w:vAlign w:val="bottom"/>
                <w:hideMark/>
              </w:tcPr>
              <w:p w14:paraId="6C71C43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BB7FA95" w14:textId="77777777" w:rsidTr="00C444E6">
            <w:trPr>
              <w:trHeight w:val="288"/>
            </w:trPr>
            <w:tc>
              <w:tcPr>
                <w:tcW w:w="1267" w:type="pct"/>
                <w:tcBorders>
                  <w:top w:val="nil"/>
                  <w:left w:val="nil"/>
                  <w:bottom w:val="nil"/>
                  <w:right w:val="nil"/>
                </w:tcBorders>
                <w:shd w:val="clear" w:color="auto" w:fill="auto"/>
                <w:noWrap/>
                <w:vAlign w:val="bottom"/>
                <w:hideMark/>
              </w:tcPr>
              <w:p w14:paraId="1BFD48A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55" w:type="pct"/>
                <w:tcBorders>
                  <w:top w:val="nil"/>
                  <w:left w:val="nil"/>
                  <w:bottom w:val="nil"/>
                  <w:right w:val="nil"/>
                </w:tcBorders>
                <w:shd w:val="clear" w:color="auto" w:fill="auto"/>
                <w:noWrap/>
                <w:vAlign w:val="bottom"/>
                <w:hideMark/>
              </w:tcPr>
              <w:p w14:paraId="5ED9864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462" w:type="pct"/>
                <w:tcBorders>
                  <w:top w:val="nil"/>
                  <w:left w:val="nil"/>
                  <w:bottom w:val="nil"/>
                  <w:right w:val="nil"/>
                </w:tcBorders>
                <w:shd w:val="clear" w:color="auto" w:fill="auto"/>
                <w:noWrap/>
                <w:vAlign w:val="bottom"/>
                <w:hideMark/>
              </w:tcPr>
              <w:p w14:paraId="5A027BC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217" w:type="pct"/>
                <w:tcBorders>
                  <w:top w:val="nil"/>
                  <w:left w:val="nil"/>
                  <w:bottom w:val="nil"/>
                  <w:right w:val="nil"/>
                </w:tcBorders>
                <w:shd w:val="clear" w:color="auto" w:fill="auto"/>
                <w:noWrap/>
                <w:vAlign w:val="bottom"/>
                <w:hideMark/>
              </w:tcPr>
              <w:p w14:paraId="2C52B35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36C89525" w14:textId="77777777" w:rsidTr="00C444E6">
            <w:trPr>
              <w:trHeight w:val="288"/>
            </w:trPr>
            <w:tc>
              <w:tcPr>
                <w:tcW w:w="1267" w:type="pct"/>
                <w:tcBorders>
                  <w:top w:val="nil"/>
                  <w:left w:val="nil"/>
                  <w:bottom w:val="nil"/>
                  <w:right w:val="nil"/>
                </w:tcBorders>
                <w:shd w:val="clear" w:color="auto" w:fill="auto"/>
                <w:noWrap/>
                <w:vAlign w:val="bottom"/>
                <w:hideMark/>
              </w:tcPr>
              <w:p w14:paraId="5C15135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55" w:type="pct"/>
                <w:tcBorders>
                  <w:top w:val="nil"/>
                  <w:left w:val="nil"/>
                  <w:bottom w:val="nil"/>
                  <w:right w:val="nil"/>
                </w:tcBorders>
                <w:shd w:val="clear" w:color="auto" w:fill="auto"/>
                <w:noWrap/>
                <w:vAlign w:val="bottom"/>
                <w:hideMark/>
              </w:tcPr>
              <w:p w14:paraId="2F951D6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462" w:type="pct"/>
                <w:tcBorders>
                  <w:top w:val="nil"/>
                  <w:left w:val="nil"/>
                  <w:bottom w:val="nil"/>
                  <w:right w:val="nil"/>
                </w:tcBorders>
                <w:shd w:val="clear" w:color="auto" w:fill="auto"/>
                <w:noWrap/>
                <w:vAlign w:val="bottom"/>
                <w:hideMark/>
              </w:tcPr>
              <w:p w14:paraId="0696800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217" w:type="pct"/>
                <w:tcBorders>
                  <w:top w:val="nil"/>
                  <w:left w:val="nil"/>
                  <w:bottom w:val="nil"/>
                  <w:right w:val="nil"/>
                </w:tcBorders>
                <w:shd w:val="clear" w:color="auto" w:fill="auto"/>
                <w:noWrap/>
                <w:vAlign w:val="bottom"/>
                <w:hideMark/>
              </w:tcPr>
              <w:p w14:paraId="56B9F3B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C7C7547" w14:textId="77777777" w:rsidTr="00C444E6">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0E6D1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C</w:t>
                </w:r>
              </w:p>
            </w:tc>
          </w:tr>
          <w:tr w:rsidR="00C444E6" w:rsidRPr="00C444E6" w14:paraId="0C172B7A"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7DAC2824"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Year</w:t>
                </w:r>
              </w:p>
            </w:tc>
            <w:tc>
              <w:tcPr>
                <w:tcW w:w="1055" w:type="pct"/>
                <w:tcBorders>
                  <w:top w:val="nil"/>
                  <w:left w:val="nil"/>
                  <w:bottom w:val="single" w:sz="4" w:space="0" w:color="auto"/>
                  <w:right w:val="single" w:sz="4" w:space="0" w:color="auto"/>
                </w:tcBorders>
                <w:shd w:val="clear" w:color="auto" w:fill="auto"/>
                <w:noWrap/>
                <w:vAlign w:val="bottom"/>
                <w:hideMark/>
              </w:tcPr>
              <w:p w14:paraId="508CD6F3"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Cash Flow   £’000</w:t>
                </w:r>
              </w:p>
            </w:tc>
            <w:tc>
              <w:tcPr>
                <w:tcW w:w="1462" w:type="pct"/>
                <w:tcBorders>
                  <w:top w:val="nil"/>
                  <w:left w:val="nil"/>
                  <w:bottom w:val="single" w:sz="4" w:space="0" w:color="auto"/>
                  <w:right w:val="single" w:sz="4" w:space="0" w:color="auto"/>
                </w:tcBorders>
                <w:shd w:val="clear" w:color="auto" w:fill="auto"/>
                <w:noWrap/>
                <w:vAlign w:val="bottom"/>
                <w:hideMark/>
              </w:tcPr>
              <w:p w14:paraId="461F1B71"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@6%</w:t>
                </w:r>
              </w:p>
            </w:tc>
            <w:tc>
              <w:tcPr>
                <w:tcW w:w="1217" w:type="pct"/>
                <w:tcBorders>
                  <w:top w:val="nil"/>
                  <w:left w:val="nil"/>
                  <w:bottom w:val="single" w:sz="4" w:space="0" w:color="auto"/>
                  <w:right w:val="single" w:sz="4" w:space="0" w:color="auto"/>
                </w:tcBorders>
                <w:shd w:val="clear" w:color="auto" w:fill="auto"/>
                <w:noWrap/>
                <w:vAlign w:val="bottom"/>
                <w:hideMark/>
              </w:tcPr>
              <w:p w14:paraId="326C9ED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121B55C5"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6FEB9AB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w:t>
                </w:r>
              </w:p>
            </w:tc>
            <w:tc>
              <w:tcPr>
                <w:tcW w:w="1055" w:type="pct"/>
                <w:tcBorders>
                  <w:top w:val="nil"/>
                  <w:left w:val="nil"/>
                  <w:bottom w:val="single" w:sz="4" w:space="0" w:color="auto"/>
                  <w:right w:val="single" w:sz="4" w:space="0" w:color="auto"/>
                </w:tcBorders>
                <w:shd w:val="clear" w:color="auto" w:fill="auto"/>
                <w:noWrap/>
                <w:vAlign w:val="bottom"/>
                <w:hideMark/>
              </w:tcPr>
              <w:p w14:paraId="3C9B75E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-1700</w:t>
                </w:r>
              </w:p>
            </w:tc>
            <w:tc>
              <w:tcPr>
                <w:tcW w:w="1462" w:type="pct"/>
                <w:tcBorders>
                  <w:top w:val="nil"/>
                  <w:left w:val="nil"/>
                  <w:bottom w:val="single" w:sz="4" w:space="0" w:color="auto"/>
                  <w:right w:val="single" w:sz="4" w:space="0" w:color="auto"/>
                </w:tcBorders>
                <w:shd w:val="clear" w:color="auto" w:fill="auto"/>
                <w:noWrap/>
                <w:vAlign w:val="bottom"/>
                <w:hideMark/>
              </w:tcPr>
              <w:p w14:paraId="3307493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c>
              <w:tcPr>
                <w:tcW w:w="1217" w:type="pct"/>
                <w:tcBorders>
                  <w:top w:val="nil"/>
                  <w:left w:val="nil"/>
                  <w:bottom w:val="single" w:sz="4" w:space="0" w:color="auto"/>
                  <w:right w:val="single" w:sz="4" w:space="0" w:color="auto"/>
                </w:tcBorders>
                <w:shd w:val="clear" w:color="auto" w:fill="auto"/>
                <w:noWrap/>
                <w:vAlign w:val="bottom"/>
                <w:hideMark/>
              </w:tcPr>
              <w:p w14:paraId="3991314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-1700</w:t>
                </w:r>
              </w:p>
            </w:tc>
          </w:tr>
          <w:tr w:rsidR="00C444E6" w:rsidRPr="00C444E6" w14:paraId="0B09EABD"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3DB6212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c>
              <w:tcPr>
                <w:tcW w:w="1055" w:type="pct"/>
                <w:tcBorders>
                  <w:top w:val="nil"/>
                  <w:left w:val="nil"/>
                  <w:bottom w:val="single" w:sz="4" w:space="0" w:color="auto"/>
                  <w:right w:val="single" w:sz="4" w:space="0" w:color="auto"/>
                </w:tcBorders>
                <w:shd w:val="clear" w:color="auto" w:fill="auto"/>
                <w:noWrap/>
                <w:vAlign w:val="bottom"/>
                <w:hideMark/>
              </w:tcPr>
              <w:p w14:paraId="0F22FD6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460</w:t>
                </w:r>
              </w:p>
            </w:tc>
            <w:tc>
              <w:tcPr>
                <w:tcW w:w="1462" w:type="pct"/>
                <w:tcBorders>
                  <w:top w:val="nil"/>
                  <w:left w:val="nil"/>
                  <w:bottom w:val="single" w:sz="4" w:space="0" w:color="auto"/>
                  <w:right w:val="single" w:sz="4" w:space="0" w:color="auto"/>
                </w:tcBorders>
                <w:shd w:val="clear" w:color="auto" w:fill="auto"/>
                <w:noWrap/>
                <w:vAlign w:val="bottom"/>
                <w:hideMark/>
              </w:tcPr>
              <w:p w14:paraId="4C5F6A20"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0.943396226</w:t>
                </w:r>
              </w:p>
            </w:tc>
            <w:tc>
              <w:tcPr>
                <w:tcW w:w="1217" w:type="pct"/>
                <w:tcBorders>
                  <w:top w:val="nil"/>
                  <w:left w:val="nil"/>
                  <w:bottom w:val="single" w:sz="4" w:space="0" w:color="auto"/>
                  <w:right w:val="single" w:sz="4" w:space="0" w:color="auto"/>
                </w:tcBorders>
                <w:shd w:val="clear" w:color="auto" w:fill="auto"/>
                <w:noWrap/>
                <w:vAlign w:val="bottom"/>
                <w:hideMark/>
              </w:tcPr>
              <w:p w14:paraId="03771915"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434</w:t>
                </w:r>
              </w:p>
            </w:tc>
          </w:tr>
          <w:tr w:rsidR="00C444E6" w:rsidRPr="00C444E6" w14:paraId="57C97536"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167EF94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w:t>
                </w:r>
              </w:p>
            </w:tc>
            <w:tc>
              <w:tcPr>
                <w:tcW w:w="1055" w:type="pct"/>
                <w:tcBorders>
                  <w:top w:val="nil"/>
                  <w:left w:val="nil"/>
                  <w:bottom w:val="single" w:sz="4" w:space="0" w:color="auto"/>
                  <w:right w:val="single" w:sz="4" w:space="0" w:color="auto"/>
                </w:tcBorders>
                <w:shd w:val="clear" w:color="auto" w:fill="auto"/>
                <w:noWrap/>
                <w:vAlign w:val="bottom"/>
                <w:hideMark/>
              </w:tcPr>
              <w:p w14:paraId="202ED1F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685</w:t>
                </w:r>
              </w:p>
            </w:tc>
            <w:tc>
              <w:tcPr>
                <w:tcW w:w="1462" w:type="pct"/>
                <w:tcBorders>
                  <w:top w:val="nil"/>
                  <w:left w:val="nil"/>
                  <w:bottom w:val="single" w:sz="4" w:space="0" w:color="auto"/>
                  <w:right w:val="single" w:sz="4" w:space="0" w:color="auto"/>
                </w:tcBorders>
                <w:shd w:val="clear" w:color="auto" w:fill="auto"/>
                <w:noWrap/>
                <w:vAlign w:val="bottom"/>
                <w:hideMark/>
              </w:tcPr>
              <w:p w14:paraId="3F3AE101"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0.88999644</w:t>
                </w:r>
              </w:p>
            </w:tc>
            <w:tc>
              <w:tcPr>
                <w:tcW w:w="1217" w:type="pct"/>
                <w:tcBorders>
                  <w:top w:val="nil"/>
                  <w:left w:val="nil"/>
                  <w:bottom w:val="single" w:sz="4" w:space="0" w:color="auto"/>
                  <w:right w:val="single" w:sz="4" w:space="0" w:color="auto"/>
                </w:tcBorders>
                <w:shd w:val="clear" w:color="auto" w:fill="auto"/>
                <w:noWrap/>
                <w:vAlign w:val="bottom"/>
                <w:hideMark/>
              </w:tcPr>
              <w:p w14:paraId="50D6B42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610</w:t>
                </w:r>
              </w:p>
            </w:tc>
          </w:tr>
          <w:tr w:rsidR="00C444E6" w:rsidRPr="00C444E6" w14:paraId="19BAFB22"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66A271E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w:t>
                </w:r>
              </w:p>
            </w:tc>
            <w:tc>
              <w:tcPr>
                <w:tcW w:w="1055" w:type="pct"/>
                <w:tcBorders>
                  <w:top w:val="nil"/>
                  <w:left w:val="nil"/>
                  <w:bottom w:val="single" w:sz="4" w:space="0" w:color="auto"/>
                  <w:right w:val="single" w:sz="4" w:space="0" w:color="auto"/>
                </w:tcBorders>
                <w:shd w:val="clear" w:color="auto" w:fill="auto"/>
                <w:noWrap/>
                <w:vAlign w:val="bottom"/>
                <w:hideMark/>
              </w:tcPr>
              <w:p w14:paraId="00F9A51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872</w:t>
                </w:r>
              </w:p>
            </w:tc>
            <w:tc>
              <w:tcPr>
                <w:tcW w:w="1462" w:type="pct"/>
                <w:tcBorders>
                  <w:top w:val="nil"/>
                  <w:left w:val="nil"/>
                  <w:bottom w:val="single" w:sz="4" w:space="0" w:color="auto"/>
                  <w:right w:val="single" w:sz="4" w:space="0" w:color="auto"/>
                </w:tcBorders>
                <w:shd w:val="clear" w:color="auto" w:fill="auto"/>
                <w:noWrap/>
                <w:vAlign w:val="bottom"/>
                <w:hideMark/>
              </w:tcPr>
              <w:p w14:paraId="043EE68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0.839619283</w:t>
                </w:r>
              </w:p>
            </w:tc>
            <w:tc>
              <w:tcPr>
                <w:tcW w:w="1217" w:type="pct"/>
                <w:tcBorders>
                  <w:top w:val="nil"/>
                  <w:left w:val="nil"/>
                  <w:bottom w:val="single" w:sz="4" w:space="0" w:color="auto"/>
                  <w:right w:val="single" w:sz="4" w:space="0" w:color="auto"/>
                </w:tcBorders>
                <w:shd w:val="clear" w:color="auto" w:fill="auto"/>
                <w:noWrap/>
                <w:vAlign w:val="bottom"/>
                <w:hideMark/>
              </w:tcPr>
              <w:p w14:paraId="7C1DAE7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732</w:t>
                </w:r>
              </w:p>
            </w:tc>
          </w:tr>
          <w:tr w:rsidR="00C444E6" w:rsidRPr="00C444E6" w14:paraId="1B0715BD"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3541112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4</w:t>
                </w:r>
              </w:p>
            </w:tc>
            <w:tc>
              <w:tcPr>
                <w:tcW w:w="1055" w:type="pct"/>
                <w:tcBorders>
                  <w:top w:val="nil"/>
                  <w:left w:val="nil"/>
                  <w:bottom w:val="single" w:sz="4" w:space="0" w:color="auto"/>
                  <w:right w:val="single" w:sz="4" w:space="0" w:color="auto"/>
                </w:tcBorders>
                <w:shd w:val="clear" w:color="auto" w:fill="auto"/>
                <w:noWrap/>
                <w:vAlign w:val="bottom"/>
                <w:hideMark/>
              </w:tcPr>
              <w:p w14:paraId="1C3C0227"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985</w:t>
                </w:r>
              </w:p>
            </w:tc>
            <w:tc>
              <w:tcPr>
                <w:tcW w:w="1462" w:type="pct"/>
                <w:tcBorders>
                  <w:top w:val="nil"/>
                  <w:left w:val="nil"/>
                  <w:bottom w:val="single" w:sz="4" w:space="0" w:color="auto"/>
                  <w:right w:val="single" w:sz="4" w:space="0" w:color="auto"/>
                </w:tcBorders>
                <w:shd w:val="clear" w:color="auto" w:fill="auto"/>
                <w:noWrap/>
                <w:vAlign w:val="bottom"/>
                <w:hideMark/>
              </w:tcPr>
              <w:p w14:paraId="452B44B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0.792093663</w:t>
                </w:r>
              </w:p>
            </w:tc>
            <w:tc>
              <w:tcPr>
                <w:tcW w:w="1217" w:type="pct"/>
                <w:tcBorders>
                  <w:top w:val="nil"/>
                  <w:left w:val="nil"/>
                  <w:bottom w:val="single" w:sz="4" w:space="0" w:color="auto"/>
                  <w:right w:val="single" w:sz="4" w:space="0" w:color="auto"/>
                </w:tcBorders>
                <w:shd w:val="clear" w:color="auto" w:fill="auto"/>
                <w:noWrap/>
                <w:vAlign w:val="bottom"/>
                <w:hideMark/>
              </w:tcPr>
              <w:p w14:paraId="27F91E2B"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780</w:t>
                </w:r>
              </w:p>
            </w:tc>
          </w:tr>
          <w:tr w:rsidR="00C444E6" w:rsidRPr="00C444E6" w14:paraId="0A051DC2"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79D9BD6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Total</w:t>
                </w:r>
              </w:p>
            </w:tc>
            <w:tc>
              <w:tcPr>
                <w:tcW w:w="1055" w:type="pct"/>
                <w:tcBorders>
                  <w:top w:val="nil"/>
                  <w:left w:val="nil"/>
                  <w:bottom w:val="single" w:sz="4" w:space="0" w:color="auto"/>
                  <w:right w:val="single" w:sz="4" w:space="0" w:color="auto"/>
                </w:tcBorders>
                <w:shd w:val="clear" w:color="auto" w:fill="auto"/>
                <w:noWrap/>
                <w:vAlign w:val="bottom"/>
                <w:hideMark/>
              </w:tcPr>
              <w:p w14:paraId="314374FA"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03EB77F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7B65C35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2556</w:t>
                </w:r>
              </w:p>
            </w:tc>
          </w:tr>
          <w:tr w:rsidR="00C444E6" w:rsidRPr="00C444E6" w14:paraId="29D10249"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015353E7"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Less Initial Investment</w:t>
                </w:r>
              </w:p>
            </w:tc>
            <w:tc>
              <w:tcPr>
                <w:tcW w:w="1055" w:type="pct"/>
                <w:tcBorders>
                  <w:top w:val="nil"/>
                  <w:left w:val="nil"/>
                  <w:bottom w:val="single" w:sz="4" w:space="0" w:color="auto"/>
                  <w:right w:val="single" w:sz="4" w:space="0" w:color="auto"/>
                </w:tcBorders>
                <w:shd w:val="clear" w:color="auto" w:fill="auto"/>
                <w:noWrap/>
                <w:vAlign w:val="bottom"/>
                <w:hideMark/>
              </w:tcPr>
              <w:p w14:paraId="74C66FC6"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7BBAFB3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4F451F5D"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-1700</w:t>
                </w:r>
              </w:p>
            </w:tc>
          </w:tr>
          <w:tr w:rsidR="00C444E6" w:rsidRPr="00C444E6" w14:paraId="46CA140A" w14:textId="77777777" w:rsidTr="00C444E6">
            <w:trPr>
              <w:trHeight w:val="312"/>
            </w:trPr>
            <w:tc>
              <w:tcPr>
                <w:tcW w:w="1267" w:type="pct"/>
                <w:tcBorders>
                  <w:top w:val="nil"/>
                  <w:left w:val="single" w:sz="4" w:space="0" w:color="auto"/>
                  <w:bottom w:val="single" w:sz="4" w:space="0" w:color="auto"/>
                  <w:right w:val="single" w:sz="4" w:space="0" w:color="auto"/>
                </w:tcBorders>
                <w:shd w:val="clear" w:color="auto" w:fill="auto"/>
                <w:noWrap/>
                <w:vAlign w:val="bottom"/>
                <w:hideMark/>
              </w:tcPr>
              <w:p w14:paraId="525179A5"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Net Present Value</w:t>
                </w:r>
              </w:p>
            </w:tc>
            <w:tc>
              <w:tcPr>
                <w:tcW w:w="1055" w:type="pct"/>
                <w:tcBorders>
                  <w:top w:val="nil"/>
                  <w:left w:val="nil"/>
                  <w:bottom w:val="single" w:sz="4" w:space="0" w:color="auto"/>
                  <w:right w:val="single" w:sz="4" w:space="0" w:color="auto"/>
                </w:tcBorders>
                <w:shd w:val="clear" w:color="auto" w:fill="auto"/>
                <w:noWrap/>
                <w:vAlign w:val="bottom"/>
                <w:hideMark/>
              </w:tcPr>
              <w:p w14:paraId="1AB48197"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w:t>
                </w:r>
              </w:p>
            </w:tc>
            <w:tc>
              <w:tcPr>
                <w:tcW w:w="1462" w:type="pct"/>
                <w:tcBorders>
                  <w:top w:val="nil"/>
                  <w:left w:val="nil"/>
                  <w:bottom w:val="single" w:sz="4" w:space="0" w:color="auto"/>
                  <w:right w:val="single" w:sz="4" w:space="0" w:color="auto"/>
                </w:tcBorders>
                <w:shd w:val="clear" w:color="auto" w:fill="auto"/>
                <w:noWrap/>
                <w:vAlign w:val="bottom"/>
                <w:hideMark/>
              </w:tcPr>
              <w:p w14:paraId="19DC3EBF"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w:t>
                </w:r>
              </w:p>
            </w:tc>
            <w:tc>
              <w:tcPr>
                <w:tcW w:w="1217" w:type="pct"/>
                <w:tcBorders>
                  <w:top w:val="nil"/>
                  <w:left w:val="nil"/>
                  <w:bottom w:val="single" w:sz="4" w:space="0" w:color="auto"/>
                  <w:right w:val="single" w:sz="4" w:space="0" w:color="auto"/>
                </w:tcBorders>
                <w:shd w:val="clear" w:color="auto" w:fill="auto"/>
                <w:noWrap/>
                <w:vAlign w:val="bottom"/>
                <w:hideMark/>
              </w:tcPr>
              <w:p w14:paraId="315FE467" w14:textId="77777777" w:rsidR="00C444E6" w:rsidRPr="00C444E6" w:rsidRDefault="00C444E6" w:rsidP="00C444E6">
                <w:pPr>
                  <w:spacing w:after="0" w:line="240" w:lineRule="auto"/>
                  <w:jc w:val="right"/>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856</w:t>
                </w:r>
              </w:p>
            </w:tc>
          </w:tr>
        </w:tbl>
        <w:p w14:paraId="3FC9D69D" w14:textId="77777777" w:rsidR="00C444E6" w:rsidRPr="00C444E6" w:rsidRDefault="00C444E6" w:rsidP="00C444E6"/>
        <w:p w14:paraId="59940729" w14:textId="4089BBD7" w:rsidR="00C444E6" w:rsidRDefault="00C444E6" w:rsidP="00C444E6">
          <w:pPr>
            <w:pStyle w:val="Heading2"/>
            <w:rPr>
              <w:rFonts w:ascii="Times New Roman" w:hAnsi="Times New Roman" w:cs="Times New Roman"/>
              <w:color w:val="000000" w:themeColor="text1"/>
              <w:sz w:val="24"/>
              <w:szCs w:val="24"/>
              <w:u w:val="single"/>
            </w:rPr>
          </w:pPr>
          <w:bookmarkStart w:id="81" w:name="_Toc186239372"/>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8</w:t>
          </w:r>
          <w:r w:rsidRPr="00C444E6">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IRR</w:t>
          </w:r>
          <w:bookmarkEnd w:id="81"/>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1230"/>
            <w:gridCol w:w="1304"/>
            <w:gridCol w:w="1731"/>
            <w:gridCol w:w="1474"/>
            <w:gridCol w:w="1803"/>
            <w:gridCol w:w="1474"/>
          </w:tblGrid>
          <w:tr w:rsidR="00C444E6" w:rsidRPr="00C444E6" w14:paraId="0E84B5FF" w14:textId="77777777" w:rsidTr="00C444E6">
            <w:trPr>
              <w:trHeight w:val="312"/>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1695F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A</w:t>
                </w:r>
              </w:p>
            </w:tc>
          </w:tr>
          <w:tr w:rsidR="00C444E6" w:rsidRPr="00C444E6" w14:paraId="257F1B08" w14:textId="77777777" w:rsidTr="00C444E6">
            <w:trPr>
              <w:trHeight w:val="312"/>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1446BC20"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Year</w:t>
                </w:r>
              </w:p>
            </w:tc>
            <w:tc>
              <w:tcPr>
                <w:tcW w:w="706" w:type="pct"/>
                <w:tcBorders>
                  <w:top w:val="nil"/>
                  <w:left w:val="nil"/>
                  <w:bottom w:val="single" w:sz="4" w:space="0" w:color="auto"/>
                  <w:right w:val="single" w:sz="4" w:space="0" w:color="auto"/>
                </w:tcBorders>
                <w:shd w:val="clear" w:color="auto" w:fill="auto"/>
                <w:noWrap/>
                <w:vAlign w:val="bottom"/>
                <w:hideMark/>
              </w:tcPr>
              <w:p w14:paraId="78ABCBD9"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Cash Flow   £’000</w:t>
                </w:r>
              </w:p>
            </w:tc>
            <w:tc>
              <w:tcPr>
                <w:tcW w:w="979" w:type="pct"/>
                <w:tcBorders>
                  <w:top w:val="nil"/>
                  <w:left w:val="nil"/>
                  <w:bottom w:val="single" w:sz="4" w:space="0" w:color="auto"/>
                  <w:right w:val="single" w:sz="4" w:space="0" w:color="auto"/>
                </w:tcBorders>
                <w:shd w:val="clear" w:color="auto" w:fill="auto"/>
                <w:noWrap/>
                <w:vAlign w:val="bottom"/>
                <w:hideMark/>
              </w:tcPr>
              <w:p w14:paraId="71B834D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@6%</w:t>
                </w:r>
              </w:p>
            </w:tc>
            <w:tc>
              <w:tcPr>
                <w:tcW w:w="815" w:type="pct"/>
                <w:tcBorders>
                  <w:top w:val="nil"/>
                  <w:left w:val="nil"/>
                  <w:bottom w:val="single" w:sz="4" w:space="0" w:color="auto"/>
                  <w:right w:val="single" w:sz="4" w:space="0" w:color="auto"/>
                </w:tcBorders>
                <w:shd w:val="clear" w:color="auto" w:fill="auto"/>
                <w:noWrap/>
                <w:vAlign w:val="bottom"/>
                <w:hideMark/>
              </w:tcPr>
              <w:p w14:paraId="42CF593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c>
              <w:tcPr>
                <w:tcW w:w="1025" w:type="pct"/>
                <w:tcBorders>
                  <w:top w:val="nil"/>
                  <w:left w:val="nil"/>
                  <w:bottom w:val="single" w:sz="4" w:space="0" w:color="auto"/>
                  <w:right w:val="single" w:sz="4" w:space="0" w:color="auto"/>
                </w:tcBorders>
                <w:shd w:val="clear" w:color="auto" w:fill="auto"/>
                <w:noWrap/>
                <w:vAlign w:val="bottom"/>
                <w:hideMark/>
              </w:tcPr>
              <w:p w14:paraId="279DA536"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@16%</w:t>
                </w:r>
              </w:p>
            </w:tc>
            <w:tc>
              <w:tcPr>
                <w:tcW w:w="815" w:type="pct"/>
                <w:tcBorders>
                  <w:top w:val="nil"/>
                  <w:left w:val="nil"/>
                  <w:bottom w:val="single" w:sz="4" w:space="0" w:color="auto"/>
                  <w:right w:val="single" w:sz="4" w:space="0" w:color="auto"/>
                </w:tcBorders>
                <w:shd w:val="clear" w:color="auto" w:fill="auto"/>
                <w:noWrap/>
                <w:vAlign w:val="bottom"/>
                <w:hideMark/>
              </w:tcPr>
              <w:p w14:paraId="65D7DE7C"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02ECF535"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183CCF8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w:t>
                </w:r>
              </w:p>
            </w:tc>
            <w:tc>
              <w:tcPr>
                <w:tcW w:w="706" w:type="pct"/>
                <w:tcBorders>
                  <w:top w:val="nil"/>
                  <w:left w:val="nil"/>
                  <w:bottom w:val="single" w:sz="4" w:space="0" w:color="auto"/>
                  <w:right w:val="single" w:sz="4" w:space="0" w:color="auto"/>
                </w:tcBorders>
                <w:shd w:val="clear" w:color="auto" w:fill="auto"/>
                <w:noWrap/>
                <w:vAlign w:val="bottom"/>
                <w:hideMark/>
              </w:tcPr>
              <w:p w14:paraId="6FF27523"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-660</w:t>
                </w:r>
              </w:p>
            </w:tc>
            <w:tc>
              <w:tcPr>
                <w:tcW w:w="979" w:type="pct"/>
                <w:tcBorders>
                  <w:top w:val="nil"/>
                  <w:left w:val="nil"/>
                  <w:bottom w:val="single" w:sz="4" w:space="0" w:color="auto"/>
                  <w:right w:val="single" w:sz="4" w:space="0" w:color="auto"/>
                </w:tcBorders>
                <w:shd w:val="clear" w:color="auto" w:fill="auto"/>
                <w:noWrap/>
                <w:vAlign w:val="bottom"/>
                <w:hideMark/>
              </w:tcPr>
              <w:p w14:paraId="4384ACA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815" w:type="pct"/>
                <w:tcBorders>
                  <w:top w:val="nil"/>
                  <w:left w:val="nil"/>
                  <w:bottom w:val="single" w:sz="4" w:space="0" w:color="auto"/>
                  <w:right w:val="single" w:sz="4" w:space="0" w:color="auto"/>
                </w:tcBorders>
                <w:shd w:val="clear" w:color="auto" w:fill="auto"/>
                <w:noWrap/>
                <w:vAlign w:val="bottom"/>
                <w:hideMark/>
              </w:tcPr>
              <w:p w14:paraId="53E0AD6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-660</w:t>
                </w:r>
              </w:p>
            </w:tc>
            <w:tc>
              <w:tcPr>
                <w:tcW w:w="1025" w:type="pct"/>
                <w:tcBorders>
                  <w:top w:val="nil"/>
                  <w:left w:val="nil"/>
                  <w:bottom w:val="single" w:sz="4" w:space="0" w:color="auto"/>
                  <w:right w:val="single" w:sz="4" w:space="0" w:color="auto"/>
                </w:tcBorders>
                <w:shd w:val="clear" w:color="auto" w:fill="auto"/>
                <w:noWrap/>
                <w:vAlign w:val="bottom"/>
                <w:hideMark/>
              </w:tcPr>
              <w:p w14:paraId="6D6A2D3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815" w:type="pct"/>
                <w:tcBorders>
                  <w:top w:val="nil"/>
                  <w:left w:val="nil"/>
                  <w:bottom w:val="single" w:sz="4" w:space="0" w:color="auto"/>
                  <w:right w:val="single" w:sz="4" w:space="0" w:color="auto"/>
                </w:tcBorders>
                <w:shd w:val="clear" w:color="auto" w:fill="auto"/>
                <w:noWrap/>
                <w:vAlign w:val="bottom"/>
                <w:hideMark/>
              </w:tcPr>
              <w:p w14:paraId="1D55E2D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-660</w:t>
                </w:r>
              </w:p>
            </w:tc>
          </w:tr>
          <w:tr w:rsidR="00C444E6" w:rsidRPr="00C444E6" w14:paraId="353A13FF"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5787993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706" w:type="pct"/>
                <w:tcBorders>
                  <w:top w:val="nil"/>
                  <w:left w:val="nil"/>
                  <w:bottom w:val="single" w:sz="4" w:space="0" w:color="auto"/>
                  <w:right w:val="single" w:sz="4" w:space="0" w:color="auto"/>
                </w:tcBorders>
                <w:shd w:val="clear" w:color="auto" w:fill="auto"/>
                <w:noWrap/>
                <w:vAlign w:val="bottom"/>
                <w:hideMark/>
              </w:tcPr>
              <w:p w14:paraId="080DBE3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258</w:t>
                </w:r>
              </w:p>
            </w:tc>
            <w:tc>
              <w:tcPr>
                <w:tcW w:w="979" w:type="pct"/>
                <w:tcBorders>
                  <w:top w:val="nil"/>
                  <w:left w:val="nil"/>
                  <w:bottom w:val="single" w:sz="4" w:space="0" w:color="auto"/>
                  <w:right w:val="single" w:sz="4" w:space="0" w:color="auto"/>
                </w:tcBorders>
                <w:shd w:val="clear" w:color="auto" w:fill="auto"/>
                <w:noWrap/>
                <w:vAlign w:val="bottom"/>
                <w:hideMark/>
              </w:tcPr>
              <w:p w14:paraId="1246BEF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0.943396226</w:t>
                </w:r>
              </w:p>
            </w:tc>
            <w:tc>
              <w:tcPr>
                <w:tcW w:w="815" w:type="pct"/>
                <w:tcBorders>
                  <w:top w:val="nil"/>
                  <w:left w:val="nil"/>
                  <w:bottom w:val="single" w:sz="4" w:space="0" w:color="auto"/>
                  <w:right w:val="single" w:sz="4" w:space="0" w:color="auto"/>
                </w:tcBorders>
                <w:shd w:val="clear" w:color="auto" w:fill="auto"/>
                <w:noWrap/>
                <w:vAlign w:val="bottom"/>
                <w:hideMark/>
              </w:tcPr>
              <w:p w14:paraId="3F18B6B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243</w:t>
                </w:r>
              </w:p>
            </w:tc>
            <w:tc>
              <w:tcPr>
                <w:tcW w:w="1025" w:type="pct"/>
                <w:tcBorders>
                  <w:top w:val="nil"/>
                  <w:left w:val="nil"/>
                  <w:bottom w:val="single" w:sz="4" w:space="0" w:color="auto"/>
                  <w:right w:val="single" w:sz="4" w:space="0" w:color="auto"/>
                </w:tcBorders>
                <w:shd w:val="clear" w:color="auto" w:fill="auto"/>
                <w:noWrap/>
                <w:vAlign w:val="bottom"/>
                <w:hideMark/>
              </w:tcPr>
              <w:p w14:paraId="3225572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0.862068966</w:t>
                </w:r>
              </w:p>
            </w:tc>
            <w:tc>
              <w:tcPr>
                <w:tcW w:w="815" w:type="pct"/>
                <w:tcBorders>
                  <w:top w:val="nil"/>
                  <w:left w:val="nil"/>
                  <w:bottom w:val="single" w:sz="4" w:space="0" w:color="auto"/>
                  <w:right w:val="single" w:sz="4" w:space="0" w:color="auto"/>
                </w:tcBorders>
                <w:shd w:val="clear" w:color="auto" w:fill="auto"/>
                <w:noWrap/>
                <w:vAlign w:val="bottom"/>
                <w:hideMark/>
              </w:tcPr>
              <w:p w14:paraId="5D8E3FF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222</w:t>
                </w:r>
              </w:p>
            </w:tc>
          </w:tr>
          <w:tr w:rsidR="00C444E6" w:rsidRPr="00C444E6" w14:paraId="2166F50B"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101DE8D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lastRenderedPageBreak/>
                  <w:t>2</w:t>
                </w:r>
              </w:p>
            </w:tc>
            <w:tc>
              <w:tcPr>
                <w:tcW w:w="706" w:type="pct"/>
                <w:tcBorders>
                  <w:top w:val="nil"/>
                  <w:left w:val="nil"/>
                  <w:bottom w:val="single" w:sz="4" w:space="0" w:color="auto"/>
                  <w:right w:val="single" w:sz="4" w:space="0" w:color="auto"/>
                </w:tcBorders>
                <w:shd w:val="clear" w:color="auto" w:fill="auto"/>
                <w:noWrap/>
                <w:vAlign w:val="bottom"/>
                <w:hideMark/>
              </w:tcPr>
              <w:p w14:paraId="667B4E3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333</w:t>
                </w:r>
              </w:p>
            </w:tc>
            <w:tc>
              <w:tcPr>
                <w:tcW w:w="979" w:type="pct"/>
                <w:tcBorders>
                  <w:top w:val="nil"/>
                  <w:left w:val="nil"/>
                  <w:bottom w:val="single" w:sz="4" w:space="0" w:color="auto"/>
                  <w:right w:val="single" w:sz="4" w:space="0" w:color="auto"/>
                </w:tcBorders>
                <w:shd w:val="clear" w:color="auto" w:fill="auto"/>
                <w:noWrap/>
                <w:vAlign w:val="bottom"/>
                <w:hideMark/>
              </w:tcPr>
              <w:p w14:paraId="237444F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0.88999644</w:t>
                </w:r>
              </w:p>
            </w:tc>
            <w:tc>
              <w:tcPr>
                <w:tcW w:w="815" w:type="pct"/>
                <w:tcBorders>
                  <w:top w:val="nil"/>
                  <w:left w:val="nil"/>
                  <w:bottom w:val="single" w:sz="4" w:space="0" w:color="auto"/>
                  <w:right w:val="single" w:sz="4" w:space="0" w:color="auto"/>
                </w:tcBorders>
                <w:shd w:val="clear" w:color="auto" w:fill="auto"/>
                <w:noWrap/>
                <w:vAlign w:val="bottom"/>
                <w:hideMark/>
              </w:tcPr>
              <w:p w14:paraId="3E874972"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296</w:t>
                </w:r>
              </w:p>
            </w:tc>
            <w:tc>
              <w:tcPr>
                <w:tcW w:w="1025" w:type="pct"/>
                <w:tcBorders>
                  <w:top w:val="nil"/>
                  <w:left w:val="nil"/>
                  <w:bottom w:val="single" w:sz="4" w:space="0" w:color="auto"/>
                  <w:right w:val="single" w:sz="4" w:space="0" w:color="auto"/>
                </w:tcBorders>
                <w:shd w:val="clear" w:color="auto" w:fill="auto"/>
                <w:noWrap/>
                <w:vAlign w:val="bottom"/>
                <w:hideMark/>
              </w:tcPr>
              <w:p w14:paraId="6719625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0.743162901</w:t>
                </w:r>
              </w:p>
            </w:tc>
            <w:tc>
              <w:tcPr>
                <w:tcW w:w="815" w:type="pct"/>
                <w:tcBorders>
                  <w:top w:val="nil"/>
                  <w:left w:val="nil"/>
                  <w:bottom w:val="single" w:sz="4" w:space="0" w:color="auto"/>
                  <w:right w:val="single" w:sz="4" w:space="0" w:color="auto"/>
                </w:tcBorders>
                <w:shd w:val="clear" w:color="auto" w:fill="auto"/>
                <w:noWrap/>
                <w:vAlign w:val="bottom"/>
                <w:hideMark/>
              </w:tcPr>
              <w:p w14:paraId="53DEB231"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247</w:t>
                </w:r>
              </w:p>
            </w:tc>
          </w:tr>
          <w:tr w:rsidR="00C444E6" w:rsidRPr="00C444E6" w14:paraId="2D769E93"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05D3686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w:t>
                </w:r>
              </w:p>
            </w:tc>
            <w:tc>
              <w:tcPr>
                <w:tcW w:w="706" w:type="pct"/>
                <w:tcBorders>
                  <w:top w:val="nil"/>
                  <w:left w:val="nil"/>
                  <w:bottom w:val="single" w:sz="4" w:space="0" w:color="auto"/>
                  <w:right w:val="single" w:sz="4" w:space="0" w:color="auto"/>
                </w:tcBorders>
                <w:shd w:val="clear" w:color="auto" w:fill="auto"/>
                <w:noWrap/>
                <w:vAlign w:val="bottom"/>
                <w:hideMark/>
              </w:tcPr>
              <w:p w14:paraId="1A594D9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370</w:t>
                </w:r>
              </w:p>
            </w:tc>
            <w:tc>
              <w:tcPr>
                <w:tcW w:w="979" w:type="pct"/>
                <w:tcBorders>
                  <w:top w:val="nil"/>
                  <w:left w:val="nil"/>
                  <w:bottom w:val="single" w:sz="4" w:space="0" w:color="auto"/>
                  <w:right w:val="single" w:sz="4" w:space="0" w:color="auto"/>
                </w:tcBorders>
                <w:shd w:val="clear" w:color="auto" w:fill="auto"/>
                <w:noWrap/>
                <w:vAlign w:val="bottom"/>
                <w:hideMark/>
              </w:tcPr>
              <w:p w14:paraId="6F01DA8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0.839619283</w:t>
                </w:r>
              </w:p>
            </w:tc>
            <w:tc>
              <w:tcPr>
                <w:tcW w:w="815" w:type="pct"/>
                <w:tcBorders>
                  <w:top w:val="nil"/>
                  <w:left w:val="nil"/>
                  <w:bottom w:val="single" w:sz="4" w:space="0" w:color="auto"/>
                  <w:right w:val="single" w:sz="4" w:space="0" w:color="auto"/>
                </w:tcBorders>
                <w:shd w:val="clear" w:color="auto" w:fill="auto"/>
                <w:noWrap/>
                <w:vAlign w:val="bottom"/>
                <w:hideMark/>
              </w:tcPr>
              <w:p w14:paraId="3529CDA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311</w:t>
                </w:r>
              </w:p>
            </w:tc>
            <w:tc>
              <w:tcPr>
                <w:tcW w:w="1025" w:type="pct"/>
                <w:tcBorders>
                  <w:top w:val="nil"/>
                  <w:left w:val="nil"/>
                  <w:bottom w:val="single" w:sz="4" w:space="0" w:color="auto"/>
                  <w:right w:val="single" w:sz="4" w:space="0" w:color="auto"/>
                </w:tcBorders>
                <w:shd w:val="clear" w:color="auto" w:fill="auto"/>
                <w:noWrap/>
                <w:vAlign w:val="bottom"/>
                <w:hideMark/>
              </w:tcPr>
              <w:p w14:paraId="1FC4554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0.640657674</w:t>
                </w:r>
              </w:p>
            </w:tc>
            <w:tc>
              <w:tcPr>
                <w:tcW w:w="815" w:type="pct"/>
                <w:tcBorders>
                  <w:top w:val="nil"/>
                  <w:left w:val="nil"/>
                  <w:bottom w:val="single" w:sz="4" w:space="0" w:color="auto"/>
                  <w:right w:val="single" w:sz="4" w:space="0" w:color="auto"/>
                </w:tcBorders>
                <w:shd w:val="clear" w:color="auto" w:fill="auto"/>
                <w:noWrap/>
                <w:vAlign w:val="bottom"/>
                <w:hideMark/>
              </w:tcPr>
              <w:p w14:paraId="4A07EF5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237</w:t>
                </w:r>
              </w:p>
            </w:tc>
          </w:tr>
          <w:tr w:rsidR="00C444E6" w:rsidRPr="00C444E6" w14:paraId="3E97F69B"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3AAE346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w:t>
                </w:r>
              </w:p>
            </w:tc>
            <w:tc>
              <w:tcPr>
                <w:tcW w:w="706" w:type="pct"/>
                <w:tcBorders>
                  <w:top w:val="nil"/>
                  <w:left w:val="nil"/>
                  <w:bottom w:val="single" w:sz="4" w:space="0" w:color="auto"/>
                  <w:right w:val="single" w:sz="4" w:space="0" w:color="auto"/>
                </w:tcBorders>
                <w:shd w:val="clear" w:color="auto" w:fill="auto"/>
                <w:noWrap/>
                <w:vAlign w:val="bottom"/>
                <w:hideMark/>
              </w:tcPr>
              <w:p w14:paraId="481E67A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408</w:t>
                </w:r>
              </w:p>
            </w:tc>
            <w:tc>
              <w:tcPr>
                <w:tcW w:w="979" w:type="pct"/>
                <w:tcBorders>
                  <w:top w:val="nil"/>
                  <w:left w:val="nil"/>
                  <w:bottom w:val="single" w:sz="4" w:space="0" w:color="auto"/>
                  <w:right w:val="single" w:sz="4" w:space="0" w:color="auto"/>
                </w:tcBorders>
                <w:shd w:val="clear" w:color="auto" w:fill="auto"/>
                <w:noWrap/>
                <w:vAlign w:val="bottom"/>
                <w:hideMark/>
              </w:tcPr>
              <w:p w14:paraId="517B6FF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0.792093663</w:t>
                </w:r>
              </w:p>
            </w:tc>
            <w:tc>
              <w:tcPr>
                <w:tcW w:w="815" w:type="pct"/>
                <w:tcBorders>
                  <w:top w:val="nil"/>
                  <w:left w:val="nil"/>
                  <w:bottom w:val="single" w:sz="4" w:space="0" w:color="auto"/>
                  <w:right w:val="single" w:sz="4" w:space="0" w:color="auto"/>
                </w:tcBorders>
                <w:shd w:val="clear" w:color="auto" w:fill="auto"/>
                <w:noWrap/>
                <w:vAlign w:val="bottom"/>
                <w:hideMark/>
              </w:tcPr>
              <w:p w14:paraId="07846CE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323</w:t>
                </w:r>
              </w:p>
            </w:tc>
            <w:tc>
              <w:tcPr>
                <w:tcW w:w="1025" w:type="pct"/>
                <w:tcBorders>
                  <w:top w:val="nil"/>
                  <w:left w:val="nil"/>
                  <w:bottom w:val="single" w:sz="4" w:space="0" w:color="auto"/>
                  <w:right w:val="single" w:sz="4" w:space="0" w:color="auto"/>
                </w:tcBorders>
                <w:shd w:val="clear" w:color="auto" w:fill="auto"/>
                <w:noWrap/>
                <w:vAlign w:val="bottom"/>
                <w:hideMark/>
              </w:tcPr>
              <w:p w14:paraId="7E5340B2"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0.552291098</w:t>
                </w:r>
              </w:p>
            </w:tc>
            <w:tc>
              <w:tcPr>
                <w:tcW w:w="815" w:type="pct"/>
                <w:tcBorders>
                  <w:top w:val="nil"/>
                  <w:left w:val="nil"/>
                  <w:bottom w:val="single" w:sz="4" w:space="0" w:color="auto"/>
                  <w:right w:val="single" w:sz="4" w:space="0" w:color="auto"/>
                </w:tcBorders>
                <w:shd w:val="clear" w:color="auto" w:fill="auto"/>
                <w:noWrap/>
                <w:vAlign w:val="bottom"/>
                <w:hideMark/>
              </w:tcPr>
              <w:p w14:paraId="5AE5D7E3"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225</w:t>
                </w:r>
              </w:p>
            </w:tc>
          </w:tr>
          <w:tr w:rsidR="00C444E6" w:rsidRPr="00C444E6" w14:paraId="6768CB9C"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66DC7BA9"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NPV</w:t>
                </w:r>
              </w:p>
            </w:tc>
            <w:tc>
              <w:tcPr>
                <w:tcW w:w="706" w:type="pct"/>
                <w:tcBorders>
                  <w:top w:val="nil"/>
                  <w:left w:val="nil"/>
                  <w:bottom w:val="single" w:sz="4" w:space="0" w:color="auto"/>
                  <w:right w:val="single" w:sz="4" w:space="0" w:color="auto"/>
                </w:tcBorders>
                <w:shd w:val="clear" w:color="auto" w:fill="auto"/>
                <w:noWrap/>
                <w:vAlign w:val="bottom"/>
                <w:hideMark/>
              </w:tcPr>
              <w:p w14:paraId="3380FD0E"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979" w:type="pct"/>
                <w:tcBorders>
                  <w:top w:val="nil"/>
                  <w:left w:val="nil"/>
                  <w:bottom w:val="single" w:sz="4" w:space="0" w:color="auto"/>
                  <w:right w:val="single" w:sz="4" w:space="0" w:color="auto"/>
                </w:tcBorders>
                <w:shd w:val="clear" w:color="auto" w:fill="auto"/>
                <w:noWrap/>
                <w:vAlign w:val="bottom"/>
                <w:hideMark/>
              </w:tcPr>
              <w:p w14:paraId="7678C2D2"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815" w:type="pct"/>
                <w:tcBorders>
                  <w:top w:val="nil"/>
                  <w:left w:val="nil"/>
                  <w:bottom w:val="single" w:sz="4" w:space="0" w:color="auto"/>
                  <w:right w:val="single" w:sz="4" w:space="0" w:color="auto"/>
                </w:tcBorders>
                <w:shd w:val="clear" w:color="auto" w:fill="auto"/>
                <w:noWrap/>
                <w:vAlign w:val="bottom"/>
                <w:hideMark/>
              </w:tcPr>
              <w:p w14:paraId="11D6F019"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514</w:t>
                </w:r>
              </w:p>
            </w:tc>
            <w:tc>
              <w:tcPr>
                <w:tcW w:w="1025" w:type="pct"/>
                <w:tcBorders>
                  <w:top w:val="nil"/>
                  <w:left w:val="nil"/>
                  <w:bottom w:val="single" w:sz="4" w:space="0" w:color="auto"/>
                  <w:right w:val="single" w:sz="4" w:space="0" w:color="auto"/>
                </w:tcBorders>
                <w:shd w:val="clear" w:color="auto" w:fill="auto"/>
                <w:noWrap/>
                <w:vAlign w:val="bottom"/>
                <w:hideMark/>
              </w:tcPr>
              <w:p w14:paraId="7DC5A1A8"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815" w:type="pct"/>
                <w:tcBorders>
                  <w:top w:val="nil"/>
                  <w:left w:val="nil"/>
                  <w:bottom w:val="single" w:sz="4" w:space="0" w:color="auto"/>
                  <w:right w:val="single" w:sz="4" w:space="0" w:color="auto"/>
                </w:tcBorders>
                <w:shd w:val="clear" w:color="auto" w:fill="auto"/>
                <w:noWrap/>
                <w:vAlign w:val="bottom"/>
                <w:hideMark/>
              </w:tcPr>
              <w:p w14:paraId="21D79B2D"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272</w:t>
                </w:r>
              </w:p>
            </w:tc>
          </w:tr>
          <w:tr w:rsidR="00C444E6" w:rsidRPr="00C444E6" w14:paraId="165A60A5" w14:textId="77777777" w:rsidTr="00C444E6">
            <w:trPr>
              <w:trHeight w:val="288"/>
            </w:trPr>
            <w:tc>
              <w:tcPr>
                <w:tcW w:w="659" w:type="pct"/>
                <w:tcBorders>
                  <w:top w:val="nil"/>
                  <w:left w:val="nil"/>
                  <w:bottom w:val="nil"/>
                  <w:right w:val="nil"/>
                </w:tcBorders>
                <w:shd w:val="clear" w:color="auto" w:fill="auto"/>
                <w:noWrap/>
                <w:vAlign w:val="bottom"/>
                <w:hideMark/>
              </w:tcPr>
              <w:p w14:paraId="3A581DB4"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p>
            </w:tc>
            <w:tc>
              <w:tcPr>
                <w:tcW w:w="706" w:type="pct"/>
                <w:tcBorders>
                  <w:top w:val="nil"/>
                  <w:left w:val="nil"/>
                  <w:bottom w:val="nil"/>
                  <w:right w:val="nil"/>
                </w:tcBorders>
                <w:shd w:val="clear" w:color="auto" w:fill="auto"/>
                <w:noWrap/>
                <w:vAlign w:val="bottom"/>
                <w:hideMark/>
              </w:tcPr>
              <w:p w14:paraId="617849C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5EB3F4E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8C7C51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2E10ED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F04631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370E57D" w14:textId="77777777" w:rsidTr="00C444E6">
            <w:trPr>
              <w:trHeight w:val="288"/>
            </w:trPr>
            <w:tc>
              <w:tcPr>
                <w:tcW w:w="659" w:type="pct"/>
                <w:tcBorders>
                  <w:top w:val="nil"/>
                  <w:left w:val="nil"/>
                  <w:bottom w:val="nil"/>
                  <w:right w:val="nil"/>
                </w:tcBorders>
                <w:shd w:val="clear" w:color="auto" w:fill="auto"/>
                <w:noWrap/>
                <w:vAlign w:val="bottom"/>
                <w:hideMark/>
              </w:tcPr>
              <w:p w14:paraId="243A540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6CB5C82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14CCBB4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D38E89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5B40786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3579EB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5BFFE67" w14:textId="77777777" w:rsidTr="00C444E6">
            <w:trPr>
              <w:trHeight w:val="288"/>
            </w:trPr>
            <w:tc>
              <w:tcPr>
                <w:tcW w:w="2345" w:type="pct"/>
                <w:gridSpan w:val="3"/>
                <w:tcBorders>
                  <w:top w:val="nil"/>
                  <w:left w:val="nil"/>
                  <w:bottom w:val="nil"/>
                  <w:right w:val="nil"/>
                </w:tcBorders>
                <w:shd w:val="clear" w:color="auto" w:fill="auto"/>
                <w:noWrap/>
                <w:vAlign w:val="bottom"/>
                <w:hideMark/>
              </w:tcPr>
              <w:p w14:paraId="7D20D4C8" w14:textId="77777777" w:rsidR="00C444E6" w:rsidRPr="00C444E6" w:rsidRDefault="00C444E6" w:rsidP="00C444E6">
                <w:pPr>
                  <w:spacing w:after="0" w:line="240" w:lineRule="auto"/>
                  <w:jc w:val="center"/>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IRR for Proposal A</w:t>
                </w:r>
              </w:p>
            </w:tc>
            <w:tc>
              <w:tcPr>
                <w:tcW w:w="815" w:type="pct"/>
                <w:tcBorders>
                  <w:top w:val="nil"/>
                  <w:left w:val="nil"/>
                  <w:bottom w:val="nil"/>
                  <w:right w:val="nil"/>
                </w:tcBorders>
                <w:shd w:val="clear" w:color="auto" w:fill="auto"/>
                <w:noWrap/>
                <w:vAlign w:val="bottom"/>
                <w:hideMark/>
              </w:tcPr>
              <w:p w14:paraId="6F8FFDD4" w14:textId="77777777" w:rsidR="00C444E6" w:rsidRPr="00C444E6" w:rsidRDefault="00C444E6" w:rsidP="00C444E6">
                <w:pPr>
                  <w:spacing w:after="0" w:line="240" w:lineRule="auto"/>
                  <w:jc w:val="center"/>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0209B3E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947E24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231AF5D" w14:textId="77777777" w:rsidTr="00C444E6">
            <w:trPr>
              <w:trHeight w:val="288"/>
            </w:trPr>
            <w:tc>
              <w:tcPr>
                <w:tcW w:w="659" w:type="pct"/>
                <w:tcBorders>
                  <w:top w:val="nil"/>
                  <w:left w:val="nil"/>
                  <w:bottom w:val="nil"/>
                  <w:right w:val="nil"/>
                </w:tcBorders>
                <w:shd w:val="clear" w:color="auto" w:fill="auto"/>
                <w:noWrap/>
                <w:vAlign w:val="bottom"/>
                <w:hideMark/>
              </w:tcPr>
              <w:p w14:paraId="118FB300"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NPV @ 6%</w:t>
                </w:r>
              </w:p>
            </w:tc>
            <w:tc>
              <w:tcPr>
                <w:tcW w:w="706" w:type="pct"/>
                <w:tcBorders>
                  <w:top w:val="nil"/>
                  <w:left w:val="nil"/>
                  <w:bottom w:val="nil"/>
                  <w:right w:val="nil"/>
                </w:tcBorders>
                <w:shd w:val="clear" w:color="auto" w:fill="auto"/>
                <w:noWrap/>
                <w:vAlign w:val="bottom"/>
                <w:hideMark/>
              </w:tcPr>
              <w:p w14:paraId="50D2CAF6"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514</w:t>
                </w:r>
              </w:p>
            </w:tc>
            <w:tc>
              <w:tcPr>
                <w:tcW w:w="979" w:type="pct"/>
                <w:tcBorders>
                  <w:top w:val="nil"/>
                  <w:left w:val="nil"/>
                  <w:bottom w:val="nil"/>
                  <w:right w:val="nil"/>
                </w:tcBorders>
                <w:shd w:val="clear" w:color="auto" w:fill="auto"/>
                <w:noWrap/>
                <w:vAlign w:val="bottom"/>
                <w:hideMark/>
              </w:tcPr>
              <w:p w14:paraId="41C10F8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267E089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4C1D1C9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3DEB77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CE2DD16" w14:textId="77777777" w:rsidTr="00C444E6">
            <w:trPr>
              <w:trHeight w:val="288"/>
            </w:trPr>
            <w:tc>
              <w:tcPr>
                <w:tcW w:w="659" w:type="pct"/>
                <w:tcBorders>
                  <w:top w:val="nil"/>
                  <w:left w:val="nil"/>
                  <w:bottom w:val="nil"/>
                  <w:right w:val="nil"/>
                </w:tcBorders>
                <w:shd w:val="clear" w:color="auto" w:fill="auto"/>
                <w:noWrap/>
                <w:vAlign w:val="bottom"/>
                <w:hideMark/>
              </w:tcPr>
              <w:p w14:paraId="27218024"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NPV @16%</w:t>
                </w:r>
              </w:p>
            </w:tc>
            <w:tc>
              <w:tcPr>
                <w:tcW w:w="706" w:type="pct"/>
                <w:tcBorders>
                  <w:top w:val="nil"/>
                  <w:left w:val="nil"/>
                  <w:bottom w:val="nil"/>
                  <w:right w:val="nil"/>
                </w:tcBorders>
                <w:shd w:val="clear" w:color="auto" w:fill="auto"/>
                <w:noWrap/>
                <w:vAlign w:val="bottom"/>
                <w:hideMark/>
              </w:tcPr>
              <w:p w14:paraId="4B3DBA7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272</w:t>
                </w:r>
              </w:p>
            </w:tc>
            <w:tc>
              <w:tcPr>
                <w:tcW w:w="979" w:type="pct"/>
                <w:tcBorders>
                  <w:top w:val="nil"/>
                  <w:left w:val="nil"/>
                  <w:bottom w:val="nil"/>
                  <w:right w:val="nil"/>
                </w:tcBorders>
                <w:shd w:val="clear" w:color="auto" w:fill="auto"/>
                <w:noWrap/>
                <w:vAlign w:val="bottom"/>
                <w:hideMark/>
              </w:tcPr>
              <w:p w14:paraId="1A2876A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1D5D8AD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28A4123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95C16C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FABF3E9" w14:textId="77777777" w:rsidTr="00C444E6">
            <w:trPr>
              <w:trHeight w:val="288"/>
            </w:trPr>
            <w:tc>
              <w:tcPr>
                <w:tcW w:w="659" w:type="pct"/>
                <w:tcBorders>
                  <w:top w:val="nil"/>
                  <w:left w:val="nil"/>
                  <w:bottom w:val="nil"/>
                  <w:right w:val="nil"/>
                </w:tcBorders>
                <w:shd w:val="clear" w:color="auto" w:fill="auto"/>
                <w:noWrap/>
                <w:vAlign w:val="bottom"/>
                <w:hideMark/>
              </w:tcPr>
              <w:p w14:paraId="4648541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5FCE813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1040282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850F56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24E226D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2F9AE9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B79822D" w14:textId="77777777" w:rsidTr="00C444E6">
            <w:trPr>
              <w:trHeight w:val="288"/>
            </w:trPr>
            <w:tc>
              <w:tcPr>
                <w:tcW w:w="659" w:type="pct"/>
                <w:tcBorders>
                  <w:top w:val="nil"/>
                  <w:left w:val="nil"/>
                  <w:bottom w:val="nil"/>
                  <w:right w:val="nil"/>
                </w:tcBorders>
                <w:shd w:val="clear" w:color="auto" w:fill="auto"/>
                <w:noWrap/>
                <w:vAlign w:val="bottom"/>
                <w:hideMark/>
              </w:tcPr>
              <w:p w14:paraId="52B8DA54"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Addition of NPV</w:t>
                </w:r>
              </w:p>
            </w:tc>
            <w:tc>
              <w:tcPr>
                <w:tcW w:w="706" w:type="pct"/>
                <w:tcBorders>
                  <w:top w:val="nil"/>
                  <w:left w:val="nil"/>
                  <w:bottom w:val="nil"/>
                  <w:right w:val="nil"/>
                </w:tcBorders>
                <w:shd w:val="clear" w:color="auto" w:fill="auto"/>
                <w:noWrap/>
                <w:vAlign w:val="bottom"/>
                <w:hideMark/>
              </w:tcPr>
              <w:p w14:paraId="189CBA8F"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514+272</w:t>
                </w:r>
              </w:p>
            </w:tc>
            <w:tc>
              <w:tcPr>
                <w:tcW w:w="979" w:type="pct"/>
                <w:tcBorders>
                  <w:top w:val="nil"/>
                  <w:left w:val="nil"/>
                  <w:bottom w:val="nil"/>
                  <w:right w:val="nil"/>
                </w:tcBorders>
                <w:shd w:val="clear" w:color="auto" w:fill="auto"/>
                <w:noWrap/>
                <w:vAlign w:val="bottom"/>
                <w:hideMark/>
              </w:tcPr>
              <w:p w14:paraId="4FADC4F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786</w:t>
                </w:r>
              </w:p>
            </w:tc>
            <w:tc>
              <w:tcPr>
                <w:tcW w:w="815" w:type="pct"/>
                <w:tcBorders>
                  <w:top w:val="nil"/>
                  <w:left w:val="nil"/>
                  <w:bottom w:val="nil"/>
                  <w:right w:val="nil"/>
                </w:tcBorders>
                <w:shd w:val="clear" w:color="auto" w:fill="auto"/>
                <w:noWrap/>
                <w:vAlign w:val="bottom"/>
                <w:hideMark/>
              </w:tcPr>
              <w:p w14:paraId="5869D002"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6E5DB0D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B57342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C8D945F" w14:textId="77777777" w:rsidTr="00C444E6">
            <w:trPr>
              <w:trHeight w:val="288"/>
            </w:trPr>
            <w:tc>
              <w:tcPr>
                <w:tcW w:w="659" w:type="pct"/>
                <w:tcBorders>
                  <w:top w:val="nil"/>
                  <w:left w:val="nil"/>
                  <w:bottom w:val="nil"/>
                  <w:right w:val="nil"/>
                </w:tcBorders>
                <w:shd w:val="clear" w:color="auto" w:fill="auto"/>
                <w:noWrap/>
                <w:vAlign w:val="bottom"/>
                <w:hideMark/>
              </w:tcPr>
              <w:p w14:paraId="7F8404C2"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Deduction of Rates</w:t>
                </w:r>
              </w:p>
            </w:tc>
            <w:tc>
              <w:tcPr>
                <w:tcW w:w="706" w:type="pct"/>
                <w:tcBorders>
                  <w:top w:val="nil"/>
                  <w:left w:val="nil"/>
                  <w:bottom w:val="nil"/>
                  <w:right w:val="nil"/>
                </w:tcBorders>
                <w:shd w:val="clear" w:color="auto" w:fill="auto"/>
                <w:noWrap/>
                <w:vAlign w:val="bottom"/>
                <w:hideMark/>
              </w:tcPr>
              <w:p w14:paraId="06B795F8"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16%-6%</w:t>
                </w:r>
              </w:p>
            </w:tc>
            <w:tc>
              <w:tcPr>
                <w:tcW w:w="979" w:type="pct"/>
                <w:tcBorders>
                  <w:top w:val="nil"/>
                  <w:left w:val="nil"/>
                  <w:bottom w:val="nil"/>
                  <w:right w:val="nil"/>
                </w:tcBorders>
                <w:shd w:val="clear" w:color="auto" w:fill="auto"/>
                <w:noWrap/>
                <w:vAlign w:val="bottom"/>
                <w:hideMark/>
              </w:tcPr>
              <w:p w14:paraId="4C00F893"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10.0%</w:t>
                </w:r>
              </w:p>
            </w:tc>
            <w:tc>
              <w:tcPr>
                <w:tcW w:w="815" w:type="pct"/>
                <w:tcBorders>
                  <w:top w:val="nil"/>
                  <w:left w:val="nil"/>
                  <w:bottom w:val="nil"/>
                  <w:right w:val="nil"/>
                </w:tcBorders>
                <w:shd w:val="clear" w:color="auto" w:fill="auto"/>
                <w:noWrap/>
                <w:vAlign w:val="bottom"/>
                <w:hideMark/>
              </w:tcPr>
              <w:p w14:paraId="5C4D030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117B204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B91343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D82C297" w14:textId="77777777" w:rsidTr="00C444E6">
            <w:trPr>
              <w:trHeight w:val="288"/>
            </w:trPr>
            <w:tc>
              <w:tcPr>
                <w:tcW w:w="659" w:type="pct"/>
                <w:tcBorders>
                  <w:top w:val="nil"/>
                  <w:left w:val="nil"/>
                  <w:bottom w:val="nil"/>
                  <w:right w:val="nil"/>
                </w:tcBorders>
                <w:shd w:val="clear" w:color="auto" w:fill="auto"/>
                <w:noWrap/>
                <w:vAlign w:val="bottom"/>
                <w:hideMark/>
              </w:tcPr>
              <w:p w14:paraId="6E81F1A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0A20782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1AAE139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3331E4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7B1DD5D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2A0CA6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0B2C926" w14:textId="77777777" w:rsidTr="00C444E6">
            <w:trPr>
              <w:trHeight w:val="288"/>
            </w:trPr>
            <w:tc>
              <w:tcPr>
                <w:tcW w:w="659" w:type="pct"/>
                <w:tcBorders>
                  <w:top w:val="nil"/>
                  <w:left w:val="nil"/>
                  <w:bottom w:val="nil"/>
                  <w:right w:val="nil"/>
                </w:tcBorders>
                <w:shd w:val="clear" w:color="auto" w:fill="auto"/>
                <w:noWrap/>
                <w:vAlign w:val="bottom"/>
                <w:hideMark/>
              </w:tcPr>
              <w:p w14:paraId="0C6FF286"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IF</w:t>
                </w:r>
              </w:p>
            </w:tc>
            <w:tc>
              <w:tcPr>
                <w:tcW w:w="706" w:type="pct"/>
                <w:tcBorders>
                  <w:top w:val="nil"/>
                  <w:left w:val="nil"/>
                  <w:bottom w:val="nil"/>
                  <w:right w:val="nil"/>
                </w:tcBorders>
                <w:shd w:val="clear" w:color="auto" w:fill="auto"/>
                <w:noWrap/>
                <w:vAlign w:val="bottom"/>
                <w:hideMark/>
              </w:tcPr>
              <w:p w14:paraId="3DB7C616"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786 = 10%</w:t>
                </w:r>
              </w:p>
            </w:tc>
            <w:tc>
              <w:tcPr>
                <w:tcW w:w="979" w:type="pct"/>
                <w:tcBorders>
                  <w:top w:val="nil"/>
                  <w:left w:val="nil"/>
                  <w:bottom w:val="nil"/>
                  <w:right w:val="nil"/>
                </w:tcBorders>
                <w:shd w:val="clear" w:color="auto" w:fill="auto"/>
                <w:noWrap/>
                <w:vAlign w:val="bottom"/>
                <w:hideMark/>
              </w:tcPr>
              <w:p w14:paraId="4E3717CD" w14:textId="77777777" w:rsidR="00C444E6" w:rsidRPr="00C444E6" w:rsidRDefault="00C444E6" w:rsidP="00C444E6">
                <w:pPr>
                  <w:spacing w:after="0" w:line="240" w:lineRule="auto"/>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3298FD3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32364C5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81AA18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54A545F3" w14:textId="77777777" w:rsidTr="00C444E6">
            <w:trPr>
              <w:trHeight w:val="288"/>
            </w:trPr>
            <w:tc>
              <w:tcPr>
                <w:tcW w:w="659" w:type="pct"/>
                <w:tcBorders>
                  <w:top w:val="nil"/>
                  <w:left w:val="nil"/>
                  <w:bottom w:val="nil"/>
                  <w:right w:val="nil"/>
                </w:tcBorders>
                <w:shd w:val="clear" w:color="auto" w:fill="auto"/>
                <w:noWrap/>
                <w:vAlign w:val="bottom"/>
                <w:hideMark/>
              </w:tcPr>
              <w:p w14:paraId="45DB973D"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 = 786/10</w:t>
                </w:r>
              </w:p>
            </w:tc>
            <w:tc>
              <w:tcPr>
                <w:tcW w:w="706" w:type="pct"/>
                <w:tcBorders>
                  <w:top w:val="nil"/>
                  <w:left w:val="nil"/>
                  <w:bottom w:val="nil"/>
                  <w:right w:val="nil"/>
                </w:tcBorders>
                <w:shd w:val="clear" w:color="auto" w:fill="auto"/>
                <w:noWrap/>
                <w:vAlign w:val="bottom"/>
                <w:hideMark/>
              </w:tcPr>
              <w:p w14:paraId="1445D03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78.6</w:t>
                </w:r>
              </w:p>
            </w:tc>
            <w:tc>
              <w:tcPr>
                <w:tcW w:w="979" w:type="pct"/>
                <w:tcBorders>
                  <w:top w:val="nil"/>
                  <w:left w:val="nil"/>
                  <w:bottom w:val="nil"/>
                  <w:right w:val="nil"/>
                </w:tcBorders>
                <w:shd w:val="clear" w:color="auto" w:fill="auto"/>
                <w:noWrap/>
                <w:vAlign w:val="bottom"/>
                <w:hideMark/>
              </w:tcPr>
              <w:p w14:paraId="555255C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52B288A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2631D0E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027098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53A074A" w14:textId="77777777" w:rsidTr="00C444E6">
            <w:trPr>
              <w:trHeight w:val="288"/>
            </w:trPr>
            <w:tc>
              <w:tcPr>
                <w:tcW w:w="659" w:type="pct"/>
                <w:tcBorders>
                  <w:top w:val="nil"/>
                  <w:left w:val="nil"/>
                  <w:bottom w:val="nil"/>
                  <w:right w:val="nil"/>
                </w:tcBorders>
                <w:shd w:val="clear" w:color="auto" w:fill="auto"/>
                <w:noWrap/>
                <w:vAlign w:val="bottom"/>
                <w:hideMark/>
              </w:tcPr>
              <w:p w14:paraId="6379672C"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Therefore;</w:t>
                </w:r>
              </w:p>
            </w:tc>
            <w:tc>
              <w:tcPr>
                <w:tcW w:w="706" w:type="pct"/>
                <w:tcBorders>
                  <w:top w:val="nil"/>
                  <w:left w:val="nil"/>
                  <w:bottom w:val="nil"/>
                  <w:right w:val="nil"/>
                </w:tcBorders>
                <w:shd w:val="clear" w:color="auto" w:fill="auto"/>
                <w:noWrap/>
                <w:vAlign w:val="bottom"/>
                <w:hideMark/>
              </w:tcPr>
              <w:p w14:paraId="4377F267"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514/78.6 = 6.54%</w:t>
                </w:r>
              </w:p>
            </w:tc>
            <w:tc>
              <w:tcPr>
                <w:tcW w:w="979" w:type="pct"/>
                <w:tcBorders>
                  <w:top w:val="nil"/>
                  <w:left w:val="nil"/>
                  <w:bottom w:val="nil"/>
                  <w:right w:val="nil"/>
                </w:tcBorders>
                <w:shd w:val="clear" w:color="auto" w:fill="auto"/>
                <w:noWrap/>
                <w:vAlign w:val="bottom"/>
                <w:hideMark/>
              </w:tcPr>
              <w:p w14:paraId="6B9B3713" w14:textId="77777777" w:rsidR="00C444E6" w:rsidRPr="00C444E6" w:rsidRDefault="00C444E6" w:rsidP="00C444E6">
                <w:pPr>
                  <w:spacing w:after="0" w:line="240" w:lineRule="auto"/>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3C9CD60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7CC9E3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FDDA61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C7A1135" w14:textId="77777777" w:rsidTr="00C444E6">
            <w:trPr>
              <w:trHeight w:val="288"/>
            </w:trPr>
            <w:tc>
              <w:tcPr>
                <w:tcW w:w="659" w:type="pct"/>
                <w:tcBorders>
                  <w:top w:val="nil"/>
                  <w:left w:val="nil"/>
                  <w:bottom w:val="nil"/>
                  <w:right w:val="nil"/>
                </w:tcBorders>
                <w:shd w:val="clear" w:color="auto" w:fill="auto"/>
                <w:noWrap/>
                <w:vAlign w:val="bottom"/>
                <w:hideMark/>
              </w:tcPr>
              <w:p w14:paraId="7E36858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0CADC8F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020275E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37118A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14CB5EF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906FF3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C371D1F" w14:textId="77777777" w:rsidTr="00C444E6">
            <w:trPr>
              <w:trHeight w:val="288"/>
            </w:trPr>
            <w:tc>
              <w:tcPr>
                <w:tcW w:w="659" w:type="pct"/>
                <w:tcBorders>
                  <w:top w:val="nil"/>
                  <w:left w:val="nil"/>
                  <w:bottom w:val="nil"/>
                  <w:right w:val="nil"/>
                </w:tcBorders>
                <w:shd w:val="clear" w:color="auto" w:fill="auto"/>
                <w:noWrap/>
                <w:vAlign w:val="bottom"/>
                <w:hideMark/>
              </w:tcPr>
              <w:p w14:paraId="71F326D8"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IRR for A</w:t>
                </w:r>
              </w:p>
            </w:tc>
            <w:tc>
              <w:tcPr>
                <w:tcW w:w="706" w:type="pct"/>
                <w:tcBorders>
                  <w:top w:val="nil"/>
                  <w:left w:val="nil"/>
                  <w:bottom w:val="nil"/>
                  <w:right w:val="nil"/>
                </w:tcBorders>
                <w:shd w:val="clear" w:color="auto" w:fill="auto"/>
                <w:noWrap/>
                <w:vAlign w:val="bottom"/>
                <w:hideMark/>
              </w:tcPr>
              <w:p w14:paraId="182631C5"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6%+6.54%= 12.54%</w:t>
                </w:r>
              </w:p>
            </w:tc>
            <w:tc>
              <w:tcPr>
                <w:tcW w:w="979" w:type="pct"/>
                <w:tcBorders>
                  <w:top w:val="nil"/>
                  <w:left w:val="nil"/>
                  <w:bottom w:val="nil"/>
                  <w:right w:val="nil"/>
                </w:tcBorders>
                <w:shd w:val="clear" w:color="auto" w:fill="auto"/>
                <w:noWrap/>
                <w:vAlign w:val="bottom"/>
                <w:hideMark/>
              </w:tcPr>
              <w:p w14:paraId="0C500B71"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12.54%</w:t>
                </w:r>
              </w:p>
            </w:tc>
            <w:tc>
              <w:tcPr>
                <w:tcW w:w="815" w:type="pct"/>
                <w:tcBorders>
                  <w:top w:val="nil"/>
                  <w:left w:val="nil"/>
                  <w:bottom w:val="nil"/>
                  <w:right w:val="nil"/>
                </w:tcBorders>
                <w:shd w:val="clear" w:color="auto" w:fill="auto"/>
                <w:noWrap/>
                <w:vAlign w:val="bottom"/>
                <w:hideMark/>
              </w:tcPr>
              <w:p w14:paraId="75D39C5A"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p>
            </w:tc>
            <w:tc>
              <w:tcPr>
                <w:tcW w:w="1025" w:type="pct"/>
                <w:tcBorders>
                  <w:top w:val="nil"/>
                  <w:left w:val="nil"/>
                  <w:bottom w:val="nil"/>
                  <w:right w:val="nil"/>
                </w:tcBorders>
                <w:shd w:val="clear" w:color="auto" w:fill="auto"/>
                <w:noWrap/>
                <w:vAlign w:val="bottom"/>
                <w:hideMark/>
              </w:tcPr>
              <w:p w14:paraId="522232A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4FD807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50452AC" w14:textId="77777777" w:rsidTr="00C444E6">
            <w:trPr>
              <w:trHeight w:val="288"/>
            </w:trPr>
            <w:tc>
              <w:tcPr>
                <w:tcW w:w="659" w:type="pct"/>
                <w:tcBorders>
                  <w:top w:val="nil"/>
                  <w:left w:val="nil"/>
                  <w:bottom w:val="nil"/>
                  <w:right w:val="nil"/>
                </w:tcBorders>
                <w:shd w:val="clear" w:color="auto" w:fill="auto"/>
                <w:noWrap/>
                <w:vAlign w:val="bottom"/>
                <w:hideMark/>
              </w:tcPr>
              <w:p w14:paraId="3964DC5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6D65EAA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79E78B2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2D1BDC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0369F26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284357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95281E9" w14:textId="77777777" w:rsidTr="00C444E6">
            <w:trPr>
              <w:trHeight w:val="288"/>
            </w:trPr>
            <w:tc>
              <w:tcPr>
                <w:tcW w:w="659" w:type="pct"/>
                <w:tcBorders>
                  <w:top w:val="nil"/>
                  <w:left w:val="nil"/>
                  <w:bottom w:val="nil"/>
                  <w:right w:val="nil"/>
                </w:tcBorders>
                <w:shd w:val="clear" w:color="auto" w:fill="auto"/>
                <w:noWrap/>
                <w:vAlign w:val="bottom"/>
                <w:hideMark/>
              </w:tcPr>
              <w:p w14:paraId="41E48A0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778FAD4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5DF7068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8C280E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08D8BEB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7E1867C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811209E" w14:textId="77777777" w:rsidTr="00C444E6">
            <w:trPr>
              <w:trHeight w:val="288"/>
            </w:trPr>
            <w:tc>
              <w:tcPr>
                <w:tcW w:w="659" w:type="pct"/>
                <w:tcBorders>
                  <w:top w:val="nil"/>
                  <w:left w:val="nil"/>
                  <w:bottom w:val="nil"/>
                  <w:right w:val="nil"/>
                </w:tcBorders>
                <w:shd w:val="clear" w:color="auto" w:fill="auto"/>
                <w:noWrap/>
                <w:vAlign w:val="bottom"/>
                <w:hideMark/>
              </w:tcPr>
              <w:p w14:paraId="3D4E6CB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04AE3EC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2BAAB03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E36B44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23AEC52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2CE86A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99BB89B" w14:textId="77777777" w:rsidTr="00C444E6">
            <w:trPr>
              <w:trHeight w:val="288"/>
            </w:trPr>
            <w:tc>
              <w:tcPr>
                <w:tcW w:w="659" w:type="pct"/>
                <w:tcBorders>
                  <w:top w:val="nil"/>
                  <w:left w:val="nil"/>
                  <w:bottom w:val="nil"/>
                  <w:right w:val="nil"/>
                </w:tcBorders>
                <w:shd w:val="clear" w:color="auto" w:fill="auto"/>
                <w:noWrap/>
                <w:vAlign w:val="bottom"/>
                <w:hideMark/>
              </w:tcPr>
              <w:p w14:paraId="541D26B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7D6318B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5DB8F7D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C0872E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0B2C0D0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3FCF04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31EDFA7F" w14:textId="77777777" w:rsidTr="00C444E6">
            <w:trPr>
              <w:trHeight w:val="288"/>
            </w:trPr>
            <w:tc>
              <w:tcPr>
                <w:tcW w:w="659" w:type="pct"/>
                <w:tcBorders>
                  <w:top w:val="nil"/>
                  <w:left w:val="nil"/>
                  <w:bottom w:val="nil"/>
                  <w:right w:val="nil"/>
                </w:tcBorders>
                <w:shd w:val="clear" w:color="auto" w:fill="auto"/>
                <w:noWrap/>
                <w:vAlign w:val="bottom"/>
                <w:hideMark/>
              </w:tcPr>
              <w:p w14:paraId="3605C4B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1659438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797F723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94DBDB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2672DFC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FFFC32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89BDD68" w14:textId="77777777" w:rsidTr="00C444E6">
            <w:trPr>
              <w:trHeight w:val="312"/>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AF9961"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B</w:t>
                </w:r>
              </w:p>
            </w:tc>
          </w:tr>
          <w:tr w:rsidR="00C444E6" w:rsidRPr="00C444E6" w14:paraId="4AC3A450" w14:textId="77777777" w:rsidTr="00C444E6">
            <w:trPr>
              <w:trHeight w:val="312"/>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2E8996FB"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Year</w:t>
                </w:r>
              </w:p>
            </w:tc>
            <w:tc>
              <w:tcPr>
                <w:tcW w:w="706" w:type="pct"/>
                <w:tcBorders>
                  <w:top w:val="nil"/>
                  <w:left w:val="nil"/>
                  <w:bottom w:val="single" w:sz="4" w:space="0" w:color="auto"/>
                  <w:right w:val="single" w:sz="4" w:space="0" w:color="auto"/>
                </w:tcBorders>
                <w:shd w:val="clear" w:color="auto" w:fill="auto"/>
                <w:noWrap/>
                <w:vAlign w:val="bottom"/>
                <w:hideMark/>
              </w:tcPr>
              <w:p w14:paraId="6F71D780"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Cash Flow   £’000</w:t>
                </w:r>
              </w:p>
            </w:tc>
            <w:tc>
              <w:tcPr>
                <w:tcW w:w="979" w:type="pct"/>
                <w:tcBorders>
                  <w:top w:val="nil"/>
                  <w:left w:val="nil"/>
                  <w:bottom w:val="single" w:sz="4" w:space="0" w:color="auto"/>
                  <w:right w:val="single" w:sz="4" w:space="0" w:color="auto"/>
                </w:tcBorders>
                <w:shd w:val="clear" w:color="auto" w:fill="auto"/>
                <w:noWrap/>
                <w:vAlign w:val="bottom"/>
                <w:hideMark/>
              </w:tcPr>
              <w:p w14:paraId="7D652BCD"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@6%</w:t>
                </w:r>
              </w:p>
            </w:tc>
            <w:tc>
              <w:tcPr>
                <w:tcW w:w="815" w:type="pct"/>
                <w:tcBorders>
                  <w:top w:val="nil"/>
                  <w:left w:val="nil"/>
                  <w:bottom w:val="single" w:sz="4" w:space="0" w:color="auto"/>
                  <w:right w:val="single" w:sz="4" w:space="0" w:color="auto"/>
                </w:tcBorders>
                <w:shd w:val="clear" w:color="auto" w:fill="auto"/>
                <w:noWrap/>
                <w:vAlign w:val="bottom"/>
                <w:hideMark/>
              </w:tcPr>
              <w:p w14:paraId="2D4E63A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c>
              <w:tcPr>
                <w:tcW w:w="1025" w:type="pct"/>
                <w:tcBorders>
                  <w:top w:val="nil"/>
                  <w:left w:val="nil"/>
                  <w:bottom w:val="single" w:sz="4" w:space="0" w:color="auto"/>
                  <w:right w:val="single" w:sz="4" w:space="0" w:color="auto"/>
                </w:tcBorders>
                <w:shd w:val="clear" w:color="auto" w:fill="auto"/>
                <w:noWrap/>
                <w:vAlign w:val="bottom"/>
                <w:hideMark/>
              </w:tcPr>
              <w:p w14:paraId="335244E7"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@16%</w:t>
                </w:r>
              </w:p>
            </w:tc>
            <w:tc>
              <w:tcPr>
                <w:tcW w:w="815" w:type="pct"/>
                <w:tcBorders>
                  <w:top w:val="nil"/>
                  <w:left w:val="nil"/>
                  <w:bottom w:val="single" w:sz="4" w:space="0" w:color="auto"/>
                  <w:right w:val="single" w:sz="4" w:space="0" w:color="auto"/>
                </w:tcBorders>
                <w:shd w:val="clear" w:color="auto" w:fill="auto"/>
                <w:noWrap/>
                <w:vAlign w:val="bottom"/>
                <w:hideMark/>
              </w:tcPr>
              <w:p w14:paraId="762A2B14"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27BEA569"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4E836941"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w:t>
                </w:r>
              </w:p>
            </w:tc>
            <w:tc>
              <w:tcPr>
                <w:tcW w:w="706" w:type="pct"/>
                <w:tcBorders>
                  <w:top w:val="nil"/>
                  <w:left w:val="nil"/>
                  <w:bottom w:val="single" w:sz="4" w:space="0" w:color="auto"/>
                  <w:right w:val="single" w:sz="4" w:space="0" w:color="auto"/>
                </w:tcBorders>
                <w:shd w:val="clear" w:color="auto" w:fill="auto"/>
                <w:noWrap/>
                <w:vAlign w:val="bottom"/>
                <w:hideMark/>
              </w:tcPr>
              <w:p w14:paraId="2269B47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-1000</w:t>
                </w:r>
              </w:p>
            </w:tc>
            <w:tc>
              <w:tcPr>
                <w:tcW w:w="979" w:type="pct"/>
                <w:tcBorders>
                  <w:top w:val="nil"/>
                  <w:left w:val="nil"/>
                  <w:bottom w:val="single" w:sz="4" w:space="0" w:color="auto"/>
                  <w:right w:val="single" w:sz="4" w:space="0" w:color="auto"/>
                </w:tcBorders>
                <w:shd w:val="clear" w:color="auto" w:fill="auto"/>
                <w:noWrap/>
                <w:vAlign w:val="bottom"/>
                <w:hideMark/>
              </w:tcPr>
              <w:p w14:paraId="4C3BEDA6"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815" w:type="pct"/>
                <w:tcBorders>
                  <w:top w:val="nil"/>
                  <w:left w:val="nil"/>
                  <w:bottom w:val="single" w:sz="4" w:space="0" w:color="auto"/>
                  <w:right w:val="single" w:sz="4" w:space="0" w:color="auto"/>
                </w:tcBorders>
                <w:shd w:val="clear" w:color="auto" w:fill="auto"/>
                <w:noWrap/>
                <w:vAlign w:val="bottom"/>
                <w:hideMark/>
              </w:tcPr>
              <w:p w14:paraId="3218E5A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-1000</w:t>
                </w:r>
              </w:p>
            </w:tc>
            <w:tc>
              <w:tcPr>
                <w:tcW w:w="1025" w:type="pct"/>
                <w:tcBorders>
                  <w:top w:val="nil"/>
                  <w:left w:val="nil"/>
                  <w:bottom w:val="single" w:sz="4" w:space="0" w:color="auto"/>
                  <w:right w:val="single" w:sz="4" w:space="0" w:color="auto"/>
                </w:tcBorders>
                <w:shd w:val="clear" w:color="auto" w:fill="auto"/>
                <w:noWrap/>
                <w:vAlign w:val="bottom"/>
                <w:hideMark/>
              </w:tcPr>
              <w:p w14:paraId="002F042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815" w:type="pct"/>
                <w:tcBorders>
                  <w:top w:val="nil"/>
                  <w:left w:val="nil"/>
                  <w:bottom w:val="single" w:sz="4" w:space="0" w:color="auto"/>
                  <w:right w:val="single" w:sz="4" w:space="0" w:color="auto"/>
                </w:tcBorders>
                <w:shd w:val="clear" w:color="auto" w:fill="auto"/>
                <w:noWrap/>
                <w:vAlign w:val="bottom"/>
                <w:hideMark/>
              </w:tcPr>
              <w:p w14:paraId="26BFD0E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-1000</w:t>
                </w:r>
              </w:p>
            </w:tc>
          </w:tr>
          <w:tr w:rsidR="00C444E6" w:rsidRPr="00C444E6" w14:paraId="6C51022F"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57DC6D6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706" w:type="pct"/>
                <w:tcBorders>
                  <w:top w:val="nil"/>
                  <w:left w:val="nil"/>
                  <w:bottom w:val="single" w:sz="4" w:space="0" w:color="auto"/>
                  <w:right w:val="single" w:sz="4" w:space="0" w:color="auto"/>
                </w:tcBorders>
                <w:shd w:val="clear" w:color="auto" w:fill="auto"/>
                <w:noWrap/>
                <w:vAlign w:val="bottom"/>
                <w:hideMark/>
              </w:tcPr>
              <w:p w14:paraId="3E5F0F52"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425</w:t>
                </w:r>
              </w:p>
            </w:tc>
            <w:tc>
              <w:tcPr>
                <w:tcW w:w="979" w:type="pct"/>
                <w:tcBorders>
                  <w:top w:val="nil"/>
                  <w:left w:val="nil"/>
                  <w:bottom w:val="single" w:sz="4" w:space="0" w:color="auto"/>
                  <w:right w:val="single" w:sz="4" w:space="0" w:color="auto"/>
                </w:tcBorders>
                <w:shd w:val="clear" w:color="auto" w:fill="auto"/>
                <w:noWrap/>
                <w:vAlign w:val="bottom"/>
                <w:hideMark/>
              </w:tcPr>
              <w:p w14:paraId="5FDB880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0.943396226</w:t>
                </w:r>
              </w:p>
            </w:tc>
            <w:tc>
              <w:tcPr>
                <w:tcW w:w="815" w:type="pct"/>
                <w:tcBorders>
                  <w:top w:val="nil"/>
                  <w:left w:val="nil"/>
                  <w:bottom w:val="single" w:sz="4" w:space="0" w:color="auto"/>
                  <w:right w:val="single" w:sz="4" w:space="0" w:color="auto"/>
                </w:tcBorders>
                <w:shd w:val="clear" w:color="auto" w:fill="auto"/>
                <w:noWrap/>
                <w:vAlign w:val="bottom"/>
                <w:hideMark/>
              </w:tcPr>
              <w:p w14:paraId="03FDE962"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401</w:t>
                </w:r>
              </w:p>
            </w:tc>
            <w:tc>
              <w:tcPr>
                <w:tcW w:w="1025" w:type="pct"/>
                <w:tcBorders>
                  <w:top w:val="nil"/>
                  <w:left w:val="nil"/>
                  <w:bottom w:val="single" w:sz="4" w:space="0" w:color="auto"/>
                  <w:right w:val="single" w:sz="4" w:space="0" w:color="auto"/>
                </w:tcBorders>
                <w:shd w:val="clear" w:color="auto" w:fill="auto"/>
                <w:noWrap/>
                <w:vAlign w:val="bottom"/>
                <w:hideMark/>
              </w:tcPr>
              <w:p w14:paraId="3EEF059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0.862068966</w:t>
                </w:r>
              </w:p>
            </w:tc>
            <w:tc>
              <w:tcPr>
                <w:tcW w:w="815" w:type="pct"/>
                <w:tcBorders>
                  <w:top w:val="nil"/>
                  <w:left w:val="nil"/>
                  <w:bottom w:val="single" w:sz="4" w:space="0" w:color="auto"/>
                  <w:right w:val="single" w:sz="4" w:space="0" w:color="auto"/>
                </w:tcBorders>
                <w:shd w:val="clear" w:color="auto" w:fill="auto"/>
                <w:noWrap/>
                <w:vAlign w:val="bottom"/>
                <w:hideMark/>
              </w:tcPr>
              <w:p w14:paraId="72B6DD3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366</w:t>
                </w:r>
              </w:p>
            </w:tc>
          </w:tr>
          <w:tr w:rsidR="00C444E6" w:rsidRPr="00C444E6" w14:paraId="612EE507"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7ACDAD4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w:t>
                </w:r>
              </w:p>
            </w:tc>
            <w:tc>
              <w:tcPr>
                <w:tcW w:w="706" w:type="pct"/>
                <w:tcBorders>
                  <w:top w:val="nil"/>
                  <w:left w:val="nil"/>
                  <w:bottom w:val="single" w:sz="4" w:space="0" w:color="auto"/>
                  <w:right w:val="single" w:sz="4" w:space="0" w:color="auto"/>
                </w:tcBorders>
                <w:shd w:val="clear" w:color="auto" w:fill="auto"/>
                <w:noWrap/>
                <w:vAlign w:val="bottom"/>
                <w:hideMark/>
              </w:tcPr>
              <w:p w14:paraId="3F7E2FE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462</w:t>
                </w:r>
              </w:p>
            </w:tc>
            <w:tc>
              <w:tcPr>
                <w:tcW w:w="979" w:type="pct"/>
                <w:tcBorders>
                  <w:top w:val="nil"/>
                  <w:left w:val="nil"/>
                  <w:bottom w:val="single" w:sz="4" w:space="0" w:color="auto"/>
                  <w:right w:val="single" w:sz="4" w:space="0" w:color="auto"/>
                </w:tcBorders>
                <w:shd w:val="clear" w:color="auto" w:fill="auto"/>
                <w:noWrap/>
                <w:vAlign w:val="bottom"/>
                <w:hideMark/>
              </w:tcPr>
              <w:p w14:paraId="67015F8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0.88999644</w:t>
                </w:r>
              </w:p>
            </w:tc>
            <w:tc>
              <w:tcPr>
                <w:tcW w:w="815" w:type="pct"/>
                <w:tcBorders>
                  <w:top w:val="nil"/>
                  <w:left w:val="nil"/>
                  <w:bottom w:val="single" w:sz="4" w:space="0" w:color="auto"/>
                  <w:right w:val="single" w:sz="4" w:space="0" w:color="auto"/>
                </w:tcBorders>
                <w:shd w:val="clear" w:color="auto" w:fill="auto"/>
                <w:noWrap/>
                <w:vAlign w:val="bottom"/>
                <w:hideMark/>
              </w:tcPr>
              <w:p w14:paraId="3ABB96D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411</w:t>
                </w:r>
              </w:p>
            </w:tc>
            <w:tc>
              <w:tcPr>
                <w:tcW w:w="1025" w:type="pct"/>
                <w:tcBorders>
                  <w:top w:val="nil"/>
                  <w:left w:val="nil"/>
                  <w:bottom w:val="single" w:sz="4" w:space="0" w:color="auto"/>
                  <w:right w:val="single" w:sz="4" w:space="0" w:color="auto"/>
                </w:tcBorders>
                <w:shd w:val="clear" w:color="auto" w:fill="auto"/>
                <w:noWrap/>
                <w:vAlign w:val="bottom"/>
                <w:hideMark/>
              </w:tcPr>
              <w:p w14:paraId="499772A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0.743162901</w:t>
                </w:r>
              </w:p>
            </w:tc>
            <w:tc>
              <w:tcPr>
                <w:tcW w:w="815" w:type="pct"/>
                <w:tcBorders>
                  <w:top w:val="nil"/>
                  <w:left w:val="nil"/>
                  <w:bottom w:val="single" w:sz="4" w:space="0" w:color="auto"/>
                  <w:right w:val="single" w:sz="4" w:space="0" w:color="auto"/>
                </w:tcBorders>
                <w:shd w:val="clear" w:color="auto" w:fill="auto"/>
                <w:noWrap/>
                <w:vAlign w:val="bottom"/>
                <w:hideMark/>
              </w:tcPr>
              <w:p w14:paraId="5217413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343</w:t>
                </w:r>
              </w:p>
            </w:tc>
          </w:tr>
          <w:tr w:rsidR="00C444E6" w:rsidRPr="00C444E6" w14:paraId="6517446E"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5F1520E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w:t>
                </w:r>
              </w:p>
            </w:tc>
            <w:tc>
              <w:tcPr>
                <w:tcW w:w="706" w:type="pct"/>
                <w:tcBorders>
                  <w:top w:val="nil"/>
                  <w:left w:val="nil"/>
                  <w:bottom w:val="single" w:sz="4" w:space="0" w:color="auto"/>
                  <w:right w:val="single" w:sz="4" w:space="0" w:color="auto"/>
                </w:tcBorders>
                <w:shd w:val="clear" w:color="auto" w:fill="auto"/>
                <w:noWrap/>
                <w:vAlign w:val="bottom"/>
                <w:hideMark/>
              </w:tcPr>
              <w:p w14:paraId="489BEBD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575</w:t>
                </w:r>
              </w:p>
            </w:tc>
            <w:tc>
              <w:tcPr>
                <w:tcW w:w="979" w:type="pct"/>
                <w:tcBorders>
                  <w:top w:val="nil"/>
                  <w:left w:val="nil"/>
                  <w:bottom w:val="single" w:sz="4" w:space="0" w:color="auto"/>
                  <w:right w:val="single" w:sz="4" w:space="0" w:color="auto"/>
                </w:tcBorders>
                <w:shd w:val="clear" w:color="auto" w:fill="auto"/>
                <w:noWrap/>
                <w:vAlign w:val="bottom"/>
                <w:hideMark/>
              </w:tcPr>
              <w:p w14:paraId="20B3CAF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0.839619283</w:t>
                </w:r>
              </w:p>
            </w:tc>
            <w:tc>
              <w:tcPr>
                <w:tcW w:w="815" w:type="pct"/>
                <w:tcBorders>
                  <w:top w:val="nil"/>
                  <w:left w:val="nil"/>
                  <w:bottom w:val="single" w:sz="4" w:space="0" w:color="auto"/>
                  <w:right w:val="single" w:sz="4" w:space="0" w:color="auto"/>
                </w:tcBorders>
                <w:shd w:val="clear" w:color="auto" w:fill="auto"/>
                <w:noWrap/>
                <w:vAlign w:val="bottom"/>
                <w:hideMark/>
              </w:tcPr>
              <w:p w14:paraId="2C7D0A4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483</w:t>
                </w:r>
              </w:p>
            </w:tc>
            <w:tc>
              <w:tcPr>
                <w:tcW w:w="1025" w:type="pct"/>
                <w:tcBorders>
                  <w:top w:val="nil"/>
                  <w:left w:val="nil"/>
                  <w:bottom w:val="single" w:sz="4" w:space="0" w:color="auto"/>
                  <w:right w:val="single" w:sz="4" w:space="0" w:color="auto"/>
                </w:tcBorders>
                <w:shd w:val="clear" w:color="auto" w:fill="auto"/>
                <w:noWrap/>
                <w:vAlign w:val="bottom"/>
                <w:hideMark/>
              </w:tcPr>
              <w:p w14:paraId="53FFAB91"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0.640657674</w:t>
                </w:r>
              </w:p>
            </w:tc>
            <w:tc>
              <w:tcPr>
                <w:tcW w:w="815" w:type="pct"/>
                <w:tcBorders>
                  <w:top w:val="nil"/>
                  <w:left w:val="nil"/>
                  <w:bottom w:val="single" w:sz="4" w:space="0" w:color="auto"/>
                  <w:right w:val="single" w:sz="4" w:space="0" w:color="auto"/>
                </w:tcBorders>
                <w:shd w:val="clear" w:color="auto" w:fill="auto"/>
                <w:noWrap/>
                <w:vAlign w:val="bottom"/>
                <w:hideMark/>
              </w:tcPr>
              <w:p w14:paraId="1265C3D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368</w:t>
                </w:r>
              </w:p>
            </w:tc>
          </w:tr>
          <w:tr w:rsidR="00C444E6" w:rsidRPr="00C444E6" w14:paraId="7377BA5D"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48A91FA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w:t>
                </w:r>
              </w:p>
            </w:tc>
            <w:tc>
              <w:tcPr>
                <w:tcW w:w="706" w:type="pct"/>
                <w:tcBorders>
                  <w:top w:val="nil"/>
                  <w:left w:val="nil"/>
                  <w:bottom w:val="single" w:sz="4" w:space="0" w:color="auto"/>
                  <w:right w:val="single" w:sz="4" w:space="0" w:color="auto"/>
                </w:tcBorders>
                <w:shd w:val="clear" w:color="auto" w:fill="auto"/>
                <w:noWrap/>
                <w:vAlign w:val="bottom"/>
                <w:hideMark/>
              </w:tcPr>
              <w:p w14:paraId="1B312962"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762</w:t>
                </w:r>
              </w:p>
            </w:tc>
            <w:tc>
              <w:tcPr>
                <w:tcW w:w="979" w:type="pct"/>
                <w:tcBorders>
                  <w:top w:val="nil"/>
                  <w:left w:val="nil"/>
                  <w:bottom w:val="single" w:sz="4" w:space="0" w:color="auto"/>
                  <w:right w:val="single" w:sz="4" w:space="0" w:color="auto"/>
                </w:tcBorders>
                <w:shd w:val="clear" w:color="auto" w:fill="auto"/>
                <w:noWrap/>
                <w:vAlign w:val="bottom"/>
                <w:hideMark/>
              </w:tcPr>
              <w:p w14:paraId="480D5FE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0.792093663</w:t>
                </w:r>
              </w:p>
            </w:tc>
            <w:tc>
              <w:tcPr>
                <w:tcW w:w="815" w:type="pct"/>
                <w:tcBorders>
                  <w:top w:val="nil"/>
                  <w:left w:val="nil"/>
                  <w:bottom w:val="single" w:sz="4" w:space="0" w:color="auto"/>
                  <w:right w:val="single" w:sz="4" w:space="0" w:color="auto"/>
                </w:tcBorders>
                <w:shd w:val="clear" w:color="auto" w:fill="auto"/>
                <w:noWrap/>
                <w:vAlign w:val="bottom"/>
                <w:hideMark/>
              </w:tcPr>
              <w:p w14:paraId="44250FD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604</w:t>
                </w:r>
              </w:p>
            </w:tc>
            <w:tc>
              <w:tcPr>
                <w:tcW w:w="1025" w:type="pct"/>
                <w:tcBorders>
                  <w:top w:val="nil"/>
                  <w:left w:val="nil"/>
                  <w:bottom w:val="single" w:sz="4" w:space="0" w:color="auto"/>
                  <w:right w:val="single" w:sz="4" w:space="0" w:color="auto"/>
                </w:tcBorders>
                <w:shd w:val="clear" w:color="auto" w:fill="auto"/>
                <w:noWrap/>
                <w:vAlign w:val="bottom"/>
                <w:hideMark/>
              </w:tcPr>
              <w:p w14:paraId="5CDC71CE"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0.552291098</w:t>
                </w:r>
              </w:p>
            </w:tc>
            <w:tc>
              <w:tcPr>
                <w:tcW w:w="815" w:type="pct"/>
                <w:tcBorders>
                  <w:top w:val="nil"/>
                  <w:left w:val="nil"/>
                  <w:bottom w:val="single" w:sz="4" w:space="0" w:color="auto"/>
                  <w:right w:val="single" w:sz="4" w:space="0" w:color="auto"/>
                </w:tcBorders>
                <w:shd w:val="clear" w:color="auto" w:fill="auto"/>
                <w:noWrap/>
                <w:vAlign w:val="bottom"/>
                <w:hideMark/>
              </w:tcPr>
              <w:p w14:paraId="1006E47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421</w:t>
                </w:r>
              </w:p>
            </w:tc>
          </w:tr>
          <w:tr w:rsidR="00C444E6" w:rsidRPr="00C444E6" w14:paraId="0260FD23"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53357BC4"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NPV</w:t>
                </w:r>
              </w:p>
            </w:tc>
            <w:tc>
              <w:tcPr>
                <w:tcW w:w="706" w:type="pct"/>
                <w:tcBorders>
                  <w:top w:val="nil"/>
                  <w:left w:val="nil"/>
                  <w:bottom w:val="single" w:sz="4" w:space="0" w:color="auto"/>
                  <w:right w:val="single" w:sz="4" w:space="0" w:color="auto"/>
                </w:tcBorders>
                <w:shd w:val="clear" w:color="auto" w:fill="auto"/>
                <w:noWrap/>
                <w:vAlign w:val="bottom"/>
                <w:hideMark/>
              </w:tcPr>
              <w:p w14:paraId="45DA0351"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979" w:type="pct"/>
                <w:tcBorders>
                  <w:top w:val="nil"/>
                  <w:left w:val="nil"/>
                  <w:bottom w:val="single" w:sz="4" w:space="0" w:color="auto"/>
                  <w:right w:val="single" w:sz="4" w:space="0" w:color="auto"/>
                </w:tcBorders>
                <w:shd w:val="clear" w:color="auto" w:fill="auto"/>
                <w:noWrap/>
                <w:vAlign w:val="bottom"/>
                <w:hideMark/>
              </w:tcPr>
              <w:p w14:paraId="57BE1098"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815" w:type="pct"/>
                <w:tcBorders>
                  <w:top w:val="nil"/>
                  <w:left w:val="nil"/>
                  <w:bottom w:val="single" w:sz="4" w:space="0" w:color="auto"/>
                  <w:right w:val="single" w:sz="4" w:space="0" w:color="auto"/>
                </w:tcBorders>
                <w:shd w:val="clear" w:color="auto" w:fill="auto"/>
                <w:noWrap/>
                <w:vAlign w:val="bottom"/>
                <w:hideMark/>
              </w:tcPr>
              <w:p w14:paraId="318F6CB7"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898</w:t>
                </w:r>
              </w:p>
            </w:tc>
            <w:tc>
              <w:tcPr>
                <w:tcW w:w="1025" w:type="pct"/>
                <w:tcBorders>
                  <w:top w:val="nil"/>
                  <w:left w:val="nil"/>
                  <w:bottom w:val="single" w:sz="4" w:space="0" w:color="auto"/>
                  <w:right w:val="single" w:sz="4" w:space="0" w:color="auto"/>
                </w:tcBorders>
                <w:shd w:val="clear" w:color="auto" w:fill="auto"/>
                <w:noWrap/>
                <w:vAlign w:val="bottom"/>
                <w:hideMark/>
              </w:tcPr>
              <w:p w14:paraId="664A659F"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815" w:type="pct"/>
                <w:tcBorders>
                  <w:top w:val="nil"/>
                  <w:left w:val="nil"/>
                  <w:bottom w:val="single" w:sz="4" w:space="0" w:color="auto"/>
                  <w:right w:val="single" w:sz="4" w:space="0" w:color="auto"/>
                </w:tcBorders>
                <w:shd w:val="clear" w:color="auto" w:fill="auto"/>
                <w:noWrap/>
                <w:vAlign w:val="bottom"/>
                <w:hideMark/>
              </w:tcPr>
              <w:p w14:paraId="4F2966FE"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499</w:t>
                </w:r>
              </w:p>
            </w:tc>
          </w:tr>
          <w:tr w:rsidR="00C444E6" w:rsidRPr="00C444E6" w14:paraId="43F202FD" w14:textId="77777777" w:rsidTr="00C444E6">
            <w:trPr>
              <w:trHeight w:val="288"/>
            </w:trPr>
            <w:tc>
              <w:tcPr>
                <w:tcW w:w="659" w:type="pct"/>
                <w:tcBorders>
                  <w:top w:val="nil"/>
                  <w:left w:val="nil"/>
                  <w:bottom w:val="nil"/>
                  <w:right w:val="nil"/>
                </w:tcBorders>
                <w:shd w:val="clear" w:color="auto" w:fill="auto"/>
                <w:noWrap/>
                <w:vAlign w:val="bottom"/>
                <w:hideMark/>
              </w:tcPr>
              <w:p w14:paraId="5DDBD98A"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p>
            </w:tc>
            <w:tc>
              <w:tcPr>
                <w:tcW w:w="706" w:type="pct"/>
                <w:tcBorders>
                  <w:top w:val="nil"/>
                  <w:left w:val="nil"/>
                  <w:bottom w:val="nil"/>
                  <w:right w:val="nil"/>
                </w:tcBorders>
                <w:shd w:val="clear" w:color="auto" w:fill="auto"/>
                <w:noWrap/>
                <w:vAlign w:val="bottom"/>
                <w:hideMark/>
              </w:tcPr>
              <w:p w14:paraId="56357B5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5CC8D0C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EFD5F6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7941730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EE64BA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657A39D" w14:textId="77777777" w:rsidTr="00C444E6">
            <w:trPr>
              <w:trHeight w:val="288"/>
            </w:trPr>
            <w:tc>
              <w:tcPr>
                <w:tcW w:w="659" w:type="pct"/>
                <w:tcBorders>
                  <w:top w:val="nil"/>
                  <w:left w:val="nil"/>
                  <w:bottom w:val="nil"/>
                  <w:right w:val="nil"/>
                </w:tcBorders>
                <w:shd w:val="clear" w:color="auto" w:fill="auto"/>
                <w:noWrap/>
                <w:vAlign w:val="bottom"/>
                <w:hideMark/>
              </w:tcPr>
              <w:p w14:paraId="3669874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0977100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37AD90B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8967A1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5FD7104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89990D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501EBB24" w14:textId="77777777" w:rsidTr="00C444E6">
            <w:trPr>
              <w:trHeight w:val="288"/>
            </w:trPr>
            <w:tc>
              <w:tcPr>
                <w:tcW w:w="659" w:type="pct"/>
                <w:tcBorders>
                  <w:top w:val="nil"/>
                  <w:left w:val="nil"/>
                  <w:bottom w:val="nil"/>
                  <w:right w:val="nil"/>
                </w:tcBorders>
                <w:shd w:val="clear" w:color="auto" w:fill="auto"/>
                <w:noWrap/>
                <w:vAlign w:val="bottom"/>
                <w:hideMark/>
              </w:tcPr>
              <w:p w14:paraId="3B2C876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3652DA8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23952BC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CBE465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1A9E576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78B8FF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E0B84EE" w14:textId="77777777" w:rsidTr="00C444E6">
            <w:trPr>
              <w:trHeight w:val="288"/>
            </w:trPr>
            <w:tc>
              <w:tcPr>
                <w:tcW w:w="2345" w:type="pct"/>
                <w:gridSpan w:val="3"/>
                <w:tcBorders>
                  <w:top w:val="nil"/>
                  <w:left w:val="nil"/>
                  <w:bottom w:val="nil"/>
                  <w:right w:val="nil"/>
                </w:tcBorders>
                <w:shd w:val="clear" w:color="auto" w:fill="auto"/>
                <w:noWrap/>
                <w:vAlign w:val="bottom"/>
                <w:hideMark/>
              </w:tcPr>
              <w:p w14:paraId="45FE27B3" w14:textId="77777777" w:rsidR="00C444E6" w:rsidRPr="00C444E6" w:rsidRDefault="00C444E6" w:rsidP="00C444E6">
                <w:pPr>
                  <w:spacing w:after="0" w:line="240" w:lineRule="auto"/>
                  <w:jc w:val="center"/>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IRR for Proposal B</w:t>
                </w:r>
              </w:p>
            </w:tc>
            <w:tc>
              <w:tcPr>
                <w:tcW w:w="815" w:type="pct"/>
                <w:tcBorders>
                  <w:top w:val="nil"/>
                  <w:left w:val="nil"/>
                  <w:bottom w:val="nil"/>
                  <w:right w:val="nil"/>
                </w:tcBorders>
                <w:shd w:val="clear" w:color="auto" w:fill="auto"/>
                <w:noWrap/>
                <w:vAlign w:val="bottom"/>
                <w:hideMark/>
              </w:tcPr>
              <w:p w14:paraId="4245CCC7" w14:textId="77777777" w:rsidR="00C444E6" w:rsidRPr="00C444E6" w:rsidRDefault="00C444E6" w:rsidP="00C444E6">
                <w:pPr>
                  <w:spacing w:after="0" w:line="240" w:lineRule="auto"/>
                  <w:jc w:val="center"/>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0ACDC47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2F6B85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B53F9DB" w14:textId="77777777" w:rsidTr="00C444E6">
            <w:trPr>
              <w:trHeight w:val="288"/>
            </w:trPr>
            <w:tc>
              <w:tcPr>
                <w:tcW w:w="659" w:type="pct"/>
                <w:tcBorders>
                  <w:top w:val="nil"/>
                  <w:left w:val="nil"/>
                  <w:bottom w:val="nil"/>
                  <w:right w:val="nil"/>
                </w:tcBorders>
                <w:shd w:val="clear" w:color="auto" w:fill="auto"/>
                <w:noWrap/>
                <w:vAlign w:val="bottom"/>
                <w:hideMark/>
              </w:tcPr>
              <w:p w14:paraId="3AF75A54"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NPV @ 6%</w:t>
                </w:r>
              </w:p>
            </w:tc>
            <w:tc>
              <w:tcPr>
                <w:tcW w:w="706" w:type="pct"/>
                <w:tcBorders>
                  <w:top w:val="nil"/>
                  <w:left w:val="nil"/>
                  <w:bottom w:val="nil"/>
                  <w:right w:val="nil"/>
                </w:tcBorders>
                <w:shd w:val="clear" w:color="auto" w:fill="auto"/>
                <w:noWrap/>
                <w:vAlign w:val="bottom"/>
                <w:hideMark/>
              </w:tcPr>
              <w:p w14:paraId="3E51276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898</w:t>
                </w:r>
              </w:p>
            </w:tc>
            <w:tc>
              <w:tcPr>
                <w:tcW w:w="979" w:type="pct"/>
                <w:tcBorders>
                  <w:top w:val="nil"/>
                  <w:left w:val="nil"/>
                  <w:bottom w:val="nil"/>
                  <w:right w:val="nil"/>
                </w:tcBorders>
                <w:shd w:val="clear" w:color="auto" w:fill="auto"/>
                <w:noWrap/>
                <w:vAlign w:val="bottom"/>
                <w:hideMark/>
              </w:tcPr>
              <w:p w14:paraId="4A606611"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6F386BF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293FCF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25C55C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1C11245" w14:textId="77777777" w:rsidTr="00C444E6">
            <w:trPr>
              <w:trHeight w:val="288"/>
            </w:trPr>
            <w:tc>
              <w:tcPr>
                <w:tcW w:w="659" w:type="pct"/>
                <w:tcBorders>
                  <w:top w:val="nil"/>
                  <w:left w:val="nil"/>
                  <w:bottom w:val="nil"/>
                  <w:right w:val="nil"/>
                </w:tcBorders>
                <w:shd w:val="clear" w:color="auto" w:fill="auto"/>
                <w:noWrap/>
                <w:vAlign w:val="bottom"/>
                <w:hideMark/>
              </w:tcPr>
              <w:p w14:paraId="2FA5075F"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NPV @16%</w:t>
                </w:r>
              </w:p>
            </w:tc>
            <w:tc>
              <w:tcPr>
                <w:tcW w:w="706" w:type="pct"/>
                <w:tcBorders>
                  <w:top w:val="nil"/>
                  <w:left w:val="nil"/>
                  <w:bottom w:val="nil"/>
                  <w:right w:val="nil"/>
                </w:tcBorders>
                <w:shd w:val="clear" w:color="auto" w:fill="auto"/>
                <w:noWrap/>
                <w:vAlign w:val="bottom"/>
                <w:hideMark/>
              </w:tcPr>
              <w:p w14:paraId="6918A5E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499</w:t>
                </w:r>
              </w:p>
            </w:tc>
            <w:tc>
              <w:tcPr>
                <w:tcW w:w="979" w:type="pct"/>
                <w:tcBorders>
                  <w:top w:val="nil"/>
                  <w:left w:val="nil"/>
                  <w:bottom w:val="nil"/>
                  <w:right w:val="nil"/>
                </w:tcBorders>
                <w:shd w:val="clear" w:color="auto" w:fill="auto"/>
                <w:noWrap/>
                <w:vAlign w:val="bottom"/>
                <w:hideMark/>
              </w:tcPr>
              <w:p w14:paraId="71A2237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7437E9D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2013CEE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2F4508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FD44EC5" w14:textId="77777777" w:rsidTr="00C444E6">
            <w:trPr>
              <w:trHeight w:val="288"/>
            </w:trPr>
            <w:tc>
              <w:tcPr>
                <w:tcW w:w="659" w:type="pct"/>
                <w:tcBorders>
                  <w:top w:val="nil"/>
                  <w:left w:val="nil"/>
                  <w:bottom w:val="nil"/>
                  <w:right w:val="nil"/>
                </w:tcBorders>
                <w:shd w:val="clear" w:color="auto" w:fill="auto"/>
                <w:noWrap/>
                <w:vAlign w:val="bottom"/>
                <w:hideMark/>
              </w:tcPr>
              <w:p w14:paraId="46E6BDC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1D0A630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32864CE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54009D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4C6362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3174C3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EB30A81" w14:textId="77777777" w:rsidTr="00C444E6">
            <w:trPr>
              <w:trHeight w:val="288"/>
            </w:trPr>
            <w:tc>
              <w:tcPr>
                <w:tcW w:w="659" w:type="pct"/>
                <w:tcBorders>
                  <w:top w:val="nil"/>
                  <w:left w:val="nil"/>
                  <w:bottom w:val="nil"/>
                  <w:right w:val="nil"/>
                </w:tcBorders>
                <w:shd w:val="clear" w:color="auto" w:fill="auto"/>
                <w:noWrap/>
                <w:vAlign w:val="bottom"/>
                <w:hideMark/>
              </w:tcPr>
              <w:p w14:paraId="1EDEC584"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Addition of NPV</w:t>
                </w:r>
              </w:p>
            </w:tc>
            <w:tc>
              <w:tcPr>
                <w:tcW w:w="706" w:type="pct"/>
                <w:tcBorders>
                  <w:top w:val="nil"/>
                  <w:left w:val="nil"/>
                  <w:bottom w:val="nil"/>
                  <w:right w:val="nil"/>
                </w:tcBorders>
                <w:shd w:val="clear" w:color="auto" w:fill="auto"/>
                <w:noWrap/>
                <w:vAlign w:val="bottom"/>
                <w:hideMark/>
              </w:tcPr>
              <w:p w14:paraId="634C2CA5"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898+499</w:t>
                </w:r>
              </w:p>
            </w:tc>
            <w:tc>
              <w:tcPr>
                <w:tcW w:w="979" w:type="pct"/>
                <w:tcBorders>
                  <w:top w:val="nil"/>
                  <w:left w:val="nil"/>
                  <w:bottom w:val="nil"/>
                  <w:right w:val="nil"/>
                </w:tcBorders>
                <w:shd w:val="clear" w:color="auto" w:fill="auto"/>
                <w:noWrap/>
                <w:vAlign w:val="bottom"/>
                <w:hideMark/>
              </w:tcPr>
              <w:p w14:paraId="7C59B20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1397</w:t>
                </w:r>
              </w:p>
            </w:tc>
            <w:tc>
              <w:tcPr>
                <w:tcW w:w="815" w:type="pct"/>
                <w:tcBorders>
                  <w:top w:val="nil"/>
                  <w:left w:val="nil"/>
                  <w:bottom w:val="nil"/>
                  <w:right w:val="nil"/>
                </w:tcBorders>
                <w:shd w:val="clear" w:color="auto" w:fill="auto"/>
                <w:noWrap/>
                <w:vAlign w:val="bottom"/>
                <w:hideMark/>
              </w:tcPr>
              <w:p w14:paraId="180F623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2138210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157570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13B2E26" w14:textId="77777777" w:rsidTr="00C444E6">
            <w:trPr>
              <w:trHeight w:val="288"/>
            </w:trPr>
            <w:tc>
              <w:tcPr>
                <w:tcW w:w="659" w:type="pct"/>
                <w:tcBorders>
                  <w:top w:val="nil"/>
                  <w:left w:val="nil"/>
                  <w:bottom w:val="nil"/>
                  <w:right w:val="nil"/>
                </w:tcBorders>
                <w:shd w:val="clear" w:color="auto" w:fill="auto"/>
                <w:noWrap/>
                <w:vAlign w:val="bottom"/>
                <w:hideMark/>
              </w:tcPr>
              <w:p w14:paraId="05A6B19D"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Deduction of Rates</w:t>
                </w:r>
              </w:p>
            </w:tc>
            <w:tc>
              <w:tcPr>
                <w:tcW w:w="706" w:type="pct"/>
                <w:tcBorders>
                  <w:top w:val="nil"/>
                  <w:left w:val="nil"/>
                  <w:bottom w:val="nil"/>
                  <w:right w:val="nil"/>
                </w:tcBorders>
                <w:shd w:val="clear" w:color="auto" w:fill="auto"/>
                <w:noWrap/>
                <w:vAlign w:val="bottom"/>
                <w:hideMark/>
              </w:tcPr>
              <w:p w14:paraId="66F87C3B"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16%-6%</w:t>
                </w:r>
              </w:p>
            </w:tc>
            <w:tc>
              <w:tcPr>
                <w:tcW w:w="979" w:type="pct"/>
                <w:tcBorders>
                  <w:top w:val="nil"/>
                  <w:left w:val="nil"/>
                  <w:bottom w:val="nil"/>
                  <w:right w:val="nil"/>
                </w:tcBorders>
                <w:shd w:val="clear" w:color="auto" w:fill="auto"/>
                <w:noWrap/>
                <w:vAlign w:val="bottom"/>
                <w:hideMark/>
              </w:tcPr>
              <w:p w14:paraId="65C2E1B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10.0%</w:t>
                </w:r>
              </w:p>
            </w:tc>
            <w:tc>
              <w:tcPr>
                <w:tcW w:w="815" w:type="pct"/>
                <w:tcBorders>
                  <w:top w:val="nil"/>
                  <w:left w:val="nil"/>
                  <w:bottom w:val="nil"/>
                  <w:right w:val="nil"/>
                </w:tcBorders>
                <w:shd w:val="clear" w:color="auto" w:fill="auto"/>
                <w:noWrap/>
                <w:vAlign w:val="bottom"/>
                <w:hideMark/>
              </w:tcPr>
              <w:p w14:paraId="005A692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2780A2B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CEED3A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EBCAE0D" w14:textId="77777777" w:rsidTr="00C444E6">
            <w:trPr>
              <w:trHeight w:val="288"/>
            </w:trPr>
            <w:tc>
              <w:tcPr>
                <w:tcW w:w="659" w:type="pct"/>
                <w:tcBorders>
                  <w:top w:val="nil"/>
                  <w:left w:val="nil"/>
                  <w:bottom w:val="nil"/>
                  <w:right w:val="nil"/>
                </w:tcBorders>
                <w:shd w:val="clear" w:color="auto" w:fill="auto"/>
                <w:noWrap/>
                <w:vAlign w:val="bottom"/>
                <w:hideMark/>
              </w:tcPr>
              <w:p w14:paraId="1666384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6A89D8C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454E341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431427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50D0204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B733B7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6969DD3" w14:textId="77777777" w:rsidTr="00C444E6">
            <w:trPr>
              <w:trHeight w:val="288"/>
            </w:trPr>
            <w:tc>
              <w:tcPr>
                <w:tcW w:w="659" w:type="pct"/>
                <w:tcBorders>
                  <w:top w:val="nil"/>
                  <w:left w:val="nil"/>
                  <w:bottom w:val="nil"/>
                  <w:right w:val="nil"/>
                </w:tcBorders>
                <w:shd w:val="clear" w:color="auto" w:fill="auto"/>
                <w:noWrap/>
                <w:vAlign w:val="bottom"/>
                <w:hideMark/>
              </w:tcPr>
              <w:p w14:paraId="576E0B8D"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IF</w:t>
                </w:r>
              </w:p>
            </w:tc>
            <w:tc>
              <w:tcPr>
                <w:tcW w:w="706" w:type="pct"/>
                <w:tcBorders>
                  <w:top w:val="nil"/>
                  <w:left w:val="nil"/>
                  <w:bottom w:val="nil"/>
                  <w:right w:val="nil"/>
                </w:tcBorders>
                <w:shd w:val="clear" w:color="auto" w:fill="auto"/>
                <w:noWrap/>
                <w:vAlign w:val="bottom"/>
                <w:hideMark/>
              </w:tcPr>
              <w:p w14:paraId="33BE108B"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1397 = 10%</w:t>
                </w:r>
              </w:p>
            </w:tc>
            <w:tc>
              <w:tcPr>
                <w:tcW w:w="979" w:type="pct"/>
                <w:tcBorders>
                  <w:top w:val="nil"/>
                  <w:left w:val="nil"/>
                  <w:bottom w:val="nil"/>
                  <w:right w:val="nil"/>
                </w:tcBorders>
                <w:shd w:val="clear" w:color="auto" w:fill="auto"/>
                <w:noWrap/>
                <w:vAlign w:val="bottom"/>
                <w:hideMark/>
              </w:tcPr>
              <w:p w14:paraId="1D8D62B0" w14:textId="77777777" w:rsidR="00C444E6" w:rsidRPr="00C444E6" w:rsidRDefault="00C444E6" w:rsidP="00C444E6">
                <w:pPr>
                  <w:spacing w:after="0" w:line="240" w:lineRule="auto"/>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540FCAA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7CDD9AB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C86487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F872626" w14:textId="77777777" w:rsidTr="00C444E6">
            <w:trPr>
              <w:trHeight w:val="288"/>
            </w:trPr>
            <w:tc>
              <w:tcPr>
                <w:tcW w:w="659" w:type="pct"/>
                <w:tcBorders>
                  <w:top w:val="nil"/>
                  <w:left w:val="nil"/>
                  <w:bottom w:val="nil"/>
                  <w:right w:val="nil"/>
                </w:tcBorders>
                <w:shd w:val="clear" w:color="auto" w:fill="auto"/>
                <w:noWrap/>
                <w:vAlign w:val="bottom"/>
                <w:hideMark/>
              </w:tcPr>
              <w:p w14:paraId="7B318203"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 = 5397/10</w:t>
                </w:r>
              </w:p>
            </w:tc>
            <w:tc>
              <w:tcPr>
                <w:tcW w:w="706" w:type="pct"/>
                <w:tcBorders>
                  <w:top w:val="nil"/>
                  <w:left w:val="nil"/>
                  <w:bottom w:val="nil"/>
                  <w:right w:val="nil"/>
                </w:tcBorders>
                <w:shd w:val="clear" w:color="auto" w:fill="auto"/>
                <w:noWrap/>
                <w:vAlign w:val="bottom"/>
                <w:hideMark/>
              </w:tcPr>
              <w:p w14:paraId="3555AF8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139.7</w:t>
                </w:r>
              </w:p>
            </w:tc>
            <w:tc>
              <w:tcPr>
                <w:tcW w:w="979" w:type="pct"/>
                <w:tcBorders>
                  <w:top w:val="nil"/>
                  <w:left w:val="nil"/>
                  <w:bottom w:val="nil"/>
                  <w:right w:val="nil"/>
                </w:tcBorders>
                <w:shd w:val="clear" w:color="auto" w:fill="auto"/>
                <w:noWrap/>
                <w:vAlign w:val="bottom"/>
                <w:hideMark/>
              </w:tcPr>
              <w:p w14:paraId="333C241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2542445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7A45060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505833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513AC06" w14:textId="77777777" w:rsidTr="00C444E6">
            <w:trPr>
              <w:trHeight w:val="288"/>
            </w:trPr>
            <w:tc>
              <w:tcPr>
                <w:tcW w:w="659" w:type="pct"/>
                <w:tcBorders>
                  <w:top w:val="nil"/>
                  <w:left w:val="nil"/>
                  <w:bottom w:val="nil"/>
                  <w:right w:val="nil"/>
                </w:tcBorders>
                <w:shd w:val="clear" w:color="auto" w:fill="auto"/>
                <w:noWrap/>
                <w:vAlign w:val="bottom"/>
                <w:hideMark/>
              </w:tcPr>
              <w:p w14:paraId="7ECF6BD9"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Therefore;</w:t>
                </w:r>
              </w:p>
            </w:tc>
            <w:tc>
              <w:tcPr>
                <w:tcW w:w="706" w:type="pct"/>
                <w:tcBorders>
                  <w:top w:val="nil"/>
                  <w:left w:val="nil"/>
                  <w:bottom w:val="nil"/>
                  <w:right w:val="nil"/>
                </w:tcBorders>
                <w:shd w:val="clear" w:color="auto" w:fill="auto"/>
                <w:noWrap/>
                <w:vAlign w:val="bottom"/>
                <w:hideMark/>
              </w:tcPr>
              <w:p w14:paraId="76696155"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898/139.7= 6.42%</w:t>
                </w:r>
              </w:p>
            </w:tc>
            <w:tc>
              <w:tcPr>
                <w:tcW w:w="979" w:type="pct"/>
                <w:tcBorders>
                  <w:top w:val="nil"/>
                  <w:left w:val="nil"/>
                  <w:bottom w:val="nil"/>
                  <w:right w:val="nil"/>
                </w:tcBorders>
                <w:shd w:val="clear" w:color="auto" w:fill="auto"/>
                <w:noWrap/>
                <w:vAlign w:val="bottom"/>
                <w:hideMark/>
              </w:tcPr>
              <w:p w14:paraId="43C803AC" w14:textId="77777777" w:rsidR="00C444E6" w:rsidRPr="00C444E6" w:rsidRDefault="00C444E6" w:rsidP="00C444E6">
                <w:pPr>
                  <w:spacing w:after="0" w:line="240" w:lineRule="auto"/>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6B41B8D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535C3A3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4330A0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AA0049A" w14:textId="77777777" w:rsidTr="00C444E6">
            <w:trPr>
              <w:trHeight w:val="288"/>
            </w:trPr>
            <w:tc>
              <w:tcPr>
                <w:tcW w:w="659" w:type="pct"/>
                <w:tcBorders>
                  <w:top w:val="nil"/>
                  <w:left w:val="nil"/>
                  <w:bottom w:val="nil"/>
                  <w:right w:val="nil"/>
                </w:tcBorders>
                <w:shd w:val="clear" w:color="auto" w:fill="auto"/>
                <w:noWrap/>
                <w:vAlign w:val="bottom"/>
                <w:hideMark/>
              </w:tcPr>
              <w:p w14:paraId="5EBB059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47D37B6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1731112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06CDC7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7B538BE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F2A738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C539C2E" w14:textId="77777777" w:rsidTr="00C444E6">
            <w:trPr>
              <w:trHeight w:val="288"/>
            </w:trPr>
            <w:tc>
              <w:tcPr>
                <w:tcW w:w="659" w:type="pct"/>
                <w:tcBorders>
                  <w:top w:val="nil"/>
                  <w:left w:val="nil"/>
                  <w:bottom w:val="nil"/>
                  <w:right w:val="nil"/>
                </w:tcBorders>
                <w:shd w:val="clear" w:color="auto" w:fill="auto"/>
                <w:noWrap/>
                <w:vAlign w:val="bottom"/>
                <w:hideMark/>
              </w:tcPr>
              <w:p w14:paraId="57DD3EA4"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IRR for A</w:t>
                </w:r>
              </w:p>
            </w:tc>
            <w:tc>
              <w:tcPr>
                <w:tcW w:w="706" w:type="pct"/>
                <w:tcBorders>
                  <w:top w:val="nil"/>
                  <w:left w:val="nil"/>
                  <w:bottom w:val="nil"/>
                  <w:right w:val="nil"/>
                </w:tcBorders>
                <w:shd w:val="clear" w:color="auto" w:fill="auto"/>
                <w:noWrap/>
                <w:vAlign w:val="bottom"/>
                <w:hideMark/>
              </w:tcPr>
              <w:p w14:paraId="5DB90A58"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6%+6.42%= 11.42%</w:t>
                </w:r>
              </w:p>
            </w:tc>
            <w:tc>
              <w:tcPr>
                <w:tcW w:w="979" w:type="pct"/>
                <w:tcBorders>
                  <w:top w:val="nil"/>
                  <w:left w:val="nil"/>
                  <w:bottom w:val="nil"/>
                  <w:right w:val="nil"/>
                </w:tcBorders>
                <w:shd w:val="clear" w:color="auto" w:fill="auto"/>
                <w:noWrap/>
                <w:vAlign w:val="bottom"/>
                <w:hideMark/>
              </w:tcPr>
              <w:p w14:paraId="1ECEB9F9"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11.42%</w:t>
                </w:r>
              </w:p>
            </w:tc>
            <w:tc>
              <w:tcPr>
                <w:tcW w:w="815" w:type="pct"/>
                <w:tcBorders>
                  <w:top w:val="nil"/>
                  <w:left w:val="nil"/>
                  <w:bottom w:val="nil"/>
                  <w:right w:val="nil"/>
                </w:tcBorders>
                <w:shd w:val="clear" w:color="auto" w:fill="auto"/>
                <w:noWrap/>
                <w:vAlign w:val="bottom"/>
                <w:hideMark/>
              </w:tcPr>
              <w:p w14:paraId="7BC13D6D"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p>
            </w:tc>
            <w:tc>
              <w:tcPr>
                <w:tcW w:w="1025" w:type="pct"/>
                <w:tcBorders>
                  <w:top w:val="nil"/>
                  <w:left w:val="nil"/>
                  <w:bottom w:val="nil"/>
                  <w:right w:val="nil"/>
                </w:tcBorders>
                <w:shd w:val="clear" w:color="auto" w:fill="auto"/>
                <w:noWrap/>
                <w:vAlign w:val="bottom"/>
                <w:hideMark/>
              </w:tcPr>
              <w:p w14:paraId="3F5E72B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564851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F9929D5" w14:textId="77777777" w:rsidTr="00C444E6">
            <w:trPr>
              <w:trHeight w:val="288"/>
            </w:trPr>
            <w:tc>
              <w:tcPr>
                <w:tcW w:w="659" w:type="pct"/>
                <w:tcBorders>
                  <w:top w:val="nil"/>
                  <w:left w:val="nil"/>
                  <w:bottom w:val="nil"/>
                  <w:right w:val="nil"/>
                </w:tcBorders>
                <w:shd w:val="clear" w:color="auto" w:fill="auto"/>
                <w:noWrap/>
                <w:vAlign w:val="bottom"/>
                <w:hideMark/>
              </w:tcPr>
              <w:p w14:paraId="4E9B40B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350F7D0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2E3D7F9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854A73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329F96E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F6D4FB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E642E82" w14:textId="77777777" w:rsidTr="00C444E6">
            <w:trPr>
              <w:trHeight w:val="288"/>
            </w:trPr>
            <w:tc>
              <w:tcPr>
                <w:tcW w:w="659" w:type="pct"/>
                <w:tcBorders>
                  <w:top w:val="nil"/>
                  <w:left w:val="nil"/>
                  <w:bottom w:val="nil"/>
                  <w:right w:val="nil"/>
                </w:tcBorders>
                <w:shd w:val="clear" w:color="auto" w:fill="auto"/>
                <w:noWrap/>
                <w:vAlign w:val="bottom"/>
                <w:hideMark/>
              </w:tcPr>
              <w:p w14:paraId="01E682E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0337DBE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10FC624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D51EB3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0ABA6C0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CCE38C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E99E33A" w14:textId="77777777" w:rsidTr="00C444E6">
            <w:trPr>
              <w:trHeight w:val="288"/>
            </w:trPr>
            <w:tc>
              <w:tcPr>
                <w:tcW w:w="659" w:type="pct"/>
                <w:tcBorders>
                  <w:top w:val="nil"/>
                  <w:left w:val="nil"/>
                  <w:bottom w:val="nil"/>
                  <w:right w:val="nil"/>
                </w:tcBorders>
                <w:shd w:val="clear" w:color="auto" w:fill="auto"/>
                <w:noWrap/>
                <w:vAlign w:val="bottom"/>
                <w:hideMark/>
              </w:tcPr>
              <w:p w14:paraId="64592EB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4C629F5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7E888E0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7BE455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3976F27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341CE7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31B5DE2D" w14:textId="77777777" w:rsidTr="00C444E6">
            <w:trPr>
              <w:trHeight w:val="312"/>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AEEC8E"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 C</w:t>
                </w:r>
              </w:p>
            </w:tc>
          </w:tr>
          <w:tr w:rsidR="00C444E6" w:rsidRPr="00C444E6" w14:paraId="274CBBA8" w14:textId="77777777" w:rsidTr="00C444E6">
            <w:trPr>
              <w:trHeight w:val="312"/>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29192EF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Year</w:t>
                </w:r>
              </w:p>
            </w:tc>
            <w:tc>
              <w:tcPr>
                <w:tcW w:w="706" w:type="pct"/>
                <w:tcBorders>
                  <w:top w:val="nil"/>
                  <w:left w:val="nil"/>
                  <w:bottom w:val="single" w:sz="4" w:space="0" w:color="auto"/>
                  <w:right w:val="single" w:sz="4" w:space="0" w:color="auto"/>
                </w:tcBorders>
                <w:shd w:val="clear" w:color="auto" w:fill="auto"/>
                <w:noWrap/>
                <w:vAlign w:val="bottom"/>
                <w:hideMark/>
              </w:tcPr>
              <w:p w14:paraId="462C035D"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Cash Flow   £’000</w:t>
                </w:r>
              </w:p>
            </w:tc>
            <w:tc>
              <w:tcPr>
                <w:tcW w:w="979" w:type="pct"/>
                <w:tcBorders>
                  <w:top w:val="nil"/>
                  <w:left w:val="nil"/>
                  <w:bottom w:val="single" w:sz="4" w:space="0" w:color="auto"/>
                  <w:right w:val="single" w:sz="4" w:space="0" w:color="auto"/>
                </w:tcBorders>
                <w:shd w:val="clear" w:color="auto" w:fill="auto"/>
                <w:noWrap/>
                <w:vAlign w:val="bottom"/>
                <w:hideMark/>
              </w:tcPr>
              <w:p w14:paraId="2189D8C2"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@6%</w:t>
                </w:r>
              </w:p>
            </w:tc>
            <w:tc>
              <w:tcPr>
                <w:tcW w:w="815" w:type="pct"/>
                <w:tcBorders>
                  <w:top w:val="nil"/>
                  <w:left w:val="nil"/>
                  <w:bottom w:val="single" w:sz="4" w:space="0" w:color="auto"/>
                  <w:right w:val="single" w:sz="4" w:space="0" w:color="auto"/>
                </w:tcBorders>
                <w:shd w:val="clear" w:color="auto" w:fill="auto"/>
                <w:noWrap/>
                <w:vAlign w:val="bottom"/>
                <w:hideMark/>
              </w:tcPr>
              <w:p w14:paraId="404D5960"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c>
              <w:tcPr>
                <w:tcW w:w="1025" w:type="pct"/>
                <w:tcBorders>
                  <w:top w:val="nil"/>
                  <w:left w:val="nil"/>
                  <w:bottom w:val="single" w:sz="4" w:space="0" w:color="auto"/>
                  <w:right w:val="single" w:sz="4" w:space="0" w:color="auto"/>
                </w:tcBorders>
                <w:shd w:val="clear" w:color="auto" w:fill="auto"/>
                <w:noWrap/>
                <w:vAlign w:val="bottom"/>
                <w:hideMark/>
              </w:tcPr>
              <w:p w14:paraId="726A9BFA"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Discounting factor @16%</w:t>
                </w:r>
              </w:p>
            </w:tc>
            <w:tc>
              <w:tcPr>
                <w:tcW w:w="815" w:type="pct"/>
                <w:tcBorders>
                  <w:top w:val="nil"/>
                  <w:left w:val="nil"/>
                  <w:bottom w:val="single" w:sz="4" w:space="0" w:color="auto"/>
                  <w:right w:val="single" w:sz="4" w:space="0" w:color="auto"/>
                </w:tcBorders>
                <w:shd w:val="clear" w:color="auto" w:fill="auto"/>
                <w:noWrap/>
                <w:vAlign w:val="bottom"/>
                <w:hideMark/>
              </w:tcPr>
              <w:p w14:paraId="7EEEB96E" w14:textId="77777777" w:rsidR="00C444E6" w:rsidRPr="00C444E6" w:rsidRDefault="00C444E6" w:rsidP="00C444E6">
                <w:pPr>
                  <w:spacing w:after="0" w:line="240" w:lineRule="auto"/>
                  <w:jc w:val="center"/>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 xml:space="preserve">Present </w:t>
                </w:r>
                <w:proofErr w:type="gramStart"/>
                <w:r w:rsidRPr="00C444E6">
                  <w:rPr>
                    <w:rFonts w:ascii="Times New Roman" w:eastAsia="Times New Roman" w:hAnsi="Times New Roman" w:cs="Times New Roman"/>
                    <w:b/>
                    <w:bCs/>
                    <w:color w:val="000000"/>
                    <w:sz w:val="24"/>
                    <w:szCs w:val="24"/>
                    <w:lang w:val="en-IN" w:eastAsia="en-IN"/>
                  </w:rPr>
                  <w:t>Value  £</w:t>
                </w:r>
                <w:proofErr w:type="gramEnd"/>
                <w:r w:rsidRPr="00C444E6">
                  <w:rPr>
                    <w:rFonts w:ascii="Times New Roman" w:eastAsia="Times New Roman" w:hAnsi="Times New Roman" w:cs="Times New Roman"/>
                    <w:b/>
                    <w:bCs/>
                    <w:color w:val="000000"/>
                    <w:sz w:val="24"/>
                    <w:szCs w:val="24"/>
                    <w:lang w:val="en-IN" w:eastAsia="en-IN"/>
                  </w:rPr>
                  <w:t>’000</w:t>
                </w:r>
              </w:p>
            </w:tc>
          </w:tr>
          <w:tr w:rsidR="00C444E6" w:rsidRPr="00C444E6" w14:paraId="148DFD3E"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45C7D7E6"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w:t>
                </w:r>
              </w:p>
            </w:tc>
            <w:tc>
              <w:tcPr>
                <w:tcW w:w="706" w:type="pct"/>
                <w:tcBorders>
                  <w:top w:val="nil"/>
                  <w:left w:val="nil"/>
                  <w:bottom w:val="single" w:sz="4" w:space="0" w:color="auto"/>
                  <w:right w:val="single" w:sz="4" w:space="0" w:color="auto"/>
                </w:tcBorders>
                <w:shd w:val="clear" w:color="auto" w:fill="auto"/>
                <w:noWrap/>
                <w:vAlign w:val="bottom"/>
                <w:hideMark/>
              </w:tcPr>
              <w:p w14:paraId="1EB2716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-1700</w:t>
                </w:r>
              </w:p>
            </w:tc>
            <w:tc>
              <w:tcPr>
                <w:tcW w:w="979" w:type="pct"/>
                <w:tcBorders>
                  <w:top w:val="nil"/>
                  <w:left w:val="nil"/>
                  <w:bottom w:val="single" w:sz="4" w:space="0" w:color="auto"/>
                  <w:right w:val="single" w:sz="4" w:space="0" w:color="auto"/>
                </w:tcBorders>
                <w:shd w:val="clear" w:color="auto" w:fill="auto"/>
                <w:noWrap/>
                <w:vAlign w:val="bottom"/>
                <w:hideMark/>
              </w:tcPr>
              <w:p w14:paraId="3EB5C7B3"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815" w:type="pct"/>
                <w:tcBorders>
                  <w:top w:val="nil"/>
                  <w:left w:val="nil"/>
                  <w:bottom w:val="single" w:sz="4" w:space="0" w:color="auto"/>
                  <w:right w:val="single" w:sz="4" w:space="0" w:color="auto"/>
                </w:tcBorders>
                <w:shd w:val="clear" w:color="auto" w:fill="auto"/>
                <w:noWrap/>
                <w:vAlign w:val="bottom"/>
                <w:hideMark/>
              </w:tcPr>
              <w:p w14:paraId="5EBAEFD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-1700</w:t>
                </w:r>
              </w:p>
            </w:tc>
            <w:tc>
              <w:tcPr>
                <w:tcW w:w="1025" w:type="pct"/>
                <w:tcBorders>
                  <w:top w:val="nil"/>
                  <w:left w:val="nil"/>
                  <w:bottom w:val="single" w:sz="4" w:space="0" w:color="auto"/>
                  <w:right w:val="single" w:sz="4" w:space="0" w:color="auto"/>
                </w:tcBorders>
                <w:shd w:val="clear" w:color="auto" w:fill="auto"/>
                <w:noWrap/>
                <w:vAlign w:val="bottom"/>
                <w:hideMark/>
              </w:tcPr>
              <w:p w14:paraId="44903F2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815" w:type="pct"/>
                <w:tcBorders>
                  <w:top w:val="nil"/>
                  <w:left w:val="nil"/>
                  <w:bottom w:val="single" w:sz="4" w:space="0" w:color="auto"/>
                  <w:right w:val="single" w:sz="4" w:space="0" w:color="auto"/>
                </w:tcBorders>
                <w:shd w:val="clear" w:color="auto" w:fill="auto"/>
                <w:noWrap/>
                <w:vAlign w:val="bottom"/>
                <w:hideMark/>
              </w:tcPr>
              <w:p w14:paraId="6CD3CDE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-1700</w:t>
                </w:r>
              </w:p>
            </w:tc>
          </w:tr>
          <w:tr w:rsidR="00C444E6" w:rsidRPr="00C444E6" w14:paraId="2C7D72C3"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2638F88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w:t>
                </w:r>
              </w:p>
            </w:tc>
            <w:tc>
              <w:tcPr>
                <w:tcW w:w="706" w:type="pct"/>
                <w:tcBorders>
                  <w:top w:val="nil"/>
                  <w:left w:val="nil"/>
                  <w:bottom w:val="single" w:sz="4" w:space="0" w:color="auto"/>
                  <w:right w:val="single" w:sz="4" w:space="0" w:color="auto"/>
                </w:tcBorders>
                <w:shd w:val="clear" w:color="auto" w:fill="auto"/>
                <w:noWrap/>
                <w:vAlign w:val="bottom"/>
                <w:hideMark/>
              </w:tcPr>
              <w:p w14:paraId="72A35E6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460</w:t>
                </w:r>
              </w:p>
            </w:tc>
            <w:tc>
              <w:tcPr>
                <w:tcW w:w="979" w:type="pct"/>
                <w:tcBorders>
                  <w:top w:val="nil"/>
                  <w:left w:val="nil"/>
                  <w:bottom w:val="single" w:sz="4" w:space="0" w:color="auto"/>
                  <w:right w:val="single" w:sz="4" w:space="0" w:color="auto"/>
                </w:tcBorders>
                <w:shd w:val="clear" w:color="auto" w:fill="auto"/>
                <w:noWrap/>
                <w:vAlign w:val="bottom"/>
                <w:hideMark/>
              </w:tcPr>
              <w:p w14:paraId="0069B64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0.943396226</w:t>
                </w:r>
              </w:p>
            </w:tc>
            <w:tc>
              <w:tcPr>
                <w:tcW w:w="815" w:type="pct"/>
                <w:tcBorders>
                  <w:top w:val="nil"/>
                  <w:left w:val="nil"/>
                  <w:bottom w:val="single" w:sz="4" w:space="0" w:color="auto"/>
                  <w:right w:val="single" w:sz="4" w:space="0" w:color="auto"/>
                </w:tcBorders>
                <w:shd w:val="clear" w:color="auto" w:fill="auto"/>
                <w:noWrap/>
                <w:vAlign w:val="bottom"/>
                <w:hideMark/>
              </w:tcPr>
              <w:p w14:paraId="72830E1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434</w:t>
                </w:r>
              </w:p>
            </w:tc>
            <w:tc>
              <w:tcPr>
                <w:tcW w:w="1025" w:type="pct"/>
                <w:tcBorders>
                  <w:top w:val="nil"/>
                  <w:left w:val="nil"/>
                  <w:bottom w:val="single" w:sz="4" w:space="0" w:color="auto"/>
                  <w:right w:val="single" w:sz="4" w:space="0" w:color="auto"/>
                </w:tcBorders>
                <w:shd w:val="clear" w:color="auto" w:fill="auto"/>
                <w:noWrap/>
                <w:vAlign w:val="bottom"/>
                <w:hideMark/>
              </w:tcPr>
              <w:p w14:paraId="28C1A1E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0.862068966</w:t>
                </w:r>
              </w:p>
            </w:tc>
            <w:tc>
              <w:tcPr>
                <w:tcW w:w="815" w:type="pct"/>
                <w:tcBorders>
                  <w:top w:val="nil"/>
                  <w:left w:val="nil"/>
                  <w:bottom w:val="single" w:sz="4" w:space="0" w:color="auto"/>
                  <w:right w:val="single" w:sz="4" w:space="0" w:color="auto"/>
                </w:tcBorders>
                <w:shd w:val="clear" w:color="auto" w:fill="auto"/>
                <w:noWrap/>
                <w:vAlign w:val="bottom"/>
                <w:hideMark/>
              </w:tcPr>
              <w:p w14:paraId="276D706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397</w:t>
                </w:r>
              </w:p>
            </w:tc>
          </w:tr>
          <w:tr w:rsidR="00C444E6" w:rsidRPr="00C444E6" w14:paraId="444780D9"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63A872C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2</w:t>
                </w:r>
              </w:p>
            </w:tc>
            <w:tc>
              <w:tcPr>
                <w:tcW w:w="706" w:type="pct"/>
                <w:tcBorders>
                  <w:top w:val="nil"/>
                  <w:left w:val="nil"/>
                  <w:bottom w:val="single" w:sz="4" w:space="0" w:color="auto"/>
                  <w:right w:val="single" w:sz="4" w:space="0" w:color="auto"/>
                </w:tcBorders>
                <w:shd w:val="clear" w:color="auto" w:fill="auto"/>
                <w:noWrap/>
                <w:vAlign w:val="bottom"/>
                <w:hideMark/>
              </w:tcPr>
              <w:p w14:paraId="504881F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685</w:t>
                </w:r>
              </w:p>
            </w:tc>
            <w:tc>
              <w:tcPr>
                <w:tcW w:w="979" w:type="pct"/>
                <w:tcBorders>
                  <w:top w:val="nil"/>
                  <w:left w:val="nil"/>
                  <w:bottom w:val="single" w:sz="4" w:space="0" w:color="auto"/>
                  <w:right w:val="single" w:sz="4" w:space="0" w:color="auto"/>
                </w:tcBorders>
                <w:shd w:val="clear" w:color="auto" w:fill="auto"/>
                <w:noWrap/>
                <w:vAlign w:val="bottom"/>
                <w:hideMark/>
              </w:tcPr>
              <w:p w14:paraId="08AE4DE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0.88999644</w:t>
                </w:r>
              </w:p>
            </w:tc>
            <w:tc>
              <w:tcPr>
                <w:tcW w:w="815" w:type="pct"/>
                <w:tcBorders>
                  <w:top w:val="nil"/>
                  <w:left w:val="nil"/>
                  <w:bottom w:val="single" w:sz="4" w:space="0" w:color="auto"/>
                  <w:right w:val="single" w:sz="4" w:space="0" w:color="auto"/>
                </w:tcBorders>
                <w:shd w:val="clear" w:color="auto" w:fill="auto"/>
                <w:noWrap/>
                <w:vAlign w:val="bottom"/>
                <w:hideMark/>
              </w:tcPr>
              <w:p w14:paraId="21F0403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610</w:t>
                </w:r>
              </w:p>
            </w:tc>
            <w:tc>
              <w:tcPr>
                <w:tcW w:w="1025" w:type="pct"/>
                <w:tcBorders>
                  <w:top w:val="nil"/>
                  <w:left w:val="nil"/>
                  <w:bottom w:val="single" w:sz="4" w:space="0" w:color="auto"/>
                  <w:right w:val="single" w:sz="4" w:space="0" w:color="auto"/>
                </w:tcBorders>
                <w:shd w:val="clear" w:color="auto" w:fill="auto"/>
                <w:noWrap/>
                <w:vAlign w:val="bottom"/>
                <w:hideMark/>
              </w:tcPr>
              <w:p w14:paraId="18DD0E0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0.743162901</w:t>
                </w:r>
              </w:p>
            </w:tc>
            <w:tc>
              <w:tcPr>
                <w:tcW w:w="815" w:type="pct"/>
                <w:tcBorders>
                  <w:top w:val="nil"/>
                  <w:left w:val="nil"/>
                  <w:bottom w:val="single" w:sz="4" w:space="0" w:color="auto"/>
                  <w:right w:val="single" w:sz="4" w:space="0" w:color="auto"/>
                </w:tcBorders>
                <w:shd w:val="clear" w:color="auto" w:fill="auto"/>
                <w:noWrap/>
                <w:vAlign w:val="bottom"/>
                <w:hideMark/>
              </w:tcPr>
              <w:p w14:paraId="7370AA70"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509</w:t>
                </w:r>
              </w:p>
            </w:tc>
          </w:tr>
          <w:tr w:rsidR="00C444E6" w:rsidRPr="00C444E6" w14:paraId="0B17FE5A"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0626EFE9"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w:t>
                </w:r>
              </w:p>
            </w:tc>
            <w:tc>
              <w:tcPr>
                <w:tcW w:w="706" w:type="pct"/>
                <w:tcBorders>
                  <w:top w:val="nil"/>
                  <w:left w:val="nil"/>
                  <w:bottom w:val="single" w:sz="4" w:space="0" w:color="auto"/>
                  <w:right w:val="single" w:sz="4" w:space="0" w:color="auto"/>
                </w:tcBorders>
                <w:shd w:val="clear" w:color="auto" w:fill="auto"/>
                <w:noWrap/>
                <w:vAlign w:val="bottom"/>
                <w:hideMark/>
              </w:tcPr>
              <w:p w14:paraId="1ECE606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872</w:t>
                </w:r>
              </w:p>
            </w:tc>
            <w:tc>
              <w:tcPr>
                <w:tcW w:w="979" w:type="pct"/>
                <w:tcBorders>
                  <w:top w:val="nil"/>
                  <w:left w:val="nil"/>
                  <w:bottom w:val="single" w:sz="4" w:space="0" w:color="auto"/>
                  <w:right w:val="single" w:sz="4" w:space="0" w:color="auto"/>
                </w:tcBorders>
                <w:shd w:val="clear" w:color="auto" w:fill="auto"/>
                <w:noWrap/>
                <w:vAlign w:val="bottom"/>
                <w:hideMark/>
              </w:tcPr>
              <w:p w14:paraId="6E5580C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0.839619283</w:t>
                </w:r>
              </w:p>
            </w:tc>
            <w:tc>
              <w:tcPr>
                <w:tcW w:w="815" w:type="pct"/>
                <w:tcBorders>
                  <w:top w:val="nil"/>
                  <w:left w:val="nil"/>
                  <w:bottom w:val="single" w:sz="4" w:space="0" w:color="auto"/>
                  <w:right w:val="single" w:sz="4" w:space="0" w:color="auto"/>
                </w:tcBorders>
                <w:shd w:val="clear" w:color="auto" w:fill="auto"/>
                <w:noWrap/>
                <w:vAlign w:val="bottom"/>
                <w:hideMark/>
              </w:tcPr>
              <w:p w14:paraId="613A039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732</w:t>
                </w:r>
              </w:p>
            </w:tc>
            <w:tc>
              <w:tcPr>
                <w:tcW w:w="1025" w:type="pct"/>
                <w:tcBorders>
                  <w:top w:val="nil"/>
                  <w:left w:val="nil"/>
                  <w:bottom w:val="single" w:sz="4" w:space="0" w:color="auto"/>
                  <w:right w:val="single" w:sz="4" w:space="0" w:color="auto"/>
                </w:tcBorders>
                <w:shd w:val="clear" w:color="auto" w:fill="auto"/>
                <w:noWrap/>
                <w:vAlign w:val="bottom"/>
                <w:hideMark/>
              </w:tcPr>
              <w:p w14:paraId="09A8CC24"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0.640657674</w:t>
                </w:r>
              </w:p>
            </w:tc>
            <w:tc>
              <w:tcPr>
                <w:tcW w:w="815" w:type="pct"/>
                <w:tcBorders>
                  <w:top w:val="nil"/>
                  <w:left w:val="nil"/>
                  <w:bottom w:val="single" w:sz="4" w:space="0" w:color="auto"/>
                  <w:right w:val="single" w:sz="4" w:space="0" w:color="auto"/>
                </w:tcBorders>
                <w:shd w:val="clear" w:color="auto" w:fill="auto"/>
                <w:noWrap/>
                <w:vAlign w:val="bottom"/>
                <w:hideMark/>
              </w:tcPr>
              <w:p w14:paraId="2BAC467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559</w:t>
                </w:r>
              </w:p>
            </w:tc>
          </w:tr>
          <w:tr w:rsidR="00C444E6" w:rsidRPr="00C444E6" w14:paraId="67C82B68"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3285823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4</w:t>
                </w:r>
              </w:p>
            </w:tc>
            <w:tc>
              <w:tcPr>
                <w:tcW w:w="706" w:type="pct"/>
                <w:tcBorders>
                  <w:top w:val="nil"/>
                  <w:left w:val="nil"/>
                  <w:bottom w:val="single" w:sz="4" w:space="0" w:color="auto"/>
                  <w:right w:val="single" w:sz="4" w:space="0" w:color="auto"/>
                </w:tcBorders>
                <w:shd w:val="clear" w:color="auto" w:fill="auto"/>
                <w:noWrap/>
                <w:vAlign w:val="bottom"/>
                <w:hideMark/>
              </w:tcPr>
              <w:p w14:paraId="46E212D6"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985</w:t>
                </w:r>
              </w:p>
            </w:tc>
            <w:tc>
              <w:tcPr>
                <w:tcW w:w="979" w:type="pct"/>
                <w:tcBorders>
                  <w:top w:val="nil"/>
                  <w:left w:val="nil"/>
                  <w:bottom w:val="single" w:sz="4" w:space="0" w:color="auto"/>
                  <w:right w:val="single" w:sz="4" w:space="0" w:color="auto"/>
                </w:tcBorders>
                <w:shd w:val="clear" w:color="auto" w:fill="auto"/>
                <w:noWrap/>
                <w:vAlign w:val="bottom"/>
                <w:hideMark/>
              </w:tcPr>
              <w:p w14:paraId="69F969D1"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0.792093663</w:t>
                </w:r>
              </w:p>
            </w:tc>
            <w:tc>
              <w:tcPr>
                <w:tcW w:w="815" w:type="pct"/>
                <w:tcBorders>
                  <w:top w:val="nil"/>
                  <w:left w:val="nil"/>
                  <w:bottom w:val="single" w:sz="4" w:space="0" w:color="auto"/>
                  <w:right w:val="single" w:sz="4" w:space="0" w:color="auto"/>
                </w:tcBorders>
                <w:shd w:val="clear" w:color="auto" w:fill="auto"/>
                <w:noWrap/>
                <w:vAlign w:val="bottom"/>
                <w:hideMark/>
              </w:tcPr>
              <w:p w14:paraId="205D5B1B"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780</w:t>
                </w:r>
              </w:p>
            </w:tc>
            <w:tc>
              <w:tcPr>
                <w:tcW w:w="1025" w:type="pct"/>
                <w:tcBorders>
                  <w:top w:val="nil"/>
                  <w:left w:val="nil"/>
                  <w:bottom w:val="single" w:sz="4" w:space="0" w:color="auto"/>
                  <w:right w:val="single" w:sz="4" w:space="0" w:color="auto"/>
                </w:tcBorders>
                <w:shd w:val="clear" w:color="auto" w:fill="auto"/>
                <w:noWrap/>
                <w:vAlign w:val="bottom"/>
                <w:hideMark/>
              </w:tcPr>
              <w:p w14:paraId="387CEF0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0.552291098</w:t>
                </w:r>
              </w:p>
            </w:tc>
            <w:tc>
              <w:tcPr>
                <w:tcW w:w="815" w:type="pct"/>
                <w:tcBorders>
                  <w:top w:val="nil"/>
                  <w:left w:val="nil"/>
                  <w:bottom w:val="single" w:sz="4" w:space="0" w:color="auto"/>
                  <w:right w:val="single" w:sz="4" w:space="0" w:color="auto"/>
                </w:tcBorders>
                <w:shd w:val="clear" w:color="auto" w:fill="auto"/>
                <w:noWrap/>
                <w:vAlign w:val="bottom"/>
                <w:hideMark/>
              </w:tcPr>
              <w:p w14:paraId="2BEABFA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544</w:t>
                </w:r>
              </w:p>
            </w:tc>
          </w:tr>
          <w:tr w:rsidR="00C444E6" w:rsidRPr="00C444E6" w14:paraId="68A17213" w14:textId="77777777" w:rsidTr="00C444E6">
            <w:trPr>
              <w:trHeight w:val="288"/>
            </w:trPr>
            <w:tc>
              <w:tcPr>
                <w:tcW w:w="659" w:type="pct"/>
                <w:tcBorders>
                  <w:top w:val="nil"/>
                  <w:left w:val="single" w:sz="4" w:space="0" w:color="auto"/>
                  <w:bottom w:val="single" w:sz="4" w:space="0" w:color="auto"/>
                  <w:right w:val="single" w:sz="4" w:space="0" w:color="auto"/>
                </w:tcBorders>
                <w:shd w:val="clear" w:color="auto" w:fill="auto"/>
                <w:noWrap/>
                <w:vAlign w:val="bottom"/>
                <w:hideMark/>
              </w:tcPr>
              <w:p w14:paraId="053633A4"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NPV</w:t>
                </w:r>
              </w:p>
            </w:tc>
            <w:tc>
              <w:tcPr>
                <w:tcW w:w="706" w:type="pct"/>
                <w:tcBorders>
                  <w:top w:val="nil"/>
                  <w:left w:val="nil"/>
                  <w:bottom w:val="single" w:sz="4" w:space="0" w:color="auto"/>
                  <w:right w:val="single" w:sz="4" w:space="0" w:color="auto"/>
                </w:tcBorders>
                <w:shd w:val="clear" w:color="auto" w:fill="auto"/>
                <w:noWrap/>
                <w:vAlign w:val="bottom"/>
                <w:hideMark/>
              </w:tcPr>
              <w:p w14:paraId="0B67BB8D"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979" w:type="pct"/>
                <w:tcBorders>
                  <w:top w:val="nil"/>
                  <w:left w:val="nil"/>
                  <w:bottom w:val="single" w:sz="4" w:space="0" w:color="auto"/>
                  <w:right w:val="single" w:sz="4" w:space="0" w:color="auto"/>
                </w:tcBorders>
                <w:shd w:val="clear" w:color="auto" w:fill="auto"/>
                <w:noWrap/>
                <w:vAlign w:val="bottom"/>
                <w:hideMark/>
              </w:tcPr>
              <w:p w14:paraId="2592C0B4"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815" w:type="pct"/>
                <w:tcBorders>
                  <w:top w:val="nil"/>
                  <w:left w:val="nil"/>
                  <w:bottom w:val="single" w:sz="4" w:space="0" w:color="auto"/>
                  <w:right w:val="single" w:sz="4" w:space="0" w:color="auto"/>
                </w:tcBorders>
                <w:shd w:val="clear" w:color="auto" w:fill="auto"/>
                <w:noWrap/>
                <w:vAlign w:val="bottom"/>
                <w:hideMark/>
              </w:tcPr>
              <w:p w14:paraId="09F780E0"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856</w:t>
                </w:r>
              </w:p>
            </w:tc>
            <w:tc>
              <w:tcPr>
                <w:tcW w:w="1025" w:type="pct"/>
                <w:tcBorders>
                  <w:top w:val="nil"/>
                  <w:left w:val="nil"/>
                  <w:bottom w:val="single" w:sz="4" w:space="0" w:color="auto"/>
                  <w:right w:val="single" w:sz="4" w:space="0" w:color="auto"/>
                </w:tcBorders>
                <w:shd w:val="clear" w:color="auto" w:fill="auto"/>
                <w:noWrap/>
                <w:vAlign w:val="bottom"/>
                <w:hideMark/>
              </w:tcPr>
              <w:p w14:paraId="7717CFCA" w14:textId="77777777" w:rsidR="00C444E6" w:rsidRPr="00C444E6" w:rsidRDefault="00C444E6" w:rsidP="00C444E6">
                <w:pPr>
                  <w:spacing w:after="0" w:line="240" w:lineRule="auto"/>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 </w:t>
                </w:r>
              </w:p>
            </w:tc>
            <w:tc>
              <w:tcPr>
                <w:tcW w:w="815" w:type="pct"/>
                <w:tcBorders>
                  <w:top w:val="nil"/>
                  <w:left w:val="nil"/>
                  <w:bottom w:val="single" w:sz="4" w:space="0" w:color="auto"/>
                  <w:right w:val="single" w:sz="4" w:space="0" w:color="auto"/>
                </w:tcBorders>
                <w:shd w:val="clear" w:color="auto" w:fill="auto"/>
                <w:noWrap/>
                <w:vAlign w:val="bottom"/>
                <w:hideMark/>
              </w:tcPr>
              <w:p w14:paraId="678B5DFC"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308</w:t>
                </w:r>
              </w:p>
            </w:tc>
          </w:tr>
          <w:tr w:rsidR="00C444E6" w:rsidRPr="00C444E6" w14:paraId="07D38089" w14:textId="77777777" w:rsidTr="00C444E6">
            <w:trPr>
              <w:trHeight w:val="288"/>
            </w:trPr>
            <w:tc>
              <w:tcPr>
                <w:tcW w:w="659" w:type="pct"/>
                <w:tcBorders>
                  <w:top w:val="nil"/>
                  <w:left w:val="nil"/>
                  <w:bottom w:val="nil"/>
                  <w:right w:val="nil"/>
                </w:tcBorders>
                <w:shd w:val="clear" w:color="auto" w:fill="auto"/>
                <w:noWrap/>
                <w:vAlign w:val="bottom"/>
                <w:hideMark/>
              </w:tcPr>
              <w:p w14:paraId="14A22177"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p>
            </w:tc>
            <w:tc>
              <w:tcPr>
                <w:tcW w:w="706" w:type="pct"/>
                <w:tcBorders>
                  <w:top w:val="nil"/>
                  <w:left w:val="nil"/>
                  <w:bottom w:val="nil"/>
                  <w:right w:val="nil"/>
                </w:tcBorders>
                <w:shd w:val="clear" w:color="auto" w:fill="auto"/>
                <w:noWrap/>
                <w:vAlign w:val="bottom"/>
                <w:hideMark/>
              </w:tcPr>
              <w:p w14:paraId="2AEA8E8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036B732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C2DF81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1A93381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CDA900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0847D39" w14:textId="77777777" w:rsidTr="00C444E6">
            <w:trPr>
              <w:trHeight w:val="288"/>
            </w:trPr>
            <w:tc>
              <w:tcPr>
                <w:tcW w:w="659" w:type="pct"/>
                <w:tcBorders>
                  <w:top w:val="nil"/>
                  <w:left w:val="nil"/>
                  <w:bottom w:val="nil"/>
                  <w:right w:val="nil"/>
                </w:tcBorders>
                <w:shd w:val="clear" w:color="auto" w:fill="auto"/>
                <w:noWrap/>
                <w:vAlign w:val="bottom"/>
                <w:hideMark/>
              </w:tcPr>
              <w:p w14:paraId="57F6B92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2F29B52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6E187F6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CDC562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BE1F7C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6EC40F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CF220F0" w14:textId="77777777" w:rsidTr="00C444E6">
            <w:trPr>
              <w:trHeight w:val="288"/>
            </w:trPr>
            <w:tc>
              <w:tcPr>
                <w:tcW w:w="659" w:type="pct"/>
                <w:tcBorders>
                  <w:top w:val="nil"/>
                  <w:left w:val="nil"/>
                  <w:bottom w:val="nil"/>
                  <w:right w:val="nil"/>
                </w:tcBorders>
                <w:shd w:val="clear" w:color="auto" w:fill="auto"/>
                <w:noWrap/>
                <w:vAlign w:val="bottom"/>
                <w:hideMark/>
              </w:tcPr>
              <w:p w14:paraId="35C4D07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5A7E607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3D486D8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E9ED73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4EB4416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743D40F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6FC05FE6" w14:textId="77777777" w:rsidTr="00C444E6">
            <w:trPr>
              <w:trHeight w:val="288"/>
            </w:trPr>
            <w:tc>
              <w:tcPr>
                <w:tcW w:w="2345" w:type="pct"/>
                <w:gridSpan w:val="3"/>
                <w:tcBorders>
                  <w:top w:val="nil"/>
                  <w:left w:val="nil"/>
                  <w:bottom w:val="nil"/>
                  <w:right w:val="nil"/>
                </w:tcBorders>
                <w:shd w:val="clear" w:color="auto" w:fill="auto"/>
                <w:noWrap/>
                <w:vAlign w:val="bottom"/>
                <w:hideMark/>
              </w:tcPr>
              <w:p w14:paraId="1FE695E5" w14:textId="77777777" w:rsidR="00C444E6" w:rsidRPr="00C444E6" w:rsidRDefault="00C444E6" w:rsidP="00C444E6">
                <w:pPr>
                  <w:spacing w:after="0" w:line="240" w:lineRule="auto"/>
                  <w:jc w:val="center"/>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IRR for Proposal C</w:t>
                </w:r>
              </w:p>
            </w:tc>
            <w:tc>
              <w:tcPr>
                <w:tcW w:w="815" w:type="pct"/>
                <w:tcBorders>
                  <w:top w:val="nil"/>
                  <w:left w:val="nil"/>
                  <w:bottom w:val="nil"/>
                  <w:right w:val="nil"/>
                </w:tcBorders>
                <w:shd w:val="clear" w:color="auto" w:fill="auto"/>
                <w:noWrap/>
                <w:vAlign w:val="bottom"/>
                <w:hideMark/>
              </w:tcPr>
              <w:p w14:paraId="6C112BA9" w14:textId="77777777" w:rsidR="00C444E6" w:rsidRPr="00C444E6" w:rsidRDefault="00C444E6" w:rsidP="00C444E6">
                <w:pPr>
                  <w:spacing w:after="0" w:line="240" w:lineRule="auto"/>
                  <w:jc w:val="center"/>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69C4D87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3FB0768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D936643" w14:textId="77777777" w:rsidTr="00C444E6">
            <w:trPr>
              <w:trHeight w:val="288"/>
            </w:trPr>
            <w:tc>
              <w:tcPr>
                <w:tcW w:w="659" w:type="pct"/>
                <w:tcBorders>
                  <w:top w:val="nil"/>
                  <w:left w:val="nil"/>
                  <w:bottom w:val="nil"/>
                  <w:right w:val="nil"/>
                </w:tcBorders>
                <w:shd w:val="clear" w:color="auto" w:fill="auto"/>
                <w:noWrap/>
                <w:vAlign w:val="bottom"/>
                <w:hideMark/>
              </w:tcPr>
              <w:p w14:paraId="422BFD9B"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NPV @ 6%</w:t>
                </w:r>
              </w:p>
            </w:tc>
            <w:tc>
              <w:tcPr>
                <w:tcW w:w="706" w:type="pct"/>
                <w:tcBorders>
                  <w:top w:val="nil"/>
                  <w:left w:val="nil"/>
                  <w:bottom w:val="nil"/>
                  <w:right w:val="nil"/>
                </w:tcBorders>
                <w:shd w:val="clear" w:color="auto" w:fill="auto"/>
                <w:noWrap/>
                <w:vAlign w:val="bottom"/>
                <w:hideMark/>
              </w:tcPr>
              <w:p w14:paraId="2CACF14F"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856</w:t>
                </w:r>
              </w:p>
            </w:tc>
            <w:tc>
              <w:tcPr>
                <w:tcW w:w="979" w:type="pct"/>
                <w:tcBorders>
                  <w:top w:val="nil"/>
                  <w:left w:val="nil"/>
                  <w:bottom w:val="nil"/>
                  <w:right w:val="nil"/>
                </w:tcBorders>
                <w:shd w:val="clear" w:color="auto" w:fill="auto"/>
                <w:noWrap/>
                <w:vAlign w:val="bottom"/>
                <w:hideMark/>
              </w:tcPr>
              <w:p w14:paraId="01B240EA"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2E7102F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408C5D4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3E46F6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8B6EDCE" w14:textId="77777777" w:rsidTr="00C444E6">
            <w:trPr>
              <w:trHeight w:val="288"/>
            </w:trPr>
            <w:tc>
              <w:tcPr>
                <w:tcW w:w="659" w:type="pct"/>
                <w:tcBorders>
                  <w:top w:val="nil"/>
                  <w:left w:val="nil"/>
                  <w:bottom w:val="nil"/>
                  <w:right w:val="nil"/>
                </w:tcBorders>
                <w:shd w:val="clear" w:color="auto" w:fill="auto"/>
                <w:noWrap/>
                <w:vAlign w:val="bottom"/>
                <w:hideMark/>
              </w:tcPr>
              <w:p w14:paraId="2AC704FD"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NPV @16%</w:t>
                </w:r>
              </w:p>
            </w:tc>
            <w:tc>
              <w:tcPr>
                <w:tcW w:w="706" w:type="pct"/>
                <w:tcBorders>
                  <w:top w:val="nil"/>
                  <w:left w:val="nil"/>
                  <w:bottom w:val="nil"/>
                  <w:right w:val="nil"/>
                </w:tcBorders>
                <w:shd w:val="clear" w:color="auto" w:fill="auto"/>
                <w:noWrap/>
                <w:vAlign w:val="bottom"/>
                <w:hideMark/>
              </w:tcPr>
              <w:p w14:paraId="30171FE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308</w:t>
                </w:r>
              </w:p>
            </w:tc>
            <w:tc>
              <w:tcPr>
                <w:tcW w:w="979" w:type="pct"/>
                <w:tcBorders>
                  <w:top w:val="nil"/>
                  <w:left w:val="nil"/>
                  <w:bottom w:val="nil"/>
                  <w:right w:val="nil"/>
                </w:tcBorders>
                <w:shd w:val="clear" w:color="auto" w:fill="auto"/>
                <w:noWrap/>
                <w:vAlign w:val="bottom"/>
                <w:hideMark/>
              </w:tcPr>
              <w:p w14:paraId="02307B8D"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1900896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44A3B1D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6EBA21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CCA38A8" w14:textId="77777777" w:rsidTr="00C444E6">
            <w:trPr>
              <w:trHeight w:val="288"/>
            </w:trPr>
            <w:tc>
              <w:tcPr>
                <w:tcW w:w="659" w:type="pct"/>
                <w:tcBorders>
                  <w:top w:val="nil"/>
                  <w:left w:val="nil"/>
                  <w:bottom w:val="nil"/>
                  <w:right w:val="nil"/>
                </w:tcBorders>
                <w:shd w:val="clear" w:color="auto" w:fill="auto"/>
                <w:noWrap/>
                <w:vAlign w:val="bottom"/>
                <w:hideMark/>
              </w:tcPr>
              <w:p w14:paraId="0CCDC55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4D1760D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14EBA6C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F68CA8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22E480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48EFE9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0FC5BE5" w14:textId="77777777" w:rsidTr="00C444E6">
            <w:trPr>
              <w:trHeight w:val="288"/>
            </w:trPr>
            <w:tc>
              <w:tcPr>
                <w:tcW w:w="659" w:type="pct"/>
                <w:tcBorders>
                  <w:top w:val="nil"/>
                  <w:left w:val="nil"/>
                  <w:bottom w:val="nil"/>
                  <w:right w:val="nil"/>
                </w:tcBorders>
                <w:shd w:val="clear" w:color="auto" w:fill="auto"/>
                <w:noWrap/>
                <w:vAlign w:val="bottom"/>
                <w:hideMark/>
              </w:tcPr>
              <w:p w14:paraId="14EC4F4A"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Addition of NPV</w:t>
                </w:r>
              </w:p>
            </w:tc>
            <w:tc>
              <w:tcPr>
                <w:tcW w:w="706" w:type="pct"/>
                <w:tcBorders>
                  <w:top w:val="nil"/>
                  <w:left w:val="nil"/>
                  <w:bottom w:val="nil"/>
                  <w:right w:val="nil"/>
                </w:tcBorders>
                <w:shd w:val="clear" w:color="auto" w:fill="auto"/>
                <w:noWrap/>
                <w:vAlign w:val="bottom"/>
                <w:hideMark/>
              </w:tcPr>
              <w:p w14:paraId="48AA7D95"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898+499</w:t>
                </w:r>
              </w:p>
            </w:tc>
            <w:tc>
              <w:tcPr>
                <w:tcW w:w="979" w:type="pct"/>
                <w:tcBorders>
                  <w:top w:val="nil"/>
                  <w:left w:val="nil"/>
                  <w:bottom w:val="nil"/>
                  <w:right w:val="nil"/>
                </w:tcBorders>
                <w:shd w:val="clear" w:color="auto" w:fill="auto"/>
                <w:noWrap/>
                <w:vAlign w:val="bottom"/>
                <w:hideMark/>
              </w:tcPr>
              <w:p w14:paraId="4FA0A3B5"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1164</w:t>
                </w:r>
              </w:p>
            </w:tc>
            <w:tc>
              <w:tcPr>
                <w:tcW w:w="815" w:type="pct"/>
                <w:tcBorders>
                  <w:top w:val="nil"/>
                  <w:left w:val="nil"/>
                  <w:bottom w:val="nil"/>
                  <w:right w:val="nil"/>
                </w:tcBorders>
                <w:shd w:val="clear" w:color="auto" w:fill="auto"/>
                <w:noWrap/>
                <w:vAlign w:val="bottom"/>
                <w:hideMark/>
              </w:tcPr>
              <w:p w14:paraId="60B523C7"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202A7F0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195730E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54E7705" w14:textId="77777777" w:rsidTr="00C444E6">
            <w:trPr>
              <w:trHeight w:val="288"/>
            </w:trPr>
            <w:tc>
              <w:tcPr>
                <w:tcW w:w="659" w:type="pct"/>
                <w:tcBorders>
                  <w:top w:val="nil"/>
                  <w:left w:val="nil"/>
                  <w:bottom w:val="nil"/>
                  <w:right w:val="nil"/>
                </w:tcBorders>
                <w:shd w:val="clear" w:color="auto" w:fill="auto"/>
                <w:noWrap/>
                <w:vAlign w:val="bottom"/>
                <w:hideMark/>
              </w:tcPr>
              <w:p w14:paraId="2C5E46B2"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Deduction of Rates</w:t>
                </w:r>
              </w:p>
            </w:tc>
            <w:tc>
              <w:tcPr>
                <w:tcW w:w="706" w:type="pct"/>
                <w:tcBorders>
                  <w:top w:val="nil"/>
                  <w:left w:val="nil"/>
                  <w:bottom w:val="nil"/>
                  <w:right w:val="nil"/>
                </w:tcBorders>
                <w:shd w:val="clear" w:color="auto" w:fill="auto"/>
                <w:noWrap/>
                <w:vAlign w:val="bottom"/>
                <w:hideMark/>
              </w:tcPr>
              <w:p w14:paraId="37CAE0B9"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16%-6%</w:t>
                </w:r>
              </w:p>
            </w:tc>
            <w:tc>
              <w:tcPr>
                <w:tcW w:w="979" w:type="pct"/>
                <w:tcBorders>
                  <w:top w:val="nil"/>
                  <w:left w:val="nil"/>
                  <w:bottom w:val="nil"/>
                  <w:right w:val="nil"/>
                </w:tcBorders>
                <w:shd w:val="clear" w:color="auto" w:fill="auto"/>
                <w:noWrap/>
                <w:vAlign w:val="bottom"/>
                <w:hideMark/>
              </w:tcPr>
              <w:p w14:paraId="7D1BECAC"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10.0%</w:t>
                </w:r>
              </w:p>
            </w:tc>
            <w:tc>
              <w:tcPr>
                <w:tcW w:w="815" w:type="pct"/>
                <w:tcBorders>
                  <w:top w:val="nil"/>
                  <w:left w:val="nil"/>
                  <w:bottom w:val="nil"/>
                  <w:right w:val="nil"/>
                </w:tcBorders>
                <w:shd w:val="clear" w:color="auto" w:fill="auto"/>
                <w:noWrap/>
                <w:vAlign w:val="bottom"/>
                <w:hideMark/>
              </w:tcPr>
              <w:p w14:paraId="33539006"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1025" w:type="pct"/>
                <w:tcBorders>
                  <w:top w:val="nil"/>
                  <w:left w:val="nil"/>
                  <w:bottom w:val="nil"/>
                  <w:right w:val="nil"/>
                </w:tcBorders>
                <w:shd w:val="clear" w:color="auto" w:fill="auto"/>
                <w:noWrap/>
                <w:vAlign w:val="bottom"/>
                <w:hideMark/>
              </w:tcPr>
              <w:p w14:paraId="27C914A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682A997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3A17BF7" w14:textId="77777777" w:rsidTr="00C444E6">
            <w:trPr>
              <w:trHeight w:val="288"/>
            </w:trPr>
            <w:tc>
              <w:tcPr>
                <w:tcW w:w="659" w:type="pct"/>
                <w:tcBorders>
                  <w:top w:val="nil"/>
                  <w:left w:val="nil"/>
                  <w:bottom w:val="nil"/>
                  <w:right w:val="nil"/>
                </w:tcBorders>
                <w:shd w:val="clear" w:color="auto" w:fill="auto"/>
                <w:noWrap/>
                <w:vAlign w:val="bottom"/>
                <w:hideMark/>
              </w:tcPr>
              <w:p w14:paraId="6E38E04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17008EA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0B6DA9E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091C122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14F253F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F8B073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7ACFE1C8" w14:textId="77777777" w:rsidTr="00C444E6">
            <w:trPr>
              <w:trHeight w:val="288"/>
            </w:trPr>
            <w:tc>
              <w:tcPr>
                <w:tcW w:w="659" w:type="pct"/>
                <w:tcBorders>
                  <w:top w:val="nil"/>
                  <w:left w:val="nil"/>
                  <w:bottom w:val="nil"/>
                  <w:right w:val="nil"/>
                </w:tcBorders>
                <w:shd w:val="clear" w:color="auto" w:fill="auto"/>
                <w:noWrap/>
                <w:vAlign w:val="bottom"/>
                <w:hideMark/>
              </w:tcPr>
              <w:p w14:paraId="651D6D2C"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IF</w:t>
                </w:r>
              </w:p>
            </w:tc>
            <w:tc>
              <w:tcPr>
                <w:tcW w:w="706" w:type="pct"/>
                <w:tcBorders>
                  <w:top w:val="nil"/>
                  <w:left w:val="nil"/>
                  <w:bottom w:val="nil"/>
                  <w:right w:val="nil"/>
                </w:tcBorders>
                <w:shd w:val="clear" w:color="auto" w:fill="auto"/>
                <w:noWrap/>
                <w:vAlign w:val="bottom"/>
                <w:hideMark/>
              </w:tcPr>
              <w:p w14:paraId="34F224E6"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1164 = 10%</w:t>
                </w:r>
              </w:p>
            </w:tc>
            <w:tc>
              <w:tcPr>
                <w:tcW w:w="979" w:type="pct"/>
                <w:tcBorders>
                  <w:top w:val="nil"/>
                  <w:left w:val="nil"/>
                  <w:bottom w:val="nil"/>
                  <w:right w:val="nil"/>
                </w:tcBorders>
                <w:shd w:val="clear" w:color="auto" w:fill="auto"/>
                <w:noWrap/>
                <w:vAlign w:val="bottom"/>
                <w:hideMark/>
              </w:tcPr>
              <w:p w14:paraId="487E6552" w14:textId="77777777" w:rsidR="00C444E6" w:rsidRPr="00C444E6" w:rsidRDefault="00C444E6" w:rsidP="00C444E6">
                <w:pPr>
                  <w:spacing w:after="0" w:line="240" w:lineRule="auto"/>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3401C57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4302504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4ACECE5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1EB81B48" w14:textId="77777777" w:rsidTr="00C444E6">
            <w:trPr>
              <w:trHeight w:val="288"/>
            </w:trPr>
            <w:tc>
              <w:tcPr>
                <w:tcW w:w="659" w:type="pct"/>
                <w:tcBorders>
                  <w:top w:val="nil"/>
                  <w:left w:val="nil"/>
                  <w:bottom w:val="nil"/>
                  <w:right w:val="nil"/>
                </w:tcBorders>
                <w:shd w:val="clear" w:color="auto" w:fill="auto"/>
                <w:noWrap/>
                <w:vAlign w:val="bottom"/>
                <w:hideMark/>
              </w:tcPr>
              <w:p w14:paraId="1415BC9B"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 = 5397/10</w:t>
                </w:r>
              </w:p>
            </w:tc>
            <w:tc>
              <w:tcPr>
                <w:tcW w:w="706" w:type="pct"/>
                <w:tcBorders>
                  <w:top w:val="nil"/>
                  <w:left w:val="nil"/>
                  <w:bottom w:val="nil"/>
                  <w:right w:val="nil"/>
                </w:tcBorders>
                <w:shd w:val="clear" w:color="auto" w:fill="auto"/>
                <w:noWrap/>
                <w:vAlign w:val="bottom"/>
                <w:hideMark/>
              </w:tcPr>
              <w:p w14:paraId="20F13F08"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116.4</w:t>
                </w:r>
              </w:p>
            </w:tc>
            <w:tc>
              <w:tcPr>
                <w:tcW w:w="979" w:type="pct"/>
                <w:tcBorders>
                  <w:top w:val="nil"/>
                  <w:left w:val="nil"/>
                  <w:bottom w:val="nil"/>
                  <w:right w:val="nil"/>
                </w:tcBorders>
                <w:shd w:val="clear" w:color="auto" w:fill="auto"/>
                <w:noWrap/>
                <w:vAlign w:val="bottom"/>
                <w:hideMark/>
              </w:tcPr>
              <w:p w14:paraId="620BDCA3" w14:textId="77777777" w:rsidR="00C444E6" w:rsidRPr="00C444E6" w:rsidRDefault="00C444E6" w:rsidP="00C444E6">
                <w:pPr>
                  <w:spacing w:after="0" w:line="240" w:lineRule="auto"/>
                  <w:jc w:val="right"/>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7C1C450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639152B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91F3EC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BDAA285" w14:textId="77777777" w:rsidTr="00C444E6">
            <w:trPr>
              <w:trHeight w:val="288"/>
            </w:trPr>
            <w:tc>
              <w:tcPr>
                <w:tcW w:w="659" w:type="pct"/>
                <w:tcBorders>
                  <w:top w:val="nil"/>
                  <w:left w:val="nil"/>
                  <w:bottom w:val="nil"/>
                  <w:right w:val="nil"/>
                </w:tcBorders>
                <w:shd w:val="clear" w:color="auto" w:fill="auto"/>
                <w:noWrap/>
                <w:vAlign w:val="bottom"/>
                <w:hideMark/>
              </w:tcPr>
              <w:p w14:paraId="17FB5B78"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Therefore;</w:t>
                </w:r>
              </w:p>
            </w:tc>
            <w:tc>
              <w:tcPr>
                <w:tcW w:w="706" w:type="pct"/>
                <w:tcBorders>
                  <w:top w:val="nil"/>
                  <w:left w:val="nil"/>
                  <w:bottom w:val="nil"/>
                  <w:right w:val="nil"/>
                </w:tcBorders>
                <w:shd w:val="clear" w:color="auto" w:fill="auto"/>
                <w:noWrap/>
                <w:vAlign w:val="bottom"/>
                <w:hideMark/>
              </w:tcPr>
              <w:p w14:paraId="20F0DAEB"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856/116.4= 7.35%</w:t>
                </w:r>
              </w:p>
            </w:tc>
            <w:tc>
              <w:tcPr>
                <w:tcW w:w="979" w:type="pct"/>
                <w:tcBorders>
                  <w:top w:val="nil"/>
                  <w:left w:val="nil"/>
                  <w:bottom w:val="nil"/>
                  <w:right w:val="nil"/>
                </w:tcBorders>
                <w:shd w:val="clear" w:color="auto" w:fill="auto"/>
                <w:noWrap/>
                <w:vAlign w:val="bottom"/>
                <w:hideMark/>
              </w:tcPr>
              <w:p w14:paraId="530B386B" w14:textId="77777777" w:rsidR="00C444E6" w:rsidRPr="00C444E6" w:rsidRDefault="00C444E6" w:rsidP="00C444E6">
                <w:pPr>
                  <w:spacing w:after="0" w:line="240" w:lineRule="auto"/>
                  <w:rPr>
                    <w:rFonts w:ascii="Calibri" w:eastAsia="Times New Roman" w:hAnsi="Calibri" w:cs="Calibri"/>
                    <w:color w:val="000000"/>
                    <w:lang w:val="en-IN" w:eastAsia="en-IN"/>
                  </w:rPr>
                </w:pPr>
              </w:p>
            </w:tc>
            <w:tc>
              <w:tcPr>
                <w:tcW w:w="815" w:type="pct"/>
                <w:tcBorders>
                  <w:top w:val="nil"/>
                  <w:left w:val="nil"/>
                  <w:bottom w:val="nil"/>
                  <w:right w:val="nil"/>
                </w:tcBorders>
                <w:shd w:val="clear" w:color="auto" w:fill="auto"/>
                <w:noWrap/>
                <w:vAlign w:val="bottom"/>
                <w:hideMark/>
              </w:tcPr>
              <w:p w14:paraId="708052E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05F9A00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47C9E8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3D2C5444" w14:textId="77777777" w:rsidTr="00C444E6">
            <w:trPr>
              <w:trHeight w:val="288"/>
            </w:trPr>
            <w:tc>
              <w:tcPr>
                <w:tcW w:w="659" w:type="pct"/>
                <w:tcBorders>
                  <w:top w:val="nil"/>
                  <w:left w:val="nil"/>
                  <w:bottom w:val="nil"/>
                  <w:right w:val="nil"/>
                </w:tcBorders>
                <w:shd w:val="clear" w:color="auto" w:fill="auto"/>
                <w:noWrap/>
                <w:vAlign w:val="bottom"/>
                <w:hideMark/>
              </w:tcPr>
              <w:p w14:paraId="1D999D5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706" w:type="pct"/>
                <w:tcBorders>
                  <w:top w:val="nil"/>
                  <w:left w:val="nil"/>
                  <w:bottom w:val="nil"/>
                  <w:right w:val="nil"/>
                </w:tcBorders>
                <w:shd w:val="clear" w:color="auto" w:fill="auto"/>
                <w:noWrap/>
                <w:vAlign w:val="bottom"/>
                <w:hideMark/>
              </w:tcPr>
              <w:p w14:paraId="2936B27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79" w:type="pct"/>
                <w:tcBorders>
                  <w:top w:val="nil"/>
                  <w:left w:val="nil"/>
                  <w:bottom w:val="nil"/>
                  <w:right w:val="nil"/>
                </w:tcBorders>
                <w:shd w:val="clear" w:color="auto" w:fill="auto"/>
                <w:noWrap/>
                <w:vAlign w:val="bottom"/>
                <w:hideMark/>
              </w:tcPr>
              <w:p w14:paraId="3269ED4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4C0996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025" w:type="pct"/>
                <w:tcBorders>
                  <w:top w:val="nil"/>
                  <w:left w:val="nil"/>
                  <w:bottom w:val="nil"/>
                  <w:right w:val="nil"/>
                </w:tcBorders>
                <w:shd w:val="clear" w:color="auto" w:fill="auto"/>
                <w:noWrap/>
                <w:vAlign w:val="bottom"/>
                <w:hideMark/>
              </w:tcPr>
              <w:p w14:paraId="0BC9F1B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5D4BBA0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2738B683" w14:textId="77777777" w:rsidTr="00C444E6">
            <w:trPr>
              <w:trHeight w:val="288"/>
            </w:trPr>
            <w:tc>
              <w:tcPr>
                <w:tcW w:w="659" w:type="pct"/>
                <w:tcBorders>
                  <w:top w:val="nil"/>
                  <w:left w:val="nil"/>
                  <w:bottom w:val="nil"/>
                  <w:right w:val="nil"/>
                </w:tcBorders>
                <w:shd w:val="clear" w:color="auto" w:fill="auto"/>
                <w:noWrap/>
                <w:vAlign w:val="bottom"/>
                <w:hideMark/>
              </w:tcPr>
              <w:p w14:paraId="68A9979B"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IRR for A</w:t>
                </w:r>
              </w:p>
            </w:tc>
            <w:tc>
              <w:tcPr>
                <w:tcW w:w="706" w:type="pct"/>
                <w:tcBorders>
                  <w:top w:val="nil"/>
                  <w:left w:val="nil"/>
                  <w:bottom w:val="nil"/>
                  <w:right w:val="nil"/>
                </w:tcBorders>
                <w:shd w:val="clear" w:color="auto" w:fill="auto"/>
                <w:noWrap/>
                <w:vAlign w:val="bottom"/>
                <w:hideMark/>
              </w:tcPr>
              <w:p w14:paraId="4D2A0C85" w14:textId="77777777" w:rsidR="00C444E6" w:rsidRPr="00C444E6" w:rsidRDefault="00C444E6" w:rsidP="00C444E6">
                <w:pPr>
                  <w:spacing w:after="0" w:line="240" w:lineRule="auto"/>
                  <w:rPr>
                    <w:rFonts w:ascii="Calibri" w:eastAsia="Times New Roman" w:hAnsi="Calibri" w:cs="Calibri"/>
                    <w:color w:val="000000"/>
                    <w:lang w:val="en-IN" w:eastAsia="en-IN"/>
                  </w:rPr>
                </w:pPr>
                <w:r w:rsidRPr="00C444E6">
                  <w:rPr>
                    <w:rFonts w:ascii="Calibri" w:eastAsia="Times New Roman" w:hAnsi="Calibri" w:cs="Calibri"/>
                    <w:color w:val="000000"/>
                    <w:lang w:val="en-IN" w:eastAsia="en-IN"/>
                  </w:rPr>
                  <w:t>6%+7.35% = 13.35%</w:t>
                </w:r>
              </w:p>
            </w:tc>
            <w:tc>
              <w:tcPr>
                <w:tcW w:w="979" w:type="pct"/>
                <w:tcBorders>
                  <w:top w:val="nil"/>
                  <w:left w:val="nil"/>
                  <w:bottom w:val="nil"/>
                  <w:right w:val="nil"/>
                </w:tcBorders>
                <w:shd w:val="clear" w:color="auto" w:fill="auto"/>
                <w:noWrap/>
                <w:vAlign w:val="bottom"/>
                <w:hideMark/>
              </w:tcPr>
              <w:p w14:paraId="612F23C7"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r w:rsidRPr="00C444E6">
                  <w:rPr>
                    <w:rFonts w:ascii="Calibri" w:eastAsia="Times New Roman" w:hAnsi="Calibri" w:cs="Calibri"/>
                    <w:b/>
                    <w:bCs/>
                    <w:color w:val="000000"/>
                    <w:lang w:val="en-IN" w:eastAsia="en-IN"/>
                  </w:rPr>
                  <w:t>13.35%</w:t>
                </w:r>
              </w:p>
            </w:tc>
            <w:tc>
              <w:tcPr>
                <w:tcW w:w="815" w:type="pct"/>
                <w:tcBorders>
                  <w:top w:val="nil"/>
                  <w:left w:val="nil"/>
                  <w:bottom w:val="nil"/>
                  <w:right w:val="nil"/>
                </w:tcBorders>
                <w:shd w:val="clear" w:color="auto" w:fill="auto"/>
                <w:noWrap/>
                <w:vAlign w:val="bottom"/>
                <w:hideMark/>
              </w:tcPr>
              <w:p w14:paraId="687C84D9" w14:textId="77777777" w:rsidR="00C444E6" w:rsidRPr="00C444E6" w:rsidRDefault="00C444E6" w:rsidP="00C444E6">
                <w:pPr>
                  <w:spacing w:after="0" w:line="240" w:lineRule="auto"/>
                  <w:jc w:val="right"/>
                  <w:rPr>
                    <w:rFonts w:ascii="Calibri" w:eastAsia="Times New Roman" w:hAnsi="Calibri" w:cs="Calibri"/>
                    <w:b/>
                    <w:bCs/>
                    <w:color w:val="000000"/>
                    <w:lang w:val="en-IN" w:eastAsia="en-IN"/>
                  </w:rPr>
                </w:pPr>
              </w:p>
            </w:tc>
            <w:tc>
              <w:tcPr>
                <w:tcW w:w="1025" w:type="pct"/>
                <w:tcBorders>
                  <w:top w:val="nil"/>
                  <w:left w:val="nil"/>
                  <w:bottom w:val="nil"/>
                  <w:right w:val="nil"/>
                </w:tcBorders>
                <w:shd w:val="clear" w:color="auto" w:fill="auto"/>
                <w:noWrap/>
                <w:vAlign w:val="bottom"/>
                <w:hideMark/>
              </w:tcPr>
              <w:p w14:paraId="0C0166D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15" w:type="pct"/>
                <w:tcBorders>
                  <w:top w:val="nil"/>
                  <w:left w:val="nil"/>
                  <w:bottom w:val="nil"/>
                  <w:right w:val="nil"/>
                </w:tcBorders>
                <w:shd w:val="clear" w:color="auto" w:fill="auto"/>
                <w:noWrap/>
                <w:vAlign w:val="bottom"/>
                <w:hideMark/>
              </w:tcPr>
              <w:p w14:paraId="2CD29F5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bl>
        <w:p w14:paraId="17F6E3FA" w14:textId="77777777" w:rsidR="00C444E6" w:rsidRPr="00C444E6" w:rsidRDefault="00C444E6" w:rsidP="00C444E6"/>
        <w:p w14:paraId="0F90D3CA" w14:textId="5CE96DC2" w:rsidR="00C444E6" w:rsidRDefault="00C444E6" w:rsidP="00C444E6">
          <w:pPr>
            <w:pStyle w:val="Heading2"/>
            <w:rPr>
              <w:rFonts w:ascii="Times New Roman" w:hAnsi="Times New Roman" w:cs="Times New Roman"/>
              <w:color w:val="000000" w:themeColor="text1"/>
              <w:sz w:val="24"/>
              <w:szCs w:val="24"/>
              <w:u w:val="single"/>
            </w:rPr>
          </w:pPr>
          <w:bookmarkStart w:id="82" w:name="_Toc186239373"/>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9 Optimal Policy</w:t>
          </w:r>
          <w:bookmarkEnd w:id="82"/>
          <w:r>
            <w:rPr>
              <w:rFonts w:ascii="Times New Roman" w:hAnsi="Times New Roman" w:cs="Times New Roman"/>
              <w:color w:val="000000" w:themeColor="text1"/>
              <w:sz w:val="24"/>
              <w:szCs w:val="24"/>
              <w:u w:val="single"/>
            </w:rPr>
            <w:t xml:space="preserve"> </w:t>
          </w:r>
        </w:p>
        <w:tbl>
          <w:tblPr>
            <w:tblW w:w="5000" w:type="pct"/>
            <w:tblLook w:val="04A0" w:firstRow="1" w:lastRow="0" w:firstColumn="1" w:lastColumn="0" w:noHBand="0" w:noVBand="1"/>
          </w:tblPr>
          <w:tblGrid>
            <w:gridCol w:w="1055"/>
            <w:gridCol w:w="2199"/>
            <w:gridCol w:w="630"/>
            <w:gridCol w:w="1752"/>
            <w:gridCol w:w="1808"/>
            <w:gridCol w:w="1572"/>
          </w:tblGrid>
          <w:tr w:rsidR="00C444E6" w:rsidRPr="00C444E6" w14:paraId="4B474035" w14:textId="77777777" w:rsidTr="00C444E6">
            <w:trPr>
              <w:trHeight w:val="312"/>
            </w:trPr>
            <w:tc>
              <w:tcPr>
                <w:tcW w:w="53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CE09A7"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Proposals</w:t>
                </w:r>
              </w:p>
            </w:tc>
            <w:tc>
              <w:tcPr>
                <w:tcW w:w="1255" w:type="pct"/>
                <w:tcBorders>
                  <w:top w:val="single" w:sz="4" w:space="0" w:color="auto"/>
                  <w:left w:val="nil"/>
                  <w:bottom w:val="single" w:sz="4" w:space="0" w:color="auto"/>
                  <w:right w:val="single" w:sz="4" w:space="0" w:color="auto"/>
                </w:tcBorders>
                <w:shd w:val="clear" w:color="auto" w:fill="auto"/>
                <w:noWrap/>
                <w:vAlign w:val="bottom"/>
                <w:hideMark/>
              </w:tcPr>
              <w:p w14:paraId="2E55273B"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Formula</w:t>
                </w:r>
              </w:p>
            </w:tc>
            <w:tc>
              <w:tcPr>
                <w:tcW w:w="540" w:type="pct"/>
                <w:tcBorders>
                  <w:top w:val="single" w:sz="4" w:space="0" w:color="auto"/>
                  <w:left w:val="nil"/>
                  <w:bottom w:val="single" w:sz="4" w:space="0" w:color="auto"/>
                  <w:right w:val="single" w:sz="4" w:space="0" w:color="auto"/>
                </w:tcBorders>
                <w:shd w:val="clear" w:color="auto" w:fill="auto"/>
                <w:noWrap/>
                <w:vAlign w:val="bottom"/>
                <w:hideMark/>
              </w:tcPr>
              <w:p w14:paraId="13CEDAED"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NPV</w:t>
                </w:r>
              </w:p>
            </w:tc>
            <w:tc>
              <w:tcPr>
                <w:tcW w:w="906" w:type="pct"/>
                <w:tcBorders>
                  <w:top w:val="single" w:sz="4" w:space="0" w:color="auto"/>
                  <w:left w:val="nil"/>
                  <w:bottom w:val="single" w:sz="4" w:space="0" w:color="auto"/>
                  <w:right w:val="single" w:sz="4" w:space="0" w:color="auto"/>
                </w:tcBorders>
                <w:shd w:val="clear" w:color="auto" w:fill="auto"/>
                <w:noWrap/>
                <w:vAlign w:val="bottom"/>
                <w:hideMark/>
              </w:tcPr>
              <w:p w14:paraId="01B17D6F"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Initial Investment</w:t>
                </w:r>
              </w:p>
            </w:tc>
            <w:tc>
              <w:tcPr>
                <w:tcW w:w="976" w:type="pct"/>
                <w:tcBorders>
                  <w:top w:val="single" w:sz="4" w:space="0" w:color="auto"/>
                  <w:left w:val="nil"/>
                  <w:bottom w:val="single" w:sz="4" w:space="0" w:color="auto"/>
                  <w:right w:val="single" w:sz="4" w:space="0" w:color="auto"/>
                </w:tcBorders>
                <w:shd w:val="clear" w:color="auto" w:fill="auto"/>
                <w:noWrap/>
                <w:vAlign w:val="bottom"/>
                <w:hideMark/>
              </w:tcPr>
              <w:p w14:paraId="1125BBCE"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Profitability Index</w:t>
                </w:r>
              </w:p>
            </w:tc>
            <w:tc>
              <w:tcPr>
                <w:tcW w:w="793" w:type="pct"/>
                <w:tcBorders>
                  <w:top w:val="single" w:sz="4" w:space="0" w:color="auto"/>
                  <w:left w:val="nil"/>
                  <w:bottom w:val="single" w:sz="4" w:space="0" w:color="auto"/>
                  <w:right w:val="single" w:sz="4" w:space="0" w:color="auto"/>
                </w:tcBorders>
                <w:shd w:val="clear" w:color="auto" w:fill="auto"/>
                <w:noWrap/>
                <w:vAlign w:val="bottom"/>
                <w:hideMark/>
              </w:tcPr>
              <w:p w14:paraId="6FA29551" w14:textId="77777777" w:rsidR="00C444E6" w:rsidRPr="00C444E6" w:rsidRDefault="00C444E6" w:rsidP="00C444E6">
                <w:pPr>
                  <w:spacing w:after="0" w:line="240" w:lineRule="auto"/>
                  <w:rPr>
                    <w:rFonts w:ascii="Times New Roman" w:eastAsia="Times New Roman" w:hAnsi="Times New Roman" w:cs="Times New Roman"/>
                    <w:b/>
                    <w:bCs/>
                    <w:color w:val="000000"/>
                    <w:sz w:val="24"/>
                    <w:szCs w:val="24"/>
                    <w:lang w:val="en-IN" w:eastAsia="en-IN"/>
                  </w:rPr>
                </w:pPr>
                <w:r w:rsidRPr="00C444E6">
                  <w:rPr>
                    <w:rFonts w:ascii="Times New Roman" w:eastAsia="Times New Roman" w:hAnsi="Times New Roman" w:cs="Times New Roman"/>
                    <w:b/>
                    <w:bCs/>
                    <w:color w:val="000000"/>
                    <w:sz w:val="24"/>
                    <w:szCs w:val="24"/>
                    <w:lang w:val="en-IN" w:eastAsia="en-IN"/>
                  </w:rPr>
                  <w:t>Project Priority</w:t>
                </w:r>
              </w:p>
            </w:tc>
          </w:tr>
          <w:tr w:rsidR="00C444E6" w:rsidRPr="00C444E6" w14:paraId="5525F35A" w14:textId="77777777" w:rsidTr="00C444E6">
            <w:trPr>
              <w:trHeight w:val="312"/>
            </w:trPr>
            <w:tc>
              <w:tcPr>
                <w:tcW w:w="530" w:type="pct"/>
                <w:tcBorders>
                  <w:top w:val="nil"/>
                  <w:left w:val="single" w:sz="4" w:space="0" w:color="auto"/>
                  <w:bottom w:val="single" w:sz="4" w:space="0" w:color="auto"/>
                  <w:right w:val="single" w:sz="4" w:space="0" w:color="auto"/>
                </w:tcBorders>
                <w:shd w:val="clear" w:color="auto" w:fill="auto"/>
                <w:noWrap/>
                <w:vAlign w:val="bottom"/>
                <w:hideMark/>
              </w:tcPr>
              <w:p w14:paraId="07770DCB"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A</w:t>
                </w:r>
              </w:p>
            </w:tc>
            <w:tc>
              <w:tcPr>
                <w:tcW w:w="1255" w:type="pct"/>
                <w:vMerge w:val="restart"/>
                <w:tcBorders>
                  <w:top w:val="nil"/>
                  <w:left w:val="single" w:sz="4" w:space="0" w:color="auto"/>
                  <w:bottom w:val="single" w:sz="4" w:space="0" w:color="auto"/>
                  <w:right w:val="single" w:sz="4" w:space="0" w:color="auto"/>
                </w:tcBorders>
                <w:shd w:val="clear" w:color="auto" w:fill="auto"/>
                <w:noWrap/>
                <w:vAlign w:val="bottom"/>
                <w:hideMark/>
              </w:tcPr>
              <w:p w14:paraId="7D58E4BB" w14:textId="77777777" w:rsidR="00C444E6" w:rsidRPr="00C444E6" w:rsidRDefault="00C444E6" w:rsidP="00C444E6">
                <w:pPr>
                  <w:spacing w:after="0" w:line="240" w:lineRule="auto"/>
                  <w:jc w:val="center"/>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NPV / Initial Investment</w:t>
                </w:r>
              </w:p>
            </w:tc>
            <w:tc>
              <w:tcPr>
                <w:tcW w:w="540" w:type="pct"/>
                <w:tcBorders>
                  <w:top w:val="nil"/>
                  <w:left w:val="nil"/>
                  <w:bottom w:val="single" w:sz="4" w:space="0" w:color="auto"/>
                  <w:right w:val="single" w:sz="4" w:space="0" w:color="auto"/>
                </w:tcBorders>
                <w:shd w:val="clear" w:color="auto" w:fill="auto"/>
                <w:noWrap/>
                <w:vAlign w:val="bottom"/>
                <w:hideMark/>
              </w:tcPr>
              <w:p w14:paraId="564BDEC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514</w:t>
                </w:r>
              </w:p>
            </w:tc>
            <w:tc>
              <w:tcPr>
                <w:tcW w:w="906" w:type="pct"/>
                <w:tcBorders>
                  <w:top w:val="nil"/>
                  <w:left w:val="nil"/>
                  <w:bottom w:val="single" w:sz="4" w:space="0" w:color="auto"/>
                  <w:right w:val="single" w:sz="4" w:space="0" w:color="auto"/>
                </w:tcBorders>
                <w:shd w:val="clear" w:color="auto" w:fill="auto"/>
                <w:noWrap/>
                <w:vAlign w:val="bottom"/>
                <w:hideMark/>
              </w:tcPr>
              <w:p w14:paraId="37AE7A7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660</w:t>
                </w:r>
              </w:p>
            </w:tc>
            <w:tc>
              <w:tcPr>
                <w:tcW w:w="976" w:type="pct"/>
                <w:tcBorders>
                  <w:top w:val="nil"/>
                  <w:left w:val="nil"/>
                  <w:bottom w:val="single" w:sz="4" w:space="0" w:color="auto"/>
                  <w:right w:val="single" w:sz="4" w:space="0" w:color="auto"/>
                </w:tcBorders>
                <w:shd w:val="clear" w:color="auto" w:fill="auto"/>
                <w:noWrap/>
                <w:vAlign w:val="bottom"/>
                <w:hideMark/>
              </w:tcPr>
              <w:p w14:paraId="3B9C2E72"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0.78</w:t>
                </w:r>
              </w:p>
            </w:tc>
            <w:tc>
              <w:tcPr>
                <w:tcW w:w="793" w:type="pct"/>
                <w:tcBorders>
                  <w:top w:val="nil"/>
                  <w:left w:val="nil"/>
                  <w:bottom w:val="single" w:sz="4" w:space="0" w:color="auto"/>
                  <w:right w:val="single" w:sz="4" w:space="0" w:color="auto"/>
                </w:tcBorders>
                <w:shd w:val="clear" w:color="auto" w:fill="auto"/>
                <w:noWrap/>
                <w:vAlign w:val="bottom"/>
                <w:hideMark/>
              </w:tcPr>
              <w:p w14:paraId="71AEACBE"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2</w:t>
                </w:r>
              </w:p>
            </w:tc>
          </w:tr>
          <w:tr w:rsidR="00C444E6" w:rsidRPr="00C444E6" w14:paraId="155EAE58" w14:textId="77777777" w:rsidTr="00C444E6">
            <w:trPr>
              <w:trHeight w:val="312"/>
            </w:trPr>
            <w:tc>
              <w:tcPr>
                <w:tcW w:w="530" w:type="pct"/>
                <w:tcBorders>
                  <w:top w:val="nil"/>
                  <w:left w:val="single" w:sz="4" w:space="0" w:color="auto"/>
                  <w:bottom w:val="single" w:sz="4" w:space="0" w:color="auto"/>
                  <w:right w:val="single" w:sz="4" w:space="0" w:color="auto"/>
                </w:tcBorders>
                <w:shd w:val="clear" w:color="auto" w:fill="auto"/>
                <w:noWrap/>
                <w:vAlign w:val="bottom"/>
                <w:hideMark/>
              </w:tcPr>
              <w:p w14:paraId="2BF5A720"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B</w:t>
                </w:r>
              </w:p>
            </w:tc>
            <w:tc>
              <w:tcPr>
                <w:tcW w:w="1255" w:type="pct"/>
                <w:vMerge/>
                <w:tcBorders>
                  <w:top w:val="nil"/>
                  <w:left w:val="single" w:sz="4" w:space="0" w:color="auto"/>
                  <w:bottom w:val="single" w:sz="4" w:space="0" w:color="auto"/>
                  <w:right w:val="single" w:sz="4" w:space="0" w:color="auto"/>
                </w:tcBorders>
                <w:vAlign w:val="center"/>
                <w:hideMark/>
              </w:tcPr>
              <w:p w14:paraId="0A1951E4"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p>
            </w:tc>
            <w:tc>
              <w:tcPr>
                <w:tcW w:w="540" w:type="pct"/>
                <w:tcBorders>
                  <w:top w:val="nil"/>
                  <w:left w:val="nil"/>
                  <w:bottom w:val="single" w:sz="4" w:space="0" w:color="auto"/>
                  <w:right w:val="single" w:sz="4" w:space="0" w:color="auto"/>
                </w:tcBorders>
                <w:shd w:val="clear" w:color="auto" w:fill="auto"/>
                <w:noWrap/>
                <w:vAlign w:val="bottom"/>
                <w:hideMark/>
              </w:tcPr>
              <w:p w14:paraId="08675473"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898</w:t>
                </w:r>
              </w:p>
            </w:tc>
            <w:tc>
              <w:tcPr>
                <w:tcW w:w="906" w:type="pct"/>
                <w:tcBorders>
                  <w:top w:val="nil"/>
                  <w:left w:val="nil"/>
                  <w:bottom w:val="single" w:sz="4" w:space="0" w:color="auto"/>
                  <w:right w:val="single" w:sz="4" w:space="0" w:color="auto"/>
                </w:tcBorders>
                <w:shd w:val="clear" w:color="auto" w:fill="auto"/>
                <w:noWrap/>
                <w:vAlign w:val="bottom"/>
                <w:hideMark/>
              </w:tcPr>
              <w:p w14:paraId="7F1F713A"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1000</w:t>
                </w:r>
              </w:p>
            </w:tc>
            <w:tc>
              <w:tcPr>
                <w:tcW w:w="976" w:type="pct"/>
                <w:tcBorders>
                  <w:top w:val="nil"/>
                  <w:left w:val="nil"/>
                  <w:bottom w:val="single" w:sz="4" w:space="0" w:color="auto"/>
                  <w:right w:val="single" w:sz="4" w:space="0" w:color="auto"/>
                </w:tcBorders>
                <w:shd w:val="clear" w:color="auto" w:fill="auto"/>
                <w:noWrap/>
                <w:vAlign w:val="bottom"/>
                <w:hideMark/>
              </w:tcPr>
              <w:p w14:paraId="7447B9C6"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0.90</w:t>
                </w:r>
              </w:p>
            </w:tc>
            <w:tc>
              <w:tcPr>
                <w:tcW w:w="793" w:type="pct"/>
                <w:tcBorders>
                  <w:top w:val="nil"/>
                  <w:left w:val="nil"/>
                  <w:bottom w:val="single" w:sz="4" w:space="0" w:color="auto"/>
                  <w:right w:val="single" w:sz="4" w:space="0" w:color="auto"/>
                </w:tcBorders>
                <w:shd w:val="clear" w:color="auto" w:fill="auto"/>
                <w:noWrap/>
                <w:vAlign w:val="bottom"/>
                <w:hideMark/>
              </w:tcPr>
              <w:p w14:paraId="7EAEDCEF"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w:t>
                </w:r>
              </w:p>
            </w:tc>
          </w:tr>
          <w:tr w:rsidR="00C444E6" w:rsidRPr="00C444E6" w14:paraId="09E3C1E5" w14:textId="77777777" w:rsidTr="00C444E6">
            <w:trPr>
              <w:trHeight w:val="312"/>
            </w:trPr>
            <w:tc>
              <w:tcPr>
                <w:tcW w:w="530" w:type="pct"/>
                <w:tcBorders>
                  <w:top w:val="nil"/>
                  <w:left w:val="single" w:sz="4" w:space="0" w:color="auto"/>
                  <w:bottom w:val="single" w:sz="4" w:space="0" w:color="auto"/>
                  <w:right w:val="single" w:sz="4" w:space="0" w:color="auto"/>
                </w:tcBorders>
                <w:shd w:val="clear" w:color="auto" w:fill="auto"/>
                <w:noWrap/>
                <w:vAlign w:val="bottom"/>
                <w:hideMark/>
              </w:tcPr>
              <w:p w14:paraId="6C5320A3"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lastRenderedPageBreak/>
                  <w:t>C</w:t>
                </w:r>
              </w:p>
            </w:tc>
            <w:tc>
              <w:tcPr>
                <w:tcW w:w="1255" w:type="pct"/>
                <w:vMerge/>
                <w:tcBorders>
                  <w:top w:val="nil"/>
                  <w:left w:val="single" w:sz="4" w:space="0" w:color="auto"/>
                  <w:bottom w:val="single" w:sz="4" w:space="0" w:color="auto"/>
                  <w:right w:val="single" w:sz="4" w:space="0" w:color="auto"/>
                </w:tcBorders>
                <w:vAlign w:val="center"/>
                <w:hideMark/>
              </w:tcPr>
              <w:p w14:paraId="4C17EFAC" w14:textId="77777777" w:rsidR="00C444E6" w:rsidRPr="00C444E6" w:rsidRDefault="00C444E6" w:rsidP="00C444E6">
                <w:pPr>
                  <w:spacing w:after="0" w:line="240" w:lineRule="auto"/>
                  <w:rPr>
                    <w:rFonts w:ascii="Times New Roman" w:eastAsia="Times New Roman" w:hAnsi="Times New Roman" w:cs="Times New Roman"/>
                    <w:color w:val="000000"/>
                    <w:sz w:val="24"/>
                    <w:szCs w:val="24"/>
                    <w:lang w:val="en-IN" w:eastAsia="en-IN"/>
                  </w:rPr>
                </w:pPr>
              </w:p>
            </w:tc>
            <w:tc>
              <w:tcPr>
                <w:tcW w:w="540" w:type="pct"/>
                <w:tcBorders>
                  <w:top w:val="nil"/>
                  <w:left w:val="nil"/>
                  <w:bottom w:val="single" w:sz="4" w:space="0" w:color="auto"/>
                  <w:right w:val="single" w:sz="4" w:space="0" w:color="auto"/>
                </w:tcBorders>
                <w:shd w:val="clear" w:color="auto" w:fill="auto"/>
                <w:noWrap/>
                <w:vAlign w:val="bottom"/>
                <w:hideMark/>
              </w:tcPr>
              <w:p w14:paraId="4D526709"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856</w:t>
                </w:r>
              </w:p>
            </w:tc>
            <w:tc>
              <w:tcPr>
                <w:tcW w:w="906" w:type="pct"/>
                <w:tcBorders>
                  <w:top w:val="nil"/>
                  <w:left w:val="nil"/>
                  <w:bottom w:val="single" w:sz="4" w:space="0" w:color="auto"/>
                  <w:right w:val="single" w:sz="4" w:space="0" w:color="auto"/>
                </w:tcBorders>
                <w:shd w:val="clear" w:color="auto" w:fill="auto"/>
                <w:noWrap/>
                <w:vAlign w:val="bottom"/>
                <w:hideMark/>
              </w:tcPr>
              <w:p w14:paraId="6D479E0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1700</w:t>
                </w:r>
              </w:p>
            </w:tc>
            <w:tc>
              <w:tcPr>
                <w:tcW w:w="976" w:type="pct"/>
                <w:tcBorders>
                  <w:top w:val="nil"/>
                  <w:left w:val="nil"/>
                  <w:bottom w:val="single" w:sz="4" w:space="0" w:color="auto"/>
                  <w:right w:val="single" w:sz="4" w:space="0" w:color="auto"/>
                </w:tcBorders>
                <w:shd w:val="clear" w:color="auto" w:fill="auto"/>
                <w:noWrap/>
                <w:vAlign w:val="bottom"/>
                <w:hideMark/>
              </w:tcPr>
              <w:p w14:paraId="6F8689F8"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0.50</w:t>
                </w:r>
              </w:p>
            </w:tc>
            <w:tc>
              <w:tcPr>
                <w:tcW w:w="793" w:type="pct"/>
                <w:tcBorders>
                  <w:top w:val="nil"/>
                  <w:left w:val="nil"/>
                  <w:bottom w:val="single" w:sz="4" w:space="0" w:color="auto"/>
                  <w:right w:val="single" w:sz="4" w:space="0" w:color="auto"/>
                </w:tcBorders>
                <w:shd w:val="clear" w:color="auto" w:fill="auto"/>
                <w:noWrap/>
                <w:vAlign w:val="bottom"/>
                <w:hideMark/>
              </w:tcPr>
              <w:p w14:paraId="1767F30C" w14:textId="77777777" w:rsidR="00C444E6" w:rsidRPr="00C444E6" w:rsidRDefault="00C444E6" w:rsidP="00C444E6">
                <w:pPr>
                  <w:spacing w:after="0" w:line="240" w:lineRule="auto"/>
                  <w:jc w:val="right"/>
                  <w:rPr>
                    <w:rFonts w:ascii="Times New Roman" w:eastAsia="Times New Roman" w:hAnsi="Times New Roman" w:cs="Times New Roman"/>
                    <w:color w:val="000000"/>
                    <w:sz w:val="24"/>
                    <w:szCs w:val="24"/>
                    <w:lang w:val="en-IN" w:eastAsia="en-IN"/>
                  </w:rPr>
                </w:pPr>
                <w:r w:rsidRPr="00C444E6">
                  <w:rPr>
                    <w:rFonts w:ascii="Times New Roman" w:eastAsia="Times New Roman" w:hAnsi="Times New Roman" w:cs="Times New Roman"/>
                    <w:color w:val="000000"/>
                    <w:sz w:val="24"/>
                    <w:szCs w:val="24"/>
                    <w:lang w:val="en-IN" w:eastAsia="en-IN"/>
                  </w:rPr>
                  <w:t>3</w:t>
                </w:r>
              </w:p>
            </w:tc>
          </w:tr>
        </w:tbl>
        <w:p w14:paraId="1E3459F2" w14:textId="4B2259AF" w:rsidR="00C444E6" w:rsidRDefault="00C444E6" w:rsidP="00C444E6">
          <w:pPr>
            <w:rPr>
              <w:rFonts w:hAnsi="Calibri"/>
              <w:color w:val="000000" w:themeColor="dark1"/>
              <w:kern w:val="24"/>
            </w:rPr>
          </w:pPr>
        </w:p>
        <w:p w14:paraId="1476FE92"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Fully Funding Projects</w:t>
          </w:r>
        </w:p>
        <w:p w14:paraId="3410E6CE"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B</w:t>
          </w:r>
        </w:p>
        <w:p w14:paraId="0773366B"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2500-1000</w:t>
          </w:r>
        </w:p>
        <w:p w14:paraId="69FB6895"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 1500</w:t>
          </w:r>
        </w:p>
        <w:p w14:paraId="6CE8016E"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NPV= 898</w:t>
          </w:r>
        </w:p>
        <w:p w14:paraId="1B8BC8FB"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A</w:t>
          </w:r>
        </w:p>
        <w:p w14:paraId="5CAA0DF0"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1500-660</w:t>
          </w:r>
        </w:p>
        <w:p w14:paraId="02E59858"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 840</w:t>
          </w:r>
        </w:p>
        <w:p w14:paraId="3D120784"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NPV= 514</w:t>
          </w:r>
        </w:p>
        <w:p w14:paraId="77B7187C"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Partially Funding</w:t>
          </w:r>
        </w:p>
        <w:p w14:paraId="46335378"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C</w:t>
          </w:r>
        </w:p>
        <w:p w14:paraId="3A15F757"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840/1700</w:t>
          </w:r>
        </w:p>
        <w:p w14:paraId="77BE88CA"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 49.4%</w:t>
          </w:r>
        </w:p>
        <w:p w14:paraId="63929276"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NPV= 856*49.4%</w:t>
          </w:r>
        </w:p>
        <w:p w14:paraId="0909940F" w14:textId="77777777"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 423</w:t>
          </w:r>
        </w:p>
        <w:p w14:paraId="136702EE" w14:textId="243537EC" w:rsidR="00C444E6" w:rsidRPr="00C444E6" w:rsidRDefault="00C444E6" w:rsidP="00C444E6">
          <w:pPr>
            <w:spacing w:line="360" w:lineRule="auto"/>
            <w:jc w:val="both"/>
            <w:rPr>
              <w:rFonts w:ascii="Times New Roman" w:hAnsi="Times New Roman" w:cs="Times New Roman"/>
              <w:sz w:val="24"/>
              <w:szCs w:val="24"/>
              <w:lang w:val="en-IN"/>
            </w:rPr>
          </w:pPr>
          <w:r w:rsidRPr="00C444E6">
            <w:rPr>
              <w:rFonts w:ascii="Times New Roman" w:hAnsi="Times New Roman" w:cs="Times New Roman"/>
              <w:sz w:val="24"/>
              <w:szCs w:val="24"/>
              <w:lang w:val="en-IN"/>
            </w:rPr>
            <w:t>Total NPV Contribution from Optimum Investment Policy = 898+514+423</w:t>
          </w:r>
        </w:p>
        <w:p w14:paraId="4A5679AD" w14:textId="24A364E6" w:rsidR="00C444E6" w:rsidRDefault="00C444E6" w:rsidP="00C444E6">
          <w:pPr>
            <w:pStyle w:val="Heading2"/>
            <w:rPr>
              <w:rFonts w:ascii="Times New Roman" w:hAnsi="Times New Roman" w:cs="Times New Roman"/>
              <w:color w:val="000000" w:themeColor="text1"/>
              <w:sz w:val="24"/>
              <w:szCs w:val="24"/>
              <w:u w:val="single"/>
            </w:rPr>
          </w:pPr>
          <w:bookmarkStart w:id="83" w:name="_Toc186239374"/>
          <w:r w:rsidRPr="00C444E6">
            <w:rPr>
              <w:rFonts w:ascii="Times New Roman" w:hAnsi="Times New Roman" w:cs="Times New Roman"/>
              <w:color w:val="000000" w:themeColor="text1"/>
              <w:sz w:val="24"/>
              <w:szCs w:val="24"/>
              <w:u w:val="single"/>
            </w:rPr>
            <w:t xml:space="preserve">Appendices </w:t>
          </w:r>
          <w:r>
            <w:rPr>
              <w:rFonts w:ascii="Times New Roman" w:hAnsi="Times New Roman" w:cs="Times New Roman"/>
              <w:color w:val="000000" w:themeColor="text1"/>
              <w:sz w:val="24"/>
              <w:szCs w:val="24"/>
              <w:u w:val="single"/>
            </w:rPr>
            <w:t>10</w:t>
          </w:r>
          <w:r w:rsidRPr="00C444E6">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Income Statement of Tesco</w:t>
          </w:r>
          <w:bookmarkEnd w:id="83"/>
          <w:r>
            <w:rPr>
              <w:rFonts w:ascii="Times New Roman" w:hAnsi="Times New Roman" w:cs="Times New Roman"/>
              <w:color w:val="000000" w:themeColor="text1"/>
              <w:sz w:val="24"/>
              <w:szCs w:val="24"/>
              <w:u w:val="single"/>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28"/>
            <w:gridCol w:w="514"/>
            <w:gridCol w:w="678"/>
            <w:gridCol w:w="940"/>
            <w:gridCol w:w="637"/>
            <w:gridCol w:w="244"/>
            <w:gridCol w:w="678"/>
            <w:gridCol w:w="940"/>
            <w:gridCol w:w="637"/>
            <w:gridCol w:w="220"/>
          </w:tblGrid>
          <w:tr w:rsidR="00C444E6" w:rsidRPr="00C444E6" w14:paraId="5EC874DB" w14:textId="77777777" w:rsidTr="00C444E6">
            <w:trPr>
              <w:trHeight w:val="360"/>
            </w:trPr>
            <w:tc>
              <w:tcPr>
                <w:tcW w:w="2580" w:type="pct"/>
                <w:shd w:val="clear" w:color="auto" w:fill="auto"/>
                <w:noWrap/>
                <w:vAlign w:val="bottom"/>
                <w:hideMark/>
              </w:tcPr>
              <w:p w14:paraId="0D0580C5" w14:textId="77777777" w:rsidR="00C444E6" w:rsidRPr="00C444E6" w:rsidRDefault="00C444E6" w:rsidP="00C444E6">
                <w:pPr>
                  <w:spacing w:after="0" w:line="240" w:lineRule="auto"/>
                  <w:rPr>
                    <w:rFonts w:ascii="Calibri" w:eastAsia="Times New Roman" w:hAnsi="Calibri" w:cs="Calibri"/>
                    <w:b/>
                    <w:bCs/>
                    <w:color w:val="000000"/>
                    <w:sz w:val="28"/>
                    <w:szCs w:val="28"/>
                    <w:lang w:val="en-IN" w:eastAsia="en-IN"/>
                  </w:rPr>
                </w:pPr>
                <w:r w:rsidRPr="00C444E6">
                  <w:rPr>
                    <w:rFonts w:ascii="Calibri" w:eastAsia="Times New Roman" w:hAnsi="Calibri" w:cs="Calibri"/>
                    <w:b/>
                    <w:bCs/>
                    <w:color w:val="000000"/>
                    <w:sz w:val="28"/>
                    <w:szCs w:val="28"/>
                    <w:lang w:val="en-IN" w:eastAsia="en-IN"/>
                  </w:rPr>
                  <w:t>Group income statement</w:t>
                </w:r>
              </w:p>
            </w:tc>
            <w:tc>
              <w:tcPr>
                <w:tcW w:w="202" w:type="pct"/>
                <w:shd w:val="clear" w:color="auto" w:fill="auto"/>
                <w:noWrap/>
                <w:vAlign w:val="bottom"/>
                <w:hideMark/>
              </w:tcPr>
              <w:p w14:paraId="2729CF13" w14:textId="77777777" w:rsidR="00C444E6" w:rsidRPr="00C444E6" w:rsidRDefault="00C444E6" w:rsidP="00C444E6">
                <w:pPr>
                  <w:spacing w:after="0" w:line="240" w:lineRule="auto"/>
                  <w:rPr>
                    <w:rFonts w:ascii="Calibri" w:eastAsia="Times New Roman" w:hAnsi="Calibri" w:cs="Calibri"/>
                    <w:b/>
                    <w:bCs/>
                    <w:color w:val="000000"/>
                    <w:sz w:val="28"/>
                    <w:szCs w:val="28"/>
                    <w:lang w:val="en-IN" w:eastAsia="en-IN"/>
                  </w:rPr>
                </w:pPr>
              </w:p>
            </w:tc>
            <w:tc>
              <w:tcPr>
                <w:tcW w:w="331" w:type="pct"/>
                <w:shd w:val="clear" w:color="auto" w:fill="auto"/>
                <w:noWrap/>
                <w:vAlign w:val="bottom"/>
                <w:hideMark/>
              </w:tcPr>
              <w:p w14:paraId="09F9C6A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50" w:type="pct"/>
                <w:shd w:val="clear" w:color="auto" w:fill="auto"/>
                <w:noWrap/>
                <w:vAlign w:val="bottom"/>
                <w:hideMark/>
              </w:tcPr>
              <w:p w14:paraId="4E46915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06" w:type="pct"/>
                <w:shd w:val="clear" w:color="auto" w:fill="auto"/>
                <w:noWrap/>
                <w:vAlign w:val="bottom"/>
                <w:hideMark/>
              </w:tcPr>
              <w:p w14:paraId="04438C6F"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80" w:type="pct"/>
                <w:shd w:val="clear" w:color="auto" w:fill="auto"/>
                <w:noWrap/>
                <w:vAlign w:val="bottom"/>
                <w:hideMark/>
              </w:tcPr>
              <w:p w14:paraId="2E6F242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06" w:type="pct"/>
                <w:shd w:val="clear" w:color="auto" w:fill="auto"/>
                <w:noWrap/>
                <w:vAlign w:val="bottom"/>
                <w:hideMark/>
              </w:tcPr>
              <w:p w14:paraId="78CB2EA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419" w:type="pct"/>
                <w:shd w:val="clear" w:color="auto" w:fill="auto"/>
                <w:noWrap/>
                <w:vAlign w:val="bottom"/>
                <w:hideMark/>
              </w:tcPr>
              <w:p w14:paraId="25CAB7B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06" w:type="pct"/>
                <w:shd w:val="clear" w:color="auto" w:fill="auto"/>
                <w:noWrap/>
                <w:vAlign w:val="bottom"/>
                <w:hideMark/>
              </w:tcPr>
              <w:p w14:paraId="6CF757C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67EF34C6"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4D949E2F" w14:textId="77777777" w:rsidTr="00C444E6">
            <w:trPr>
              <w:trHeight w:val="240"/>
            </w:trPr>
            <w:tc>
              <w:tcPr>
                <w:tcW w:w="2580" w:type="pct"/>
                <w:shd w:val="clear" w:color="auto" w:fill="auto"/>
                <w:noWrap/>
                <w:vAlign w:val="center"/>
                <w:hideMark/>
              </w:tcPr>
              <w:p w14:paraId="4B37E91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3AF6415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87" w:type="pct"/>
                <w:gridSpan w:val="3"/>
                <w:shd w:val="clear" w:color="000000" w:fill="E2E5F3"/>
                <w:noWrap/>
                <w:vAlign w:val="center"/>
                <w:hideMark/>
              </w:tcPr>
              <w:p w14:paraId="14369276"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52 weeks ended</w:t>
                </w:r>
              </w:p>
            </w:tc>
            <w:tc>
              <w:tcPr>
                <w:tcW w:w="80" w:type="pct"/>
                <w:shd w:val="clear" w:color="auto" w:fill="auto"/>
                <w:noWrap/>
                <w:vAlign w:val="center"/>
                <w:hideMark/>
              </w:tcPr>
              <w:p w14:paraId="0C9D6E25"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p>
            </w:tc>
            <w:tc>
              <w:tcPr>
                <w:tcW w:w="1031" w:type="pct"/>
                <w:gridSpan w:val="3"/>
                <w:shd w:val="clear" w:color="auto" w:fill="auto"/>
                <w:noWrap/>
                <w:vAlign w:val="center"/>
                <w:hideMark/>
              </w:tcPr>
              <w:p w14:paraId="0E973A8A"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52 weeks ended</w:t>
                </w:r>
              </w:p>
            </w:tc>
            <w:tc>
              <w:tcPr>
                <w:tcW w:w="119" w:type="pct"/>
                <w:shd w:val="clear" w:color="auto" w:fill="auto"/>
                <w:noWrap/>
                <w:vAlign w:val="bottom"/>
                <w:hideMark/>
              </w:tcPr>
              <w:p w14:paraId="5AAD8358"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p>
            </w:tc>
          </w:tr>
          <w:tr w:rsidR="00C444E6" w:rsidRPr="00C444E6" w14:paraId="6368EB47" w14:textId="77777777" w:rsidTr="00C444E6">
            <w:trPr>
              <w:trHeight w:val="282"/>
            </w:trPr>
            <w:tc>
              <w:tcPr>
                <w:tcW w:w="2580" w:type="pct"/>
                <w:shd w:val="clear" w:color="auto" w:fill="auto"/>
                <w:noWrap/>
                <w:vAlign w:val="center"/>
                <w:hideMark/>
              </w:tcPr>
              <w:p w14:paraId="59855B6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6C10283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987" w:type="pct"/>
                <w:gridSpan w:val="3"/>
                <w:shd w:val="clear" w:color="000000" w:fill="E2E5F3"/>
                <w:noWrap/>
                <w:vAlign w:val="center"/>
                <w:hideMark/>
              </w:tcPr>
              <w:p w14:paraId="42E4208C"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 February 2024</w:t>
                </w:r>
              </w:p>
            </w:tc>
            <w:tc>
              <w:tcPr>
                <w:tcW w:w="80" w:type="pct"/>
                <w:shd w:val="clear" w:color="auto" w:fill="auto"/>
                <w:noWrap/>
                <w:vAlign w:val="center"/>
                <w:hideMark/>
              </w:tcPr>
              <w:p w14:paraId="44C16EDB"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p>
            </w:tc>
            <w:tc>
              <w:tcPr>
                <w:tcW w:w="1031" w:type="pct"/>
                <w:gridSpan w:val="3"/>
                <w:shd w:val="clear" w:color="auto" w:fill="auto"/>
                <w:noWrap/>
                <w:vAlign w:val="center"/>
                <w:hideMark/>
              </w:tcPr>
              <w:p w14:paraId="4BC692C9"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25 February 2023 (restated</w:t>
                </w:r>
                <w:r w:rsidRPr="00C444E6">
                  <w:rPr>
                    <w:rFonts w:ascii="Calibri" w:eastAsia="Times New Roman" w:hAnsi="Calibri" w:cs="Calibri"/>
                    <w:color w:val="000000"/>
                    <w:sz w:val="18"/>
                    <w:szCs w:val="18"/>
                    <w:vertAlign w:val="superscript"/>
                    <w:lang w:val="en-IN" w:eastAsia="en-IN"/>
                  </w:rPr>
                  <w:t>(a)</w:t>
                </w:r>
                <w:r w:rsidRPr="00C444E6">
                  <w:rPr>
                    <w:rFonts w:ascii="Calibri" w:eastAsia="Times New Roman" w:hAnsi="Calibri" w:cs="Calibri"/>
                    <w:color w:val="000000"/>
                    <w:sz w:val="18"/>
                    <w:szCs w:val="18"/>
                    <w:lang w:val="en-IN" w:eastAsia="en-IN"/>
                  </w:rPr>
                  <w:t>)</w:t>
                </w:r>
              </w:p>
            </w:tc>
            <w:tc>
              <w:tcPr>
                <w:tcW w:w="119" w:type="pct"/>
                <w:shd w:val="clear" w:color="auto" w:fill="auto"/>
                <w:noWrap/>
                <w:vAlign w:val="bottom"/>
                <w:hideMark/>
              </w:tcPr>
              <w:p w14:paraId="1BFA10F3" w14:textId="77777777" w:rsidR="00C444E6" w:rsidRPr="00C444E6" w:rsidRDefault="00C444E6" w:rsidP="00C444E6">
                <w:pPr>
                  <w:spacing w:after="0" w:line="240" w:lineRule="auto"/>
                  <w:jc w:val="center"/>
                  <w:rPr>
                    <w:rFonts w:ascii="Calibri" w:eastAsia="Times New Roman" w:hAnsi="Calibri" w:cs="Calibri"/>
                    <w:color w:val="000000"/>
                    <w:sz w:val="18"/>
                    <w:szCs w:val="18"/>
                    <w:lang w:val="en-IN" w:eastAsia="en-IN"/>
                  </w:rPr>
                </w:pPr>
              </w:p>
            </w:tc>
          </w:tr>
          <w:tr w:rsidR="00C444E6" w:rsidRPr="00C444E6" w14:paraId="329D8B8F" w14:textId="77777777" w:rsidTr="00C444E6">
            <w:trPr>
              <w:trHeight w:val="480"/>
            </w:trPr>
            <w:tc>
              <w:tcPr>
                <w:tcW w:w="2580" w:type="pct"/>
                <w:shd w:val="clear" w:color="auto" w:fill="auto"/>
                <w:noWrap/>
                <w:vAlign w:val="center"/>
                <w:hideMark/>
              </w:tcPr>
              <w:p w14:paraId="4B16FB0D"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vMerge w:val="restart"/>
                <w:shd w:val="clear" w:color="auto" w:fill="auto"/>
                <w:noWrap/>
                <w:vAlign w:val="bottom"/>
                <w:hideMark/>
              </w:tcPr>
              <w:p w14:paraId="4BAA100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Notes</w:t>
                </w:r>
              </w:p>
            </w:tc>
            <w:tc>
              <w:tcPr>
                <w:tcW w:w="331" w:type="pct"/>
                <w:shd w:val="clear" w:color="000000" w:fill="E2E5F3"/>
                <w:vAlign w:val="center"/>
                <w:hideMark/>
              </w:tcPr>
              <w:p w14:paraId="563551A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xml:space="preserve">Before adjusting </w:t>
                </w:r>
              </w:p>
            </w:tc>
            <w:tc>
              <w:tcPr>
                <w:tcW w:w="350" w:type="pct"/>
                <w:shd w:val="clear" w:color="000000" w:fill="E2E5F3"/>
                <w:noWrap/>
                <w:vAlign w:val="center"/>
                <w:hideMark/>
              </w:tcPr>
              <w:p w14:paraId="568B4D1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Adjusting</w:t>
                </w:r>
              </w:p>
            </w:tc>
            <w:tc>
              <w:tcPr>
                <w:tcW w:w="306" w:type="pct"/>
                <w:shd w:val="clear" w:color="000000" w:fill="E2E5F3"/>
                <w:vAlign w:val="center"/>
                <w:hideMark/>
              </w:tcPr>
              <w:p w14:paraId="39192CC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Total</w:t>
                </w:r>
              </w:p>
            </w:tc>
            <w:tc>
              <w:tcPr>
                <w:tcW w:w="80" w:type="pct"/>
                <w:shd w:val="clear" w:color="auto" w:fill="auto"/>
                <w:noWrap/>
                <w:vAlign w:val="center"/>
                <w:hideMark/>
              </w:tcPr>
              <w:p w14:paraId="15D74B0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vAlign w:val="center"/>
                <w:hideMark/>
              </w:tcPr>
              <w:p w14:paraId="7F64F2C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Before adjusting</w:t>
                </w:r>
              </w:p>
            </w:tc>
            <w:tc>
              <w:tcPr>
                <w:tcW w:w="419" w:type="pct"/>
                <w:shd w:val="clear" w:color="auto" w:fill="auto"/>
                <w:noWrap/>
                <w:vAlign w:val="center"/>
                <w:hideMark/>
              </w:tcPr>
              <w:p w14:paraId="5EC2837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Adjusting</w:t>
                </w:r>
              </w:p>
            </w:tc>
            <w:tc>
              <w:tcPr>
                <w:tcW w:w="306" w:type="pct"/>
                <w:shd w:val="clear" w:color="auto" w:fill="auto"/>
                <w:noWrap/>
                <w:vAlign w:val="center"/>
                <w:hideMark/>
              </w:tcPr>
              <w:p w14:paraId="673AA86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Total</w:t>
                </w:r>
              </w:p>
            </w:tc>
            <w:tc>
              <w:tcPr>
                <w:tcW w:w="119" w:type="pct"/>
                <w:shd w:val="clear" w:color="auto" w:fill="auto"/>
                <w:noWrap/>
                <w:vAlign w:val="bottom"/>
                <w:hideMark/>
              </w:tcPr>
              <w:p w14:paraId="505A488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5A7CC78B" w14:textId="77777777" w:rsidTr="00C444E6">
            <w:trPr>
              <w:trHeight w:val="240"/>
            </w:trPr>
            <w:tc>
              <w:tcPr>
                <w:tcW w:w="2580" w:type="pct"/>
                <w:shd w:val="clear" w:color="auto" w:fill="auto"/>
                <w:noWrap/>
                <w:vAlign w:val="center"/>
                <w:hideMark/>
              </w:tcPr>
              <w:p w14:paraId="60FFB3F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vMerge/>
                <w:vAlign w:val="center"/>
                <w:hideMark/>
              </w:tcPr>
              <w:p w14:paraId="4CA88584"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331" w:type="pct"/>
                <w:shd w:val="clear" w:color="000000" w:fill="E2E5F3"/>
                <w:noWrap/>
                <w:vAlign w:val="center"/>
                <w:hideMark/>
              </w:tcPr>
              <w:p w14:paraId="7816F0E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items</w:t>
                </w:r>
              </w:p>
            </w:tc>
            <w:tc>
              <w:tcPr>
                <w:tcW w:w="350" w:type="pct"/>
                <w:shd w:val="clear" w:color="000000" w:fill="E2E5F3"/>
                <w:noWrap/>
                <w:vAlign w:val="center"/>
                <w:hideMark/>
              </w:tcPr>
              <w:p w14:paraId="23254AA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items (Note 4)</w:t>
                </w:r>
              </w:p>
            </w:tc>
            <w:tc>
              <w:tcPr>
                <w:tcW w:w="306" w:type="pct"/>
                <w:vMerge w:val="restart"/>
                <w:shd w:val="clear" w:color="000000" w:fill="E2E5F3"/>
                <w:noWrap/>
                <w:vAlign w:val="bottom"/>
                <w:hideMark/>
              </w:tcPr>
              <w:p w14:paraId="68ADB61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£m</w:t>
                </w:r>
              </w:p>
            </w:tc>
            <w:tc>
              <w:tcPr>
                <w:tcW w:w="80" w:type="pct"/>
                <w:shd w:val="clear" w:color="auto" w:fill="auto"/>
                <w:noWrap/>
                <w:vAlign w:val="center"/>
                <w:hideMark/>
              </w:tcPr>
              <w:p w14:paraId="6B2E9C5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7631951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items</w:t>
                </w:r>
              </w:p>
            </w:tc>
            <w:tc>
              <w:tcPr>
                <w:tcW w:w="419" w:type="pct"/>
                <w:shd w:val="clear" w:color="auto" w:fill="auto"/>
                <w:noWrap/>
                <w:vAlign w:val="center"/>
                <w:hideMark/>
              </w:tcPr>
              <w:p w14:paraId="6731968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items (Note 4)</w:t>
                </w:r>
              </w:p>
            </w:tc>
            <w:tc>
              <w:tcPr>
                <w:tcW w:w="306" w:type="pct"/>
                <w:vMerge w:val="restart"/>
                <w:shd w:val="clear" w:color="auto" w:fill="auto"/>
                <w:vAlign w:val="bottom"/>
                <w:hideMark/>
              </w:tcPr>
              <w:p w14:paraId="7469A18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£m</w:t>
                </w:r>
              </w:p>
            </w:tc>
            <w:tc>
              <w:tcPr>
                <w:tcW w:w="119" w:type="pct"/>
                <w:shd w:val="clear" w:color="auto" w:fill="auto"/>
                <w:noWrap/>
                <w:vAlign w:val="bottom"/>
                <w:hideMark/>
              </w:tcPr>
              <w:p w14:paraId="136666A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048EC662" w14:textId="77777777" w:rsidTr="00C444E6">
            <w:trPr>
              <w:trHeight w:val="315"/>
            </w:trPr>
            <w:tc>
              <w:tcPr>
                <w:tcW w:w="2580" w:type="pct"/>
                <w:shd w:val="clear" w:color="auto" w:fill="auto"/>
                <w:noWrap/>
                <w:vAlign w:val="center"/>
                <w:hideMark/>
              </w:tcPr>
              <w:p w14:paraId="00000627"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202" w:type="pct"/>
                <w:vMerge/>
                <w:vAlign w:val="center"/>
                <w:hideMark/>
              </w:tcPr>
              <w:p w14:paraId="1BF8B3CD"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331" w:type="pct"/>
                <w:shd w:val="clear" w:color="000000" w:fill="E2E5F3"/>
                <w:noWrap/>
                <w:vAlign w:val="bottom"/>
                <w:hideMark/>
              </w:tcPr>
              <w:p w14:paraId="2F168AB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bottom"/>
                <w:hideMark/>
              </w:tcPr>
              <w:p w14:paraId="0ED3EAB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£m</w:t>
                </w:r>
              </w:p>
            </w:tc>
            <w:tc>
              <w:tcPr>
                <w:tcW w:w="306" w:type="pct"/>
                <w:vMerge/>
                <w:vAlign w:val="center"/>
                <w:hideMark/>
              </w:tcPr>
              <w:p w14:paraId="72E13C3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80" w:type="pct"/>
                <w:shd w:val="clear" w:color="auto" w:fill="auto"/>
                <w:noWrap/>
                <w:vAlign w:val="center"/>
                <w:hideMark/>
              </w:tcPr>
              <w:p w14:paraId="45CFBE81"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auto" w:fill="auto"/>
                <w:vAlign w:val="bottom"/>
                <w:hideMark/>
              </w:tcPr>
              <w:p w14:paraId="4DCC417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19" w:type="pct"/>
                <w:shd w:val="clear" w:color="auto" w:fill="auto"/>
                <w:noWrap/>
                <w:vAlign w:val="bottom"/>
                <w:hideMark/>
              </w:tcPr>
              <w:p w14:paraId="2FF7591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£m</w:t>
                </w:r>
              </w:p>
            </w:tc>
            <w:tc>
              <w:tcPr>
                <w:tcW w:w="306" w:type="pct"/>
                <w:vMerge/>
                <w:vAlign w:val="center"/>
                <w:hideMark/>
              </w:tcPr>
              <w:p w14:paraId="3F21239D"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119" w:type="pct"/>
                <w:shd w:val="clear" w:color="auto" w:fill="auto"/>
                <w:noWrap/>
                <w:vAlign w:val="bottom"/>
                <w:hideMark/>
              </w:tcPr>
              <w:p w14:paraId="7560259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B3EE5FD" w14:textId="77777777" w:rsidTr="00C444E6">
            <w:trPr>
              <w:trHeight w:val="240"/>
            </w:trPr>
            <w:tc>
              <w:tcPr>
                <w:tcW w:w="2580" w:type="pct"/>
                <w:shd w:val="clear" w:color="auto" w:fill="auto"/>
                <w:noWrap/>
                <w:vAlign w:val="center"/>
                <w:hideMark/>
              </w:tcPr>
              <w:p w14:paraId="745D5DD0"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Continuing operations</w:t>
                </w:r>
              </w:p>
            </w:tc>
            <w:tc>
              <w:tcPr>
                <w:tcW w:w="202" w:type="pct"/>
                <w:shd w:val="clear" w:color="auto" w:fill="auto"/>
                <w:noWrap/>
                <w:vAlign w:val="center"/>
                <w:hideMark/>
              </w:tcPr>
              <w:p w14:paraId="3CE4E7F4"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34A34AFE"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50" w:type="pct"/>
                <w:shd w:val="clear" w:color="000000" w:fill="E2E5F3"/>
                <w:noWrap/>
                <w:vAlign w:val="center"/>
                <w:hideMark/>
              </w:tcPr>
              <w:p w14:paraId="7780B375"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000000" w:fill="E2E5F3"/>
                <w:noWrap/>
                <w:vAlign w:val="center"/>
                <w:hideMark/>
              </w:tcPr>
              <w:p w14:paraId="1F7190C2"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80" w:type="pct"/>
                <w:shd w:val="clear" w:color="auto" w:fill="auto"/>
                <w:noWrap/>
                <w:vAlign w:val="center"/>
                <w:hideMark/>
              </w:tcPr>
              <w:p w14:paraId="62CB22B0"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p>
            </w:tc>
            <w:tc>
              <w:tcPr>
                <w:tcW w:w="306" w:type="pct"/>
                <w:shd w:val="clear" w:color="auto" w:fill="auto"/>
                <w:noWrap/>
                <w:vAlign w:val="center"/>
                <w:hideMark/>
              </w:tcPr>
              <w:p w14:paraId="25FEAD5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364C3EDE"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26148BD7"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7D456BA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30EB5D7A" w14:textId="77777777" w:rsidTr="00C444E6">
            <w:trPr>
              <w:trHeight w:val="240"/>
            </w:trPr>
            <w:tc>
              <w:tcPr>
                <w:tcW w:w="2580" w:type="pct"/>
                <w:shd w:val="clear" w:color="auto" w:fill="auto"/>
                <w:vAlign w:val="center"/>
                <w:hideMark/>
              </w:tcPr>
              <w:p w14:paraId="670A0754" w14:textId="77777777" w:rsidR="00C444E6" w:rsidRPr="00C444E6" w:rsidRDefault="00C444E6" w:rsidP="00C444E6">
                <w:pPr>
                  <w:spacing w:after="0" w:line="240" w:lineRule="auto"/>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Revenue from sale of goods and services</w:t>
                </w:r>
              </w:p>
            </w:tc>
            <w:tc>
              <w:tcPr>
                <w:tcW w:w="202" w:type="pct"/>
                <w:shd w:val="clear" w:color="auto" w:fill="auto"/>
                <w:noWrap/>
                <w:vAlign w:val="center"/>
                <w:hideMark/>
              </w:tcPr>
              <w:p w14:paraId="06C81B6E" w14:textId="77777777" w:rsidR="00C444E6" w:rsidRPr="00C444E6" w:rsidRDefault="00C444E6" w:rsidP="00C444E6">
                <w:pPr>
                  <w:spacing w:after="0" w:line="240" w:lineRule="auto"/>
                  <w:rPr>
                    <w:rFonts w:ascii="Calibri" w:eastAsia="Times New Roman" w:hAnsi="Calibri" w:cs="Calibri"/>
                    <w:sz w:val="18"/>
                    <w:szCs w:val="18"/>
                    <w:lang w:val="en-IN" w:eastAsia="en-IN"/>
                  </w:rPr>
                </w:pPr>
              </w:p>
            </w:tc>
            <w:tc>
              <w:tcPr>
                <w:tcW w:w="331" w:type="pct"/>
                <w:shd w:val="clear" w:color="000000" w:fill="E2E5F3"/>
                <w:noWrap/>
                <w:vAlign w:val="center"/>
                <w:hideMark/>
              </w:tcPr>
              <w:p w14:paraId="45D0EC6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67,673</w:t>
                </w:r>
              </w:p>
            </w:tc>
            <w:tc>
              <w:tcPr>
                <w:tcW w:w="350" w:type="pct"/>
                <w:shd w:val="clear" w:color="000000" w:fill="E2E5F3"/>
                <w:noWrap/>
                <w:vAlign w:val="center"/>
                <w:hideMark/>
              </w:tcPr>
              <w:p w14:paraId="7B091F8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280B532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67,673</w:t>
                </w:r>
              </w:p>
            </w:tc>
            <w:tc>
              <w:tcPr>
                <w:tcW w:w="80" w:type="pct"/>
                <w:shd w:val="clear" w:color="auto" w:fill="auto"/>
                <w:noWrap/>
                <w:vAlign w:val="center"/>
                <w:hideMark/>
              </w:tcPr>
              <w:p w14:paraId="558232E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7EE8583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64,864</w:t>
                </w:r>
              </w:p>
            </w:tc>
            <w:tc>
              <w:tcPr>
                <w:tcW w:w="419" w:type="pct"/>
                <w:shd w:val="clear" w:color="auto" w:fill="auto"/>
                <w:noWrap/>
                <w:vAlign w:val="center"/>
                <w:hideMark/>
              </w:tcPr>
              <w:p w14:paraId="328CC63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5D9DFC0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64,864</w:t>
                </w:r>
              </w:p>
            </w:tc>
            <w:tc>
              <w:tcPr>
                <w:tcW w:w="119" w:type="pct"/>
                <w:shd w:val="clear" w:color="auto" w:fill="auto"/>
                <w:noWrap/>
                <w:vAlign w:val="bottom"/>
                <w:hideMark/>
              </w:tcPr>
              <w:p w14:paraId="10DAB20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5E04B263" w14:textId="77777777" w:rsidTr="00C444E6">
            <w:trPr>
              <w:trHeight w:val="288"/>
            </w:trPr>
            <w:tc>
              <w:tcPr>
                <w:tcW w:w="2580" w:type="pct"/>
                <w:shd w:val="clear" w:color="auto" w:fill="auto"/>
                <w:vAlign w:val="center"/>
                <w:hideMark/>
              </w:tcPr>
              <w:p w14:paraId="506DE2FE" w14:textId="77777777" w:rsidR="00C444E6" w:rsidRPr="00C444E6" w:rsidRDefault="00C444E6" w:rsidP="00C444E6">
                <w:pPr>
                  <w:spacing w:after="0" w:line="240" w:lineRule="auto"/>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lastRenderedPageBreak/>
                  <w:t>Insurance revenue</w:t>
                </w:r>
                <w:r w:rsidRPr="00C444E6">
                  <w:rPr>
                    <w:rFonts w:ascii="Calibri" w:eastAsia="Times New Roman" w:hAnsi="Calibri" w:cs="Calibri"/>
                    <w:sz w:val="18"/>
                    <w:szCs w:val="18"/>
                    <w:vertAlign w:val="superscript"/>
                    <w:lang w:val="en-IN" w:eastAsia="en-IN"/>
                  </w:rPr>
                  <w:t>(b)</w:t>
                </w:r>
              </w:p>
            </w:tc>
            <w:tc>
              <w:tcPr>
                <w:tcW w:w="202" w:type="pct"/>
                <w:shd w:val="clear" w:color="auto" w:fill="auto"/>
                <w:noWrap/>
                <w:vAlign w:val="center"/>
                <w:hideMark/>
              </w:tcPr>
              <w:p w14:paraId="22AA03AA"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24</w:t>
                </w:r>
              </w:p>
            </w:tc>
            <w:tc>
              <w:tcPr>
                <w:tcW w:w="331" w:type="pct"/>
                <w:shd w:val="clear" w:color="000000" w:fill="E2E5F3"/>
                <w:noWrap/>
                <w:vAlign w:val="center"/>
                <w:hideMark/>
              </w:tcPr>
              <w:p w14:paraId="6F5B5EF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514</w:t>
                </w:r>
              </w:p>
            </w:tc>
            <w:tc>
              <w:tcPr>
                <w:tcW w:w="350" w:type="pct"/>
                <w:shd w:val="clear" w:color="000000" w:fill="E2E5F3"/>
                <w:noWrap/>
                <w:vAlign w:val="center"/>
                <w:hideMark/>
              </w:tcPr>
              <w:p w14:paraId="1F57B54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02D3170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514</w:t>
                </w:r>
              </w:p>
            </w:tc>
            <w:tc>
              <w:tcPr>
                <w:tcW w:w="80" w:type="pct"/>
                <w:shd w:val="clear" w:color="auto" w:fill="auto"/>
                <w:noWrap/>
                <w:vAlign w:val="center"/>
                <w:hideMark/>
              </w:tcPr>
              <w:p w14:paraId="7727290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auto" w:fill="auto"/>
                <w:noWrap/>
                <w:vAlign w:val="center"/>
                <w:hideMark/>
              </w:tcPr>
              <w:p w14:paraId="345DE84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458</w:t>
                </w:r>
              </w:p>
            </w:tc>
            <w:tc>
              <w:tcPr>
                <w:tcW w:w="419" w:type="pct"/>
                <w:shd w:val="clear" w:color="auto" w:fill="auto"/>
                <w:noWrap/>
                <w:vAlign w:val="center"/>
                <w:hideMark/>
              </w:tcPr>
              <w:p w14:paraId="11A5E55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245CB8E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458</w:t>
                </w:r>
              </w:p>
            </w:tc>
            <w:tc>
              <w:tcPr>
                <w:tcW w:w="119" w:type="pct"/>
                <w:shd w:val="clear" w:color="auto" w:fill="auto"/>
                <w:noWrap/>
                <w:vAlign w:val="bottom"/>
                <w:hideMark/>
              </w:tcPr>
              <w:p w14:paraId="142EAF3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A52FA36" w14:textId="77777777" w:rsidTr="00C444E6">
            <w:trPr>
              <w:trHeight w:val="240"/>
            </w:trPr>
            <w:tc>
              <w:tcPr>
                <w:tcW w:w="2580" w:type="pct"/>
                <w:shd w:val="clear" w:color="auto" w:fill="auto"/>
                <w:vAlign w:val="center"/>
                <w:hideMark/>
              </w:tcPr>
              <w:p w14:paraId="753C5EE5"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Revenue</w:t>
                </w:r>
              </w:p>
            </w:tc>
            <w:tc>
              <w:tcPr>
                <w:tcW w:w="202" w:type="pct"/>
                <w:shd w:val="clear" w:color="auto" w:fill="auto"/>
                <w:noWrap/>
                <w:vAlign w:val="center"/>
                <w:hideMark/>
              </w:tcPr>
              <w:p w14:paraId="28117CB7"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2</w:t>
                </w:r>
              </w:p>
            </w:tc>
            <w:tc>
              <w:tcPr>
                <w:tcW w:w="331" w:type="pct"/>
                <w:shd w:val="clear" w:color="000000" w:fill="E2E5F3"/>
                <w:noWrap/>
                <w:vAlign w:val="center"/>
                <w:hideMark/>
              </w:tcPr>
              <w:p w14:paraId="41EA465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68,187</w:t>
                </w:r>
              </w:p>
            </w:tc>
            <w:tc>
              <w:tcPr>
                <w:tcW w:w="350" w:type="pct"/>
                <w:shd w:val="clear" w:color="000000" w:fill="E2E5F3"/>
                <w:noWrap/>
                <w:vAlign w:val="center"/>
                <w:hideMark/>
              </w:tcPr>
              <w:p w14:paraId="5398FA27"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w:t>
                </w:r>
              </w:p>
            </w:tc>
            <w:tc>
              <w:tcPr>
                <w:tcW w:w="306" w:type="pct"/>
                <w:shd w:val="clear" w:color="000000" w:fill="E2E5F3"/>
                <w:noWrap/>
                <w:vAlign w:val="center"/>
                <w:hideMark/>
              </w:tcPr>
              <w:p w14:paraId="2EC18AC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68,187</w:t>
                </w:r>
              </w:p>
            </w:tc>
            <w:tc>
              <w:tcPr>
                <w:tcW w:w="80" w:type="pct"/>
                <w:shd w:val="clear" w:color="auto" w:fill="auto"/>
                <w:noWrap/>
                <w:vAlign w:val="center"/>
                <w:hideMark/>
              </w:tcPr>
              <w:p w14:paraId="51F4C6C2"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c>
              <w:tcPr>
                <w:tcW w:w="306" w:type="pct"/>
                <w:shd w:val="clear" w:color="auto" w:fill="auto"/>
                <w:noWrap/>
                <w:vAlign w:val="center"/>
                <w:hideMark/>
              </w:tcPr>
              <w:p w14:paraId="3679E69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65,322</w:t>
                </w:r>
              </w:p>
            </w:tc>
            <w:tc>
              <w:tcPr>
                <w:tcW w:w="419" w:type="pct"/>
                <w:shd w:val="clear" w:color="auto" w:fill="auto"/>
                <w:noWrap/>
                <w:vAlign w:val="center"/>
                <w:hideMark/>
              </w:tcPr>
              <w:p w14:paraId="7D9091E2"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w:t>
                </w:r>
              </w:p>
            </w:tc>
            <w:tc>
              <w:tcPr>
                <w:tcW w:w="306" w:type="pct"/>
                <w:shd w:val="clear" w:color="auto" w:fill="auto"/>
                <w:noWrap/>
                <w:vAlign w:val="center"/>
                <w:hideMark/>
              </w:tcPr>
              <w:p w14:paraId="2E39998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65,322</w:t>
                </w:r>
              </w:p>
            </w:tc>
            <w:tc>
              <w:tcPr>
                <w:tcW w:w="119" w:type="pct"/>
                <w:shd w:val="clear" w:color="auto" w:fill="auto"/>
                <w:noWrap/>
                <w:vAlign w:val="bottom"/>
                <w:hideMark/>
              </w:tcPr>
              <w:p w14:paraId="72C42882"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6E8BCA39" w14:textId="77777777" w:rsidTr="00C444E6">
            <w:trPr>
              <w:trHeight w:val="240"/>
            </w:trPr>
            <w:tc>
              <w:tcPr>
                <w:tcW w:w="2580" w:type="pct"/>
                <w:shd w:val="clear" w:color="auto" w:fill="auto"/>
                <w:vAlign w:val="center"/>
                <w:hideMark/>
              </w:tcPr>
              <w:p w14:paraId="0C55D48B"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53C793B0"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2A79B3C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19F3E31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3C5CC45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4DE56AF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754651E2"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25C05379"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5E4F12E9"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1A955933"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4D901099" w14:textId="77777777" w:rsidTr="00C444E6">
            <w:trPr>
              <w:trHeight w:val="240"/>
            </w:trPr>
            <w:tc>
              <w:tcPr>
                <w:tcW w:w="2580" w:type="pct"/>
                <w:shd w:val="clear" w:color="auto" w:fill="auto"/>
                <w:vAlign w:val="center"/>
                <w:hideMark/>
              </w:tcPr>
              <w:p w14:paraId="03D9DE9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Cost of sales</w:t>
                </w:r>
              </w:p>
            </w:tc>
            <w:tc>
              <w:tcPr>
                <w:tcW w:w="202" w:type="pct"/>
                <w:shd w:val="clear" w:color="auto" w:fill="auto"/>
                <w:noWrap/>
                <w:vAlign w:val="center"/>
                <w:hideMark/>
              </w:tcPr>
              <w:p w14:paraId="583D7104"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331" w:type="pct"/>
                <w:shd w:val="clear" w:color="000000" w:fill="E2E5F3"/>
                <w:noWrap/>
                <w:vAlign w:val="center"/>
                <w:hideMark/>
              </w:tcPr>
              <w:p w14:paraId="482593B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(62,832)</w:t>
                </w:r>
              </w:p>
            </w:tc>
            <w:tc>
              <w:tcPr>
                <w:tcW w:w="350" w:type="pct"/>
                <w:shd w:val="clear" w:color="000000" w:fill="E2E5F3"/>
                <w:noWrap/>
                <w:vAlign w:val="center"/>
                <w:hideMark/>
              </w:tcPr>
              <w:p w14:paraId="64A00D6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w:t>
                </w:r>
              </w:p>
            </w:tc>
            <w:tc>
              <w:tcPr>
                <w:tcW w:w="306" w:type="pct"/>
                <w:shd w:val="clear" w:color="000000" w:fill="E2E5F3"/>
                <w:noWrap/>
                <w:vAlign w:val="center"/>
                <w:hideMark/>
              </w:tcPr>
              <w:p w14:paraId="6B2FC87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(62,836)</w:t>
                </w:r>
              </w:p>
            </w:tc>
            <w:tc>
              <w:tcPr>
                <w:tcW w:w="80" w:type="pct"/>
                <w:shd w:val="clear" w:color="auto" w:fill="auto"/>
                <w:noWrap/>
                <w:vAlign w:val="center"/>
                <w:hideMark/>
              </w:tcPr>
              <w:p w14:paraId="2329799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092A1D9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(60,487)</w:t>
                </w:r>
              </w:p>
            </w:tc>
            <w:tc>
              <w:tcPr>
                <w:tcW w:w="419" w:type="pct"/>
                <w:shd w:val="clear" w:color="auto" w:fill="auto"/>
                <w:noWrap/>
                <w:vAlign w:val="center"/>
                <w:hideMark/>
              </w:tcPr>
              <w:p w14:paraId="2FBD5F1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(1,029)</w:t>
                </w:r>
              </w:p>
            </w:tc>
            <w:tc>
              <w:tcPr>
                <w:tcW w:w="306" w:type="pct"/>
                <w:shd w:val="clear" w:color="auto" w:fill="auto"/>
                <w:noWrap/>
                <w:vAlign w:val="center"/>
                <w:hideMark/>
              </w:tcPr>
              <w:p w14:paraId="0EF5517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(61,516)</w:t>
                </w:r>
              </w:p>
            </w:tc>
            <w:tc>
              <w:tcPr>
                <w:tcW w:w="119" w:type="pct"/>
                <w:shd w:val="clear" w:color="auto" w:fill="auto"/>
                <w:noWrap/>
                <w:vAlign w:val="bottom"/>
                <w:hideMark/>
              </w:tcPr>
              <w:p w14:paraId="74431BD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1E5380A" w14:textId="77777777" w:rsidTr="00C444E6">
            <w:trPr>
              <w:trHeight w:val="276"/>
            </w:trPr>
            <w:tc>
              <w:tcPr>
                <w:tcW w:w="2580" w:type="pct"/>
                <w:shd w:val="clear" w:color="auto" w:fill="auto"/>
                <w:vAlign w:val="center"/>
                <w:hideMark/>
              </w:tcPr>
              <w:p w14:paraId="2AD9A369" w14:textId="77777777" w:rsidR="00C444E6" w:rsidRPr="00C444E6" w:rsidRDefault="00C444E6" w:rsidP="00C444E6">
                <w:pPr>
                  <w:spacing w:after="0" w:line="240" w:lineRule="auto"/>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Insurance service expenses</w:t>
                </w:r>
                <w:r w:rsidRPr="00C444E6">
                  <w:rPr>
                    <w:rFonts w:ascii="Calibri" w:eastAsia="Times New Roman" w:hAnsi="Calibri" w:cs="Calibri"/>
                    <w:sz w:val="18"/>
                    <w:szCs w:val="18"/>
                    <w:vertAlign w:val="superscript"/>
                    <w:lang w:val="en-IN" w:eastAsia="en-IN"/>
                  </w:rPr>
                  <w:t>(b)</w:t>
                </w:r>
              </w:p>
            </w:tc>
            <w:tc>
              <w:tcPr>
                <w:tcW w:w="202" w:type="pct"/>
                <w:shd w:val="clear" w:color="auto" w:fill="auto"/>
                <w:noWrap/>
                <w:vAlign w:val="center"/>
                <w:hideMark/>
              </w:tcPr>
              <w:p w14:paraId="7A5EC736"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24</w:t>
                </w:r>
              </w:p>
            </w:tc>
            <w:tc>
              <w:tcPr>
                <w:tcW w:w="331" w:type="pct"/>
                <w:shd w:val="clear" w:color="000000" w:fill="E2E5F3"/>
                <w:noWrap/>
                <w:vAlign w:val="center"/>
                <w:hideMark/>
              </w:tcPr>
              <w:p w14:paraId="210D5B2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(454)</w:t>
                </w:r>
              </w:p>
            </w:tc>
            <w:tc>
              <w:tcPr>
                <w:tcW w:w="350" w:type="pct"/>
                <w:shd w:val="clear" w:color="000000" w:fill="E2E5F3"/>
                <w:noWrap/>
                <w:vAlign w:val="center"/>
                <w:hideMark/>
              </w:tcPr>
              <w:p w14:paraId="186FB13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0FEEDCC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(454)</w:t>
                </w:r>
              </w:p>
            </w:tc>
            <w:tc>
              <w:tcPr>
                <w:tcW w:w="80" w:type="pct"/>
                <w:shd w:val="clear" w:color="auto" w:fill="auto"/>
                <w:noWrap/>
                <w:vAlign w:val="center"/>
                <w:hideMark/>
              </w:tcPr>
              <w:p w14:paraId="5998AEE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517AFAB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(408)</w:t>
                </w:r>
              </w:p>
            </w:tc>
            <w:tc>
              <w:tcPr>
                <w:tcW w:w="419" w:type="pct"/>
                <w:shd w:val="clear" w:color="auto" w:fill="auto"/>
                <w:noWrap/>
                <w:vAlign w:val="center"/>
                <w:hideMark/>
              </w:tcPr>
              <w:p w14:paraId="75F0D85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33A801E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(408)</w:t>
                </w:r>
              </w:p>
            </w:tc>
            <w:tc>
              <w:tcPr>
                <w:tcW w:w="119" w:type="pct"/>
                <w:shd w:val="clear" w:color="auto" w:fill="auto"/>
                <w:noWrap/>
                <w:vAlign w:val="bottom"/>
                <w:hideMark/>
              </w:tcPr>
              <w:p w14:paraId="4F5DF0A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4083BA1" w14:textId="77777777" w:rsidTr="00C444E6">
            <w:trPr>
              <w:trHeight w:val="288"/>
            </w:trPr>
            <w:tc>
              <w:tcPr>
                <w:tcW w:w="2580" w:type="pct"/>
                <w:shd w:val="clear" w:color="auto" w:fill="auto"/>
                <w:vAlign w:val="center"/>
                <w:hideMark/>
              </w:tcPr>
              <w:p w14:paraId="31A3B286" w14:textId="77777777" w:rsidR="00C444E6" w:rsidRPr="00C444E6" w:rsidRDefault="00C444E6" w:rsidP="00C444E6">
                <w:pPr>
                  <w:spacing w:after="0" w:line="240" w:lineRule="auto"/>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Net expenses from reinsurance contracts held</w:t>
                </w:r>
                <w:r w:rsidRPr="00C444E6">
                  <w:rPr>
                    <w:rFonts w:ascii="Calibri" w:eastAsia="Times New Roman" w:hAnsi="Calibri" w:cs="Calibri"/>
                    <w:sz w:val="18"/>
                    <w:szCs w:val="18"/>
                    <w:vertAlign w:val="superscript"/>
                    <w:lang w:val="en-IN" w:eastAsia="en-IN"/>
                  </w:rPr>
                  <w:t>(b)</w:t>
                </w:r>
              </w:p>
            </w:tc>
            <w:tc>
              <w:tcPr>
                <w:tcW w:w="202" w:type="pct"/>
                <w:shd w:val="clear" w:color="auto" w:fill="auto"/>
                <w:noWrap/>
                <w:vAlign w:val="center"/>
                <w:hideMark/>
              </w:tcPr>
              <w:p w14:paraId="70047ED1"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24</w:t>
                </w:r>
              </w:p>
            </w:tc>
            <w:tc>
              <w:tcPr>
                <w:tcW w:w="331" w:type="pct"/>
                <w:shd w:val="clear" w:color="000000" w:fill="E2E5F3"/>
                <w:noWrap/>
                <w:vAlign w:val="center"/>
                <w:hideMark/>
              </w:tcPr>
              <w:p w14:paraId="7782045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(48)</w:t>
                </w:r>
              </w:p>
            </w:tc>
            <w:tc>
              <w:tcPr>
                <w:tcW w:w="350" w:type="pct"/>
                <w:shd w:val="clear" w:color="000000" w:fill="E2E5F3"/>
                <w:noWrap/>
                <w:vAlign w:val="center"/>
                <w:hideMark/>
              </w:tcPr>
              <w:p w14:paraId="51ED9DE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23CE889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(48)</w:t>
                </w:r>
              </w:p>
            </w:tc>
            <w:tc>
              <w:tcPr>
                <w:tcW w:w="80" w:type="pct"/>
                <w:shd w:val="clear" w:color="auto" w:fill="auto"/>
                <w:noWrap/>
                <w:vAlign w:val="center"/>
                <w:hideMark/>
              </w:tcPr>
              <w:p w14:paraId="455B107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auto" w:fill="auto"/>
                <w:noWrap/>
                <w:vAlign w:val="center"/>
                <w:hideMark/>
              </w:tcPr>
              <w:p w14:paraId="5193E95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(37)</w:t>
                </w:r>
              </w:p>
            </w:tc>
            <w:tc>
              <w:tcPr>
                <w:tcW w:w="419" w:type="pct"/>
                <w:shd w:val="clear" w:color="auto" w:fill="auto"/>
                <w:noWrap/>
                <w:vAlign w:val="center"/>
                <w:hideMark/>
              </w:tcPr>
              <w:p w14:paraId="326AAFD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41E824F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(37)</w:t>
                </w:r>
              </w:p>
            </w:tc>
            <w:tc>
              <w:tcPr>
                <w:tcW w:w="119" w:type="pct"/>
                <w:shd w:val="clear" w:color="auto" w:fill="auto"/>
                <w:noWrap/>
                <w:vAlign w:val="bottom"/>
                <w:hideMark/>
              </w:tcPr>
              <w:p w14:paraId="01DF067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48D34009" w14:textId="77777777" w:rsidTr="00C444E6">
            <w:trPr>
              <w:trHeight w:val="240"/>
            </w:trPr>
            <w:tc>
              <w:tcPr>
                <w:tcW w:w="2580" w:type="pct"/>
                <w:shd w:val="clear" w:color="auto" w:fill="auto"/>
                <w:vAlign w:val="center"/>
                <w:hideMark/>
              </w:tcPr>
              <w:p w14:paraId="2AE46A01"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Gross profit/(loss)</w:t>
                </w:r>
              </w:p>
            </w:tc>
            <w:tc>
              <w:tcPr>
                <w:tcW w:w="202" w:type="pct"/>
                <w:shd w:val="clear" w:color="auto" w:fill="auto"/>
                <w:noWrap/>
                <w:vAlign w:val="center"/>
                <w:hideMark/>
              </w:tcPr>
              <w:p w14:paraId="17C38307"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4286752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4,853</w:t>
                </w:r>
              </w:p>
            </w:tc>
            <w:tc>
              <w:tcPr>
                <w:tcW w:w="350" w:type="pct"/>
                <w:shd w:val="clear" w:color="000000" w:fill="E2E5F3"/>
                <w:noWrap/>
                <w:vAlign w:val="center"/>
                <w:hideMark/>
              </w:tcPr>
              <w:p w14:paraId="3B48B88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(4)</w:t>
                </w:r>
              </w:p>
            </w:tc>
            <w:tc>
              <w:tcPr>
                <w:tcW w:w="306" w:type="pct"/>
                <w:shd w:val="clear" w:color="000000" w:fill="E2E5F3"/>
                <w:noWrap/>
                <w:vAlign w:val="center"/>
                <w:hideMark/>
              </w:tcPr>
              <w:p w14:paraId="6FDAD8D8"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4,849</w:t>
                </w:r>
              </w:p>
            </w:tc>
            <w:tc>
              <w:tcPr>
                <w:tcW w:w="80" w:type="pct"/>
                <w:shd w:val="clear" w:color="auto" w:fill="auto"/>
                <w:noWrap/>
                <w:vAlign w:val="center"/>
                <w:hideMark/>
              </w:tcPr>
              <w:p w14:paraId="39BDC836"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c>
              <w:tcPr>
                <w:tcW w:w="306" w:type="pct"/>
                <w:shd w:val="clear" w:color="auto" w:fill="auto"/>
                <w:noWrap/>
                <w:vAlign w:val="center"/>
                <w:hideMark/>
              </w:tcPr>
              <w:p w14:paraId="40B68F4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4,390</w:t>
                </w:r>
              </w:p>
            </w:tc>
            <w:tc>
              <w:tcPr>
                <w:tcW w:w="419" w:type="pct"/>
                <w:shd w:val="clear" w:color="auto" w:fill="auto"/>
                <w:noWrap/>
                <w:vAlign w:val="center"/>
                <w:hideMark/>
              </w:tcPr>
              <w:p w14:paraId="36A300C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(1,029)</w:t>
                </w:r>
              </w:p>
            </w:tc>
            <w:tc>
              <w:tcPr>
                <w:tcW w:w="306" w:type="pct"/>
                <w:shd w:val="clear" w:color="auto" w:fill="auto"/>
                <w:noWrap/>
                <w:vAlign w:val="center"/>
                <w:hideMark/>
              </w:tcPr>
              <w:p w14:paraId="2661299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3,361</w:t>
                </w:r>
              </w:p>
            </w:tc>
            <w:tc>
              <w:tcPr>
                <w:tcW w:w="119" w:type="pct"/>
                <w:shd w:val="clear" w:color="auto" w:fill="auto"/>
                <w:noWrap/>
                <w:vAlign w:val="bottom"/>
                <w:hideMark/>
              </w:tcPr>
              <w:p w14:paraId="7886074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4899AC99" w14:textId="77777777" w:rsidTr="00C444E6">
            <w:trPr>
              <w:trHeight w:val="240"/>
            </w:trPr>
            <w:tc>
              <w:tcPr>
                <w:tcW w:w="2580" w:type="pct"/>
                <w:shd w:val="clear" w:color="auto" w:fill="auto"/>
                <w:noWrap/>
                <w:vAlign w:val="center"/>
                <w:hideMark/>
              </w:tcPr>
              <w:p w14:paraId="6B4C671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6D1CDF89"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07B86B8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4900FA8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4597A52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65A84F3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04F2EC36"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765C8C2F"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577AEC98"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21D3776F"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250E8747" w14:textId="77777777" w:rsidTr="00C444E6">
            <w:trPr>
              <w:trHeight w:val="252"/>
            </w:trPr>
            <w:tc>
              <w:tcPr>
                <w:tcW w:w="2580" w:type="pct"/>
                <w:shd w:val="clear" w:color="auto" w:fill="auto"/>
                <w:noWrap/>
                <w:vAlign w:val="center"/>
                <w:hideMark/>
              </w:tcPr>
              <w:p w14:paraId="4A7F4A2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Administrative expenses</w:t>
                </w:r>
              </w:p>
            </w:tc>
            <w:tc>
              <w:tcPr>
                <w:tcW w:w="202" w:type="pct"/>
                <w:shd w:val="clear" w:color="auto" w:fill="auto"/>
                <w:noWrap/>
                <w:vAlign w:val="center"/>
                <w:hideMark/>
              </w:tcPr>
              <w:p w14:paraId="104D0C45"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31" w:type="pct"/>
                <w:shd w:val="clear" w:color="000000" w:fill="E2E5F3"/>
                <w:noWrap/>
                <w:vAlign w:val="center"/>
                <w:hideMark/>
              </w:tcPr>
              <w:p w14:paraId="76DC72D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(2,024)</w:t>
                </w:r>
              </w:p>
            </w:tc>
            <w:tc>
              <w:tcPr>
                <w:tcW w:w="350" w:type="pct"/>
                <w:shd w:val="clear" w:color="000000" w:fill="E2E5F3"/>
                <w:noWrap/>
                <w:vAlign w:val="center"/>
                <w:hideMark/>
              </w:tcPr>
              <w:p w14:paraId="022E1EF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w:t>
                </w:r>
              </w:p>
            </w:tc>
            <w:tc>
              <w:tcPr>
                <w:tcW w:w="306" w:type="pct"/>
                <w:shd w:val="clear" w:color="000000" w:fill="E2E5F3"/>
                <w:noWrap/>
                <w:vAlign w:val="center"/>
                <w:hideMark/>
              </w:tcPr>
              <w:p w14:paraId="3E66853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(2,028)</w:t>
                </w:r>
              </w:p>
            </w:tc>
            <w:tc>
              <w:tcPr>
                <w:tcW w:w="80" w:type="pct"/>
                <w:shd w:val="clear" w:color="auto" w:fill="auto"/>
                <w:noWrap/>
                <w:vAlign w:val="center"/>
                <w:hideMark/>
              </w:tcPr>
              <w:p w14:paraId="7E11F54F"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11FCD67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(1,881)</w:t>
                </w:r>
              </w:p>
            </w:tc>
            <w:tc>
              <w:tcPr>
                <w:tcW w:w="419" w:type="pct"/>
                <w:shd w:val="clear" w:color="auto" w:fill="auto"/>
                <w:noWrap/>
                <w:vAlign w:val="center"/>
                <w:hideMark/>
              </w:tcPr>
              <w:p w14:paraId="2BBCED0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(70)</w:t>
                </w:r>
              </w:p>
            </w:tc>
            <w:tc>
              <w:tcPr>
                <w:tcW w:w="306" w:type="pct"/>
                <w:shd w:val="clear" w:color="auto" w:fill="auto"/>
                <w:noWrap/>
                <w:vAlign w:val="center"/>
                <w:hideMark/>
              </w:tcPr>
              <w:p w14:paraId="09DEC05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(1,951)</w:t>
                </w:r>
              </w:p>
            </w:tc>
            <w:tc>
              <w:tcPr>
                <w:tcW w:w="119" w:type="pct"/>
                <w:shd w:val="clear" w:color="auto" w:fill="auto"/>
                <w:noWrap/>
                <w:vAlign w:val="bottom"/>
                <w:hideMark/>
              </w:tcPr>
              <w:p w14:paraId="4184F74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1B68F7B7" w14:textId="77777777" w:rsidTr="00C444E6">
            <w:trPr>
              <w:trHeight w:val="240"/>
            </w:trPr>
            <w:tc>
              <w:tcPr>
                <w:tcW w:w="2580" w:type="pct"/>
                <w:shd w:val="clear" w:color="auto" w:fill="auto"/>
                <w:noWrap/>
                <w:vAlign w:val="center"/>
                <w:hideMark/>
              </w:tcPr>
              <w:p w14:paraId="396882A3"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Operating profit/(loss)</w:t>
                </w:r>
              </w:p>
            </w:tc>
            <w:tc>
              <w:tcPr>
                <w:tcW w:w="202" w:type="pct"/>
                <w:shd w:val="clear" w:color="auto" w:fill="auto"/>
                <w:noWrap/>
                <w:vAlign w:val="center"/>
                <w:hideMark/>
              </w:tcPr>
              <w:p w14:paraId="79688ADE"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2</w:t>
                </w:r>
              </w:p>
            </w:tc>
            <w:tc>
              <w:tcPr>
                <w:tcW w:w="331" w:type="pct"/>
                <w:shd w:val="clear" w:color="000000" w:fill="E2E5F3"/>
                <w:noWrap/>
                <w:vAlign w:val="center"/>
                <w:hideMark/>
              </w:tcPr>
              <w:p w14:paraId="3AA456D1"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2,829</w:t>
                </w:r>
              </w:p>
            </w:tc>
            <w:tc>
              <w:tcPr>
                <w:tcW w:w="350" w:type="pct"/>
                <w:shd w:val="clear" w:color="000000" w:fill="E2E5F3"/>
                <w:noWrap/>
                <w:vAlign w:val="center"/>
                <w:hideMark/>
              </w:tcPr>
              <w:p w14:paraId="4DA3669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w:t>
                </w:r>
              </w:p>
            </w:tc>
            <w:tc>
              <w:tcPr>
                <w:tcW w:w="306" w:type="pct"/>
                <w:shd w:val="clear" w:color="000000" w:fill="E2E5F3"/>
                <w:noWrap/>
                <w:vAlign w:val="center"/>
                <w:hideMark/>
              </w:tcPr>
              <w:p w14:paraId="10A49B4F"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2,821</w:t>
                </w:r>
              </w:p>
            </w:tc>
            <w:tc>
              <w:tcPr>
                <w:tcW w:w="80" w:type="pct"/>
                <w:shd w:val="clear" w:color="auto" w:fill="auto"/>
                <w:noWrap/>
                <w:vAlign w:val="center"/>
                <w:hideMark/>
              </w:tcPr>
              <w:p w14:paraId="15E6EC5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c>
              <w:tcPr>
                <w:tcW w:w="306" w:type="pct"/>
                <w:shd w:val="clear" w:color="auto" w:fill="auto"/>
                <w:noWrap/>
                <w:vAlign w:val="center"/>
                <w:hideMark/>
              </w:tcPr>
              <w:p w14:paraId="570643E9"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2,509</w:t>
                </w:r>
              </w:p>
            </w:tc>
            <w:tc>
              <w:tcPr>
                <w:tcW w:w="419" w:type="pct"/>
                <w:shd w:val="clear" w:color="auto" w:fill="auto"/>
                <w:noWrap/>
                <w:vAlign w:val="center"/>
                <w:hideMark/>
              </w:tcPr>
              <w:p w14:paraId="26682E38"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(1,099)</w:t>
                </w:r>
              </w:p>
            </w:tc>
            <w:tc>
              <w:tcPr>
                <w:tcW w:w="306" w:type="pct"/>
                <w:shd w:val="clear" w:color="auto" w:fill="auto"/>
                <w:noWrap/>
                <w:vAlign w:val="center"/>
                <w:hideMark/>
              </w:tcPr>
              <w:p w14:paraId="05C1D56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1,410</w:t>
                </w:r>
              </w:p>
            </w:tc>
            <w:tc>
              <w:tcPr>
                <w:tcW w:w="119" w:type="pct"/>
                <w:shd w:val="clear" w:color="auto" w:fill="auto"/>
                <w:noWrap/>
                <w:vAlign w:val="bottom"/>
                <w:hideMark/>
              </w:tcPr>
              <w:p w14:paraId="782415E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08910A7E" w14:textId="77777777" w:rsidTr="00C444E6">
            <w:trPr>
              <w:trHeight w:val="240"/>
            </w:trPr>
            <w:tc>
              <w:tcPr>
                <w:tcW w:w="2580" w:type="pct"/>
                <w:shd w:val="clear" w:color="auto" w:fill="auto"/>
                <w:noWrap/>
                <w:vAlign w:val="center"/>
                <w:hideMark/>
              </w:tcPr>
              <w:p w14:paraId="24F3F55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3E178D2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288EF1C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0EDD31C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56CAC59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3C0B94E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235BB08B"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0F90837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360F2958"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7EB1DDA5"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599EF3B4" w14:textId="77777777" w:rsidTr="00C444E6">
            <w:trPr>
              <w:trHeight w:val="240"/>
            </w:trPr>
            <w:tc>
              <w:tcPr>
                <w:tcW w:w="2580" w:type="pct"/>
                <w:shd w:val="clear" w:color="auto" w:fill="auto"/>
                <w:noWrap/>
                <w:vAlign w:val="center"/>
                <w:hideMark/>
              </w:tcPr>
              <w:p w14:paraId="3F4C2784"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Share of post-tax profits of joint ventures and associates</w:t>
                </w:r>
              </w:p>
            </w:tc>
            <w:tc>
              <w:tcPr>
                <w:tcW w:w="202" w:type="pct"/>
                <w:shd w:val="clear" w:color="auto" w:fill="auto"/>
                <w:noWrap/>
                <w:vAlign w:val="center"/>
                <w:hideMark/>
              </w:tcPr>
              <w:p w14:paraId="6794BF1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13</w:t>
                </w:r>
              </w:p>
            </w:tc>
            <w:tc>
              <w:tcPr>
                <w:tcW w:w="331" w:type="pct"/>
                <w:shd w:val="clear" w:color="000000" w:fill="E2E5F3"/>
                <w:noWrap/>
                <w:vAlign w:val="center"/>
                <w:hideMark/>
              </w:tcPr>
              <w:p w14:paraId="5073511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c>
              <w:tcPr>
                <w:tcW w:w="350" w:type="pct"/>
                <w:shd w:val="clear" w:color="000000" w:fill="E2E5F3"/>
                <w:noWrap/>
                <w:vAlign w:val="center"/>
                <w:hideMark/>
              </w:tcPr>
              <w:p w14:paraId="72FA854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0FD77E7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c>
              <w:tcPr>
                <w:tcW w:w="80" w:type="pct"/>
                <w:shd w:val="clear" w:color="auto" w:fill="auto"/>
                <w:noWrap/>
                <w:vAlign w:val="center"/>
                <w:hideMark/>
              </w:tcPr>
              <w:p w14:paraId="591B38F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0465ACE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w:t>
                </w:r>
              </w:p>
            </w:tc>
            <w:tc>
              <w:tcPr>
                <w:tcW w:w="419" w:type="pct"/>
                <w:shd w:val="clear" w:color="auto" w:fill="auto"/>
                <w:noWrap/>
                <w:vAlign w:val="center"/>
                <w:hideMark/>
              </w:tcPr>
              <w:p w14:paraId="4BA805B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07EF525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w:t>
                </w:r>
              </w:p>
            </w:tc>
            <w:tc>
              <w:tcPr>
                <w:tcW w:w="119" w:type="pct"/>
                <w:shd w:val="clear" w:color="auto" w:fill="auto"/>
                <w:noWrap/>
                <w:vAlign w:val="bottom"/>
                <w:hideMark/>
              </w:tcPr>
              <w:p w14:paraId="03366A7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09F35E70" w14:textId="77777777" w:rsidTr="00C444E6">
            <w:trPr>
              <w:trHeight w:val="240"/>
            </w:trPr>
            <w:tc>
              <w:tcPr>
                <w:tcW w:w="2580" w:type="pct"/>
                <w:shd w:val="clear" w:color="auto" w:fill="auto"/>
                <w:noWrap/>
                <w:vAlign w:val="center"/>
                <w:hideMark/>
              </w:tcPr>
              <w:p w14:paraId="41F81B2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Finance income</w:t>
                </w:r>
              </w:p>
            </w:tc>
            <w:tc>
              <w:tcPr>
                <w:tcW w:w="202" w:type="pct"/>
                <w:shd w:val="clear" w:color="auto" w:fill="auto"/>
                <w:noWrap/>
                <w:vAlign w:val="center"/>
                <w:hideMark/>
              </w:tcPr>
              <w:p w14:paraId="6635B08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w:t>
                </w:r>
              </w:p>
            </w:tc>
            <w:tc>
              <w:tcPr>
                <w:tcW w:w="331" w:type="pct"/>
                <w:shd w:val="clear" w:color="000000" w:fill="E2E5F3"/>
                <w:noWrap/>
                <w:vAlign w:val="center"/>
                <w:hideMark/>
              </w:tcPr>
              <w:p w14:paraId="34C3232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267</w:t>
                </w:r>
              </w:p>
            </w:tc>
            <w:tc>
              <w:tcPr>
                <w:tcW w:w="350" w:type="pct"/>
                <w:shd w:val="clear" w:color="000000" w:fill="E2E5F3"/>
                <w:noWrap/>
                <w:vAlign w:val="center"/>
                <w:hideMark/>
              </w:tcPr>
              <w:p w14:paraId="3D29959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7F5DBC8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267</w:t>
                </w:r>
              </w:p>
            </w:tc>
            <w:tc>
              <w:tcPr>
                <w:tcW w:w="80" w:type="pct"/>
                <w:shd w:val="clear" w:color="auto" w:fill="auto"/>
                <w:noWrap/>
                <w:vAlign w:val="center"/>
                <w:hideMark/>
              </w:tcPr>
              <w:p w14:paraId="4A16FAC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6E9FC63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87</w:t>
                </w:r>
              </w:p>
            </w:tc>
            <w:tc>
              <w:tcPr>
                <w:tcW w:w="419" w:type="pct"/>
                <w:shd w:val="clear" w:color="auto" w:fill="auto"/>
                <w:noWrap/>
                <w:vAlign w:val="center"/>
                <w:hideMark/>
              </w:tcPr>
              <w:p w14:paraId="0283F39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1B259A6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87</w:t>
                </w:r>
              </w:p>
            </w:tc>
            <w:tc>
              <w:tcPr>
                <w:tcW w:w="119" w:type="pct"/>
                <w:shd w:val="clear" w:color="auto" w:fill="auto"/>
                <w:noWrap/>
                <w:vAlign w:val="bottom"/>
                <w:hideMark/>
              </w:tcPr>
              <w:p w14:paraId="0CA0A55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260800D" w14:textId="77777777" w:rsidTr="00C444E6">
            <w:trPr>
              <w:trHeight w:val="252"/>
            </w:trPr>
            <w:tc>
              <w:tcPr>
                <w:tcW w:w="2580" w:type="pct"/>
                <w:shd w:val="clear" w:color="auto" w:fill="auto"/>
                <w:noWrap/>
                <w:vAlign w:val="center"/>
                <w:hideMark/>
              </w:tcPr>
              <w:p w14:paraId="587A96C6"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Finance costs</w:t>
                </w:r>
              </w:p>
            </w:tc>
            <w:tc>
              <w:tcPr>
                <w:tcW w:w="202" w:type="pct"/>
                <w:shd w:val="clear" w:color="auto" w:fill="auto"/>
                <w:noWrap/>
                <w:vAlign w:val="center"/>
                <w:hideMark/>
              </w:tcPr>
              <w:p w14:paraId="71F70A9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w:t>
                </w:r>
              </w:p>
            </w:tc>
            <w:tc>
              <w:tcPr>
                <w:tcW w:w="331" w:type="pct"/>
                <w:shd w:val="clear" w:color="000000" w:fill="E2E5F3"/>
                <w:noWrap/>
                <w:vAlign w:val="center"/>
                <w:hideMark/>
              </w:tcPr>
              <w:p w14:paraId="2D5E027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(825)</w:t>
                </w:r>
              </w:p>
            </w:tc>
            <w:tc>
              <w:tcPr>
                <w:tcW w:w="350" w:type="pct"/>
                <w:shd w:val="clear" w:color="000000" w:fill="E2E5F3"/>
                <w:noWrap/>
                <w:vAlign w:val="center"/>
                <w:hideMark/>
              </w:tcPr>
              <w:p w14:paraId="0A9197A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20</w:t>
                </w:r>
              </w:p>
            </w:tc>
            <w:tc>
              <w:tcPr>
                <w:tcW w:w="306" w:type="pct"/>
                <w:shd w:val="clear" w:color="000000" w:fill="E2E5F3"/>
                <w:noWrap/>
                <w:vAlign w:val="center"/>
                <w:hideMark/>
              </w:tcPr>
              <w:p w14:paraId="0E7498C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(805)</w:t>
                </w:r>
              </w:p>
            </w:tc>
            <w:tc>
              <w:tcPr>
                <w:tcW w:w="80" w:type="pct"/>
                <w:shd w:val="clear" w:color="auto" w:fill="auto"/>
                <w:noWrap/>
                <w:vAlign w:val="center"/>
                <w:hideMark/>
              </w:tcPr>
              <w:p w14:paraId="2A159E00"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1A5B371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(650)</w:t>
                </w:r>
              </w:p>
            </w:tc>
            <w:tc>
              <w:tcPr>
                <w:tcW w:w="419" w:type="pct"/>
                <w:shd w:val="clear" w:color="auto" w:fill="auto"/>
                <w:noWrap/>
                <w:vAlign w:val="center"/>
                <w:hideMark/>
              </w:tcPr>
              <w:p w14:paraId="385C9BE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27</w:t>
                </w:r>
              </w:p>
            </w:tc>
            <w:tc>
              <w:tcPr>
                <w:tcW w:w="306" w:type="pct"/>
                <w:shd w:val="clear" w:color="auto" w:fill="auto"/>
                <w:noWrap/>
                <w:vAlign w:val="center"/>
                <w:hideMark/>
              </w:tcPr>
              <w:p w14:paraId="53D6027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(623)</w:t>
                </w:r>
              </w:p>
            </w:tc>
            <w:tc>
              <w:tcPr>
                <w:tcW w:w="119" w:type="pct"/>
                <w:shd w:val="clear" w:color="auto" w:fill="auto"/>
                <w:noWrap/>
                <w:vAlign w:val="bottom"/>
                <w:hideMark/>
              </w:tcPr>
              <w:p w14:paraId="5429CB1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5DBEA380" w14:textId="77777777" w:rsidTr="00C444E6">
            <w:trPr>
              <w:trHeight w:val="240"/>
            </w:trPr>
            <w:tc>
              <w:tcPr>
                <w:tcW w:w="2580" w:type="pct"/>
                <w:shd w:val="clear" w:color="auto" w:fill="auto"/>
                <w:noWrap/>
                <w:vAlign w:val="center"/>
                <w:hideMark/>
              </w:tcPr>
              <w:p w14:paraId="2B1D5EFF"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Profit/(loss) before tax from continuing operations</w:t>
                </w:r>
              </w:p>
            </w:tc>
            <w:tc>
              <w:tcPr>
                <w:tcW w:w="202" w:type="pct"/>
                <w:shd w:val="clear" w:color="auto" w:fill="auto"/>
                <w:noWrap/>
                <w:vAlign w:val="center"/>
                <w:hideMark/>
              </w:tcPr>
              <w:p w14:paraId="20D2222C"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3875BB0A"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2,277</w:t>
                </w:r>
              </w:p>
            </w:tc>
            <w:tc>
              <w:tcPr>
                <w:tcW w:w="350" w:type="pct"/>
                <w:shd w:val="clear" w:color="000000" w:fill="E2E5F3"/>
                <w:noWrap/>
                <w:vAlign w:val="center"/>
                <w:hideMark/>
              </w:tcPr>
              <w:p w14:paraId="17954C4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12</w:t>
                </w:r>
              </w:p>
            </w:tc>
            <w:tc>
              <w:tcPr>
                <w:tcW w:w="306" w:type="pct"/>
                <w:shd w:val="clear" w:color="000000" w:fill="E2E5F3"/>
                <w:noWrap/>
                <w:vAlign w:val="center"/>
                <w:hideMark/>
              </w:tcPr>
              <w:p w14:paraId="559CB508"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2,289</w:t>
                </w:r>
              </w:p>
            </w:tc>
            <w:tc>
              <w:tcPr>
                <w:tcW w:w="80" w:type="pct"/>
                <w:shd w:val="clear" w:color="auto" w:fill="auto"/>
                <w:noWrap/>
                <w:vAlign w:val="center"/>
                <w:hideMark/>
              </w:tcPr>
              <w:p w14:paraId="77D9E14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c>
              <w:tcPr>
                <w:tcW w:w="306" w:type="pct"/>
                <w:shd w:val="clear" w:color="auto" w:fill="auto"/>
                <w:noWrap/>
                <w:vAlign w:val="center"/>
                <w:hideMark/>
              </w:tcPr>
              <w:p w14:paraId="7CA5284D"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1,954</w:t>
                </w:r>
              </w:p>
            </w:tc>
            <w:tc>
              <w:tcPr>
                <w:tcW w:w="419" w:type="pct"/>
                <w:shd w:val="clear" w:color="auto" w:fill="auto"/>
                <w:noWrap/>
                <w:vAlign w:val="center"/>
                <w:hideMark/>
              </w:tcPr>
              <w:p w14:paraId="6708106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(1,072)</w:t>
                </w:r>
              </w:p>
            </w:tc>
            <w:tc>
              <w:tcPr>
                <w:tcW w:w="306" w:type="pct"/>
                <w:shd w:val="clear" w:color="auto" w:fill="auto"/>
                <w:noWrap/>
                <w:vAlign w:val="center"/>
                <w:hideMark/>
              </w:tcPr>
              <w:p w14:paraId="3B691D33"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882</w:t>
                </w:r>
              </w:p>
            </w:tc>
            <w:tc>
              <w:tcPr>
                <w:tcW w:w="119" w:type="pct"/>
                <w:shd w:val="clear" w:color="auto" w:fill="auto"/>
                <w:noWrap/>
                <w:vAlign w:val="bottom"/>
                <w:hideMark/>
              </w:tcPr>
              <w:p w14:paraId="4A91FDB3"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11529C2F" w14:textId="77777777" w:rsidTr="00C444E6">
            <w:trPr>
              <w:trHeight w:val="240"/>
            </w:trPr>
            <w:tc>
              <w:tcPr>
                <w:tcW w:w="2580" w:type="pct"/>
                <w:shd w:val="clear" w:color="auto" w:fill="auto"/>
                <w:noWrap/>
                <w:vAlign w:val="center"/>
                <w:hideMark/>
              </w:tcPr>
              <w:p w14:paraId="75935FC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31CE664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56369DE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0854F7F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3EB9B66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7596F73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3B97C1FE"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47F9F73A"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5B8E509F"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7DB7DAD2"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3DC0A03D" w14:textId="77777777" w:rsidTr="00C444E6">
            <w:trPr>
              <w:trHeight w:val="252"/>
            </w:trPr>
            <w:tc>
              <w:tcPr>
                <w:tcW w:w="2580" w:type="pct"/>
                <w:shd w:val="clear" w:color="auto" w:fill="auto"/>
                <w:noWrap/>
                <w:vAlign w:val="center"/>
                <w:hideMark/>
              </w:tcPr>
              <w:p w14:paraId="293E6E26"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Taxation</w:t>
                </w:r>
              </w:p>
            </w:tc>
            <w:tc>
              <w:tcPr>
                <w:tcW w:w="202" w:type="pct"/>
                <w:shd w:val="clear" w:color="auto" w:fill="auto"/>
                <w:noWrap/>
                <w:vAlign w:val="center"/>
                <w:hideMark/>
              </w:tcPr>
              <w:p w14:paraId="5B146EA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c>
              <w:tcPr>
                <w:tcW w:w="331" w:type="pct"/>
                <w:shd w:val="clear" w:color="000000" w:fill="E2E5F3"/>
                <w:noWrap/>
                <w:vAlign w:val="center"/>
                <w:hideMark/>
              </w:tcPr>
              <w:p w14:paraId="39E7295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(593)</w:t>
                </w:r>
              </w:p>
            </w:tc>
            <w:tc>
              <w:tcPr>
                <w:tcW w:w="350" w:type="pct"/>
                <w:shd w:val="clear" w:color="000000" w:fill="E2E5F3"/>
                <w:noWrap/>
                <w:vAlign w:val="center"/>
                <w:hideMark/>
              </w:tcPr>
              <w:p w14:paraId="7429821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68</w:t>
                </w:r>
              </w:p>
            </w:tc>
            <w:tc>
              <w:tcPr>
                <w:tcW w:w="306" w:type="pct"/>
                <w:shd w:val="clear" w:color="000000" w:fill="E2E5F3"/>
                <w:noWrap/>
                <w:vAlign w:val="center"/>
                <w:hideMark/>
              </w:tcPr>
              <w:p w14:paraId="7770688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(525)</w:t>
                </w:r>
              </w:p>
            </w:tc>
            <w:tc>
              <w:tcPr>
                <w:tcW w:w="80" w:type="pct"/>
                <w:shd w:val="clear" w:color="auto" w:fill="auto"/>
                <w:noWrap/>
                <w:vAlign w:val="center"/>
                <w:hideMark/>
              </w:tcPr>
              <w:p w14:paraId="2E66B120"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34A5E76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(419)</w:t>
                </w:r>
              </w:p>
            </w:tc>
            <w:tc>
              <w:tcPr>
                <w:tcW w:w="419" w:type="pct"/>
                <w:shd w:val="clear" w:color="auto" w:fill="auto"/>
                <w:noWrap/>
                <w:vAlign w:val="center"/>
                <w:hideMark/>
              </w:tcPr>
              <w:p w14:paraId="5BAA240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195</w:t>
                </w:r>
              </w:p>
            </w:tc>
            <w:tc>
              <w:tcPr>
                <w:tcW w:w="306" w:type="pct"/>
                <w:shd w:val="clear" w:color="auto" w:fill="auto"/>
                <w:noWrap/>
                <w:vAlign w:val="center"/>
                <w:hideMark/>
              </w:tcPr>
              <w:p w14:paraId="29358F7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(224)</w:t>
                </w:r>
              </w:p>
            </w:tc>
            <w:tc>
              <w:tcPr>
                <w:tcW w:w="119" w:type="pct"/>
                <w:shd w:val="clear" w:color="auto" w:fill="auto"/>
                <w:noWrap/>
                <w:vAlign w:val="bottom"/>
                <w:hideMark/>
              </w:tcPr>
              <w:p w14:paraId="06CE91E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08D9B7C" w14:textId="77777777" w:rsidTr="00C444E6">
            <w:trPr>
              <w:trHeight w:val="240"/>
            </w:trPr>
            <w:tc>
              <w:tcPr>
                <w:tcW w:w="2580" w:type="pct"/>
                <w:shd w:val="clear" w:color="auto" w:fill="auto"/>
                <w:noWrap/>
                <w:vAlign w:val="center"/>
                <w:hideMark/>
              </w:tcPr>
              <w:p w14:paraId="21D02306"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Profit/(loss) for the year from continuing operations</w:t>
                </w:r>
              </w:p>
            </w:tc>
            <w:tc>
              <w:tcPr>
                <w:tcW w:w="202" w:type="pct"/>
                <w:shd w:val="clear" w:color="auto" w:fill="auto"/>
                <w:noWrap/>
                <w:vAlign w:val="center"/>
                <w:hideMark/>
              </w:tcPr>
              <w:p w14:paraId="48DC4F02"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46CFD18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1,684</w:t>
                </w:r>
              </w:p>
            </w:tc>
            <w:tc>
              <w:tcPr>
                <w:tcW w:w="350" w:type="pct"/>
                <w:shd w:val="clear" w:color="000000" w:fill="E2E5F3"/>
                <w:noWrap/>
                <w:vAlign w:val="center"/>
                <w:hideMark/>
              </w:tcPr>
              <w:p w14:paraId="2DA6CF3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80</w:t>
                </w:r>
              </w:p>
            </w:tc>
            <w:tc>
              <w:tcPr>
                <w:tcW w:w="306" w:type="pct"/>
                <w:shd w:val="clear" w:color="000000" w:fill="E2E5F3"/>
                <w:noWrap/>
                <w:vAlign w:val="center"/>
                <w:hideMark/>
              </w:tcPr>
              <w:p w14:paraId="73672A6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1,764</w:t>
                </w:r>
              </w:p>
            </w:tc>
            <w:tc>
              <w:tcPr>
                <w:tcW w:w="80" w:type="pct"/>
                <w:shd w:val="clear" w:color="auto" w:fill="auto"/>
                <w:noWrap/>
                <w:vAlign w:val="center"/>
                <w:hideMark/>
              </w:tcPr>
              <w:p w14:paraId="57D33DB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c>
              <w:tcPr>
                <w:tcW w:w="306" w:type="pct"/>
                <w:shd w:val="clear" w:color="auto" w:fill="auto"/>
                <w:noWrap/>
                <w:vAlign w:val="center"/>
                <w:hideMark/>
              </w:tcPr>
              <w:p w14:paraId="5DF440A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1,535</w:t>
                </w:r>
              </w:p>
            </w:tc>
            <w:tc>
              <w:tcPr>
                <w:tcW w:w="419" w:type="pct"/>
                <w:shd w:val="clear" w:color="auto" w:fill="auto"/>
                <w:noWrap/>
                <w:vAlign w:val="center"/>
                <w:hideMark/>
              </w:tcPr>
              <w:p w14:paraId="7E61C51F"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(877)</w:t>
                </w:r>
              </w:p>
            </w:tc>
            <w:tc>
              <w:tcPr>
                <w:tcW w:w="306" w:type="pct"/>
                <w:shd w:val="clear" w:color="auto" w:fill="auto"/>
                <w:noWrap/>
                <w:vAlign w:val="center"/>
                <w:hideMark/>
              </w:tcPr>
              <w:p w14:paraId="07D430C6"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658</w:t>
                </w:r>
              </w:p>
            </w:tc>
            <w:tc>
              <w:tcPr>
                <w:tcW w:w="119" w:type="pct"/>
                <w:shd w:val="clear" w:color="auto" w:fill="auto"/>
                <w:noWrap/>
                <w:vAlign w:val="bottom"/>
                <w:hideMark/>
              </w:tcPr>
              <w:p w14:paraId="725FCEC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154D4820" w14:textId="77777777" w:rsidTr="00C444E6">
            <w:trPr>
              <w:trHeight w:val="240"/>
            </w:trPr>
            <w:tc>
              <w:tcPr>
                <w:tcW w:w="2580" w:type="pct"/>
                <w:shd w:val="clear" w:color="auto" w:fill="auto"/>
                <w:noWrap/>
                <w:vAlign w:val="center"/>
                <w:hideMark/>
              </w:tcPr>
              <w:p w14:paraId="3392DE8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2470C6C1"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1585937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4075E17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055676E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611C675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19B646C2"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00C55081"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2CAE180A"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2DDD13CC"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4E96DC4E" w14:textId="77777777" w:rsidTr="00C444E6">
            <w:trPr>
              <w:trHeight w:val="240"/>
            </w:trPr>
            <w:tc>
              <w:tcPr>
                <w:tcW w:w="2580" w:type="pct"/>
                <w:shd w:val="clear" w:color="auto" w:fill="auto"/>
                <w:noWrap/>
                <w:vAlign w:val="center"/>
                <w:hideMark/>
              </w:tcPr>
              <w:p w14:paraId="50D4A8A3"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Discontinued operations</w:t>
                </w:r>
              </w:p>
            </w:tc>
            <w:tc>
              <w:tcPr>
                <w:tcW w:w="202" w:type="pct"/>
                <w:shd w:val="clear" w:color="auto" w:fill="auto"/>
                <w:noWrap/>
                <w:vAlign w:val="center"/>
                <w:hideMark/>
              </w:tcPr>
              <w:p w14:paraId="09564F78"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4F336D15"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50" w:type="pct"/>
                <w:shd w:val="clear" w:color="000000" w:fill="E2E5F3"/>
                <w:noWrap/>
                <w:vAlign w:val="center"/>
                <w:hideMark/>
              </w:tcPr>
              <w:p w14:paraId="02ECAB34"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000000" w:fill="E2E5F3"/>
                <w:noWrap/>
                <w:vAlign w:val="center"/>
                <w:hideMark/>
              </w:tcPr>
              <w:p w14:paraId="4C70A4EF"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80" w:type="pct"/>
                <w:shd w:val="clear" w:color="auto" w:fill="auto"/>
                <w:noWrap/>
                <w:vAlign w:val="center"/>
                <w:hideMark/>
              </w:tcPr>
              <w:p w14:paraId="187443C3"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p>
            </w:tc>
            <w:tc>
              <w:tcPr>
                <w:tcW w:w="306" w:type="pct"/>
                <w:shd w:val="clear" w:color="auto" w:fill="auto"/>
                <w:noWrap/>
                <w:vAlign w:val="center"/>
                <w:hideMark/>
              </w:tcPr>
              <w:p w14:paraId="3F585FA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3C59DB37"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5E3B8F2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2DEF40D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00BE4D38" w14:textId="77777777" w:rsidTr="00C444E6">
            <w:trPr>
              <w:trHeight w:val="240"/>
            </w:trPr>
            <w:tc>
              <w:tcPr>
                <w:tcW w:w="2580" w:type="pct"/>
                <w:shd w:val="clear" w:color="auto" w:fill="auto"/>
                <w:noWrap/>
                <w:vAlign w:val="center"/>
                <w:hideMark/>
              </w:tcPr>
              <w:p w14:paraId="0C8E8DA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Profit/(loss) for the year from discontinued operations</w:t>
                </w:r>
              </w:p>
            </w:tc>
            <w:tc>
              <w:tcPr>
                <w:tcW w:w="202" w:type="pct"/>
                <w:shd w:val="clear" w:color="auto" w:fill="auto"/>
                <w:noWrap/>
                <w:vAlign w:val="center"/>
                <w:hideMark/>
              </w:tcPr>
              <w:p w14:paraId="53DC258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w:t>
                </w:r>
              </w:p>
            </w:tc>
            <w:tc>
              <w:tcPr>
                <w:tcW w:w="331" w:type="pct"/>
                <w:shd w:val="clear" w:color="000000" w:fill="E2E5F3"/>
                <w:noWrap/>
                <w:vAlign w:val="center"/>
                <w:hideMark/>
              </w:tcPr>
              <w:p w14:paraId="3F9906F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56</w:t>
                </w:r>
              </w:p>
            </w:tc>
            <w:tc>
              <w:tcPr>
                <w:tcW w:w="350" w:type="pct"/>
                <w:shd w:val="clear" w:color="000000" w:fill="E2E5F3"/>
                <w:noWrap/>
                <w:vAlign w:val="center"/>
                <w:hideMark/>
              </w:tcPr>
              <w:p w14:paraId="6CADC1F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(628)</w:t>
                </w:r>
              </w:p>
            </w:tc>
            <w:tc>
              <w:tcPr>
                <w:tcW w:w="306" w:type="pct"/>
                <w:shd w:val="clear" w:color="000000" w:fill="E2E5F3"/>
                <w:noWrap/>
                <w:vAlign w:val="center"/>
                <w:hideMark/>
              </w:tcPr>
              <w:p w14:paraId="60F636E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(572)</w:t>
                </w:r>
              </w:p>
            </w:tc>
            <w:tc>
              <w:tcPr>
                <w:tcW w:w="80" w:type="pct"/>
                <w:shd w:val="clear" w:color="auto" w:fill="auto"/>
                <w:noWrap/>
                <w:vAlign w:val="center"/>
                <w:hideMark/>
              </w:tcPr>
              <w:p w14:paraId="60A6366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638112F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91</w:t>
                </w:r>
              </w:p>
            </w:tc>
            <w:tc>
              <w:tcPr>
                <w:tcW w:w="419" w:type="pct"/>
                <w:shd w:val="clear" w:color="auto" w:fill="auto"/>
                <w:noWrap/>
                <w:vAlign w:val="center"/>
                <w:hideMark/>
              </w:tcPr>
              <w:p w14:paraId="69C22F0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(13)</w:t>
                </w:r>
              </w:p>
            </w:tc>
            <w:tc>
              <w:tcPr>
                <w:tcW w:w="306" w:type="pct"/>
                <w:shd w:val="clear" w:color="auto" w:fill="auto"/>
                <w:noWrap/>
                <w:vAlign w:val="center"/>
                <w:hideMark/>
              </w:tcPr>
              <w:p w14:paraId="5993057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78</w:t>
                </w:r>
              </w:p>
            </w:tc>
            <w:tc>
              <w:tcPr>
                <w:tcW w:w="119" w:type="pct"/>
                <w:shd w:val="clear" w:color="auto" w:fill="auto"/>
                <w:noWrap/>
                <w:vAlign w:val="bottom"/>
                <w:hideMark/>
              </w:tcPr>
              <w:p w14:paraId="7844C17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1CB0D358" w14:textId="77777777" w:rsidTr="00C444E6">
            <w:trPr>
              <w:trHeight w:val="252"/>
            </w:trPr>
            <w:tc>
              <w:tcPr>
                <w:tcW w:w="2580" w:type="pct"/>
                <w:shd w:val="clear" w:color="auto" w:fill="auto"/>
                <w:noWrap/>
                <w:vAlign w:val="center"/>
                <w:hideMark/>
              </w:tcPr>
              <w:p w14:paraId="1FA51B50"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Profit/(loss) for the year</w:t>
                </w:r>
              </w:p>
            </w:tc>
            <w:tc>
              <w:tcPr>
                <w:tcW w:w="202" w:type="pct"/>
                <w:shd w:val="clear" w:color="auto" w:fill="auto"/>
                <w:noWrap/>
                <w:vAlign w:val="center"/>
                <w:hideMark/>
              </w:tcPr>
              <w:p w14:paraId="1C1587DC"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31" w:type="pct"/>
                <w:shd w:val="clear" w:color="000000" w:fill="E2E5F3"/>
                <w:noWrap/>
                <w:vAlign w:val="center"/>
                <w:hideMark/>
              </w:tcPr>
              <w:p w14:paraId="0109BFF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1,740</w:t>
                </w:r>
              </w:p>
            </w:tc>
            <w:tc>
              <w:tcPr>
                <w:tcW w:w="350" w:type="pct"/>
                <w:shd w:val="clear" w:color="000000" w:fill="E2E5F3"/>
                <w:noWrap/>
                <w:vAlign w:val="center"/>
                <w:hideMark/>
              </w:tcPr>
              <w:p w14:paraId="6E15B83C"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(548)</w:t>
                </w:r>
              </w:p>
            </w:tc>
            <w:tc>
              <w:tcPr>
                <w:tcW w:w="306" w:type="pct"/>
                <w:shd w:val="clear" w:color="000000" w:fill="E2E5F3"/>
                <w:noWrap/>
                <w:vAlign w:val="center"/>
                <w:hideMark/>
              </w:tcPr>
              <w:p w14:paraId="5249CE0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1,192</w:t>
                </w:r>
              </w:p>
            </w:tc>
            <w:tc>
              <w:tcPr>
                <w:tcW w:w="80" w:type="pct"/>
                <w:shd w:val="clear" w:color="auto" w:fill="auto"/>
                <w:noWrap/>
                <w:vAlign w:val="center"/>
                <w:hideMark/>
              </w:tcPr>
              <w:p w14:paraId="747178F2" w14:textId="77777777" w:rsidR="00C444E6" w:rsidRPr="00C444E6" w:rsidRDefault="00C444E6" w:rsidP="00C444E6">
                <w:pPr>
                  <w:spacing w:after="0" w:line="240" w:lineRule="auto"/>
                  <w:jc w:val="right"/>
                  <w:rPr>
                    <w:rFonts w:ascii="Calibri" w:eastAsia="Times New Roman" w:hAnsi="Calibri" w:cs="Calibri"/>
                    <w:b/>
                    <w:bCs/>
                    <w:sz w:val="18"/>
                    <w:szCs w:val="18"/>
                    <w:lang w:val="en-IN" w:eastAsia="en-IN"/>
                  </w:rPr>
                </w:pPr>
                <w:r w:rsidRPr="00C444E6">
                  <w:rPr>
                    <w:rFonts w:ascii="Calibri" w:eastAsia="Times New Roman" w:hAnsi="Calibri" w:cs="Calibri"/>
                    <w:b/>
                    <w:bCs/>
                    <w:sz w:val="18"/>
                    <w:szCs w:val="18"/>
                    <w:lang w:val="en-IN" w:eastAsia="en-IN"/>
                  </w:rPr>
                  <w:t> </w:t>
                </w:r>
              </w:p>
            </w:tc>
            <w:tc>
              <w:tcPr>
                <w:tcW w:w="306" w:type="pct"/>
                <w:shd w:val="clear" w:color="auto" w:fill="auto"/>
                <w:noWrap/>
                <w:vAlign w:val="center"/>
                <w:hideMark/>
              </w:tcPr>
              <w:p w14:paraId="4039C1A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1,626</w:t>
                </w:r>
              </w:p>
            </w:tc>
            <w:tc>
              <w:tcPr>
                <w:tcW w:w="419" w:type="pct"/>
                <w:shd w:val="clear" w:color="auto" w:fill="auto"/>
                <w:noWrap/>
                <w:vAlign w:val="center"/>
                <w:hideMark/>
              </w:tcPr>
              <w:p w14:paraId="02C78A6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(890)</w:t>
                </w:r>
              </w:p>
            </w:tc>
            <w:tc>
              <w:tcPr>
                <w:tcW w:w="306" w:type="pct"/>
                <w:shd w:val="clear" w:color="auto" w:fill="auto"/>
                <w:noWrap/>
                <w:vAlign w:val="center"/>
                <w:hideMark/>
              </w:tcPr>
              <w:p w14:paraId="3C1442C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736</w:t>
                </w:r>
              </w:p>
            </w:tc>
            <w:tc>
              <w:tcPr>
                <w:tcW w:w="119" w:type="pct"/>
                <w:shd w:val="clear" w:color="auto" w:fill="auto"/>
                <w:noWrap/>
                <w:vAlign w:val="bottom"/>
                <w:hideMark/>
              </w:tcPr>
              <w:p w14:paraId="7052346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551C5053" w14:textId="77777777" w:rsidTr="00C444E6">
            <w:trPr>
              <w:trHeight w:val="240"/>
            </w:trPr>
            <w:tc>
              <w:tcPr>
                <w:tcW w:w="2580" w:type="pct"/>
                <w:shd w:val="clear" w:color="auto" w:fill="auto"/>
                <w:noWrap/>
                <w:vAlign w:val="center"/>
                <w:hideMark/>
              </w:tcPr>
              <w:p w14:paraId="46A8A9EA"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4F8B52C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2EF3247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40CA94F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36C28AB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60519D3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360A6E4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49346A76"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7AE5093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3F9F1603"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21C533E4" w14:textId="77777777" w:rsidTr="00C444E6">
            <w:trPr>
              <w:trHeight w:val="240"/>
            </w:trPr>
            <w:tc>
              <w:tcPr>
                <w:tcW w:w="2580" w:type="pct"/>
                <w:shd w:val="clear" w:color="auto" w:fill="auto"/>
                <w:noWrap/>
                <w:vAlign w:val="center"/>
                <w:hideMark/>
              </w:tcPr>
              <w:p w14:paraId="3A4254D2"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Attributable to:</w:t>
                </w:r>
              </w:p>
            </w:tc>
            <w:tc>
              <w:tcPr>
                <w:tcW w:w="202" w:type="pct"/>
                <w:shd w:val="clear" w:color="auto" w:fill="auto"/>
                <w:noWrap/>
                <w:vAlign w:val="center"/>
                <w:hideMark/>
              </w:tcPr>
              <w:p w14:paraId="1DBCDFDF"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71E530D8"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008FCF9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281AECA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2BF6A47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3010DCC9"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11F2E1E7"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2DD112B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48C752ED"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4B8FC020" w14:textId="77777777" w:rsidTr="00C444E6">
            <w:trPr>
              <w:trHeight w:val="240"/>
            </w:trPr>
            <w:tc>
              <w:tcPr>
                <w:tcW w:w="2580" w:type="pct"/>
                <w:shd w:val="clear" w:color="auto" w:fill="auto"/>
                <w:noWrap/>
                <w:vAlign w:val="center"/>
                <w:hideMark/>
              </w:tcPr>
              <w:p w14:paraId="25646F4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Owners of the parent</w:t>
                </w:r>
              </w:p>
            </w:tc>
            <w:tc>
              <w:tcPr>
                <w:tcW w:w="202" w:type="pct"/>
                <w:shd w:val="clear" w:color="auto" w:fill="auto"/>
                <w:noWrap/>
                <w:vAlign w:val="center"/>
                <w:hideMark/>
              </w:tcPr>
              <w:p w14:paraId="190D81CF"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331" w:type="pct"/>
                <w:shd w:val="clear" w:color="000000" w:fill="E2E5F3"/>
                <w:noWrap/>
                <w:vAlign w:val="center"/>
                <w:hideMark/>
              </w:tcPr>
              <w:p w14:paraId="3639B09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1,736</w:t>
                </w:r>
              </w:p>
            </w:tc>
            <w:tc>
              <w:tcPr>
                <w:tcW w:w="350" w:type="pct"/>
                <w:shd w:val="clear" w:color="000000" w:fill="E2E5F3"/>
                <w:noWrap/>
                <w:vAlign w:val="center"/>
                <w:hideMark/>
              </w:tcPr>
              <w:p w14:paraId="5E37D11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(548)</w:t>
                </w:r>
              </w:p>
            </w:tc>
            <w:tc>
              <w:tcPr>
                <w:tcW w:w="306" w:type="pct"/>
                <w:shd w:val="clear" w:color="000000" w:fill="E2E5F3"/>
                <w:noWrap/>
                <w:vAlign w:val="center"/>
                <w:hideMark/>
              </w:tcPr>
              <w:p w14:paraId="1E5D497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1,188</w:t>
                </w:r>
              </w:p>
            </w:tc>
            <w:tc>
              <w:tcPr>
                <w:tcW w:w="80" w:type="pct"/>
                <w:shd w:val="clear" w:color="auto" w:fill="auto"/>
                <w:noWrap/>
                <w:vAlign w:val="center"/>
                <w:hideMark/>
              </w:tcPr>
              <w:p w14:paraId="7BD7C8C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203E216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1,627</w:t>
                </w:r>
              </w:p>
            </w:tc>
            <w:tc>
              <w:tcPr>
                <w:tcW w:w="419" w:type="pct"/>
                <w:shd w:val="clear" w:color="auto" w:fill="auto"/>
                <w:noWrap/>
                <w:vAlign w:val="center"/>
                <w:hideMark/>
              </w:tcPr>
              <w:p w14:paraId="0A9465B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(890)</w:t>
                </w:r>
              </w:p>
            </w:tc>
            <w:tc>
              <w:tcPr>
                <w:tcW w:w="306" w:type="pct"/>
                <w:shd w:val="clear" w:color="auto" w:fill="auto"/>
                <w:noWrap/>
                <w:vAlign w:val="center"/>
                <w:hideMark/>
              </w:tcPr>
              <w:p w14:paraId="7A0F6D5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737</w:t>
                </w:r>
              </w:p>
            </w:tc>
            <w:tc>
              <w:tcPr>
                <w:tcW w:w="119" w:type="pct"/>
                <w:shd w:val="clear" w:color="auto" w:fill="auto"/>
                <w:noWrap/>
                <w:vAlign w:val="bottom"/>
                <w:hideMark/>
              </w:tcPr>
              <w:p w14:paraId="3CE22AC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D92855A" w14:textId="77777777" w:rsidTr="00C444E6">
            <w:trPr>
              <w:trHeight w:val="252"/>
            </w:trPr>
            <w:tc>
              <w:tcPr>
                <w:tcW w:w="2580" w:type="pct"/>
                <w:shd w:val="clear" w:color="auto" w:fill="auto"/>
                <w:noWrap/>
                <w:vAlign w:val="center"/>
                <w:hideMark/>
              </w:tcPr>
              <w:p w14:paraId="64CA6F6D"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Non-controlling interests</w:t>
                </w:r>
              </w:p>
            </w:tc>
            <w:tc>
              <w:tcPr>
                <w:tcW w:w="202" w:type="pct"/>
                <w:shd w:val="clear" w:color="auto" w:fill="auto"/>
                <w:noWrap/>
                <w:vAlign w:val="center"/>
                <w:hideMark/>
              </w:tcPr>
              <w:p w14:paraId="4521A6B4"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31" w:type="pct"/>
                <w:shd w:val="clear" w:color="000000" w:fill="E2E5F3"/>
                <w:noWrap/>
                <w:vAlign w:val="center"/>
                <w:hideMark/>
              </w:tcPr>
              <w:p w14:paraId="370515C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w:t>
                </w:r>
              </w:p>
            </w:tc>
            <w:tc>
              <w:tcPr>
                <w:tcW w:w="350" w:type="pct"/>
                <w:shd w:val="clear" w:color="000000" w:fill="E2E5F3"/>
                <w:noWrap/>
                <w:vAlign w:val="center"/>
                <w:hideMark/>
              </w:tcPr>
              <w:p w14:paraId="5920D9E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000000" w:fill="E2E5F3"/>
                <w:noWrap/>
                <w:vAlign w:val="center"/>
                <w:hideMark/>
              </w:tcPr>
              <w:p w14:paraId="5C53E9E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w:t>
                </w:r>
              </w:p>
            </w:tc>
            <w:tc>
              <w:tcPr>
                <w:tcW w:w="80" w:type="pct"/>
                <w:shd w:val="clear" w:color="auto" w:fill="auto"/>
                <w:noWrap/>
                <w:vAlign w:val="center"/>
                <w:hideMark/>
              </w:tcPr>
              <w:p w14:paraId="1A420ABB"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72A2756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w:t>
                </w:r>
              </w:p>
            </w:tc>
            <w:tc>
              <w:tcPr>
                <w:tcW w:w="419" w:type="pct"/>
                <w:shd w:val="clear" w:color="auto" w:fill="auto"/>
                <w:noWrap/>
                <w:vAlign w:val="center"/>
                <w:hideMark/>
              </w:tcPr>
              <w:p w14:paraId="5D7F0FF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306" w:type="pct"/>
                <w:shd w:val="clear" w:color="auto" w:fill="auto"/>
                <w:noWrap/>
                <w:vAlign w:val="center"/>
                <w:hideMark/>
              </w:tcPr>
              <w:p w14:paraId="6E935F7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w:t>
                </w:r>
              </w:p>
            </w:tc>
            <w:tc>
              <w:tcPr>
                <w:tcW w:w="119" w:type="pct"/>
                <w:shd w:val="clear" w:color="auto" w:fill="auto"/>
                <w:noWrap/>
                <w:vAlign w:val="bottom"/>
                <w:hideMark/>
              </w:tcPr>
              <w:p w14:paraId="26C1A2E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518863B9" w14:textId="77777777" w:rsidTr="00C444E6">
            <w:trPr>
              <w:trHeight w:val="252"/>
            </w:trPr>
            <w:tc>
              <w:tcPr>
                <w:tcW w:w="2580" w:type="pct"/>
                <w:shd w:val="clear" w:color="auto" w:fill="auto"/>
                <w:noWrap/>
                <w:vAlign w:val="center"/>
                <w:hideMark/>
              </w:tcPr>
              <w:p w14:paraId="2912B1F3"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202" w:type="pct"/>
                <w:shd w:val="clear" w:color="auto" w:fill="auto"/>
                <w:noWrap/>
                <w:vAlign w:val="center"/>
                <w:hideMark/>
              </w:tcPr>
              <w:p w14:paraId="4D41929D"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31" w:type="pct"/>
                <w:shd w:val="clear" w:color="000000" w:fill="E2E5F3"/>
                <w:noWrap/>
                <w:vAlign w:val="center"/>
                <w:hideMark/>
              </w:tcPr>
              <w:p w14:paraId="67A27AF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1,740</w:t>
                </w:r>
              </w:p>
            </w:tc>
            <w:tc>
              <w:tcPr>
                <w:tcW w:w="350" w:type="pct"/>
                <w:shd w:val="clear" w:color="000000" w:fill="E2E5F3"/>
                <w:noWrap/>
                <w:vAlign w:val="center"/>
                <w:hideMark/>
              </w:tcPr>
              <w:p w14:paraId="5F54E93D"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(548)</w:t>
                </w:r>
              </w:p>
            </w:tc>
            <w:tc>
              <w:tcPr>
                <w:tcW w:w="306" w:type="pct"/>
                <w:shd w:val="clear" w:color="000000" w:fill="E2E5F3"/>
                <w:noWrap/>
                <w:vAlign w:val="center"/>
                <w:hideMark/>
              </w:tcPr>
              <w:p w14:paraId="5784C53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1,192</w:t>
                </w:r>
              </w:p>
            </w:tc>
            <w:tc>
              <w:tcPr>
                <w:tcW w:w="80" w:type="pct"/>
                <w:shd w:val="clear" w:color="auto" w:fill="auto"/>
                <w:noWrap/>
                <w:vAlign w:val="center"/>
                <w:hideMark/>
              </w:tcPr>
              <w:p w14:paraId="1B8FAD93"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72028FE7"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1,626</w:t>
                </w:r>
              </w:p>
            </w:tc>
            <w:tc>
              <w:tcPr>
                <w:tcW w:w="419" w:type="pct"/>
                <w:shd w:val="clear" w:color="auto" w:fill="auto"/>
                <w:noWrap/>
                <w:vAlign w:val="center"/>
                <w:hideMark/>
              </w:tcPr>
              <w:p w14:paraId="67579743"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(890)</w:t>
                </w:r>
              </w:p>
            </w:tc>
            <w:tc>
              <w:tcPr>
                <w:tcW w:w="306" w:type="pct"/>
                <w:shd w:val="clear" w:color="auto" w:fill="auto"/>
                <w:noWrap/>
                <w:vAlign w:val="center"/>
                <w:hideMark/>
              </w:tcPr>
              <w:p w14:paraId="2652D968"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736</w:t>
                </w:r>
              </w:p>
            </w:tc>
            <w:tc>
              <w:tcPr>
                <w:tcW w:w="119" w:type="pct"/>
                <w:shd w:val="clear" w:color="auto" w:fill="auto"/>
                <w:noWrap/>
                <w:vAlign w:val="bottom"/>
                <w:hideMark/>
              </w:tcPr>
              <w:p w14:paraId="536B2C1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400DB6EB" w14:textId="77777777" w:rsidTr="00C444E6">
            <w:trPr>
              <w:trHeight w:val="240"/>
            </w:trPr>
            <w:tc>
              <w:tcPr>
                <w:tcW w:w="2580" w:type="pct"/>
                <w:shd w:val="clear" w:color="auto" w:fill="auto"/>
                <w:noWrap/>
                <w:vAlign w:val="center"/>
                <w:hideMark/>
              </w:tcPr>
              <w:p w14:paraId="78668E7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11745867"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377033E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6684A9A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0A6DE32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34B04DC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6AA563E6"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65F651C2"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35AB6C33"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0C62A983"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4F31D3A3" w14:textId="77777777" w:rsidTr="00C444E6">
            <w:trPr>
              <w:trHeight w:val="240"/>
            </w:trPr>
            <w:tc>
              <w:tcPr>
                <w:tcW w:w="2580" w:type="pct"/>
                <w:shd w:val="clear" w:color="auto" w:fill="auto"/>
                <w:noWrap/>
                <w:vAlign w:val="center"/>
                <w:hideMark/>
              </w:tcPr>
              <w:p w14:paraId="692F3547"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 xml:space="preserve">Earnings per share from continuing and discontinued operations </w:t>
                </w:r>
              </w:p>
            </w:tc>
            <w:tc>
              <w:tcPr>
                <w:tcW w:w="202" w:type="pct"/>
                <w:shd w:val="clear" w:color="auto" w:fill="auto"/>
                <w:noWrap/>
                <w:vAlign w:val="center"/>
                <w:hideMark/>
              </w:tcPr>
              <w:p w14:paraId="531BD1D0"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6D4CFD6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3DA2B81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267CB8C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19C85D4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36AFBAEC"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0EA2BDD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14589262"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24F46776"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5D9A0F16" w14:textId="77777777" w:rsidTr="00C444E6">
            <w:trPr>
              <w:trHeight w:val="240"/>
            </w:trPr>
            <w:tc>
              <w:tcPr>
                <w:tcW w:w="2580" w:type="pct"/>
                <w:shd w:val="clear" w:color="auto" w:fill="auto"/>
                <w:noWrap/>
                <w:vAlign w:val="center"/>
                <w:hideMark/>
              </w:tcPr>
              <w:p w14:paraId="4590EFC7"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Basic</w:t>
                </w:r>
              </w:p>
            </w:tc>
            <w:tc>
              <w:tcPr>
                <w:tcW w:w="202" w:type="pct"/>
                <w:shd w:val="clear" w:color="auto" w:fill="auto"/>
                <w:noWrap/>
                <w:vAlign w:val="center"/>
                <w:hideMark/>
              </w:tcPr>
              <w:p w14:paraId="644B7DC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w:t>
                </w:r>
              </w:p>
            </w:tc>
            <w:tc>
              <w:tcPr>
                <w:tcW w:w="331" w:type="pct"/>
                <w:shd w:val="clear" w:color="000000" w:fill="E2E5F3"/>
                <w:noWrap/>
                <w:vAlign w:val="center"/>
                <w:hideMark/>
              </w:tcPr>
              <w:p w14:paraId="3F254F5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1562068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6CA1A39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16.74p</w:t>
                </w:r>
              </w:p>
            </w:tc>
            <w:tc>
              <w:tcPr>
                <w:tcW w:w="80" w:type="pct"/>
                <w:shd w:val="clear" w:color="auto" w:fill="auto"/>
                <w:noWrap/>
                <w:vAlign w:val="center"/>
                <w:hideMark/>
              </w:tcPr>
              <w:p w14:paraId="100EA2D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1C88EB3E"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4BB56FA8"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0A895A7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9.94p</w:t>
                </w:r>
              </w:p>
            </w:tc>
            <w:tc>
              <w:tcPr>
                <w:tcW w:w="119" w:type="pct"/>
                <w:shd w:val="clear" w:color="auto" w:fill="auto"/>
                <w:noWrap/>
                <w:vAlign w:val="bottom"/>
                <w:hideMark/>
              </w:tcPr>
              <w:p w14:paraId="526090A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2388E6F3" w14:textId="77777777" w:rsidTr="00C444E6">
            <w:trPr>
              <w:trHeight w:val="252"/>
            </w:trPr>
            <w:tc>
              <w:tcPr>
                <w:tcW w:w="2580" w:type="pct"/>
                <w:shd w:val="clear" w:color="auto" w:fill="auto"/>
                <w:noWrap/>
                <w:vAlign w:val="center"/>
                <w:hideMark/>
              </w:tcPr>
              <w:p w14:paraId="7A41B693"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Diluted</w:t>
                </w:r>
              </w:p>
            </w:tc>
            <w:tc>
              <w:tcPr>
                <w:tcW w:w="202" w:type="pct"/>
                <w:shd w:val="clear" w:color="auto" w:fill="auto"/>
                <w:noWrap/>
                <w:vAlign w:val="center"/>
                <w:hideMark/>
              </w:tcPr>
              <w:p w14:paraId="460621B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w:t>
                </w:r>
              </w:p>
            </w:tc>
            <w:tc>
              <w:tcPr>
                <w:tcW w:w="331" w:type="pct"/>
                <w:shd w:val="clear" w:color="000000" w:fill="E2E5F3"/>
                <w:noWrap/>
                <w:vAlign w:val="center"/>
                <w:hideMark/>
              </w:tcPr>
              <w:p w14:paraId="744803C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09C5E02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07342F2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16.56p</w:t>
                </w:r>
              </w:p>
            </w:tc>
            <w:tc>
              <w:tcPr>
                <w:tcW w:w="80" w:type="pct"/>
                <w:shd w:val="clear" w:color="auto" w:fill="auto"/>
                <w:noWrap/>
                <w:vAlign w:val="center"/>
                <w:hideMark/>
              </w:tcPr>
              <w:p w14:paraId="7800AFFE"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4D6CAD8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19" w:type="pct"/>
                <w:shd w:val="clear" w:color="auto" w:fill="auto"/>
                <w:noWrap/>
                <w:vAlign w:val="center"/>
                <w:hideMark/>
              </w:tcPr>
              <w:p w14:paraId="5D497FB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auto" w:fill="auto"/>
                <w:noWrap/>
                <w:vAlign w:val="center"/>
                <w:hideMark/>
              </w:tcPr>
              <w:p w14:paraId="67B646E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9.85p</w:t>
                </w:r>
              </w:p>
            </w:tc>
            <w:tc>
              <w:tcPr>
                <w:tcW w:w="119" w:type="pct"/>
                <w:shd w:val="clear" w:color="auto" w:fill="auto"/>
                <w:noWrap/>
                <w:vAlign w:val="bottom"/>
                <w:hideMark/>
              </w:tcPr>
              <w:p w14:paraId="56CA220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3DA051E1" w14:textId="77777777" w:rsidTr="00C444E6">
            <w:trPr>
              <w:trHeight w:val="240"/>
            </w:trPr>
            <w:tc>
              <w:tcPr>
                <w:tcW w:w="2580" w:type="pct"/>
                <w:shd w:val="clear" w:color="auto" w:fill="auto"/>
                <w:noWrap/>
                <w:vAlign w:val="center"/>
                <w:hideMark/>
              </w:tcPr>
              <w:p w14:paraId="5610C1C8"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202" w:type="pct"/>
                <w:shd w:val="clear" w:color="auto" w:fill="auto"/>
                <w:noWrap/>
                <w:vAlign w:val="center"/>
                <w:hideMark/>
              </w:tcPr>
              <w:p w14:paraId="5BE6F6C3"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331" w:type="pct"/>
                <w:shd w:val="clear" w:color="000000" w:fill="E2E5F3"/>
                <w:noWrap/>
                <w:vAlign w:val="center"/>
                <w:hideMark/>
              </w:tcPr>
              <w:p w14:paraId="4695804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706679F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266284C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2C8B894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001D2B61"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7A15D485"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3286D992"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7A55837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3FDD77E2" w14:textId="77777777" w:rsidTr="00C444E6">
            <w:trPr>
              <w:trHeight w:val="240"/>
            </w:trPr>
            <w:tc>
              <w:tcPr>
                <w:tcW w:w="2580" w:type="pct"/>
                <w:shd w:val="clear" w:color="auto" w:fill="auto"/>
                <w:noWrap/>
                <w:vAlign w:val="center"/>
                <w:hideMark/>
              </w:tcPr>
              <w:p w14:paraId="4A71F7AF"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Earnings per share from continuing operations</w:t>
                </w:r>
              </w:p>
            </w:tc>
            <w:tc>
              <w:tcPr>
                <w:tcW w:w="202" w:type="pct"/>
                <w:shd w:val="clear" w:color="auto" w:fill="auto"/>
                <w:noWrap/>
                <w:vAlign w:val="center"/>
                <w:hideMark/>
              </w:tcPr>
              <w:p w14:paraId="1137D157"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331" w:type="pct"/>
                <w:shd w:val="clear" w:color="000000" w:fill="E2E5F3"/>
                <w:noWrap/>
                <w:vAlign w:val="center"/>
                <w:hideMark/>
              </w:tcPr>
              <w:p w14:paraId="2566A52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6DDA01D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5F854B9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80" w:type="pct"/>
                <w:shd w:val="clear" w:color="auto" w:fill="auto"/>
                <w:noWrap/>
                <w:vAlign w:val="center"/>
                <w:hideMark/>
              </w:tcPr>
              <w:p w14:paraId="17B148B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073EF65D"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157E0084"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1DE67A4F"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119" w:type="pct"/>
                <w:shd w:val="clear" w:color="auto" w:fill="auto"/>
                <w:noWrap/>
                <w:vAlign w:val="bottom"/>
                <w:hideMark/>
              </w:tcPr>
              <w:p w14:paraId="2DEEDE93"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r>
          <w:tr w:rsidR="00C444E6" w:rsidRPr="00C444E6" w14:paraId="399DDA7C" w14:textId="77777777" w:rsidTr="00C444E6">
            <w:trPr>
              <w:trHeight w:val="240"/>
            </w:trPr>
            <w:tc>
              <w:tcPr>
                <w:tcW w:w="2580" w:type="pct"/>
                <w:shd w:val="clear" w:color="auto" w:fill="auto"/>
                <w:noWrap/>
                <w:vAlign w:val="center"/>
                <w:hideMark/>
              </w:tcPr>
              <w:p w14:paraId="2E4CE1B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Basic</w:t>
                </w:r>
              </w:p>
            </w:tc>
            <w:tc>
              <w:tcPr>
                <w:tcW w:w="202" w:type="pct"/>
                <w:shd w:val="clear" w:color="auto" w:fill="auto"/>
                <w:noWrap/>
                <w:vAlign w:val="center"/>
                <w:hideMark/>
              </w:tcPr>
              <w:p w14:paraId="567BB6F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w:t>
                </w:r>
              </w:p>
            </w:tc>
            <w:tc>
              <w:tcPr>
                <w:tcW w:w="331" w:type="pct"/>
                <w:shd w:val="clear" w:color="000000" w:fill="E2E5F3"/>
                <w:noWrap/>
                <w:vAlign w:val="center"/>
                <w:hideMark/>
              </w:tcPr>
              <w:p w14:paraId="6327163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6D8D33A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5D041D9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24.80p</w:t>
                </w:r>
              </w:p>
            </w:tc>
            <w:tc>
              <w:tcPr>
                <w:tcW w:w="80" w:type="pct"/>
                <w:shd w:val="clear" w:color="auto" w:fill="auto"/>
                <w:noWrap/>
                <w:vAlign w:val="center"/>
                <w:hideMark/>
              </w:tcPr>
              <w:p w14:paraId="01EFBDB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c>
              <w:tcPr>
                <w:tcW w:w="306" w:type="pct"/>
                <w:shd w:val="clear" w:color="auto" w:fill="auto"/>
                <w:noWrap/>
                <w:vAlign w:val="center"/>
                <w:hideMark/>
              </w:tcPr>
              <w:p w14:paraId="654DCE2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419" w:type="pct"/>
                <w:shd w:val="clear" w:color="auto" w:fill="auto"/>
                <w:noWrap/>
                <w:vAlign w:val="center"/>
                <w:hideMark/>
              </w:tcPr>
              <w:p w14:paraId="74E987C0" w14:textId="77777777" w:rsidR="00C444E6" w:rsidRPr="00C444E6" w:rsidRDefault="00C444E6" w:rsidP="00C444E6">
                <w:pPr>
                  <w:spacing w:after="0" w:line="240" w:lineRule="auto"/>
                  <w:jc w:val="right"/>
                  <w:rPr>
                    <w:rFonts w:ascii="Times New Roman" w:eastAsia="Times New Roman" w:hAnsi="Times New Roman" w:cs="Times New Roman"/>
                    <w:sz w:val="20"/>
                    <w:szCs w:val="20"/>
                    <w:lang w:val="en-IN" w:eastAsia="en-IN"/>
                  </w:rPr>
                </w:pPr>
              </w:p>
            </w:tc>
            <w:tc>
              <w:tcPr>
                <w:tcW w:w="306" w:type="pct"/>
                <w:shd w:val="clear" w:color="auto" w:fill="auto"/>
                <w:noWrap/>
                <w:vAlign w:val="center"/>
                <w:hideMark/>
              </w:tcPr>
              <w:p w14:paraId="3E09D7B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8.89p</w:t>
                </w:r>
              </w:p>
            </w:tc>
            <w:tc>
              <w:tcPr>
                <w:tcW w:w="119" w:type="pct"/>
                <w:shd w:val="clear" w:color="auto" w:fill="auto"/>
                <w:noWrap/>
                <w:vAlign w:val="bottom"/>
                <w:hideMark/>
              </w:tcPr>
              <w:p w14:paraId="1AA4A6C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30447B2D" w14:textId="77777777" w:rsidTr="00C444E6">
            <w:trPr>
              <w:trHeight w:val="252"/>
            </w:trPr>
            <w:tc>
              <w:tcPr>
                <w:tcW w:w="2580" w:type="pct"/>
                <w:shd w:val="clear" w:color="auto" w:fill="auto"/>
                <w:noWrap/>
                <w:vAlign w:val="center"/>
                <w:hideMark/>
              </w:tcPr>
              <w:p w14:paraId="77D38C81"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Diluted</w:t>
                </w:r>
              </w:p>
            </w:tc>
            <w:tc>
              <w:tcPr>
                <w:tcW w:w="202" w:type="pct"/>
                <w:shd w:val="clear" w:color="auto" w:fill="auto"/>
                <w:noWrap/>
                <w:vAlign w:val="center"/>
                <w:hideMark/>
              </w:tcPr>
              <w:p w14:paraId="09C2195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w:t>
                </w:r>
              </w:p>
            </w:tc>
            <w:tc>
              <w:tcPr>
                <w:tcW w:w="331" w:type="pct"/>
                <w:shd w:val="clear" w:color="000000" w:fill="E2E5F3"/>
                <w:noWrap/>
                <w:vAlign w:val="center"/>
                <w:hideMark/>
              </w:tcPr>
              <w:p w14:paraId="7651F3F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50" w:type="pct"/>
                <w:shd w:val="clear" w:color="000000" w:fill="E2E5F3"/>
                <w:noWrap/>
                <w:vAlign w:val="center"/>
                <w:hideMark/>
              </w:tcPr>
              <w:p w14:paraId="410A409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000000" w:fill="E2E5F3"/>
                <w:noWrap/>
                <w:vAlign w:val="center"/>
                <w:hideMark/>
              </w:tcPr>
              <w:p w14:paraId="415DFC9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24.53p</w:t>
                </w:r>
              </w:p>
            </w:tc>
            <w:tc>
              <w:tcPr>
                <w:tcW w:w="80" w:type="pct"/>
                <w:shd w:val="clear" w:color="auto" w:fill="auto"/>
                <w:noWrap/>
                <w:vAlign w:val="center"/>
                <w:hideMark/>
              </w:tcPr>
              <w:p w14:paraId="4DAFE4C0"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306" w:type="pct"/>
                <w:shd w:val="clear" w:color="auto" w:fill="auto"/>
                <w:noWrap/>
                <w:vAlign w:val="center"/>
                <w:hideMark/>
              </w:tcPr>
              <w:p w14:paraId="6FE786E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19" w:type="pct"/>
                <w:shd w:val="clear" w:color="auto" w:fill="auto"/>
                <w:noWrap/>
                <w:vAlign w:val="center"/>
                <w:hideMark/>
              </w:tcPr>
              <w:p w14:paraId="202FD82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306" w:type="pct"/>
                <w:shd w:val="clear" w:color="auto" w:fill="auto"/>
                <w:noWrap/>
                <w:vAlign w:val="center"/>
                <w:hideMark/>
              </w:tcPr>
              <w:p w14:paraId="6684813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8.81p</w:t>
                </w:r>
              </w:p>
            </w:tc>
            <w:tc>
              <w:tcPr>
                <w:tcW w:w="119" w:type="pct"/>
                <w:shd w:val="clear" w:color="auto" w:fill="auto"/>
                <w:noWrap/>
                <w:vAlign w:val="bottom"/>
                <w:hideMark/>
              </w:tcPr>
              <w:p w14:paraId="045E49D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bl>
        <w:p w14:paraId="13E463C4" w14:textId="77777777" w:rsidR="00C444E6" w:rsidRPr="00C444E6" w:rsidRDefault="00C444E6" w:rsidP="00C444E6"/>
        <w:p w14:paraId="76A22111" w14:textId="1929F7ED" w:rsidR="00C444E6" w:rsidRDefault="00C444E6" w:rsidP="00C444E6">
          <w:pPr>
            <w:pStyle w:val="Heading2"/>
            <w:rPr>
              <w:rFonts w:ascii="Times New Roman" w:hAnsi="Times New Roman" w:cs="Times New Roman"/>
              <w:color w:val="000000" w:themeColor="text1"/>
              <w:sz w:val="24"/>
              <w:szCs w:val="24"/>
              <w:u w:val="single"/>
            </w:rPr>
          </w:pPr>
          <w:bookmarkStart w:id="84" w:name="_Toc186239375"/>
          <w:r w:rsidRPr="00C444E6">
            <w:rPr>
              <w:rFonts w:ascii="Times New Roman" w:hAnsi="Times New Roman" w:cs="Times New Roman"/>
              <w:color w:val="000000" w:themeColor="text1"/>
              <w:sz w:val="24"/>
              <w:szCs w:val="24"/>
              <w:u w:val="single"/>
            </w:rPr>
            <w:t>Appendices 1</w:t>
          </w:r>
          <w:r>
            <w:rPr>
              <w:rFonts w:ascii="Times New Roman" w:hAnsi="Times New Roman" w:cs="Times New Roman"/>
              <w:color w:val="000000" w:themeColor="text1"/>
              <w:sz w:val="24"/>
              <w:szCs w:val="24"/>
              <w:u w:val="single"/>
            </w:rPr>
            <w:t>1</w:t>
          </w:r>
          <w:r w:rsidRPr="00C444E6">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Balance Sheet</w:t>
          </w:r>
          <w:bookmarkEnd w:id="84"/>
          <w:r>
            <w:rPr>
              <w:rFonts w:ascii="Times New Roman" w:hAnsi="Times New Roman" w:cs="Times New Roman"/>
              <w:color w:val="000000" w:themeColor="text1"/>
              <w:sz w:val="24"/>
              <w:szCs w:val="24"/>
              <w:u w:val="single"/>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45"/>
            <w:gridCol w:w="827"/>
            <w:gridCol w:w="1015"/>
            <w:gridCol w:w="1029"/>
          </w:tblGrid>
          <w:tr w:rsidR="00C444E6" w:rsidRPr="00C444E6" w14:paraId="76DDE0D0" w14:textId="77777777" w:rsidTr="00C444E6">
            <w:trPr>
              <w:trHeight w:val="360"/>
            </w:trPr>
            <w:tc>
              <w:tcPr>
                <w:tcW w:w="3412" w:type="pct"/>
                <w:shd w:val="clear" w:color="auto" w:fill="auto"/>
                <w:noWrap/>
                <w:vAlign w:val="bottom"/>
                <w:hideMark/>
              </w:tcPr>
              <w:p w14:paraId="0648869F" w14:textId="77777777" w:rsidR="00C444E6" w:rsidRPr="00C444E6" w:rsidRDefault="00C444E6" w:rsidP="00C444E6">
                <w:pPr>
                  <w:spacing w:after="0" w:line="240" w:lineRule="auto"/>
                  <w:rPr>
                    <w:rFonts w:ascii="Calibri" w:eastAsia="Times New Roman" w:hAnsi="Calibri" w:cs="Calibri"/>
                    <w:b/>
                    <w:bCs/>
                    <w:color w:val="000000"/>
                    <w:sz w:val="28"/>
                    <w:szCs w:val="28"/>
                    <w:lang w:val="en-IN" w:eastAsia="en-IN"/>
                  </w:rPr>
                </w:pPr>
                <w:r w:rsidRPr="00C444E6">
                  <w:rPr>
                    <w:rFonts w:ascii="Calibri" w:eastAsia="Times New Roman" w:hAnsi="Calibri" w:cs="Calibri"/>
                    <w:b/>
                    <w:bCs/>
                    <w:color w:val="000000"/>
                    <w:sz w:val="28"/>
                    <w:szCs w:val="28"/>
                    <w:lang w:val="en-IN" w:eastAsia="en-IN"/>
                  </w:rPr>
                  <w:t>Group balance sheet</w:t>
                </w:r>
              </w:p>
            </w:tc>
            <w:tc>
              <w:tcPr>
                <w:tcW w:w="463" w:type="pct"/>
                <w:shd w:val="clear" w:color="auto" w:fill="auto"/>
                <w:noWrap/>
                <w:vAlign w:val="bottom"/>
                <w:hideMark/>
              </w:tcPr>
              <w:p w14:paraId="27613072" w14:textId="77777777" w:rsidR="00C444E6" w:rsidRPr="00C444E6" w:rsidRDefault="00C444E6" w:rsidP="00C444E6">
                <w:pPr>
                  <w:spacing w:after="0" w:line="240" w:lineRule="auto"/>
                  <w:rPr>
                    <w:rFonts w:ascii="Calibri" w:eastAsia="Times New Roman" w:hAnsi="Calibri" w:cs="Calibri"/>
                    <w:b/>
                    <w:bCs/>
                    <w:color w:val="000000"/>
                    <w:sz w:val="28"/>
                    <w:szCs w:val="28"/>
                    <w:lang w:val="en-IN" w:eastAsia="en-IN"/>
                  </w:rPr>
                </w:pPr>
              </w:p>
            </w:tc>
            <w:tc>
              <w:tcPr>
                <w:tcW w:w="567" w:type="pct"/>
                <w:shd w:val="clear" w:color="auto" w:fill="auto"/>
                <w:noWrap/>
                <w:vAlign w:val="bottom"/>
                <w:hideMark/>
              </w:tcPr>
              <w:p w14:paraId="568C3F1C"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558" w:type="pct"/>
                <w:shd w:val="clear" w:color="auto" w:fill="auto"/>
                <w:noWrap/>
                <w:vAlign w:val="bottom"/>
                <w:hideMark/>
              </w:tcPr>
              <w:p w14:paraId="5D5DE9C4"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r>
          <w:tr w:rsidR="00C444E6" w:rsidRPr="00C444E6" w14:paraId="08609502" w14:textId="77777777" w:rsidTr="00C444E6">
            <w:trPr>
              <w:trHeight w:val="480"/>
            </w:trPr>
            <w:tc>
              <w:tcPr>
                <w:tcW w:w="3412" w:type="pct"/>
                <w:vMerge w:val="restart"/>
                <w:shd w:val="clear" w:color="auto" w:fill="auto"/>
                <w:noWrap/>
                <w:vAlign w:val="center"/>
                <w:hideMark/>
              </w:tcPr>
              <w:p w14:paraId="390678E2"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463" w:type="pct"/>
                <w:vMerge w:val="restart"/>
                <w:shd w:val="clear" w:color="auto" w:fill="auto"/>
                <w:vAlign w:val="bottom"/>
                <w:hideMark/>
              </w:tcPr>
              <w:p w14:paraId="4858508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Notes</w:t>
                </w:r>
              </w:p>
            </w:tc>
            <w:tc>
              <w:tcPr>
                <w:tcW w:w="567" w:type="pct"/>
                <w:shd w:val="clear" w:color="000000" w:fill="E2E5F3"/>
                <w:vAlign w:val="center"/>
                <w:hideMark/>
              </w:tcPr>
              <w:p w14:paraId="7F16A12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 February 2024</w:t>
                </w:r>
              </w:p>
            </w:tc>
            <w:tc>
              <w:tcPr>
                <w:tcW w:w="558" w:type="pct"/>
                <w:shd w:val="clear" w:color="auto" w:fill="auto"/>
                <w:vAlign w:val="center"/>
                <w:hideMark/>
              </w:tcPr>
              <w:p w14:paraId="22328D3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25 February 2023</w:t>
                </w:r>
              </w:p>
            </w:tc>
          </w:tr>
          <w:tr w:rsidR="00C444E6" w:rsidRPr="00C444E6" w14:paraId="64653E52" w14:textId="77777777" w:rsidTr="00C444E6">
            <w:trPr>
              <w:trHeight w:val="288"/>
            </w:trPr>
            <w:tc>
              <w:tcPr>
                <w:tcW w:w="3412" w:type="pct"/>
                <w:vMerge/>
                <w:vAlign w:val="center"/>
                <w:hideMark/>
              </w:tcPr>
              <w:p w14:paraId="7C41244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463" w:type="pct"/>
                <w:vMerge/>
                <w:vAlign w:val="center"/>
                <w:hideMark/>
              </w:tcPr>
              <w:p w14:paraId="6A19744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567" w:type="pct"/>
                <w:shd w:val="clear" w:color="000000" w:fill="E2E5F3"/>
                <w:vAlign w:val="center"/>
                <w:hideMark/>
              </w:tcPr>
              <w:p w14:paraId="6D8DF84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58" w:type="pct"/>
                <w:shd w:val="clear" w:color="auto" w:fill="auto"/>
                <w:vAlign w:val="center"/>
                <w:hideMark/>
              </w:tcPr>
              <w:p w14:paraId="7A7B39C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(restated*)</w:t>
                </w:r>
              </w:p>
            </w:tc>
          </w:tr>
          <w:tr w:rsidR="00C444E6" w:rsidRPr="00C444E6" w14:paraId="0E8F4BAB" w14:textId="77777777" w:rsidTr="00C444E6">
            <w:trPr>
              <w:trHeight w:val="300"/>
            </w:trPr>
            <w:tc>
              <w:tcPr>
                <w:tcW w:w="3412" w:type="pct"/>
                <w:vMerge/>
                <w:vAlign w:val="center"/>
                <w:hideMark/>
              </w:tcPr>
              <w:p w14:paraId="1B14A955"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463" w:type="pct"/>
                <w:vMerge/>
                <w:vAlign w:val="center"/>
                <w:hideMark/>
              </w:tcPr>
              <w:p w14:paraId="02B0D7AE"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567" w:type="pct"/>
                <w:shd w:val="clear" w:color="000000" w:fill="E2E5F3"/>
                <w:vAlign w:val="center"/>
                <w:hideMark/>
              </w:tcPr>
              <w:p w14:paraId="554EF1B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£m</w:t>
                </w:r>
              </w:p>
            </w:tc>
            <w:tc>
              <w:tcPr>
                <w:tcW w:w="558" w:type="pct"/>
                <w:shd w:val="clear" w:color="auto" w:fill="auto"/>
                <w:vAlign w:val="center"/>
                <w:hideMark/>
              </w:tcPr>
              <w:p w14:paraId="509C12E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£m</w:t>
                </w:r>
              </w:p>
            </w:tc>
          </w:tr>
          <w:tr w:rsidR="00C444E6" w:rsidRPr="00C444E6" w14:paraId="4ACACAAA" w14:textId="77777777" w:rsidTr="00C444E6">
            <w:trPr>
              <w:trHeight w:val="288"/>
            </w:trPr>
            <w:tc>
              <w:tcPr>
                <w:tcW w:w="3412" w:type="pct"/>
                <w:shd w:val="clear" w:color="auto" w:fill="auto"/>
                <w:noWrap/>
                <w:vAlign w:val="center"/>
                <w:hideMark/>
              </w:tcPr>
              <w:p w14:paraId="2A56A7BA"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Non-current assets</w:t>
                </w:r>
              </w:p>
            </w:tc>
            <w:tc>
              <w:tcPr>
                <w:tcW w:w="463" w:type="pct"/>
                <w:shd w:val="clear" w:color="auto" w:fill="auto"/>
                <w:vAlign w:val="center"/>
                <w:hideMark/>
              </w:tcPr>
              <w:p w14:paraId="596D64C8"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567" w:type="pct"/>
                <w:shd w:val="clear" w:color="000000" w:fill="E2E5F3"/>
                <w:vAlign w:val="center"/>
                <w:hideMark/>
              </w:tcPr>
              <w:p w14:paraId="54C0412B"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r w:rsidRPr="00C444E6">
                  <w:rPr>
                    <w:rFonts w:ascii="Calibri" w:eastAsia="Times New Roman" w:hAnsi="Calibri" w:cs="Calibri"/>
                    <w:sz w:val="18"/>
                    <w:szCs w:val="18"/>
                    <w:lang w:val="en-IN" w:eastAsia="en-IN"/>
                  </w:rPr>
                  <w:t> </w:t>
                </w:r>
              </w:p>
            </w:tc>
            <w:tc>
              <w:tcPr>
                <w:tcW w:w="558" w:type="pct"/>
                <w:shd w:val="clear" w:color="auto" w:fill="auto"/>
                <w:vAlign w:val="center"/>
                <w:hideMark/>
              </w:tcPr>
              <w:p w14:paraId="6E90F9C4" w14:textId="77777777" w:rsidR="00C444E6" w:rsidRPr="00C444E6" w:rsidRDefault="00C444E6" w:rsidP="00C444E6">
                <w:pPr>
                  <w:spacing w:after="0" w:line="240" w:lineRule="auto"/>
                  <w:jc w:val="right"/>
                  <w:rPr>
                    <w:rFonts w:ascii="Calibri" w:eastAsia="Times New Roman" w:hAnsi="Calibri" w:cs="Calibri"/>
                    <w:sz w:val="18"/>
                    <w:szCs w:val="18"/>
                    <w:lang w:val="en-IN" w:eastAsia="en-IN"/>
                  </w:rPr>
                </w:pPr>
              </w:p>
            </w:tc>
          </w:tr>
          <w:tr w:rsidR="00C444E6" w:rsidRPr="00C444E6" w14:paraId="1881D6F8" w14:textId="77777777" w:rsidTr="00C444E6">
            <w:trPr>
              <w:trHeight w:val="288"/>
            </w:trPr>
            <w:tc>
              <w:tcPr>
                <w:tcW w:w="3412" w:type="pct"/>
                <w:shd w:val="clear" w:color="auto" w:fill="auto"/>
                <w:noWrap/>
                <w:vAlign w:val="center"/>
                <w:hideMark/>
              </w:tcPr>
              <w:p w14:paraId="60CDBC57"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Goodwill and other intangible assets</w:t>
                </w:r>
              </w:p>
            </w:tc>
            <w:tc>
              <w:tcPr>
                <w:tcW w:w="463" w:type="pct"/>
                <w:shd w:val="clear" w:color="auto" w:fill="auto"/>
                <w:vAlign w:val="center"/>
                <w:hideMark/>
              </w:tcPr>
              <w:p w14:paraId="4FBF349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10</w:t>
                </w:r>
              </w:p>
            </w:tc>
            <w:tc>
              <w:tcPr>
                <w:tcW w:w="567" w:type="pct"/>
                <w:shd w:val="clear" w:color="000000" w:fill="E2E5F3"/>
                <w:vAlign w:val="center"/>
                <w:hideMark/>
              </w:tcPr>
              <w:p w14:paraId="7552512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5,066</w:t>
                </w:r>
              </w:p>
            </w:tc>
            <w:tc>
              <w:tcPr>
                <w:tcW w:w="558" w:type="pct"/>
                <w:shd w:val="clear" w:color="auto" w:fill="auto"/>
                <w:vAlign w:val="center"/>
                <w:hideMark/>
              </w:tcPr>
              <w:p w14:paraId="720081D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5,375</w:t>
                </w:r>
              </w:p>
            </w:tc>
          </w:tr>
          <w:tr w:rsidR="00C444E6" w:rsidRPr="00C444E6" w14:paraId="5A69185A" w14:textId="77777777" w:rsidTr="00C444E6">
            <w:trPr>
              <w:trHeight w:val="288"/>
            </w:trPr>
            <w:tc>
              <w:tcPr>
                <w:tcW w:w="3412" w:type="pct"/>
                <w:shd w:val="clear" w:color="auto" w:fill="auto"/>
                <w:noWrap/>
                <w:vAlign w:val="center"/>
                <w:hideMark/>
              </w:tcPr>
              <w:p w14:paraId="4820B50C"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Property, plant and equipment</w:t>
                </w:r>
              </w:p>
            </w:tc>
            <w:tc>
              <w:tcPr>
                <w:tcW w:w="463" w:type="pct"/>
                <w:shd w:val="clear" w:color="auto" w:fill="auto"/>
                <w:vAlign w:val="center"/>
                <w:hideMark/>
              </w:tcPr>
              <w:p w14:paraId="29CE55B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11</w:t>
                </w:r>
              </w:p>
            </w:tc>
            <w:tc>
              <w:tcPr>
                <w:tcW w:w="567" w:type="pct"/>
                <w:shd w:val="clear" w:color="000000" w:fill="E2E5F3"/>
                <w:vAlign w:val="center"/>
                <w:hideMark/>
              </w:tcPr>
              <w:p w14:paraId="6BBC1F5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17,221</w:t>
                </w:r>
              </w:p>
            </w:tc>
            <w:tc>
              <w:tcPr>
                <w:tcW w:w="558" w:type="pct"/>
                <w:shd w:val="clear" w:color="auto" w:fill="auto"/>
                <w:vAlign w:val="center"/>
                <w:hideMark/>
              </w:tcPr>
              <w:p w14:paraId="2B0ADA6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16,862</w:t>
                </w:r>
              </w:p>
            </w:tc>
          </w:tr>
          <w:tr w:rsidR="00C444E6" w:rsidRPr="00C444E6" w14:paraId="411A8C9B" w14:textId="77777777" w:rsidTr="00C444E6">
            <w:trPr>
              <w:trHeight w:val="288"/>
            </w:trPr>
            <w:tc>
              <w:tcPr>
                <w:tcW w:w="3412" w:type="pct"/>
                <w:shd w:val="clear" w:color="auto" w:fill="auto"/>
                <w:noWrap/>
                <w:vAlign w:val="center"/>
                <w:hideMark/>
              </w:tcPr>
              <w:p w14:paraId="0CD80F5D"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Right of use assets</w:t>
                </w:r>
              </w:p>
            </w:tc>
            <w:tc>
              <w:tcPr>
                <w:tcW w:w="463" w:type="pct"/>
                <w:shd w:val="clear" w:color="auto" w:fill="auto"/>
                <w:vAlign w:val="center"/>
                <w:hideMark/>
              </w:tcPr>
              <w:p w14:paraId="57D20E0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12</w:t>
                </w:r>
              </w:p>
            </w:tc>
            <w:tc>
              <w:tcPr>
                <w:tcW w:w="567" w:type="pct"/>
                <w:shd w:val="clear" w:color="000000" w:fill="E2E5F3"/>
                <w:vAlign w:val="center"/>
                <w:hideMark/>
              </w:tcPr>
              <w:p w14:paraId="3070A83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5,478</w:t>
                </w:r>
              </w:p>
            </w:tc>
            <w:tc>
              <w:tcPr>
                <w:tcW w:w="558" w:type="pct"/>
                <w:shd w:val="clear" w:color="auto" w:fill="auto"/>
                <w:vAlign w:val="center"/>
                <w:hideMark/>
              </w:tcPr>
              <w:p w14:paraId="6CF2FE8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5,500</w:t>
                </w:r>
              </w:p>
            </w:tc>
          </w:tr>
          <w:tr w:rsidR="00C444E6" w:rsidRPr="00C444E6" w14:paraId="5B981D68" w14:textId="77777777" w:rsidTr="00C444E6">
            <w:trPr>
              <w:trHeight w:val="288"/>
            </w:trPr>
            <w:tc>
              <w:tcPr>
                <w:tcW w:w="3412" w:type="pct"/>
                <w:shd w:val="clear" w:color="auto" w:fill="auto"/>
                <w:noWrap/>
                <w:vAlign w:val="center"/>
                <w:hideMark/>
              </w:tcPr>
              <w:p w14:paraId="3290E5F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Investment property</w:t>
                </w:r>
              </w:p>
            </w:tc>
            <w:tc>
              <w:tcPr>
                <w:tcW w:w="463" w:type="pct"/>
                <w:shd w:val="clear" w:color="auto" w:fill="auto"/>
                <w:vAlign w:val="center"/>
                <w:hideMark/>
              </w:tcPr>
              <w:p w14:paraId="7BD2C510"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567" w:type="pct"/>
                <w:shd w:val="clear" w:color="000000" w:fill="E2E5F3"/>
                <w:vAlign w:val="center"/>
                <w:hideMark/>
              </w:tcPr>
              <w:p w14:paraId="5FDEE79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w:t>
                </w:r>
              </w:p>
            </w:tc>
            <w:tc>
              <w:tcPr>
                <w:tcW w:w="558" w:type="pct"/>
                <w:shd w:val="clear" w:color="auto" w:fill="auto"/>
                <w:vAlign w:val="center"/>
                <w:hideMark/>
              </w:tcPr>
              <w:p w14:paraId="056700D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w:t>
                </w:r>
              </w:p>
            </w:tc>
          </w:tr>
          <w:tr w:rsidR="00C444E6" w:rsidRPr="00C444E6" w14:paraId="1C791A83" w14:textId="77777777" w:rsidTr="00C444E6">
            <w:trPr>
              <w:trHeight w:val="288"/>
            </w:trPr>
            <w:tc>
              <w:tcPr>
                <w:tcW w:w="3412" w:type="pct"/>
                <w:shd w:val="clear" w:color="auto" w:fill="auto"/>
                <w:noWrap/>
                <w:vAlign w:val="center"/>
                <w:hideMark/>
              </w:tcPr>
              <w:p w14:paraId="75AD0ECC"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Investments in joint ventures and associates</w:t>
                </w:r>
              </w:p>
            </w:tc>
            <w:tc>
              <w:tcPr>
                <w:tcW w:w="463" w:type="pct"/>
                <w:shd w:val="clear" w:color="auto" w:fill="auto"/>
                <w:vAlign w:val="center"/>
                <w:hideMark/>
              </w:tcPr>
              <w:p w14:paraId="0B1D972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13</w:t>
                </w:r>
              </w:p>
            </w:tc>
            <w:tc>
              <w:tcPr>
                <w:tcW w:w="567" w:type="pct"/>
                <w:shd w:val="clear" w:color="000000" w:fill="E2E5F3"/>
                <w:vAlign w:val="center"/>
                <w:hideMark/>
              </w:tcPr>
              <w:p w14:paraId="093C948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102</w:t>
                </w:r>
              </w:p>
            </w:tc>
            <w:tc>
              <w:tcPr>
                <w:tcW w:w="558" w:type="pct"/>
                <w:shd w:val="clear" w:color="auto" w:fill="auto"/>
                <w:vAlign w:val="center"/>
                <w:hideMark/>
              </w:tcPr>
              <w:p w14:paraId="7419CA7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93</w:t>
                </w:r>
              </w:p>
            </w:tc>
          </w:tr>
          <w:tr w:rsidR="00C444E6" w:rsidRPr="00C444E6" w14:paraId="772EA031" w14:textId="77777777" w:rsidTr="00C444E6">
            <w:trPr>
              <w:trHeight w:val="288"/>
            </w:trPr>
            <w:tc>
              <w:tcPr>
                <w:tcW w:w="3412" w:type="pct"/>
                <w:shd w:val="clear" w:color="auto" w:fill="auto"/>
                <w:noWrap/>
                <w:vAlign w:val="center"/>
                <w:hideMark/>
              </w:tcPr>
              <w:p w14:paraId="6CFAE0FD"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Other investments</w:t>
                </w:r>
              </w:p>
            </w:tc>
            <w:tc>
              <w:tcPr>
                <w:tcW w:w="463" w:type="pct"/>
                <w:shd w:val="clear" w:color="auto" w:fill="auto"/>
                <w:vAlign w:val="center"/>
                <w:hideMark/>
              </w:tcPr>
              <w:p w14:paraId="6F963C1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15</w:t>
                </w:r>
              </w:p>
            </w:tc>
            <w:tc>
              <w:tcPr>
                <w:tcW w:w="567" w:type="pct"/>
                <w:shd w:val="clear" w:color="000000" w:fill="E2E5F3"/>
                <w:vAlign w:val="center"/>
                <w:hideMark/>
              </w:tcPr>
              <w:p w14:paraId="718C846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1,546</w:t>
                </w:r>
              </w:p>
            </w:tc>
            <w:tc>
              <w:tcPr>
                <w:tcW w:w="558" w:type="pct"/>
                <w:shd w:val="clear" w:color="auto" w:fill="auto"/>
                <w:vAlign w:val="center"/>
                <w:hideMark/>
              </w:tcPr>
              <w:p w14:paraId="36BFCD2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1,339</w:t>
                </w:r>
              </w:p>
            </w:tc>
          </w:tr>
          <w:tr w:rsidR="00C444E6" w:rsidRPr="00C444E6" w14:paraId="2F64A003" w14:textId="77777777" w:rsidTr="00C444E6">
            <w:trPr>
              <w:trHeight w:val="288"/>
            </w:trPr>
            <w:tc>
              <w:tcPr>
                <w:tcW w:w="3412" w:type="pct"/>
                <w:shd w:val="clear" w:color="auto" w:fill="auto"/>
                <w:noWrap/>
                <w:vAlign w:val="center"/>
                <w:hideMark/>
              </w:tcPr>
              <w:p w14:paraId="52C4732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Trade and other receivables</w:t>
                </w:r>
              </w:p>
            </w:tc>
            <w:tc>
              <w:tcPr>
                <w:tcW w:w="463" w:type="pct"/>
                <w:shd w:val="clear" w:color="auto" w:fill="auto"/>
                <w:vAlign w:val="center"/>
                <w:hideMark/>
              </w:tcPr>
              <w:p w14:paraId="5581B89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17</w:t>
                </w:r>
              </w:p>
            </w:tc>
            <w:tc>
              <w:tcPr>
                <w:tcW w:w="567" w:type="pct"/>
                <w:shd w:val="clear" w:color="000000" w:fill="E2E5F3"/>
                <w:vAlign w:val="center"/>
                <w:hideMark/>
              </w:tcPr>
              <w:p w14:paraId="6C935F8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36</w:t>
                </w:r>
              </w:p>
            </w:tc>
            <w:tc>
              <w:tcPr>
                <w:tcW w:w="558" w:type="pct"/>
                <w:shd w:val="clear" w:color="auto" w:fill="auto"/>
                <w:vAlign w:val="center"/>
                <w:hideMark/>
              </w:tcPr>
              <w:p w14:paraId="6CC3D23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79</w:t>
                </w:r>
              </w:p>
            </w:tc>
          </w:tr>
          <w:tr w:rsidR="00C444E6" w:rsidRPr="00C444E6" w14:paraId="060A8023" w14:textId="77777777" w:rsidTr="00C444E6">
            <w:trPr>
              <w:trHeight w:val="288"/>
            </w:trPr>
            <w:tc>
              <w:tcPr>
                <w:tcW w:w="3412" w:type="pct"/>
                <w:shd w:val="clear" w:color="auto" w:fill="auto"/>
                <w:noWrap/>
                <w:vAlign w:val="center"/>
                <w:hideMark/>
              </w:tcPr>
              <w:p w14:paraId="425B5BB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Loans and advances to customers</w:t>
                </w:r>
              </w:p>
            </w:tc>
            <w:tc>
              <w:tcPr>
                <w:tcW w:w="463" w:type="pct"/>
                <w:shd w:val="clear" w:color="auto" w:fill="auto"/>
                <w:vAlign w:val="center"/>
                <w:hideMark/>
              </w:tcPr>
              <w:p w14:paraId="45D995E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23</w:t>
                </w:r>
              </w:p>
            </w:tc>
            <w:tc>
              <w:tcPr>
                <w:tcW w:w="567" w:type="pct"/>
                <w:shd w:val="clear" w:color="000000" w:fill="E2E5F3"/>
                <w:vAlign w:val="center"/>
                <w:hideMark/>
              </w:tcPr>
              <w:p w14:paraId="4757A6E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558" w:type="pct"/>
                <w:shd w:val="clear" w:color="auto" w:fill="auto"/>
                <w:vAlign w:val="center"/>
                <w:hideMark/>
              </w:tcPr>
              <w:p w14:paraId="08AA3D9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3,029</w:t>
                </w:r>
              </w:p>
            </w:tc>
          </w:tr>
          <w:tr w:rsidR="00C444E6" w:rsidRPr="00C444E6" w14:paraId="04B01F8C" w14:textId="77777777" w:rsidTr="00C444E6">
            <w:trPr>
              <w:trHeight w:val="288"/>
            </w:trPr>
            <w:tc>
              <w:tcPr>
                <w:tcW w:w="3412" w:type="pct"/>
                <w:shd w:val="clear" w:color="auto" w:fill="auto"/>
                <w:noWrap/>
                <w:vAlign w:val="center"/>
                <w:hideMark/>
              </w:tcPr>
              <w:p w14:paraId="5BE278DC"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Reinsurance contract assets</w:t>
                </w:r>
              </w:p>
            </w:tc>
            <w:tc>
              <w:tcPr>
                <w:tcW w:w="463" w:type="pct"/>
                <w:shd w:val="clear" w:color="auto" w:fill="auto"/>
                <w:vAlign w:val="center"/>
                <w:hideMark/>
              </w:tcPr>
              <w:p w14:paraId="1A4367F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w:t>
                </w:r>
              </w:p>
            </w:tc>
            <w:tc>
              <w:tcPr>
                <w:tcW w:w="567" w:type="pct"/>
                <w:shd w:val="clear" w:color="000000" w:fill="E2E5F3"/>
                <w:vAlign w:val="center"/>
                <w:hideMark/>
              </w:tcPr>
              <w:p w14:paraId="26F8329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125</w:t>
                </w:r>
              </w:p>
            </w:tc>
            <w:tc>
              <w:tcPr>
                <w:tcW w:w="558" w:type="pct"/>
                <w:shd w:val="clear" w:color="auto" w:fill="auto"/>
                <w:vAlign w:val="center"/>
                <w:hideMark/>
              </w:tcPr>
              <w:p w14:paraId="1ABAA09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135</w:t>
                </w:r>
              </w:p>
            </w:tc>
          </w:tr>
          <w:tr w:rsidR="00C444E6" w:rsidRPr="00C444E6" w14:paraId="494F18B2" w14:textId="77777777" w:rsidTr="00C444E6">
            <w:trPr>
              <w:trHeight w:val="288"/>
            </w:trPr>
            <w:tc>
              <w:tcPr>
                <w:tcW w:w="3412" w:type="pct"/>
                <w:shd w:val="clear" w:color="auto" w:fill="auto"/>
                <w:noWrap/>
                <w:vAlign w:val="center"/>
                <w:hideMark/>
              </w:tcPr>
              <w:p w14:paraId="73B6EB0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Derivative financial instruments</w:t>
                </w:r>
              </w:p>
            </w:tc>
            <w:tc>
              <w:tcPr>
                <w:tcW w:w="463" w:type="pct"/>
                <w:shd w:val="clear" w:color="auto" w:fill="auto"/>
                <w:vAlign w:val="center"/>
                <w:hideMark/>
              </w:tcPr>
              <w:p w14:paraId="4B63CCC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w:t>
                </w:r>
              </w:p>
            </w:tc>
            <w:tc>
              <w:tcPr>
                <w:tcW w:w="567" w:type="pct"/>
                <w:shd w:val="clear" w:color="000000" w:fill="E2E5F3"/>
                <w:vAlign w:val="center"/>
                <w:hideMark/>
              </w:tcPr>
              <w:p w14:paraId="4EB3C8B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781</w:t>
                </w:r>
              </w:p>
            </w:tc>
            <w:tc>
              <w:tcPr>
                <w:tcW w:w="558" w:type="pct"/>
                <w:shd w:val="clear" w:color="auto" w:fill="auto"/>
                <w:vAlign w:val="center"/>
                <w:hideMark/>
              </w:tcPr>
              <w:p w14:paraId="622890F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873</w:t>
                </w:r>
              </w:p>
            </w:tc>
          </w:tr>
          <w:tr w:rsidR="00C444E6" w:rsidRPr="00C444E6" w14:paraId="1335E779" w14:textId="77777777" w:rsidTr="00C444E6">
            <w:trPr>
              <w:trHeight w:val="288"/>
            </w:trPr>
            <w:tc>
              <w:tcPr>
                <w:tcW w:w="3412" w:type="pct"/>
                <w:shd w:val="clear" w:color="auto" w:fill="auto"/>
                <w:noWrap/>
                <w:vAlign w:val="center"/>
                <w:hideMark/>
              </w:tcPr>
              <w:p w14:paraId="7A7335E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Post-employment benefit surplus</w:t>
                </w:r>
              </w:p>
            </w:tc>
            <w:tc>
              <w:tcPr>
                <w:tcW w:w="463" w:type="pct"/>
                <w:shd w:val="clear" w:color="auto" w:fill="auto"/>
                <w:vAlign w:val="center"/>
                <w:hideMark/>
              </w:tcPr>
              <w:p w14:paraId="30E71B6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29</w:t>
                </w:r>
              </w:p>
            </w:tc>
            <w:tc>
              <w:tcPr>
                <w:tcW w:w="567" w:type="pct"/>
                <w:shd w:val="clear" w:color="000000" w:fill="E2E5F3"/>
                <w:vAlign w:val="center"/>
                <w:hideMark/>
              </w:tcPr>
              <w:p w14:paraId="2D134BC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22</w:t>
                </w:r>
              </w:p>
            </w:tc>
            <w:tc>
              <w:tcPr>
                <w:tcW w:w="558" w:type="pct"/>
                <w:shd w:val="clear" w:color="auto" w:fill="auto"/>
                <w:vAlign w:val="center"/>
                <w:hideMark/>
              </w:tcPr>
              <w:p w14:paraId="585014A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r>
          <w:tr w:rsidR="00C444E6" w:rsidRPr="00C444E6" w14:paraId="5E1E43FD" w14:textId="77777777" w:rsidTr="00C444E6">
            <w:trPr>
              <w:trHeight w:val="300"/>
            </w:trPr>
            <w:tc>
              <w:tcPr>
                <w:tcW w:w="3412" w:type="pct"/>
                <w:shd w:val="clear" w:color="auto" w:fill="auto"/>
                <w:noWrap/>
                <w:vAlign w:val="center"/>
                <w:hideMark/>
              </w:tcPr>
              <w:p w14:paraId="15FDD06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Deferred tax assets</w:t>
                </w:r>
              </w:p>
            </w:tc>
            <w:tc>
              <w:tcPr>
                <w:tcW w:w="463" w:type="pct"/>
                <w:shd w:val="clear" w:color="auto" w:fill="auto"/>
                <w:vAlign w:val="center"/>
                <w:hideMark/>
              </w:tcPr>
              <w:p w14:paraId="4530787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c>
              <w:tcPr>
                <w:tcW w:w="567" w:type="pct"/>
                <w:shd w:val="clear" w:color="000000" w:fill="E2E5F3"/>
                <w:vAlign w:val="center"/>
                <w:hideMark/>
              </w:tcPr>
              <w:p w14:paraId="6F89B1B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32</w:t>
                </w:r>
              </w:p>
            </w:tc>
            <w:tc>
              <w:tcPr>
                <w:tcW w:w="558" w:type="pct"/>
                <w:shd w:val="clear" w:color="auto" w:fill="auto"/>
                <w:vAlign w:val="center"/>
                <w:hideMark/>
              </w:tcPr>
              <w:p w14:paraId="107470F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84</w:t>
                </w:r>
              </w:p>
            </w:tc>
          </w:tr>
          <w:tr w:rsidR="00C444E6" w:rsidRPr="00C444E6" w14:paraId="0293971F" w14:textId="77777777" w:rsidTr="00C444E6">
            <w:trPr>
              <w:trHeight w:val="300"/>
            </w:trPr>
            <w:tc>
              <w:tcPr>
                <w:tcW w:w="3412" w:type="pct"/>
                <w:shd w:val="clear" w:color="auto" w:fill="auto"/>
                <w:noWrap/>
                <w:vAlign w:val="center"/>
                <w:hideMark/>
              </w:tcPr>
              <w:p w14:paraId="4A232AB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63" w:type="pct"/>
                <w:shd w:val="clear" w:color="auto" w:fill="auto"/>
                <w:vAlign w:val="center"/>
                <w:hideMark/>
              </w:tcPr>
              <w:p w14:paraId="422A4DE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6BFA685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30,433</w:t>
                </w:r>
              </w:p>
            </w:tc>
            <w:tc>
              <w:tcPr>
                <w:tcW w:w="558" w:type="pct"/>
                <w:shd w:val="clear" w:color="auto" w:fill="auto"/>
                <w:vAlign w:val="center"/>
                <w:hideMark/>
              </w:tcPr>
              <w:p w14:paraId="00817C8B"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33,399</w:t>
                </w:r>
              </w:p>
            </w:tc>
          </w:tr>
          <w:tr w:rsidR="00C444E6" w:rsidRPr="00C444E6" w14:paraId="00A0183C" w14:textId="77777777" w:rsidTr="00C444E6">
            <w:trPr>
              <w:trHeight w:val="288"/>
            </w:trPr>
            <w:tc>
              <w:tcPr>
                <w:tcW w:w="3412" w:type="pct"/>
                <w:shd w:val="clear" w:color="auto" w:fill="auto"/>
                <w:noWrap/>
                <w:vAlign w:val="center"/>
                <w:hideMark/>
              </w:tcPr>
              <w:p w14:paraId="731943B2"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Current assets</w:t>
                </w:r>
              </w:p>
            </w:tc>
            <w:tc>
              <w:tcPr>
                <w:tcW w:w="463" w:type="pct"/>
                <w:shd w:val="clear" w:color="auto" w:fill="auto"/>
                <w:vAlign w:val="center"/>
                <w:hideMark/>
              </w:tcPr>
              <w:p w14:paraId="2B46FB49"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567" w:type="pct"/>
                <w:shd w:val="clear" w:color="000000" w:fill="E2E5F3"/>
                <w:vAlign w:val="center"/>
                <w:hideMark/>
              </w:tcPr>
              <w:p w14:paraId="5D22F52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58" w:type="pct"/>
                <w:shd w:val="clear" w:color="auto" w:fill="auto"/>
                <w:vAlign w:val="center"/>
                <w:hideMark/>
              </w:tcPr>
              <w:p w14:paraId="2124175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668B408A" w14:textId="77777777" w:rsidTr="00C444E6">
            <w:trPr>
              <w:trHeight w:val="288"/>
            </w:trPr>
            <w:tc>
              <w:tcPr>
                <w:tcW w:w="3412" w:type="pct"/>
                <w:shd w:val="clear" w:color="auto" w:fill="auto"/>
                <w:noWrap/>
                <w:vAlign w:val="center"/>
                <w:hideMark/>
              </w:tcPr>
              <w:p w14:paraId="18CE6F0B"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Other investments</w:t>
                </w:r>
              </w:p>
            </w:tc>
            <w:tc>
              <w:tcPr>
                <w:tcW w:w="463" w:type="pct"/>
                <w:shd w:val="clear" w:color="auto" w:fill="auto"/>
                <w:vAlign w:val="center"/>
                <w:hideMark/>
              </w:tcPr>
              <w:p w14:paraId="4286CA2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15</w:t>
                </w:r>
              </w:p>
            </w:tc>
            <w:tc>
              <w:tcPr>
                <w:tcW w:w="567" w:type="pct"/>
                <w:shd w:val="clear" w:color="000000" w:fill="E2E5F3"/>
                <w:vAlign w:val="center"/>
                <w:hideMark/>
              </w:tcPr>
              <w:p w14:paraId="4805C7E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206</w:t>
                </w:r>
              </w:p>
            </w:tc>
            <w:tc>
              <w:tcPr>
                <w:tcW w:w="558" w:type="pct"/>
                <w:shd w:val="clear" w:color="auto" w:fill="auto"/>
                <w:vAlign w:val="center"/>
                <w:hideMark/>
              </w:tcPr>
              <w:p w14:paraId="20D355B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353</w:t>
                </w:r>
              </w:p>
            </w:tc>
          </w:tr>
          <w:tr w:rsidR="00C444E6" w:rsidRPr="00C444E6" w14:paraId="37639C15" w14:textId="77777777" w:rsidTr="00C444E6">
            <w:trPr>
              <w:trHeight w:val="288"/>
            </w:trPr>
            <w:tc>
              <w:tcPr>
                <w:tcW w:w="3412" w:type="pct"/>
                <w:shd w:val="clear" w:color="auto" w:fill="auto"/>
                <w:noWrap/>
                <w:vAlign w:val="center"/>
                <w:hideMark/>
              </w:tcPr>
              <w:p w14:paraId="0737D4C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Inventories</w:t>
                </w:r>
              </w:p>
            </w:tc>
            <w:tc>
              <w:tcPr>
                <w:tcW w:w="463" w:type="pct"/>
                <w:shd w:val="clear" w:color="auto" w:fill="auto"/>
                <w:vAlign w:val="center"/>
                <w:hideMark/>
              </w:tcPr>
              <w:p w14:paraId="03EAF70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16</w:t>
                </w:r>
              </w:p>
            </w:tc>
            <w:tc>
              <w:tcPr>
                <w:tcW w:w="567" w:type="pct"/>
                <w:shd w:val="clear" w:color="000000" w:fill="E2E5F3"/>
                <w:vAlign w:val="center"/>
                <w:hideMark/>
              </w:tcPr>
              <w:p w14:paraId="68131FA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2,635</w:t>
                </w:r>
              </w:p>
            </w:tc>
            <w:tc>
              <w:tcPr>
                <w:tcW w:w="558" w:type="pct"/>
                <w:shd w:val="clear" w:color="auto" w:fill="auto"/>
                <w:vAlign w:val="center"/>
                <w:hideMark/>
              </w:tcPr>
              <w:p w14:paraId="40B33E2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2,510</w:t>
                </w:r>
              </w:p>
            </w:tc>
          </w:tr>
          <w:tr w:rsidR="00C444E6" w:rsidRPr="00C444E6" w14:paraId="4A5B668D" w14:textId="77777777" w:rsidTr="00C444E6">
            <w:trPr>
              <w:trHeight w:val="288"/>
            </w:trPr>
            <w:tc>
              <w:tcPr>
                <w:tcW w:w="3412" w:type="pct"/>
                <w:shd w:val="clear" w:color="auto" w:fill="auto"/>
                <w:noWrap/>
                <w:vAlign w:val="center"/>
                <w:hideMark/>
              </w:tcPr>
              <w:p w14:paraId="0367A388"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Trade and other receivables</w:t>
                </w:r>
              </w:p>
            </w:tc>
            <w:tc>
              <w:tcPr>
                <w:tcW w:w="463" w:type="pct"/>
                <w:shd w:val="clear" w:color="auto" w:fill="auto"/>
                <w:vAlign w:val="center"/>
                <w:hideMark/>
              </w:tcPr>
              <w:p w14:paraId="39F939F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17</w:t>
                </w:r>
              </w:p>
            </w:tc>
            <w:tc>
              <w:tcPr>
                <w:tcW w:w="567" w:type="pct"/>
                <w:shd w:val="clear" w:color="000000" w:fill="E2E5F3"/>
                <w:vAlign w:val="center"/>
                <w:hideMark/>
              </w:tcPr>
              <w:p w14:paraId="2931EDA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1,349</w:t>
                </w:r>
              </w:p>
            </w:tc>
            <w:tc>
              <w:tcPr>
                <w:tcW w:w="558" w:type="pct"/>
                <w:shd w:val="clear" w:color="auto" w:fill="auto"/>
                <w:vAlign w:val="center"/>
                <w:hideMark/>
              </w:tcPr>
              <w:p w14:paraId="7B781F7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1,235</w:t>
                </w:r>
              </w:p>
            </w:tc>
          </w:tr>
          <w:tr w:rsidR="00C444E6" w:rsidRPr="00C444E6" w14:paraId="43555B31" w14:textId="77777777" w:rsidTr="00C444E6">
            <w:trPr>
              <w:trHeight w:val="288"/>
            </w:trPr>
            <w:tc>
              <w:tcPr>
                <w:tcW w:w="3412" w:type="pct"/>
                <w:shd w:val="clear" w:color="auto" w:fill="auto"/>
                <w:noWrap/>
                <w:vAlign w:val="center"/>
                <w:hideMark/>
              </w:tcPr>
              <w:p w14:paraId="2F7A1F18"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Loans and advances to customers</w:t>
                </w:r>
              </w:p>
            </w:tc>
            <w:tc>
              <w:tcPr>
                <w:tcW w:w="463" w:type="pct"/>
                <w:shd w:val="clear" w:color="auto" w:fill="auto"/>
                <w:vAlign w:val="center"/>
                <w:hideMark/>
              </w:tcPr>
              <w:p w14:paraId="7B07967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23</w:t>
                </w:r>
              </w:p>
            </w:tc>
            <w:tc>
              <w:tcPr>
                <w:tcW w:w="567" w:type="pct"/>
                <w:shd w:val="clear" w:color="000000" w:fill="E2E5F3"/>
                <w:vAlign w:val="center"/>
                <w:hideMark/>
              </w:tcPr>
              <w:p w14:paraId="6D24164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w:t>
                </w:r>
              </w:p>
            </w:tc>
            <w:tc>
              <w:tcPr>
                <w:tcW w:w="558" w:type="pct"/>
                <w:shd w:val="clear" w:color="auto" w:fill="auto"/>
                <w:vAlign w:val="center"/>
                <w:hideMark/>
              </w:tcPr>
              <w:p w14:paraId="1C78049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3,948</w:t>
                </w:r>
              </w:p>
            </w:tc>
          </w:tr>
          <w:tr w:rsidR="00C444E6" w:rsidRPr="00C444E6" w14:paraId="03AE1853" w14:textId="77777777" w:rsidTr="00C444E6">
            <w:trPr>
              <w:trHeight w:val="288"/>
            </w:trPr>
            <w:tc>
              <w:tcPr>
                <w:tcW w:w="3412" w:type="pct"/>
                <w:shd w:val="clear" w:color="auto" w:fill="auto"/>
                <w:noWrap/>
                <w:vAlign w:val="center"/>
                <w:hideMark/>
              </w:tcPr>
              <w:p w14:paraId="3C983913"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Derivative financial instruments</w:t>
                </w:r>
              </w:p>
            </w:tc>
            <w:tc>
              <w:tcPr>
                <w:tcW w:w="463" w:type="pct"/>
                <w:shd w:val="clear" w:color="auto" w:fill="auto"/>
                <w:vAlign w:val="center"/>
                <w:hideMark/>
              </w:tcPr>
              <w:p w14:paraId="36D2525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w:t>
                </w:r>
              </w:p>
            </w:tc>
            <w:tc>
              <w:tcPr>
                <w:tcW w:w="567" w:type="pct"/>
                <w:shd w:val="clear" w:color="000000" w:fill="E2E5F3"/>
                <w:vAlign w:val="center"/>
                <w:hideMark/>
              </w:tcPr>
              <w:p w14:paraId="3DAC9AA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55</w:t>
                </w:r>
              </w:p>
            </w:tc>
            <w:tc>
              <w:tcPr>
                <w:tcW w:w="558" w:type="pct"/>
                <w:shd w:val="clear" w:color="auto" w:fill="auto"/>
                <w:vAlign w:val="center"/>
                <w:hideMark/>
              </w:tcPr>
              <w:p w14:paraId="21B6FA5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57</w:t>
                </w:r>
              </w:p>
            </w:tc>
          </w:tr>
          <w:tr w:rsidR="00C444E6" w:rsidRPr="00C444E6" w14:paraId="4B2BA433" w14:textId="77777777" w:rsidTr="00C444E6">
            <w:trPr>
              <w:trHeight w:val="288"/>
            </w:trPr>
            <w:tc>
              <w:tcPr>
                <w:tcW w:w="3412" w:type="pct"/>
                <w:shd w:val="clear" w:color="auto" w:fill="auto"/>
                <w:noWrap/>
                <w:vAlign w:val="center"/>
                <w:hideMark/>
              </w:tcPr>
              <w:p w14:paraId="48E7D748"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Current tax assets</w:t>
                </w:r>
              </w:p>
            </w:tc>
            <w:tc>
              <w:tcPr>
                <w:tcW w:w="463" w:type="pct"/>
                <w:shd w:val="clear" w:color="auto" w:fill="auto"/>
                <w:vAlign w:val="center"/>
                <w:hideMark/>
              </w:tcPr>
              <w:p w14:paraId="013AC8A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567" w:type="pct"/>
                <w:shd w:val="clear" w:color="000000" w:fill="E2E5F3"/>
                <w:vAlign w:val="center"/>
                <w:hideMark/>
              </w:tcPr>
              <w:p w14:paraId="4730DDA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110</w:t>
                </w:r>
              </w:p>
            </w:tc>
            <w:tc>
              <w:tcPr>
                <w:tcW w:w="558" w:type="pct"/>
                <w:shd w:val="clear" w:color="auto" w:fill="auto"/>
                <w:vAlign w:val="center"/>
                <w:hideMark/>
              </w:tcPr>
              <w:p w14:paraId="38B321F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63</w:t>
                </w:r>
              </w:p>
            </w:tc>
          </w:tr>
          <w:tr w:rsidR="00C444E6" w:rsidRPr="00C444E6" w14:paraId="18B8D38E" w14:textId="77777777" w:rsidTr="00C444E6">
            <w:trPr>
              <w:trHeight w:val="288"/>
            </w:trPr>
            <w:tc>
              <w:tcPr>
                <w:tcW w:w="3412" w:type="pct"/>
                <w:shd w:val="clear" w:color="auto" w:fill="auto"/>
                <w:noWrap/>
                <w:vAlign w:val="center"/>
                <w:hideMark/>
              </w:tcPr>
              <w:p w14:paraId="644728B1"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Short-term investments</w:t>
                </w:r>
              </w:p>
            </w:tc>
            <w:tc>
              <w:tcPr>
                <w:tcW w:w="463" w:type="pct"/>
                <w:shd w:val="clear" w:color="auto" w:fill="auto"/>
                <w:vAlign w:val="center"/>
                <w:hideMark/>
              </w:tcPr>
              <w:p w14:paraId="18F10B4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18</w:t>
                </w:r>
              </w:p>
            </w:tc>
            <w:tc>
              <w:tcPr>
                <w:tcW w:w="567" w:type="pct"/>
                <w:shd w:val="clear" w:color="000000" w:fill="E2E5F3"/>
                <w:vAlign w:val="center"/>
                <w:hideMark/>
              </w:tcPr>
              <w:p w14:paraId="724AA21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2,128</w:t>
                </w:r>
              </w:p>
            </w:tc>
            <w:tc>
              <w:tcPr>
                <w:tcW w:w="558" w:type="pct"/>
                <w:shd w:val="clear" w:color="auto" w:fill="auto"/>
                <w:vAlign w:val="center"/>
                <w:hideMark/>
              </w:tcPr>
              <w:p w14:paraId="343963D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1,628</w:t>
                </w:r>
              </w:p>
            </w:tc>
          </w:tr>
          <w:tr w:rsidR="00C444E6" w:rsidRPr="00C444E6" w14:paraId="24ECA810" w14:textId="77777777" w:rsidTr="00C444E6">
            <w:trPr>
              <w:trHeight w:val="300"/>
            </w:trPr>
            <w:tc>
              <w:tcPr>
                <w:tcW w:w="3412" w:type="pct"/>
                <w:shd w:val="clear" w:color="auto" w:fill="auto"/>
                <w:noWrap/>
                <w:vAlign w:val="center"/>
                <w:hideMark/>
              </w:tcPr>
              <w:p w14:paraId="05989FE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Cash and cash equivalents</w:t>
                </w:r>
              </w:p>
            </w:tc>
            <w:tc>
              <w:tcPr>
                <w:tcW w:w="463" w:type="pct"/>
                <w:shd w:val="clear" w:color="auto" w:fill="auto"/>
                <w:vAlign w:val="center"/>
                <w:hideMark/>
              </w:tcPr>
              <w:p w14:paraId="4B3AB53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18</w:t>
                </w:r>
              </w:p>
            </w:tc>
            <w:tc>
              <w:tcPr>
                <w:tcW w:w="567" w:type="pct"/>
                <w:shd w:val="clear" w:color="000000" w:fill="E2E5F3"/>
                <w:vAlign w:val="center"/>
                <w:hideMark/>
              </w:tcPr>
              <w:p w14:paraId="26479C9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2,340</w:t>
                </w:r>
              </w:p>
            </w:tc>
            <w:tc>
              <w:tcPr>
                <w:tcW w:w="558" w:type="pct"/>
                <w:shd w:val="clear" w:color="auto" w:fill="auto"/>
                <w:vAlign w:val="center"/>
                <w:hideMark/>
              </w:tcPr>
              <w:p w14:paraId="244FD00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2,465</w:t>
                </w:r>
              </w:p>
            </w:tc>
          </w:tr>
          <w:tr w:rsidR="00C444E6" w:rsidRPr="00C444E6" w14:paraId="0CA8CCB5" w14:textId="77777777" w:rsidTr="00C444E6">
            <w:trPr>
              <w:trHeight w:val="300"/>
            </w:trPr>
            <w:tc>
              <w:tcPr>
                <w:tcW w:w="3412" w:type="pct"/>
                <w:shd w:val="clear" w:color="auto" w:fill="auto"/>
                <w:noWrap/>
                <w:vAlign w:val="center"/>
                <w:hideMark/>
              </w:tcPr>
              <w:p w14:paraId="25F82988"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63" w:type="pct"/>
                <w:shd w:val="clear" w:color="auto" w:fill="auto"/>
                <w:vAlign w:val="center"/>
                <w:hideMark/>
              </w:tcPr>
              <w:p w14:paraId="3C5E175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00B1D1F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8,823</w:t>
                </w:r>
              </w:p>
            </w:tc>
            <w:tc>
              <w:tcPr>
                <w:tcW w:w="558" w:type="pct"/>
                <w:shd w:val="clear" w:color="auto" w:fill="auto"/>
                <w:vAlign w:val="center"/>
                <w:hideMark/>
              </w:tcPr>
              <w:p w14:paraId="40D0285A"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12,259</w:t>
                </w:r>
              </w:p>
            </w:tc>
          </w:tr>
          <w:tr w:rsidR="00C444E6" w:rsidRPr="00C444E6" w14:paraId="4A4B198F" w14:textId="77777777" w:rsidTr="00C444E6">
            <w:trPr>
              <w:trHeight w:val="300"/>
            </w:trPr>
            <w:tc>
              <w:tcPr>
                <w:tcW w:w="3412" w:type="pct"/>
                <w:shd w:val="clear" w:color="auto" w:fill="auto"/>
                <w:noWrap/>
                <w:vAlign w:val="center"/>
                <w:hideMark/>
              </w:tcPr>
              <w:p w14:paraId="42C1E9AF"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Assets of the disposal group and non-current assets classified as held for sale</w:t>
                </w:r>
              </w:p>
            </w:tc>
            <w:tc>
              <w:tcPr>
                <w:tcW w:w="463" w:type="pct"/>
                <w:shd w:val="clear" w:color="auto" w:fill="auto"/>
                <w:vAlign w:val="center"/>
                <w:hideMark/>
              </w:tcPr>
              <w:p w14:paraId="242EC5A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w:t>
                </w:r>
              </w:p>
            </w:tc>
            <w:tc>
              <w:tcPr>
                <w:tcW w:w="567" w:type="pct"/>
                <w:shd w:val="clear" w:color="000000" w:fill="E2E5F3"/>
                <w:vAlign w:val="center"/>
                <w:hideMark/>
              </w:tcPr>
              <w:p w14:paraId="3162554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7,783</w:t>
                </w:r>
              </w:p>
            </w:tc>
            <w:tc>
              <w:tcPr>
                <w:tcW w:w="558" w:type="pct"/>
                <w:shd w:val="clear" w:color="auto" w:fill="auto"/>
                <w:vAlign w:val="center"/>
                <w:hideMark/>
              </w:tcPr>
              <w:p w14:paraId="246ED0C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210</w:t>
                </w:r>
              </w:p>
            </w:tc>
          </w:tr>
          <w:tr w:rsidR="00C444E6" w:rsidRPr="00C444E6" w14:paraId="6620D10B" w14:textId="77777777" w:rsidTr="00C444E6">
            <w:trPr>
              <w:trHeight w:val="300"/>
            </w:trPr>
            <w:tc>
              <w:tcPr>
                <w:tcW w:w="3412" w:type="pct"/>
                <w:shd w:val="clear" w:color="auto" w:fill="auto"/>
                <w:noWrap/>
                <w:vAlign w:val="center"/>
                <w:hideMark/>
              </w:tcPr>
              <w:p w14:paraId="3E206B8D"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63" w:type="pct"/>
                <w:shd w:val="clear" w:color="auto" w:fill="auto"/>
                <w:vAlign w:val="center"/>
                <w:hideMark/>
              </w:tcPr>
              <w:p w14:paraId="7CCAC99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0AA405F1"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16,606</w:t>
                </w:r>
              </w:p>
            </w:tc>
            <w:tc>
              <w:tcPr>
                <w:tcW w:w="558" w:type="pct"/>
                <w:shd w:val="clear" w:color="auto" w:fill="auto"/>
                <w:vAlign w:val="center"/>
                <w:hideMark/>
              </w:tcPr>
              <w:p w14:paraId="518493A4"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12,469</w:t>
                </w:r>
              </w:p>
            </w:tc>
          </w:tr>
          <w:tr w:rsidR="00C444E6" w:rsidRPr="00C444E6" w14:paraId="57824D38" w14:textId="77777777" w:rsidTr="00C444E6">
            <w:trPr>
              <w:trHeight w:val="288"/>
            </w:trPr>
            <w:tc>
              <w:tcPr>
                <w:tcW w:w="3412" w:type="pct"/>
                <w:shd w:val="clear" w:color="auto" w:fill="auto"/>
                <w:noWrap/>
                <w:vAlign w:val="center"/>
                <w:hideMark/>
              </w:tcPr>
              <w:p w14:paraId="1400845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c>
              <w:tcPr>
                <w:tcW w:w="463" w:type="pct"/>
                <w:shd w:val="clear" w:color="auto" w:fill="auto"/>
                <w:vAlign w:val="center"/>
                <w:hideMark/>
              </w:tcPr>
              <w:p w14:paraId="72E2B6CE" w14:textId="77777777" w:rsidR="00C444E6" w:rsidRPr="00C444E6" w:rsidRDefault="00C444E6" w:rsidP="00C444E6">
                <w:pPr>
                  <w:spacing w:after="0" w:line="240" w:lineRule="auto"/>
                  <w:rPr>
                    <w:rFonts w:ascii="Times New Roman" w:eastAsia="Times New Roman" w:hAnsi="Times New Roman" w:cs="Times New Roman"/>
                    <w:sz w:val="20"/>
                    <w:szCs w:val="20"/>
                    <w:lang w:val="en-IN" w:eastAsia="en-IN"/>
                  </w:rPr>
                </w:pPr>
              </w:p>
            </w:tc>
            <w:tc>
              <w:tcPr>
                <w:tcW w:w="567" w:type="pct"/>
                <w:shd w:val="clear" w:color="000000" w:fill="E2E5F3"/>
                <w:vAlign w:val="center"/>
                <w:hideMark/>
              </w:tcPr>
              <w:p w14:paraId="7E8BE09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 </w:t>
                </w:r>
              </w:p>
            </w:tc>
            <w:tc>
              <w:tcPr>
                <w:tcW w:w="558" w:type="pct"/>
                <w:shd w:val="clear" w:color="auto" w:fill="auto"/>
                <w:vAlign w:val="center"/>
                <w:hideMark/>
              </w:tcPr>
              <w:p w14:paraId="5732EB86"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p>
            </w:tc>
          </w:tr>
          <w:tr w:rsidR="00C444E6" w:rsidRPr="00C444E6" w14:paraId="65B85995" w14:textId="77777777" w:rsidTr="00C444E6">
            <w:trPr>
              <w:trHeight w:val="288"/>
            </w:trPr>
            <w:tc>
              <w:tcPr>
                <w:tcW w:w="3412" w:type="pct"/>
                <w:shd w:val="clear" w:color="auto" w:fill="auto"/>
                <w:noWrap/>
                <w:vAlign w:val="center"/>
                <w:hideMark/>
              </w:tcPr>
              <w:p w14:paraId="3CD93982"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Current liabilities</w:t>
                </w:r>
              </w:p>
            </w:tc>
            <w:tc>
              <w:tcPr>
                <w:tcW w:w="463" w:type="pct"/>
                <w:shd w:val="clear" w:color="auto" w:fill="auto"/>
                <w:vAlign w:val="center"/>
                <w:hideMark/>
              </w:tcPr>
              <w:p w14:paraId="747FF3BC"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567" w:type="pct"/>
                <w:shd w:val="clear" w:color="000000" w:fill="E2E5F3"/>
                <w:vAlign w:val="center"/>
                <w:hideMark/>
              </w:tcPr>
              <w:p w14:paraId="6BB6666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58" w:type="pct"/>
                <w:shd w:val="clear" w:color="auto" w:fill="auto"/>
                <w:vAlign w:val="center"/>
                <w:hideMark/>
              </w:tcPr>
              <w:p w14:paraId="4F82BDC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24819E29" w14:textId="77777777" w:rsidTr="00C444E6">
            <w:trPr>
              <w:trHeight w:val="288"/>
            </w:trPr>
            <w:tc>
              <w:tcPr>
                <w:tcW w:w="3412" w:type="pct"/>
                <w:shd w:val="clear" w:color="auto" w:fill="auto"/>
                <w:noWrap/>
                <w:vAlign w:val="center"/>
                <w:hideMark/>
              </w:tcPr>
              <w:p w14:paraId="6C51897C"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Trade and other payables</w:t>
                </w:r>
              </w:p>
            </w:tc>
            <w:tc>
              <w:tcPr>
                <w:tcW w:w="463" w:type="pct"/>
                <w:shd w:val="clear" w:color="auto" w:fill="auto"/>
                <w:vAlign w:val="center"/>
                <w:hideMark/>
              </w:tcPr>
              <w:p w14:paraId="0F144A8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19</w:t>
                </w:r>
              </w:p>
            </w:tc>
            <w:tc>
              <w:tcPr>
                <w:tcW w:w="567" w:type="pct"/>
                <w:shd w:val="clear" w:color="000000" w:fill="E2E5F3"/>
                <w:vAlign w:val="center"/>
                <w:hideMark/>
              </w:tcPr>
              <w:p w14:paraId="187B762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(10,264)</w:t>
                </w:r>
              </w:p>
            </w:tc>
            <w:tc>
              <w:tcPr>
                <w:tcW w:w="558" w:type="pct"/>
                <w:shd w:val="clear" w:color="auto" w:fill="auto"/>
                <w:vAlign w:val="center"/>
                <w:hideMark/>
              </w:tcPr>
              <w:p w14:paraId="5370ABF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(9,762)</w:t>
                </w:r>
              </w:p>
            </w:tc>
          </w:tr>
          <w:tr w:rsidR="00C444E6" w:rsidRPr="00C444E6" w14:paraId="0518B20F" w14:textId="77777777" w:rsidTr="00C444E6">
            <w:trPr>
              <w:trHeight w:val="288"/>
            </w:trPr>
            <w:tc>
              <w:tcPr>
                <w:tcW w:w="3412" w:type="pct"/>
                <w:shd w:val="clear" w:color="auto" w:fill="auto"/>
                <w:noWrap/>
                <w:vAlign w:val="center"/>
                <w:hideMark/>
              </w:tcPr>
              <w:p w14:paraId="1B9D61A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Borrowings</w:t>
                </w:r>
              </w:p>
            </w:tc>
            <w:tc>
              <w:tcPr>
                <w:tcW w:w="463" w:type="pct"/>
                <w:shd w:val="clear" w:color="auto" w:fill="auto"/>
                <w:vAlign w:val="center"/>
                <w:hideMark/>
              </w:tcPr>
              <w:p w14:paraId="7FB8774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21</w:t>
                </w:r>
              </w:p>
            </w:tc>
            <w:tc>
              <w:tcPr>
                <w:tcW w:w="567" w:type="pct"/>
                <w:shd w:val="clear" w:color="000000" w:fill="E2E5F3"/>
                <w:vAlign w:val="center"/>
                <w:hideMark/>
              </w:tcPr>
              <w:p w14:paraId="62C47AF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(1,536)</w:t>
                </w:r>
              </w:p>
            </w:tc>
            <w:tc>
              <w:tcPr>
                <w:tcW w:w="558" w:type="pct"/>
                <w:shd w:val="clear" w:color="auto" w:fill="auto"/>
                <w:vAlign w:val="center"/>
                <w:hideMark/>
              </w:tcPr>
              <w:p w14:paraId="26AE3AF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(1,770)</w:t>
                </w:r>
              </w:p>
            </w:tc>
          </w:tr>
          <w:tr w:rsidR="00C444E6" w:rsidRPr="00C444E6" w14:paraId="1CA864FC" w14:textId="77777777" w:rsidTr="00C444E6">
            <w:trPr>
              <w:trHeight w:val="288"/>
            </w:trPr>
            <w:tc>
              <w:tcPr>
                <w:tcW w:w="3412" w:type="pct"/>
                <w:shd w:val="clear" w:color="auto" w:fill="auto"/>
                <w:noWrap/>
                <w:vAlign w:val="center"/>
                <w:hideMark/>
              </w:tcPr>
              <w:p w14:paraId="1F738FE4"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Lease liabilities</w:t>
                </w:r>
              </w:p>
            </w:tc>
            <w:tc>
              <w:tcPr>
                <w:tcW w:w="463" w:type="pct"/>
                <w:shd w:val="clear" w:color="auto" w:fill="auto"/>
                <w:vAlign w:val="center"/>
                <w:hideMark/>
              </w:tcPr>
              <w:p w14:paraId="2F63D84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12</w:t>
                </w:r>
              </w:p>
            </w:tc>
            <w:tc>
              <w:tcPr>
                <w:tcW w:w="567" w:type="pct"/>
                <w:shd w:val="clear" w:color="000000" w:fill="E2E5F3"/>
                <w:vAlign w:val="center"/>
                <w:hideMark/>
              </w:tcPr>
              <w:p w14:paraId="246CC2F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(584)</w:t>
                </w:r>
              </w:p>
            </w:tc>
            <w:tc>
              <w:tcPr>
                <w:tcW w:w="558" w:type="pct"/>
                <w:shd w:val="clear" w:color="auto" w:fill="auto"/>
                <w:vAlign w:val="center"/>
                <w:hideMark/>
              </w:tcPr>
              <w:p w14:paraId="7B80F0F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(595)</w:t>
                </w:r>
              </w:p>
            </w:tc>
          </w:tr>
          <w:tr w:rsidR="00C444E6" w:rsidRPr="00C444E6" w14:paraId="0E5C016C" w14:textId="77777777" w:rsidTr="00C444E6">
            <w:trPr>
              <w:trHeight w:val="288"/>
            </w:trPr>
            <w:tc>
              <w:tcPr>
                <w:tcW w:w="3412" w:type="pct"/>
                <w:shd w:val="clear" w:color="auto" w:fill="auto"/>
                <w:noWrap/>
                <w:vAlign w:val="center"/>
                <w:hideMark/>
              </w:tcPr>
              <w:p w14:paraId="0336CEC6"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Provisions</w:t>
                </w:r>
              </w:p>
            </w:tc>
            <w:tc>
              <w:tcPr>
                <w:tcW w:w="463" w:type="pct"/>
                <w:shd w:val="clear" w:color="auto" w:fill="auto"/>
                <w:vAlign w:val="center"/>
                <w:hideMark/>
              </w:tcPr>
              <w:p w14:paraId="68A7306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22</w:t>
                </w:r>
              </w:p>
            </w:tc>
            <w:tc>
              <w:tcPr>
                <w:tcW w:w="567" w:type="pct"/>
                <w:shd w:val="clear" w:color="000000" w:fill="E2E5F3"/>
                <w:vAlign w:val="center"/>
                <w:hideMark/>
              </w:tcPr>
              <w:p w14:paraId="70F8111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(306)</w:t>
                </w:r>
              </w:p>
            </w:tc>
            <w:tc>
              <w:tcPr>
                <w:tcW w:w="558" w:type="pct"/>
                <w:shd w:val="clear" w:color="auto" w:fill="auto"/>
                <w:vAlign w:val="center"/>
                <w:hideMark/>
              </w:tcPr>
              <w:p w14:paraId="77B5A3D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(366)</w:t>
                </w:r>
              </w:p>
            </w:tc>
          </w:tr>
          <w:tr w:rsidR="00C444E6" w:rsidRPr="00C444E6" w14:paraId="06048013" w14:textId="77777777" w:rsidTr="00C444E6">
            <w:trPr>
              <w:trHeight w:val="288"/>
            </w:trPr>
            <w:tc>
              <w:tcPr>
                <w:tcW w:w="3412" w:type="pct"/>
                <w:shd w:val="clear" w:color="auto" w:fill="auto"/>
                <w:noWrap/>
                <w:vAlign w:val="center"/>
                <w:hideMark/>
              </w:tcPr>
              <w:p w14:paraId="7AAF3F4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Insurance contract liabilities</w:t>
                </w:r>
              </w:p>
            </w:tc>
            <w:tc>
              <w:tcPr>
                <w:tcW w:w="463" w:type="pct"/>
                <w:shd w:val="clear" w:color="auto" w:fill="auto"/>
                <w:vAlign w:val="center"/>
                <w:hideMark/>
              </w:tcPr>
              <w:p w14:paraId="301ABB9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w:t>
                </w:r>
              </w:p>
            </w:tc>
            <w:tc>
              <w:tcPr>
                <w:tcW w:w="567" w:type="pct"/>
                <w:shd w:val="clear" w:color="000000" w:fill="E2E5F3"/>
                <w:vAlign w:val="center"/>
                <w:hideMark/>
              </w:tcPr>
              <w:p w14:paraId="0C9A756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(526)</w:t>
                </w:r>
              </w:p>
            </w:tc>
            <w:tc>
              <w:tcPr>
                <w:tcW w:w="558" w:type="pct"/>
                <w:shd w:val="clear" w:color="auto" w:fill="auto"/>
                <w:vAlign w:val="center"/>
                <w:hideMark/>
              </w:tcPr>
              <w:p w14:paraId="1C97C8F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(501)</w:t>
                </w:r>
              </w:p>
            </w:tc>
          </w:tr>
          <w:tr w:rsidR="00C444E6" w:rsidRPr="00C444E6" w14:paraId="45F61F95" w14:textId="77777777" w:rsidTr="00C444E6">
            <w:trPr>
              <w:trHeight w:val="288"/>
            </w:trPr>
            <w:tc>
              <w:tcPr>
                <w:tcW w:w="3412" w:type="pct"/>
                <w:shd w:val="clear" w:color="auto" w:fill="auto"/>
                <w:noWrap/>
                <w:vAlign w:val="center"/>
                <w:hideMark/>
              </w:tcPr>
              <w:p w14:paraId="75B2070E"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Customer deposits and deposits from banks</w:t>
                </w:r>
              </w:p>
            </w:tc>
            <w:tc>
              <w:tcPr>
                <w:tcW w:w="463" w:type="pct"/>
                <w:shd w:val="clear" w:color="auto" w:fill="auto"/>
                <w:vAlign w:val="center"/>
                <w:hideMark/>
              </w:tcPr>
              <w:p w14:paraId="49C5A01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25</w:t>
                </w:r>
              </w:p>
            </w:tc>
            <w:tc>
              <w:tcPr>
                <w:tcW w:w="567" w:type="pct"/>
                <w:shd w:val="clear" w:color="000000" w:fill="E2E5F3"/>
                <w:vAlign w:val="center"/>
                <w:hideMark/>
              </w:tcPr>
              <w:p w14:paraId="3D9B83D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(108)</w:t>
                </w:r>
              </w:p>
            </w:tc>
            <w:tc>
              <w:tcPr>
                <w:tcW w:w="558" w:type="pct"/>
                <w:shd w:val="clear" w:color="auto" w:fill="auto"/>
                <w:vAlign w:val="center"/>
                <w:hideMark/>
              </w:tcPr>
              <w:p w14:paraId="121EE2F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(4,485)</w:t>
                </w:r>
              </w:p>
            </w:tc>
          </w:tr>
          <w:tr w:rsidR="00C444E6" w:rsidRPr="00C444E6" w14:paraId="2072AEF4" w14:textId="77777777" w:rsidTr="00C444E6">
            <w:trPr>
              <w:trHeight w:val="288"/>
            </w:trPr>
            <w:tc>
              <w:tcPr>
                <w:tcW w:w="3412" w:type="pct"/>
                <w:shd w:val="clear" w:color="auto" w:fill="auto"/>
                <w:noWrap/>
                <w:vAlign w:val="center"/>
                <w:hideMark/>
              </w:tcPr>
              <w:p w14:paraId="0E2668A7"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Derivative financial instruments</w:t>
                </w:r>
              </w:p>
            </w:tc>
            <w:tc>
              <w:tcPr>
                <w:tcW w:w="463" w:type="pct"/>
                <w:shd w:val="clear" w:color="auto" w:fill="auto"/>
                <w:vAlign w:val="center"/>
                <w:hideMark/>
              </w:tcPr>
              <w:p w14:paraId="72899A1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w:t>
                </w:r>
              </w:p>
            </w:tc>
            <w:tc>
              <w:tcPr>
                <w:tcW w:w="567" w:type="pct"/>
                <w:shd w:val="clear" w:color="000000" w:fill="E2E5F3"/>
                <w:vAlign w:val="center"/>
                <w:hideMark/>
              </w:tcPr>
              <w:p w14:paraId="23EA6DB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(25)</w:t>
                </w:r>
              </w:p>
            </w:tc>
            <w:tc>
              <w:tcPr>
                <w:tcW w:w="558" w:type="pct"/>
                <w:shd w:val="clear" w:color="auto" w:fill="auto"/>
                <w:vAlign w:val="center"/>
                <w:hideMark/>
              </w:tcPr>
              <w:p w14:paraId="73806A1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(99)</w:t>
                </w:r>
              </w:p>
            </w:tc>
          </w:tr>
          <w:tr w:rsidR="00C444E6" w:rsidRPr="00C444E6" w14:paraId="2DBC440C" w14:textId="77777777" w:rsidTr="00C444E6">
            <w:trPr>
              <w:trHeight w:val="300"/>
            </w:trPr>
            <w:tc>
              <w:tcPr>
                <w:tcW w:w="3412" w:type="pct"/>
                <w:shd w:val="clear" w:color="auto" w:fill="auto"/>
                <w:noWrap/>
                <w:vAlign w:val="center"/>
                <w:hideMark/>
              </w:tcPr>
              <w:p w14:paraId="6AAE7BE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Current tax liabilities</w:t>
                </w:r>
              </w:p>
            </w:tc>
            <w:tc>
              <w:tcPr>
                <w:tcW w:w="463" w:type="pct"/>
                <w:shd w:val="clear" w:color="auto" w:fill="auto"/>
                <w:vAlign w:val="center"/>
                <w:hideMark/>
              </w:tcPr>
              <w:p w14:paraId="42D49F7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71F681C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w:t>
                </w:r>
              </w:p>
            </w:tc>
            <w:tc>
              <w:tcPr>
                <w:tcW w:w="558" w:type="pct"/>
                <w:shd w:val="clear" w:color="auto" w:fill="auto"/>
                <w:vAlign w:val="center"/>
                <w:hideMark/>
              </w:tcPr>
              <w:p w14:paraId="18DE930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(18)</w:t>
                </w:r>
              </w:p>
            </w:tc>
          </w:tr>
          <w:tr w:rsidR="00C444E6" w:rsidRPr="00C444E6" w14:paraId="3E36F0BC" w14:textId="77777777" w:rsidTr="00C444E6">
            <w:trPr>
              <w:trHeight w:val="300"/>
            </w:trPr>
            <w:tc>
              <w:tcPr>
                <w:tcW w:w="3412" w:type="pct"/>
                <w:shd w:val="clear" w:color="auto" w:fill="auto"/>
                <w:noWrap/>
                <w:vAlign w:val="center"/>
                <w:hideMark/>
              </w:tcPr>
              <w:p w14:paraId="2A8B5089"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63" w:type="pct"/>
                <w:shd w:val="clear" w:color="auto" w:fill="auto"/>
                <w:vAlign w:val="center"/>
                <w:hideMark/>
              </w:tcPr>
              <w:p w14:paraId="3D9D58E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5867AA0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(13,350)</w:t>
                </w:r>
              </w:p>
            </w:tc>
            <w:tc>
              <w:tcPr>
                <w:tcW w:w="558" w:type="pct"/>
                <w:shd w:val="clear" w:color="auto" w:fill="auto"/>
                <w:vAlign w:val="center"/>
                <w:hideMark/>
              </w:tcPr>
              <w:p w14:paraId="1BF26C71"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(17,596)</w:t>
                </w:r>
              </w:p>
            </w:tc>
          </w:tr>
          <w:tr w:rsidR="00C444E6" w:rsidRPr="00C444E6" w14:paraId="01669E41" w14:textId="77777777" w:rsidTr="00C444E6">
            <w:trPr>
              <w:trHeight w:val="300"/>
            </w:trPr>
            <w:tc>
              <w:tcPr>
                <w:tcW w:w="3412" w:type="pct"/>
                <w:shd w:val="clear" w:color="auto" w:fill="auto"/>
                <w:noWrap/>
                <w:vAlign w:val="center"/>
                <w:hideMark/>
              </w:tcPr>
              <w:p w14:paraId="5CBE334A"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Liabilities of the disposal group classified as held for sale</w:t>
                </w:r>
              </w:p>
            </w:tc>
            <w:tc>
              <w:tcPr>
                <w:tcW w:w="463" w:type="pct"/>
                <w:shd w:val="clear" w:color="auto" w:fill="auto"/>
                <w:vAlign w:val="center"/>
                <w:hideMark/>
              </w:tcPr>
              <w:p w14:paraId="07C2734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w:t>
                </w:r>
              </w:p>
            </w:tc>
            <w:tc>
              <w:tcPr>
                <w:tcW w:w="567" w:type="pct"/>
                <w:shd w:val="clear" w:color="000000" w:fill="E2E5F3"/>
                <w:vAlign w:val="center"/>
                <w:hideMark/>
              </w:tcPr>
              <w:p w14:paraId="49CE2D82"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(7,122)</w:t>
                </w:r>
              </w:p>
            </w:tc>
            <w:tc>
              <w:tcPr>
                <w:tcW w:w="558" w:type="pct"/>
                <w:shd w:val="clear" w:color="auto" w:fill="auto"/>
                <w:vAlign w:val="center"/>
                <w:hideMark/>
              </w:tcPr>
              <w:p w14:paraId="05B4BA9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(14)</w:t>
                </w:r>
              </w:p>
            </w:tc>
          </w:tr>
          <w:tr w:rsidR="00C444E6" w:rsidRPr="00C444E6" w14:paraId="35597AF9" w14:textId="77777777" w:rsidTr="00C444E6">
            <w:trPr>
              <w:trHeight w:val="300"/>
            </w:trPr>
            <w:tc>
              <w:tcPr>
                <w:tcW w:w="3412" w:type="pct"/>
                <w:shd w:val="clear" w:color="auto" w:fill="auto"/>
                <w:noWrap/>
                <w:vAlign w:val="center"/>
                <w:hideMark/>
              </w:tcPr>
              <w:p w14:paraId="58D1D8F6"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Net current liabilities</w:t>
                </w:r>
              </w:p>
            </w:tc>
            <w:tc>
              <w:tcPr>
                <w:tcW w:w="463" w:type="pct"/>
                <w:shd w:val="clear" w:color="auto" w:fill="auto"/>
                <w:vAlign w:val="center"/>
                <w:hideMark/>
              </w:tcPr>
              <w:p w14:paraId="057D3BC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306BCBAA"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(3,866)</w:t>
                </w:r>
              </w:p>
            </w:tc>
            <w:tc>
              <w:tcPr>
                <w:tcW w:w="558" w:type="pct"/>
                <w:shd w:val="clear" w:color="auto" w:fill="auto"/>
                <w:vAlign w:val="center"/>
                <w:hideMark/>
              </w:tcPr>
              <w:p w14:paraId="32710855"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(5,141)</w:t>
                </w:r>
              </w:p>
            </w:tc>
          </w:tr>
          <w:tr w:rsidR="00C444E6" w:rsidRPr="00C444E6" w14:paraId="2F5C5407" w14:textId="77777777" w:rsidTr="00C444E6">
            <w:trPr>
              <w:trHeight w:val="288"/>
            </w:trPr>
            <w:tc>
              <w:tcPr>
                <w:tcW w:w="3412" w:type="pct"/>
                <w:shd w:val="clear" w:color="auto" w:fill="auto"/>
                <w:noWrap/>
                <w:vAlign w:val="center"/>
                <w:hideMark/>
              </w:tcPr>
              <w:p w14:paraId="44CF70FB"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Non-current liabilities</w:t>
                </w:r>
              </w:p>
            </w:tc>
            <w:tc>
              <w:tcPr>
                <w:tcW w:w="463" w:type="pct"/>
                <w:shd w:val="clear" w:color="auto" w:fill="auto"/>
                <w:vAlign w:val="center"/>
                <w:hideMark/>
              </w:tcPr>
              <w:p w14:paraId="652E34CF"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567" w:type="pct"/>
                <w:shd w:val="clear" w:color="000000" w:fill="E2E5F3"/>
                <w:vAlign w:val="center"/>
                <w:hideMark/>
              </w:tcPr>
              <w:p w14:paraId="38ACCB0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58" w:type="pct"/>
                <w:shd w:val="clear" w:color="auto" w:fill="auto"/>
                <w:vAlign w:val="center"/>
                <w:hideMark/>
              </w:tcPr>
              <w:p w14:paraId="57F6BA7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4ED9A100" w14:textId="77777777" w:rsidTr="00C444E6">
            <w:trPr>
              <w:trHeight w:val="288"/>
            </w:trPr>
            <w:tc>
              <w:tcPr>
                <w:tcW w:w="3412" w:type="pct"/>
                <w:shd w:val="clear" w:color="auto" w:fill="auto"/>
                <w:noWrap/>
                <w:vAlign w:val="center"/>
                <w:hideMark/>
              </w:tcPr>
              <w:p w14:paraId="0410607F"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Trade and other payables</w:t>
                </w:r>
              </w:p>
            </w:tc>
            <w:tc>
              <w:tcPr>
                <w:tcW w:w="463" w:type="pct"/>
                <w:shd w:val="clear" w:color="auto" w:fill="auto"/>
                <w:vAlign w:val="center"/>
                <w:hideMark/>
              </w:tcPr>
              <w:p w14:paraId="0352945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19</w:t>
                </w:r>
              </w:p>
            </w:tc>
            <w:tc>
              <w:tcPr>
                <w:tcW w:w="567" w:type="pct"/>
                <w:shd w:val="clear" w:color="000000" w:fill="E2E5F3"/>
                <w:vAlign w:val="center"/>
                <w:hideMark/>
              </w:tcPr>
              <w:p w14:paraId="1211D44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(39)</w:t>
                </w:r>
              </w:p>
            </w:tc>
            <w:tc>
              <w:tcPr>
                <w:tcW w:w="558" w:type="pct"/>
                <w:shd w:val="clear" w:color="auto" w:fill="auto"/>
                <w:vAlign w:val="center"/>
                <w:hideMark/>
              </w:tcPr>
              <w:p w14:paraId="510884C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(54)</w:t>
                </w:r>
              </w:p>
            </w:tc>
          </w:tr>
          <w:tr w:rsidR="00C444E6" w:rsidRPr="00C444E6" w14:paraId="6C4F440C" w14:textId="77777777" w:rsidTr="00C444E6">
            <w:trPr>
              <w:trHeight w:val="288"/>
            </w:trPr>
            <w:tc>
              <w:tcPr>
                <w:tcW w:w="3412" w:type="pct"/>
                <w:shd w:val="clear" w:color="auto" w:fill="auto"/>
                <w:noWrap/>
                <w:vAlign w:val="center"/>
                <w:hideMark/>
              </w:tcPr>
              <w:p w14:paraId="0E02626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Borrowings</w:t>
                </w:r>
              </w:p>
            </w:tc>
            <w:tc>
              <w:tcPr>
                <w:tcW w:w="463" w:type="pct"/>
                <w:shd w:val="clear" w:color="auto" w:fill="auto"/>
                <w:vAlign w:val="center"/>
                <w:hideMark/>
              </w:tcPr>
              <w:p w14:paraId="0C84F3DD"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21</w:t>
                </w:r>
              </w:p>
            </w:tc>
            <w:tc>
              <w:tcPr>
                <w:tcW w:w="567" w:type="pct"/>
                <w:shd w:val="clear" w:color="000000" w:fill="E2E5F3"/>
                <w:vAlign w:val="center"/>
                <w:hideMark/>
              </w:tcPr>
              <w:p w14:paraId="638C29D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(5,683)</w:t>
                </w:r>
              </w:p>
            </w:tc>
            <w:tc>
              <w:tcPr>
                <w:tcW w:w="558" w:type="pct"/>
                <w:shd w:val="clear" w:color="auto" w:fill="auto"/>
                <w:vAlign w:val="center"/>
                <w:hideMark/>
              </w:tcPr>
              <w:p w14:paraId="132E250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(5,581)</w:t>
                </w:r>
              </w:p>
            </w:tc>
          </w:tr>
          <w:tr w:rsidR="00C444E6" w:rsidRPr="00C444E6" w14:paraId="368E249D" w14:textId="77777777" w:rsidTr="00C444E6">
            <w:trPr>
              <w:trHeight w:val="288"/>
            </w:trPr>
            <w:tc>
              <w:tcPr>
                <w:tcW w:w="3412" w:type="pct"/>
                <w:shd w:val="clear" w:color="auto" w:fill="auto"/>
                <w:noWrap/>
                <w:vAlign w:val="center"/>
                <w:hideMark/>
              </w:tcPr>
              <w:p w14:paraId="37F27DA4"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Lease liabilities</w:t>
                </w:r>
              </w:p>
            </w:tc>
            <w:tc>
              <w:tcPr>
                <w:tcW w:w="463" w:type="pct"/>
                <w:shd w:val="clear" w:color="auto" w:fill="auto"/>
                <w:vAlign w:val="center"/>
                <w:hideMark/>
              </w:tcPr>
              <w:p w14:paraId="6CCACB0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12</w:t>
                </w:r>
              </w:p>
            </w:tc>
            <w:tc>
              <w:tcPr>
                <w:tcW w:w="567" w:type="pct"/>
                <w:shd w:val="clear" w:color="000000" w:fill="E2E5F3"/>
                <w:vAlign w:val="center"/>
                <w:hideMark/>
              </w:tcPr>
              <w:p w14:paraId="3ADBAC3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(7,038)</w:t>
                </w:r>
              </w:p>
            </w:tc>
            <w:tc>
              <w:tcPr>
                <w:tcW w:w="558" w:type="pct"/>
                <w:shd w:val="clear" w:color="auto" w:fill="auto"/>
                <w:vAlign w:val="center"/>
                <w:hideMark/>
              </w:tcPr>
              <w:p w14:paraId="186A06A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(7,132)</w:t>
                </w:r>
              </w:p>
            </w:tc>
          </w:tr>
          <w:tr w:rsidR="00C444E6" w:rsidRPr="00C444E6" w14:paraId="7DBCD4A0" w14:textId="77777777" w:rsidTr="00C444E6">
            <w:trPr>
              <w:trHeight w:val="288"/>
            </w:trPr>
            <w:tc>
              <w:tcPr>
                <w:tcW w:w="3412" w:type="pct"/>
                <w:shd w:val="clear" w:color="auto" w:fill="auto"/>
                <w:noWrap/>
                <w:vAlign w:val="center"/>
                <w:hideMark/>
              </w:tcPr>
              <w:p w14:paraId="061F5CC0"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Provisions</w:t>
                </w:r>
              </w:p>
            </w:tc>
            <w:tc>
              <w:tcPr>
                <w:tcW w:w="463" w:type="pct"/>
                <w:shd w:val="clear" w:color="auto" w:fill="auto"/>
                <w:vAlign w:val="center"/>
                <w:hideMark/>
              </w:tcPr>
              <w:p w14:paraId="7C35F0B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22</w:t>
                </w:r>
              </w:p>
            </w:tc>
            <w:tc>
              <w:tcPr>
                <w:tcW w:w="567" w:type="pct"/>
                <w:shd w:val="clear" w:color="000000" w:fill="E2E5F3"/>
                <w:vAlign w:val="center"/>
                <w:hideMark/>
              </w:tcPr>
              <w:p w14:paraId="3C5F7FF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(175)</w:t>
                </w:r>
              </w:p>
            </w:tc>
            <w:tc>
              <w:tcPr>
                <w:tcW w:w="558" w:type="pct"/>
                <w:shd w:val="clear" w:color="auto" w:fill="auto"/>
                <w:vAlign w:val="center"/>
                <w:hideMark/>
              </w:tcPr>
              <w:p w14:paraId="36BCA2C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(194)</w:t>
                </w:r>
              </w:p>
            </w:tc>
          </w:tr>
          <w:tr w:rsidR="00C444E6" w:rsidRPr="00C444E6" w14:paraId="4A694567" w14:textId="77777777" w:rsidTr="00C444E6">
            <w:trPr>
              <w:trHeight w:val="288"/>
            </w:trPr>
            <w:tc>
              <w:tcPr>
                <w:tcW w:w="3412" w:type="pct"/>
                <w:shd w:val="clear" w:color="auto" w:fill="auto"/>
                <w:noWrap/>
                <w:vAlign w:val="center"/>
                <w:hideMark/>
              </w:tcPr>
              <w:p w14:paraId="5035EA6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Customer deposits and deposits from banks</w:t>
                </w:r>
              </w:p>
            </w:tc>
            <w:tc>
              <w:tcPr>
                <w:tcW w:w="463" w:type="pct"/>
                <w:shd w:val="clear" w:color="auto" w:fill="auto"/>
                <w:vAlign w:val="center"/>
                <w:hideMark/>
              </w:tcPr>
              <w:p w14:paraId="3F6E10AA"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25</w:t>
                </w:r>
              </w:p>
            </w:tc>
            <w:tc>
              <w:tcPr>
                <w:tcW w:w="567" w:type="pct"/>
                <w:shd w:val="clear" w:color="000000" w:fill="E2E5F3"/>
                <w:vAlign w:val="center"/>
                <w:hideMark/>
              </w:tcPr>
              <w:p w14:paraId="7C8219C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(800)</w:t>
                </w:r>
              </w:p>
            </w:tc>
            <w:tc>
              <w:tcPr>
                <w:tcW w:w="558" w:type="pct"/>
                <w:shd w:val="clear" w:color="auto" w:fill="auto"/>
                <w:vAlign w:val="center"/>
                <w:hideMark/>
              </w:tcPr>
              <w:p w14:paraId="2623E73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(2,265)</w:t>
                </w:r>
              </w:p>
            </w:tc>
          </w:tr>
          <w:tr w:rsidR="00C444E6" w:rsidRPr="00C444E6" w14:paraId="667A15EF" w14:textId="77777777" w:rsidTr="00C444E6">
            <w:trPr>
              <w:trHeight w:val="288"/>
            </w:trPr>
            <w:tc>
              <w:tcPr>
                <w:tcW w:w="3412" w:type="pct"/>
                <w:shd w:val="clear" w:color="auto" w:fill="auto"/>
                <w:noWrap/>
                <w:vAlign w:val="center"/>
                <w:hideMark/>
              </w:tcPr>
              <w:p w14:paraId="43984AE6"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lastRenderedPageBreak/>
                  <w:t>Derivative financial instruments</w:t>
                </w:r>
              </w:p>
            </w:tc>
            <w:tc>
              <w:tcPr>
                <w:tcW w:w="463" w:type="pct"/>
                <w:shd w:val="clear" w:color="auto" w:fill="auto"/>
                <w:vAlign w:val="center"/>
                <w:hideMark/>
              </w:tcPr>
              <w:p w14:paraId="447E222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w:t>
                </w:r>
              </w:p>
            </w:tc>
            <w:tc>
              <w:tcPr>
                <w:tcW w:w="567" w:type="pct"/>
                <w:shd w:val="clear" w:color="000000" w:fill="E2E5F3"/>
                <w:vAlign w:val="center"/>
                <w:hideMark/>
              </w:tcPr>
              <w:p w14:paraId="35F1591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(241)</w:t>
                </w:r>
              </w:p>
            </w:tc>
            <w:tc>
              <w:tcPr>
                <w:tcW w:w="558" w:type="pct"/>
                <w:shd w:val="clear" w:color="auto" w:fill="auto"/>
                <w:vAlign w:val="center"/>
                <w:hideMark/>
              </w:tcPr>
              <w:p w14:paraId="06F4555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(288)</w:t>
                </w:r>
              </w:p>
            </w:tc>
          </w:tr>
          <w:tr w:rsidR="00C444E6" w:rsidRPr="00C444E6" w14:paraId="326FB951" w14:textId="77777777" w:rsidTr="00C444E6">
            <w:trPr>
              <w:trHeight w:val="288"/>
            </w:trPr>
            <w:tc>
              <w:tcPr>
                <w:tcW w:w="3412" w:type="pct"/>
                <w:shd w:val="clear" w:color="auto" w:fill="auto"/>
                <w:noWrap/>
                <w:vAlign w:val="center"/>
                <w:hideMark/>
              </w:tcPr>
              <w:p w14:paraId="74A86848"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Post-employment benefit deficit</w:t>
                </w:r>
              </w:p>
            </w:tc>
            <w:tc>
              <w:tcPr>
                <w:tcW w:w="463" w:type="pct"/>
                <w:shd w:val="clear" w:color="auto" w:fill="auto"/>
                <w:vAlign w:val="center"/>
                <w:hideMark/>
              </w:tcPr>
              <w:p w14:paraId="7BB59906"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29</w:t>
                </w:r>
              </w:p>
            </w:tc>
            <w:tc>
              <w:tcPr>
                <w:tcW w:w="567" w:type="pct"/>
                <w:shd w:val="clear" w:color="000000" w:fill="E2E5F3"/>
                <w:vAlign w:val="center"/>
                <w:hideMark/>
              </w:tcPr>
              <w:p w14:paraId="00BC799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(657)</w:t>
                </w:r>
              </w:p>
            </w:tc>
            <w:tc>
              <w:tcPr>
                <w:tcW w:w="558" w:type="pct"/>
                <w:shd w:val="clear" w:color="auto" w:fill="auto"/>
                <w:vAlign w:val="center"/>
                <w:hideMark/>
              </w:tcPr>
              <w:p w14:paraId="5991337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(400)</w:t>
                </w:r>
              </w:p>
            </w:tc>
          </w:tr>
          <w:tr w:rsidR="00C444E6" w:rsidRPr="00C444E6" w14:paraId="61A94432" w14:textId="77777777" w:rsidTr="00C444E6">
            <w:trPr>
              <w:trHeight w:val="300"/>
            </w:trPr>
            <w:tc>
              <w:tcPr>
                <w:tcW w:w="3412" w:type="pct"/>
                <w:shd w:val="clear" w:color="auto" w:fill="auto"/>
                <w:noWrap/>
                <w:vAlign w:val="center"/>
                <w:hideMark/>
              </w:tcPr>
              <w:p w14:paraId="0325250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Deferred tax liabilities</w:t>
                </w:r>
              </w:p>
            </w:tc>
            <w:tc>
              <w:tcPr>
                <w:tcW w:w="463" w:type="pct"/>
                <w:shd w:val="clear" w:color="auto" w:fill="auto"/>
                <w:vAlign w:val="center"/>
                <w:hideMark/>
              </w:tcPr>
              <w:p w14:paraId="4309634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c>
              <w:tcPr>
                <w:tcW w:w="567" w:type="pct"/>
                <w:shd w:val="clear" w:color="000000" w:fill="E2E5F3"/>
                <w:vAlign w:val="center"/>
                <w:hideMark/>
              </w:tcPr>
              <w:p w14:paraId="5A32019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(269)</w:t>
                </w:r>
              </w:p>
            </w:tc>
            <w:tc>
              <w:tcPr>
                <w:tcW w:w="558" w:type="pct"/>
                <w:shd w:val="clear" w:color="auto" w:fill="auto"/>
                <w:vAlign w:val="center"/>
                <w:hideMark/>
              </w:tcPr>
              <w:p w14:paraId="4B74FA0B"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(119)</w:t>
                </w:r>
              </w:p>
            </w:tc>
          </w:tr>
          <w:tr w:rsidR="00C444E6" w:rsidRPr="00C444E6" w14:paraId="1BF64F27" w14:textId="77777777" w:rsidTr="00C444E6">
            <w:trPr>
              <w:trHeight w:val="300"/>
            </w:trPr>
            <w:tc>
              <w:tcPr>
                <w:tcW w:w="3412" w:type="pct"/>
                <w:shd w:val="clear" w:color="auto" w:fill="auto"/>
                <w:noWrap/>
                <w:vAlign w:val="center"/>
                <w:hideMark/>
              </w:tcPr>
              <w:p w14:paraId="35AA27F4"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463" w:type="pct"/>
                <w:shd w:val="clear" w:color="auto" w:fill="auto"/>
                <w:vAlign w:val="center"/>
                <w:hideMark/>
              </w:tcPr>
              <w:p w14:paraId="5BCB83CC"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298BFFE1"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(14,902)</w:t>
                </w:r>
              </w:p>
            </w:tc>
            <w:tc>
              <w:tcPr>
                <w:tcW w:w="558" w:type="pct"/>
                <w:shd w:val="clear" w:color="auto" w:fill="auto"/>
                <w:vAlign w:val="center"/>
                <w:hideMark/>
              </w:tcPr>
              <w:p w14:paraId="7AE41B40"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(16,033)</w:t>
                </w:r>
              </w:p>
            </w:tc>
          </w:tr>
          <w:tr w:rsidR="00C444E6" w:rsidRPr="00C444E6" w14:paraId="5655965D" w14:textId="77777777" w:rsidTr="00C444E6">
            <w:trPr>
              <w:trHeight w:val="300"/>
            </w:trPr>
            <w:tc>
              <w:tcPr>
                <w:tcW w:w="3412" w:type="pct"/>
                <w:shd w:val="clear" w:color="auto" w:fill="auto"/>
                <w:noWrap/>
                <w:vAlign w:val="center"/>
                <w:hideMark/>
              </w:tcPr>
              <w:p w14:paraId="53474A08"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Net assets</w:t>
                </w:r>
              </w:p>
            </w:tc>
            <w:tc>
              <w:tcPr>
                <w:tcW w:w="463" w:type="pct"/>
                <w:shd w:val="clear" w:color="auto" w:fill="auto"/>
                <w:vAlign w:val="center"/>
                <w:hideMark/>
              </w:tcPr>
              <w:p w14:paraId="70EFFDF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41EE6CCE"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11,665</w:t>
                </w:r>
              </w:p>
            </w:tc>
            <w:tc>
              <w:tcPr>
                <w:tcW w:w="558" w:type="pct"/>
                <w:shd w:val="clear" w:color="auto" w:fill="auto"/>
                <w:vAlign w:val="center"/>
                <w:hideMark/>
              </w:tcPr>
              <w:p w14:paraId="72D0FBB7"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12,225</w:t>
                </w:r>
              </w:p>
            </w:tc>
          </w:tr>
          <w:tr w:rsidR="00C444E6" w:rsidRPr="00C444E6" w14:paraId="54870BA9" w14:textId="77777777" w:rsidTr="00C444E6">
            <w:trPr>
              <w:trHeight w:val="288"/>
            </w:trPr>
            <w:tc>
              <w:tcPr>
                <w:tcW w:w="3412" w:type="pct"/>
                <w:shd w:val="clear" w:color="auto" w:fill="auto"/>
                <w:noWrap/>
                <w:vAlign w:val="center"/>
                <w:hideMark/>
              </w:tcPr>
              <w:p w14:paraId="2C76436E"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Equity</w:t>
                </w:r>
              </w:p>
            </w:tc>
            <w:tc>
              <w:tcPr>
                <w:tcW w:w="463" w:type="pct"/>
                <w:shd w:val="clear" w:color="auto" w:fill="auto"/>
                <w:vAlign w:val="center"/>
                <w:hideMark/>
              </w:tcPr>
              <w:p w14:paraId="50059E0A"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567" w:type="pct"/>
                <w:shd w:val="clear" w:color="000000" w:fill="E2E5F3"/>
                <w:vAlign w:val="center"/>
                <w:hideMark/>
              </w:tcPr>
              <w:p w14:paraId="028CBFA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58" w:type="pct"/>
                <w:shd w:val="clear" w:color="auto" w:fill="auto"/>
                <w:vAlign w:val="center"/>
                <w:hideMark/>
              </w:tcPr>
              <w:p w14:paraId="6CA0165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p>
            </w:tc>
          </w:tr>
          <w:tr w:rsidR="00C444E6" w:rsidRPr="00C444E6" w14:paraId="2513D976" w14:textId="77777777" w:rsidTr="00C444E6">
            <w:trPr>
              <w:trHeight w:val="288"/>
            </w:trPr>
            <w:tc>
              <w:tcPr>
                <w:tcW w:w="3412" w:type="pct"/>
                <w:shd w:val="clear" w:color="auto" w:fill="auto"/>
                <w:noWrap/>
                <w:vAlign w:val="center"/>
                <w:hideMark/>
              </w:tcPr>
              <w:p w14:paraId="5BD7385F"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Share capital</w:t>
                </w:r>
              </w:p>
            </w:tc>
            <w:tc>
              <w:tcPr>
                <w:tcW w:w="463" w:type="pct"/>
                <w:shd w:val="clear" w:color="auto" w:fill="auto"/>
                <w:vAlign w:val="center"/>
                <w:hideMark/>
              </w:tcPr>
              <w:p w14:paraId="6A9A768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30</w:t>
                </w:r>
              </w:p>
            </w:tc>
            <w:tc>
              <w:tcPr>
                <w:tcW w:w="567" w:type="pct"/>
                <w:shd w:val="clear" w:color="000000" w:fill="E2E5F3"/>
                <w:vAlign w:val="center"/>
                <w:hideMark/>
              </w:tcPr>
              <w:p w14:paraId="42C19645"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445</w:t>
                </w:r>
              </w:p>
            </w:tc>
            <w:tc>
              <w:tcPr>
                <w:tcW w:w="558" w:type="pct"/>
                <w:shd w:val="clear" w:color="auto" w:fill="auto"/>
                <w:vAlign w:val="center"/>
                <w:hideMark/>
              </w:tcPr>
              <w:p w14:paraId="17AEB99F"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463</w:t>
                </w:r>
              </w:p>
            </w:tc>
          </w:tr>
          <w:tr w:rsidR="00C444E6" w:rsidRPr="00C444E6" w14:paraId="691DF2FD" w14:textId="77777777" w:rsidTr="00C444E6">
            <w:trPr>
              <w:trHeight w:val="288"/>
            </w:trPr>
            <w:tc>
              <w:tcPr>
                <w:tcW w:w="3412" w:type="pct"/>
                <w:shd w:val="clear" w:color="auto" w:fill="auto"/>
                <w:noWrap/>
                <w:vAlign w:val="center"/>
                <w:hideMark/>
              </w:tcPr>
              <w:p w14:paraId="058A4F66"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Share premium</w:t>
                </w:r>
              </w:p>
            </w:tc>
            <w:tc>
              <w:tcPr>
                <w:tcW w:w="463" w:type="pct"/>
                <w:shd w:val="clear" w:color="auto" w:fill="auto"/>
                <w:vAlign w:val="center"/>
                <w:hideMark/>
              </w:tcPr>
              <w:p w14:paraId="2614B321"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p>
            </w:tc>
            <w:tc>
              <w:tcPr>
                <w:tcW w:w="567" w:type="pct"/>
                <w:shd w:val="clear" w:color="000000" w:fill="E2E5F3"/>
                <w:vAlign w:val="center"/>
                <w:hideMark/>
              </w:tcPr>
              <w:p w14:paraId="0328BFE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5,165</w:t>
                </w:r>
              </w:p>
            </w:tc>
            <w:tc>
              <w:tcPr>
                <w:tcW w:w="558" w:type="pct"/>
                <w:shd w:val="clear" w:color="auto" w:fill="auto"/>
                <w:vAlign w:val="center"/>
                <w:hideMark/>
              </w:tcPr>
              <w:p w14:paraId="4D55A16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5,165</w:t>
                </w:r>
              </w:p>
            </w:tc>
          </w:tr>
          <w:tr w:rsidR="00C444E6" w:rsidRPr="00C444E6" w14:paraId="57BD4588" w14:textId="77777777" w:rsidTr="00C444E6">
            <w:trPr>
              <w:trHeight w:val="288"/>
            </w:trPr>
            <w:tc>
              <w:tcPr>
                <w:tcW w:w="3412" w:type="pct"/>
                <w:shd w:val="clear" w:color="auto" w:fill="auto"/>
                <w:noWrap/>
                <w:vAlign w:val="center"/>
                <w:hideMark/>
              </w:tcPr>
              <w:p w14:paraId="3CFFCD72"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Other reserves</w:t>
                </w:r>
              </w:p>
            </w:tc>
            <w:tc>
              <w:tcPr>
                <w:tcW w:w="463" w:type="pct"/>
                <w:shd w:val="clear" w:color="auto" w:fill="auto"/>
                <w:vAlign w:val="center"/>
                <w:hideMark/>
              </w:tcPr>
              <w:p w14:paraId="3C7959B8"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30</w:t>
                </w:r>
              </w:p>
            </w:tc>
            <w:tc>
              <w:tcPr>
                <w:tcW w:w="567" w:type="pct"/>
                <w:shd w:val="clear" w:color="000000" w:fill="E2E5F3"/>
                <w:vAlign w:val="center"/>
                <w:hideMark/>
              </w:tcPr>
              <w:p w14:paraId="1673B06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3,131</w:t>
                </w:r>
              </w:p>
            </w:tc>
            <w:tc>
              <w:tcPr>
                <w:tcW w:w="558" w:type="pct"/>
                <w:shd w:val="clear" w:color="auto" w:fill="auto"/>
                <w:vAlign w:val="center"/>
                <w:hideMark/>
              </w:tcPr>
              <w:p w14:paraId="6F42261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3,139</w:t>
                </w:r>
              </w:p>
            </w:tc>
          </w:tr>
          <w:tr w:rsidR="00C444E6" w:rsidRPr="00C444E6" w14:paraId="1AD0CE45" w14:textId="77777777" w:rsidTr="00C444E6">
            <w:trPr>
              <w:trHeight w:val="300"/>
            </w:trPr>
            <w:tc>
              <w:tcPr>
                <w:tcW w:w="3412" w:type="pct"/>
                <w:shd w:val="clear" w:color="auto" w:fill="auto"/>
                <w:noWrap/>
                <w:vAlign w:val="center"/>
                <w:hideMark/>
              </w:tcPr>
              <w:p w14:paraId="13215D55"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Retained earnings</w:t>
                </w:r>
              </w:p>
            </w:tc>
            <w:tc>
              <w:tcPr>
                <w:tcW w:w="463" w:type="pct"/>
                <w:shd w:val="clear" w:color="auto" w:fill="auto"/>
                <w:vAlign w:val="center"/>
                <w:hideMark/>
              </w:tcPr>
              <w:p w14:paraId="02064114"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44FB3C69"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2,930</w:t>
                </w:r>
              </w:p>
            </w:tc>
            <w:tc>
              <w:tcPr>
                <w:tcW w:w="558" w:type="pct"/>
                <w:shd w:val="clear" w:color="auto" w:fill="auto"/>
                <w:vAlign w:val="center"/>
                <w:hideMark/>
              </w:tcPr>
              <w:p w14:paraId="75495F10"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3,469</w:t>
                </w:r>
              </w:p>
            </w:tc>
          </w:tr>
          <w:tr w:rsidR="00C444E6" w:rsidRPr="00C444E6" w14:paraId="1740FED9" w14:textId="77777777" w:rsidTr="00C444E6">
            <w:trPr>
              <w:trHeight w:val="288"/>
            </w:trPr>
            <w:tc>
              <w:tcPr>
                <w:tcW w:w="3412" w:type="pct"/>
                <w:shd w:val="clear" w:color="auto" w:fill="auto"/>
                <w:noWrap/>
                <w:vAlign w:val="center"/>
                <w:hideMark/>
              </w:tcPr>
              <w:p w14:paraId="5785DE71"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Equity attributable to owners of the parent</w:t>
                </w:r>
              </w:p>
            </w:tc>
            <w:tc>
              <w:tcPr>
                <w:tcW w:w="463" w:type="pct"/>
                <w:shd w:val="clear" w:color="auto" w:fill="auto"/>
                <w:vAlign w:val="center"/>
                <w:hideMark/>
              </w:tcPr>
              <w:p w14:paraId="45B389CA"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p>
            </w:tc>
            <w:tc>
              <w:tcPr>
                <w:tcW w:w="567" w:type="pct"/>
                <w:shd w:val="clear" w:color="000000" w:fill="E2E5F3"/>
                <w:vAlign w:val="center"/>
                <w:hideMark/>
              </w:tcPr>
              <w:p w14:paraId="13B9E413"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11,671</w:t>
                </w:r>
              </w:p>
            </w:tc>
            <w:tc>
              <w:tcPr>
                <w:tcW w:w="558" w:type="pct"/>
                <w:shd w:val="clear" w:color="auto" w:fill="auto"/>
                <w:vAlign w:val="center"/>
                <w:hideMark/>
              </w:tcPr>
              <w:p w14:paraId="5D6F70A3"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12,236</w:t>
                </w:r>
              </w:p>
            </w:tc>
          </w:tr>
          <w:tr w:rsidR="00C444E6" w:rsidRPr="00C444E6" w14:paraId="7CFE233B" w14:textId="77777777" w:rsidTr="00C444E6">
            <w:trPr>
              <w:trHeight w:val="300"/>
            </w:trPr>
            <w:tc>
              <w:tcPr>
                <w:tcW w:w="3412" w:type="pct"/>
                <w:shd w:val="clear" w:color="auto" w:fill="auto"/>
                <w:noWrap/>
                <w:vAlign w:val="center"/>
                <w:hideMark/>
              </w:tcPr>
              <w:p w14:paraId="337D984F" w14:textId="77777777" w:rsidR="00C444E6" w:rsidRPr="00C444E6" w:rsidRDefault="00C444E6" w:rsidP="00C444E6">
                <w:pPr>
                  <w:spacing w:after="0" w:line="240" w:lineRule="auto"/>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Non-controlling interests</w:t>
                </w:r>
              </w:p>
            </w:tc>
            <w:tc>
              <w:tcPr>
                <w:tcW w:w="463" w:type="pct"/>
                <w:shd w:val="clear" w:color="auto" w:fill="auto"/>
                <w:vAlign w:val="center"/>
                <w:hideMark/>
              </w:tcPr>
              <w:p w14:paraId="7448E17E"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2AFF93F7"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(6)</w:t>
                </w:r>
              </w:p>
            </w:tc>
            <w:tc>
              <w:tcPr>
                <w:tcW w:w="558" w:type="pct"/>
                <w:shd w:val="clear" w:color="auto" w:fill="auto"/>
                <w:vAlign w:val="center"/>
                <w:hideMark/>
              </w:tcPr>
              <w:p w14:paraId="29DC2181"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(11)</w:t>
                </w:r>
              </w:p>
            </w:tc>
          </w:tr>
          <w:tr w:rsidR="00C444E6" w:rsidRPr="00C444E6" w14:paraId="3343626C" w14:textId="77777777" w:rsidTr="00C444E6">
            <w:trPr>
              <w:trHeight w:val="300"/>
            </w:trPr>
            <w:tc>
              <w:tcPr>
                <w:tcW w:w="3412" w:type="pct"/>
                <w:shd w:val="clear" w:color="auto" w:fill="auto"/>
                <w:noWrap/>
                <w:vAlign w:val="center"/>
                <w:hideMark/>
              </w:tcPr>
              <w:p w14:paraId="3C9A98AD" w14:textId="77777777" w:rsidR="00C444E6" w:rsidRPr="00C444E6" w:rsidRDefault="00C444E6" w:rsidP="00C444E6">
                <w:pPr>
                  <w:spacing w:after="0" w:line="240" w:lineRule="auto"/>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Total equity</w:t>
                </w:r>
              </w:p>
            </w:tc>
            <w:tc>
              <w:tcPr>
                <w:tcW w:w="463" w:type="pct"/>
                <w:shd w:val="clear" w:color="auto" w:fill="auto"/>
                <w:vAlign w:val="center"/>
                <w:hideMark/>
              </w:tcPr>
              <w:p w14:paraId="11E003A3" w14:textId="77777777" w:rsidR="00C444E6" w:rsidRPr="00C444E6" w:rsidRDefault="00C444E6" w:rsidP="00C444E6">
                <w:pPr>
                  <w:spacing w:after="0" w:line="240" w:lineRule="auto"/>
                  <w:jc w:val="right"/>
                  <w:rPr>
                    <w:rFonts w:ascii="Calibri" w:eastAsia="Times New Roman" w:hAnsi="Calibri" w:cs="Calibri"/>
                    <w:color w:val="000000"/>
                    <w:sz w:val="18"/>
                    <w:szCs w:val="18"/>
                    <w:lang w:val="en-IN" w:eastAsia="en-IN"/>
                  </w:rPr>
                </w:pPr>
                <w:r w:rsidRPr="00C444E6">
                  <w:rPr>
                    <w:rFonts w:ascii="Calibri" w:eastAsia="Times New Roman" w:hAnsi="Calibri" w:cs="Calibri"/>
                    <w:color w:val="000000"/>
                    <w:sz w:val="18"/>
                    <w:szCs w:val="18"/>
                    <w:lang w:val="en-IN" w:eastAsia="en-IN"/>
                  </w:rPr>
                  <w:t> </w:t>
                </w:r>
              </w:p>
            </w:tc>
            <w:tc>
              <w:tcPr>
                <w:tcW w:w="567" w:type="pct"/>
                <w:shd w:val="clear" w:color="000000" w:fill="E2E5F3"/>
                <w:vAlign w:val="center"/>
                <w:hideMark/>
              </w:tcPr>
              <w:p w14:paraId="59F82F13"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11,665</w:t>
                </w:r>
              </w:p>
            </w:tc>
            <w:tc>
              <w:tcPr>
                <w:tcW w:w="558" w:type="pct"/>
                <w:shd w:val="clear" w:color="auto" w:fill="auto"/>
                <w:vAlign w:val="center"/>
                <w:hideMark/>
              </w:tcPr>
              <w:p w14:paraId="2132C1D9" w14:textId="77777777" w:rsidR="00C444E6" w:rsidRPr="00C444E6" w:rsidRDefault="00C444E6" w:rsidP="00C444E6">
                <w:pPr>
                  <w:spacing w:after="0" w:line="240" w:lineRule="auto"/>
                  <w:jc w:val="right"/>
                  <w:rPr>
                    <w:rFonts w:ascii="Calibri" w:eastAsia="Times New Roman" w:hAnsi="Calibri" w:cs="Calibri"/>
                    <w:b/>
                    <w:bCs/>
                    <w:color w:val="000000"/>
                    <w:sz w:val="18"/>
                    <w:szCs w:val="18"/>
                    <w:lang w:val="en-IN" w:eastAsia="en-IN"/>
                  </w:rPr>
                </w:pPr>
                <w:r w:rsidRPr="00C444E6">
                  <w:rPr>
                    <w:rFonts w:ascii="Calibri" w:eastAsia="Times New Roman" w:hAnsi="Calibri" w:cs="Calibri"/>
                    <w:b/>
                    <w:bCs/>
                    <w:color w:val="000000"/>
                    <w:sz w:val="18"/>
                    <w:szCs w:val="18"/>
                    <w:lang w:val="en-IN" w:eastAsia="en-IN"/>
                  </w:rPr>
                  <w:t>12,225</w:t>
                </w:r>
              </w:p>
            </w:tc>
          </w:tr>
        </w:tbl>
        <w:p w14:paraId="3324F276" w14:textId="77777777" w:rsidR="00C444E6" w:rsidRPr="00C444E6" w:rsidRDefault="00C444E6" w:rsidP="00C444E6"/>
        <w:p w14:paraId="7CC6EDEA" w14:textId="77777777" w:rsidR="00C444E6" w:rsidRPr="00C444E6" w:rsidRDefault="00C444E6" w:rsidP="00C444E6"/>
        <w:p w14:paraId="4DFBA785" w14:textId="77777777" w:rsidR="00C444E6" w:rsidRPr="00C444E6" w:rsidRDefault="00C444E6" w:rsidP="00C444E6"/>
        <w:p w14:paraId="40581E57" w14:textId="77777777" w:rsidR="00C444E6" w:rsidRPr="00C444E6" w:rsidRDefault="00C444E6" w:rsidP="00C444E6"/>
        <w:p w14:paraId="11F0AFC6" w14:textId="77777777" w:rsidR="00C444E6" w:rsidRPr="00C444E6" w:rsidRDefault="00C444E6" w:rsidP="00C444E6"/>
        <w:p w14:paraId="3B758F56" w14:textId="77777777" w:rsidR="00C444E6" w:rsidRPr="00C444E6" w:rsidRDefault="00C444E6" w:rsidP="00C444E6"/>
        <w:p w14:paraId="11F65D5D" w14:textId="77777777" w:rsidR="00C444E6" w:rsidRPr="00C444E6" w:rsidRDefault="00C444E6" w:rsidP="00C444E6"/>
        <w:p w14:paraId="15E29E6E" w14:textId="77777777" w:rsidR="00C444E6" w:rsidRPr="00C444E6" w:rsidRDefault="00C444E6" w:rsidP="00C444E6"/>
        <w:p w14:paraId="65B8A0E7" w14:textId="77777777" w:rsidR="00C444E6" w:rsidRPr="00C444E6" w:rsidRDefault="00C444E6" w:rsidP="00C444E6"/>
        <w:p w14:paraId="7A0FFF8C" w14:textId="77777777" w:rsidR="00C444E6" w:rsidRPr="00C444E6" w:rsidRDefault="00C444E6" w:rsidP="00C444E6"/>
        <w:p w14:paraId="2C808494" w14:textId="77777777" w:rsidR="00C444E6" w:rsidRPr="00C444E6" w:rsidRDefault="00C444E6" w:rsidP="00C444E6"/>
        <w:p w14:paraId="2D0BBCD0" w14:textId="77777777" w:rsidR="00480872" w:rsidRDefault="00480872" w:rsidP="00AA2A91">
          <w:pPr>
            <w:pStyle w:val="Heading1"/>
          </w:pPr>
        </w:p>
        <w:p w14:paraId="36574C88" w14:textId="77777777" w:rsidR="00480872" w:rsidRDefault="00480872" w:rsidP="00AA2A91">
          <w:pPr>
            <w:pStyle w:val="Heading1"/>
          </w:pPr>
        </w:p>
        <w:p w14:paraId="765EECCB" w14:textId="77777777" w:rsidR="00CF0E48" w:rsidRDefault="00CF0E48" w:rsidP="00CF0E48"/>
        <w:p w14:paraId="5734C7F5" w14:textId="77777777" w:rsidR="00CF0E48" w:rsidRPr="00CF0E48" w:rsidRDefault="00CF0E48" w:rsidP="00CF0E48"/>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BBAF9C4" w14:textId="44387D1C" w:rsidR="00AA2A91" w:rsidRDefault="00000000" w:rsidP="00AA2A91"/>
      </w:sdtContent>
    </w:sdt>
    <w:sectPr w:rsidR="00AA2A91" w:rsidSect="007D1947">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4C880" w14:textId="77777777" w:rsidR="00F45CAE" w:rsidRDefault="00F45CAE" w:rsidP="00F33B24">
      <w:pPr>
        <w:spacing w:after="0" w:line="240" w:lineRule="auto"/>
      </w:pPr>
      <w:r>
        <w:separator/>
      </w:r>
    </w:p>
  </w:endnote>
  <w:endnote w:type="continuationSeparator" w:id="0">
    <w:p w14:paraId="6408229D" w14:textId="77777777" w:rsidR="00F45CAE" w:rsidRDefault="00F45CAE"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4E4F8" w14:textId="77777777" w:rsidR="00F45CAE" w:rsidRDefault="00F45CAE" w:rsidP="00F33B24">
      <w:pPr>
        <w:spacing w:after="0" w:line="240" w:lineRule="auto"/>
      </w:pPr>
      <w:r>
        <w:separator/>
      </w:r>
    </w:p>
  </w:footnote>
  <w:footnote w:type="continuationSeparator" w:id="0">
    <w:p w14:paraId="7F707F4E" w14:textId="77777777" w:rsidR="00F45CAE" w:rsidRDefault="00F45CAE"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274D0C"/>
    <w:multiLevelType w:val="multilevel"/>
    <w:tmpl w:val="1F602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974014"/>
    <w:multiLevelType w:val="multilevel"/>
    <w:tmpl w:val="238AD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8110543">
    <w:abstractNumId w:val="0"/>
  </w:num>
  <w:num w:numId="2" w16cid:durableId="985471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2E0"/>
    <w:rsid w:val="000221D5"/>
    <w:rsid w:val="00031AC3"/>
    <w:rsid w:val="000479F5"/>
    <w:rsid w:val="00084E65"/>
    <w:rsid w:val="00107936"/>
    <w:rsid w:val="00115B96"/>
    <w:rsid w:val="001A3814"/>
    <w:rsid w:val="002118AD"/>
    <w:rsid w:val="002C3D7A"/>
    <w:rsid w:val="003215D7"/>
    <w:rsid w:val="00324763"/>
    <w:rsid w:val="00324CCD"/>
    <w:rsid w:val="003757EC"/>
    <w:rsid w:val="003C11E7"/>
    <w:rsid w:val="003D1FA7"/>
    <w:rsid w:val="00423260"/>
    <w:rsid w:val="004560C3"/>
    <w:rsid w:val="00480872"/>
    <w:rsid w:val="004872B7"/>
    <w:rsid w:val="00490F6B"/>
    <w:rsid w:val="004A11F6"/>
    <w:rsid w:val="004A1EE8"/>
    <w:rsid w:val="004B75E6"/>
    <w:rsid w:val="004D519C"/>
    <w:rsid w:val="00516F2D"/>
    <w:rsid w:val="005366BD"/>
    <w:rsid w:val="0055333B"/>
    <w:rsid w:val="0060225C"/>
    <w:rsid w:val="0062203A"/>
    <w:rsid w:val="006562CC"/>
    <w:rsid w:val="006C5D46"/>
    <w:rsid w:val="006E76B3"/>
    <w:rsid w:val="006F09F0"/>
    <w:rsid w:val="006F27C1"/>
    <w:rsid w:val="00703143"/>
    <w:rsid w:val="00731D6D"/>
    <w:rsid w:val="00762C3E"/>
    <w:rsid w:val="007746A9"/>
    <w:rsid w:val="00777900"/>
    <w:rsid w:val="007867D1"/>
    <w:rsid w:val="007B1343"/>
    <w:rsid w:val="007C296E"/>
    <w:rsid w:val="007D1947"/>
    <w:rsid w:val="007F59D8"/>
    <w:rsid w:val="00840FE2"/>
    <w:rsid w:val="008466F9"/>
    <w:rsid w:val="008971C2"/>
    <w:rsid w:val="008B425C"/>
    <w:rsid w:val="008D4739"/>
    <w:rsid w:val="00931CAA"/>
    <w:rsid w:val="009E6776"/>
    <w:rsid w:val="00A11633"/>
    <w:rsid w:val="00A12B58"/>
    <w:rsid w:val="00A37815"/>
    <w:rsid w:val="00A77AA2"/>
    <w:rsid w:val="00AA2A91"/>
    <w:rsid w:val="00AA4626"/>
    <w:rsid w:val="00AE342C"/>
    <w:rsid w:val="00B24758"/>
    <w:rsid w:val="00B55C08"/>
    <w:rsid w:val="00B632AB"/>
    <w:rsid w:val="00BC5EF6"/>
    <w:rsid w:val="00C06376"/>
    <w:rsid w:val="00C444E6"/>
    <w:rsid w:val="00C65FFA"/>
    <w:rsid w:val="00C74095"/>
    <w:rsid w:val="00C82515"/>
    <w:rsid w:val="00C94D9F"/>
    <w:rsid w:val="00CA09F3"/>
    <w:rsid w:val="00CE5A9D"/>
    <w:rsid w:val="00CF0E48"/>
    <w:rsid w:val="00D31063"/>
    <w:rsid w:val="00D4303E"/>
    <w:rsid w:val="00D555D8"/>
    <w:rsid w:val="00D65E9D"/>
    <w:rsid w:val="00D80C91"/>
    <w:rsid w:val="00D854A5"/>
    <w:rsid w:val="00E54073"/>
    <w:rsid w:val="00E902D0"/>
    <w:rsid w:val="00E9159C"/>
    <w:rsid w:val="00E963FF"/>
    <w:rsid w:val="00F33B24"/>
    <w:rsid w:val="00F45CAE"/>
    <w:rsid w:val="00F5072A"/>
    <w:rsid w:val="00F66492"/>
    <w:rsid w:val="00F72830"/>
    <w:rsid w:val="00FC2F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67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7867D1"/>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7867D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762C3E"/>
    <w:pPr>
      <w:spacing w:after="100"/>
      <w:ind w:left="440"/>
    </w:pPr>
  </w:style>
  <w:style w:type="paragraph" w:styleId="TableofFigures">
    <w:name w:val="table of figures"/>
    <w:basedOn w:val="Normal"/>
    <w:next w:val="Normal"/>
    <w:uiPriority w:val="99"/>
    <w:unhideWhenUsed/>
    <w:rsid w:val="000221D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3208">
      <w:bodyDiv w:val="1"/>
      <w:marLeft w:val="0"/>
      <w:marRight w:val="0"/>
      <w:marTop w:val="0"/>
      <w:marBottom w:val="0"/>
      <w:divBdr>
        <w:top w:val="none" w:sz="0" w:space="0" w:color="auto"/>
        <w:left w:val="none" w:sz="0" w:space="0" w:color="auto"/>
        <w:bottom w:val="none" w:sz="0" w:space="0" w:color="auto"/>
        <w:right w:val="none" w:sz="0" w:space="0" w:color="auto"/>
      </w:divBdr>
    </w:div>
    <w:div w:id="26491817">
      <w:bodyDiv w:val="1"/>
      <w:marLeft w:val="0"/>
      <w:marRight w:val="0"/>
      <w:marTop w:val="0"/>
      <w:marBottom w:val="0"/>
      <w:divBdr>
        <w:top w:val="none" w:sz="0" w:space="0" w:color="auto"/>
        <w:left w:val="none" w:sz="0" w:space="0" w:color="auto"/>
        <w:bottom w:val="none" w:sz="0" w:space="0" w:color="auto"/>
        <w:right w:val="none" w:sz="0" w:space="0" w:color="auto"/>
      </w:divBdr>
    </w:div>
    <w:div w:id="34474152">
      <w:bodyDiv w:val="1"/>
      <w:marLeft w:val="0"/>
      <w:marRight w:val="0"/>
      <w:marTop w:val="0"/>
      <w:marBottom w:val="0"/>
      <w:divBdr>
        <w:top w:val="none" w:sz="0" w:space="0" w:color="auto"/>
        <w:left w:val="none" w:sz="0" w:space="0" w:color="auto"/>
        <w:bottom w:val="none" w:sz="0" w:space="0" w:color="auto"/>
        <w:right w:val="none" w:sz="0" w:space="0" w:color="auto"/>
      </w:divBdr>
    </w:div>
    <w:div w:id="42489497">
      <w:bodyDiv w:val="1"/>
      <w:marLeft w:val="0"/>
      <w:marRight w:val="0"/>
      <w:marTop w:val="0"/>
      <w:marBottom w:val="0"/>
      <w:divBdr>
        <w:top w:val="none" w:sz="0" w:space="0" w:color="auto"/>
        <w:left w:val="none" w:sz="0" w:space="0" w:color="auto"/>
        <w:bottom w:val="none" w:sz="0" w:space="0" w:color="auto"/>
        <w:right w:val="none" w:sz="0" w:space="0" w:color="auto"/>
      </w:divBdr>
    </w:div>
    <w:div w:id="53361362">
      <w:bodyDiv w:val="1"/>
      <w:marLeft w:val="0"/>
      <w:marRight w:val="0"/>
      <w:marTop w:val="0"/>
      <w:marBottom w:val="0"/>
      <w:divBdr>
        <w:top w:val="none" w:sz="0" w:space="0" w:color="auto"/>
        <w:left w:val="none" w:sz="0" w:space="0" w:color="auto"/>
        <w:bottom w:val="none" w:sz="0" w:space="0" w:color="auto"/>
        <w:right w:val="none" w:sz="0" w:space="0" w:color="auto"/>
      </w:divBdr>
    </w:div>
    <w:div w:id="92943754">
      <w:bodyDiv w:val="1"/>
      <w:marLeft w:val="0"/>
      <w:marRight w:val="0"/>
      <w:marTop w:val="0"/>
      <w:marBottom w:val="0"/>
      <w:divBdr>
        <w:top w:val="none" w:sz="0" w:space="0" w:color="auto"/>
        <w:left w:val="none" w:sz="0" w:space="0" w:color="auto"/>
        <w:bottom w:val="none" w:sz="0" w:space="0" w:color="auto"/>
        <w:right w:val="none" w:sz="0" w:space="0" w:color="auto"/>
      </w:divBdr>
    </w:div>
    <w:div w:id="124858956">
      <w:bodyDiv w:val="1"/>
      <w:marLeft w:val="0"/>
      <w:marRight w:val="0"/>
      <w:marTop w:val="0"/>
      <w:marBottom w:val="0"/>
      <w:divBdr>
        <w:top w:val="none" w:sz="0" w:space="0" w:color="auto"/>
        <w:left w:val="none" w:sz="0" w:space="0" w:color="auto"/>
        <w:bottom w:val="none" w:sz="0" w:space="0" w:color="auto"/>
        <w:right w:val="none" w:sz="0" w:space="0" w:color="auto"/>
      </w:divBdr>
    </w:div>
    <w:div w:id="125702389">
      <w:bodyDiv w:val="1"/>
      <w:marLeft w:val="0"/>
      <w:marRight w:val="0"/>
      <w:marTop w:val="0"/>
      <w:marBottom w:val="0"/>
      <w:divBdr>
        <w:top w:val="none" w:sz="0" w:space="0" w:color="auto"/>
        <w:left w:val="none" w:sz="0" w:space="0" w:color="auto"/>
        <w:bottom w:val="none" w:sz="0" w:space="0" w:color="auto"/>
        <w:right w:val="none" w:sz="0" w:space="0" w:color="auto"/>
      </w:divBdr>
    </w:div>
    <w:div w:id="141582396">
      <w:bodyDiv w:val="1"/>
      <w:marLeft w:val="0"/>
      <w:marRight w:val="0"/>
      <w:marTop w:val="0"/>
      <w:marBottom w:val="0"/>
      <w:divBdr>
        <w:top w:val="none" w:sz="0" w:space="0" w:color="auto"/>
        <w:left w:val="none" w:sz="0" w:space="0" w:color="auto"/>
        <w:bottom w:val="none" w:sz="0" w:space="0" w:color="auto"/>
        <w:right w:val="none" w:sz="0" w:space="0" w:color="auto"/>
      </w:divBdr>
    </w:div>
    <w:div w:id="153107940">
      <w:bodyDiv w:val="1"/>
      <w:marLeft w:val="0"/>
      <w:marRight w:val="0"/>
      <w:marTop w:val="0"/>
      <w:marBottom w:val="0"/>
      <w:divBdr>
        <w:top w:val="none" w:sz="0" w:space="0" w:color="auto"/>
        <w:left w:val="none" w:sz="0" w:space="0" w:color="auto"/>
        <w:bottom w:val="none" w:sz="0" w:space="0" w:color="auto"/>
        <w:right w:val="none" w:sz="0" w:space="0" w:color="auto"/>
      </w:divBdr>
    </w:div>
    <w:div w:id="170414642">
      <w:bodyDiv w:val="1"/>
      <w:marLeft w:val="0"/>
      <w:marRight w:val="0"/>
      <w:marTop w:val="0"/>
      <w:marBottom w:val="0"/>
      <w:divBdr>
        <w:top w:val="none" w:sz="0" w:space="0" w:color="auto"/>
        <w:left w:val="none" w:sz="0" w:space="0" w:color="auto"/>
        <w:bottom w:val="none" w:sz="0" w:space="0" w:color="auto"/>
        <w:right w:val="none" w:sz="0" w:space="0" w:color="auto"/>
      </w:divBdr>
    </w:div>
    <w:div w:id="174540941">
      <w:bodyDiv w:val="1"/>
      <w:marLeft w:val="0"/>
      <w:marRight w:val="0"/>
      <w:marTop w:val="0"/>
      <w:marBottom w:val="0"/>
      <w:divBdr>
        <w:top w:val="none" w:sz="0" w:space="0" w:color="auto"/>
        <w:left w:val="none" w:sz="0" w:space="0" w:color="auto"/>
        <w:bottom w:val="none" w:sz="0" w:space="0" w:color="auto"/>
        <w:right w:val="none" w:sz="0" w:space="0" w:color="auto"/>
      </w:divBdr>
    </w:div>
    <w:div w:id="194586797">
      <w:bodyDiv w:val="1"/>
      <w:marLeft w:val="0"/>
      <w:marRight w:val="0"/>
      <w:marTop w:val="0"/>
      <w:marBottom w:val="0"/>
      <w:divBdr>
        <w:top w:val="none" w:sz="0" w:space="0" w:color="auto"/>
        <w:left w:val="none" w:sz="0" w:space="0" w:color="auto"/>
        <w:bottom w:val="none" w:sz="0" w:space="0" w:color="auto"/>
        <w:right w:val="none" w:sz="0" w:space="0" w:color="auto"/>
      </w:divBdr>
    </w:div>
    <w:div w:id="228225894">
      <w:bodyDiv w:val="1"/>
      <w:marLeft w:val="0"/>
      <w:marRight w:val="0"/>
      <w:marTop w:val="0"/>
      <w:marBottom w:val="0"/>
      <w:divBdr>
        <w:top w:val="none" w:sz="0" w:space="0" w:color="auto"/>
        <w:left w:val="none" w:sz="0" w:space="0" w:color="auto"/>
        <w:bottom w:val="none" w:sz="0" w:space="0" w:color="auto"/>
        <w:right w:val="none" w:sz="0" w:space="0" w:color="auto"/>
      </w:divBdr>
    </w:div>
    <w:div w:id="261306919">
      <w:bodyDiv w:val="1"/>
      <w:marLeft w:val="0"/>
      <w:marRight w:val="0"/>
      <w:marTop w:val="0"/>
      <w:marBottom w:val="0"/>
      <w:divBdr>
        <w:top w:val="none" w:sz="0" w:space="0" w:color="auto"/>
        <w:left w:val="none" w:sz="0" w:space="0" w:color="auto"/>
        <w:bottom w:val="none" w:sz="0" w:space="0" w:color="auto"/>
        <w:right w:val="none" w:sz="0" w:space="0" w:color="auto"/>
      </w:divBdr>
    </w:div>
    <w:div w:id="261424020">
      <w:bodyDiv w:val="1"/>
      <w:marLeft w:val="0"/>
      <w:marRight w:val="0"/>
      <w:marTop w:val="0"/>
      <w:marBottom w:val="0"/>
      <w:divBdr>
        <w:top w:val="none" w:sz="0" w:space="0" w:color="auto"/>
        <w:left w:val="none" w:sz="0" w:space="0" w:color="auto"/>
        <w:bottom w:val="none" w:sz="0" w:space="0" w:color="auto"/>
        <w:right w:val="none" w:sz="0" w:space="0" w:color="auto"/>
      </w:divBdr>
    </w:div>
    <w:div w:id="330913180">
      <w:bodyDiv w:val="1"/>
      <w:marLeft w:val="0"/>
      <w:marRight w:val="0"/>
      <w:marTop w:val="0"/>
      <w:marBottom w:val="0"/>
      <w:divBdr>
        <w:top w:val="none" w:sz="0" w:space="0" w:color="auto"/>
        <w:left w:val="none" w:sz="0" w:space="0" w:color="auto"/>
        <w:bottom w:val="none" w:sz="0" w:space="0" w:color="auto"/>
        <w:right w:val="none" w:sz="0" w:space="0" w:color="auto"/>
      </w:divBdr>
    </w:div>
    <w:div w:id="331639228">
      <w:bodyDiv w:val="1"/>
      <w:marLeft w:val="0"/>
      <w:marRight w:val="0"/>
      <w:marTop w:val="0"/>
      <w:marBottom w:val="0"/>
      <w:divBdr>
        <w:top w:val="none" w:sz="0" w:space="0" w:color="auto"/>
        <w:left w:val="none" w:sz="0" w:space="0" w:color="auto"/>
        <w:bottom w:val="none" w:sz="0" w:space="0" w:color="auto"/>
        <w:right w:val="none" w:sz="0" w:space="0" w:color="auto"/>
      </w:divBdr>
    </w:div>
    <w:div w:id="335764350">
      <w:bodyDiv w:val="1"/>
      <w:marLeft w:val="0"/>
      <w:marRight w:val="0"/>
      <w:marTop w:val="0"/>
      <w:marBottom w:val="0"/>
      <w:divBdr>
        <w:top w:val="none" w:sz="0" w:space="0" w:color="auto"/>
        <w:left w:val="none" w:sz="0" w:space="0" w:color="auto"/>
        <w:bottom w:val="none" w:sz="0" w:space="0" w:color="auto"/>
        <w:right w:val="none" w:sz="0" w:space="0" w:color="auto"/>
      </w:divBdr>
    </w:div>
    <w:div w:id="367535619">
      <w:bodyDiv w:val="1"/>
      <w:marLeft w:val="0"/>
      <w:marRight w:val="0"/>
      <w:marTop w:val="0"/>
      <w:marBottom w:val="0"/>
      <w:divBdr>
        <w:top w:val="none" w:sz="0" w:space="0" w:color="auto"/>
        <w:left w:val="none" w:sz="0" w:space="0" w:color="auto"/>
        <w:bottom w:val="none" w:sz="0" w:space="0" w:color="auto"/>
        <w:right w:val="none" w:sz="0" w:space="0" w:color="auto"/>
      </w:divBdr>
    </w:div>
    <w:div w:id="380207031">
      <w:bodyDiv w:val="1"/>
      <w:marLeft w:val="0"/>
      <w:marRight w:val="0"/>
      <w:marTop w:val="0"/>
      <w:marBottom w:val="0"/>
      <w:divBdr>
        <w:top w:val="none" w:sz="0" w:space="0" w:color="auto"/>
        <w:left w:val="none" w:sz="0" w:space="0" w:color="auto"/>
        <w:bottom w:val="none" w:sz="0" w:space="0" w:color="auto"/>
        <w:right w:val="none" w:sz="0" w:space="0" w:color="auto"/>
      </w:divBdr>
    </w:div>
    <w:div w:id="421684664">
      <w:bodyDiv w:val="1"/>
      <w:marLeft w:val="0"/>
      <w:marRight w:val="0"/>
      <w:marTop w:val="0"/>
      <w:marBottom w:val="0"/>
      <w:divBdr>
        <w:top w:val="none" w:sz="0" w:space="0" w:color="auto"/>
        <w:left w:val="none" w:sz="0" w:space="0" w:color="auto"/>
        <w:bottom w:val="none" w:sz="0" w:space="0" w:color="auto"/>
        <w:right w:val="none" w:sz="0" w:space="0" w:color="auto"/>
      </w:divBdr>
    </w:div>
    <w:div w:id="460802177">
      <w:bodyDiv w:val="1"/>
      <w:marLeft w:val="0"/>
      <w:marRight w:val="0"/>
      <w:marTop w:val="0"/>
      <w:marBottom w:val="0"/>
      <w:divBdr>
        <w:top w:val="none" w:sz="0" w:space="0" w:color="auto"/>
        <w:left w:val="none" w:sz="0" w:space="0" w:color="auto"/>
        <w:bottom w:val="none" w:sz="0" w:space="0" w:color="auto"/>
        <w:right w:val="none" w:sz="0" w:space="0" w:color="auto"/>
      </w:divBdr>
    </w:div>
    <w:div w:id="465008956">
      <w:bodyDiv w:val="1"/>
      <w:marLeft w:val="0"/>
      <w:marRight w:val="0"/>
      <w:marTop w:val="0"/>
      <w:marBottom w:val="0"/>
      <w:divBdr>
        <w:top w:val="none" w:sz="0" w:space="0" w:color="auto"/>
        <w:left w:val="none" w:sz="0" w:space="0" w:color="auto"/>
        <w:bottom w:val="none" w:sz="0" w:space="0" w:color="auto"/>
        <w:right w:val="none" w:sz="0" w:space="0" w:color="auto"/>
      </w:divBdr>
    </w:div>
    <w:div w:id="472992811">
      <w:bodyDiv w:val="1"/>
      <w:marLeft w:val="0"/>
      <w:marRight w:val="0"/>
      <w:marTop w:val="0"/>
      <w:marBottom w:val="0"/>
      <w:divBdr>
        <w:top w:val="none" w:sz="0" w:space="0" w:color="auto"/>
        <w:left w:val="none" w:sz="0" w:space="0" w:color="auto"/>
        <w:bottom w:val="none" w:sz="0" w:space="0" w:color="auto"/>
        <w:right w:val="none" w:sz="0" w:space="0" w:color="auto"/>
      </w:divBdr>
    </w:div>
    <w:div w:id="477307554">
      <w:bodyDiv w:val="1"/>
      <w:marLeft w:val="0"/>
      <w:marRight w:val="0"/>
      <w:marTop w:val="0"/>
      <w:marBottom w:val="0"/>
      <w:divBdr>
        <w:top w:val="none" w:sz="0" w:space="0" w:color="auto"/>
        <w:left w:val="none" w:sz="0" w:space="0" w:color="auto"/>
        <w:bottom w:val="none" w:sz="0" w:space="0" w:color="auto"/>
        <w:right w:val="none" w:sz="0" w:space="0" w:color="auto"/>
      </w:divBdr>
    </w:div>
    <w:div w:id="480119462">
      <w:bodyDiv w:val="1"/>
      <w:marLeft w:val="0"/>
      <w:marRight w:val="0"/>
      <w:marTop w:val="0"/>
      <w:marBottom w:val="0"/>
      <w:divBdr>
        <w:top w:val="none" w:sz="0" w:space="0" w:color="auto"/>
        <w:left w:val="none" w:sz="0" w:space="0" w:color="auto"/>
        <w:bottom w:val="none" w:sz="0" w:space="0" w:color="auto"/>
        <w:right w:val="none" w:sz="0" w:space="0" w:color="auto"/>
      </w:divBdr>
    </w:div>
    <w:div w:id="514924533">
      <w:bodyDiv w:val="1"/>
      <w:marLeft w:val="0"/>
      <w:marRight w:val="0"/>
      <w:marTop w:val="0"/>
      <w:marBottom w:val="0"/>
      <w:divBdr>
        <w:top w:val="none" w:sz="0" w:space="0" w:color="auto"/>
        <w:left w:val="none" w:sz="0" w:space="0" w:color="auto"/>
        <w:bottom w:val="none" w:sz="0" w:space="0" w:color="auto"/>
        <w:right w:val="none" w:sz="0" w:space="0" w:color="auto"/>
      </w:divBdr>
    </w:div>
    <w:div w:id="524514991">
      <w:bodyDiv w:val="1"/>
      <w:marLeft w:val="0"/>
      <w:marRight w:val="0"/>
      <w:marTop w:val="0"/>
      <w:marBottom w:val="0"/>
      <w:divBdr>
        <w:top w:val="none" w:sz="0" w:space="0" w:color="auto"/>
        <w:left w:val="none" w:sz="0" w:space="0" w:color="auto"/>
        <w:bottom w:val="none" w:sz="0" w:space="0" w:color="auto"/>
        <w:right w:val="none" w:sz="0" w:space="0" w:color="auto"/>
      </w:divBdr>
    </w:div>
    <w:div w:id="564335961">
      <w:bodyDiv w:val="1"/>
      <w:marLeft w:val="0"/>
      <w:marRight w:val="0"/>
      <w:marTop w:val="0"/>
      <w:marBottom w:val="0"/>
      <w:divBdr>
        <w:top w:val="none" w:sz="0" w:space="0" w:color="auto"/>
        <w:left w:val="none" w:sz="0" w:space="0" w:color="auto"/>
        <w:bottom w:val="none" w:sz="0" w:space="0" w:color="auto"/>
        <w:right w:val="none" w:sz="0" w:space="0" w:color="auto"/>
      </w:divBdr>
    </w:div>
    <w:div w:id="574511815">
      <w:bodyDiv w:val="1"/>
      <w:marLeft w:val="0"/>
      <w:marRight w:val="0"/>
      <w:marTop w:val="0"/>
      <w:marBottom w:val="0"/>
      <w:divBdr>
        <w:top w:val="none" w:sz="0" w:space="0" w:color="auto"/>
        <w:left w:val="none" w:sz="0" w:space="0" w:color="auto"/>
        <w:bottom w:val="none" w:sz="0" w:space="0" w:color="auto"/>
        <w:right w:val="none" w:sz="0" w:space="0" w:color="auto"/>
      </w:divBdr>
    </w:div>
    <w:div w:id="580212687">
      <w:bodyDiv w:val="1"/>
      <w:marLeft w:val="0"/>
      <w:marRight w:val="0"/>
      <w:marTop w:val="0"/>
      <w:marBottom w:val="0"/>
      <w:divBdr>
        <w:top w:val="none" w:sz="0" w:space="0" w:color="auto"/>
        <w:left w:val="none" w:sz="0" w:space="0" w:color="auto"/>
        <w:bottom w:val="none" w:sz="0" w:space="0" w:color="auto"/>
        <w:right w:val="none" w:sz="0" w:space="0" w:color="auto"/>
      </w:divBdr>
    </w:div>
    <w:div w:id="602962290">
      <w:bodyDiv w:val="1"/>
      <w:marLeft w:val="0"/>
      <w:marRight w:val="0"/>
      <w:marTop w:val="0"/>
      <w:marBottom w:val="0"/>
      <w:divBdr>
        <w:top w:val="none" w:sz="0" w:space="0" w:color="auto"/>
        <w:left w:val="none" w:sz="0" w:space="0" w:color="auto"/>
        <w:bottom w:val="none" w:sz="0" w:space="0" w:color="auto"/>
        <w:right w:val="none" w:sz="0" w:space="0" w:color="auto"/>
      </w:divBdr>
    </w:div>
    <w:div w:id="630870329">
      <w:bodyDiv w:val="1"/>
      <w:marLeft w:val="0"/>
      <w:marRight w:val="0"/>
      <w:marTop w:val="0"/>
      <w:marBottom w:val="0"/>
      <w:divBdr>
        <w:top w:val="none" w:sz="0" w:space="0" w:color="auto"/>
        <w:left w:val="none" w:sz="0" w:space="0" w:color="auto"/>
        <w:bottom w:val="none" w:sz="0" w:space="0" w:color="auto"/>
        <w:right w:val="none" w:sz="0" w:space="0" w:color="auto"/>
      </w:divBdr>
    </w:div>
    <w:div w:id="641693337">
      <w:bodyDiv w:val="1"/>
      <w:marLeft w:val="0"/>
      <w:marRight w:val="0"/>
      <w:marTop w:val="0"/>
      <w:marBottom w:val="0"/>
      <w:divBdr>
        <w:top w:val="none" w:sz="0" w:space="0" w:color="auto"/>
        <w:left w:val="none" w:sz="0" w:space="0" w:color="auto"/>
        <w:bottom w:val="none" w:sz="0" w:space="0" w:color="auto"/>
        <w:right w:val="none" w:sz="0" w:space="0" w:color="auto"/>
      </w:divBdr>
    </w:div>
    <w:div w:id="656343986">
      <w:bodyDiv w:val="1"/>
      <w:marLeft w:val="0"/>
      <w:marRight w:val="0"/>
      <w:marTop w:val="0"/>
      <w:marBottom w:val="0"/>
      <w:divBdr>
        <w:top w:val="none" w:sz="0" w:space="0" w:color="auto"/>
        <w:left w:val="none" w:sz="0" w:space="0" w:color="auto"/>
        <w:bottom w:val="none" w:sz="0" w:space="0" w:color="auto"/>
        <w:right w:val="none" w:sz="0" w:space="0" w:color="auto"/>
      </w:divBdr>
    </w:div>
    <w:div w:id="656886199">
      <w:bodyDiv w:val="1"/>
      <w:marLeft w:val="0"/>
      <w:marRight w:val="0"/>
      <w:marTop w:val="0"/>
      <w:marBottom w:val="0"/>
      <w:divBdr>
        <w:top w:val="none" w:sz="0" w:space="0" w:color="auto"/>
        <w:left w:val="none" w:sz="0" w:space="0" w:color="auto"/>
        <w:bottom w:val="none" w:sz="0" w:space="0" w:color="auto"/>
        <w:right w:val="none" w:sz="0" w:space="0" w:color="auto"/>
      </w:divBdr>
    </w:div>
    <w:div w:id="669985961">
      <w:bodyDiv w:val="1"/>
      <w:marLeft w:val="0"/>
      <w:marRight w:val="0"/>
      <w:marTop w:val="0"/>
      <w:marBottom w:val="0"/>
      <w:divBdr>
        <w:top w:val="none" w:sz="0" w:space="0" w:color="auto"/>
        <w:left w:val="none" w:sz="0" w:space="0" w:color="auto"/>
        <w:bottom w:val="none" w:sz="0" w:space="0" w:color="auto"/>
        <w:right w:val="none" w:sz="0" w:space="0" w:color="auto"/>
      </w:divBdr>
    </w:div>
    <w:div w:id="693268788">
      <w:bodyDiv w:val="1"/>
      <w:marLeft w:val="0"/>
      <w:marRight w:val="0"/>
      <w:marTop w:val="0"/>
      <w:marBottom w:val="0"/>
      <w:divBdr>
        <w:top w:val="none" w:sz="0" w:space="0" w:color="auto"/>
        <w:left w:val="none" w:sz="0" w:space="0" w:color="auto"/>
        <w:bottom w:val="none" w:sz="0" w:space="0" w:color="auto"/>
        <w:right w:val="none" w:sz="0" w:space="0" w:color="auto"/>
      </w:divBdr>
    </w:div>
    <w:div w:id="700981285">
      <w:bodyDiv w:val="1"/>
      <w:marLeft w:val="0"/>
      <w:marRight w:val="0"/>
      <w:marTop w:val="0"/>
      <w:marBottom w:val="0"/>
      <w:divBdr>
        <w:top w:val="none" w:sz="0" w:space="0" w:color="auto"/>
        <w:left w:val="none" w:sz="0" w:space="0" w:color="auto"/>
        <w:bottom w:val="none" w:sz="0" w:space="0" w:color="auto"/>
        <w:right w:val="none" w:sz="0" w:space="0" w:color="auto"/>
      </w:divBdr>
    </w:div>
    <w:div w:id="730229353">
      <w:bodyDiv w:val="1"/>
      <w:marLeft w:val="0"/>
      <w:marRight w:val="0"/>
      <w:marTop w:val="0"/>
      <w:marBottom w:val="0"/>
      <w:divBdr>
        <w:top w:val="none" w:sz="0" w:space="0" w:color="auto"/>
        <w:left w:val="none" w:sz="0" w:space="0" w:color="auto"/>
        <w:bottom w:val="none" w:sz="0" w:space="0" w:color="auto"/>
        <w:right w:val="none" w:sz="0" w:space="0" w:color="auto"/>
      </w:divBdr>
    </w:div>
    <w:div w:id="738137430">
      <w:bodyDiv w:val="1"/>
      <w:marLeft w:val="0"/>
      <w:marRight w:val="0"/>
      <w:marTop w:val="0"/>
      <w:marBottom w:val="0"/>
      <w:divBdr>
        <w:top w:val="none" w:sz="0" w:space="0" w:color="auto"/>
        <w:left w:val="none" w:sz="0" w:space="0" w:color="auto"/>
        <w:bottom w:val="none" w:sz="0" w:space="0" w:color="auto"/>
        <w:right w:val="none" w:sz="0" w:space="0" w:color="auto"/>
      </w:divBdr>
    </w:div>
    <w:div w:id="752629810">
      <w:bodyDiv w:val="1"/>
      <w:marLeft w:val="0"/>
      <w:marRight w:val="0"/>
      <w:marTop w:val="0"/>
      <w:marBottom w:val="0"/>
      <w:divBdr>
        <w:top w:val="none" w:sz="0" w:space="0" w:color="auto"/>
        <w:left w:val="none" w:sz="0" w:space="0" w:color="auto"/>
        <w:bottom w:val="none" w:sz="0" w:space="0" w:color="auto"/>
        <w:right w:val="none" w:sz="0" w:space="0" w:color="auto"/>
      </w:divBdr>
    </w:div>
    <w:div w:id="769548761">
      <w:bodyDiv w:val="1"/>
      <w:marLeft w:val="0"/>
      <w:marRight w:val="0"/>
      <w:marTop w:val="0"/>
      <w:marBottom w:val="0"/>
      <w:divBdr>
        <w:top w:val="none" w:sz="0" w:space="0" w:color="auto"/>
        <w:left w:val="none" w:sz="0" w:space="0" w:color="auto"/>
        <w:bottom w:val="none" w:sz="0" w:space="0" w:color="auto"/>
        <w:right w:val="none" w:sz="0" w:space="0" w:color="auto"/>
      </w:divBdr>
    </w:div>
    <w:div w:id="789780527">
      <w:bodyDiv w:val="1"/>
      <w:marLeft w:val="0"/>
      <w:marRight w:val="0"/>
      <w:marTop w:val="0"/>
      <w:marBottom w:val="0"/>
      <w:divBdr>
        <w:top w:val="none" w:sz="0" w:space="0" w:color="auto"/>
        <w:left w:val="none" w:sz="0" w:space="0" w:color="auto"/>
        <w:bottom w:val="none" w:sz="0" w:space="0" w:color="auto"/>
        <w:right w:val="none" w:sz="0" w:space="0" w:color="auto"/>
      </w:divBdr>
    </w:div>
    <w:div w:id="791094320">
      <w:bodyDiv w:val="1"/>
      <w:marLeft w:val="0"/>
      <w:marRight w:val="0"/>
      <w:marTop w:val="0"/>
      <w:marBottom w:val="0"/>
      <w:divBdr>
        <w:top w:val="none" w:sz="0" w:space="0" w:color="auto"/>
        <w:left w:val="none" w:sz="0" w:space="0" w:color="auto"/>
        <w:bottom w:val="none" w:sz="0" w:space="0" w:color="auto"/>
        <w:right w:val="none" w:sz="0" w:space="0" w:color="auto"/>
      </w:divBdr>
    </w:div>
    <w:div w:id="910582793">
      <w:bodyDiv w:val="1"/>
      <w:marLeft w:val="0"/>
      <w:marRight w:val="0"/>
      <w:marTop w:val="0"/>
      <w:marBottom w:val="0"/>
      <w:divBdr>
        <w:top w:val="none" w:sz="0" w:space="0" w:color="auto"/>
        <w:left w:val="none" w:sz="0" w:space="0" w:color="auto"/>
        <w:bottom w:val="none" w:sz="0" w:space="0" w:color="auto"/>
        <w:right w:val="none" w:sz="0" w:space="0" w:color="auto"/>
      </w:divBdr>
    </w:div>
    <w:div w:id="919145413">
      <w:bodyDiv w:val="1"/>
      <w:marLeft w:val="0"/>
      <w:marRight w:val="0"/>
      <w:marTop w:val="0"/>
      <w:marBottom w:val="0"/>
      <w:divBdr>
        <w:top w:val="none" w:sz="0" w:space="0" w:color="auto"/>
        <w:left w:val="none" w:sz="0" w:space="0" w:color="auto"/>
        <w:bottom w:val="none" w:sz="0" w:space="0" w:color="auto"/>
        <w:right w:val="none" w:sz="0" w:space="0" w:color="auto"/>
      </w:divBdr>
    </w:div>
    <w:div w:id="954217038">
      <w:bodyDiv w:val="1"/>
      <w:marLeft w:val="0"/>
      <w:marRight w:val="0"/>
      <w:marTop w:val="0"/>
      <w:marBottom w:val="0"/>
      <w:divBdr>
        <w:top w:val="none" w:sz="0" w:space="0" w:color="auto"/>
        <w:left w:val="none" w:sz="0" w:space="0" w:color="auto"/>
        <w:bottom w:val="none" w:sz="0" w:space="0" w:color="auto"/>
        <w:right w:val="none" w:sz="0" w:space="0" w:color="auto"/>
      </w:divBdr>
    </w:div>
    <w:div w:id="967901254">
      <w:bodyDiv w:val="1"/>
      <w:marLeft w:val="0"/>
      <w:marRight w:val="0"/>
      <w:marTop w:val="0"/>
      <w:marBottom w:val="0"/>
      <w:divBdr>
        <w:top w:val="none" w:sz="0" w:space="0" w:color="auto"/>
        <w:left w:val="none" w:sz="0" w:space="0" w:color="auto"/>
        <w:bottom w:val="none" w:sz="0" w:space="0" w:color="auto"/>
        <w:right w:val="none" w:sz="0" w:space="0" w:color="auto"/>
      </w:divBdr>
    </w:div>
    <w:div w:id="986586902">
      <w:bodyDiv w:val="1"/>
      <w:marLeft w:val="0"/>
      <w:marRight w:val="0"/>
      <w:marTop w:val="0"/>
      <w:marBottom w:val="0"/>
      <w:divBdr>
        <w:top w:val="none" w:sz="0" w:space="0" w:color="auto"/>
        <w:left w:val="none" w:sz="0" w:space="0" w:color="auto"/>
        <w:bottom w:val="none" w:sz="0" w:space="0" w:color="auto"/>
        <w:right w:val="none" w:sz="0" w:space="0" w:color="auto"/>
      </w:divBdr>
    </w:div>
    <w:div w:id="991064255">
      <w:bodyDiv w:val="1"/>
      <w:marLeft w:val="0"/>
      <w:marRight w:val="0"/>
      <w:marTop w:val="0"/>
      <w:marBottom w:val="0"/>
      <w:divBdr>
        <w:top w:val="none" w:sz="0" w:space="0" w:color="auto"/>
        <w:left w:val="none" w:sz="0" w:space="0" w:color="auto"/>
        <w:bottom w:val="none" w:sz="0" w:space="0" w:color="auto"/>
        <w:right w:val="none" w:sz="0" w:space="0" w:color="auto"/>
      </w:divBdr>
      <w:divsChild>
        <w:div w:id="50466295">
          <w:marLeft w:val="-720"/>
          <w:marRight w:val="0"/>
          <w:marTop w:val="0"/>
          <w:marBottom w:val="0"/>
          <w:divBdr>
            <w:top w:val="none" w:sz="0" w:space="0" w:color="auto"/>
            <w:left w:val="none" w:sz="0" w:space="0" w:color="auto"/>
            <w:bottom w:val="none" w:sz="0" w:space="0" w:color="auto"/>
            <w:right w:val="none" w:sz="0" w:space="0" w:color="auto"/>
          </w:divBdr>
        </w:div>
      </w:divsChild>
    </w:div>
    <w:div w:id="1067609500">
      <w:bodyDiv w:val="1"/>
      <w:marLeft w:val="0"/>
      <w:marRight w:val="0"/>
      <w:marTop w:val="0"/>
      <w:marBottom w:val="0"/>
      <w:divBdr>
        <w:top w:val="none" w:sz="0" w:space="0" w:color="auto"/>
        <w:left w:val="none" w:sz="0" w:space="0" w:color="auto"/>
        <w:bottom w:val="none" w:sz="0" w:space="0" w:color="auto"/>
        <w:right w:val="none" w:sz="0" w:space="0" w:color="auto"/>
      </w:divBdr>
    </w:div>
    <w:div w:id="1090080155">
      <w:bodyDiv w:val="1"/>
      <w:marLeft w:val="0"/>
      <w:marRight w:val="0"/>
      <w:marTop w:val="0"/>
      <w:marBottom w:val="0"/>
      <w:divBdr>
        <w:top w:val="none" w:sz="0" w:space="0" w:color="auto"/>
        <w:left w:val="none" w:sz="0" w:space="0" w:color="auto"/>
        <w:bottom w:val="none" w:sz="0" w:space="0" w:color="auto"/>
        <w:right w:val="none" w:sz="0" w:space="0" w:color="auto"/>
      </w:divBdr>
    </w:div>
    <w:div w:id="1094205361">
      <w:bodyDiv w:val="1"/>
      <w:marLeft w:val="0"/>
      <w:marRight w:val="0"/>
      <w:marTop w:val="0"/>
      <w:marBottom w:val="0"/>
      <w:divBdr>
        <w:top w:val="none" w:sz="0" w:space="0" w:color="auto"/>
        <w:left w:val="none" w:sz="0" w:space="0" w:color="auto"/>
        <w:bottom w:val="none" w:sz="0" w:space="0" w:color="auto"/>
        <w:right w:val="none" w:sz="0" w:space="0" w:color="auto"/>
      </w:divBdr>
    </w:div>
    <w:div w:id="1125201601">
      <w:bodyDiv w:val="1"/>
      <w:marLeft w:val="0"/>
      <w:marRight w:val="0"/>
      <w:marTop w:val="0"/>
      <w:marBottom w:val="0"/>
      <w:divBdr>
        <w:top w:val="none" w:sz="0" w:space="0" w:color="auto"/>
        <w:left w:val="none" w:sz="0" w:space="0" w:color="auto"/>
        <w:bottom w:val="none" w:sz="0" w:space="0" w:color="auto"/>
        <w:right w:val="none" w:sz="0" w:space="0" w:color="auto"/>
      </w:divBdr>
    </w:div>
    <w:div w:id="1133715895">
      <w:bodyDiv w:val="1"/>
      <w:marLeft w:val="0"/>
      <w:marRight w:val="0"/>
      <w:marTop w:val="0"/>
      <w:marBottom w:val="0"/>
      <w:divBdr>
        <w:top w:val="none" w:sz="0" w:space="0" w:color="auto"/>
        <w:left w:val="none" w:sz="0" w:space="0" w:color="auto"/>
        <w:bottom w:val="none" w:sz="0" w:space="0" w:color="auto"/>
        <w:right w:val="none" w:sz="0" w:space="0" w:color="auto"/>
      </w:divBdr>
    </w:div>
    <w:div w:id="1142700520">
      <w:bodyDiv w:val="1"/>
      <w:marLeft w:val="0"/>
      <w:marRight w:val="0"/>
      <w:marTop w:val="0"/>
      <w:marBottom w:val="0"/>
      <w:divBdr>
        <w:top w:val="none" w:sz="0" w:space="0" w:color="auto"/>
        <w:left w:val="none" w:sz="0" w:space="0" w:color="auto"/>
        <w:bottom w:val="none" w:sz="0" w:space="0" w:color="auto"/>
        <w:right w:val="none" w:sz="0" w:space="0" w:color="auto"/>
      </w:divBdr>
    </w:div>
    <w:div w:id="1157916073">
      <w:bodyDiv w:val="1"/>
      <w:marLeft w:val="0"/>
      <w:marRight w:val="0"/>
      <w:marTop w:val="0"/>
      <w:marBottom w:val="0"/>
      <w:divBdr>
        <w:top w:val="none" w:sz="0" w:space="0" w:color="auto"/>
        <w:left w:val="none" w:sz="0" w:space="0" w:color="auto"/>
        <w:bottom w:val="none" w:sz="0" w:space="0" w:color="auto"/>
        <w:right w:val="none" w:sz="0" w:space="0" w:color="auto"/>
      </w:divBdr>
    </w:div>
    <w:div w:id="1178883264">
      <w:bodyDiv w:val="1"/>
      <w:marLeft w:val="0"/>
      <w:marRight w:val="0"/>
      <w:marTop w:val="0"/>
      <w:marBottom w:val="0"/>
      <w:divBdr>
        <w:top w:val="none" w:sz="0" w:space="0" w:color="auto"/>
        <w:left w:val="none" w:sz="0" w:space="0" w:color="auto"/>
        <w:bottom w:val="none" w:sz="0" w:space="0" w:color="auto"/>
        <w:right w:val="none" w:sz="0" w:space="0" w:color="auto"/>
      </w:divBdr>
    </w:div>
    <w:div w:id="1226573834">
      <w:bodyDiv w:val="1"/>
      <w:marLeft w:val="0"/>
      <w:marRight w:val="0"/>
      <w:marTop w:val="0"/>
      <w:marBottom w:val="0"/>
      <w:divBdr>
        <w:top w:val="none" w:sz="0" w:space="0" w:color="auto"/>
        <w:left w:val="none" w:sz="0" w:space="0" w:color="auto"/>
        <w:bottom w:val="none" w:sz="0" w:space="0" w:color="auto"/>
        <w:right w:val="none" w:sz="0" w:space="0" w:color="auto"/>
      </w:divBdr>
    </w:div>
    <w:div w:id="1229684052">
      <w:bodyDiv w:val="1"/>
      <w:marLeft w:val="0"/>
      <w:marRight w:val="0"/>
      <w:marTop w:val="0"/>
      <w:marBottom w:val="0"/>
      <w:divBdr>
        <w:top w:val="none" w:sz="0" w:space="0" w:color="auto"/>
        <w:left w:val="none" w:sz="0" w:space="0" w:color="auto"/>
        <w:bottom w:val="none" w:sz="0" w:space="0" w:color="auto"/>
        <w:right w:val="none" w:sz="0" w:space="0" w:color="auto"/>
      </w:divBdr>
    </w:div>
    <w:div w:id="1238443579">
      <w:bodyDiv w:val="1"/>
      <w:marLeft w:val="0"/>
      <w:marRight w:val="0"/>
      <w:marTop w:val="0"/>
      <w:marBottom w:val="0"/>
      <w:divBdr>
        <w:top w:val="none" w:sz="0" w:space="0" w:color="auto"/>
        <w:left w:val="none" w:sz="0" w:space="0" w:color="auto"/>
        <w:bottom w:val="none" w:sz="0" w:space="0" w:color="auto"/>
        <w:right w:val="none" w:sz="0" w:space="0" w:color="auto"/>
      </w:divBdr>
    </w:div>
    <w:div w:id="1249537327">
      <w:bodyDiv w:val="1"/>
      <w:marLeft w:val="0"/>
      <w:marRight w:val="0"/>
      <w:marTop w:val="0"/>
      <w:marBottom w:val="0"/>
      <w:divBdr>
        <w:top w:val="none" w:sz="0" w:space="0" w:color="auto"/>
        <w:left w:val="none" w:sz="0" w:space="0" w:color="auto"/>
        <w:bottom w:val="none" w:sz="0" w:space="0" w:color="auto"/>
        <w:right w:val="none" w:sz="0" w:space="0" w:color="auto"/>
      </w:divBdr>
    </w:div>
    <w:div w:id="1252852982">
      <w:bodyDiv w:val="1"/>
      <w:marLeft w:val="0"/>
      <w:marRight w:val="0"/>
      <w:marTop w:val="0"/>
      <w:marBottom w:val="0"/>
      <w:divBdr>
        <w:top w:val="none" w:sz="0" w:space="0" w:color="auto"/>
        <w:left w:val="none" w:sz="0" w:space="0" w:color="auto"/>
        <w:bottom w:val="none" w:sz="0" w:space="0" w:color="auto"/>
        <w:right w:val="none" w:sz="0" w:space="0" w:color="auto"/>
      </w:divBdr>
    </w:div>
    <w:div w:id="1256938360">
      <w:bodyDiv w:val="1"/>
      <w:marLeft w:val="0"/>
      <w:marRight w:val="0"/>
      <w:marTop w:val="0"/>
      <w:marBottom w:val="0"/>
      <w:divBdr>
        <w:top w:val="none" w:sz="0" w:space="0" w:color="auto"/>
        <w:left w:val="none" w:sz="0" w:space="0" w:color="auto"/>
        <w:bottom w:val="none" w:sz="0" w:space="0" w:color="auto"/>
        <w:right w:val="none" w:sz="0" w:space="0" w:color="auto"/>
      </w:divBdr>
    </w:div>
    <w:div w:id="1288193750">
      <w:bodyDiv w:val="1"/>
      <w:marLeft w:val="0"/>
      <w:marRight w:val="0"/>
      <w:marTop w:val="0"/>
      <w:marBottom w:val="0"/>
      <w:divBdr>
        <w:top w:val="none" w:sz="0" w:space="0" w:color="auto"/>
        <w:left w:val="none" w:sz="0" w:space="0" w:color="auto"/>
        <w:bottom w:val="none" w:sz="0" w:space="0" w:color="auto"/>
        <w:right w:val="none" w:sz="0" w:space="0" w:color="auto"/>
      </w:divBdr>
    </w:div>
    <w:div w:id="1309092262">
      <w:bodyDiv w:val="1"/>
      <w:marLeft w:val="0"/>
      <w:marRight w:val="0"/>
      <w:marTop w:val="0"/>
      <w:marBottom w:val="0"/>
      <w:divBdr>
        <w:top w:val="none" w:sz="0" w:space="0" w:color="auto"/>
        <w:left w:val="none" w:sz="0" w:space="0" w:color="auto"/>
        <w:bottom w:val="none" w:sz="0" w:space="0" w:color="auto"/>
        <w:right w:val="none" w:sz="0" w:space="0" w:color="auto"/>
      </w:divBdr>
    </w:div>
    <w:div w:id="1342194706">
      <w:bodyDiv w:val="1"/>
      <w:marLeft w:val="0"/>
      <w:marRight w:val="0"/>
      <w:marTop w:val="0"/>
      <w:marBottom w:val="0"/>
      <w:divBdr>
        <w:top w:val="none" w:sz="0" w:space="0" w:color="auto"/>
        <w:left w:val="none" w:sz="0" w:space="0" w:color="auto"/>
        <w:bottom w:val="none" w:sz="0" w:space="0" w:color="auto"/>
        <w:right w:val="none" w:sz="0" w:space="0" w:color="auto"/>
      </w:divBdr>
    </w:div>
    <w:div w:id="1368219000">
      <w:bodyDiv w:val="1"/>
      <w:marLeft w:val="0"/>
      <w:marRight w:val="0"/>
      <w:marTop w:val="0"/>
      <w:marBottom w:val="0"/>
      <w:divBdr>
        <w:top w:val="none" w:sz="0" w:space="0" w:color="auto"/>
        <w:left w:val="none" w:sz="0" w:space="0" w:color="auto"/>
        <w:bottom w:val="none" w:sz="0" w:space="0" w:color="auto"/>
        <w:right w:val="none" w:sz="0" w:space="0" w:color="auto"/>
      </w:divBdr>
    </w:div>
    <w:div w:id="1396665008">
      <w:bodyDiv w:val="1"/>
      <w:marLeft w:val="0"/>
      <w:marRight w:val="0"/>
      <w:marTop w:val="0"/>
      <w:marBottom w:val="0"/>
      <w:divBdr>
        <w:top w:val="none" w:sz="0" w:space="0" w:color="auto"/>
        <w:left w:val="none" w:sz="0" w:space="0" w:color="auto"/>
        <w:bottom w:val="none" w:sz="0" w:space="0" w:color="auto"/>
        <w:right w:val="none" w:sz="0" w:space="0" w:color="auto"/>
      </w:divBdr>
    </w:div>
    <w:div w:id="1419014268">
      <w:bodyDiv w:val="1"/>
      <w:marLeft w:val="0"/>
      <w:marRight w:val="0"/>
      <w:marTop w:val="0"/>
      <w:marBottom w:val="0"/>
      <w:divBdr>
        <w:top w:val="none" w:sz="0" w:space="0" w:color="auto"/>
        <w:left w:val="none" w:sz="0" w:space="0" w:color="auto"/>
        <w:bottom w:val="none" w:sz="0" w:space="0" w:color="auto"/>
        <w:right w:val="none" w:sz="0" w:space="0" w:color="auto"/>
      </w:divBdr>
    </w:div>
    <w:div w:id="1427191735">
      <w:bodyDiv w:val="1"/>
      <w:marLeft w:val="0"/>
      <w:marRight w:val="0"/>
      <w:marTop w:val="0"/>
      <w:marBottom w:val="0"/>
      <w:divBdr>
        <w:top w:val="none" w:sz="0" w:space="0" w:color="auto"/>
        <w:left w:val="none" w:sz="0" w:space="0" w:color="auto"/>
        <w:bottom w:val="none" w:sz="0" w:space="0" w:color="auto"/>
        <w:right w:val="none" w:sz="0" w:space="0" w:color="auto"/>
      </w:divBdr>
    </w:div>
    <w:div w:id="1431123864">
      <w:bodyDiv w:val="1"/>
      <w:marLeft w:val="0"/>
      <w:marRight w:val="0"/>
      <w:marTop w:val="0"/>
      <w:marBottom w:val="0"/>
      <w:divBdr>
        <w:top w:val="none" w:sz="0" w:space="0" w:color="auto"/>
        <w:left w:val="none" w:sz="0" w:space="0" w:color="auto"/>
        <w:bottom w:val="none" w:sz="0" w:space="0" w:color="auto"/>
        <w:right w:val="none" w:sz="0" w:space="0" w:color="auto"/>
      </w:divBdr>
    </w:div>
    <w:div w:id="1434210568">
      <w:bodyDiv w:val="1"/>
      <w:marLeft w:val="0"/>
      <w:marRight w:val="0"/>
      <w:marTop w:val="0"/>
      <w:marBottom w:val="0"/>
      <w:divBdr>
        <w:top w:val="none" w:sz="0" w:space="0" w:color="auto"/>
        <w:left w:val="none" w:sz="0" w:space="0" w:color="auto"/>
        <w:bottom w:val="none" w:sz="0" w:space="0" w:color="auto"/>
        <w:right w:val="none" w:sz="0" w:space="0" w:color="auto"/>
      </w:divBdr>
    </w:div>
    <w:div w:id="1457918210">
      <w:bodyDiv w:val="1"/>
      <w:marLeft w:val="0"/>
      <w:marRight w:val="0"/>
      <w:marTop w:val="0"/>
      <w:marBottom w:val="0"/>
      <w:divBdr>
        <w:top w:val="none" w:sz="0" w:space="0" w:color="auto"/>
        <w:left w:val="none" w:sz="0" w:space="0" w:color="auto"/>
        <w:bottom w:val="none" w:sz="0" w:space="0" w:color="auto"/>
        <w:right w:val="none" w:sz="0" w:space="0" w:color="auto"/>
      </w:divBdr>
    </w:div>
    <w:div w:id="1466507044">
      <w:bodyDiv w:val="1"/>
      <w:marLeft w:val="0"/>
      <w:marRight w:val="0"/>
      <w:marTop w:val="0"/>
      <w:marBottom w:val="0"/>
      <w:divBdr>
        <w:top w:val="none" w:sz="0" w:space="0" w:color="auto"/>
        <w:left w:val="none" w:sz="0" w:space="0" w:color="auto"/>
        <w:bottom w:val="none" w:sz="0" w:space="0" w:color="auto"/>
        <w:right w:val="none" w:sz="0" w:space="0" w:color="auto"/>
      </w:divBdr>
    </w:div>
    <w:div w:id="1505436593">
      <w:bodyDiv w:val="1"/>
      <w:marLeft w:val="0"/>
      <w:marRight w:val="0"/>
      <w:marTop w:val="0"/>
      <w:marBottom w:val="0"/>
      <w:divBdr>
        <w:top w:val="none" w:sz="0" w:space="0" w:color="auto"/>
        <w:left w:val="none" w:sz="0" w:space="0" w:color="auto"/>
        <w:bottom w:val="none" w:sz="0" w:space="0" w:color="auto"/>
        <w:right w:val="none" w:sz="0" w:space="0" w:color="auto"/>
      </w:divBdr>
    </w:div>
    <w:div w:id="1513253934">
      <w:bodyDiv w:val="1"/>
      <w:marLeft w:val="0"/>
      <w:marRight w:val="0"/>
      <w:marTop w:val="0"/>
      <w:marBottom w:val="0"/>
      <w:divBdr>
        <w:top w:val="none" w:sz="0" w:space="0" w:color="auto"/>
        <w:left w:val="none" w:sz="0" w:space="0" w:color="auto"/>
        <w:bottom w:val="none" w:sz="0" w:space="0" w:color="auto"/>
        <w:right w:val="none" w:sz="0" w:space="0" w:color="auto"/>
      </w:divBdr>
    </w:div>
    <w:div w:id="1531265035">
      <w:bodyDiv w:val="1"/>
      <w:marLeft w:val="0"/>
      <w:marRight w:val="0"/>
      <w:marTop w:val="0"/>
      <w:marBottom w:val="0"/>
      <w:divBdr>
        <w:top w:val="none" w:sz="0" w:space="0" w:color="auto"/>
        <w:left w:val="none" w:sz="0" w:space="0" w:color="auto"/>
        <w:bottom w:val="none" w:sz="0" w:space="0" w:color="auto"/>
        <w:right w:val="none" w:sz="0" w:space="0" w:color="auto"/>
      </w:divBdr>
    </w:div>
    <w:div w:id="1561676074">
      <w:bodyDiv w:val="1"/>
      <w:marLeft w:val="0"/>
      <w:marRight w:val="0"/>
      <w:marTop w:val="0"/>
      <w:marBottom w:val="0"/>
      <w:divBdr>
        <w:top w:val="none" w:sz="0" w:space="0" w:color="auto"/>
        <w:left w:val="none" w:sz="0" w:space="0" w:color="auto"/>
        <w:bottom w:val="none" w:sz="0" w:space="0" w:color="auto"/>
        <w:right w:val="none" w:sz="0" w:space="0" w:color="auto"/>
      </w:divBdr>
    </w:div>
    <w:div w:id="1581595425">
      <w:bodyDiv w:val="1"/>
      <w:marLeft w:val="0"/>
      <w:marRight w:val="0"/>
      <w:marTop w:val="0"/>
      <w:marBottom w:val="0"/>
      <w:divBdr>
        <w:top w:val="none" w:sz="0" w:space="0" w:color="auto"/>
        <w:left w:val="none" w:sz="0" w:space="0" w:color="auto"/>
        <w:bottom w:val="none" w:sz="0" w:space="0" w:color="auto"/>
        <w:right w:val="none" w:sz="0" w:space="0" w:color="auto"/>
      </w:divBdr>
    </w:div>
    <w:div w:id="1585265696">
      <w:bodyDiv w:val="1"/>
      <w:marLeft w:val="0"/>
      <w:marRight w:val="0"/>
      <w:marTop w:val="0"/>
      <w:marBottom w:val="0"/>
      <w:divBdr>
        <w:top w:val="none" w:sz="0" w:space="0" w:color="auto"/>
        <w:left w:val="none" w:sz="0" w:space="0" w:color="auto"/>
        <w:bottom w:val="none" w:sz="0" w:space="0" w:color="auto"/>
        <w:right w:val="none" w:sz="0" w:space="0" w:color="auto"/>
      </w:divBdr>
    </w:div>
    <w:div w:id="1590001103">
      <w:bodyDiv w:val="1"/>
      <w:marLeft w:val="0"/>
      <w:marRight w:val="0"/>
      <w:marTop w:val="0"/>
      <w:marBottom w:val="0"/>
      <w:divBdr>
        <w:top w:val="none" w:sz="0" w:space="0" w:color="auto"/>
        <w:left w:val="none" w:sz="0" w:space="0" w:color="auto"/>
        <w:bottom w:val="none" w:sz="0" w:space="0" w:color="auto"/>
        <w:right w:val="none" w:sz="0" w:space="0" w:color="auto"/>
      </w:divBdr>
    </w:div>
    <w:div w:id="1593318332">
      <w:bodyDiv w:val="1"/>
      <w:marLeft w:val="0"/>
      <w:marRight w:val="0"/>
      <w:marTop w:val="0"/>
      <w:marBottom w:val="0"/>
      <w:divBdr>
        <w:top w:val="none" w:sz="0" w:space="0" w:color="auto"/>
        <w:left w:val="none" w:sz="0" w:space="0" w:color="auto"/>
        <w:bottom w:val="none" w:sz="0" w:space="0" w:color="auto"/>
        <w:right w:val="none" w:sz="0" w:space="0" w:color="auto"/>
      </w:divBdr>
    </w:div>
    <w:div w:id="1603798532">
      <w:bodyDiv w:val="1"/>
      <w:marLeft w:val="0"/>
      <w:marRight w:val="0"/>
      <w:marTop w:val="0"/>
      <w:marBottom w:val="0"/>
      <w:divBdr>
        <w:top w:val="none" w:sz="0" w:space="0" w:color="auto"/>
        <w:left w:val="none" w:sz="0" w:space="0" w:color="auto"/>
        <w:bottom w:val="none" w:sz="0" w:space="0" w:color="auto"/>
        <w:right w:val="none" w:sz="0" w:space="0" w:color="auto"/>
      </w:divBdr>
    </w:div>
    <w:div w:id="1643580758">
      <w:bodyDiv w:val="1"/>
      <w:marLeft w:val="0"/>
      <w:marRight w:val="0"/>
      <w:marTop w:val="0"/>
      <w:marBottom w:val="0"/>
      <w:divBdr>
        <w:top w:val="none" w:sz="0" w:space="0" w:color="auto"/>
        <w:left w:val="none" w:sz="0" w:space="0" w:color="auto"/>
        <w:bottom w:val="none" w:sz="0" w:space="0" w:color="auto"/>
        <w:right w:val="none" w:sz="0" w:space="0" w:color="auto"/>
      </w:divBdr>
    </w:div>
    <w:div w:id="1661615457">
      <w:bodyDiv w:val="1"/>
      <w:marLeft w:val="0"/>
      <w:marRight w:val="0"/>
      <w:marTop w:val="0"/>
      <w:marBottom w:val="0"/>
      <w:divBdr>
        <w:top w:val="none" w:sz="0" w:space="0" w:color="auto"/>
        <w:left w:val="none" w:sz="0" w:space="0" w:color="auto"/>
        <w:bottom w:val="none" w:sz="0" w:space="0" w:color="auto"/>
        <w:right w:val="none" w:sz="0" w:space="0" w:color="auto"/>
      </w:divBdr>
    </w:div>
    <w:div w:id="1699891583">
      <w:bodyDiv w:val="1"/>
      <w:marLeft w:val="0"/>
      <w:marRight w:val="0"/>
      <w:marTop w:val="0"/>
      <w:marBottom w:val="0"/>
      <w:divBdr>
        <w:top w:val="none" w:sz="0" w:space="0" w:color="auto"/>
        <w:left w:val="none" w:sz="0" w:space="0" w:color="auto"/>
        <w:bottom w:val="none" w:sz="0" w:space="0" w:color="auto"/>
        <w:right w:val="none" w:sz="0" w:space="0" w:color="auto"/>
      </w:divBdr>
    </w:div>
    <w:div w:id="1721854812">
      <w:bodyDiv w:val="1"/>
      <w:marLeft w:val="0"/>
      <w:marRight w:val="0"/>
      <w:marTop w:val="0"/>
      <w:marBottom w:val="0"/>
      <w:divBdr>
        <w:top w:val="none" w:sz="0" w:space="0" w:color="auto"/>
        <w:left w:val="none" w:sz="0" w:space="0" w:color="auto"/>
        <w:bottom w:val="none" w:sz="0" w:space="0" w:color="auto"/>
        <w:right w:val="none" w:sz="0" w:space="0" w:color="auto"/>
      </w:divBdr>
    </w:div>
    <w:div w:id="1733310231">
      <w:bodyDiv w:val="1"/>
      <w:marLeft w:val="0"/>
      <w:marRight w:val="0"/>
      <w:marTop w:val="0"/>
      <w:marBottom w:val="0"/>
      <w:divBdr>
        <w:top w:val="none" w:sz="0" w:space="0" w:color="auto"/>
        <w:left w:val="none" w:sz="0" w:space="0" w:color="auto"/>
        <w:bottom w:val="none" w:sz="0" w:space="0" w:color="auto"/>
        <w:right w:val="none" w:sz="0" w:space="0" w:color="auto"/>
      </w:divBdr>
    </w:div>
    <w:div w:id="1738941301">
      <w:bodyDiv w:val="1"/>
      <w:marLeft w:val="0"/>
      <w:marRight w:val="0"/>
      <w:marTop w:val="0"/>
      <w:marBottom w:val="0"/>
      <w:divBdr>
        <w:top w:val="none" w:sz="0" w:space="0" w:color="auto"/>
        <w:left w:val="none" w:sz="0" w:space="0" w:color="auto"/>
        <w:bottom w:val="none" w:sz="0" w:space="0" w:color="auto"/>
        <w:right w:val="none" w:sz="0" w:space="0" w:color="auto"/>
      </w:divBdr>
    </w:div>
    <w:div w:id="1765687351">
      <w:bodyDiv w:val="1"/>
      <w:marLeft w:val="0"/>
      <w:marRight w:val="0"/>
      <w:marTop w:val="0"/>
      <w:marBottom w:val="0"/>
      <w:divBdr>
        <w:top w:val="none" w:sz="0" w:space="0" w:color="auto"/>
        <w:left w:val="none" w:sz="0" w:space="0" w:color="auto"/>
        <w:bottom w:val="none" w:sz="0" w:space="0" w:color="auto"/>
        <w:right w:val="none" w:sz="0" w:space="0" w:color="auto"/>
      </w:divBdr>
    </w:div>
    <w:div w:id="1775392791">
      <w:bodyDiv w:val="1"/>
      <w:marLeft w:val="0"/>
      <w:marRight w:val="0"/>
      <w:marTop w:val="0"/>
      <w:marBottom w:val="0"/>
      <w:divBdr>
        <w:top w:val="none" w:sz="0" w:space="0" w:color="auto"/>
        <w:left w:val="none" w:sz="0" w:space="0" w:color="auto"/>
        <w:bottom w:val="none" w:sz="0" w:space="0" w:color="auto"/>
        <w:right w:val="none" w:sz="0" w:space="0" w:color="auto"/>
      </w:divBdr>
    </w:div>
    <w:div w:id="1864047869">
      <w:bodyDiv w:val="1"/>
      <w:marLeft w:val="0"/>
      <w:marRight w:val="0"/>
      <w:marTop w:val="0"/>
      <w:marBottom w:val="0"/>
      <w:divBdr>
        <w:top w:val="none" w:sz="0" w:space="0" w:color="auto"/>
        <w:left w:val="none" w:sz="0" w:space="0" w:color="auto"/>
        <w:bottom w:val="none" w:sz="0" w:space="0" w:color="auto"/>
        <w:right w:val="none" w:sz="0" w:space="0" w:color="auto"/>
      </w:divBdr>
    </w:div>
    <w:div w:id="1880511743">
      <w:bodyDiv w:val="1"/>
      <w:marLeft w:val="0"/>
      <w:marRight w:val="0"/>
      <w:marTop w:val="0"/>
      <w:marBottom w:val="0"/>
      <w:divBdr>
        <w:top w:val="none" w:sz="0" w:space="0" w:color="auto"/>
        <w:left w:val="none" w:sz="0" w:space="0" w:color="auto"/>
        <w:bottom w:val="none" w:sz="0" w:space="0" w:color="auto"/>
        <w:right w:val="none" w:sz="0" w:space="0" w:color="auto"/>
      </w:divBdr>
    </w:div>
    <w:div w:id="1900051610">
      <w:bodyDiv w:val="1"/>
      <w:marLeft w:val="0"/>
      <w:marRight w:val="0"/>
      <w:marTop w:val="0"/>
      <w:marBottom w:val="0"/>
      <w:divBdr>
        <w:top w:val="none" w:sz="0" w:space="0" w:color="auto"/>
        <w:left w:val="none" w:sz="0" w:space="0" w:color="auto"/>
        <w:bottom w:val="none" w:sz="0" w:space="0" w:color="auto"/>
        <w:right w:val="none" w:sz="0" w:space="0" w:color="auto"/>
      </w:divBdr>
    </w:div>
    <w:div w:id="1900556962">
      <w:bodyDiv w:val="1"/>
      <w:marLeft w:val="0"/>
      <w:marRight w:val="0"/>
      <w:marTop w:val="0"/>
      <w:marBottom w:val="0"/>
      <w:divBdr>
        <w:top w:val="none" w:sz="0" w:space="0" w:color="auto"/>
        <w:left w:val="none" w:sz="0" w:space="0" w:color="auto"/>
        <w:bottom w:val="none" w:sz="0" w:space="0" w:color="auto"/>
        <w:right w:val="none" w:sz="0" w:space="0" w:color="auto"/>
      </w:divBdr>
    </w:div>
    <w:div w:id="1902594807">
      <w:bodyDiv w:val="1"/>
      <w:marLeft w:val="0"/>
      <w:marRight w:val="0"/>
      <w:marTop w:val="0"/>
      <w:marBottom w:val="0"/>
      <w:divBdr>
        <w:top w:val="none" w:sz="0" w:space="0" w:color="auto"/>
        <w:left w:val="none" w:sz="0" w:space="0" w:color="auto"/>
        <w:bottom w:val="none" w:sz="0" w:space="0" w:color="auto"/>
        <w:right w:val="none" w:sz="0" w:space="0" w:color="auto"/>
      </w:divBdr>
    </w:div>
    <w:div w:id="1933197382">
      <w:bodyDiv w:val="1"/>
      <w:marLeft w:val="0"/>
      <w:marRight w:val="0"/>
      <w:marTop w:val="0"/>
      <w:marBottom w:val="0"/>
      <w:divBdr>
        <w:top w:val="none" w:sz="0" w:space="0" w:color="auto"/>
        <w:left w:val="none" w:sz="0" w:space="0" w:color="auto"/>
        <w:bottom w:val="none" w:sz="0" w:space="0" w:color="auto"/>
        <w:right w:val="none" w:sz="0" w:space="0" w:color="auto"/>
      </w:divBdr>
    </w:div>
    <w:div w:id="1947152424">
      <w:bodyDiv w:val="1"/>
      <w:marLeft w:val="0"/>
      <w:marRight w:val="0"/>
      <w:marTop w:val="0"/>
      <w:marBottom w:val="0"/>
      <w:divBdr>
        <w:top w:val="none" w:sz="0" w:space="0" w:color="auto"/>
        <w:left w:val="none" w:sz="0" w:space="0" w:color="auto"/>
        <w:bottom w:val="none" w:sz="0" w:space="0" w:color="auto"/>
        <w:right w:val="none" w:sz="0" w:space="0" w:color="auto"/>
      </w:divBdr>
    </w:div>
    <w:div w:id="1955287482">
      <w:bodyDiv w:val="1"/>
      <w:marLeft w:val="0"/>
      <w:marRight w:val="0"/>
      <w:marTop w:val="0"/>
      <w:marBottom w:val="0"/>
      <w:divBdr>
        <w:top w:val="none" w:sz="0" w:space="0" w:color="auto"/>
        <w:left w:val="none" w:sz="0" w:space="0" w:color="auto"/>
        <w:bottom w:val="none" w:sz="0" w:space="0" w:color="auto"/>
        <w:right w:val="none" w:sz="0" w:space="0" w:color="auto"/>
      </w:divBdr>
      <w:divsChild>
        <w:div w:id="2097045347">
          <w:marLeft w:val="-720"/>
          <w:marRight w:val="0"/>
          <w:marTop w:val="0"/>
          <w:marBottom w:val="0"/>
          <w:divBdr>
            <w:top w:val="none" w:sz="0" w:space="0" w:color="auto"/>
            <w:left w:val="none" w:sz="0" w:space="0" w:color="auto"/>
            <w:bottom w:val="none" w:sz="0" w:space="0" w:color="auto"/>
            <w:right w:val="none" w:sz="0" w:space="0" w:color="auto"/>
          </w:divBdr>
        </w:div>
      </w:divsChild>
    </w:div>
    <w:div w:id="2006087286">
      <w:bodyDiv w:val="1"/>
      <w:marLeft w:val="0"/>
      <w:marRight w:val="0"/>
      <w:marTop w:val="0"/>
      <w:marBottom w:val="0"/>
      <w:divBdr>
        <w:top w:val="none" w:sz="0" w:space="0" w:color="auto"/>
        <w:left w:val="none" w:sz="0" w:space="0" w:color="auto"/>
        <w:bottom w:val="none" w:sz="0" w:space="0" w:color="auto"/>
        <w:right w:val="none" w:sz="0" w:space="0" w:color="auto"/>
      </w:divBdr>
    </w:div>
    <w:div w:id="2022511992">
      <w:bodyDiv w:val="1"/>
      <w:marLeft w:val="0"/>
      <w:marRight w:val="0"/>
      <w:marTop w:val="0"/>
      <w:marBottom w:val="0"/>
      <w:divBdr>
        <w:top w:val="none" w:sz="0" w:space="0" w:color="auto"/>
        <w:left w:val="none" w:sz="0" w:space="0" w:color="auto"/>
        <w:bottom w:val="none" w:sz="0" w:space="0" w:color="auto"/>
        <w:right w:val="none" w:sz="0" w:space="0" w:color="auto"/>
      </w:divBdr>
    </w:div>
    <w:div w:id="2023122728">
      <w:bodyDiv w:val="1"/>
      <w:marLeft w:val="0"/>
      <w:marRight w:val="0"/>
      <w:marTop w:val="0"/>
      <w:marBottom w:val="0"/>
      <w:divBdr>
        <w:top w:val="none" w:sz="0" w:space="0" w:color="auto"/>
        <w:left w:val="none" w:sz="0" w:space="0" w:color="auto"/>
        <w:bottom w:val="none" w:sz="0" w:space="0" w:color="auto"/>
        <w:right w:val="none" w:sz="0" w:space="0" w:color="auto"/>
      </w:divBdr>
    </w:div>
    <w:div w:id="2031681766">
      <w:bodyDiv w:val="1"/>
      <w:marLeft w:val="0"/>
      <w:marRight w:val="0"/>
      <w:marTop w:val="0"/>
      <w:marBottom w:val="0"/>
      <w:divBdr>
        <w:top w:val="none" w:sz="0" w:space="0" w:color="auto"/>
        <w:left w:val="none" w:sz="0" w:space="0" w:color="auto"/>
        <w:bottom w:val="none" w:sz="0" w:space="0" w:color="auto"/>
        <w:right w:val="none" w:sz="0" w:space="0" w:color="auto"/>
      </w:divBdr>
    </w:div>
    <w:div w:id="2035378896">
      <w:bodyDiv w:val="1"/>
      <w:marLeft w:val="0"/>
      <w:marRight w:val="0"/>
      <w:marTop w:val="0"/>
      <w:marBottom w:val="0"/>
      <w:divBdr>
        <w:top w:val="none" w:sz="0" w:space="0" w:color="auto"/>
        <w:left w:val="none" w:sz="0" w:space="0" w:color="auto"/>
        <w:bottom w:val="none" w:sz="0" w:space="0" w:color="auto"/>
        <w:right w:val="none" w:sz="0" w:space="0" w:color="auto"/>
      </w:divBdr>
    </w:div>
    <w:div w:id="2044816832">
      <w:bodyDiv w:val="1"/>
      <w:marLeft w:val="0"/>
      <w:marRight w:val="0"/>
      <w:marTop w:val="0"/>
      <w:marBottom w:val="0"/>
      <w:divBdr>
        <w:top w:val="none" w:sz="0" w:space="0" w:color="auto"/>
        <w:left w:val="none" w:sz="0" w:space="0" w:color="auto"/>
        <w:bottom w:val="none" w:sz="0" w:space="0" w:color="auto"/>
        <w:right w:val="none" w:sz="0" w:space="0" w:color="auto"/>
      </w:divBdr>
    </w:div>
    <w:div w:id="2045521717">
      <w:bodyDiv w:val="1"/>
      <w:marLeft w:val="0"/>
      <w:marRight w:val="0"/>
      <w:marTop w:val="0"/>
      <w:marBottom w:val="0"/>
      <w:divBdr>
        <w:top w:val="none" w:sz="0" w:space="0" w:color="auto"/>
        <w:left w:val="none" w:sz="0" w:space="0" w:color="auto"/>
        <w:bottom w:val="none" w:sz="0" w:space="0" w:color="auto"/>
        <w:right w:val="none" w:sz="0" w:space="0" w:color="auto"/>
      </w:divBdr>
    </w:div>
    <w:div w:id="2092579825">
      <w:bodyDiv w:val="1"/>
      <w:marLeft w:val="0"/>
      <w:marRight w:val="0"/>
      <w:marTop w:val="0"/>
      <w:marBottom w:val="0"/>
      <w:divBdr>
        <w:top w:val="none" w:sz="0" w:space="0" w:color="auto"/>
        <w:left w:val="none" w:sz="0" w:space="0" w:color="auto"/>
        <w:bottom w:val="none" w:sz="0" w:space="0" w:color="auto"/>
        <w:right w:val="none" w:sz="0" w:space="0" w:color="auto"/>
      </w:divBdr>
    </w:div>
    <w:div w:id="2132090377">
      <w:bodyDiv w:val="1"/>
      <w:marLeft w:val="0"/>
      <w:marRight w:val="0"/>
      <w:marTop w:val="0"/>
      <w:marBottom w:val="0"/>
      <w:divBdr>
        <w:top w:val="none" w:sz="0" w:space="0" w:color="auto"/>
        <w:left w:val="none" w:sz="0" w:space="0" w:color="auto"/>
        <w:bottom w:val="none" w:sz="0" w:space="0" w:color="auto"/>
        <w:right w:val="none" w:sz="0" w:space="0" w:color="auto"/>
      </w:divBdr>
    </w:div>
    <w:div w:id="214041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chart" Target="charts/chart6.xml"/><Relationship Id="rId26" Type="http://schemas.openxmlformats.org/officeDocument/2006/relationships/image" Target="media/image7.emf"/><Relationship Id="rId39" Type="http://schemas.openxmlformats.org/officeDocument/2006/relationships/image" Target="media/image18.emf"/><Relationship Id="rId3" Type="http://schemas.openxmlformats.org/officeDocument/2006/relationships/numbering" Target="numbering.xml"/><Relationship Id="rId21" Type="http://schemas.openxmlformats.org/officeDocument/2006/relationships/chart" Target="charts/chart8.xml"/><Relationship Id="rId34" Type="http://schemas.openxmlformats.org/officeDocument/2006/relationships/image" Target="media/image13.emf"/><Relationship Id="rId42" Type="http://schemas.openxmlformats.org/officeDocument/2006/relationships/image" Target="media/image21.png"/><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image" Target="media/image4.emf"/><Relationship Id="rId25" Type="http://schemas.openxmlformats.org/officeDocument/2006/relationships/chart" Target="charts/chart11.xml"/><Relationship Id="rId33" Type="http://schemas.openxmlformats.org/officeDocument/2006/relationships/image" Target="media/image12.emf"/><Relationship Id="rId38" Type="http://schemas.openxmlformats.org/officeDocument/2006/relationships/image" Target="media/image17.emf"/><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image" Target="media/image5.emf"/><Relationship Id="rId29" Type="http://schemas.openxmlformats.org/officeDocument/2006/relationships/image" Target="media/image8.emf"/><Relationship Id="rId41"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chart" Target="charts/chart10.xml"/><Relationship Id="rId32" Type="http://schemas.openxmlformats.org/officeDocument/2006/relationships/image" Target="media/image11.emf"/><Relationship Id="rId37" Type="http://schemas.openxmlformats.org/officeDocument/2006/relationships/image" Target="media/image16.emf"/><Relationship Id="rId40" Type="http://schemas.openxmlformats.org/officeDocument/2006/relationships/image" Target="media/image19.emf"/><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chart" Target="charts/chart9.xml"/><Relationship Id="rId28" Type="http://schemas.openxmlformats.org/officeDocument/2006/relationships/chart" Target="charts/chart13.xml"/><Relationship Id="rId36" Type="http://schemas.openxmlformats.org/officeDocument/2006/relationships/image" Target="media/image15.emf"/><Relationship Id="rId10" Type="http://schemas.openxmlformats.org/officeDocument/2006/relationships/image" Target="media/image2.png"/><Relationship Id="rId19" Type="http://schemas.openxmlformats.org/officeDocument/2006/relationships/chart" Target="charts/chart7.xml"/><Relationship Id="rId31" Type="http://schemas.openxmlformats.org/officeDocument/2006/relationships/image" Target="media/image10.emf"/><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image" Target="media/image6.emf"/><Relationship Id="rId27" Type="http://schemas.openxmlformats.org/officeDocument/2006/relationships/chart" Target="charts/chart12.xml"/><Relationship Id="rId30" Type="http://schemas.openxmlformats.org/officeDocument/2006/relationships/image" Target="media/image9.emf"/><Relationship Id="rId35" Type="http://schemas.openxmlformats.org/officeDocument/2006/relationships/image" Target="media/image14.emf"/><Relationship Id="rId43"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Finance%20for%20business%20managers(Tesco).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Ratios'!$G$4</c:f>
              <c:strCache>
                <c:ptCount val="1"/>
                <c:pt idx="0">
                  <c:v>Gross Profit Ratio</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Ratios'!$H$3:$I$3</c:f>
              <c:numCache>
                <c:formatCode>General</c:formatCode>
                <c:ptCount val="2"/>
                <c:pt idx="0">
                  <c:v>2023</c:v>
                </c:pt>
                <c:pt idx="1">
                  <c:v>2024</c:v>
                </c:pt>
              </c:numCache>
            </c:numRef>
          </c:cat>
          <c:val>
            <c:numRef>
              <c:f>'Profitability Ratios'!$H$4:$I$4</c:f>
              <c:numCache>
                <c:formatCode>0.00%</c:formatCode>
                <c:ptCount val="2"/>
                <c:pt idx="0">
                  <c:v>5.1452803037261567E-2</c:v>
                </c:pt>
                <c:pt idx="1">
                  <c:v>7.1113262058750196E-2</c:v>
                </c:pt>
              </c:numCache>
            </c:numRef>
          </c:val>
          <c:extLst>
            <c:ext xmlns:c16="http://schemas.microsoft.com/office/drawing/2014/chart" uri="{C3380CC4-5D6E-409C-BE32-E72D297353CC}">
              <c16:uniqueId val="{00000000-1BD1-47E4-B323-15F5BE352F2B}"/>
            </c:ext>
          </c:extLst>
        </c:ser>
        <c:dLbls>
          <c:showLegendKey val="0"/>
          <c:showVal val="0"/>
          <c:showCatName val="0"/>
          <c:showSerName val="0"/>
          <c:showPercent val="0"/>
          <c:showBubbleSize val="0"/>
        </c:dLbls>
        <c:gapWidth val="150"/>
        <c:shape val="box"/>
        <c:axId val="260709551"/>
        <c:axId val="260710031"/>
        <c:axId val="0"/>
      </c:bar3DChart>
      <c:catAx>
        <c:axId val="2607095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0710031"/>
        <c:crosses val="autoZero"/>
        <c:auto val="1"/>
        <c:lblAlgn val="ctr"/>
        <c:lblOffset val="100"/>
        <c:noMultiLvlLbl val="0"/>
      </c:catAx>
      <c:valAx>
        <c:axId val="26071003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07095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Ratios'!$G$20</c:f>
              <c:strCache>
                <c:ptCount val="1"/>
                <c:pt idx="0">
                  <c:v>Operating Profit Ratio</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Ratios'!$H$19:$I$19</c:f>
              <c:numCache>
                <c:formatCode>General</c:formatCode>
                <c:ptCount val="2"/>
                <c:pt idx="0">
                  <c:v>2023</c:v>
                </c:pt>
                <c:pt idx="1">
                  <c:v>2024</c:v>
                </c:pt>
              </c:numCache>
            </c:numRef>
          </c:cat>
          <c:val>
            <c:numRef>
              <c:f>'Profitability Ratios'!$H$20:$I$20</c:f>
              <c:numCache>
                <c:formatCode>0.00%</c:formatCode>
                <c:ptCount val="2"/>
                <c:pt idx="0">
                  <c:v>2.1585377055203452E-2</c:v>
                </c:pt>
                <c:pt idx="1">
                  <c:v>4.1371522430961913E-2</c:v>
                </c:pt>
              </c:numCache>
            </c:numRef>
          </c:val>
          <c:extLst>
            <c:ext xmlns:c16="http://schemas.microsoft.com/office/drawing/2014/chart" uri="{C3380CC4-5D6E-409C-BE32-E72D297353CC}">
              <c16:uniqueId val="{00000000-03FE-4A97-9474-0153F9E57DC3}"/>
            </c:ext>
          </c:extLst>
        </c:ser>
        <c:dLbls>
          <c:showLegendKey val="0"/>
          <c:showVal val="0"/>
          <c:showCatName val="0"/>
          <c:showSerName val="0"/>
          <c:showPercent val="0"/>
          <c:showBubbleSize val="0"/>
        </c:dLbls>
        <c:gapWidth val="160"/>
        <c:gapDepth val="0"/>
        <c:shape val="box"/>
        <c:axId val="92779279"/>
        <c:axId val="92783599"/>
        <c:axId val="0"/>
      </c:bar3DChart>
      <c:catAx>
        <c:axId val="9277927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83599"/>
        <c:crosses val="autoZero"/>
        <c:auto val="1"/>
        <c:lblAlgn val="ctr"/>
        <c:lblOffset val="100"/>
        <c:noMultiLvlLbl val="0"/>
      </c:catAx>
      <c:valAx>
        <c:axId val="92783599"/>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79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Ratios'!$G$37</c:f>
              <c:strCache>
                <c:ptCount val="1"/>
                <c:pt idx="0">
                  <c:v>Net Profit Ratio</c:v>
                </c:pt>
              </c:strCache>
            </c:strRef>
          </c:tx>
          <c:spPr>
            <a:solidFill>
              <a:schemeClr val="accent6">
                <a:alpha val="85000"/>
              </a:schemeClr>
            </a:solidFill>
            <a:ln w="9525" cap="flat" cmpd="sng" algn="ctr">
              <a:solidFill>
                <a:schemeClr val="accent6">
                  <a:lumMod val="75000"/>
                </a:schemeClr>
              </a:solidFill>
              <a:round/>
            </a:ln>
            <a:effectLst/>
            <a:sp3d contourW="9525">
              <a:contourClr>
                <a:schemeClr val="accent6">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'Profitability Ratios'!$H$36:$I$36</c:f>
              <c:numCache>
                <c:formatCode>General</c:formatCode>
                <c:ptCount val="2"/>
                <c:pt idx="0">
                  <c:v>2023</c:v>
                </c:pt>
                <c:pt idx="1">
                  <c:v>2024</c:v>
                </c:pt>
              </c:numCache>
            </c:numRef>
          </c:cat>
          <c:val>
            <c:numRef>
              <c:f>'Profitability Ratios'!$H$37:$I$37</c:f>
              <c:numCache>
                <c:formatCode>0.00%</c:formatCode>
                <c:ptCount val="2"/>
                <c:pt idx="0">
                  <c:v>1.0073175959094944E-2</c:v>
                </c:pt>
                <c:pt idx="1">
                  <c:v>2.5870033877425317E-2</c:v>
                </c:pt>
              </c:numCache>
            </c:numRef>
          </c:val>
          <c:extLst>
            <c:ext xmlns:c16="http://schemas.microsoft.com/office/drawing/2014/chart" uri="{C3380CC4-5D6E-409C-BE32-E72D297353CC}">
              <c16:uniqueId val="{00000000-EF54-44DD-855B-64F05C171868}"/>
            </c:ext>
          </c:extLst>
        </c:ser>
        <c:dLbls>
          <c:showLegendKey val="0"/>
          <c:showVal val="0"/>
          <c:showCatName val="0"/>
          <c:showSerName val="0"/>
          <c:showPercent val="0"/>
          <c:showBubbleSize val="0"/>
        </c:dLbls>
        <c:gapWidth val="65"/>
        <c:shape val="box"/>
        <c:axId val="275103119"/>
        <c:axId val="275098799"/>
        <c:axId val="0"/>
      </c:bar3DChart>
      <c:catAx>
        <c:axId val="2751031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75098799"/>
        <c:crosses val="autoZero"/>
        <c:auto val="1"/>
        <c:lblAlgn val="ctr"/>
        <c:lblOffset val="100"/>
        <c:noMultiLvlLbl val="0"/>
      </c:catAx>
      <c:valAx>
        <c:axId val="275098799"/>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751031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Ratios'!$G$55</c:f>
              <c:strCache>
                <c:ptCount val="1"/>
                <c:pt idx="0">
                  <c:v>Return on Owner's Equity</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a:sp3d contourW="9525">
              <a:contourClr>
                <a:schemeClr val="accent2">
                  <a:shade val="95000"/>
                </a:schemeClr>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Ratios'!$H$54:$I$54</c:f>
              <c:numCache>
                <c:formatCode>General</c:formatCode>
                <c:ptCount val="2"/>
                <c:pt idx="0">
                  <c:v>2023</c:v>
                </c:pt>
                <c:pt idx="1">
                  <c:v>2024</c:v>
                </c:pt>
              </c:numCache>
            </c:numRef>
          </c:cat>
          <c:val>
            <c:numRef>
              <c:f>'Profitability Ratios'!$H$55:$I$55</c:f>
              <c:numCache>
                <c:formatCode>0.00%</c:formatCode>
                <c:ptCount val="2"/>
                <c:pt idx="0">
                  <c:v>0.18267629094947252</c:v>
                </c:pt>
                <c:pt idx="1">
                  <c:v>0.49328859060402686</c:v>
                </c:pt>
              </c:numCache>
            </c:numRef>
          </c:val>
          <c:extLst>
            <c:ext xmlns:c16="http://schemas.microsoft.com/office/drawing/2014/chart" uri="{C3380CC4-5D6E-409C-BE32-E72D297353CC}">
              <c16:uniqueId val="{00000000-7E93-428A-9750-B9C9A212336B}"/>
            </c:ext>
          </c:extLst>
        </c:ser>
        <c:dLbls>
          <c:showLegendKey val="0"/>
          <c:showVal val="0"/>
          <c:showCatName val="0"/>
          <c:showSerName val="0"/>
          <c:showPercent val="0"/>
          <c:showBubbleSize val="0"/>
        </c:dLbls>
        <c:gapWidth val="150"/>
        <c:shape val="box"/>
        <c:axId val="2015993407"/>
        <c:axId val="2015993887"/>
        <c:axId val="0"/>
      </c:bar3DChart>
      <c:catAx>
        <c:axId val="201599340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15993887"/>
        <c:crosses val="autoZero"/>
        <c:auto val="1"/>
        <c:lblAlgn val="ctr"/>
        <c:lblOffset val="100"/>
        <c:noMultiLvlLbl val="0"/>
      </c:catAx>
      <c:valAx>
        <c:axId val="20159938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159934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Ratios'!$G$72</c:f>
              <c:strCache>
                <c:ptCount val="1"/>
                <c:pt idx="0">
                  <c:v>Return on Capital Employed</c:v>
                </c:pt>
              </c:strCache>
            </c:strRef>
          </c:tx>
          <c:spPr>
            <a:solidFill>
              <a:schemeClr val="accent6"/>
            </a:solidFill>
            <a:ln>
              <a:solidFill>
                <a:schemeClr val="accent6">
                  <a:lumMod val="75000"/>
                </a:schemeClr>
              </a:solidFill>
            </a:ln>
            <a:effectLst/>
            <a:scene3d>
              <a:camera prst="orthographicFront"/>
              <a:lightRig rig="threePt" dir="t"/>
            </a:scene3d>
            <a:sp3d prstMaterial="translucentPowder">
              <a:contourClr>
                <a:schemeClr val="accent6">
                  <a:lumMod val="75000"/>
                </a:schemeClr>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Ratios'!$H$71:$I$71</c:f>
              <c:numCache>
                <c:formatCode>General</c:formatCode>
                <c:ptCount val="2"/>
                <c:pt idx="0">
                  <c:v>2023</c:v>
                </c:pt>
                <c:pt idx="1">
                  <c:v>2024</c:v>
                </c:pt>
              </c:numCache>
            </c:numRef>
          </c:cat>
          <c:val>
            <c:numRef>
              <c:f>'Profitability Ratios'!$H$72:$I$72</c:f>
              <c:numCache>
                <c:formatCode>0.00%</c:formatCode>
                <c:ptCount val="2"/>
                <c:pt idx="0">
                  <c:v>8.9792576419213968E-2</c:v>
                </c:pt>
                <c:pt idx="1">
                  <c:v>0.13846153846153847</c:v>
                </c:pt>
              </c:numCache>
            </c:numRef>
          </c:val>
          <c:extLst>
            <c:ext xmlns:c16="http://schemas.microsoft.com/office/drawing/2014/chart" uri="{C3380CC4-5D6E-409C-BE32-E72D297353CC}">
              <c16:uniqueId val="{00000000-E2F4-4A83-A2EF-EB7844899FF1}"/>
            </c:ext>
          </c:extLst>
        </c:ser>
        <c:dLbls>
          <c:showLegendKey val="0"/>
          <c:showVal val="0"/>
          <c:showCatName val="0"/>
          <c:showSerName val="0"/>
          <c:showPercent val="0"/>
          <c:showBubbleSize val="0"/>
        </c:dLbls>
        <c:gapWidth val="150"/>
        <c:shape val="box"/>
        <c:axId val="260705711"/>
        <c:axId val="260706191"/>
        <c:axId val="0"/>
      </c:bar3DChart>
      <c:catAx>
        <c:axId val="2607057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60706191"/>
        <c:crosses val="autoZero"/>
        <c:auto val="1"/>
        <c:lblAlgn val="ctr"/>
        <c:lblOffset val="100"/>
        <c:noMultiLvlLbl val="0"/>
      </c:catAx>
      <c:valAx>
        <c:axId val="260706191"/>
        <c:scaling>
          <c:orientation val="minMax"/>
        </c:scaling>
        <c:delete val="0"/>
        <c:axPos val="l"/>
        <c:majorGridlines>
          <c:spPr>
            <a:ln w="9525" cap="flat" cmpd="sng" algn="ctr">
              <a:solidFill>
                <a:schemeClr val="tx1">
                  <a:lumMod val="5000"/>
                  <a:lumOff val="9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60705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'Liquidity Ratios'!$G$6</c:f>
              <c:strCache>
                <c:ptCount val="1"/>
                <c:pt idx="0">
                  <c:v>Current Ratio</c:v>
                </c:pt>
              </c:strCache>
            </c:strRef>
          </c:tx>
          <c:spPr>
            <a:solidFill>
              <a:schemeClr val="accent1"/>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'Liquidity Ratios'!$H$5:$I$5</c:f>
              <c:numCache>
                <c:formatCode>General</c:formatCode>
                <c:ptCount val="2"/>
                <c:pt idx="0">
                  <c:v>2023</c:v>
                </c:pt>
                <c:pt idx="1">
                  <c:v>2024</c:v>
                </c:pt>
              </c:numCache>
            </c:numRef>
          </c:cat>
          <c:val>
            <c:numRef>
              <c:f>'Liquidity Ratios'!$H$6:$I$6</c:f>
              <c:numCache>
                <c:formatCode>0.00</c:formatCode>
                <c:ptCount val="2"/>
                <c:pt idx="0">
                  <c:v>2.3845555339428128</c:v>
                </c:pt>
                <c:pt idx="1">
                  <c:v>2.2822038282462493</c:v>
                </c:pt>
              </c:numCache>
            </c:numRef>
          </c:val>
          <c:extLst>
            <c:ext xmlns:c16="http://schemas.microsoft.com/office/drawing/2014/chart" uri="{C3380CC4-5D6E-409C-BE32-E72D297353CC}">
              <c16:uniqueId val="{00000000-7EB2-4113-82DB-F837BEBA3E4D}"/>
            </c:ext>
          </c:extLst>
        </c:ser>
        <c:dLbls>
          <c:showLegendKey val="0"/>
          <c:showVal val="0"/>
          <c:showCatName val="0"/>
          <c:showSerName val="0"/>
          <c:showPercent val="0"/>
          <c:showBubbleSize val="0"/>
        </c:dLbls>
        <c:gapWidth val="182"/>
        <c:axId val="140104991"/>
        <c:axId val="140105471"/>
      </c:barChart>
      <c:catAx>
        <c:axId val="1401049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05471"/>
        <c:crosses val="autoZero"/>
        <c:auto val="1"/>
        <c:lblAlgn val="ctr"/>
        <c:lblOffset val="100"/>
        <c:noMultiLvlLbl val="0"/>
      </c:catAx>
      <c:valAx>
        <c:axId val="140105471"/>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04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'Liquidity Ratios'!$G$23</c:f>
              <c:strCache>
                <c:ptCount val="1"/>
                <c:pt idx="0">
                  <c:v>Quick Ratio</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'Liquidity Ratios'!$H$22:$I$22</c:f>
              <c:numCache>
                <c:formatCode>General</c:formatCode>
                <c:ptCount val="2"/>
                <c:pt idx="0">
                  <c:v>2023</c:v>
                </c:pt>
                <c:pt idx="1">
                  <c:v>2024</c:v>
                </c:pt>
              </c:numCache>
            </c:numRef>
          </c:cat>
          <c:val>
            <c:numRef>
              <c:f>'Liquidity Ratios'!$H$23:$I$23</c:f>
              <c:numCache>
                <c:formatCode>0.00</c:formatCode>
                <c:ptCount val="2"/>
                <c:pt idx="0">
                  <c:v>1.896323672437269</c:v>
                </c:pt>
                <c:pt idx="1">
                  <c:v>1.6006207966890844</c:v>
                </c:pt>
              </c:numCache>
            </c:numRef>
          </c:val>
          <c:extLst>
            <c:ext xmlns:c16="http://schemas.microsoft.com/office/drawing/2014/chart" uri="{C3380CC4-5D6E-409C-BE32-E72D297353CC}">
              <c16:uniqueId val="{00000000-A45E-49BB-9493-B83EB3DB43C6}"/>
            </c:ext>
          </c:extLst>
        </c:ser>
        <c:dLbls>
          <c:showLegendKey val="0"/>
          <c:showVal val="0"/>
          <c:showCatName val="0"/>
          <c:showSerName val="0"/>
          <c:showPercent val="0"/>
          <c:showBubbleSize val="0"/>
        </c:dLbls>
        <c:gapWidth val="160"/>
        <c:gapDepth val="0"/>
        <c:shape val="box"/>
        <c:axId val="275090639"/>
        <c:axId val="275093999"/>
        <c:axId val="0"/>
      </c:bar3DChart>
      <c:catAx>
        <c:axId val="27509063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093999"/>
        <c:crosses val="autoZero"/>
        <c:auto val="1"/>
        <c:lblAlgn val="ctr"/>
        <c:lblOffset val="100"/>
        <c:noMultiLvlLbl val="0"/>
      </c:catAx>
      <c:valAx>
        <c:axId val="275093999"/>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0906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'Gearing Ratio'!$G$9</c:f>
              <c:strCache>
                <c:ptCount val="1"/>
                <c:pt idx="0">
                  <c:v>Gearing Ratio</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solidFill>
                <a:sysClr val="windowText" lastClr="000000">
                  <a:lumMod val="65000"/>
                  <a:lumOff val="35000"/>
                  <a:alpha val="75000"/>
                </a:sysClr>
              </a:solidFill>
              <a:ln>
                <a:no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'Gearing Ratio'!$H$8:$I$8</c:f>
              <c:numCache>
                <c:formatCode>General</c:formatCode>
                <c:ptCount val="2"/>
                <c:pt idx="0">
                  <c:v>2023</c:v>
                </c:pt>
                <c:pt idx="1">
                  <c:v>2024</c:v>
                </c:pt>
              </c:numCache>
            </c:numRef>
          </c:cat>
          <c:val>
            <c:numRef>
              <c:f>'Gearing Ratio'!$H$9:$I$9</c:f>
              <c:numCache>
                <c:formatCode>0.00</c:formatCode>
                <c:ptCount val="2"/>
                <c:pt idx="0">
                  <c:v>32.948622486969469</c:v>
                </c:pt>
                <c:pt idx="1">
                  <c:v>30.046948356807512</c:v>
                </c:pt>
              </c:numCache>
            </c:numRef>
          </c:val>
          <c:extLst>
            <c:ext xmlns:c16="http://schemas.microsoft.com/office/drawing/2014/chart" uri="{C3380CC4-5D6E-409C-BE32-E72D297353CC}">
              <c16:uniqueId val="{00000000-2FAE-49A6-92F5-8AEFF65E3CFD}"/>
            </c:ext>
          </c:extLst>
        </c:ser>
        <c:dLbls>
          <c:showLegendKey val="0"/>
          <c:showVal val="0"/>
          <c:showCatName val="0"/>
          <c:showSerName val="0"/>
          <c:showPercent val="0"/>
          <c:showBubbleSize val="0"/>
        </c:dLbls>
        <c:gapWidth val="65"/>
        <c:shape val="box"/>
        <c:axId val="374440767"/>
        <c:axId val="374441247"/>
        <c:axId val="0"/>
      </c:bar3DChart>
      <c:catAx>
        <c:axId val="37444076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74441247"/>
        <c:crosses val="autoZero"/>
        <c:auto val="1"/>
        <c:lblAlgn val="ctr"/>
        <c:lblOffset val="100"/>
        <c:noMultiLvlLbl val="0"/>
      </c:catAx>
      <c:valAx>
        <c:axId val="374441247"/>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744407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'Efficiency Ratios'!$H$5</c:f>
              <c:strCache>
                <c:ptCount val="1"/>
                <c:pt idx="0">
                  <c:v>Stock Turnover in Days</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'Efficiency Ratios'!$I$4:$J$4</c:f>
              <c:numCache>
                <c:formatCode>General</c:formatCode>
                <c:ptCount val="2"/>
                <c:pt idx="0">
                  <c:v>2023</c:v>
                </c:pt>
                <c:pt idx="1">
                  <c:v>2024</c:v>
                </c:pt>
              </c:numCache>
            </c:numRef>
          </c:cat>
          <c:val>
            <c:numRef>
              <c:f>'Efficiency Ratios'!$I$5:$J$5</c:f>
              <c:numCache>
                <c:formatCode>0</c:formatCode>
                <c:ptCount val="2"/>
                <c:pt idx="0">
                  <c:v>14.892873398790558</c:v>
                </c:pt>
                <c:pt idx="1">
                  <c:v>15.306114329365332</c:v>
                </c:pt>
              </c:numCache>
            </c:numRef>
          </c:val>
          <c:extLst>
            <c:ext xmlns:c16="http://schemas.microsoft.com/office/drawing/2014/chart" uri="{C3380CC4-5D6E-409C-BE32-E72D297353CC}">
              <c16:uniqueId val="{00000000-C385-44C2-9B26-0771B813AA3B}"/>
            </c:ext>
          </c:extLst>
        </c:ser>
        <c:dLbls>
          <c:showLegendKey val="0"/>
          <c:showVal val="0"/>
          <c:showCatName val="0"/>
          <c:showSerName val="0"/>
          <c:showPercent val="0"/>
          <c:showBubbleSize val="0"/>
        </c:dLbls>
        <c:gapWidth val="150"/>
        <c:shape val="box"/>
        <c:axId val="140102111"/>
        <c:axId val="140102591"/>
        <c:axId val="0"/>
      </c:bar3DChart>
      <c:catAx>
        <c:axId val="1401021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02591"/>
        <c:crosses val="autoZero"/>
        <c:auto val="1"/>
        <c:lblAlgn val="ctr"/>
        <c:lblOffset val="100"/>
        <c:noMultiLvlLbl val="0"/>
      </c:catAx>
      <c:valAx>
        <c:axId val="14010259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021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'Efficiency Ratios'!$H$20</c:f>
              <c:strCache>
                <c:ptCount val="1"/>
                <c:pt idx="0">
                  <c:v>Debtor Collection Period</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'Efficiency Ratios'!$I$19:$J$19</c:f>
              <c:numCache>
                <c:formatCode>General</c:formatCode>
                <c:ptCount val="2"/>
                <c:pt idx="0">
                  <c:v>2023</c:v>
                </c:pt>
                <c:pt idx="1">
                  <c:v>2024</c:v>
                </c:pt>
              </c:numCache>
            </c:numRef>
          </c:cat>
          <c:val>
            <c:numRef>
              <c:f>'Efficiency Ratios'!$I$20:$J$20</c:f>
              <c:numCache>
                <c:formatCode>0</c:formatCode>
                <c:ptCount val="2"/>
                <c:pt idx="0">
                  <c:v>6.9008144269924374</c:v>
                </c:pt>
                <c:pt idx="1">
                  <c:v>7.2210978632290619</c:v>
                </c:pt>
              </c:numCache>
            </c:numRef>
          </c:val>
          <c:extLst>
            <c:ext xmlns:c16="http://schemas.microsoft.com/office/drawing/2014/chart" uri="{C3380CC4-5D6E-409C-BE32-E72D297353CC}">
              <c16:uniqueId val="{00000000-655D-423C-B343-1CC015B74AAE}"/>
            </c:ext>
          </c:extLst>
        </c:ser>
        <c:dLbls>
          <c:showLegendKey val="0"/>
          <c:showVal val="0"/>
          <c:showCatName val="0"/>
          <c:showSerName val="0"/>
          <c:showPercent val="0"/>
          <c:showBubbleSize val="0"/>
        </c:dLbls>
        <c:gapWidth val="150"/>
        <c:shape val="box"/>
        <c:axId val="132729679"/>
        <c:axId val="132733999"/>
        <c:axId val="0"/>
      </c:bar3DChart>
      <c:catAx>
        <c:axId val="13272967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33999"/>
        <c:crosses val="autoZero"/>
        <c:auto val="1"/>
        <c:lblAlgn val="ctr"/>
        <c:lblOffset val="100"/>
        <c:noMultiLvlLbl val="0"/>
      </c:catAx>
      <c:valAx>
        <c:axId val="13273399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296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'Efficiency Ratios'!$H$37</c:f>
              <c:strCache>
                <c:ptCount val="1"/>
                <c:pt idx="0">
                  <c:v>Creditor Payment Period</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'Efficiency Ratios'!$I$36:$J$36</c:f>
              <c:numCache>
                <c:formatCode>General</c:formatCode>
                <c:ptCount val="2"/>
                <c:pt idx="0">
                  <c:v>2023</c:v>
                </c:pt>
                <c:pt idx="1">
                  <c:v>2024</c:v>
                </c:pt>
              </c:numCache>
            </c:numRef>
          </c:cat>
          <c:val>
            <c:numRef>
              <c:f>'Efficiency Ratios'!$I$37:$J$37</c:f>
              <c:numCache>
                <c:formatCode>0</c:formatCode>
                <c:ptCount val="2"/>
                <c:pt idx="0">
                  <c:v>57.922004031471488</c:v>
                </c:pt>
                <c:pt idx="1">
                  <c:v>59.621236234005991</c:v>
                </c:pt>
              </c:numCache>
            </c:numRef>
          </c:val>
          <c:extLst>
            <c:ext xmlns:c16="http://schemas.microsoft.com/office/drawing/2014/chart" uri="{C3380CC4-5D6E-409C-BE32-E72D297353CC}">
              <c16:uniqueId val="{00000000-C771-45A5-8936-DA43460565C1}"/>
            </c:ext>
          </c:extLst>
        </c:ser>
        <c:dLbls>
          <c:showLegendKey val="0"/>
          <c:showVal val="0"/>
          <c:showCatName val="0"/>
          <c:showSerName val="0"/>
          <c:showPercent val="0"/>
          <c:showBubbleSize val="0"/>
        </c:dLbls>
        <c:gapWidth val="160"/>
        <c:gapDepth val="0"/>
        <c:shape val="box"/>
        <c:axId val="140110751"/>
        <c:axId val="140111711"/>
        <c:axId val="0"/>
      </c:bar3DChart>
      <c:catAx>
        <c:axId val="1401107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11711"/>
        <c:crosses val="autoZero"/>
        <c:auto val="1"/>
        <c:lblAlgn val="ctr"/>
        <c:lblOffset val="100"/>
        <c:noMultiLvlLbl val="0"/>
      </c:catAx>
      <c:valAx>
        <c:axId val="140111711"/>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107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'Investment Ratios'!$H$4</c:f>
              <c:strCache>
                <c:ptCount val="1"/>
                <c:pt idx="0">
                  <c:v>Interest Cover</c:v>
                </c:pt>
              </c:strCache>
            </c:strRef>
          </c:tx>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'Investment Ratios'!$I$3:$J$3</c:f>
              <c:numCache>
                <c:formatCode>General</c:formatCode>
                <c:ptCount val="2"/>
                <c:pt idx="0">
                  <c:v>2023</c:v>
                </c:pt>
                <c:pt idx="1">
                  <c:v>2024</c:v>
                </c:pt>
              </c:numCache>
            </c:numRef>
          </c:cat>
          <c:val>
            <c:numRef>
              <c:f>'Investment Ratios'!$I$4:$J$4</c:f>
              <c:numCache>
                <c:formatCode>0.00</c:formatCode>
                <c:ptCount val="2"/>
                <c:pt idx="0">
                  <c:v>2.263242375601926</c:v>
                </c:pt>
                <c:pt idx="1">
                  <c:v>3.5043478260869567</c:v>
                </c:pt>
              </c:numCache>
            </c:numRef>
          </c:val>
          <c:extLst>
            <c:ext xmlns:c16="http://schemas.microsoft.com/office/drawing/2014/chart" uri="{C3380CC4-5D6E-409C-BE32-E72D297353CC}">
              <c16:uniqueId val="{00000000-10B2-4FF3-BFF4-1EFE83AA37E7}"/>
            </c:ext>
          </c:extLst>
        </c:ser>
        <c:dLbls>
          <c:showLegendKey val="0"/>
          <c:showVal val="0"/>
          <c:showCatName val="0"/>
          <c:showSerName val="0"/>
          <c:showPercent val="0"/>
          <c:showBubbleSize val="0"/>
        </c:dLbls>
        <c:gapWidth val="227"/>
        <c:overlap val="-48"/>
        <c:axId val="374459967"/>
        <c:axId val="374462847"/>
      </c:barChart>
      <c:catAx>
        <c:axId val="374459967"/>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462847"/>
        <c:crosses val="autoZero"/>
        <c:auto val="1"/>
        <c:lblAlgn val="ctr"/>
        <c:lblOffset val="100"/>
        <c:noMultiLvlLbl val="0"/>
      </c:catAx>
      <c:valAx>
        <c:axId val="374462847"/>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459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'Investment Ratios'!$H$26</c:f>
              <c:strCache>
                <c:ptCount val="1"/>
                <c:pt idx="0">
                  <c:v>Dividend Yield</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'Investment Ratios'!$I$25:$J$25</c:f>
              <c:numCache>
                <c:formatCode>General</c:formatCode>
                <c:ptCount val="2"/>
                <c:pt idx="0">
                  <c:v>2023</c:v>
                </c:pt>
                <c:pt idx="1">
                  <c:v>2024</c:v>
                </c:pt>
              </c:numCache>
            </c:numRef>
          </c:cat>
          <c:val>
            <c:numRef>
              <c:f>'Investment Ratios'!$I$26:$J$26</c:f>
              <c:numCache>
                <c:formatCode>0.00%</c:formatCode>
                <c:ptCount val="2"/>
                <c:pt idx="0">
                  <c:v>3.8653852973509699E-2</c:v>
                </c:pt>
                <c:pt idx="1">
                  <c:v>3.175033921302578E-2</c:v>
                </c:pt>
              </c:numCache>
            </c:numRef>
          </c:val>
          <c:extLst>
            <c:ext xmlns:c16="http://schemas.microsoft.com/office/drawing/2014/chart" uri="{C3380CC4-5D6E-409C-BE32-E72D297353CC}">
              <c16:uniqueId val="{00000000-D712-4B21-BBD0-8765EE3FA605}"/>
            </c:ext>
          </c:extLst>
        </c:ser>
        <c:dLbls>
          <c:showLegendKey val="0"/>
          <c:showVal val="0"/>
          <c:showCatName val="0"/>
          <c:showSerName val="0"/>
          <c:showPercent val="0"/>
          <c:showBubbleSize val="0"/>
        </c:dLbls>
        <c:gapWidth val="150"/>
        <c:shape val="box"/>
        <c:axId val="132733039"/>
        <c:axId val="132723439"/>
        <c:axId val="0"/>
      </c:bar3DChart>
      <c:catAx>
        <c:axId val="1327330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23439"/>
        <c:crosses val="autoZero"/>
        <c:auto val="1"/>
        <c:lblAlgn val="ctr"/>
        <c:lblOffset val="100"/>
        <c:noMultiLvlLbl val="0"/>
      </c:catAx>
      <c:valAx>
        <c:axId val="1327234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330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5">
  <a:schemeClr val="accent2"/>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7D2C"/>
    <w:rsid w:val="00145AD8"/>
    <w:rsid w:val="00242260"/>
    <w:rsid w:val="002450A7"/>
    <w:rsid w:val="003203C2"/>
    <w:rsid w:val="003C11E7"/>
    <w:rsid w:val="004D25D2"/>
    <w:rsid w:val="006E76B3"/>
    <w:rsid w:val="00A11633"/>
    <w:rsid w:val="00A34C42"/>
    <w:rsid w:val="00B514C3"/>
    <w:rsid w:val="00B910DE"/>
    <w:rsid w:val="00BC1251"/>
    <w:rsid w:val="00C67429"/>
    <w:rsid w:val="00E00C6B"/>
    <w:rsid w:val="00E2687D"/>
    <w:rsid w:val="00E54073"/>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45</Pages>
  <Words>9201</Words>
  <Characters>52446</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
  <LinksUpToDate>false</LinksUpToDate>
  <CharactersWithSpaces>61524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Managers, Tesco PLC [BMMB7005D</dc:title>
  <dc:subject>Name: - Yeshwanth Reddy Adama</dc:subject>
  <dc:creator>yeshwanth reddy</dc:creator>
  <cp:keywords/>
  <dc:description/>
  <cp:lastModifiedBy>yeshwanth reddy</cp:lastModifiedBy>
  <cp:revision>2</cp:revision>
  <dcterms:created xsi:type="dcterms:W3CDTF">2025-01-10T21:49:00Z</dcterms:created>
  <dcterms:modified xsi:type="dcterms:W3CDTF">2025-01-10T21:49:00Z</dcterms:modified>
</cp:coreProperties>
</file>