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FAC8D" w14:textId="330E0C52" w:rsidR="0020716D" w:rsidRDefault="00BB33FB" w:rsidP="0020716D">
      <w:r>
        <w:rPr>
          <w:noProof/>
        </w:rPr>
        <w:drawing>
          <wp:anchor distT="0" distB="0" distL="114300" distR="114300" simplePos="0" relativeHeight="251670528" behindDoc="1" locked="0" layoutInCell="1" allowOverlap="1" wp14:anchorId="2065E661" wp14:editId="1A895DFE">
            <wp:simplePos x="0" y="0"/>
            <wp:positionH relativeFrom="margin">
              <wp:posOffset>-806450</wp:posOffset>
            </wp:positionH>
            <wp:positionV relativeFrom="page">
              <wp:posOffset>1028700</wp:posOffset>
            </wp:positionV>
            <wp:extent cx="1187450" cy="787400"/>
            <wp:effectExtent l="0" t="0" r="0" b="0"/>
            <wp:wrapTight wrapText="bothSides">
              <wp:wrapPolygon edited="0">
                <wp:start x="0" y="0"/>
                <wp:lineTo x="0" y="20903"/>
                <wp:lineTo x="21138" y="20903"/>
                <wp:lineTo x="21138" y="0"/>
                <wp:lineTo x="0" y="0"/>
              </wp:wrapPolygon>
            </wp:wrapTight>
            <wp:docPr id="19195250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87450" cy="787400"/>
                    </a:xfrm>
                    <a:prstGeom prst="rect">
                      <a:avLst/>
                    </a:prstGeom>
                    <a:noFill/>
                  </pic:spPr>
                </pic:pic>
              </a:graphicData>
            </a:graphic>
            <wp14:sizeRelH relativeFrom="margin">
              <wp14:pctWidth>0</wp14:pctWidth>
            </wp14:sizeRelH>
            <wp14:sizeRelV relativeFrom="margin">
              <wp14:pctHeight>0</wp14:pctHeight>
            </wp14:sizeRelV>
          </wp:anchor>
        </w:drawing>
      </w:r>
      <w:r w:rsidR="00010024">
        <w:rPr>
          <w:noProof/>
        </w:rPr>
        <w:drawing>
          <wp:anchor distT="0" distB="0" distL="114300" distR="114300" simplePos="0" relativeHeight="251669504" behindDoc="1" locked="0" layoutInCell="1" allowOverlap="1" wp14:anchorId="6344F036" wp14:editId="4277F93B">
            <wp:simplePos x="0" y="0"/>
            <wp:positionH relativeFrom="margin">
              <wp:posOffset>5238750</wp:posOffset>
            </wp:positionH>
            <wp:positionV relativeFrom="topMargin">
              <wp:align>bottom</wp:align>
            </wp:positionV>
            <wp:extent cx="1331595" cy="749300"/>
            <wp:effectExtent l="0" t="0" r="1905" b="0"/>
            <wp:wrapTight wrapText="bothSides">
              <wp:wrapPolygon edited="0">
                <wp:start x="0" y="0"/>
                <wp:lineTo x="0" y="20868"/>
                <wp:lineTo x="21322" y="20868"/>
                <wp:lineTo x="21322" y="0"/>
                <wp:lineTo x="0" y="0"/>
              </wp:wrapPolygon>
            </wp:wrapTight>
            <wp:docPr id="8279567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31595" cy="749300"/>
                    </a:xfrm>
                    <a:prstGeom prst="rect">
                      <a:avLst/>
                    </a:prstGeom>
                    <a:noFill/>
                  </pic:spPr>
                </pic:pic>
              </a:graphicData>
            </a:graphic>
            <wp14:sizeRelH relativeFrom="margin">
              <wp14:pctWidth>0</wp14:pctWidth>
            </wp14:sizeRelH>
            <wp14:sizeRelV relativeFrom="margin">
              <wp14:pctHeight>0</wp14:pctHeight>
            </wp14:sizeRelV>
          </wp:anchor>
        </w:drawing>
      </w:r>
      <w:r w:rsidR="00010024">
        <w:rPr>
          <w:noProof/>
        </w:rPr>
        <w:drawing>
          <wp:anchor distT="0" distB="0" distL="114300" distR="114300" simplePos="0" relativeHeight="251668480" behindDoc="1" locked="0" layoutInCell="1" allowOverlap="1" wp14:anchorId="0628BE79" wp14:editId="204687AD">
            <wp:simplePos x="0" y="0"/>
            <wp:positionH relativeFrom="margin">
              <wp:posOffset>-882650</wp:posOffset>
            </wp:positionH>
            <wp:positionV relativeFrom="topMargin">
              <wp:align>bottom</wp:align>
            </wp:positionV>
            <wp:extent cx="1365885" cy="768350"/>
            <wp:effectExtent l="0" t="0" r="5715" b="0"/>
            <wp:wrapTight wrapText="bothSides">
              <wp:wrapPolygon edited="0">
                <wp:start x="0" y="0"/>
                <wp:lineTo x="0" y="20886"/>
                <wp:lineTo x="21389" y="20886"/>
                <wp:lineTo x="21389" y="0"/>
                <wp:lineTo x="0" y="0"/>
              </wp:wrapPolygon>
            </wp:wrapTight>
            <wp:docPr id="1026071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65885" cy="768350"/>
                    </a:xfrm>
                    <a:prstGeom prst="rect">
                      <a:avLst/>
                    </a:prstGeom>
                    <a:noFill/>
                  </pic:spPr>
                </pic:pic>
              </a:graphicData>
            </a:graphic>
            <wp14:sizeRelH relativeFrom="margin">
              <wp14:pctWidth>0</wp14:pctWidth>
            </wp14:sizeRelH>
            <wp14:sizeRelV relativeFrom="margin">
              <wp14:pctHeight>0</wp14:pctHeight>
            </wp14:sizeRelV>
          </wp:anchor>
        </w:drawing>
      </w:r>
      <w:r w:rsidR="00010024">
        <w:rPr>
          <w:noProof/>
        </w:rPr>
        <w:drawing>
          <wp:anchor distT="0" distB="0" distL="114300" distR="114300" simplePos="0" relativeHeight="251667456" behindDoc="1" locked="0" layoutInCell="1" allowOverlap="1" wp14:anchorId="71A5A5A8" wp14:editId="7E812A07">
            <wp:simplePos x="0" y="0"/>
            <wp:positionH relativeFrom="margin">
              <wp:align>right</wp:align>
            </wp:positionH>
            <wp:positionV relativeFrom="page">
              <wp:posOffset>2152650</wp:posOffset>
            </wp:positionV>
            <wp:extent cx="1860550" cy="675640"/>
            <wp:effectExtent l="0" t="0" r="6350" b="0"/>
            <wp:wrapTight wrapText="bothSides">
              <wp:wrapPolygon edited="0">
                <wp:start x="0" y="0"/>
                <wp:lineTo x="0" y="20707"/>
                <wp:lineTo x="21453" y="20707"/>
                <wp:lineTo x="21453" y="0"/>
                <wp:lineTo x="0" y="0"/>
              </wp:wrapPolygon>
            </wp:wrapTight>
            <wp:docPr id="516722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0550" cy="675640"/>
                    </a:xfrm>
                    <a:prstGeom prst="rect">
                      <a:avLst/>
                    </a:prstGeom>
                    <a:noFill/>
                  </pic:spPr>
                </pic:pic>
              </a:graphicData>
            </a:graphic>
            <wp14:sizeRelH relativeFrom="margin">
              <wp14:pctWidth>0</wp14:pctWidth>
            </wp14:sizeRelH>
            <wp14:sizeRelV relativeFrom="margin">
              <wp14:pctHeight>0</wp14:pctHeight>
            </wp14:sizeRelV>
          </wp:anchor>
        </w:drawing>
      </w:r>
      <w:r w:rsidR="00010024">
        <w:rPr>
          <w:noProof/>
        </w:rPr>
        <mc:AlternateContent>
          <mc:Choice Requires="wps">
            <w:drawing>
              <wp:anchor distT="0" distB="0" distL="114300" distR="114300" simplePos="0" relativeHeight="251663360" behindDoc="0" locked="0" layoutInCell="1" allowOverlap="1" wp14:anchorId="023E8A56" wp14:editId="4260D9CD">
                <wp:simplePos x="0" y="0"/>
                <wp:positionH relativeFrom="column">
                  <wp:posOffset>3981450</wp:posOffset>
                </wp:positionH>
                <wp:positionV relativeFrom="paragraph">
                  <wp:posOffset>2038350</wp:posOffset>
                </wp:positionV>
                <wp:extent cx="2552700" cy="5105400"/>
                <wp:effectExtent l="228600" t="228600" r="247650" b="247650"/>
                <wp:wrapNone/>
                <wp:docPr id="109868080" name="Text Box 2"/>
                <wp:cNvGraphicFramePr/>
                <a:graphic xmlns:a="http://schemas.openxmlformats.org/drawingml/2006/main">
                  <a:graphicData uri="http://schemas.microsoft.com/office/word/2010/wordprocessingShape">
                    <wps:wsp>
                      <wps:cNvSpPr txBox="1"/>
                      <wps:spPr>
                        <a:xfrm>
                          <a:off x="0" y="0"/>
                          <a:ext cx="2552700" cy="5105400"/>
                        </a:xfrm>
                        <a:prstGeom prst="rect">
                          <a:avLst/>
                        </a:prstGeom>
                        <a:ln/>
                        <a:effectLst>
                          <a:glow rad="228600">
                            <a:schemeClr val="accent4">
                              <a:satMod val="175000"/>
                              <a:alpha val="40000"/>
                            </a:schemeClr>
                          </a:glow>
                        </a:effectLst>
                      </wps:spPr>
                      <wps:style>
                        <a:lnRef idx="3">
                          <a:schemeClr val="lt1"/>
                        </a:lnRef>
                        <a:fillRef idx="1">
                          <a:schemeClr val="accent3"/>
                        </a:fillRef>
                        <a:effectRef idx="1">
                          <a:schemeClr val="accent3"/>
                        </a:effectRef>
                        <a:fontRef idx="minor">
                          <a:schemeClr val="lt1"/>
                        </a:fontRef>
                      </wps:style>
                      <wps:txbx>
                        <w:txbxContent>
                          <w:p w14:paraId="09692670" w14:textId="3C6B37C0" w:rsidR="00AF6561" w:rsidRPr="00AF6561" w:rsidRDefault="00AF6561" w:rsidP="00AF6561">
                            <w:pPr>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Mission-Centred Initiatives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Participation from disadvantaged groups, including women and girls, the elderly, children and teens, those living with chronic diseases or disabilities, and families living on low incomes, is an example of targeted outreach.</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Comprehensive Initiatives: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Efforts to Promote Healthy Ageing: Programs such as the 60+ Active Leisure Scheme provide discounts and free passes to activities aimed at getting older folks moving.</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Activities at No Cost or at a Significant Discount: Eligible citizens can take advantage of discounted rates or even get free sessions through</w:t>
                            </w:r>
                            <w:r w:rsidRPr="00AF6561">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programs like the Passport to Leisure scheme.</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The ability to play freely is extended to pregnant women and families with young children through partnerships with community organisations.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Assistance for Skilled Athletes: Helping regional athletes reach their full potential in terms of training and competition.</w:t>
                            </w:r>
                          </w:p>
                          <w:p w14:paraId="2715A11A" w14:textId="77777777" w:rsidR="00AF6561" w:rsidRDefault="00AF65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3E8A56" id="_x0000_t202" coordsize="21600,21600" o:spt="202" path="m,l,21600r21600,l21600,xe">
                <v:stroke joinstyle="miter"/>
                <v:path gradientshapeok="t" o:connecttype="rect"/>
              </v:shapetype>
              <v:shape id="Text Box 2" o:spid="_x0000_s1026" type="#_x0000_t202" style="position:absolute;margin-left:313.5pt;margin-top:160.5pt;width:201pt;height:4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" fillcolor="#196b24 [3206]" strokecolor="white [3201]" strokeweight="1.5pt">
                <v:textbox>
                  <w:txbxContent>
                    <w:p w14:paraId="09692670" w14:textId="3C6B37C0" w:rsidR="00AF6561" w:rsidRPr="00AF6561" w:rsidRDefault="00AF6561" w:rsidP="00AF6561">
                      <w:pPr>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Mission-Centred Initiatives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Participation from disadvantaged groups, including women and girls, the elderly, children and teens, those living with chronic diseases or disabilities, and families living on low incomes, is an example of targeted outreach.</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Comprehensive Initiatives: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Efforts to Promote Healthy Ageing: Programs such as the 60+ Active Leisure Scheme provide discounts and free passes to activities aimed at getting older folks moving.</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Activities at No Cost or at a Significant Discount: Eligible citizens can take advantage of discounted rates or even get free sessions through</w:t>
                      </w:r>
                      <w:r w:rsidRPr="00AF6561">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programs like the Passport to Leisure scheme.</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The ability to play freely is extended to pregnant women and families with young children through partnerships with community organisations.</w:t>
                      </w:r>
                      <w:r w:rsidRPr="00AF6561">
                        <w:rPr>
                          <w:rFonts w:ascii="Arial" w:hAnsi="Arial" w:cs="Arial"/>
                          <w:b/>
                          <w:color w:val="000000" w:themeColor="text1"/>
                          <w:sz w:val="20"/>
                          <w:szCs w:val="2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Assistance for Skilled Athletes: Helping regional athletes reach their full potential in terms of training and competition.</w:t>
                      </w:r>
                    </w:p>
                    <w:p w14:paraId="2715A11A" w14:textId="77777777" w:rsidR="00AF6561" w:rsidRDefault="00AF6561"/>
                  </w:txbxContent>
                </v:textbox>
              </v:shape>
            </w:pict>
          </mc:Fallback>
        </mc:AlternateContent>
      </w:r>
      <w:r w:rsidR="00AF6561">
        <w:rPr>
          <w:noProof/>
        </w:rPr>
        <mc:AlternateContent>
          <mc:Choice Requires="wps">
            <w:drawing>
              <wp:anchor distT="0" distB="0" distL="114300" distR="114300" simplePos="0" relativeHeight="251664384" behindDoc="1" locked="0" layoutInCell="1" allowOverlap="1" wp14:anchorId="66455EF1" wp14:editId="45309E7B">
                <wp:simplePos x="0" y="0"/>
                <wp:positionH relativeFrom="margin">
                  <wp:align>center</wp:align>
                </wp:positionH>
                <wp:positionV relativeFrom="paragraph">
                  <wp:posOffset>1162050</wp:posOffset>
                </wp:positionV>
                <wp:extent cx="1651000" cy="5956300"/>
                <wp:effectExtent l="266700" t="266700" r="273050" b="273050"/>
                <wp:wrapTight wrapText="bothSides">
                  <wp:wrapPolygon edited="0">
                    <wp:start x="-1745" y="-967"/>
                    <wp:lineTo x="-3489" y="-829"/>
                    <wp:lineTo x="-3489" y="21485"/>
                    <wp:lineTo x="-1745" y="22383"/>
                    <wp:lineTo x="-1745" y="22521"/>
                    <wp:lineTo x="23178" y="22521"/>
                    <wp:lineTo x="23178" y="22383"/>
                    <wp:lineTo x="24923" y="21347"/>
                    <wp:lineTo x="24923" y="276"/>
                    <wp:lineTo x="23178" y="-760"/>
                    <wp:lineTo x="23178" y="-967"/>
                    <wp:lineTo x="-1745" y="-967"/>
                  </wp:wrapPolygon>
                </wp:wrapTight>
                <wp:docPr id="1708078467" name="Text Box 3"/>
                <wp:cNvGraphicFramePr/>
                <a:graphic xmlns:a="http://schemas.openxmlformats.org/drawingml/2006/main">
                  <a:graphicData uri="http://schemas.microsoft.com/office/word/2010/wordprocessingShape">
                    <wps:wsp>
                      <wps:cNvSpPr txBox="1"/>
                      <wps:spPr>
                        <a:xfrm>
                          <a:off x="0" y="0"/>
                          <a:ext cx="1651000" cy="5956300"/>
                        </a:xfrm>
                        <a:prstGeom prst="rect">
                          <a:avLst/>
                        </a:prstGeom>
                        <a:ln w="76200"/>
                        <a:effectLst>
                          <a:glow rad="228600">
                            <a:schemeClr val="accent5">
                              <a:satMod val="175000"/>
                              <a:alpha val="40000"/>
                            </a:schemeClr>
                          </a:glow>
                        </a:effectLst>
                      </wps:spPr>
                      <wps:style>
                        <a:lnRef idx="1">
                          <a:schemeClr val="dk1"/>
                        </a:lnRef>
                        <a:fillRef idx="2">
                          <a:schemeClr val="dk1"/>
                        </a:fillRef>
                        <a:effectRef idx="1">
                          <a:schemeClr val="dk1"/>
                        </a:effectRef>
                        <a:fontRef idx="minor">
                          <a:schemeClr val="dk1"/>
                        </a:fontRef>
                      </wps:style>
                      <wps:txbx>
                        <w:txbxContent>
                          <w:p w14:paraId="75BF1287" w14:textId="7F575F1C" w:rsidR="00AF6561" w:rsidRPr="003C20AA" w:rsidRDefault="00AF6561" w:rsidP="00AF6561">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Community Engagement: The Swansea Sport and Health team organizes activities in parks, including balance bike sessions, health walks, tai chi, Nordic walking, and low-impact fitness classes, fostering social interaction and utilization of green spaces.</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Opportunities for Personal Involvement</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Volunteering: Assist in organizing and facilitating community events, fitness classes, or outreach programs.</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Advocacy: Promote the initiative within personal networks to increase awareness and participation.</w:t>
                            </w:r>
                            <w:r w:rsidR="003C20AA"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Skill Sharing: Offer expertise in areas such as coaching, health education, or </w:t>
                            </w:r>
                            <w:r w:rsidRPr="003C20AA">
                              <w:rPr>
                                <w:rFonts w:ascii="Arial" w:hAnsi="Arial" w:cs="Arial"/>
                                <w:color w:val="70AD47"/>
                                <w:sz w:val="20"/>
                                <w:szCs w:val="2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administrative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55EF1" id="Text Box 3" o:spid="_x0000_s1027" type="#_x0000_t202" style="position:absolute;margin-left:0;margin-top:91.5pt;width:130pt;height:469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" fillcolor="#555 [2160]" strokecolor="black [3200]" strokeweight="6pt">
                <v:fill color2="#313131 [2608]" rotate="t" colors="0 #9b9b9b;.5 #8e8e8e;1 #797979" focus="100%" type="gradient">
                  <o:fill v:ext="view" type="gradientUnscaled"/>
                </v:fill>
                <v:textbox>
                  <w:txbxContent>
                    <w:p w14:paraId="75BF1287" w14:textId="7F575F1C" w:rsidR="00AF6561" w:rsidRPr="003C20AA" w:rsidRDefault="00AF6561" w:rsidP="00AF6561">
                      <w:pPr>
                        <w:rPr>
                          <w:rFonts w:ascii="Arial" w:hAnsi="Arial" w:cs="Arial"/>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Community Engagement: The Swansea Sport and Health team organizes activities in parks, including balance bike sessions, health walks, tai chi, Nordic walking, and low-impact fitness classes, fostering social interaction and utilization of green spaces.</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Opportunities for Personal Involvement</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Volunteering: Assist in organizing and facilitating community events, fitness classes, or outreach programs.</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Advocacy: Promote the initiative within personal networks to increase awareness and participation.</w:t>
                      </w:r>
                      <w:r w:rsidR="003C20AA"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C20AA">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Skill Sharing: Offer expertise in areas such as coaching, health education, or </w:t>
                      </w:r>
                      <w:r w:rsidRPr="003C20AA">
                        <w:rPr>
                          <w:rFonts w:ascii="Arial" w:hAnsi="Arial" w:cs="Arial"/>
                          <w:color w:val="70AD47"/>
                          <w:sz w:val="20"/>
                          <w:szCs w:val="2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administrative support.</w:t>
                      </w:r>
                    </w:p>
                  </w:txbxContent>
                </v:textbox>
                <w10:wrap type="tight" anchorx="margin"/>
              </v:shape>
            </w:pict>
          </mc:Fallback>
        </mc:AlternateContent>
      </w:r>
      <w:r w:rsidR="00AF6561">
        <w:rPr>
          <w:noProof/>
        </w:rPr>
        <mc:AlternateContent>
          <mc:Choice Requires="wps">
            <w:drawing>
              <wp:anchor distT="228600" distB="228600" distL="228600" distR="228600" simplePos="0" relativeHeight="251661312" behindDoc="0" locked="0" layoutInCell="1" allowOverlap="1" wp14:anchorId="3F5B6CDC" wp14:editId="6DD0120F">
                <wp:simplePos x="0" y="0"/>
                <wp:positionH relativeFrom="margin">
                  <wp:posOffset>-685800</wp:posOffset>
                </wp:positionH>
                <wp:positionV relativeFrom="margin">
                  <wp:posOffset>-184150</wp:posOffset>
                </wp:positionV>
                <wp:extent cx="6705600" cy="1035050"/>
                <wp:effectExtent l="0" t="400050" r="1066800" b="1041400"/>
                <wp:wrapSquare wrapText="bothSides"/>
                <wp:docPr id="123" name="Rectangle 123"/>
                <wp:cNvGraphicFramePr/>
                <a:graphic xmlns:a="http://schemas.openxmlformats.org/drawingml/2006/main">
                  <a:graphicData uri="http://schemas.microsoft.com/office/word/2010/wordprocessingShape">
                    <wps:wsp>
                      <wps:cNvSpPr/>
                      <wps:spPr>
                        <a:xfrm>
                          <a:off x="0" y="0"/>
                          <a:ext cx="6705600" cy="1035050"/>
                        </a:xfrm>
                        <a:prstGeom prst="rect">
                          <a:avLst/>
                        </a:prstGeom>
                        <a:solidFill>
                          <a:schemeClr val="accent1">
                            <a:lumMod val="60000"/>
                            <a:lumOff val="40000"/>
                          </a:schemeClr>
                        </a:solidFill>
                        <a:ln>
                          <a:solidFill>
                            <a:schemeClr val="accent5">
                              <a:lumMod val="40000"/>
                              <a:lumOff val="60000"/>
                            </a:schemeClr>
                          </a:solidFill>
                        </a:ln>
                        <a:effectLst>
                          <a:glow rad="228600">
                            <a:schemeClr val="accent5">
                              <a:satMod val="175000"/>
                              <a:alpha val="40000"/>
                            </a:schemeClr>
                          </a:glow>
                          <a:outerShdw dist="91440" algn="l" rotWithShape="0">
                            <a:schemeClr val="accent1"/>
                          </a:outerShdw>
                        </a:effectLst>
                        <a:scene3d>
                          <a:camera prst="perspectiveHeroicExtremeLeftFacing"/>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53D8061C" w14:textId="77777777" w:rsidR="0020716D" w:rsidRPr="0020716D" w:rsidRDefault="0020716D" w:rsidP="0020716D">
                            <w:pPr>
                              <w:rPr>
                                <w:rFonts w:ascii="Arial" w:hAnsi="Arial" w:cs="Arial"/>
                                <w:sz w:val="20"/>
                                <w:szCs w:val="20"/>
                              </w:rPr>
                            </w:pPr>
                            <w:r w:rsidRPr="0020716D">
                              <w:rPr>
                                <w:rFonts w:ascii="Arial" w:hAnsi="Arial" w:cs="Arial"/>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Swansea is a </w:t>
                            </w:r>
                            <w:r w:rsidRPr="0020716D">
                              <w:rPr>
                                <w:rFonts w:ascii="Arial" w:hAnsi="Arial" w:cs="Arial"/>
                                <w:b/>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thriving Welsh city that often hosts community development projects with the goal of bettering life for locals. Healthy Communities Swansea is an outstanding effort that seeks to promote health and wellness among diverse groups. It is led by Freedom Leisure. Learn about the project's goals, what it's doing, and how you can get involved to help the neighbourhood in this presentation.</w:t>
                            </w:r>
                          </w:p>
                          <w:p w14:paraId="5598BB1D" w14:textId="77777777" w:rsidR="0020716D" w:rsidRDefault="0020716D"/>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B6CDC" id="Rectangle 123" o:spid="_x0000_s1028" style="position:absolute;margin-left:-54pt;margin-top:-14.5pt;width:528pt;height:81.5pt;z-index:25166131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" fillcolor="#45b0e1 [1940]" strokecolor="#e59edc [1304]" strokeweight="1pt">
                <v:shadow on="t" color="#156082 [3204]" origin="-.5" offset="7.2pt,0"/>
                <v:textbox inset=",14.4pt,,14.4pt">
                  <w:txbxContent>
                    <w:p w14:paraId="53D8061C" w14:textId="77777777" w:rsidR="0020716D" w:rsidRPr="0020716D" w:rsidRDefault="0020716D" w:rsidP="0020716D">
                      <w:pPr>
                        <w:rPr>
                          <w:rFonts w:ascii="Arial" w:hAnsi="Arial" w:cs="Arial"/>
                          <w:sz w:val="20"/>
                          <w:szCs w:val="20"/>
                        </w:rPr>
                      </w:pPr>
                      <w:r w:rsidRPr="0020716D">
                        <w:rPr>
                          <w:rFonts w:ascii="Arial" w:hAnsi="Arial" w:cs="Arial"/>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Swansea is a </w:t>
                      </w:r>
                      <w:r w:rsidRPr="0020716D">
                        <w:rPr>
                          <w:rFonts w:ascii="Arial" w:hAnsi="Arial" w:cs="Arial"/>
                          <w:b/>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thriving Welsh city that often hosts community development projects with the goal of bettering life for locals. Healthy Communities Swansea is an outstanding effort that seeks to promote health and wellness among diverse groups. It is led by Freedom Leisure. Learn about the project's goals, what it's doing, and how you can get involved to help the neighbourhood in this presentation.</w:t>
                      </w:r>
                    </w:p>
                    <w:p w14:paraId="5598BB1D" w14:textId="77777777" w:rsidR="0020716D" w:rsidRDefault="0020716D"/>
                  </w:txbxContent>
                </v:textbox>
                <w10:wrap type="square" anchorx="margin" anchory="margin"/>
              </v:rect>
            </w:pict>
          </mc:Fallback>
        </mc:AlternateContent>
      </w:r>
      <w:r w:rsidR="0020716D">
        <w:rPr>
          <w:noProof/>
        </w:rPr>
        <mc:AlternateContent>
          <mc:Choice Requires="wps">
            <w:drawing>
              <wp:anchor distT="0" distB="0" distL="114300" distR="114300" simplePos="0" relativeHeight="251662336" behindDoc="0" locked="0" layoutInCell="1" allowOverlap="1" wp14:anchorId="27A830E3" wp14:editId="30934332">
                <wp:simplePos x="0" y="0"/>
                <wp:positionH relativeFrom="column">
                  <wp:posOffset>-850900</wp:posOffset>
                </wp:positionH>
                <wp:positionV relativeFrom="paragraph">
                  <wp:posOffset>1060450</wp:posOffset>
                </wp:positionV>
                <wp:extent cx="2616200" cy="3581400"/>
                <wp:effectExtent l="228600" t="228600" r="241300" b="247650"/>
                <wp:wrapNone/>
                <wp:docPr id="1342997901" name="Text Box 1"/>
                <wp:cNvGraphicFramePr/>
                <a:graphic xmlns:a="http://schemas.openxmlformats.org/drawingml/2006/main">
                  <a:graphicData uri="http://schemas.microsoft.com/office/word/2010/wordprocessingShape">
                    <wps:wsp>
                      <wps:cNvSpPr txBox="1"/>
                      <wps:spPr>
                        <a:xfrm>
                          <a:off x="0" y="0"/>
                          <a:ext cx="2616200" cy="3581400"/>
                        </a:xfrm>
                        <a:prstGeom prst="rect">
                          <a:avLst/>
                        </a:prstGeom>
                        <a:ln/>
                        <a:effectLst>
                          <a:glow rad="228600">
                            <a:schemeClr val="accent6">
                              <a:satMod val="175000"/>
                              <a:alpha val="40000"/>
                            </a:schemeClr>
                          </a:glow>
                        </a:effectLst>
                      </wps:spPr>
                      <wps:style>
                        <a:lnRef idx="3">
                          <a:schemeClr val="lt1"/>
                        </a:lnRef>
                        <a:fillRef idx="1">
                          <a:schemeClr val="accent5"/>
                        </a:fillRef>
                        <a:effectRef idx="1">
                          <a:schemeClr val="accent5"/>
                        </a:effectRef>
                        <a:fontRef idx="minor">
                          <a:schemeClr val="lt1"/>
                        </a:fontRef>
                      </wps:style>
                      <wps:txbx>
                        <w:txbxContent>
                          <w:p w14:paraId="7F9CC6A9" w14:textId="77777777"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Project Overview: Healthy Communities Swansea</w:t>
                            </w:r>
                          </w:p>
                          <w:p w14:paraId="5F2EBFC7" w14:textId="67068157"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Mission: To foster a culture of well-being and inclusivity, ensuring equitable access to health and wellness resources for all residents, regardless of socioeconomic status, physical ability, or demographic background.</w:t>
                            </w:r>
                          </w:p>
                          <w:p w14:paraId="10300D40" w14:textId="449DFD4E"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 xml:space="preserve">Facilities Managed: The initiative oversees seven prominent leisure </w:t>
                            </w:r>
                            <w:r w:rsidR="00AF6561"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centres</w:t>
                            </w: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w:t>
                            </w:r>
                          </w:p>
                          <w:p w14:paraId="22E45001"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The LC</w:t>
                            </w:r>
                          </w:p>
                          <w:p w14:paraId="2BDDFA7A"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Penlan Leisure Centre</w:t>
                            </w:r>
                          </w:p>
                          <w:p w14:paraId="7DDED210"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Penyrheol Leisure Centre</w:t>
                            </w:r>
                          </w:p>
                          <w:p w14:paraId="682DB568"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Morriston Leisure Centre</w:t>
                            </w:r>
                          </w:p>
                          <w:p w14:paraId="3C9551E4" w14:textId="77777777" w:rsidR="0020716D" w:rsidRPr="00AF6561" w:rsidRDefault="0020716D" w:rsidP="00AF6561">
                            <w:pPr>
                              <w:pStyle w:val="ListParagraph"/>
                              <w:numPr>
                                <w:ilvl w:val="0"/>
                                <w:numId w:val="1"/>
                              </w:numPr>
                              <w:rPr>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Bishopston Sports Centre</w:t>
                            </w:r>
                          </w:p>
                          <w:p w14:paraId="47735C03"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Cefn Hengoed Leisure Centre</w:t>
                            </w:r>
                          </w:p>
                          <w:p w14:paraId="446D9053" w14:textId="2F9DC42B"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Elba Sports Complex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830E3" id="Text Box 1" o:spid="_x0000_s1029" type="#_x0000_t202" style="position:absolute;margin-left:-67pt;margin-top:83.5pt;width:206pt;height:2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" fillcolor="#a02b93 [3208]" strokecolor="white [3201]" strokeweight="1.5pt">
                <v:textbox>
                  <w:txbxContent>
                    <w:p w14:paraId="7F9CC6A9" w14:textId="77777777"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Project Overview: Healthy Communities Swansea</w:t>
                      </w:r>
                    </w:p>
                    <w:p w14:paraId="5F2EBFC7" w14:textId="67068157"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Mission: To foster a culture of well-being and inclusivity, ensuring equitable access to health and wellness resources for all residents, regardless of socioeconomic status, physical ability, or demographic background.</w:t>
                      </w:r>
                    </w:p>
                    <w:p w14:paraId="10300D40" w14:textId="449DFD4E" w:rsidR="0020716D" w:rsidRPr="00AF6561" w:rsidRDefault="0020716D" w:rsidP="0020716D">
                      <w:p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 xml:space="preserve">Facilities Managed: The initiative oversees seven prominent leisure </w:t>
                      </w:r>
                      <w:r w:rsidR="00AF6561"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centres</w:t>
                      </w: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w:t>
                      </w:r>
                    </w:p>
                    <w:p w14:paraId="22E45001"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The LC</w:t>
                      </w:r>
                    </w:p>
                    <w:p w14:paraId="2BDDFA7A"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Penlan Leisure Centre</w:t>
                      </w:r>
                    </w:p>
                    <w:p w14:paraId="7DDED210"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Penyrheol Leisure Centre</w:t>
                      </w:r>
                    </w:p>
                    <w:p w14:paraId="682DB568"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Morriston Leisure Centre</w:t>
                      </w:r>
                    </w:p>
                    <w:p w14:paraId="3C9551E4" w14:textId="77777777" w:rsidR="0020716D" w:rsidRPr="00AF6561" w:rsidRDefault="0020716D" w:rsidP="00AF6561">
                      <w:pPr>
                        <w:pStyle w:val="ListParagraph"/>
                        <w:numPr>
                          <w:ilvl w:val="0"/>
                          <w:numId w:val="1"/>
                        </w:numPr>
                        <w:rPr>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Bishopston Sports Centre</w:t>
                      </w:r>
                    </w:p>
                    <w:p w14:paraId="47735C03" w14:textId="77777777"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Cefn Hengoed Leisure Centre</w:t>
                      </w:r>
                    </w:p>
                    <w:p w14:paraId="446D9053" w14:textId="2F9DC42B" w:rsidR="0020716D" w:rsidRPr="00AF6561" w:rsidRDefault="0020716D" w:rsidP="00AF6561">
                      <w:pPr>
                        <w:pStyle w:val="ListParagraph"/>
                        <w:numPr>
                          <w:ilvl w:val="0"/>
                          <w:numId w:val="1"/>
                        </w:numPr>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AF6561">
                        <w:rPr>
                          <w:rFonts w:ascii="Arial" w:hAnsi="Arial" w:cs="Arial"/>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Elba Sports Complex</w:t>
                      </w:r>
                    </w:p>
                  </w:txbxContent>
                </v:textbox>
              </v:shape>
            </w:pict>
          </mc:Fallback>
        </mc:AlternateContent>
      </w:r>
    </w:p>
    <w:p w14:paraId="7B3D38DF" w14:textId="201A76AB" w:rsidR="0020716D" w:rsidRDefault="0020716D" w:rsidP="0020716D">
      <w:pPr>
        <w:spacing w:after="0"/>
        <w:rPr>
          <w:color w:val="FFFFFF" w:themeColor="background1"/>
          <w:sz w:val="26"/>
          <w:szCs w:val="26"/>
        </w:rPr>
      </w:pPr>
    </w:p>
    <w:p w14:paraId="3BC27A4C" w14:textId="3CFB877F" w:rsidR="0020716D" w:rsidRDefault="00837AD1">
      <w:r>
        <w:rPr>
          <w:noProof/>
        </w:rPr>
        <w:drawing>
          <wp:anchor distT="0" distB="0" distL="114300" distR="114300" simplePos="0" relativeHeight="251672576" behindDoc="1" locked="0" layoutInCell="1" allowOverlap="1" wp14:anchorId="50FF5C20" wp14:editId="356A2A52">
            <wp:simplePos x="0" y="0"/>
            <wp:positionH relativeFrom="margin">
              <wp:posOffset>-812800</wp:posOffset>
            </wp:positionH>
            <wp:positionV relativeFrom="bottomMargin">
              <wp:posOffset>280670</wp:posOffset>
            </wp:positionV>
            <wp:extent cx="2565400" cy="532765"/>
            <wp:effectExtent l="0" t="0" r="6350" b="635"/>
            <wp:wrapTight wrapText="bothSides">
              <wp:wrapPolygon edited="0">
                <wp:start x="0" y="0"/>
                <wp:lineTo x="0" y="20853"/>
                <wp:lineTo x="21493" y="20853"/>
                <wp:lineTo x="21493" y="0"/>
                <wp:lineTo x="0" y="0"/>
              </wp:wrapPolygon>
            </wp:wrapTight>
            <wp:docPr id="577223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532765"/>
                    </a:xfrm>
                    <a:prstGeom prst="rect">
                      <a:avLst/>
                    </a:prstGeom>
                    <a:noFill/>
                  </pic:spPr>
                </pic:pic>
              </a:graphicData>
            </a:graphic>
            <wp14:sizeRelH relativeFrom="margin">
              <wp14:pctWidth>0</wp14:pctWidth>
            </wp14:sizeRelH>
            <wp14:sizeRelV relativeFrom="margin">
              <wp14:pctHeight>0</wp14:pctHeight>
            </wp14:sizeRelV>
          </wp:anchor>
        </w:drawing>
      </w:r>
      <w:r w:rsidR="00BB33FB">
        <w:rPr>
          <w:noProof/>
        </w:rPr>
        <mc:AlternateContent>
          <mc:Choice Requires="wps">
            <w:drawing>
              <wp:anchor distT="0" distB="0" distL="114300" distR="114300" simplePos="0" relativeHeight="251671552" behindDoc="0" locked="0" layoutInCell="1" allowOverlap="1" wp14:anchorId="36F0C0C1" wp14:editId="3264E73A">
                <wp:simplePos x="0" y="0"/>
                <wp:positionH relativeFrom="column">
                  <wp:posOffset>1892300</wp:posOffset>
                </wp:positionH>
                <wp:positionV relativeFrom="paragraph">
                  <wp:posOffset>4681855</wp:posOffset>
                </wp:positionV>
                <wp:extent cx="4699000" cy="2095500"/>
                <wp:effectExtent l="228600" t="228600" r="254000" b="247650"/>
                <wp:wrapNone/>
                <wp:docPr id="170728566" name="Text Box 8"/>
                <wp:cNvGraphicFramePr/>
                <a:graphic xmlns:a="http://schemas.openxmlformats.org/drawingml/2006/main">
                  <a:graphicData uri="http://schemas.microsoft.com/office/word/2010/wordprocessingShape">
                    <wps:wsp>
                      <wps:cNvSpPr txBox="1"/>
                      <wps:spPr>
                        <a:xfrm>
                          <a:off x="0" y="0"/>
                          <a:ext cx="4699000" cy="2095500"/>
                        </a:xfrm>
                        <a:prstGeom prst="rect">
                          <a:avLst/>
                        </a:prstGeom>
                        <a:solidFill>
                          <a:srgbClr val="FFFF00"/>
                        </a:solidFill>
                        <a:ln w="6350">
                          <a:solidFill>
                            <a:schemeClr val="accent5">
                              <a:lumMod val="75000"/>
                            </a:schemeClr>
                          </a:solidFill>
                        </a:ln>
                        <a:effectLst>
                          <a:glow rad="228600">
                            <a:schemeClr val="accent5">
                              <a:satMod val="175000"/>
                              <a:alpha val="40000"/>
                            </a:schemeClr>
                          </a:glow>
                        </a:effectLst>
                      </wps:spPr>
                      <wps:txbx>
                        <w:txbxContent>
                          <w:p w14:paraId="03849DE8" w14:textId="37CF3D22"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Hart, S. L., &amp; Milstein, M. B. (2003). Creating sustainable value.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Academy of Management Executive, 17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56-67.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Schmalleger, S., &amp; Wagner, M. (2006). Integrative management of sustainability performance, measurement, and reporting.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International Journal of Accounting, Auditing and Performance Evaluation, 3(</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 1-19.</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Porter, M. E., &amp; Kramer, M. R. (2011). Creating shared value.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Harvard Business Review, 89</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(1/2), 62-77.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Tuckman, B. W. (1965). Developmental sequence in small groups. Psychological Bulletin, 63(6), 384-399.Maslow, A. H. (1943). A theory of human motivation.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Psychological Review, 50</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370-396.</w:t>
                            </w:r>
                          </w:p>
                          <w:p w14:paraId="6E5F02D1" w14:textId="202E0994"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hyperlink r:id="rId9" w:history="1">
                              <w:r w:rsidRPr="00371BA9">
                                <w:rPr>
                                  <w:rStyle w:val="Hyperlink"/>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https://swanseabaynews.com/2023/02/08/local-swansea-projects-to-benefit-from-38-4m-funding-boost/</w:t>
                              </w:r>
                            </w:hyperlink>
                          </w:p>
                          <w:p w14:paraId="2E7600C4" w14:textId="2B86A101"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hyperlink r:id="rId10" w:history="1">
                              <w:r w:rsidRPr="00371BA9">
                                <w:rPr>
                                  <w:rStyle w:val="Hyperlink"/>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https://www.gov.uk/government/publications/community-development-handbook/community-development-handbook</w:t>
                              </w:r>
                            </w:hyperlink>
                          </w:p>
                          <w:p w14:paraId="1E9BBF26" w14:textId="77777777" w:rsidR="00BB33FB" w:rsidRPr="00BB33FB" w:rsidRDefault="00BB33FB" w:rsidP="00BB33FB">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0C0C1" id="Text Box 8" o:spid="_x0000_s1030" type="#_x0000_t202" style="position:absolute;margin-left:149pt;margin-top:368.65pt;width:370pt;height: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" fillcolor="yellow" strokecolor="#77206d [2408]" strokeweight=".5pt">
                <v:textbox>
                  <w:txbxContent>
                    <w:p w14:paraId="03849DE8" w14:textId="37CF3D22"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Hart, S. L., &amp; Milstein, M. B. (2003). Creating sustainable value.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Academy of Management Executive, 17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56-67.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Schmalleger, S., &amp; Wagner, M. (2006). Integrative management of sustainability performance, measurement, and reporting.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International Journal of Accounting, Auditing and Performance Evaluation, 3(</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 1-19.</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Porter, M. E., &amp; Kramer, M. R. (2011). Creating shared value.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Harvard Business Review, 89</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(1/2), 62-77.</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Tuckman, B. W. (1965). Developmental sequence in small groups. Psychological Bulletin, 63(6), 384-399.Maslow, A. H. (1943). A theory of human motivation. </w:t>
                      </w:r>
                      <w:r w:rsidRPr="00371BA9">
                        <w:rPr>
                          <w:rFonts w:ascii="Arial" w:hAnsi="Arial" w:cs="Arial"/>
                          <w:b/>
                          <w:i/>
                          <w:iCs/>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Psychological Review, 50</w:t>
                      </w:r>
                      <w:r w:rsidRPr="00371BA9">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370-396.</w:t>
                      </w:r>
                    </w:p>
                    <w:p w14:paraId="6E5F02D1" w14:textId="202E0994"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hyperlink r:id="rId11" w:history="1">
                        <w:r w:rsidRPr="00371BA9">
                          <w:rPr>
                            <w:rStyle w:val="Hyperlink"/>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https://swanseabaynews.com/2023/02/08/local-swansea-projects-to-benefit-from-38-4m-funding-boost/</w:t>
                        </w:r>
                      </w:hyperlink>
                    </w:p>
                    <w:p w14:paraId="2E7600C4" w14:textId="2B86A101" w:rsidR="00BB33FB" w:rsidRPr="00371BA9" w:rsidRDefault="00BB33FB" w:rsidP="00BB33FB">
                      <w:pP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hyperlink r:id="rId12" w:history="1">
                        <w:r w:rsidRPr="00371BA9">
                          <w:rPr>
                            <w:rStyle w:val="Hyperlink"/>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https://www.gov.uk/government/publications/community-development-handbook/community-development-handbook</w:t>
                        </w:r>
                      </w:hyperlink>
                    </w:p>
                    <w:p w14:paraId="1E9BBF26" w14:textId="77777777" w:rsidR="00BB33FB" w:rsidRPr="00BB33FB" w:rsidRDefault="00BB33FB" w:rsidP="00BB33FB">
                      <w:pPr>
                        <w:rPr>
                          <w:rFonts w:ascii="Arial" w:hAnsi="Arial" w:cs="Arial"/>
                          <w:sz w:val="16"/>
                          <w:szCs w:val="16"/>
                        </w:rPr>
                      </w:pPr>
                    </w:p>
                  </w:txbxContent>
                </v:textbox>
              </v:shape>
            </w:pict>
          </mc:Fallback>
        </mc:AlternateContent>
      </w:r>
      <w:r w:rsidR="00010024">
        <w:rPr>
          <w:noProof/>
        </w:rPr>
        <mc:AlternateContent>
          <mc:Choice Requires="wps">
            <w:drawing>
              <wp:anchor distT="228600" distB="228600" distL="228600" distR="228600" simplePos="0" relativeHeight="251666432" behindDoc="1" locked="0" layoutInCell="1" allowOverlap="1" wp14:anchorId="6D492BA0" wp14:editId="594FDC2B">
                <wp:simplePos x="0" y="0"/>
                <wp:positionH relativeFrom="page">
                  <wp:posOffset>88900</wp:posOffset>
                </wp:positionH>
                <wp:positionV relativeFrom="page">
                  <wp:posOffset>5772150</wp:posOffset>
                </wp:positionV>
                <wp:extent cx="2641600" cy="4248150"/>
                <wp:effectExtent l="0" t="0" r="6350" b="0"/>
                <wp:wrapTight wrapText="bothSides">
                  <wp:wrapPolygon edited="0">
                    <wp:start x="0" y="0"/>
                    <wp:lineTo x="0" y="21503"/>
                    <wp:lineTo x="21496" y="21503"/>
                    <wp:lineTo x="21496" y="0"/>
                    <wp:lineTo x="0" y="0"/>
                  </wp:wrapPolygon>
                </wp:wrapTight>
                <wp:docPr id="2002403061" name="Rectangle 2002403061"/>
                <wp:cNvGraphicFramePr/>
                <a:graphic xmlns:a="http://schemas.openxmlformats.org/drawingml/2006/main">
                  <a:graphicData uri="http://schemas.microsoft.com/office/word/2010/wordprocessingShape">
                    <wps:wsp>
                      <wps:cNvSpPr/>
                      <wps:spPr>
                        <a:xfrm>
                          <a:off x="0" y="0"/>
                          <a:ext cx="2641600" cy="424815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6D5FF39" w14:textId="10103283" w:rsidR="00010024" w:rsidRPr="00010024" w:rsidRDefault="00010024" w:rsidP="00010024">
                            <w:pPr>
                              <w:spacing w:after="0"/>
                              <w:rPr>
                                <w:rFonts w:ascii="Arial" w:hAnsi="Arial" w:cs="Arial"/>
                                <w:b/>
                                <w:bCs/>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bCs/>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Healthy Communities Swansea Initiative Overview</w:t>
                            </w:r>
                          </w:p>
                          <w:p w14:paraId="1AAD07A0" w14:textId="26FE7E1C"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Emphasizes inclusivity and holistic well-being.</w:t>
                            </w:r>
                          </w:p>
                          <w:p w14:paraId="7B0A3766" w14:textId="2CEFBE2B"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Provides health and wellness resources to all residents, regardless of socioeconomic status, physical ability, or demographic background.</w:t>
                            </w:r>
                          </w:p>
                          <w:p w14:paraId="51FC3FB0" w14:textId="7983E42E"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Offers diverse activities and services to address unique community needs.</w:t>
                            </w:r>
                          </w:p>
                          <w:p w14:paraId="552411B0" w14:textId="08530335"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Encourages active participation in personal health journey and </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neighbour’s</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well-being.</w:t>
                            </w:r>
                          </w:p>
                          <w:p w14:paraId="63C7631A" w14:textId="48C5E078"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Promotes individual health and cultivates a collective spirit of wellness and unity.</w:t>
                            </w:r>
                          </w:p>
                          <w:p w14:paraId="6C2E5CEE" w14:textId="7EC2423A"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Residents can play a pivotal role in shaping a vibrant, healthy, and inclusive Swansea.</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492BA0" id="Rectangle 2002403061" o:spid="_x0000_s1031" style="position:absolute;margin-left:7pt;margin-top:454.5pt;width:208pt;height:334.5pt;z-index:-251650048;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" fillcolor="#0f9ed5 [3207]" stroked="f">
                <v:fill opacity="32896f"/>
                <v:textbox inset=",14.4pt,,14.4pt">
                  <w:txbxContent>
                    <w:p w14:paraId="46D5FF39" w14:textId="10103283" w:rsidR="00010024" w:rsidRPr="00010024" w:rsidRDefault="00010024" w:rsidP="00010024">
                      <w:pPr>
                        <w:spacing w:after="0"/>
                        <w:rPr>
                          <w:rFonts w:ascii="Arial" w:hAnsi="Arial" w:cs="Arial"/>
                          <w:b/>
                          <w:bCs/>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bCs/>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Healthy Communities Swansea Initiative Overview</w:t>
                      </w:r>
                    </w:p>
                    <w:p w14:paraId="1AAD07A0" w14:textId="26FE7E1C"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Emphasizes inclusivity and holistic well-being.</w:t>
                      </w:r>
                    </w:p>
                    <w:p w14:paraId="7B0A3766" w14:textId="2CEFBE2B"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Provides health and wellness resources to all residents, regardless of socioeconomic status, physical ability, or demographic background.</w:t>
                      </w:r>
                    </w:p>
                    <w:p w14:paraId="51FC3FB0" w14:textId="7983E42E"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Offers diverse activities and services to address unique community needs.</w:t>
                      </w:r>
                    </w:p>
                    <w:p w14:paraId="552411B0" w14:textId="08530335"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Encourages active participation in personal health journey and </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neighbour’s</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well-being.</w:t>
                      </w:r>
                    </w:p>
                    <w:p w14:paraId="63C7631A" w14:textId="48C5E078"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Promotes individual health and cultivates a collective spirit of wellness and unity.</w:t>
                      </w:r>
                    </w:p>
                    <w:p w14:paraId="6C2E5CEE" w14:textId="7EC2423A" w:rsidR="00010024" w:rsidRPr="00010024" w:rsidRDefault="00010024" w:rsidP="00010024">
                      <w:pPr>
                        <w:pStyle w:val="ListParagraph"/>
                        <w:numPr>
                          <w:ilvl w:val="0"/>
                          <w:numId w:val="2"/>
                        </w:numPr>
                        <w:spacing w:after="0"/>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Residents can play a pivotal role in shaping a vibrant, healthy, and inclusive Swansea.</w:t>
                      </w:r>
                      <w:r w:rsidRPr="00010024">
                        <w:rPr>
                          <w:rFonts w:ascii="Arial" w:hAnsi="Arial" w:cs="Arial"/>
                          <w:b/>
                          <w:color w:val="E8E8E8" w:themeColor="background2"/>
                          <w:spacing w:val="10"/>
                          <w:sz w:val="20"/>
                          <w:szCs w:val="2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txbxContent>
                </v:textbox>
                <w10:wrap type="tight" anchorx="page" anchory="page"/>
              </v:rect>
            </w:pict>
          </mc:Fallback>
        </mc:AlternateContent>
      </w:r>
      <w:r w:rsidR="0020716D">
        <w:rPr>
          <w:noProof/>
        </w:rPr>
        <mc:AlternateContent>
          <mc:Choice Requires="wps">
            <w:drawing>
              <wp:anchor distT="0" distB="0" distL="114300" distR="114300" simplePos="0" relativeHeight="251659264" behindDoc="1" locked="0" layoutInCell="1" allowOverlap="1" wp14:anchorId="06F1A0DE" wp14:editId="209EBDF8">
                <wp:simplePos x="0" y="0"/>
                <wp:positionH relativeFrom="margin">
                  <wp:posOffset>38100</wp:posOffset>
                </wp:positionH>
                <wp:positionV relativeFrom="topMargin">
                  <wp:posOffset>76200</wp:posOffset>
                </wp:positionV>
                <wp:extent cx="5632450" cy="641350"/>
                <wp:effectExtent l="0" t="0" r="0" b="6350"/>
                <wp:wrapTight wrapText="bothSides">
                  <wp:wrapPolygon edited="0">
                    <wp:start x="146" y="0"/>
                    <wp:lineTo x="146" y="21172"/>
                    <wp:lineTo x="21332" y="21172"/>
                    <wp:lineTo x="21332" y="0"/>
                    <wp:lineTo x="146" y="0"/>
                  </wp:wrapPolygon>
                </wp:wrapTight>
                <wp:docPr id="1702522411" name="Text Box 1"/>
                <wp:cNvGraphicFramePr/>
                <a:graphic xmlns:a="http://schemas.openxmlformats.org/drawingml/2006/main">
                  <a:graphicData uri="http://schemas.microsoft.com/office/word/2010/wordprocessingShape">
                    <wps:wsp>
                      <wps:cNvSpPr txBox="1"/>
                      <wps:spPr>
                        <a:xfrm>
                          <a:off x="0" y="0"/>
                          <a:ext cx="5632450" cy="641350"/>
                        </a:xfrm>
                        <a:prstGeom prst="rect">
                          <a:avLst/>
                        </a:prstGeom>
                        <a:noFill/>
                        <a:ln>
                          <a:noFill/>
                        </a:ln>
                        <a:effectLst>
                          <a:glow rad="228600">
                            <a:schemeClr val="accent6">
                              <a:satMod val="175000"/>
                              <a:alpha val="40000"/>
                            </a:schemeClr>
                          </a:glow>
                        </a:effectLst>
                      </wps:spPr>
                      <wps:txbx>
                        <w:txbxContent>
                          <w:p w14:paraId="228293C8" w14:textId="64472A98" w:rsidR="0020716D" w:rsidRPr="0020716D" w:rsidRDefault="0020716D" w:rsidP="0020716D">
                            <w:pPr>
                              <w:jc w:val="center"/>
                              <w:rPr>
                                <w:b/>
                                <w:color w:val="F6C5AC" w:themeColor="accent2" w:themeTint="66"/>
                                <w:sz w:val="32"/>
                                <w:szCs w:val="32"/>
                                <w14:textOutline w14:w="11112" w14:cap="flat" w14:cmpd="sng" w14:algn="ctr">
                                  <w14:solidFill>
                                    <w14:schemeClr w14:val="accent2"/>
                                  </w14:solidFill>
                                  <w14:prstDash w14:val="solid"/>
                                  <w14:round/>
                                </w14:textOutline>
                              </w:rPr>
                            </w:pPr>
                            <w:r w:rsidRPr="0020716D">
                              <w:rPr>
                                <w:b/>
                                <w:color w:val="F6C5AC" w:themeColor="accent2" w:themeTint="66"/>
                                <w:sz w:val="32"/>
                                <w:szCs w:val="32"/>
                                <w14:textOutline w14:w="11112" w14:cap="flat" w14:cmpd="sng" w14:algn="ctr">
                                  <w14:solidFill>
                                    <w14:schemeClr w14:val="accent2"/>
                                  </w14:solidFill>
                                  <w14:prstDash w14:val="solid"/>
                                  <w14:round/>
                                </w14:textOutline>
                              </w:rPr>
                              <w:t>Supporting Community Development in Swansea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A0DE" id="_x0000_s1032" type="#_x0000_t202" style="position:absolute;margin-left:3pt;margin-top:6pt;width:443.5pt;height:5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" filled="f" stroked="f">
                <v:fill o:detectmouseclick="t"/>
                <v:textbox>
                  <w:txbxContent>
                    <w:p w14:paraId="228293C8" w14:textId="64472A98" w:rsidR="0020716D" w:rsidRPr="0020716D" w:rsidRDefault="0020716D" w:rsidP="0020716D">
                      <w:pPr>
                        <w:jc w:val="center"/>
                        <w:rPr>
                          <w:b/>
                          <w:color w:val="F6C5AC" w:themeColor="accent2" w:themeTint="66"/>
                          <w:sz w:val="32"/>
                          <w:szCs w:val="32"/>
                          <w14:textOutline w14:w="11112" w14:cap="flat" w14:cmpd="sng" w14:algn="ctr">
                            <w14:solidFill>
                              <w14:schemeClr w14:val="accent2"/>
                            </w14:solidFill>
                            <w14:prstDash w14:val="solid"/>
                            <w14:round/>
                          </w14:textOutline>
                        </w:rPr>
                      </w:pPr>
                      <w:r w:rsidRPr="0020716D">
                        <w:rPr>
                          <w:b/>
                          <w:color w:val="F6C5AC" w:themeColor="accent2" w:themeTint="66"/>
                          <w:sz w:val="32"/>
                          <w:szCs w:val="32"/>
                          <w14:textOutline w14:w="11112" w14:cap="flat" w14:cmpd="sng" w14:algn="ctr">
                            <w14:solidFill>
                              <w14:schemeClr w14:val="accent2"/>
                            </w14:solidFill>
                            <w14:prstDash w14:val="solid"/>
                            <w14:round/>
                          </w14:textOutline>
                        </w:rPr>
                        <w:t>Supporting Community Development in Swansea</w:t>
                      </w:r>
                    </w:p>
                  </w:txbxContent>
                </v:textbox>
                <w10:wrap type="tight" anchorx="margin" anchory="margin"/>
              </v:shape>
            </w:pict>
          </mc:Fallback>
        </mc:AlternateContent>
      </w:r>
    </w:p>
    <w:sectPr w:rsidR="00207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A6C0B"/>
    <w:multiLevelType w:val="hybridMultilevel"/>
    <w:tmpl w:val="5D2493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F7459"/>
    <w:multiLevelType w:val="hybridMultilevel"/>
    <w:tmpl w:val="8940F7A2"/>
    <w:lvl w:ilvl="0" w:tplc="FC24BF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1B6AF6"/>
    <w:multiLevelType w:val="hybridMultilevel"/>
    <w:tmpl w:val="66FE75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1055395">
    <w:abstractNumId w:val="0"/>
  </w:num>
  <w:num w:numId="2" w16cid:durableId="1852449223">
    <w:abstractNumId w:val="2"/>
  </w:num>
  <w:num w:numId="3" w16cid:durableId="1468013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16D"/>
    <w:rsid w:val="00010024"/>
    <w:rsid w:val="0020716D"/>
    <w:rsid w:val="00371BA9"/>
    <w:rsid w:val="003C20AA"/>
    <w:rsid w:val="005D16B5"/>
    <w:rsid w:val="00837AD1"/>
    <w:rsid w:val="009260FF"/>
    <w:rsid w:val="00930CF1"/>
    <w:rsid w:val="00AF6561"/>
    <w:rsid w:val="00BB3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BCAAC"/>
  <w15:chartTrackingRefBased/>
  <w15:docId w15:val="{9A92C6F6-0394-4D61-A588-B941F664E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1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1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1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1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1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1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1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1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1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1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1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1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1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1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1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1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1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16D"/>
    <w:rPr>
      <w:rFonts w:eastAsiaTheme="majorEastAsia" w:cstheme="majorBidi"/>
      <w:color w:val="272727" w:themeColor="text1" w:themeTint="D8"/>
    </w:rPr>
  </w:style>
  <w:style w:type="paragraph" w:styleId="Title">
    <w:name w:val="Title"/>
    <w:basedOn w:val="Normal"/>
    <w:next w:val="Normal"/>
    <w:link w:val="TitleChar"/>
    <w:uiPriority w:val="10"/>
    <w:qFormat/>
    <w:rsid w:val="002071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1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1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1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16D"/>
    <w:pPr>
      <w:spacing w:before="160"/>
      <w:jc w:val="center"/>
    </w:pPr>
    <w:rPr>
      <w:i/>
      <w:iCs/>
      <w:color w:val="404040" w:themeColor="text1" w:themeTint="BF"/>
    </w:rPr>
  </w:style>
  <w:style w:type="character" w:customStyle="1" w:styleId="QuoteChar">
    <w:name w:val="Quote Char"/>
    <w:basedOn w:val="DefaultParagraphFont"/>
    <w:link w:val="Quote"/>
    <w:uiPriority w:val="29"/>
    <w:rsid w:val="0020716D"/>
    <w:rPr>
      <w:i/>
      <w:iCs/>
      <w:color w:val="404040" w:themeColor="text1" w:themeTint="BF"/>
    </w:rPr>
  </w:style>
  <w:style w:type="paragraph" w:styleId="ListParagraph">
    <w:name w:val="List Paragraph"/>
    <w:basedOn w:val="Normal"/>
    <w:uiPriority w:val="34"/>
    <w:qFormat/>
    <w:rsid w:val="0020716D"/>
    <w:pPr>
      <w:ind w:left="720"/>
      <w:contextualSpacing/>
    </w:pPr>
  </w:style>
  <w:style w:type="character" w:styleId="IntenseEmphasis">
    <w:name w:val="Intense Emphasis"/>
    <w:basedOn w:val="DefaultParagraphFont"/>
    <w:uiPriority w:val="21"/>
    <w:qFormat/>
    <w:rsid w:val="0020716D"/>
    <w:rPr>
      <w:i/>
      <w:iCs/>
      <w:color w:val="0F4761" w:themeColor="accent1" w:themeShade="BF"/>
    </w:rPr>
  </w:style>
  <w:style w:type="paragraph" w:styleId="IntenseQuote">
    <w:name w:val="Intense Quote"/>
    <w:basedOn w:val="Normal"/>
    <w:next w:val="Normal"/>
    <w:link w:val="IntenseQuoteChar"/>
    <w:uiPriority w:val="30"/>
    <w:qFormat/>
    <w:rsid w:val="002071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16D"/>
    <w:rPr>
      <w:i/>
      <w:iCs/>
      <w:color w:val="0F4761" w:themeColor="accent1" w:themeShade="BF"/>
    </w:rPr>
  </w:style>
  <w:style w:type="character" w:styleId="IntenseReference">
    <w:name w:val="Intense Reference"/>
    <w:basedOn w:val="DefaultParagraphFont"/>
    <w:uiPriority w:val="32"/>
    <w:qFormat/>
    <w:rsid w:val="0020716D"/>
    <w:rPr>
      <w:b/>
      <w:bCs/>
      <w:smallCaps/>
      <w:color w:val="0F4761" w:themeColor="accent1" w:themeShade="BF"/>
      <w:spacing w:val="5"/>
    </w:rPr>
  </w:style>
  <w:style w:type="paragraph" w:styleId="TOCHeading">
    <w:name w:val="TOC Heading"/>
    <w:basedOn w:val="Heading1"/>
    <w:next w:val="Normal"/>
    <w:uiPriority w:val="39"/>
    <w:unhideWhenUsed/>
    <w:qFormat/>
    <w:rsid w:val="0020716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BB33FB"/>
    <w:rPr>
      <w:color w:val="467886" w:themeColor="hyperlink"/>
      <w:u w:val="single"/>
    </w:rPr>
  </w:style>
  <w:style w:type="character" w:styleId="UnresolvedMention">
    <w:name w:val="Unresolved Mention"/>
    <w:basedOn w:val="DefaultParagraphFont"/>
    <w:uiPriority w:val="99"/>
    <w:semiHidden/>
    <w:unhideWhenUsed/>
    <w:rsid w:val="00BB33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4744075">
      <w:bodyDiv w:val="1"/>
      <w:marLeft w:val="0"/>
      <w:marRight w:val="0"/>
      <w:marTop w:val="0"/>
      <w:marBottom w:val="0"/>
      <w:divBdr>
        <w:top w:val="none" w:sz="0" w:space="0" w:color="auto"/>
        <w:left w:val="none" w:sz="0" w:space="0" w:color="auto"/>
        <w:bottom w:val="none" w:sz="0" w:space="0" w:color="auto"/>
        <w:right w:val="none" w:sz="0" w:space="0" w:color="auto"/>
      </w:divBdr>
    </w:div>
    <w:div w:id="203248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v.uk/government/publications/community-development-handbook/community-development-handboo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wanseabaynews.com/2023/02/08/local-swansea-projects-to-benefit-from-38-4m-funding-boost/" TargetMode="External"/><Relationship Id="rId5" Type="http://schemas.openxmlformats.org/officeDocument/2006/relationships/image" Target="media/image1.png"/><Relationship Id="rId10" Type="http://schemas.openxmlformats.org/officeDocument/2006/relationships/hyperlink" Target="https://www.gov.uk/government/publications/community-development-handbook/community-development-handbook" TargetMode="External"/><Relationship Id="rId4" Type="http://schemas.openxmlformats.org/officeDocument/2006/relationships/webSettings" Target="webSettings.xml"/><Relationship Id="rId9" Type="http://schemas.openxmlformats.org/officeDocument/2006/relationships/hyperlink" Target="https://swanseabaynews.com/2023/02/08/local-swansea-projects-to-benefit-from-38-4m-funding-boo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Words>
  <Characters>13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2024-11-09T19:45:00Z</dcterms:created>
  <dcterms:modified xsi:type="dcterms:W3CDTF">2024-11-09T19:45:00Z</dcterms:modified>
</cp:coreProperties>
</file>