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bookmarkStart w:id="0" w:name="_Toc298614882" w:displacedByCustomXml="next"/>
    <w:bookmarkStart w:id="1" w:name="_Toc316005661" w:displacedByCustomXml="next"/>
    <w:bookmarkStart w:id="2" w:name="_Hlk172026378" w:displacedByCustomXml="next"/>
    <w:sdt>
      <w:sdtPr>
        <w:rPr>
          <w:rFonts w:ascii="Arial" w:eastAsiaTheme="majorEastAsia" w:hAnsi="Arial" w:cs="Arial"/>
          <w:color w:val="276E8B" w:themeColor="accent1" w:themeShade="BF"/>
          <w:sz w:val="30"/>
          <w:szCs w:val="30"/>
        </w:rPr>
        <w:id w:val="825550276"/>
        <w:docPartObj>
          <w:docPartGallery w:val="Cover Pages"/>
          <w:docPartUnique/>
        </w:docPartObj>
      </w:sdtPr>
      <w:sdtContent>
        <w:p w14:paraId="1DAAD94B" w14:textId="5E497002" w:rsidR="002A035F" w:rsidRPr="004A73C1" w:rsidRDefault="002A035F" w:rsidP="00EF2E34">
          <w:pPr>
            <w:spacing w:line="360" w:lineRule="auto"/>
            <w:jc w:val="both"/>
            <w:rPr>
              <w:rFonts w:ascii="Arial" w:hAnsi="Arial" w:cs="Arial"/>
            </w:rPr>
          </w:pPr>
        </w:p>
        <w:p w14:paraId="01D43136" w14:textId="25BE43B4" w:rsidR="004A73C1" w:rsidRPr="004A73C1" w:rsidRDefault="005B18F2" w:rsidP="005124ED">
          <w:pPr>
            <w:spacing w:line="360" w:lineRule="auto"/>
            <w:jc w:val="both"/>
            <w:rPr>
              <w:rFonts w:ascii="Arial" w:hAnsi="Arial" w:cs="Arial"/>
            </w:rPr>
          </w:pPr>
          <w:bookmarkStart w:id="3" w:name="_Toc175056426"/>
          <w:r w:rsidRPr="005B18F2">
            <w:rPr>
              <w:rFonts w:ascii="Arial" w:hAnsi="Arial" w:cs="Arial"/>
            </w:rPr>
            <w:drawing>
              <wp:inline distT="0" distB="0" distL="0" distR="0" wp14:anchorId="0F3808F7" wp14:editId="5BC969F1">
                <wp:extent cx="5940167" cy="5534108"/>
                <wp:effectExtent l="0" t="0" r="3810" b="0"/>
                <wp:docPr id="1310697626" name="Picture 1" descr="A paper with text and 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697626" name="Picture 1" descr="A paper with text and a logo"/>
                        <pic:cNvPicPr/>
                      </pic:nvPicPr>
                      <pic:blipFill>
                        <a:blip r:embed="rId7"/>
                        <a:stretch>
                          <a:fillRect/>
                        </a:stretch>
                      </pic:blipFill>
                      <pic:spPr>
                        <a:xfrm>
                          <a:off x="0" y="0"/>
                          <a:ext cx="5947577" cy="5541012"/>
                        </a:xfrm>
                        <a:prstGeom prst="rect">
                          <a:avLst/>
                        </a:prstGeom>
                      </pic:spPr>
                    </pic:pic>
                  </a:graphicData>
                </a:graphic>
              </wp:inline>
            </w:drawing>
          </w:r>
          <w:r w:rsidR="002A035F" w:rsidRPr="004A73C1">
            <w:rPr>
              <w:rFonts w:ascii="Arial" w:hAnsi="Arial" w:cs="Arial"/>
            </w:rPr>
            <w:br w:type="page"/>
          </w:r>
        </w:p>
        <w:p w14:paraId="30E906FA" w14:textId="77777777" w:rsidR="004A73C1" w:rsidRPr="00644093" w:rsidRDefault="004A73C1" w:rsidP="00644093">
          <w:pPr>
            <w:pStyle w:val="Heading1"/>
            <w:spacing w:line="360" w:lineRule="auto"/>
            <w:jc w:val="both"/>
            <w:rPr>
              <w:sz w:val="28"/>
              <w:szCs w:val="28"/>
            </w:rPr>
          </w:pPr>
        </w:p>
        <w:p w14:paraId="774702EB" w14:textId="4470A7FA" w:rsidR="005124ED" w:rsidRPr="00644093" w:rsidRDefault="005124ED" w:rsidP="00644093">
          <w:pPr>
            <w:pStyle w:val="Heading1"/>
            <w:spacing w:line="360" w:lineRule="auto"/>
            <w:jc w:val="both"/>
            <w:rPr>
              <w:sz w:val="28"/>
              <w:szCs w:val="28"/>
            </w:rPr>
          </w:pPr>
          <w:r w:rsidRPr="00644093">
            <w:rPr>
              <w:sz w:val="28"/>
              <w:szCs w:val="28"/>
            </w:rPr>
            <w:t xml:space="preserve">DECLARATION </w:t>
          </w:r>
        </w:p>
        <w:p w14:paraId="5A75ADC4" w14:textId="77777777" w:rsidR="004C13E8" w:rsidRPr="004A73C1" w:rsidRDefault="004C13E8" w:rsidP="005124ED">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3298C258" w14:textId="5EB82BD0" w:rsidR="005124ED" w:rsidRPr="004A73C1" w:rsidRDefault="005124ED" w:rsidP="005124ED">
          <w:pPr>
            <w:pStyle w:val="paragraph"/>
            <w:spacing w:before="0" w:beforeAutospacing="0" w:after="0" w:afterAutospacing="0" w:line="360" w:lineRule="auto"/>
            <w:jc w:val="both"/>
            <w:textAlignment w:val="baseline"/>
            <w:rPr>
              <w:rFonts w:ascii="Arial" w:hAnsi="Arial" w:cs="Arial"/>
              <w:sz w:val="18"/>
              <w:szCs w:val="18"/>
            </w:rPr>
          </w:pPr>
          <w:r w:rsidRPr="004A73C1">
            <w:rPr>
              <w:rStyle w:val="normaltextrun"/>
              <w:rFonts w:ascii="Arial" w:eastAsiaTheme="majorEastAsia" w:hAnsi="Arial" w:cs="Arial"/>
              <w:sz w:val="22"/>
              <w:szCs w:val="22"/>
            </w:rPr>
            <w:t>I, Nazish Tariq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4A73C1">
            <w:rPr>
              <w:rStyle w:val="eop"/>
              <w:rFonts w:ascii="Arial" w:eastAsiaTheme="majorEastAsia" w:hAnsi="Arial" w:cs="Arial"/>
              <w:sz w:val="22"/>
              <w:szCs w:val="22"/>
            </w:rPr>
            <w:t> </w:t>
          </w:r>
        </w:p>
        <w:p w14:paraId="29647413" w14:textId="77777777" w:rsidR="005124ED" w:rsidRPr="004A73C1" w:rsidRDefault="005124ED" w:rsidP="005124ED">
          <w:pPr>
            <w:pStyle w:val="paragraph"/>
            <w:spacing w:before="0" w:beforeAutospacing="0" w:after="0" w:afterAutospacing="0" w:line="360" w:lineRule="auto"/>
            <w:jc w:val="both"/>
            <w:textAlignment w:val="baseline"/>
            <w:rPr>
              <w:rFonts w:ascii="Arial" w:hAnsi="Arial" w:cs="Arial"/>
              <w:sz w:val="18"/>
              <w:szCs w:val="18"/>
            </w:rPr>
          </w:pPr>
          <w:r w:rsidRPr="004A73C1">
            <w:rPr>
              <w:rStyle w:val="eop"/>
              <w:rFonts w:ascii="Arial" w:eastAsiaTheme="majorEastAsia" w:hAnsi="Arial" w:cs="Arial"/>
              <w:sz w:val="22"/>
              <w:szCs w:val="22"/>
            </w:rPr>
            <w:t> </w:t>
          </w:r>
        </w:p>
        <w:p w14:paraId="0DC5C908" w14:textId="153FEBED" w:rsidR="005124ED" w:rsidRPr="004A73C1" w:rsidRDefault="005124ED" w:rsidP="005124ED">
          <w:pPr>
            <w:pStyle w:val="paragraph"/>
            <w:spacing w:before="0" w:beforeAutospacing="0" w:after="0" w:afterAutospacing="0" w:line="360" w:lineRule="auto"/>
            <w:jc w:val="both"/>
            <w:textAlignment w:val="baseline"/>
            <w:rPr>
              <w:rFonts w:ascii="Arial" w:hAnsi="Arial" w:cs="Arial"/>
              <w:sz w:val="18"/>
              <w:szCs w:val="18"/>
            </w:rPr>
          </w:pPr>
          <w:r w:rsidRPr="004A73C1">
            <w:rPr>
              <w:rStyle w:val="normaltextrun"/>
              <w:rFonts w:ascii="Arial" w:eastAsiaTheme="majorEastAsia" w:hAnsi="Arial" w:cs="Arial"/>
              <w:sz w:val="22"/>
              <w:szCs w:val="22"/>
            </w:rPr>
            <w:t>Signature:</w:t>
          </w:r>
          <w:r w:rsidRPr="004A73C1">
            <w:rPr>
              <w:rStyle w:val="normaltextrun"/>
              <w:rFonts w:ascii="Arial" w:eastAsiaTheme="majorEastAsia" w:hAnsi="Arial" w:cs="Arial"/>
              <w:sz w:val="22"/>
              <w:szCs w:val="22"/>
            </w:rPr>
            <w:tab/>
            <w:t xml:space="preserve">Nazish Tariq </w:t>
          </w:r>
        </w:p>
        <w:p w14:paraId="77BE005C" w14:textId="77777777" w:rsidR="005124ED" w:rsidRPr="004A73C1" w:rsidRDefault="005124ED" w:rsidP="005124ED">
          <w:pPr>
            <w:pStyle w:val="paragraph"/>
            <w:spacing w:before="0" w:beforeAutospacing="0" w:after="0" w:afterAutospacing="0" w:line="360" w:lineRule="auto"/>
            <w:jc w:val="both"/>
            <w:textAlignment w:val="baseline"/>
            <w:rPr>
              <w:rFonts w:ascii="Arial" w:hAnsi="Arial" w:cs="Arial"/>
              <w:sz w:val="18"/>
              <w:szCs w:val="18"/>
            </w:rPr>
          </w:pPr>
          <w:r w:rsidRPr="004A73C1">
            <w:rPr>
              <w:rStyle w:val="eop"/>
              <w:rFonts w:ascii="Arial" w:eastAsiaTheme="majorEastAsia" w:hAnsi="Arial" w:cs="Arial"/>
              <w:sz w:val="22"/>
              <w:szCs w:val="22"/>
            </w:rPr>
            <w:t> </w:t>
          </w:r>
        </w:p>
        <w:p w14:paraId="35DB885B" w14:textId="2D5F4FBF" w:rsidR="005124ED" w:rsidRPr="004A73C1" w:rsidRDefault="005124ED" w:rsidP="005124ED">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r w:rsidRPr="004A73C1">
            <w:rPr>
              <w:rStyle w:val="normaltextrun"/>
              <w:rFonts w:ascii="Arial" w:eastAsiaTheme="majorEastAsia" w:hAnsi="Arial" w:cs="Arial"/>
              <w:sz w:val="22"/>
              <w:szCs w:val="22"/>
            </w:rPr>
            <w:t>Date: 27/08/2024</w:t>
          </w:r>
        </w:p>
        <w:p w14:paraId="4A267F6D" w14:textId="77777777" w:rsidR="005124ED" w:rsidRPr="004A73C1" w:rsidRDefault="005124ED" w:rsidP="005124ED">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2FA8791C" w14:textId="77777777" w:rsidR="005124ED" w:rsidRPr="004A73C1" w:rsidRDefault="005124ED" w:rsidP="005124ED">
          <w:pPr>
            <w:pStyle w:val="paragraph"/>
            <w:spacing w:before="0" w:beforeAutospacing="0" w:after="0" w:afterAutospacing="0" w:line="360" w:lineRule="auto"/>
            <w:jc w:val="both"/>
            <w:textAlignment w:val="baseline"/>
            <w:rPr>
              <w:rStyle w:val="normaltextrun"/>
              <w:rFonts w:ascii="Arial" w:eastAsiaTheme="majorEastAsia" w:hAnsi="Arial" w:cs="Arial"/>
              <w:sz w:val="22"/>
              <w:szCs w:val="22"/>
            </w:rPr>
          </w:pPr>
        </w:p>
        <w:p w14:paraId="420ADD08" w14:textId="77777777" w:rsidR="005124ED" w:rsidRDefault="005124ED" w:rsidP="00644093">
          <w:pPr>
            <w:pStyle w:val="Heading1"/>
            <w:spacing w:line="360" w:lineRule="auto"/>
            <w:jc w:val="both"/>
            <w:rPr>
              <w:sz w:val="28"/>
              <w:szCs w:val="28"/>
            </w:rPr>
          </w:pPr>
          <w:r w:rsidRPr="00644093">
            <w:rPr>
              <w:sz w:val="28"/>
              <w:szCs w:val="28"/>
            </w:rPr>
            <w:t>ACKNOWLEDGEMENT</w:t>
          </w:r>
        </w:p>
        <w:p w14:paraId="045B3613" w14:textId="77777777" w:rsidR="00305917" w:rsidRPr="00305917" w:rsidRDefault="00305917" w:rsidP="00305917"/>
        <w:p w14:paraId="35CE4ACF" w14:textId="77777777" w:rsidR="005124ED" w:rsidRPr="004A73C1" w:rsidRDefault="005124ED" w:rsidP="005124ED">
          <w:pPr>
            <w:spacing w:line="360" w:lineRule="auto"/>
            <w:jc w:val="both"/>
            <w:rPr>
              <w:rFonts w:ascii="Arial" w:hAnsi="Arial" w:cs="Arial"/>
            </w:rPr>
          </w:pPr>
          <w:r w:rsidRPr="004A73C1">
            <w:rPr>
              <w:rFonts w:ascii="Arial" w:hAnsi="Arial" w:cs="Arial"/>
            </w:rPr>
            <w:t>During my MBA journey, I would like to express my sincere gratitude to my supervisor for their unwavering support and guidance. Their insightful feedback and encouragement have been invaluable throughout this process, and I am truly grateful for their dedication to my development.</w:t>
          </w:r>
        </w:p>
        <w:p w14:paraId="0994996F" w14:textId="77777777" w:rsidR="005124ED" w:rsidRPr="004A73C1" w:rsidRDefault="005124ED" w:rsidP="005124ED">
          <w:pPr>
            <w:spacing w:line="360" w:lineRule="auto"/>
            <w:jc w:val="both"/>
            <w:rPr>
              <w:rFonts w:ascii="Arial" w:hAnsi="Arial" w:cs="Arial"/>
            </w:rPr>
          </w:pPr>
        </w:p>
        <w:p w14:paraId="2F0D236D" w14:textId="7D3CD3BD" w:rsidR="005124ED" w:rsidRPr="004A73C1" w:rsidRDefault="005124ED" w:rsidP="005124ED">
          <w:pPr>
            <w:spacing w:line="360" w:lineRule="auto"/>
            <w:jc w:val="both"/>
            <w:rPr>
              <w:rFonts w:ascii="Arial" w:hAnsi="Arial" w:cs="Arial"/>
            </w:rPr>
          </w:pPr>
          <w:r w:rsidRPr="004A73C1">
            <w:rPr>
              <w:rFonts w:ascii="Arial" w:hAnsi="Arial" w:cs="Arial"/>
            </w:rPr>
            <w:t>Thank you.</w:t>
          </w:r>
        </w:p>
        <w:p w14:paraId="282289DC" w14:textId="77777777" w:rsidR="005124ED" w:rsidRPr="004A73C1" w:rsidRDefault="005124ED" w:rsidP="005124ED">
          <w:pPr>
            <w:spacing w:line="360" w:lineRule="auto"/>
            <w:jc w:val="both"/>
            <w:rPr>
              <w:rFonts w:ascii="Arial" w:hAnsi="Arial" w:cs="Arial"/>
            </w:rPr>
          </w:pPr>
        </w:p>
        <w:p w14:paraId="1D8DCAA8" w14:textId="4618A4F1" w:rsidR="005124ED" w:rsidRPr="004A73C1" w:rsidRDefault="005124ED">
          <w:pPr>
            <w:rPr>
              <w:rFonts w:ascii="Arial" w:eastAsiaTheme="majorEastAsia" w:hAnsi="Arial" w:cs="Arial"/>
              <w:color w:val="276E8B" w:themeColor="accent1" w:themeShade="BF"/>
              <w:sz w:val="30"/>
              <w:szCs w:val="30"/>
            </w:rPr>
          </w:pPr>
          <w:r w:rsidRPr="004A73C1">
            <w:rPr>
              <w:rFonts w:ascii="Arial" w:hAnsi="Arial" w:cs="Arial"/>
            </w:rPr>
            <w:br w:type="page"/>
          </w:r>
        </w:p>
        <w:p w14:paraId="144F3249" w14:textId="05C62050" w:rsidR="002A035F" w:rsidRPr="004A73C1" w:rsidRDefault="00CF159F" w:rsidP="00EF2E34">
          <w:pPr>
            <w:pStyle w:val="Heading1"/>
            <w:spacing w:line="360" w:lineRule="auto"/>
            <w:jc w:val="both"/>
            <w:rPr>
              <w:rFonts w:ascii="Arial" w:hAnsi="Arial" w:cs="Arial"/>
            </w:rPr>
          </w:pPr>
          <w:r>
            <w:rPr>
              <w:sz w:val="48"/>
              <w:szCs w:val="48"/>
            </w:rPr>
            <w:lastRenderedPageBreak/>
            <w:t>Table of Contents.</w:t>
          </w:r>
        </w:p>
      </w:sdtContent>
    </w:sdt>
    <w:bookmarkEnd w:id="3" w:displacedByCustomXml="prev"/>
    <w:tbl>
      <w:tblPr>
        <w:tblW w:w="8240" w:type="dxa"/>
        <w:tblLook w:val="04A0" w:firstRow="1" w:lastRow="0" w:firstColumn="1" w:lastColumn="0" w:noHBand="0" w:noVBand="1"/>
      </w:tblPr>
      <w:tblGrid>
        <w:gridCol w:w="694"/>
        <w:gridCol w:w="6586"/>
        <w:gridCol w:w="960"/>
      </w:tblGrid>
      <w:tr w:rsidR="00CF159F" w:rsidRPr="00C15318" w14:paraId="01911F94" w14:textId="77777777" w:rsidTr="00AB3BE2">
        <w:trPr>
          <w:trHeight w:val="300"/>
        </w:trPr>
        <w:tc>
          <w:tcPr>
            <w:tcW w:w="7280" w:type="dxa"/>
            <w:gridSpan w:val="2"/>
            <w:tcBorders>
              <w:top w:val="nil"/>
              <w:left w:val="nil"/>
              <w:bottom w:val="nil"/>
              <w:right w:val="nil"/>
            </w:tcBorders>
            <w:shd w:val="clear" w:color="auto" w:fill="auto"/>
            <w:noWrap/>
            <w:vAlign w:val="bottom"/>
            <w:hideMark/>
          </w:tcPr>
          <w:p w14:paraId="1AA8D3FD" w14:textId="77777777" w:rsidR="00CF159F" w:rsidRPr="00C15318" w:rsidRDefault="00CF159F" w:rsidP="00AE0F20">
            <w:pPr>
              <w:spacing w:after="0" w:line="240" w:lineRule="auto"/>
              <w:rPr>
                <w:rFonts w:ascii="Aptos Narrow" w:eastAsia="Times New Roman" w:hAnsi="Aptos Narrow" w:cs="Times New Roman"/>
                <w:b/>
                <w:bCs/>
                <w:color w:val="000000"/>
                <w:sz w:val="28"/>
                <w:szCs w:val="28"/>
                <w:lang w:eastAsia="en-GB"/>
              </w:rPr>
            </w:pPr>
            <w:r w:rsidRPr="00C15318">
              <w:rPr>
                <w:rFonts w:ascii="Aptos Narrow" w:eastAsia="Times New Roman" w:hAnsi="Aptos Narrow" w:cs="Times New Roman"/>
                <w:b/>
                <w:bCs/>
                <w:noProof/>
                <w:color w:val="000000"/>
                <w:sz w:val="28"/>
                <w:szCs w:val="28"/>
                <w:lang w:eastAsia="en-GB"/>
              </w:rPr>
              <w:t>Chapter No 1. Introduction, Aims and Objectives</w:t>
            </w:r>
          </w:p>
        </w:tc>
        <w:tc>
          <w:tcPr>
            <w:tcW w:w="960" w:type="dxa"/>
            <w:tcBorders>
              <w:top w:val="nil"/>
              <w:left w:val="nil"/>
              <w:bottom w:val="nil"/>
              <w:right w:val="nil"/>
            </w:tcBorders>
            <w:shd w:val="clear" w:color="auto" w:fill="auto"/>
            <w:noWrap/>
            <w:vAlign w:val="bottom"/>
            <w:hideMark/>
          </w:tcPr>
          <w:p w14:paraId="59D954A5" w14:textId="77777777" w:rsidR="00CF159F" w:rsidRPr="00C15318" w:rsidRDefault="00CF159F" w:rsidP="00AB3BE2">
            <w:pPr>
              <w:spacing w:after="0" w:line="240" w:lineRule="auto"/>
              <w:jc w:val="center"/>
              <w:rPr>
                <w:rFonts w:ascii="Aptos Narrow" w:eastAsia="Times New Roman" w:hAnsi="Aptos Narrow" w:cs="Times New Roman"/>
                <w:b/>
                <w:bCs/>
                <w:color w:val="000000"/>
                <w:lang w:eastAsia="en-GB"/>
              </w:rPr>
            </w:pPr>
          </w:p>
        </w:tc>
      </w:tr>
      <w:tr w:rsidR="00CF159F" w:rsidRPr="00C15318" w14:paraId="18697B92" w14:textId="77777777" w:rsidTr="00AB3BE2">
        <w:trPr>
          <w:trHeight w:val="300"/>
        </w:trPr>
        <w:tc>
          <w:tcPr>
            <w:tcW w:w="694" w:type="dxa"/>
            <w:tcBorders>
              <w:top w:val="nil"/>
              <w:left w:val="nil"/>
              <w:bottom w:val="nil"/>
              <w:right w:val="nil"/>
            </w:tcBorders>
            <w:shd w:val="clear" w:color="auto" w:fill="auto"/>
            <w:noWrap/>
            <w:vAlign w:val="bottom"/>
            <w:hideMark/>
          </w:tcPr>
          <w:p w14:paraId="377517E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w:t>
            </w:r>
          </w:p>
        </w:tc>
        <w:tc>
          <w:tcPr>
            <w:tcW w:w="6586" w:type="dxa"/>
            <w:tcBorders>
              <w:top w:val="nil"/>
              <w:left w:val="nil"/>
              <w:bottom w:val="nil"/>
              <w:right w:val="nil"/>
            </w:tcBorders>
            <w:shd w:val="clear" w:color="auto" w:fill="auto"/>
            <w:noWrap/>
            <w:vAlign w:val="bottom"/>
            <w:hideMark/>
          </w:tcPr>
          <w:p w14:paraId="2221E58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Introduction</w:t>
            </w:r>
          </w:p>
        </w:tc>
        <w:tc>
          <w:tcPr>
            <w:tcW w:w="960" w:type="dxa"/>
            <w:tcBorders>
              <w:top w:val="nil"/>
              <w:left w:val="nil"/>
              <w:bottom w:val="nil"/>
              <w:right w:val="nil"/>
            </w:tcBorders>
            <w:shd w:val="clear" w:color="auto" w:fill="auto"/>
            <w:noWrap/>
            <w:vAlign w:val="bottom"/>
            <w:hideMark/>
          </w:tcPr>
          <w:p w14:paraId="096F931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w:t>
            </w:r>
          </w:p>
        </w:tc>
      </w:tr>
      <w:tr w:rsidR="00CF159F" w:rsidRPr="00C15318" w14:paraId="7DBED0DD" w14:textId="77777777" w:rsidTr="00AB3BE2">
        <w:trPr>
          <w:trHeight w:val="300"/>
        </w:trPr>
        <w:tc>
          <w:tcPr>
            <w:tcW w:w="694" w:type="dxa"/>
            <w:tcBorders>
              <w:top w:val="nil"/>
              <w:left w:val="nil"/>
              <w:bottom w:val="nil"/>
              <w:right w:val="nil"/>
            </w:tcBorders>
            <w:shd w:val="clear" w:color="auto" w:fill="auto"/>
            <w:noWrap/>
            <w:vAlign w:val="bottom"/>
            <w:hideMark/>
          </w:tcPr>
          <w:p w14:paraId="21B650B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1.2</w:t>
            </w:r>
          </w:p>
        </w:tc>
        <w:tc>
          <w:tcPr>
            <w:tcW w:w="6586" w:type="dxa"/>
            <w:tcBorders>
              <w:top w:val="nil"/>
              <w:left w:val="nil"/>
              <w:bottom w:val="nil"/>
              <w:right w:val="nil"/>
            </w:tcBorders>
            <w:shd w:val="clear" w:color="auto" w:fill="auto"/>
            <w:noWrap/>
            <w:vAlign w:val="bottom"/>
            <w:hideMark/>
          </w:tcPr>
          <w:p w14:paraId="6A42D9D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Research Significance- Problem Statement</w:t>
            </w:r>
          </w:p>
        </w:tc>
        <w:tc>
          <w:tcPr>
            <w:tcW w:w="960" w:type="dxa"/>
            <w:tcBorders>
              <w:top w:val="nil"/>
              <w:left w:val="nil"/>
              <w:bottom w:val="nil"/>
              <w:right w:val="nil"/>
            </w:tcBorders>
            <w:shd w:val="clear" w:color="auto" w:fill="auto"/>
            <w:noWrap/>
            <w:vAlign w:val="bottom"/>
            <w:hideMark/>
          </w:tcPr>
          <w:p w14:paraId="21ACD04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w:t>
            </w:r>
          </w:p>
        </w:tc>
      </w:tr>
      <w:tr w:rsidR="00CF159F" w:rsidRPr="00C15318" w14:paraId="4BC6BF97" w14:textId="77777777" w:rsidTr="00AB3BE2">
        <w:trPr>
          <w:trHeight w:val="300"/>
        </w:trPr>
        <w:tc>
          <w:tcPr>
            <w:tcW w:w="694" w:type="dxa"/>
            <w:tcBorders>
              <w:top w:val="nil"/>
              <w:left w:val="nil"/>
              <w:bottom w:val="nil"/>
              <w:right w:val="nil"/>
            </w:tcBorders>
            <w:shd w:val="clear" w:color="auto" w:fill="auto"/>
            <w:noWrap/>
            <w:vAlign w:val="bottom"/>
            <w:hideMark/>
          </w:tcPr>
          <w:p w14:paraId="1C5F9A6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1.3</w:t>
            </w:r>
          </w:p>
        </w:tc>
        <w:tc>
          <w:tcPr>
            <w:tcW w:w="6586" w:type="dxa"/>
            <w:tcBorders>
              <w:top w:val="nil"/>
              <w:left w:val="nil"/>
              <w:bottom w:val="nil"/>
              <w:right w:val="nil"/>
            </w:tcBorders>
            <w:shd w:val="clear" w:color="auto" w:fill="auto"/>
            <w:noWrap/>
            <w:vAlign w:val="bottom"/>
            <w:hideMark/>
          </w:tcPr>
          <w:p w14:paraId="1AB365D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Dissertation Aim:</w:t>
            </w:r>
          </w:p>
        </w:tc>
        <w:tc>
          <w:tcPr>
            <w:tcW w:w="960" w:type="dxa"/>
            <w:tcBorders>
              <w:top w:val="nil"/>
              <w:left w:val="nil"/>
              <w:bottom w:val="nil"/>
              <w:right w:val="nil"/>
            </w:tcBorders>
            <w:shd w:val="clear" w:color="auto" w:fill="auto"/>
            <w:noWrap/>
            <w:vAlign w:val="bottom"/>
            <w:hideMark/>
          </w:tcPr>
          <w:p w14:paraId="6F55DB3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w:t>
            </w:r>
          </w:p>
        </w:tc>
      </w:tr>
      <w:tr w:rsidR="00CF159F" w:rsidRPr="00C15318" w14:paraId="621A19B3" w14:textId="77777777" w:rsidTr="00AB3BE2">
        <w:trPr>
          <w:trHeight w:val="300"/>
        </w:trPr>
        <w:tc>
          <w:tcPr>
            <w:tcW w:w="694" w:type="dxa"/>
            <w:tcBorders>
              <w:top w:val="nil"/>
              <w:left w:val="nil"/>
              <w:bottom w:val="nil"/>
              <w:right w:val="nil"/>
            </w:tcBorders>
            <w:shd w:val="clear" w:color="auto" w:fill="auto"/>
            <w:noWrap/>
            <w:vAlign w:val="bottom"/>
            <w:hideMark/>
          </w:tcPr>
          <w:p w14:paraId="22B0E72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1.4</w:t>
            </w:r>
          </w:p>
        </w:tc>
        <w:tc>
          <w:tcPr>
            <w:tcW w:w="6586" w:type="dxa"/>
            <w:tcBorders>
              <w:top w:val="nil"/>
              <w:left w:val="nil"/>
              <w:bottom w:val="nil"/>
              <w:right w:val="nil"/>
            </w:tcBorders>
            <w:shd w:val="clear" w:color="auto" w:fill="auto"/>
            <w:noWrap/>
            <w:vAlign w:val="bottom"/>
            <w:hideMark/>
          </w:tcPr>
          <w:p w14:paraId="779FF70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Dissertation Objectives</w:t>
            </w:r>
          </w:p>
        </w:tc>
        <w:tc>
          <w:tcPr>
            <w:tcW w:w="960" w:type="dxa"/>
            <w:tcBorders>
              <w:top w:val="nil"/>
              <w:left w:val="nil"/>
              <w:bottom w:val="nil"/>
              <w:right w:val="nil"/>
            </w:tcBorders>
            <w:shd w:val="clear" w:color="auto" w:fill="auto"/>
            <w:noWrap/>
            <w:vAlign w:val="bottom"/>
            <w:hideMark/>
          </w:tcPr>
          <w:p w14:paraId="4ED525D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w:t>
            </w:r>
          </w:p>
        </w:tc>
      </w:tr>
      <w:tr w:rsidR="00CF159F" w:rsidRPr="00C15318" w14:paraId="1A343EB1" w14:textId="77777777" w:rsidTr="00AB3BE2">
        <w:trPr>
          <w:trHeight w:val="300"/>
        </w:trPr>
        <w:tc>
          <w:tcPr>
            <w:tcW w:w="694" w:type="dxa"/>
            <w:tcBorders>
              <w:top w:val="nil"/>
              <w:left w:val="nil"/>
              <w:bottom w:val="nil"/>
              <w:right w:val="nil"/>
            </w:tcBorders>
            <w:shd w:val="clear" w:color="auto" w:fill="auto"/>
            <w:noWrap/>
            <w:vAlign w:val="bottom"/>
            <w:hideMark/>
          </w:tcPr>
          <w:p w14:paraId="1E58CB6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1.5</w:t>
            </w:r>
          </w:p>
        </w:tc>
        <w:tc>
          <w:tcPr>
            <w:tcW w:w="6586" w:type="dxa"/>
            <w:tcBorders>
              <w:top w:val="nil"/>
              <w:left w:val="nil"/>
              <w:bottom w:val="nil"/>
              <w:right w:val="nil"/>
            </w:tcBorders>
            <w:shd w:val="clear" w:color="auto" w:fill="auto"/>
            <w:noWrap/>
            <w:vAlign w:val="bottom"/>
            <w:hideMark/>
          </w:tcPr>
          <w:p w14:paraId="4F7F42E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Questions To Achieve My Objectives.</w:t>
            </w:r>
          </w:p>
        </w:tc>
        <w:tc>
          <w:tcPr>
            <w:tcW w:w="960" w:type="dxa"/>
            <w:tcBorders>
              <w:top w:val="nil"/>
              <w:left w:val="nil"/>
              <w:bottom w:val="nil"/>
              <w:right w:val="nil"/>
            </w:tcBorders>
            <w:shd w:val="clear" w:color="auto" w:fill="auto"/>
            <w:noWrap/>
            <w:vAlign w:val="bottom"/>
            <w:hideMark/>
          </w:tcPr>
          <w:p w14:paraId="6036324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w:t>
            </w:r>
          </w:p>
        </w:tc>
      </w:tr>
      <w:tr w:rsidR="00CF159F" w:rsidRPr="00C15318" w14:paraId="74D25FD9" w14:textId="77777777" w:rsidTr="00AB3BE2">
        <w:trPr>
          <w:trHeight w:val="300"/>
        </w:trPr>
        <w:tc>
          <w:tcPr>
            <w:tcW w:w="694" w:type="dxa"/>
            <w:tcBorders>
              <w:top w:val="nil"/>
              <w:left w:val="nil"/>
              <w:bottom w:val="nil"/>
              <w:right w:val="nil"/>
            </w:tcBorders>
            <w:shd w:val="clear" w:color="auto" w:fill="auto"/>
            <w:noWrap/>
            <w:vAlign w:val="bottom"/>
            <w:hideMark/>
          </w:tcPr>
          <w:p w14:paraId="6155BEC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1.6</w:t>
            </w:r>
          </w:p>
        </w:tc>
        <w:tc>
          <w:tcPr>
            <w:tcW w:w="6586" w:type="dxa"/>
            <w:tcBorders>
              <w:top w:val="nil"/>
              <w:left w:val="nil"/>
              <w:bottom w:val="nil"/>
              <w:right w:val="nil"/>
            </w:tcBorders>
            <w:shd w:val="clear" w:color="auto" w:fill="auto"/>
            <w:noWrap/>
            <w:vAlign w:val="bottom"/>
            <w:hideMark/>
          </w:tcPr>
          <w:p w14:paraId="3185A8A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Brief Literature Review</w:t>
            </w:r>
          </w:p>
        </w:tc>
        <w:tc>
          <w:tcPr>
            <w:tcW w:w="960" w:type="dxa"/>
            <w:tcBorders>
              <w:top w:val="nil"/>
              <w:left w:val="nil"/>
              <w:bottom w:val="nil"/>
              <w:right w:val="nil"/>
            </w:tcBorders>
            <w:shd w:val="clear" w:color="auto" w:fill="auto"/>
            <w:noWrap/>
            <w:vAlign w:val="bottom"/>
            <w:hideMark/>
          </w:tcPr>
          <w:p w14:paraId="6FA3AA8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8</w:t>
            </w:r>
          </w:p>
        </w:tc>
      </w:tr>
      <w:tr w:rsidR="00CF159F" w:rsidRPr="00C15318" w14:paraId="306E43D3" w14:textId="77777777" w:rsidTr="00AB3BE2">
        <w:trPr>
          <w:trHeight w:val="300"/>
        </w:trPr>
        <w:tc>
          <w:tcPr>
            <w:tcW w:w="694" w:type="dxa"/>
            <w:tcBorders>
              <w:top w:val="nil"/>
              <w:left w:val="nil"/>
              <w:bottom w:val="nil"/>
              <w:right w:val="nil"/>
            </w:tcBorders>
            <w:shd w:val="clear" w:color="auto" w:fill="auto"/>
            <w:noWrap/>
            <w:vAlign w:val="bottom"/>
            <w:hideMark/>
          </w:tcPr>
          <w:p w14:paraId="45B4017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1.7</w:t>
            </w:r>
          </w:p>
        </w:tc>
        <w:tc>
          <w:tcPr>
            <w:tcW w:w="6586" w:type="dxa"/>
            <w:tcBorders>
              <w:top w:val="nil"/>
              <w:left w:val="nil"/>
              <w:bottom w:val="nil"/>
              <w:right w:val="nil"/>
            </w:tcBorders>
            <w:shd w:val="clear" w:color="auto" w:fill="auto"/>
            <w:noWrap/>
            <w:vAlign w:val="bottom"/>
            <w:hideMark/>
          </w:tcPr>
          <w:p w14:paraId="25A81E6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Research Gaps</w:t>
            </w:r>
          </w:p>
        </w:tc>
        <w:tc>
          <w:tcPr>
            <w:tcW w:w="960" w:type="dxa"/>
            <w:tcBorders>
              <w:top w:val="nil"/>
              <w:left w:val="nil"/>
              <w:bottom w:val="nil"/>
              <w:right w:val="nil"/>
            </w:tcBorders>
            <w:shd w:val="clear" w:color="auto" w:fill="auto"/>
            <w:noWrap/>
            <w:vAlign w:val="bottom"/>
            <w:hideMark/>
          </w:tcPr>
          <w:p w14:paraId="3DA2FA6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9</w:t>
            </w:r>
          </w:p>
        </w:tc>
      </w:tr>
      <w:tr w:rsidR="00CF159F" w:rsidRPr="00C15318" w14:paraId="4360EC37" w14:textId="77777777" w:rsidTr="00AB3BE2">
        <w:trPr>
          <w:trHeight w:val="300"/>
        </w:trPr>
        <w:tc>
          <w:tcPr>
            <w:tcW w:w="694" w:type="dxa"/>
            <w:tcBorders>
              <w:top w:val="nil"/>
              <w:left w:val="nil"/>
              <w:bottom w:val="nil"/>
              <w:right w:val="nil"/>
            </w:tcBorders>
            <w:shd w:val="clear" w:color="auto" w:fill="auto"/>
            <w:noWrap/>
            <w:vAlign w:val="bottom"/>
            <w:hideMark/>
          </w:tcPr>
          <w:p w14:paraId="112CC4C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1.8</w:t>
            </w:r>
          </w:p>
        </w:tc>
        <w:tc>
          <w:tcPr>
            <w:tcW w:w="6586" w:type="dxa"/>
            <w:tcBorders>
              <w:top w:val="nil"/>
              <w:left w:val="nil"/>
              <w:bottom w:val="nil"/>
              <w:right w:val="nil"/>
            </w:tcBorders>
            <w:shd w:val="clear" w:color="auto" w:fill="auto"/>
            <w:noWrap/>
            <w:vAlign w:val="bottom"/>
            <w:hideMark/>
          </w:tcPr>
          <w:p w14:paraId="7D85D8E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Methodology</w:t>
            </w:r>
          </w:p>
        </w:tc>
        <w:tc>
          <w:tcPr>
            <w:tcW w:w="960" w:type="dxa"/>
            <w:tcBorders>
              <w:top w:val="nil"/>
              <w:left w:val="nil"/>
              <w:bottom w:val="nil"/>
              <w:right w:val="nil"/>
            </w:tcBorders>
            <w:shd w:val="clear" w:color="auto" w:fill="auto"/>
            <w:noWrap/>
            <w:vAlign w:val="bottom"/>
            <w:hideMark/>
          </w:tcPr>
          <w:p w14:paraId="12E0567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9</w:t>
            </w:r>
          </w:p>
        </w:tc>
      </w:tr>
      <w:tr w:rsidR="00CF159F" w:rsidRPr="00C15318" w14:paraId="23280B59" w14:textId="77777777" w:rsidTr="00AB3BE2">
        <w:trPr>
          <w:trHeight w:val="300"/>
        </w:trPr>
        <w:tc>
          <w:tcPr>
            <w:tcW w:w="694" w:type="dxa"/>
            <w:tcBorders>
              <w:top w:val="nil"/>
              <w:left w:val="nil"/>
              <w:bottom w:val="nil"/>
              <w:right w:val="nil"/>
            </w:tcBorders>
            <w:shd w:val="clear" w:color="auto" w:fill="auto"/>
            <w:noWrap/>
            <w:vAlign w:val="bottom"/>
            <w:hideMark/>
          </w:tcPr>
          <w:p w14:paraId="7852D88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Arial Unicode MS" w:hAnsi="Aptos Narrow" w:cs="Times New Roman"/>
                <w:noProof/>
                <w:color w:val="000000"/>
                <w:lang w:eastAsia="en-GB"/>
              </w:rPr>
              <w:t>1.9</w:t>
            </w:r>
          </w:p>
        </w:tc>
        <w:tc>
          <w:tcPr>
            <w:tcW w:w="6586" w:type="dxa"/>
            <w:tcBorders>
              <w:top w:val="nil"/>
              <w:left w:val="nil"/>
              <w:bottom w:val="nil"/>
              <w:right w:val="nil"/>
            </w:tcBorders>
            <w:shd w:val="clear" w:color="auto" w:fill="auto"/>
            <w:noWrap/>
            <w:vAlign w:val="bottom"/>
            <w:hideMark/>
          </w:tcPr>
          <w:p w14:paraId="1D4A08D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Quantitative Analysis Methodology</w:t>
            </w:r>
          </w:p>
        </w:tc>
        <w:tc>
          <w:tcPr>
            <w:tcW w:w="960" w:type="dxa"/>
            <w:tcBorders>
              <w:top w:val="nil"/>
              <w:left w:val="nil"/>
              <w:bottom w:val="nil"/>
              <w:right w:val="nil"/>
            </w:tcBorders>
            <w:shd w:val="clear" w:color="auto" w:fill="auto"/>
            <w:noWrap/>
            <w:vAlign w:val="bottom"/>
            <w:hideMark/>
          </w:tcPr>
          <w:p w14:paraId="3C40F5F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9</w:t>
            </w:r>
          </w:p>
        </w:tc>
      </w:tr>
      <w:tr w:rsidR="00CF159F" w:rsidRPr="00C15318" w14:paraId="145B2CB3" w14:textId="77777777" w:rsidTr="00AB3BE2">
        <w:trPr>
          <w:trHeight w:val="300"/>
        </w:trPr>
        <w:tc>
          <w:tcPr>
            <w:tcW w:w="694" w:type="dxa"/>
            <w:tcBorders>
              <w:top w:val="nil"/>
              <w:left w:val="nil"/>
              <w:bottom w:val="nil"/>
              <w:right w:val="nil"/>
            </w:tcBorders>
            <w:shd w:val="clear" w:color="auto" w:fill="auto"/>
            <w:noWrap/>
            <w:vAlign w:val="bottom"/>
            <w:hideMark/>
          </w:tcPr>
          <w:p w14:paraId="5248254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1.1</w:t>
            </w:r>
          </w:p>
        </w:tc>
        <w:tc>
          <w:tcPr>
            <w:tcW w:w="6586" w:type="dxa"/>
            <w:tcBorders>
              <w:top w:val="nil"/>
              <w:left w:val="nil"/>
              <w:bottom w:val="nil"/>
              <w:right w:val="nil"/>
            </w:tcBorders>
            <w:shd w:val="clear" w:color="auto" w:fill="auto"/>
            <w:noWrap/>
            <w:vAlign w:val="bottom"/>
            <w:hideMark/>
          </w:tcPr>
          <w:p w14:paraId="34CB0DB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Data Collection</w:t>
            </w:r>
          </w:p>
        </w:tc>
        <w:tc>
          <w:tcPr>
            <w:tcW w:w="960" w:type="dxa"/>
            <w:tcBorders>
              <w:top w:val="nil"/>
              <w:left w:val="nil"/>
              <w:bottom w:val="nil"/>
              <w:right w:val="nil"/>
            </w:tcBorders>
            <w:shd w:val="clear" w:color="auto" w:fill="auto"/>
            <w:noWrap/>
            <w:vAlign w:val="bottom"/>
            <w:hideMark/>
          </w:tcPr>
          <w:p w14:paraId="6CDA78D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10</w:t>
            </w:r>
          </w:p>
        </w:tc>
      </w:tr>
      <w:tr w:rsidR="00CF159F" w:rsidRPr="00C15318" w14:paraId="4E55763D" w14:textId="77777777" w:rsidTr="00AB3BE2">
        <w:trPr>
          <w:trHeight w:val="300"/>
        </w:trPr>
        <w:tc>
          <w:tcPr>
            <w:tcW w:w="694" w:type="dxa"/>
            <w:tcBorders>
              <w:top w:val="nil"/>
              <w:left w:val="nil"/>
              <w:bottom w:val="nil"/>
              <w:right w:val="nil"/>
            </w:tcBorders>
            <w:shd w:val="clear" w:color="auto" w:fill="auto"/>
            <w:noWrap/>
            <w:vAlign w:val="bottom"/>
            <w:hideMark/>
          </w:tcPr>
          <w:p w14:paraId="08CE78E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1.11</w:t>
            </w:r>
          </w:p>
        </w:tc>
        <w:tc>
          <w:tcPr>
            <w:tcW w:w="6586" w:type="dxa"/>
            <w:tcBorders>
              <w:top w:val="nil"/>
              <w:left w:val="nil"/>
              <w:bottom w:val="nil"/>
              <w:right w:val="nil"/>
            </w:tcBorders>
            <w:shd w:val="clear" w:color="auto" w:fill="auto"/>
            <w:noWrap/>
            <w:vAlign w:val="bottom"/>
            <w:hideMark/>
          </w:tcPr>
          <w:p w14:paraId="7401711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Systematic Approach</w:t>
            </w:r>
          </w:p>
        </w:tc>
        <w:tc>
          <w:tcPr>
            <w:tcW w:w="960" w:type="dxa"/>
            <w:tcBorders>
              <w:top w:val="nil"/>
              <w:left w:val="nil"/>
              <w:bottom w:val="nil"/>
              <w:right w:val="nil"/>
            </w:tcBorders>
            <w:shd w:val="clear" w:color="auto" w:fill="auto"/>
            <w:noWrap/>
            <w:vAlign w:val="bottom"/>
            <w:hideMark/>
          </w:tcPr>
          <w:p w14:paraId="765C4F2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10</w:t>
            </w:r>
          </w:p>
        </w:tc>
      </w:tr>
      <w:tr w:rsidR="00CF159F" w:rsidRPr="00C15318" w14:paraId="38BD6267" w14:textId="77777777" w:rsidTr="00AB3BE2">
        <w:trPr>
          <w:trHeight w:val="300"/>
        </w:trPr>
        <w:tc>
          <w:tcPr>
            <w:tcW w:w="694" w:type="dxa"/>
            <w:tcBorders>
              <w:top w:val="nil"/>
              <w:left w:val="nil"/>
              <w:bottom w:val="nil"/>
              <w:right w:val="nil"/>
            </w:tcBorders>
            <w:shd w:val="clear" w:color="auto" w:fill="auto"/>
            <w:noWrap/>
            <w:vAlign w:val="bottom"/>
            <w:hideMark/>
          </w:tcPr>
          <w:p w14:paraId="3FA5F1B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1.12</w:t>
            </w:r>
          </w:p>
        </w:tc>
        <w:tc>
          <w:tcPr>
            <w:tcW w:w="6586" w:type="dxa"/>
            <w:tcBorders>
              <w:top w:val="nil"/>
              <w:left w:val="nil"/>
              <w:bottom w:val="nil"/>
              <w:right w:val="nil"/>
            </w:tcBorders>
            <w:shd w:val="clear" w:color="auto" w:fill="auto"/>
            <w:noWrap/>
            <w:vAlign w:val="bottom"/>
            <w:hideMark/>
          </w:tcPr>
          <w:p w14:paraId="5C37582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Potential Risks</w:t>
            </w:r>
          </w:p>
        </w:tc>
        <w:tc>
          <w:tcPr>
            <w:tcW w:w="960" w:type="dxa"/>
            <w:tcBorders>
              <w:top w:val="nil"/>
              <w:left w:val="nil"/>
              <w:bottom w:val="nil"/>
              <w:right w:val="nil"/>
            </w:tcBorders>
            <w:shd w:val="clear" w:color="auto" w:fill="auto"/>
            <w:noWrap/>
            <w:vAlign w:val="bottom"/>
            <w:hideMark/>
          </w:tcPr>
          <w:p w14:paraId="523E3D2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11</w:t>
            </w:r>
          </w:p>
        </w:tc>
      </w:tr>
      <w:tr w:rsidR="00CF159F" w:rsidRPr="00C15318" w14:paraId="49311D1B" w14:textId="77777777" w:rsidTr="00AB3BE2">
        <w:trPr>
          <w:trHeight w:val="300"/>
        </w:trPr>
        <w:tc>
          <w:tcPr>
            <w:tcW w:w="694" w:type="dxa"/>
            <w:tcBorders>
              <w:top w:val="nil"/>
              <w:left w:val="nil"/>
              <w:bottom w:val="nil"/>
              <w:right w:val="nil"/>
            </w:tcBorders>
            <w:shd w:val="clear" w:color="auto" w:fill="auto"/>
            <w:noWrap/>
            <w:vAlign w:val="bottom"/>
            <w:hideMark/>
          </w:tcPr>
          <w:p w14:paraId="5474E3B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1.13</w:t>
            </w:r>
          </w:p>
        </w:tc>
        <w:tc>
          <w:tcPr>
            <w:tcW w:w="6586" w:type="dxa"/>
            <w:tcBorders>
              <w:top w:val="nil"/>
              <w:left w:val="nil"/>
              <w:bottom w:val="nil"/>
              <w:right w:val="nil"/>
            </w:tcBorders>
            <w:shd w:val="clear" w:color="auto" w:fill="auto"/>
            <w:noWrap/>
            <w:vAlign w:val="bottom"/>
            <w:hideMark/>
          </w:tcPr>
          <w:p w14:paraId="23506BE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Ethical Considerations</w:t>
            </w:r>
          </w:p>
        </w:tc>
        <w:tc>
          <w:tcPr>
            <w:tcW w:w="960" w:type="dxa"/>
            <w:tcBorders>
              <w:top w:val="nil"/>
              <w:left w:val="nil"/>
              <w:bottom w:val="nil"/>
              <w:right w:val="nil"/>
            </w:tcBorders>
            <w:shd w:val="clear" w:color="auto" w:fill="auto"/>
            <w:noWrap/>
            <w:vAlign w:val="bottom"/>
            <w:hideMark/>
          </w:tcPr>
          <w:p w14:paraId="5F47310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11</w:t>
            </w:r>
          </w:p>
        </w:tc>
      </w:tr>
      <w:tr w:rsidR="00CF159F" w:rsidRPr="00C15318" w14:paraId="4F063D5C" w14:textId="77777777" w:rsidTr="00AB3BE2">
        <w:trPr>
          <w:trHeight w:val="300"/>
        </w:trPr>
        <w:tc>
          <w:tcPr>
            <w:tcW w:w="694" w:type="dxa"/>
            <w:tcBorders>
              <w:top w:val="nil"/>
              <w:left w:val="nil"/>
              <w:bottom w:val="nil"/>
              <w:right w:val="nil"/>
            </w:tcBorders>
            <w:shd w:val="clear" w:color="auto" w:fill="auto"/>
            <w:noWrap/>
            <w:vAlign w:val="bottom"/>
            <w:hideMark/>
          </w:tcPr>
          <w:p w14:paraId="7C3671C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1.15</w:t>
            </w:r>
          </w:p>
        </w:tc>
        <w:tc>
          <w:tcPr>
            <w:tcW w:w="6586" w:type="dxa"/>
            <w:tcBorders>
              <w:top w:val="nil"/>
              <w:left w:val="nil"/>
              <w:bottom w:val="nil"/>
              <w:right w:val="nil"/>
            </w:tcBorders>
            <w:shd w:val="clear" w:color="auto" w:fill="auto"/>
            <w:noWrap/>
            <w:vAlign w:val="bottom"/>
            <w:hideMark/>
          </w:tcPr>
          <w:p w14:paraId="4FB8628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Dissertation Structure.</w:t>
            </w:r>
          </w:p>
        </w:tc>
        <w:tc>
          <w:tcPr>
            <w:tcW w:w="960" w:type="dxa"/>
            <w:tcBorders>
              <w:top w:val="nil"/>
              <w:left w:val="nil"/>
              <w:bottom w:val="nil"/>
              <w:right w:val="nil"/>
            </w:tcBorders>
            <w:shd w:val="clear" w:color="auto" w:fill="auto"/>
            <w:noWrap/>
            <w:vAlign w:val="bottom"/>
            <w:hideMark/>
          </w:tcPr>
          <w:p w14:paraId="6FA95A9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13</w:t>
            </w:r>
          </w:p>
        </w:tc>
      </w:tr>
      <w:tr w:rsidR="00CF159F" w:rsidRPr="00C15318" w14:paraId="16B77A34" w14:textId="77777777" w:rsidTr="00AB3BE2">
        <w:trPr>
          <w:trHeight w:val="300"/>
        </w:trPr>
        <w:tc>
          <w:tcPr>
            <w:tcW w:w="694" w:type="dxa"/>
            <w:tcBorders>
              <w:top w:val="nil"/>
              <w:left w:val="nil"/>
              <w:bottom w:val="nil"/>
              <w:right w:val="nil"/>
            </w:tcBorders>
            <w:shd w:val="clear" w:color="auto" w:fill="auto"/>
            <w:noWrap/>
            <w:vAlign w:val="bottom"/>
            <w:hideMark/>
          </w:tcPr>
          <w:p w14:paraId="3D6CC3D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1.16</w:t>
            </w:r>
          </w:p>
        </w:tc>
        <w:tc>
          <w:tcPr>
            <w:tcW w:w="6586" w:type="dxa"/>
            <w:tcBorders>
              <w:top w:val="nil"/>
              <w:left w:val="nil"/>
              <w:bottom w:val="nil"/>
              <w:right w:val="nil"/>
            </w:tcBorders>
            <w:shd w:val="clear" w:color="auto" w:fill="auto"/>
            <w:noWrap/>
            <w:vAlign w:val="bottom"/>
            <w:hideMark/>
          </w:tcPr>
          <w:p w14:paraId="10A3068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Chapter Summary</w:t>
            </w:r>
          </w:p>
        </w:tc>
        <w:tc>
          <w:tcPr>
            <w:tcW w:w="960" w:type="dxa"/>
            <w:tcBorders>
              <w:top w:val="nil"/>
              <w:left w:val="nil"/>
              <w:bottom w:val="nil"/>
              <w:right w:val="nil"/>
            </w:tcBorders>
            <w:shd w:val="clear" w:color="auto" w:fill="auto"/>
            <w:noWrap/>
            <w:vAlign w:val="bottom"/>
            <w:hideMark/>
          </w:tcPr>
          <w:p w14:paraId="593D10B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14</w:t>
            </w:r>
          </w:p>
        </w:tc>
      </w:tr>
      <w:tr w:rsidR="00CF159F" w:rsidRPr="00C15318" w14:paraId="3B24597D" w14:textId="77777777" w:rsidTr="00AB3BE2">
        <w:trPr>
          <w:trHeight w:val="300"/>
        </w:trPr>
        <w:tc>
          <w:tcPr>
            <w:tcW w:w="7280" w:type="dxa"/>
            <w:gridSpan w:val="2"/>
            <w:tcBorders>
              <w:top w:val="nil"/>
              <w:left w:val="nil"/>
              <w:bottom w:val="nil"/>
              <w:right w:val="nil"/>
            </w:tcBorders>
            <w:shd w:val="clear" w:color="auto" w:fill="auto"/>
            <w:noWrap/>
            <w:vAlign w:val="bottom"/>
            <w:hideMark/>
          </w:tcPr>
          <w:p w14:paraId="17D7CD13" w14:textId="77777777" w:rsidR="00CF159F" w:rsidRPr="00C15318" w:rsidRDefault="00CF159F" w:rsidP="00AE0F20">
            <w:pPr>
              <w:spacing w:after="0" w:line="240" w:lineRule="auto"/>
              <w:rPr>
                <w:rFonts w:ascii="Aptos Narrow" w:eastAsia="Times New Roman" w:hAnsi="Aptos Narrow" w:cs="Times New Roman"/>
                <w:b/>
                <w:bCs/>
                <w:color w:val="000000"/>
                <w:lang w:eastAsia="en-GB"/>
              </w:rPr>
            </w:pPr>
            <w:r w:rsidRPr="00C15318">
              <w:rPr>
                <w:rFonts w:ascii="Aptos Narrow" w:eastAsia="Times New Roman" w:hAnsi="Aptos Narrow" w:cs="Times New Roman"/>
                <w:b/>
                <w:bCs/>
                <w:noProof/>
                <w:color w:val="000000"/>
                <w:sz w:val="28"/>
                <w:szCs w:val="28"/>
                <w:lang w:eastAsia="en-GB"/>
              </w:rPr>
              <w:t>Chapter 2: Literature Review</w:t>
            </w:r>
          </w:p>
        </w:tc>
        <w:tc>
          <w:tcPr>
            <w:tcW w:w="960" w:type="dxa"/>
            <w:tcBorders>
              <w:top w:val="nil"/>
              <w:left w:val="nil"/>
              <w:bottom w:val="nil"/>
              <w:right w:val="nil"/>
            </w:tcBorders>
            <w:shd w:val="clear" w:color="auto" w:fill="auto"/>
            <w:noWrap/>
            <w:vAlign w:val="bottom"/>
            <w:hideMark/>
          </w:tcPr>
          <w:p w14:paraId="4CE2FD83" w14:textId="77777777" w:rsidR="00CF159F" w:rsidRPr="00C15318" w:rsidRDefault="00CF159F" w:rsidP="00AB3BE2">
            <w:pPr>
              <w:spacing w:after="0" w:line="240" w:lineRule="auto"/>
              <w:jc w:val="center"/>
              <w:rPr>
                <w:rFonts w:ascii="Aptos Narrow" w:eastAsia="Times New Roman" w:hAnsi="Aptos Narrow" w:cs="Times New Roman"/>
                <w:b/>
                <w:bCs/>
                <w:color w:val="000000"/>
                <w:lang w:eastAsia="en-GB"/>
              </w:rPr>
            </w:pPr>
          </w:p>
        </w:tc>
      </w:tr>
      <w:tr w:rsidR="00CF159F" w:rsidRPr="00C15318" w14:paraId="5A7A9A80" w14:textId="77777777" w:rsidTr="00AB3BE2">
        <w:trPr>
          <w:trHeight w:val="300"/>
        </w:trPr>
        <w:tc>
          <w:tcPr>
            <w:tcW w:w="694" w:type="dxa"/>
            <w:tcBorders>
              <w:top w:val="nil"/>
              <w:left w:val="nil"/>
              <w:bottom w:val="nil"/>
              <w:right w:val="nil"/>
            </w:tcBorders>
            <w:shd w:val="clear" w:color="auto" w:fill="auto"/>
            <w:noWrap/>
            <w:vAlign w:val="bottom"/>
            <w:hideMark/>
          </w:tcPr>
          <w:p w14:paraId="7C89F48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2.1</w:t>
            </w:r>
          </w:p>
        </w:tc>
        <w:tc>
          <w:tcPr>
            <w:tcW w:w="6586" w:type="dxa"/>
            <w:tcBorders>
              <w:top w:val="nil"/>
              <w:left w:val="nil"/>
              <w:bottom w:val="nil"/>
              <w:right w:val="nil"/>
            </w:tcBorders>
            <w:shd w:val="clear" w:color="auto" w:fill="auto"/>
            <w:noWrap/>
            <w:vAlign w:val="bottom"/>
            <w:hideMark/>
          </w:tcPr>
          <w:p w14:paraId="5376393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Introduction</w:t>
            </w:r>
          </w:p>
        </w:tc>
        <w:tc>
          <w:tcPr>
            <w:tcW w:w="960" w:type="dxa"/>
            <w:tcBorders>
              <w:top w:val="nil"/>
              <w:left w:val="nil"/>
              <w:bottom w:val="nil"/>
              <w:right w:val="nil"/>
            </w:tcBorders>
            <w:shd w:val="clear" w:color="auto" w:fill="auto"/>
            <w:noWrap/>
            <w:vAlign w:val="bottom"/>
            <w:hideMark/>
          </w:tcPr>
          <w:p w14:paraId="797D643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15</w:t>
            </w:r>
          </w:p>
        </w:tc>
      </w:tr>
      <w:tr w:rsidR="00CF159F" w:rsidRPr="00C15318" w14:paraId="7AEC926E" w14:textId="77777777" w:rsidTr="00AB3BE2">
        <w:trPr>
          <w:trHeight w:val="300"/>
        </w:trPr>
        <w:tc>
          <w:tcPr>
            <w:tcW w:w="694" w:type="dxa"/>
            <w:tcBorders>
              <w:top w:val="nil"/>
              <w:left w:val="nil"/>
              <w:bottom w:val="nil"/>
              <w:right w:val="nil"/>
            </w:tcBorders>
            <w:shd w:val="clear" w:color="auto" w:fill="auto"/>
            <w:noWrap/>
            <w:vAlign w:val="bottom"/>
            <w:hideMark/>
          </w:tcPr>
          <w:p w14:paraId="2C85F88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2.2</w:t>
            </w:r>
          </w:p>
        </w:tc>
        <w:tc>
          <w:tcPr>
            <w:tcW w:w="6586" w:type="dxa"/>
            <w:tcBorders>
              <w:top w:val="nil"/>
              <w:left w:val="nil"/>
              <w:bottom w:val="nil"/>
              <w:right w:val="nil"/>
            </w:tcBorders>
            <w:shd w:val="clear" w:color="auto" w:fill="auto"/>
            <w:noWrap/>
            <w:vAlign w:val="bottom"/>
            <w:hideMark/>
          </w:tcPr>
          <w:p w14:paraId="2A9CB06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Economic Growth &amp; Foreign Direct Investment</w:t>
            </w:r>
          </w:p>
        </w:tc>
        <w:tc>
          <w:tcPr>
            <w:tcW w:w="960" w:type="dxa"/>
            <w:tcBorders>
              <w:top w:val="nil"/>
              <w:left w:val="nil"/>
              <w:bottom w:val="nil"/>
              <w:right w:val="nil"/>
            </w:tcBorders>
            <w:shd w:val="clear" w:color="auto" w:fill="auto"/>
            <w:noWrap/>
            <w:vAlign w:val="bottom"/>
            <w:hideMark/>
          </w:tcPr>
          <w:p w14:paraId="582768C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15</w:t>
            </w:r>
          </w:p>
        </w:tc>
      </w:tr>
      <w:tr w:rsidR="00CF159F" w:rsidRPr="00C15318" w14:paraId="587CC36D" w14:textId="77777777" w:rsidTr="00AB3BE2">
        <w:trPr>
          <w:trHeight w:val="300"/>
        </w:trPr>
        <w:tc>
          <w:tcPr>
            <w:tcW w:w="694" w:type="dxa"/>
            <w:tcBorders>
              <w:top w:val="nil"/>
              <w:left w:val="nil"/>
              <w:bottom w:val="nil"/>
              <w:right w:val="nil"/>
            </w:tcBorders>
            <w:shd w:val="clear" w:color="auto" w:fill="auto"/>
            <w:noWrap/>
            <w:vAlign w:val="bottom"/>
            <w:hideMark/>
          </w:tcPr>
          <w:p w14:paraId="60BA7FD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2.3</w:t>
            </w:r>
          </w:p>
        </w:tc>
        <w:tc>
          <w:tcPr>
            <w:tcW w:w="6586" w:type="dxa"/>
            <w:tcBorders>
              <w:top w:val="nil"/>
              <w:left w:val="nil"/>
              <w:bottom w:val="nil"/>
              <w:right w:val="nil"/>
            </w:tcBorders>
            <w:shd w:val="clear" w:color="auto" w:fill="auto"/>
            <w:noWrap/>
            <w:vAlign w:val="bottom"/>
            <w:hideMark/>
          </w:tcPr>
          <w:p w14:paraId="6DC855D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Types of FDI</w:t>
            </w:r>
          </w:p>
        </w:tc>
        <w:tc>
          <w:tcPr>
            <w:tcW w:w="960" w:type="dxa"/>
            <w:tcBorders>
              <w:top w:val="nil"/>
              <w:left w:val="nil"/>
              <w:bottom w:val="nil"/>
              <w:right w:val="nil"/>
            </w:tcBorders>
            <w:shd w:val="clear" w:color="auto" w:fill="auto"/>
            <w:noWrap/>
            <w:vAlign w:val="bottom"/>
            <w:hideMark/>
          </w:tcPr>
          <w:p w14:paraId="399306E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19</w:t>
            </w:r>
          </w:p>
        </w:tc>
      </w:tr>
      <w:tr w:rsidR="00CF159F" w:rsidRPr="00C15318" w14:paraId="0ED5D635" w14:textId="77777777" w:rsidTr="00AB3BE2">
        <w:trPr>
          <w:trHeight w:val="300"/>
        </w:trPr>
        <w:tc>
          <w:tcPr>
            <w:tcW w:w="694" w:type="dxa"/>
            <w:tcBorders>
              <w:top w:val="nil"/>
              <w:left w:val="nil"/>
              <w:bottom w:val="nil"/>
              <w:right w:val="nil"/>
            </w:tcBorders>
            <w:shd w:val="clear" w:color="auto" w:fill="auto"/>
            <w:noWrap/>
            <w:vAlign w:val="bottom"/>
            <w:hideMark/>
          </w:tcPr>
          <w:p w14:paraId="456221E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2.3.1</w:t>
            </w:r>
          </w:p>
        </w:tc>
        <w:tc>
          <w:tcPr>
            <w:tcW w:w="6586" w:type="dxa"/>
            <w:tcBorders>
              <w:top w:val="nil"/>
              <w:left w:val="nil"/>
              <w:bottom w:val="nil"/>
              <w:right w:val="nil"/>
            </w:tcBorders>
            <w:shd w:val="clear" w:color="auto" w:fill="auto"/>
            <w:noWrap/>
            <w:vAlign w:val="bottom"/>
            <w:hideMark/>
          </w:tcPr>
          <w:p w14:paraId="60BCB8E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Greenfield Investment</w:t>
            </w:r>
          </w:p>
        </w:tc>
        <w:tc>
          <w:tcPr>
            <w:tcW w:w="960" w:type="dxa"/>
            <w:tcBorders>
              <w:top w:val="nil"/>
              <w:left w:val="nil"/>
              <w:bottom w:val="nil"/>
              <w:right w:val="nil"/>
            </w:tcBorders>
            <w:shd w:val="clear" w:color="auto" w:fill="auto"/>
            <w:noWrap/>
            <w:vAlign w:val="bottom"/>
            <w:hideMark/>
          </w:tcPr>
          <w:p w14:paraId="430E18A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19</w:t>
            </w:r>
          </w:p>
        </w:tc>
      </w:tr>
      <w:tr w:rsidR="00CF159F" w:rsidRPr="00C15318" w14:paraId="0E702B60" w14:textId="77777777" w:rsidTr="00AB3BE2">
        <w:trPr>
          <w:trHeight w:val="300"/>
        </w:trPr>
        <w:tc>
          <w:tcPr>
            <w:tcW w:w="694" w:type="dxa"/>
            <w:tcBorders>
              <w:top w:val="nil"/>
              <w:left w:val="nil"/>
              <w:bottom w:val="nil"/>
              <w:right w:val="nil"/>
            </w:tcBorders>
            <w:shd w:val="clear" w:color="auto" w:fill="auto"/>
            <w:noWrap/>
            <w:vAlign w:val="bottom"/>
            <w:hideMark/>
          </w:tcPr>
          <w:p w14:paraId="3C87608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2.3.2</w:t>
            </w:r>
          </w:p>
        </w:tc>
        <w:tc>
          <w:tcPr>
            <w:tcW w:w="6586" w:type="dxa"/>
            <w:tcBorders>
              <w:top w:val="nil"/>
              <w:left w:val="nil"/>
              <w:bottom w:val="nil"/>
              <w:right w:val="nil"/>
            </w:tcBorders>
            <w:shd w:val="clear" w:color="auto" w:fill="auto"/>
            <w:noWrap/>
            <w:vAlign w:val="bottom"/>
            <w:hideMark/>
          </w:tcPr>
          <w:p w14:paraId="3090155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Mergers and Acquisitions</w:t>
            </w:r>
          </w:p>
        </w:tc>
        <w:tc>
          <w:tcPr>
            <w:tcW w:w="960" w:type="dxa"/>
            <w:tcBorders>
              <w:top w:val="nil"/>
              <w:left w:val="nil"/>
              <w:bottom w:val="nil"/>
              <w:right w:val="nil"/>
            </w:tcBorders>
            <w:shd w:val="clear" w:color="auto" w:fill="auto"/>
            <w:noWrap/>
            <w:vAlign w:val="bottom"/>
            <w:hideMark/>
          </w:tcPr>
          <w:p w14:paraId="229021D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20</w:t>
            </w:r>
          </w:p>
        </w:tc>
      </w:tr>
      <w:tr w:rsidR="00CF159F" w:rsidRPr="00C15318" w14:paraId="683C735C" w14:textId="77777777" w:rsidTr="00AB3BE2">
        <w:trPr>
          <w:trHeight w:val="300"/>
        </w:trPr>
        <w:tc>
          <w:tcPr>
            <w:tcW w:w="694" w:type="dxa"/>
            <w:tcBorders>
              <w:top w:val="nil"/>
              <w:left w:val="nil"/>
              <w:bottom w:val="nil"/>
              <w:right w:val="nil"/>
            </w:tcBorders>
            <w:shd w:val="clear" w:color="auto" w:fill="auto"/>
            <w:noWrap/>
            <w:vAlign w:val="bottom"/>
            <w:hideMark/>
          </w:tcPr>
          <w:p w14:paraId="003CC0A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2.3.4</w:t>
            </w:r>
          </w:p>
        </w:tc>
        <w:tc>
          <w:tcPr>
            <w:tcW w:w="6586" w:type="dxa"/>
            <w:tcBorders>
              <w:top w:val="nil"/>
              <w:left w:val="nil"/>
              <w:bottom w:val="nil"/>
              <w:right w:val="nil"/>
            </w:tcBorders>
            <w:shd w:val="clear" w:color="auto" w:fill="auto"/>
            <w:noWrap/>
            <w:vAlign w:val="bottom"/>
            <w:hideMark/>
          </w:tcPr>
          <w:p w14:paraId="35B81BD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Joint Ventures</w:t>
            </w:r>
          </w:p>
        </w:tc>
        <w:tc>
          <w:tcPr>
            <w:tcW w:w="960" w:type="dxa"/>
            <w:tcBorders>
              <w:top w:val="nil"/>
              <w:left w:val="nil"/>
              <w:bottom w:val="nil"/>
              <w:right w:val="nil"/>
            </w:tcBorders>
            <w:shd w:val="clear" w:color="auto" w:fill="auto"/>
            <w:noWrap/>
            <w:vAlign w:val="bottom"/>
            <w:hideMark/>
          </w:tcPr>
          <w:p w14:paraId="7310D80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23</w:t>
            </w:r>
          </w:p>
        </w:tc>
      </w:tr>
      <w:tr w:rsidR="00CF159F" w:rsidRPr="00C15318" w14:paraId="741469F7" w14:textId="77777777" w:rsidTr="00AB3BE2">
        <w:trPr>
          <w:trHeight w:val="300"/>
        </w:trPr>
        <w:tc>
          <w:tcPr>
            <w:tcW w:w="694" w:type="dxa"/>
            <w:tcBorders>
              <w:top w:val="nil"/>
              <w:left w:val="nil"/>
              <w:bottom w:val="nil"/>
              <w:right w:val="nil"/>
            </w:tcBorders>
            <w:shd w:val="clear" w:color="auto" w:fill="auto"/>
            <w:noWrap/>
            <w:vAlign w:val="bottom"/>
            <w:hideMark/>
          </w:tcPr>
          <w:p w14:paraId="7222832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2.4</w:t>
            </w:r>
          </w:p>
        </w:tc>
        <w:tc>
          <w:tcPr>
            <w:tcW w:w="6586" w:type="dxa"/>
            <w:tcBorders>
              <w:top w:val="nil"/>
              <w:left w:val="nil"/>
              <w:bottom w:val="nil"/>
              <w:right w:val="nil"/>
            </w:tcBorders>
            <w:shd w:val="clear" w:color="auto" w:fill="auto"/>
            <w:noWrap/>
            <w:vAlign w:val="bottom"/>
            <w:hideMark/>
          </w:tcPr>
          <w:p w14:paraId="310DB31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FDI BY DIRECTION</w:t>
            </w:r>
          </w:p>
        </w:tc>
        <w:tc>
          <w:tcPr>
            <w:tcW w:w="960" w:type="dxa"/>
            <w:tcBorders>
              <w:top w:val="nil"/>
              <w:left w:val="nil"/>
              <w:bottom w:val="nil"/>
              <w:right w:val="nil"/>
            </w:tcBorders>
            <w:shd w:val="clear" w:color="auto" w:fill="auto"/>
            <w:noWrap/>
            <w:vAlign w:val="bottom"/>
            <w:hideMark/>
          </w:tcPr>
          <w:p w14:paraId="759BC65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25</w:t>
            </w:r>
          </w:p>
        </w:tc>
      </w:tr>
      <w:tr w:rsidR="00CF159F" w:rsidRPr="00C15318" w14:paraId="100D64A2" w14:textId="77777777" w:rsidTr="00AB3BE2">
        <w:trPr>
          <w:trHeight w:val="300"/>
        </w:trPr>
        <w:tc>
          <w:tcPr>
            <w:tcW w:w="694" w:type="dxa"/>
            <w:tcBorders>
              <w:top w:val="nil"/>
              <w:left w:val="nil"/>
              <w:bottom w:val="nil"/>
              <w:right w:val="nil"/>
            </w:tcBorders>
            <w:shd w:val="clear" w:color="auto" w:fill="auto"/>
            <w:noWrap/>
            <w:vAlign w:val="bottom"/>
            <w:hideMark/>
          </w:tcPr>
          <w:p w14:paraId="4E3226D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2.4.1</w:t>
            </w:r>
          </w:p>
        </w:tc>
        <w:tc>
          <w:tcPr>
            <w:tcW w:w="6586" w:type="dxa"/>
            <w:tcBorders>
              <w:top w:val="nil"/>
              <w:left w:val="nil"/>
              <w:bottom w:val="nil"/>
              <w:right w:val="nil"/>
            </w:tcBorders>
            <w:shd w:val="clear" w:color="auto" w:fill="auto"/>
            <w:noWrap/>
            <w:vAlign w:val="bottom"/>
            <w:hideMark/>
          </w:tcPr>
          <w:p w14:paraId="7508AE3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Inward FDI</w:t>
            </w:r>
          </w:p>
        </w:tc>
        <w:tc>
          <w:tcPr>
            <w:tcW w:w="960" w:type="dxa"/>
            <w:tcBorders>
              <w:top w:val="nil"/>
              <w:left w:val="nil"/>
              <w:bottom w:val="nil"/>
              <w:right w:val="nil"/>
            </w:tcBorders>
            <w:shd w:val="clear" w:color="auto" w:fill="auto"/>
            <w:noWrap/>
            <w:vAlign w:val="bottom"/>
            <w:hideMark/>
          </w:tcPr>
          <w:p w14:paraId="690F6E7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25</w:t>
            </w:r>
          </w:p>
        </w:tc>
      </w:tr>
      <w:tr w:rsidR="00CF159F" w:rsidRPr="00C15318" w14:paraId="4FD1AEED" w14:textId="77777777" w:rsidTr="00AB3BE2">
        <w:trPr>
          <w:trHeight w:val="300"/>
        </w:trPr>
        <w:tc>
          <w:tcPr>
            <w:tcW w:w="694" w:type="dxa"/>
            <w:tcBorders>
              <w:top w:val="nil"/>
              <w:left w:val="nil"/>
              <w:bottom w:val="nil"/>
              <w:right w:val="nil"/>
            </w:tcBorders>
            <w:shd w:val="clear" w:color="auto" w:fill="auto"/>
            <w:noWrap/>
            <w:vAlign w:val="bottom"/>
            <w:hideMark/>
          </w:tcPr>
          <w:p w14:paraId="6CDA646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2.4.2</w:t>
            </w:r>
          </w:p>
        </w:tc>
        <w:tc>
          <w:tcPr>
            <w:tcW w:w="6586" w:type="dxa"/>
            <w:tcBorders>
              <w:top w:val="nil"/>
              <w:left w:val="nil"/>
              <w:bottom w:val="nil"/>
              <w:right w:val="nil"/>
            </w:tcBorders>
            <w:shd w:val="clear" w:color="auto" w:fill="auto"/>
            <w:noWrap/>
            <w:vAlign w:val="bottom"/>
            <w:hideMark/>
          </w:tcPr>
          <w:p w14:paraId="114BB80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Outward FDI</w:t>
            </w:r>
          </w:p>
        </w:tc>
        <w:tc>
          <w:tcPr>
            <w:tcW w:w="960" w:type="dxa"/>
            <w:tcBorders>
              <w:top w:val="nil"/>
              <w:left w:val="nil"/>
              <w:bottom w:val="nil"/>
              <w:right w:val="nil"/>
            </w:tcBorders>
            <w:shd w:val="clear" w:color="auto" w:fill="auto"/>
            <w:noWrap/>
            <w:vAlign w:val="bottom"/>
            <w:hideMark/>
          </w:tcPr>
          <w:p w14:paraId="20E016A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25</w:t>
            </w:r>
          </w:p>
        </w:tc>
      </w:tr>
      <w:tr w:rsidR="00CF159F" w:rsidRPr="00C15318" w14:paraId="0B7B0D99" w14:textId="77777777" w:rsidTr="00AB3BE2">
        <w:trPr>
          <w:trHeight w:val="300"/>
        </w:trPr>
        <w:tc>
          <w:tcPr>
            <w:tcW w:w="694" w:type="dxa"/>
            <w:tcBorders>
              <w:top w:val="nil"/>
              <w:left w:val="nil"/>
              <w:bottom w:val="nil"/>
              <w:right w:val="nil"/>
            </w:tcBorders>
            <w:shd w:val="clear" w:color="auto" w:fill="auto"/>
            <w:noWrap/>
            <w:vAlign w:val="bottom"/>
            <w:hideMark/>
          </w:tcPr>
          <w:p w14:paraId="3A30A50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2.5</w:t>
            </w:r>
          </w:p>
        </w:tc>
        <w:tc>
          <w:tcPr>
            <w:tcW w:w="6586" w:type="dxa"/>
            <w:tcBorders>
              <w:top w:val="nil"/>
              <w:left w:val="nil"/>
              <w:bottom w:val="nil"/>
              <w:right w:val="nil"/>
            </w:tcBorders>
            <w:shd w:val="clear" w:color="auto" w:fill="auto"/>
            <w:noWrap/>
            <w:vAlign w:val="bottom"/>
            <w:hideMark/>
          </w:tcPr>
          <w:p w14:paraId="7737925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Chapter Summary</w:t>
            </w:r>
          </w:p>
        </w:tc>
        <w:tc>
          <w:tcPr>
            <w:tcW w:w="960" w:type="dxa"/>
            <w:tcBorders>
              <w:top w:val="nil"/>
              <w:left w:val="nil"/>
              <w:bottom w:val="nil"/>
              <w:right w:val="nil"/>
            </w:tcBorders>
            <w:shd w:val="clear" w:color="auto" w:fill="auto"/>
            <w:noWrap/>
            <w:vAlign w:val="bottom"/>
            <w:hideMark/>
          </w:tcPr>
          <w:p w14:paraId="29F7336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28</w:t>
            </w:r>
          </w:p>
        </w:tc>
      </w:tr>
      <w:tr w:rsidR="00CF159F" w:rsidRPr="00C15318" w14:paraId="103BEE1B" w14:textId="77777777" w:rsidTr="00AB3BE2">
        <w:trPr>
          <w:trHeight w:val="300"/>
        </w:trPr>
        <w:tc>
          <w:tcPr>
            <w:tcW w:w="7280" w:type="dxa"/>
            <w:gridSpan w:val="2"/>
            <w:tcBorders>
              <w:top w:val="nil"/>
              <w:left w:val="nil"/>
              <w:bottom w:val="nil"/>
              <w:right w:val="nil"/>
            </w:tcBorders>
            <w:shd w:val="clear" w:color="auto" w:fill="auto"/>
            <w:noWrap/>
            <w:vAlign w:val="bottom"/>
            <w:hideMark/>
          </w:tcPr>
          <w:p w14:paraId="0AC555A4" w14:textId="77777777" w:rsidR="00CF159F" w:rsidRPr="00C15318" w:rsidRDefault="00CF159F" w:rsidP="00AE0F20">
            <w:pPr>
              <w:spacing w:after="0" w:line="240" w:lineRule="auto"/>
              <w:rPr>
                <w:rFonts w:ascii="Aptos Narrow" w:eastAsia="Times New Roman" w:hAnsi="Aptos Narrow" w:cs="Times New Roman"/>
                <w:b/>
                <w:bCs/>
                <w:color w:val="000000"/>
                <w:lang w:eastAsia="en-GB"/>
              </w:rPr>
            </w:pPr>
            <w:r w:rsidRPr="00C15318">
              <w:rPr>
                <w:rFonts w:ascii="Aptos Narrow" w:eastAsia="Times New Roman" w:hAnsi="Aptos Narrow" w:cs="Times New Roman"/>
                <w:b/>
                <w:bCs/>
                <w:noProof/>
                <w:color w:val="000000"/>
                <w:sz w:val="28"/>
                <w:szCs w:val="28"/>
                <w:lang w:eastAsia="en-GB"/>
              </w:rPr>
              <w:t>C</w:t>
            </w:r>
            <w:r w:rsidRPr="00AE0F20">
              <w:rPr>
                <w:rFonts w:ascii="Aptos Narrow" w:eastAsia="Times New Roman" w:hAnsi="Aptos Narrow" w:cs="Times New Roman"/>
                <w:b/>
                <w:bCs/>
                <w:noProof/>
                <w:color w:val="000000"/>
                <w:sz w:val="28"/>
                <w:szCs w:val="28"/>
                <w:lang w:eastAsia="en-GB"/>
              </w:rPr>
              <w:t>hapter</w:t>
            </w:r>
            <w:r w:rsidRPr="00C15318">
              <w:rPr>
                <w:rFonts w:ascii="Aptos Narrow" w:eastAsia="Times New Roman" w:hAnsi="Aptos Narrow" w:cs="Times New Roman"/>
                <w:b/>
                <w:bCs/>
                <w:noProof/>
                <w:color w:val="000000"/>
                <w:sz w:val="28"/>
                <w:szCs w:val="28"/>
                <w:lang w:eastAsia="en-GB"/>
              </w:rPr>
              <w:t xml:space="preserve"> 3- Research Methodologies</w:t>
            </w:r>
          </w:p>
        </w:tc>
        <w:tc>
          <w:tcPr>
            <w:tcW w:w="960" w:type="dxa"/>
            <w:tcBorders>
              <w:top w:val="nil"/>
              <w:left w:val="nil"/>
              <w:bottom w:val="nil"/>
              <w:right w:val="nil"/>
            </w:tcBorders>
            <w:shd w:val="clear" w:color="auto" w:fill="auto"/>
            <w:noWrap/>
            <w:vAlign w:val="bottom"/>
            <w:hideMark/>
          </w:tcPr>
          <w:p w14:paraId="4F732AC0" w14:textId="77777777" w:rsidR="00CF159F" w:rsidRPr="00C15318" w:rsidRDefault="00CF159F" w:rsidP="00AB3BE2">
            <w:pPr>
              <w:spacing w:after="0" w:line="240" w:lineRule="auto"/>
              <w:jc w:val="center"/>
              <w:rPr>
                <w:rFonts w:ascii="Aptos Narrow" w:eastAsia="Times New Roman" w:hAnsi="Aptos Narrow" w:cs="Times New Roman"/>
                <w:b/>
                <w:bCs/>
                <w:color w:val="000000"/>
                <w:lang w:eastAsia="en-GB"/>
              </w:rPr>
            </w:pPr>
          </w:p>
        </w:tc>
      </w:tr>
      <w:tr w:rsidR="00CF159F" w:rsidRPr="00C15318" w14:paraId="7247BAAB" w14:textId="77777777" w:rsidTr="00AB3BE2">
        <w:trPr>
          <w:trHeight w:val="300"/>
        </w:trPr>
        <w:tc>
          <w:tcPr>
            <w:tcW w:w="694" w:type="dxa"/>
            <w:tcBorders>
              <w:top w:val="nil"/>
              <w:left w:val="nil"/>
              <w:bottom w:val="nil"/>
              <w:right w:val="nil"/>
            </w:tcBorders>
            <w:shd w:val="clear" w:color="auto" w:fill="auto"/>
            <w:noWrap/>
            <w:vAlign w:val="bottom"/>
            <w:hideMark/>
          </w:tcPr>
          <w:p w14:paraId="662A39E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3.1</w:t>
            </w:r>
          </w:p>
        </w:tc>
        <w:tc>
          <w:tcPr>
            <w:tcW w:w="6586" w:type="dxa"/>
            <w:tcBorders>
              <w:top w:val="nil"/>
              <w:left w:val="nil"/>
              <w:bottom w:val="nil"/>
              <w:right w:val="nil"/>
            </w:tcBorders>
            <w:shd w:val="clear" w:color="auto" w:fill="auto"/>
            <w:noWrap/>
            <w:vAlign w:val="bottom"/>
            <w:hideMark/>
          </w:tcPr>
          <w:p w14:paraId="7CFD3B2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Introduction</w:t>
            </w:r>
          </w:p>
        </w:tc>
        <w:tc>
          <w:tcPr>
            <w:tcW w:w="960" w:type="dxa"/>
            <w:tcBorders>
              <w:top w:val="nil"/>
              <w:left w:val="nil"/>
              <w:bottom w:val="nil"/>
              <w:right w:val="nil"/>
            </w:tcBorders>
            <w:shd w:val="clear" w:color="auto" w:fill="auto"/>
            <w:noWrap/>
            <w:vAlign w:val="bottom"/>
            <w:hideMark/>
          </w:tcPr>
          <w:p w14:paraId="19D3ED6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30</w:t>
            </w:r>
          </w:p>
        </w:tc>
      </w:tr>
      <w:tr w:rsidR="00CF159F" w:rsidRPr="00C15318" w14:paraId="28519FC7" w14:textId="77777777" w:rsidTr="00AB3BE2">
        <w:trPr>
          <w:trHeight w:val="300"/>
        </w:trPr>
        <w:tc>
          <w:tcPr>
            <w:tcW w:w="694" w:type="dxa"/>
            <w:tcBorders>
              <w:top w:val="nil"/>
              <w:left w:val="nil"/>
              <w:bottom w:val="nil"/>
              <w:right w:val="nil"/>
            </w:tcBorders>
            <w:shd w:val="clear" w:color="auto" w:fill="auto"/>
            <w:noWrap/>
            <w:vAlign w:val="bottom"/>
            <w:hideMark/>
          </w:tcPr>
          <w:p w14:paraId="44D1370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3.2</w:t>
            </w:r>
          </w:p>
        </w:tc>
        <w:tc>
          <w:tcPr>
            <w:tcW w:w="6586" w:type="dxa"/>
            <w:tcBorders>
              <w:top w:val="nil"/>
              <w:left w:val="nil"/>
              <w:bottom w:val="nil"/>
              <w:right w:val="nil"/>
            </w:tcBorders>
            <w:shd w:val="clear" w:color="auto" w:fill="auto"/>
            <w:noWrap/>
            <w:vAlign w:val="bottom"/>
            <w:hideMark/>
          </w:tcPr>
          <w:p w14:paraId="293983D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Research Methodologies</w:t>
            </w:r>
          </w:p>
        </w:tc>
        <w:tc>
          <w:tcPr>
            <w:tcW w:w="960" w:type="dxa"/>
            <w:tcBorders>
              <w:top w:val="nil"/>
              <w:left w:val="nil"/>
              <w:bottom w:val="nil"/>
              <w:right w:val="nil"/>
            </w:tcBorders>
            <w:shd w:val="clear" w:color="auto" w:fill="auto"/>
            <w:noWrap/>
            <w:vAlign w:val="bottom"/>
            <w:hideMark/>
          </w:tcPr>
          <w:p w14:paraId="1E8325E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30</w:t>
            </w:r>
          </w:p>
        </w:tc>
      </w:tr>
      <w:tr w:rsidR="00CF159F" w:rsidRPr="00C15318" w14:paraId="7125F9AD" w14:textId="77777777" w:rsidTr="00AB3BE2">
        <w:trPr>
          <w:trHeight w:val="300"/>
        </w:trPr>
        <w:tc>
          <w:tcPr>
            <w:tcW w:w="694" w:type="dxa"/>
            <w:tcBorders>
              <w:top w:val="nil"/>
              <w:left w:val="nil"/>
              <w:bottom w:val="nil"/>
              <w:right w:val="nil"/>
            </w:tcBorders>
            <w:shd w:val="clear" w:color="auto" w:fill="auto"/>
            <w:noWrap/>
            <w:vAlign w:val="bottom"/>
            <w:hideMark/>
          </w:tcPr>
          <w:p w14:paraId="5E6B6A1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3.3</w:t>
            </w:r>
          </w:p>
        </w:tc>
        <w:tc>
          <w:tcPr>
            <w:tcW w:w="6586" w:type="dxa"/>
            <w:tcBorders>
              <w:top w:val="nil"/>
              <w:left w:val="nil"/>
              <w:bottom w:val="nil"/>
              <w:right w:val="nil"/>
            </w:tcBorders>
            <w:shd w:val="clear" w:color="auto" w:fill="auto"/>
            <w:noWrap/>
            <w:vAlign w:val="bottom"/>
            <w:hideMark/>
          </w:tcPr>
          <w:p w14:paraId="59D2A5B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 xml:space="preserve">The Main Types </w:t>
            </w:r>
            <w:proofErr w:type="gramStart"/>
            <w:r w:rsidRPr="00C15318">
              <w:rPr>
                <w:rFonts w:ascii="Aptos Narrow" w:eastAsia="Times New Roman" w:hAnsi="Aptos Narrow" w:cs="Times New Roman"/>
                <w:color w:val="000000"/>
                <w:lang w:eastAsia="en-GB"/>
              </w:rPr>
              <w:t>Of</w:t>
            </w:r>
            <w:proofErr w:type="gramEnd"/>
            <w:r w:rsidRPr="00C15318">
              <w:rPr>
                <w:rFonts w:ascii="Aptos Narrow" w:eastAsia="Times New Roman" w:hAnsi="Aptos Narrow" w:cs="Times New Roman"/>
                <w:color w:val="000000"/>
                <w:lang w:eastAsia="en-GB"/>
              </w:rPr>
              <w:t xml:space="preserve"> Research</w:t>
            </w:r>
          </w:p>
        </w:tc>
        <w:tc>
          <w:tcPr>
            <w:tcW w:w="960" w:type="dxa"/>
            <w:tcBorders>
              <w:top w:val="nil"/>
              <w:left w:val="nil"/>
              <w:bottom w:val="nil"/>
              <w:right w:val="nil"/>
            </w:tcBorders>
            <w:shd w:val="clear" w:color="auto" w:fill="auto"/>
            <w:noWrap/>
            <w:vAlign w:val="bottom"/>
            <w:hideMark/>
          </w:tcPr>
          <w:p w14:paraId="012B31E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30</w:t>
            </w:r>
          </w:p>
        </w:tc>
      </w:tr>
      <w:tr w:rsidR="00CF159F" w:rsidRPr="00C15318" w14:paraId="744D3A82" w14:textId="77777777" w:rsidTr="00AB3BE2">
        <w:trPr>
          <w:trHeight w:val="300"/>
        </w:trPr>
        <w:tc>
          <w:tcPr>
            <w:tcW w:w="694" w:type="dxa"/>
            <w:tcBorders>
              <w:top w:val="nil"/>
              <w:left w:val="nil"/>
              <w:bottom w:val="nil"/>
              <w:right w:val="nil"/>
            </w:tcBorders>
            <w:shd w:val="clear" w:color="auto" w:fill="auto"/>
            <w:noWrap/>
            <w:vAlign w:val="bottom"/>
            <w:hideMark/>
          </w:tcPr>
          <w:p w14:paraId="58E859B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3.3.1</w:t>
            </w:r>
          </w:p>
        </w:tc>
        <w:tc>
          <w:tcPr>
            <w:tcW w:w="6586" w:type="dxa"/>
            <w:tcBorders>
              <w:top w:val="nil"/>
              <w:left w:val="nil"/>
              <w:bottom w:val="nil"/>
              <w:right w:val="nil"/>
            </w:tcBorders>
            <w:shd w:val="clear" w:color="auto" w:fill="auto"/>
            <w:noWrap/>
            <w:vAlign w:val="bottom"/>
            <w:hideMark/>
          </w:tcPr>
          <w:p w14:paraId="64C7584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Quantitative Research</w:t>
            </w:r>
          </w:p>
        </w:tc>
        <w:tc>
          <w:tcPr>
            <w:tcW w:w="960" w:type="dxa"/>
            <w:tcBorders>
              <w:top w:val="nil"/>
              <w:left w:val="nil"/>
              <w:bottom w:val="nil"/>
              <w:right w:val="nil"/>
            </w:tcBorders>
            <w:shd w:val="clear" w:color="auto" w:fill="auto"/>
            <w:noWrap/>
            <w:vAlign w:val="bottom"/>
            <w:hideMark/>
          </w:tcPr>
          <w:p w14:paraId="4E92E44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30</w:t>
            </w:r>
          </w:p>
        </w:tc>
      </w:tr>
      <w:tr w:rsidR="00CF159F" w:rsidRPr="00C15318" w14:paraId="51FEAC93" w14:textId="77777777" w:rsidTr="00AB3BE2">
        <w:trPr>
          <w:trHeight w:val="300"/>
        </w:trPr>
        <w:tc>
          <w:tcPr>
            <w:tcW w:w="694" w:type="dxa"/>
            <w:tcBorders>
              <w:top w:val="nil"/>
              <w:left w:val="nil"/>
              <w:bottom w:val="nil"/>
              <w:right w:val="nil"/>
            </w:tcBorders>
            <w:shd w:val="clear" w:color="auto" w:fill="auto"/>
            <w:noWrap/>
            <w:vAlign w:val="bottom"/>
            <w:hideMark/>
          </w:tcPr>
          <w:p w14:paraId="51CA739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3.3.2</w:t>
            </w:r>
          </w:p>
        </w:tc>
        <w:tc>
          <w:tcPr>
            <w:tcW w:w="6586" w:type="dxa"/>
            <w:tcBorders>
              <w:top w:val="nil"/>
              <w:left w:val="nil"/>
              <w:bottom w:val="nil"/>
              <w:right w:val="nil"/>
            </w:tcBorders>
            <w:shd w:val="clear" w:color="auto" w:fill="auto"/>
            <w:noWrap/>
            <w:vAlign w:val="bottom"/>
            <w:hideMark/>
          </w:tcPr>
          <w:p w14:paraId="5EC0D36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Quantitative Research Techniques</w:t>
            </w:r>
          </w:p>
        </w:tc>
        <w:tc>
          <w:tcPr>
            <w:tcW w:w="960" w:type="dxa"/>
            <w:tcBorders>
              <w:top w:val="nil"/>
              <w:left w:val="nil"/>
              <w:bottom w:val="nil"/>
              <w:right w:val="nil"/>
            </w:tcBorders>
            <w:shd w:val="clear" w:color="auto" w:fill="auto"/>
            <w:noWrap/>
            <w:vAlign w:val="bottom"/>
            <w:hideMark/>
          </w:tcPr>
          <w:p w14:paraId="267AD9B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31</w:t>
            </w:r>
          </w:p>
        </w:tc>
      </w:tr>
      <w:tr w:rsidR="00CF159F" w:rsidRPr="00C15318" w14:paraId="343C2F45" w14:textId="77777777" w:rsidTr="00AB3BE2">
        <w:trPr>
          <w:trHeight w:val="300"/>
        </w:trPr>
        <w:tc>
          <w:tcPr>
            <w:tcW w:w="694" w:type="dxa"/>
            <w:tcBorders>
              <w:top w:val="nil"/>
              <w:left w:val="nil"/>
              <w:bottom w:val="nil"/>
              <w:right w:val="nil"/>
            </w:tcBorders>
            <w:shd w:val="clear" w:color="auto" w:fill="auto"/>
            <w:noWrap/>
            <w:vAlign w:val="bottom"/>
            <w:hideMark/>
          </w:tcPr>
          <w:p w14:paraId="322F699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1</w:t>
            </w:r>
          </w:p>
        </w:tc>
        <w:tc>
          <w:tcPr>
            <w:tcW w:w="6586" w:type="dxa"/>
            <w:tcBorders>
              <w:top w:val="nil"/>
              <w:left w:val="nil"/>
              <w:bottom w:val="nil"/>
              <w:right w:val="nil"/>
            </w:tcBorders>
            <w:shd w:val="clear" w:color="auto" w:fill="auto"/>
            <w:noWrap/>
            <w:vAlign w:val="bottom"/>
            <w:hideMark/>
          </w:tcPr>
          <w:p w14:paraId="5FF32FD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Regression Analysis:</w:t>
            </w:r>
          </w:p>
        </w:tc>
        <w:tc>
          <w:tcPr>
            <w:tcW w:w="960" w:type="dxa"/>
            <w:tcBorders>
              <w:top w:val="nil"/>
              <w:left w:val="nil"/>
              <w:bottom w:val="nil"/>
              <w:right w:val="nil"/>
            </w:tcBorders>
            <w:shd w:val="clear" w:color="auto" w:fill="auto"/>
            <w:noWrap/>
            <w:vAlign w:val="bottom"/>
            <w:hideMark/>
          </w:tcPr>
          <w:p w14:paraId="0F7FC88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31</w:t>
            </w:r>
          </w:p>
        </w:tc>
      </w:tr>
      <w:tr w:rsidR="00CF159F" w:rsidRPr="00C15318" w14:paraId="03B369CF" w14:textId="77777777" w:rsidTr="00AB3BE2">
        <w:trPr>
          <w:trHeight w:val="300"/>
        </w:trPr>
        <w:tc>
          <w:tcPr>
            <w:tcW w:w="694" w:type="dxa"/>
            <w:tcBorders>
              <w:top w:val="nil"/>
              <w:left w:val="nil"/>
              <w:bottom w:val="nil"/>
              <w:right w:val="nil"/>
            </w:tcBorders>
            <w:shd w:val="clear" w:color="auto" w:fill="auto"/>
            <w:noWrap/>
            <w:vAlign w:val="bottom"/>
            <w:hideMark/>
          </w:tcPr>
          <w:p w14:paraId="03EE303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2</w:t>
            </w:r>
          </w:p>
        </w:tc>
        <w:tc>
          <w:tcPr>
            <w:tcW w:w="6586" w:type="dxa"/>
            <w:tcBorders>
              <w:top w:val="nil"/>
              <w:left w:val="nil"/>
              <w:bottom w:val="nil"/>
              <w:right w:val="nil"/>
            </w:tcBorders>
            <w:shd w:val="clear" w:color="auto" w:fill="auto"/>
            <w:noWrap/>
            <w:vAlign w:val="bottom"/>
            <w:hideMark/>
          </w:tcPr>
          <w:p w14:paraId="63BBEEF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Input-Output Analysis:</w:t>
            </w:r>
          </w:p>
        </w:tc>
        <w:tc>
          <w:tcPr>
            <w:tcW w:w="960" w:type="dxa"/>
            <w:tcBorders>
              <w:top w:val="nil"/>
              <w:left w:val="nil"/>
              <w:bottom w:val="nil"/>
              <w:right w:val="nil"/>
            </w:tcBorders>
            <w:shd w:val="clear" w:color="auto" w:fill="auto"/>
            <w:noWrap/>
            <w:vAlign w:val="bottom"/>
            <w:hideMark/>
          </w:tcPr>
          <w:p w14:paraId="3BCB5CC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31</w:t>
            </w:r>
          </w:p>
        </w:tc>
      </w:tr>
      <w:tr w:rsidR="00CF159F" w:rsidRPr="00C15318" w14:paraId="3255B0A9" w14:textId="77777777" w:rsidTr="00AB3BE2">
        <w:trPr>
          <w:trHeight w:val="300"/>
        </w:trPr>
        <w:tc>
          <w:tcPr>
            <w:tcW w:w="694" w:type="dxa"/>
            <w:tcBorders>
              <w:top w:val="nil"/>
              <w:left w:val="nil"/>
              <w:bottom w:val="nil"/>
              <w:right w:val="nil"/>
            </w:tcBorders>
            <w:shd w:val="clear" w:color="auto" w:fill="auto"/>
            <w:noWrap/>
            <w:vAlign w:val="bottom"/>
            <w:hideMark/>
          </w:tcPr>
          <w:p w14:paraId="14EED51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w:t>
            </w:r>
          </w:p>
        </w:tc>
        <w:tc>
          <w:tcPr>
            <w:tcW w:w="6586" w:type="dxa"/>
            <w:tcBorders>
              <w:top w:val="nil"/>
              <w:left w:val="nil"/>
              <w:bottom w:val="nil"/>
              <w:right w:val="nil"/>
            </w:tcBorders>
            <w:shd w:val="clear" w:color="auto" w:fill="auto"/>
            <w:noWrap/>
            <w:vAlign w:val="bottom"/>
            <w:hideMark/>
          </w:tcPr>
          <w:p w14:paraId="2970766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Panel Data Analysis:</w:t>
            </w:r>
          </w:p>
        </w:tc>
        <w:tc>
          <w:tcPr>
            <w:tcW w:w="960" w:type="dxa"/>
            <w:tcBorders>
              <w:top w:val="nil"/>
              <w:left w:val="nil"/>
              <w:bottom w:val="nil"/>
              <w:right w:val="nil"/>
            </w:tcBorders>
            <w:shd w:val="clear" w:color="auto" w:fill="auto"/>
            <w:noWrap/>
            <w:vAlign w:val="bottom"/>
            <w:hideMark/>
          </w:tcPr>
          <w:p w14:paraId="5A7AC14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31</w:t>
            </w:r>
          </w:p>
        </w:tc>
      </w:tr>
      <w:tr w:rsidR="00CF159F" w:rsidRPr="00C15318" w14:paraId="1B661171" w14:textId="77777777" w:rsidTr="00AB3BE2">
        <w:trPr>
          <w:trHeight w:val="300"/>
        </w:trPr>
        <w:tc>
          <w:tcPr>
            <w:tcW w:w="694" w:type="dxa"/>
            <w:tcBorders>
              <w:top w:val="nil"/>
              <w:left w:val="nil"/>
              <w:bottom w:val="nil"/>
              <w:right w:val="nil"/>
            </w:tcBorders>
            <w:shd w:val="clear" w:color="auto" w:fill="auto"/>
            <w:noWrap/>
            <w:vAlign w:val="bottom"/>
            <w:hideMark/>
          </w:tcPr>
          <w:p w14:paraId="1C67248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w:t>
            </w:r>
          </w:p>
        </w:tc>
        <w:tc>
          <w:tcPr>
            <w:tcW w:w="6586" w:type="dxa"/>
            <w:tcBorders>
              <w:top w:val="nil"/>
              <w:left w:val="nil"/>
              <w:bottom w:val="nil"/>
              <w:right w:val="nil"/>
            </w:tcBorders>
            <w:shd w:val="clear" w:color="auto" w:fill="auto"/>
            <w:noWrap/>
            <w:vAlign w:val="bottom"/>
            <w:hideMark/>
          </w:tcPr>
          <w:p w14:paraId="3BF02BE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Computable General Equilibrium (CGE) Modelling:</w:t>
            </w:r>
          </w:p>
        </w:tc>
        <w:tc>
          <w:tcPr>
            <w:tcW w:w="960" w:type="dxa"/>
            <w:tcBorders>
              <w:top w:val="nil"/>
              <w:left w:val="nil"/>
              <w:bottom w:val="nil"/>
              <w:right w:val="nil"/>
            </w:tcBorders>
            <w:shd w:val="clear" w:color="auto" w:fill="auto"/>
            <w:noWrap/>
            <w:vAlign w:val="bottom"/>
            <w:hideMark/>
          </w:tcPr>
          <w:p w14:paraId="07D1EC6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31</w:t>
            </w:r>
          </w:p>
        </w:tc>
      </w:tr>
      <w:tr w:rsidR="00CF159F" w:rsidRPr="00C15318" w14:paraId="2B5B9D05" w14:textId="77777777" w:rsidTr="00AB3BE2">
        <w:trPr>
          <w:trHeight w:val="300"/>
        </w:trPr>
        <w:tc>
          <w:tcPr>
            <w:tcW w:w="694" w:type="dxa"/>
            <w:tcBorders>
              <w:top w:val="nil"/>
              <w:left w:val="nil"/>
              <w:bottom w:val="nil"/>
              <w:right w:val="nil"/>
            </w:tcBorders>
            <w:shd w:val="clear" w:color="auto" w:fill="auto"/>
            <w:noWrap/>
            <w:vAlign w:val="bottom"/>
            <w:hideMark/>
          </w:tcPr>
          <w:p w14:paraId="35B7EB7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w:t>
            </w:r>
          </w:p>
        </w:tc>
        <w:tc>
          <w:tcPr>
            <w:tcW w:w="6586" w:type="dxa"/>
            <w:tcBorders>
              <w:top w:val="nil"/>
              <w:left w:val="nil"/>
              <w:bottom w:val="nil"/>
              <w:right w:val="nil"/>
            </w:tcBorders>
            <w:shd w:val="clear" w:color="auto" w:fill="auto"/>
            <w:noWrap/>
            <w:vAlign w:val="bottom"/>
            <w:hideMark/>
          </w:tcPr>
          <w:p w14:paraId="6BD16F7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DATA Collection Sources and Limitations</w:t>
            </w:r>
          </w:p>
        </w:tc>
        <w:tc>
          <w:tcPr>
            <w:tcW w:w="960" w:type="dxa"/>
            <w:tcBorders>
              <w:top w:val="nil"/>
              <w:left w:val="nil"/>
              <w:bottom w:val="nil"/>
              <w:right w:val="nil"/>
            </w:tcBorders>
            <w:shd w:val="clear" w:color="auto" w:fill="auto"/>
            <w:noWrap/>
            <w:vAlign w:val="bottom"/>
            <w:hideMark/>
          </w:tcPr>
          <w:p w14:paraId="5CAE721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32</w:t>
            </w:r>
          </w:p>
        </w:tc>
      </w:tr>
      <w:tr w:rsidR="00CF159F" w:rsidRPr="00C15318" w14:paraId="48AA5F68" w14:textId="77777777" w:rsidTr="00AB3BE2">
        <w:trPr>
          <w:trHeight w:val="300"/>
        </w:trPr>
        <w:tc>
          <w:tcPr>
            <w:tcW w:w="694" w:type="dxa"/>
            <w:tcBorders>
              <w:top w:val="nil"/>
              <w:left w:val="nil"/>
              <w:bottom w:val="nil"/>
              <w:right w:val="nil"/>
            </w:tcBorders>
            <w:shd w:val="clear" w:color="auto" w:fill="auto"/>
            <w:noWrap/>
            <w:vAlign w:val="bottom"/>
            <w:hideMark/>
          </w:tcPr>
          <w:p w14:paraId="74A3994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3.4.1</w:t>
            </w:r>
          </w:p>
        </w:tc>
        <w:tc>
          <w:tcPr>
            <w:tcW w:w="6586" w:type="dxa"/>
            <w:tcBorders>
              <w:top w:val="nil"/>
              <w:left w:val="nil"/>
              <w:bottom w:val="nil"/>
              <w:right w:val="nil"/>
            </w:tcBorders>
            <w:shd w:val="clear" w:color="auto" w:fill="auto"/>
            <w:noWrap/>
            <w:vAlign w:val="bottom"/>
            <w:hideMark/>
          </w:tcPr>
          <w:p w14:paraId="433C88D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Quantitative Data for the UK for FDI.</w:t>
            </w:r>
          </w:p>
        </w:tc>
        <w:tc>
          <w:tcPr>
            <w:tcW w:w="960" w:type="dxa"/>
            <w:tcBorders>
              <w:top w:val="nil"/>
              <w:left w:val="nil"/>
              <w:bottom w:val="nil"/>
              <w:right w:val="nil"/>
            </w:tcBorders>
            <w:shd w:val="clear" w:color="auto" w:fill="auto"/>
            <w:noWrap/>
            <w:vAlign w:val="bottom"/>
            <w:hideMark/>
          </w:tcPr>
          <w:p w14:paraId="045B968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33</w:t>
            </w:r>
          </w:p>
        </w:tc>
      </w:tr>
      <w:tr w:rsidR="00CF159F" w:rsidRPr="00C15318" w14:paraId="484D30B5" w14:textId="77777777" w:rsidTr="00AB3BE2">
        <w:trPr>
          <w:trHeight w:val="300"/>
        </w:trPr>
        <w:tc>
          <w:tcPr>
            <w:tcW w:w="694" w:type="dxa"/>
            <w:tcBorders>
              <w:top w:val="nil"/>
              <w:left w:val="nil"/>
              <w:bottom w:val="nil"/>
              <w:right w:val="nil"/>
            </w:tcBorders>
            <w:shd w:val="clear" w:color="auto" w:fill="auto"/>
            <w:noWrap/>
            <w:vAlign w:val="bottom"/>
            <w:hideMark/>
          </w:tcPr>
          <w:p w14:paraId="4B1AF29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3.4.2</w:t>
            </w:r>
          </w:p>
        </w:tc>
        <w:tc>
          <w:tcPr>
            <w:tcW w:w="6586" w:type="dxa"/>
            <w:tcBorders>
              <w:top w:val="nil"/>
              <w:left w:val="nil"/>
              <w:bottom w:val="nil"/>
              <w:right w:val="nil"/>
            </w:tcBorders>
            <w:shd w:val="clear" w:color="auto" w:fill="auto"/>
            <w:noWrap/>
            <w:vAlign w:val="bottom"/>
            <w:hideMark/>
          </w:tcPr>
          <w:p w14:paraId="63DA8F6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Capital Flows</w:t>
            </w:r>
          </w:p>
        </w:tc>
        <w:tc>
          <w:tcPr>
            <w:tcW w:w="960" w:type="dxa"/>
            <w:tcBorders>
              <w:top w:val="nil"/>
              <w:left w:val="nil"/>
              <w:bottom w:val="nil"/>
              <w:right w:val="nil"/>
            </w:tcBorders>
            <w:shd w:val="clear" w:color="auto" w:fill="auto"/>
            <w:noWrap/>
            <w:vAlign w:val="bottom"/>
            <w:hideMark/>
          </w:tcPr>
          <w:p w14:paraId="52BD6EB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33</w:t>
            </w:r>
          </w:p>
        </w:tc>
      </w:tr>
      <w:tr w:rsidR="00CF159F" w:rsidRPr="00C15318" w14:paraId="1A852587" w14:textId="77777777" w:rsidTr="00AB3BE2">
        <w:trPr>
          <w:trHeight w:val="300"/>
        </w:trPr>
        <w:tc>
          <w:tcPr>
            <w:tcW w:w="694" w:type="dxa"/>
            <w:tcBorders>
              <w:top w:val="nil"/>
              <w:left w:val="nil"/>
              <w:bottom w:val="nil"/>
              <w:right w:val="nil"/>
            </w:tcBorders>
            <w:shd w:val="clear" w:color="auto" w:fill="auto"/>
            <w:noWrap/>
            <w:vAlign w:val="bottom"/>
            <w:hideMark/>
          </w:tcPr>
          <w:p w14:paraId="54525B8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3.4.3</w:t>
            </w:r>
          </w:p>
        </w:tc>
        <w:tc>
          <w:tcPr>
            <w:tcW w:w="6586" w:type="dxa"/>
            <w:tcBorders>
              <w:top w:val="nil"/>
              <w:left w:val="nil"/>
              <w:bottom w:val="nil"/>
              <w:right w:val="nil"/>
            </w:tcBorders>
            <w:shd w:val="clear" w:color="auto" w:fill="auto"/>
            <w:noWrap/>
            <w:vAlign w:val="bottom"/>
            <w:hideMark/>
          </w:tcPr>
          <w:p w14:paraId="768D563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Linear Regression Analysis.</w:t>
            </w:r>
          </w:p>
        </w:tc>
        <w:tc>
          <w:tcPr>
            <w:tcW w:w="960" w:type="dxa"/>
            <w:tcBorders>
              <w:top w:val="nil"/>
              <w:left w:val="nil"/>
              <w:bottom w:val="nil"/>
              <w:right w:val="nil"/>
            </w:tcBorders>
            <w:shd w:val="clear" w:color="auto" w:fill="auto"/>
            <w:noWrap/>
            <w:vAlign w:val="bottom"/>
            <w:hideMark/>
          </w:tcPr>
          <w:p w14:paraId="2730E9C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33</w:t>
            </w:r>
          </w:p>
        </w:tc>
      </w:tr>
      <w:tr w:rsidR="00CF159F" w:rsidRPr="00C15318" w14:paraId="3E66A434" w14:textId="77777777" w:rsidTr="00AB3BE2">
        <w:trPr>
          <w:trHeight w:val="300"/>
        </w:trPr>
        <w:tc>
          <w:tcPr>
            <w:tcW w:w="694" w:type="dxa"/>
            <w:tcBorders>
              <w:top w:val="nil"/>
              <w:left w:val="nil"/>
              <w:bottom w:val="nil"/>
              <w:right w:val="nil"/>
            </w:tcBorders>
            <w:shd w:val="clear" w:color="auto" w:fill="auto"/>
            <w:noWrap/>
            <w:vAlign w:val="bottom"/>
            <w:hideMark/>
          </w:tcPr>
          <w:p w14:paraId="00FD624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3.4.4</w:t>
            </w:r>
          </w:p>
        </w:tc>
        <w:tc>
          <w:tcPr>
            <w:tcW w:w="6586" w:type="dxa"/>
            <w:tcBorders>
              <w:top w:val="nil"/>
              <w:left w:val="nil"/>
              <w:bottom w:val="nil"/>
              <w:right w:val="nil"/>
            </w:tcBorders>
            <w:shd w:val="clear" w:color="auto" w:fill="auto"/>
            <w:noWrap/>
            <w:vAlign w:val="bottom"/>
            <w:hideMark/>
          </w:tcPr>
          <w:p w14:paraId="13B09E3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Other Statistical Analysis.</w:t>
            </w:r>
          </w:p>
        </w:tc>
        <w:tc>
          <w:tcPr>
            <w:tcW w:w="960" w:type="dxa"/>
            <w:tcBorders>
              <w:top w:val="nil"/>
              <w:left w:val="nil"/>
              <w:bottom w:val="nil"/>
              <w:right w:val="nil"/>
            </w:tcBorders>
            <w:shd w:val="clear" w:color="auto" w:fill="auto"/>
            <w:noWrap/>
            <w:vAlign w:val="bottom"/>
            <w:hideMark/>
          </w:tcPr>
          <w:p w14:paraId="79B20B4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35</w:t>
            </w:r>
          </w:p>
        </w:tc>
      </w:tr>
      <w:tr w:rsidR="00CF159F" w:rsidRPr="00C15318" w14:paraId="465ABEEB" w14:textId="77777777" w:rsidTr="00AB3BE2">
        <w:trPr>
          <w:trHeight w:val="300"/>
        </w:trPr>
        <w:tc>
          <w:tcPr>
            <w:tcW w:w="694" w:type="dxa"/>
            <w:tcBorders>
              <w:top w:val="nil"/>
              <w:left w:val="nil"/>
              <w:bottom w:val="nil"/>
              <w:right w:val="nil"/>
            </w:tcBorders>
            <w:shd w:val="clear" w:color="auto" w:fill="auto"/>
            <w:noWrap/>
            <w:vAlign w:val="bottom"/>
            <w:hideMark/>
          </w:tcPr>
          <w:p w14:paraId="02B62A3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3.4.5</w:t>
            </w:r>
          </w:p>
        </w:tc>
        <w:tc>
          <w:tcPr>
            <w:tcW w:w="6586" w:type="dxa"/>
            <w:tcBorders>
              <w:top w:val="nil"/>
              <w:left w:val="nil"/>
              <w:bottom w:val="nil"/>
              <w:right w:val="nil"/>
            </w:tcBorders>
            <w:shd w:val="clear" w:color="auto" w:fill="auto"/>
            <w:noWrap/>
            <w:vAlign w:val="bottom"/>
            <w:hideMark/>
          </w:tcPr>
          <w:p w14:paraId="217D88B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Interest Rate</w:t>
            </w:r>
          </w:p>
        </w:tc>
        <w:tc>
          <w:tcPr>
            <w:tcW w:w="960" w:type="dxa"/>
            <w:tcBorders>
              <w:top w:val="nil"/>
              <w:left w:val="nil"/>
              <w:bottom w:val="nil"/>
              <w:right w:val="nil"/>
            </w:tcBorders>
            <w:shd w:val="clear" w:color="auto" w:fill="auto"/>
            <w:noWrap/>
            <w:vAlign w:val="bottom"/>
            <w:hideMark/>
          </w:tcPr>
          <w:p w14:paraId="67F1E7E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36</w:t>
            </w:r>
          </w:p>
        </w:tc>
      </w:tr>
      <w:tr w:rsidR="00CF159F" w:rsidRPr="00C15318" w14:paraId="2FE5C4F2" w14:textId="77777777" w:rsidTr="00AB3BE2">
        <w:trPr>
          <w:trHeight w:val="300"/>
        </w:trPr>
        <w:tc>
          <w:tcPr>
            <w:tcW w:w="694" w:type="dxa"/>
            <w:tcBorders>
              <w:top w:val="nil"/>
              <w:left w:val="nil"/>
              <w:bottom w:val="nil"/>
              <w:right w:val="nil"/>
            </w:tcBorders>
            <w:shd w:val="clear" w:color="auto" w:fill="auto"/>
            <w:noWrap/>
            <w:vAlign w:val="bottom"/>
            <w:hideMark/>
          </w:tcPr>
          <w:p w14:paraId="225B1F1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3.4.6</w:t>
            </w:r>
          </w:p>
        </w:tc>
        <w:tc>
          <w:tcPr>
            <w:tcW w:w="6586" w:type="dxa"/>
            <w:tcBorders>
              <w:top w:val="nil"/>
              <w:left w:val="nil"/>
              <w:bottom w:val="nil"/>
              <w:right w:val="nil"/>
            </w:tcBorders>
            <w:shd w:val="clear" w:color="auto" w:fill="auto"/>
            <w:noWrap/>
            <w:vAlign w:val="bottom"/>
            <w:hideMark/>
          </w:tcPr>
          <w:p w14:paraId="1CC416B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Unemployment Rate</w:t>
            </w:r>
          </w:p>
        </w:tc>
        <w:tc>
          <w:tcPr>
            <w:tcW w:w="960" w:type="dxa"/>
            <w:tcBorders>
              <w:top w:val="nil"/>
              <w:left w:val="nil"/>
              <w:bottom w:val="nil"/>
              <w:right w:val="nil"/>
            </w:tcBorders>
            <w:shd w:val="clear" w:color="auto" w:fill="auto"/>
            <w:noWrap/>
            <w:vAlign w:val="bottom"/>
            <w:hideMark/>
          </w:tcPr>
          <w:p w14:paraId="29A812C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38</w:t>
            </w:r>
          </w:p>
        </w:tc>
      </w:tr>
      <w:tr w:rsidR="00CF159F" w:rsidRPr="00C15318" w14:paraId="5200ABC3" w14:textId="77777777" w:rsidTr="00AB3BE2">
        <w:trPr>
          <w:trHeight w:val="300"/>
        </w:trPr>
        <w:tc>
          <w:tcPr>
            <w:tcW w:w="694" w:type="dxa"/>
            <w:tcBorders>
              <w:top w:val="nil"/>
              <w:left w:val="nil"/>
              <w:bottom w:val="nil"/>
              <w:right w:val="nil"/>
            </w:tcBorders>
            <w:shd w:val="clear" w:color="auto" w:fill="auto"/>
            <w:noWrap/>
            <w:vAlign w:val="bottom"/>
            <w:hideMark/>
          </w:tcPr>
          <w:p w14:paraId="1CC1518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3.4.7</w:t>
            </w:r>
          </w:p>
        </w:tc>
        <w:tc>
          <w:tcPr>
            <w:tcW w:w="6586" w:type="dxa"/>
            <w:tcBorders>
              <w:top w:val="nil"/>
              <w:left w:val="nil"/>
              <w:bottom w:val="nil"/>
              <w:right w:val="nil"/>
            </w:tcBorders>
            <w:shd w:val="clear" w:color="auto" w:fill="auto"/>
            <w:noWrap/>
            <w:vAlign w:val="bottom"/>
            <w:hideMark/>
          </w:tcPr>
          <w:p w14:paraId="3F618B2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Future GDP Forecast</w:t>
            </w:r>
          </w:p>
        </w:tc>
        <w:tc>
          <w:tcPr>
            <w:tcW w:w="960" w:type="dxa"/>
            <w:tcBorders>
              <w:top w:val="nil"/>
              <w:left w:val="nil"/>
              <w:bottom w:val="nil"/>
              <w:right w:val="nil"/>
            </w:tcBorders>
            <w:shd w:val="clear" w:color="auto" w:fill="auto"/>
            <w:noWrap/>
            <w:vAlign w:val="bottom"/>
            <w:hideMark/>
          </w:tcPr>
          <w:p w14:paraId="1C24FCB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39</w:t>
            </w:r>
          </w:p>
        </w:tc>
      </w:tr>
      <w:tr w:rsidR="00CF159F" w:rsidRPr="00C15318" w14:paraId="465A4A57" w14:textId="77777777" w:rsidTr="00AB3BE2">
        <w:trPr>
          <w:trHeight w:val="300"/>
        </w:trPr>
        <w:tc>
          <w:tcPr>
            <w:tcW w:w="694" w:type="dxa"/>
            <w:tcBorders>
              <w:top w:val="nil"/>
              <w:left w:val="nil"/>
              <w:bottom w:val="nil"/>
              <w:right w:val="nil"/>
            </w:tcBorders>
            <w:shd w:val="clear" w:color="auto" w:fill="auto"/>
            <w:noWrap/>
            <w:vAlign w:val="bottom"/>
            <w:hideMark/>
          </w:tcPr>
          <w:p w14:paraId="7ECA2E2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3.5</w:t>
            </w:r>
          </w:p>
        </w:tc>
        <w:tc>
          <w:tcPr>
            <w:tcW w:w="6586" w:type="dxa"/>
            <w:tcBorders>
              <w:top w:val="nil"/>
              <w:left w:val="nil"/>
              <w:bottom w:val="nil"/>
              <w:right w:val="nil"/>
            </w:tcBorders>
            <w:shd w:val="clear" w:color="auto" w:fill="auto"/>
            <w:noWrap/>
            <w:vAlign w:val="bottom"/>
            <w:hideMark/>
          </w:tcPr>
          <w:p w14:paraId="2D5997F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Qualitative Research</w:t>
            </w:r>
          </w:p>
        </w:tc>
        <w:tc>
          <w:tcPr>
            <w:tcW w:w="960" w:type="dxa"/>
            <w:tcBorders>
              <w:top w:val="nil"/>
              <w:left w:val="nil"/>
              <w:bottom w:val="nil"/>
              <w:right w:val="nil"/>
            </w:tcBorders>
            <w:shd w:val="clear" w:color="auto" w:fill="auto"/>
            <w:noWrap/>
            <w:vAlign w:val="bottom"/>
            <w:hideMark/>
          </w:tcPr>
          <w:p w14:paraId="612793B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41</w:t>
            </w:r>
          </w:p>
        </w:tc>
      </w:tr>
      <w:tr w:rsidR="00CF159F" w:rsidRPr="00C15318" w14:paraId="5B607633" w14:textId="77777777" w:rsidTr="00AB3BE2">
        <w:trPr>
          <w:trHeight w:val="300"/>
        </w:trPr>
        <w:tc>
          <w:tcPr>
            <w:tcW w:w="694" w:type="dxa"/>
            <w:tcBorders>
              <w:top w:val="nil"/>
              <w:left w:val="nil"/>
              <w:bottom w:val="nil"/>
              <w:right w:val="nil"/>
            </w:tcBorders>
            <w:shd w:val="clear" w:color="auto" w:fill="auto"/>
            <w:noWrap/>
            <w:vAlign w:val="bottom"/>
            <w:hideMark/>
          </w:tcPr>
          <w:p w14:paraId="10E2BF4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lastRenderedPageBreak/>
              <w:t>3.6</w:t>
            </w:r>
          </w:p>
        </w:tc>
        <w:tc>
          <w:tcPr>
            <w:tcW w:w="6586" w:type="dxa"/>
            <w:tcBorders>
              <w:top w:val="nil"/>
              <w:left w:val="nil"/>
              <w:bottom w:val="nil"/>
              <w:right w:val="nil"/>
            </w:tcBorders>
            <w:shd w:val="clear" w:color="auto" w:fill="auto"/>
            <w:noWrap/>
            <w:vAlign w:val="bottom"/>
            <w:hideMark/>
          </w:tcPr>
          <w:p w14:paraId="65D1C2B0"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Mixed-Method Research</w:t>
            </w:r>
          </w:p>
        </w:tc>
        <w:tc>
          <w:tcPr>
            <w:tcW w:w="960" w:type="dxa"/>
            <w:tcBorders>
              <w:top w:val="nil"/>
              <w:left w:val="nil"/>
              <w:bottom w:val="nil"/>
              <w:right w:val="nil"/>
            </w:tcBorders>
            <w:shd w:val="clear" w:color="auto" w:fill="auto"/>
            <w:noWrap/>
            <w:vAlign w:val="bottom"/>
            <w:hideMark/>
          </w:tcPr>
          <w:p w14:paraId="3B26D25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41</w:t>
            </w:r>
          </w:p>
        </w:tc>
      </w:tr>
      <w:tr w:rsidR="00CF159F" w:rsidRPr="00C15318" w14:paraId="27732A24" w14:textId="77777777" w:rsidTr="00AB3BE2">
        <w:trPr>
          <w:trHeight w:val="300"/>
        </w:trPr>
        <w:tc>
          <w:tcPr>
            <w:tcW w:w="694" w:type="dxa"/>
            <w:tcBorders>
              <w:top w:val="nil"/>
              <w:left w:val="nil"/>
              <w:bottom w:val="nil"/>
              <w:right w:val="nil"/>
            </w:tcBorders>
            <w:shd w:val="clear" w:color="auto" w:fill="auto"/>
            <w:noWrap/>
            <w:vAlign w:val="bottom"/>
            <w:hideMark/>
          </w:tcPr>
          <w:p w14:paraId="1EA3628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3.7</w:t>
            </w:r>
          </w:p>
        </w:tc>
        <w:tc>
          <w:tcPr>
            <w:tcW w:w="6586" w:type="dxa"/>
            <w:tcBorders>
              <w:top w:val="nil"/>
              <w:left w:val="nil"/>
              <w:bottom w:val="nil"/>
              <w:right w:val="nil"/>
            </w:tcBorders>
            <w:shd w:val="clear" w:color="auto" w:fill="auto"/>
            <w:noWrap/>
            <w:vAlign w:val="bottom"/>
            <w:hideMark/>
          </w:tcPr>
          <w:p w14:paraId="7D07093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The Research Process</w:t>
            </w:r>
          </w:p>
        </w:tc>
        <w:tc>
          <w:tcPr>
            <w:tcW w:w="960" w:type="dxa"/>
            <w:tcBorders>
              <w:top w:val="nil"/>
              <w:left w:val="nil"/>
              <w:bottom w:val="nil"/>
              <w:right w:val="nil"/>
            </w:tcBorders>
            <w:shd w:val="clear" w:color="auto" w:fill="auto"/>
            <w:noWrap/>
            <w:vAlign w:val="bottom"/>
            <w:hideMark/>
          </w:tcPr>
          <w:p w14:paraId="11F963B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41</w:t>
            </w:r>
          </w:p>
        </w:tc>
      </w:tr>
      <w:tr w:rsidR="00CF159F" w:rsidRPr="00C15318" w14:paraId="157DFE2F" w14:textId="77777777" w:rsidTr="00AB3BE2">
        <w:trPr>
          <w:trHeight w:val="300"/>
        </w:trPr>
        <w:tc>
          <w:tcPr>
            <w:tcW w:w="694" w:type="dxa"/>
            <w:tcBorders>
              <w:top w:val="nil"/>
              <w:left w:val="nil"/>
              <w:bottom w:val="nil"/>
              <w:right w:val="nil"/>
            </w:tcBorders>
            <w:shd w:val="clear" w:color="auto" w:fill="auto"/>
            <w:noWrap/>
            <w:vAlign w:val="bottom"/>
            <w:hideMark/>
          </w:tcPr>
          <w:p w14:paraId="0824659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3.8</w:t>
            </w:r>
          </w:p>
        </w:tc>
        <w:tc>
          <w:tcPr>
            <w:tcW w:w="6586" w:type="dxa"/>
            <w:tcBorders>
              <w:top w:val="nil"/>
              <w:left w:val="nil"/>
              <w:bottom w:val="nil"/>
              <w:right w:val="nil"/>
            </w:tcBorders>
            <w:shd w:val="clear" w:color="auto" w:fill="auto"/>
            <w:noWrap/>
            <w:vAlign w:val="bottom"/>
            <w:hideMark/>
          </w:tcPr>
          <w:p w14:paraId="7759583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Research Onion</w:t>
            </w:r>
          </w:p>
        </w:tc>
        <w:tc>
          <w:tcPr>
            <w:tcW w:w="960" w:type="dxa"/>
            <w:tcBorders>
              <w:top w:val="nil"/>
              <w:left w:val="nil"/>
              <w:bottom w:val="nil"/>
              <w:right w:val="nil"/>
            </w:tcBorders>
            <w:shd w:val="clear" w:color="auto" w:fill="auto"/>
            <w:noWrap/>
            <w:vAlign w:val="bottom"/>
            <w:hideMark/>
          </w:tcPr>
          <w:p w14:paraId="399B4A4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44</w:t>
            </w:r>
          </w:p>
        </w:tc>
      </w:tr>
      <w:tr w:rsidR="00CF159F" w:rsidRPr="00C15318" w14:paraId="5BDDB8C0" w14:textId="77777777" w:rsidTr="00AB3BE2">
        <w:trPr>
          <w:trHeight w:val="300"/>
        </w:trPr>
        <w:tc>
          <w:tcPr>
            <w:tcW w:w="694" w:type="dxa"/>
            <w:tcBorders>
              <w:top w:val="nil"/>
              <w:left w:val="nil"/>
              <w:bottom w:val="nil"/>
              <w:right w:val="nil"/>
            </w:tcBorders>
            <w:shd w:val="clear" w:color="auto" w:fill="auto"/>
            <w:noWrap/>
            <w:vAlign w:val="bottom"/>
            <w:hideMark/>
          </w:tcPr>
          <w:p w14:paraId="1D8D09D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3.9</w:t>
            </w:r>
          </w:p>
        </w:tc>
        <w:tc>
          <w:tcPr>
            <w:tcW w:w="6586" w:type="dxa"/>
            <w:tcBorders>
              <w:top w:val="nil"/>
              <w:left w:val="nil"/>
              <w:bottom w:val="nil"/>
              <w:right w:val="nil"/>
            </w:tcBorders>
            <w:shd w:val="clear" w:color="auto" w:fill="auto"/>
            <w:noWrap/>
            <w:vAlign w:val="bottom"/>
            <w:hideMark/>
          </w:tcPr>
          <w:p w14:paraId="46C07DB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Ethical Consideration</w:t>
            </w:r>
          </w:p>
        </w:tc>
        <w:tc>
          <w:tcPr>
            <w:tcW w:w="960" w:type="dxa"/>
            <w:tcBorders>
              <w:top w:val="nil"/>
              <w:left w:val="nil"/>
              <w:bottom w:val="nil"/>
              <w:right w:val="nil"/>
            </w:tcBorders>
            <w:shd w:val="clear" w:color="auto" w:fill="auto"/>
            <w:noWrap/>
            <w:vAlign w:val="bottom"/>
            <w:hideMark/>
          </w:tcPr>
          <w:p w14:paraId="61A396D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46</w:t>
            </w:r>
          </w:p>
        </w:tc>
      </w:tr>
      <w:tr w:rsidR="00CF159F" w:rsidRPr="00C15318" w14:paraId="77C20582" w14:textId="77777777" w:rsidTr="00AB3BE2">
        <w:trPr>
          <w:trHeight w:val="300"/>
        </w:trPr>
        <w:tc>
          <w:tcPr>
            <w:tcW w:w="694" w:type="dxa"/>
            <w:tcBorders>
              <w:top w:val="nil"/>
              <w:left w:val="nil"/>
              <w:bottom w:val="nil"/>
              <w:right w:val="nil"/>
            </w:tcBorders>
            <w:shd w:val="clear" w:color="auto" w:fill="auto"/>
            <w:noWrap/>
            <w:vAlign w:val="bottom"/>
            <w:hideMark/>
          </w:tcPr>
          <w:p w14:paraId="64057C0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3.1</w:t>
            </w:r>
          </w:p>
        </w:tc>
        <w:tc>
          <w:tcPr>
            <w:tcW w:w="6586" w:type="dxa"/>
            <w:tcBorders>
              <w:top w:val="nil"/>
              <w:left w:val="nil"/>
              <w:bottom w:val="nil"/>
              <w:right w:val="nil"/>
            </w:tcBorders>
            <w:shd w:val="clear" w:color="auto" w:fill="auto"/>
            <w:noWrap/>
            <w:vAlign w:val="bottom"/>
            <w:hideMark/>
          </w:tcPr>
          <w:p w14:paraId="417345E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Chapter Summary</w:t>
            </w:r>
          </w:p>
        </w:tc>
        <w:tc>
          <w:tcPr>
            <w:tcW w:w="960" w:type="dxa"/>
            <w:tcBorders>
              <w:top w:val="nil"/>
              <w:left w:val="nil"/>
              <w:bottom w:val="nil"/>
              <w:right w:val="nil"/>
            </w:tcBorders>
            <w:shd w:val="clear" w:color="auto" w:fill="auto"/>
            <w:noWrap/>
            <w:vAlign w:val="bottom"/>
            <w:hideMark/>
          </w:tcPr>
          <w:p w14:paraId="7E4D54F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46</w:t>
            </w:r>
          </w:p>
        </w:tc>
      </w:tr>
      <w:tr w:rsidR="00CF159F" w:rsidRPr="00C15318" w14:paraId="230AF8DE" w14:textId="77777777" w:rsidTr="00AB3BE2">
        <w:trPr>
          <w:trHeight w:val="300"/>
        </w:trPr>
        <w:tc>
          <w:tcPr>
            <w:tcW w:w="7280" w:type="dxa"/>
            <w:gridSpan w:val="2"/>
            <w:tcBorders>
              <w:top w:val="nil"/>
              <w:left w:val="nil"/>
              <w:bottom w:val="nil"/>
              <w:right w:val="nil"/>
            </w:tcBorders>
            <w:shd w:val="clear" w:color="auto" w:fill="auto"/>
            <w:noWrap/>
            <w:vAlign w:val="bottom"/>
            <w:hideMark/>
          </w:tcPr>
          <w:p w14:paraId="695A54D2" w14:textId="77777777" w:rsidR="00CF159F" w:rsidRPr="00C15318" w:rsidRDefault="00CF159F" w:rsidP="00AE0F20">
            <w:pPr>
              <w:spacing w:after="0" w:line="240" w:lineRule="auto"/>
              <w:rPr>
                <w:rFonts w:ascii="Aptos Narrow" w:eastAsia="Times New Roman" w:hAnsi="Aptos Narrow" w:cs="Times New Roman"/>
                <w:b/>
                <w:bCs/>
                <w:color w:val="000000"/>
                <w:lang w:eastAsia="en-GB"/>
              </w:rPr>
            </w:pPr>
            <w:r w:rsidRPr="00C15318">
              <w:rPr>
                <w:rFonts w:ascii="Aptos Narrow" w:eastAsia="Times New Roman" w:hAnsi="Aptos Narrow" w:cs="Times New Roman"/>
                <w:b/>
                <w:bCs/>
                <w:noProof/>
                <w:color w:val="000000"/>
                <w:sz w:val="28"/>
                <w:szCs w:val="28"/>
                <w:lang w:eastAsia="en-GB"/>
              </w:rPr>
              <w:t>Chapter 4: Dissertation Analysis &amp; Findings.</w:t>
            </w:r>
          </w:p>
        </w:tc>
        <w:tc>
          <w:tcPr>
            <w:tcW w:w="960" w:type="dxa"/>
            <w:tcBorders>
              <w:top w:val="nil"/>
              <w:left w:val="nil"/>
              <w:bottom w:val="nil"/>
              <w:right w:val="nil"/>
            </w:tcBorders>
            <w:shd w:val="clear" w:color="auto" w:fill="auto"/>
            <w:noWrap/>
            <w:vAlign w:val="bottom"/>
            <w:hideMark/>
          </w:tcPr>
          <w:p w14:paraId="4974DB39" w14:textId="77777777" w:rsidR="00CF159F" w:rsidRPr="00C15318" w:rsidRDefault="00CF159F" w:rsidP="00AB3BE2">
            <w:pPr>
              <w:spacing w:after="0" w:line="240" w:lineRule="auto"/>
              <w:jc w:val="center"/>
              <w:rPr>
                <w:rFonts w:ascii="Aptos Narrow" w:eastAsia="Times New Roman" w:hAnsi="Aptos Narrow" w:cs="Times New Roman"/>
                <w:b/>
                <w:bCs/>
                <w:color w:val="000000"/>
                <w:lang w:eastAsia="en-GB"/>
              </w:rPr>
            </w:pPr>
          </w:p>
        </w:tc>
      </w:tr>
      <w:tr w:rsidR="00CF159F" w:rsidRPr="00C15318" w14:paraId="525E3344" w14:textId="77777777" w:rsidTr="00AB3BE2">
        <w:trPr>
          <w:trHeight w:val="300"/>
        </w:trPr>
        <w:tc>
          <w:tcPr>
            <w:tcW w:w="694" w:type="dxa"/>
            <w:tcBorders>
              <w:top w:val="nil"/>
              <w:left w:val="nil"/>
              <w:bottom w:val="nil"/>
              <w:right w:val="nil"/>
            </w:tcBorders>
            <w:shd w:val="clear" w:color="auto" w:fill="auto"/>
            <w:noWrap/>
            <w:vAlign w:val="bottom"/>
            <w:hideMark/>
          </w:tcPr>
          <w:p w14:paraId="76FA2A5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4.1</w:t>
            </w:r>
          </w:p>
        </w:tc>
        <w:tc>
          <w:tcPr>
            <w:tcW w:w="6586" w:type="dxa"/>
            <w:tcBorders>
              <w:top w:val="nil"/>
              <w:left w:val="nil"/>
              <w:bottom w:val="nil"/>
              <w:right w:val="nil"/>
            </w:tcBorders>
            <w:shd w:val="clear" w:color="auto" w:fill="auto"/>
            <w:noWrap/>
            <w:vAlign w:val="bottom"/>
            <w:hideMark/>
          </w:tcPr>
          <w:p w14:paraId="7637800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Introduction</w:t>
            </w:r>
          </w:p>
        </w:tc>
        <w:tc>
          <w:tcPr>
            <w:tcW w:w="960" w:type="dxa"/>
            <w:tcBorders>
              <w:top w:val="nil"/>
              <w:left w:val="nil"/>
              <w:bottom w:val="nil"/>
              <w:right w:val="nil"/>
            </w:tcBorders>
            <w:shd w:val="clear" w:color="auto" w:fill="auto"/>
            <w:noWrap/>
            <w:vAlign w:val="bottom"/>
            <w:hideMark/>
          </w:tcPr>
          <w:p w14:paraId="4A379BB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47</w:t>
            </w:r>
          </w:p>
        </w:tc>
      </w:tr>
      <w:tr w:rsidR="00CF159F" w:rsidRPr="00C15318" w14:paraId="1D7CB97E" w14:textId="77777777" w:rsidTr="00AB3BE2">
        <w:trPr>
          <w:trHeight w:val="300"/>
        </w:trPr>
        <w:tc>
          <w:tcPr>
            <w:tcW w:w="694" w:type="dxa"/>
            <w:tcBorders>
              <w:top w:val="nil"/>
              <w:left w:val="nil"/>
              <w:bottom w:val="nil"/>
              <w:right w:val="nil"/>
            </w:tcBorders>
            <w:shd w:val="clear" w:color="auto" w:fill="auto"/>
            <w:noWrap/>
            <w:vAlign w:val="bottom"/>
            <w:hideMark/>
          </w:tcPr>
          <w:p w14:paraId="02E1ABD9"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4.2</w:t>
            </w:r>
          </w:p>
        </w:tc>
        <w:tc>
          <w:tcPr>
            <w:tcW w:w="6586" w:type="dxa"/>
            <w:tcBorders>
              <w:top w:val="nil"/>
              <w:left w:val="nil"/>
              <w:bottom w:val="nil"/>
              <w:right w:val="nil"/>
            </w:tcBorders>
            <w:shd w:val="clear" w:color="auto" w:fill="auto"/>
            <w:noWrap/>
            <w:vAlign w:val="bottom"/>
            <w:hideMark/>
          </w:tcPr>
          <w:p w14:paraId="268A45C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FDI Overview</w:t>
            </w:r>
          </w:p>
        </w:tc>
        <w:tc>
          <w:tcPr>
            <w:tcW w:w="960" w:type="dxa"/>
            <w:tcBorders>
              <w:top w:val="nil"/>
              <w:left w:val="nil"/>
              <w:bottom w:val="nil"/>
              <w:right w:val="nil"/>
            </w:tcBorders>
            <w:shd w:val="clear" w:color="auto" w:fill="auto"/>
            <w:noWrap/>
            <w:vAlign w:val="bottom"/>
            <w:hideMark/>
          </w:tcPr>
          <w:p w14:paraId="21A3A1A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47</w:t>
            </w:r>
          </w:p>
        </w:tc>
      </w:tr>
      <w:tr w:rsidR="00CF159F" w:rsidRPr="00C15318" w14:paraId="183B611A" w14:textId="77777777" w:rsidTr="00AB3BE2">
        <w:trPr>
          <w:trHeight w:val="300"/>
        </w:trPr>
        <w:tc>
          <w:tcPr>
            <w:tcW w:w="694" w:type="dxa"/>
            <w:tcBorders>
              <w:top w:val="nil"/>
              <w:left w:val="nil"/>
              <w:bottom w:val="nil"/>
              <w:right w:val="nil"/>
            </w:tcBorders>
            <w:shd w:val="clear" w:color="auto" w:fill="auto"/>
            <w:noWrap/>
            <w:vAlign w:val="bottom"/>
            <w:hideMark/>
          </w:tcPr>
          <w:p w14:paraId="54E4D0F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4.3</w:t>
            </w:r>
          </w:p>
        </w:tc>
        <w:tc>
          <w:tcPr>
            <w:tcW w:w="6586" w:type="dxa"/>
            <w:tcBorders>
              <w:top w:val="nil"/>
              <w:left w:val="nil"/>
              <w:bottom w:val="nil"/>
              <w:right w:val="nil"/>
            </w:tcBorders>
            <w:shd w:val="clear" w:color="auto" w:fill="auto"/>
            <w:noWrap/>
            <w:vAlign w:val="bottom"/>
            <w:hideMark/>
          </w:tcPr>
          <w:p w14:paraId="69327F4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Detail Analysis of Objectives</w:t>
            </w:r>
          </w:p>
        </w:tc>
        <w:tc>
          <w:tcPr>
            <w:tcW w:w="960" w:type="dxa"/>
            <w:tcBorders>
              <w:top w:val="nil"/>
              <w:left w:val="nil"/>
              <w:bottom w:val="nil"/>
              <w:right w:val="nil"/>
            </w:tcBorders>
            <w:shd w:val="clear" w:color="auto" w:fill="auto"/>
            <w:noWrap/>
            <w:vAlign w:val="bottom"/>
            <w:hideMark/>
          </w:tcPr>
          <w:p w14:paraId="5149D34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48</w:t>
            </w:r>
          </w:p>
        </w:tc>
      </w:tr>
      <w:tr w:rsidR="00CF159F" w:rsidRPr="00C15318" w14:paraId="2EA14FBD" w14:textId="77777777" w:rsidTr="00AB3BE2">
        <w:trPr>
          <w:trHeight w:val="300"/>
        </w:trPr>
        <w:tc>
          <w:tcPr>
            <w:tcW w:w="694" w:type="dxa"/>
            <w:tcBorders>
              <w:top w:val="nil"/>
              <w:left w:val="nil"/>
              <w:bottom w:val="nil"/>
              <w:right w:val="nil"/>
            </w:tcBorders>
            <w:shd w:val="clear" w:color="auto" w:fill="auto"/>
            <w:noWrap/>
            <w:vAlign w:val="bottom"/>
            <w:hideMark/>
          </w:tcPr>
          <w:p w14:paraId="3908E42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4.4</w:t>
            </w:r>
          </w:p>
        </w:tc>
        <w:tc>
          <w:tcPr>
            <w:tcW w:w="6586" w:type="dxa"/>
            <w:tcBorders>
              <w:top w:val="nil"/>
              <w:left w:val="nil"/>
              <w:bottom w:val="nil"/>
              <w:right w:val="nil"/>
            </w:tcBorders>
            <w:shd w:val="clear" w:color="auto" w:fill="auto"/>
            <w:noWrap/>
            <w:vAlign w:val="bottom"/>
            <w:hideMark/>
          </w:tcPr>
          <w:p w14:paraId="2525B7D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Statistical Calculations and Analysis</w:t>
            </w:r>
          </w:p>
        </w:tc>
        <w:tc>
          <w:tcPr>
            <w:tcW w:w="960" w:type="dxa"/>
            <w:tcBorders>
              <w:top w:val="nil"/>
              <w:left w:val="nil"/>
              <w:bottom w:val="nil"/>
              <w:right w:val="nil"/>
            </w:tcBorders>
            <w:shd w:val="clear" w:color="auto" w:fill="auto"/>
            <w:noWrap/>
            <w:vAlign w:val="bottom"/>
            <w:hideMark/>
          </w:tcPr>
          <w:p w14:paraId="330A566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48</w:t>
            </w:r>
          </w:p>
        </w:tc>
      </w:tr>
      <w:tr w:rsidR="00CF159F" w:rsidRPr="00C15318" w14:paraId="394FE528" w14:textId="77777777" w:rsidTr="00AB3BE2">
        <w:trPr>
          <w:trHeight w:val="300"/>
        </w:trPr>
        <w:tc>
          <w:tcPr>
            <w:tcW w:w="694" w:type="dxa"/>
            <w:tcBorders>
              <w:top w:val="nil"/>
              <w:left w:val="nil"/>
              <w:bottom w:val="nil"/>
              <w:right w:val="nil"/>
            </w:tcBorders>
            <w:shd w:val="clear" w:color="auto" w:fill="auto"/>
            <w:noWrap/>
            <w:vAlign w:val="bottom"/>
            <w:hideMark/>
          </w:tcPr>
          <w:p w14:paraId="7D7CC07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4.4.1</w:t>
            </w:r>
          </w:p>
        </w:tc>
        <w:tc>
          <w:tcPr>
            <w:tcW w:w="6586" w:type="dxa"/>
            <w:tcBorders>
              <w:top w:val="nil"/>
              <w:left w:val="nil"/>
              <w:bottom w:val="nil"/>
              <w:right w:val="nil"/>
            </w:tcBorders>
            <w:shd w:val="clear" w:color="auto" w:fill="auto"/>
            <w:noWrap/>
            <w:vAlign w:val="bottom"/>
            <w:hideMark/>
          </w:tcPr>
          <w:p w14:paraId="35F0F8B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Regression Analysis</w:t>
            </w:r>
          </w:p>
        </w:tc>
        <w:tc>
          <w:tcPr>
            <w:tcW w:w="960" w:type="dxa"/>
            <w:tcBorders>
              <w:top w:val="nil"/>
              <w:left w:val="nil"/>
              <w:bottom w:val="nil"/>
              <w:right w:val="nil"/>
            </w:tcBorders>
            <w:shd w:val="clear" w:color="auto" w:fill="auto"/>
            <w:noWrap/>
            <w:vAlign w:val="bottom"/>
            <w:hideMark/>
          </w:tcPr>
          <w:p w14:paraId="788249A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49</w:t>
            </w:r>
          </w:p>
        </w:tc>
      </w:tr>
      <w:tr w:rsidR="00CF159F" w:rsidRPr="00C15318" w14:paraId="1165FD26" w14:textId="77777777" w:rsidTr="00AB3BE2">
        <w:trPr>
          <w:trHeight w:val="300"/>
        </w:trPr>
        <w:tc>
          <w:tcPr>
            <w:tcW w:w="694" w:type="dxa"/>
            <w:tcBorders>
              <w:top w:val="nil"/>
              <w:left w:val="nil"/>
              <w:bottom w:val="nil"/>
              <w:right w:val="nil"/>
            </w:tcBorders>
            <w:shd w:val="clear" w:color="auto" w:fill="auto"/>
            <w:noWrap/>
            <w:vAlign w:val="bottom"/>
            <w:hideMark/>
          </w:tcPr>
          <w:p w14:paraId="4916FB9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4.4.4</w:t>
            </w:r>
          </w:p>
        </w:tc>
        <w:tc>
          <w:tcPr>
            <w:tcW w:w="6586" w:type="dxa"/>
            <w:tcBorders>
              <w:top w:val="nil"/>
              <w:left w:val="nil"/>
              <w:bottom w:val="nil"/>
              <w:right w:val="nil"/>
            </w:tcBorders>
            <w:shd w:val="clear" w:color="auto" w:fill="auto"/>
            <w:noWrap/>
            <w:vAlign w:val="bottom"/>
            <w:hideMark/>
          </w:tcPr>
          <w:p w14:paraId="11BE6AF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Forecast -FDI, GDP &amp; Unemployment</w:t>
            </w:r>
          </w:p>
        </w:tc>
        <w:tc>
          <w:tcPr>
            <w:tcW w:w="960" w:type="dxa"/>
            <w:tcBorders>
              <w:top w:val="nil"/>
              <w:left w:val="nil"/>
              <w:bottom w:val="nil"/>
              <w:right w:val="nil"/>
            </w:tcBorders>
            <w:shd w:val="clear" w:color="auto" w:fill="auto"/>
            <w:noWrap/>
            <w:vAlign w:val="bottom"/>
            <w:hideMark/>
          </w:tcPr>
          <w:p w14:paraId="511AEF9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53</w:t>
            </w:r>
          </w:p>
        </w:tc>
      </w:tr>
      <w:tr w:rsidR="00CF159F" w:rsidRPr="00C15318" w14:paraId="67F3F958" w14:textId="77777777" w:rsidTr="00AB3BE2">
        <w:trPr>
          <w:trHeight w:val="300"/>
        </w:trPr>
        <w:tc>
          <w:tcPr>
            <w:tcW w:w="694" w:type="dxa"/>
            <w:tcBorders>
              <w:top w:val="nil"/>
              <w:left w:val="nil"/>
              <w:bottom w:val="nil"/>
              <w:right w:val="nil"/>
            </w:tcBorders>
            <w:shd w:val="clear" w:color="auto" w:fill="auto"/>
            <w:noWrap/>
            <w:vAlign w:val="bottom"/>
            <w:hideMark/>
          </w:tcPr>
          <w:p w14:paraId="10AD625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4.4.5</w:t>
            </w:r>
          </w:p>
        </w:tc>
        <w:tc>
          <w:tcPr>
            <w:tcW w:w="6586" w:type="dxa"/>
            <w:tcBorders>
              <w:top w:val="nil"/>
              <w:left w:val="nil"/>
              <w:bottom w:val="nil"/>
              <w:right w:val="nil"/>
            </w:tcBorders>
            <w:shd w:val="clear" w:color="auto" w:fill="auto"/>
            <w:noWrap/>
            <w:vAlign w:val="bottom"/>
            <w:hideMark/>
          </w:tcPr>
          <w:p w14:paraId="66A34F2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Results and Analysis of Statistical Data.</w:t>
            </w:r>
          </w:p>
        </w:tc>
        <w:tc>
          <w:tcPr>
            <w:tcW w:w="960" w:type="dxa"/>
            <w:tcBorders>
              <w:top w:val="nil"/>
              <w:left w:val="nil"/>
              <w:bottom w:val="nil"/>
              <w:right w:val="nil"/>
            </w:tcBorders>
            <w:shd w:val="clear" w:color="auto" w:fill="auto"/>
            <w:noWrap/>
            <w:vAlign w:val="bottom"/>
            <w:hideMark/>
          </w:tcPr>
          <w:p w14:paraId="2221061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54</w:t>
            </w:r>
          </w:p>
        </w:tc>
      </w:tr>
      <w:tr w:rsidR="00CF159F" w:rsidRPr="00C15318" w14:paraId="73B8D8B3" w14:textId="77777777" w:rsidTr="00AB3BE2">
        <w:trPr>
          <w:trHeight w:val="300"/>
        </w:trPr>
        <w:tc>
          <w:tcPr>
            <w:tcW w:w="694" w:type="dxa"/>
            <w:tcBorders>
              <w:top w:val="nil"/>
              <w:left w:val="nil"/>
              <w:bottom w:val="nil"/>
              <w:right w:val="nil"/>
            </w:tcBorders>
            <w:shd w:val="clear" w:color="auto" w:fill="auto"/>
            <w:noWrap/>
            <w:vAlign w:val="bottom"/>
            <w:hideMark/>
          </w:tcPr>
          <w:p w14:paraId="15B1A65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4.5</w:t>
            </w:r>
          </w:p>
        </w:tc>
        <w:tc>
          <w:tcPr>
            <w:tcW w:w="6586" w:type="dxa"/>
            <w:tcBorders>
              <w:top w:val="nil"/>
              <w:left w:val="nil"/>
              <w:bottom w:val="nil"/>
              <w:right w:val="nil"/>
            </w:tcBorders>
            <w:shd w:val="clear" w:color="auto" w:fill="auto"/>
            <w:noWrap/>
            <w:vAlign w:val="bottom"/>
            <w:hideMark/>
          </w:tcPr>
          <w:p w14:paraId="5B48589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Other Source Data Analysis</w:t>
            </w:r>
          </w:p>
        </w:tc>
        <w:tc>
          <w:tcPr>
            <w:tcW w:w="960" w:type="dxa"/>
            <w:tcBorders>
              <w:top w:val="nil"/>
              <w:left w:val="nil"/>
              <w:bottom w:val="nil"/>
              <w:right w:val="nil"/>
            </w:tcBorders>
            <w:shd w:val="clear" w:color="auto" w:fill="auto"/>
            <w:noWrap/>
            <w:vAlign w:val="bottom"/>
            <w:hideMark/>
          </w:tcPr>
          <w:p w14:paraId="017B56A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54</w:t>
            </w:r>
          </w:p>
        </w:tc>
      </w:tr>
      <w:tr w:rsidR="00CF159F" w:rsidRPr="00C15318" w14:paraId="0B1839D7" w14:textId="77777777" w:rsidTr="00AB3BE2">
        <w:trPr>
          <w:trHeight w:val="300"/>
        </w:trPr>
        <w:tc>
          <w:tcPr>
            <w:tcW w:w="694" w:type="dxa"/>
            <w:tcBorders>
              <w:top w:val="nil"/>
              <w:left w:val="nil"/>
              <w:bottom w:val="nil"/>
              <w:right w:val="nil"/>
            </w:tcBorders>
            <w:shd w:val="clear" w:color="auto" w:fill="auto"/>
            <w:noWrap/>
            <w:vAlign w:val="bottom"/>
            <w:hideMark/>
          </w:tcPr>
          <w:p w14:paraId="155E518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4.6</w:t>
            </w:r>
          </w:p>
        </w:tc>
        <w:tc>
          <w:tcPr>
            <w:tcW w:w="6586" w:type="dxa"/>
            <w:tcBorders>
              <w:top w:val="nil"/>
              <w:left w:val="nil"/>
              <w:bottom w:val="nil"/>
              <w:right w:val="nil"/>
            </w:tcBorders>
            <w:shd w:val="clear" w:color="auto" w:fill="auto"/>
            <w:noWrap/>
            <w:vAlign w:val="bottom"/>
            <w:hideMark/>
          </w:tcPr>
          <w:p w14:paraId="5E6A68D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Factors That Can Influence the FDI</w:t>
            </w:r>
          </w:p>
        </w:tc>
        <w:tc>
          <w:tcPr>
            <w:tcW w:w="960" w:type="dxa"/>
            <w:tcBorders>
              <w:top w:val="nil"/>
              <w:left w:val="nil"/>
              <w:bottom w:val="nil"/>
              <w:right w:val="nil"/>
            </w:tcBorders>
            <w:shd w:val="clear" w:color="auto" w:fill="auto"/>
            <w:noWrap/>
            <w:vAlign w:val="bottom"/>
            <w:hideMark/>
          </w:tcPr>
          <w:p w14:paraId="334577F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54</w:t>
            </w:r>
          </w:p>
        </w:tc>
      </w:tr>
      <w:tr w:rsidR="00CF159F" w:rsidRPr="00C15318" w14:paraId="6B18A3BA" w14:textId="77777777" w:rsidTr="00AB3BE2">
        <w:trPr>
          <w:trHeight w:val="300"/>
        </w:trPr>
        <w:tc>
          <w:tcPr>
            <w:tcW w:w="694" w:type="dxa"/>
            <w:tcBorders>
              <w:top w:val="nil"/>
              <w:left w:val="nil"/>
              <w:bottom w:val="nil"/>
              <w:right w:val="nil"/>
            </w:tcBorders>
            <w:shd w:val="clear" w:color="auto" w:fill="auto"/>
            <w:noWrap/>
            <w:vAlign w:val="bottom"/>
            <w:hideMark/>
          </w:tcPr>
          <w:p w14:paraId="3B6FB14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4.6.1</w:t>
            </w:r>
          </w:p>
        </w:tc>
        <w:tc>
          <w:tcPr>
            <w:tcW w:w="6586" w:type="dxa"/>
            <w:tcBorders>
              <w:top w:val="nil"/>
              <w:left w:val="nil"/>
              <w:bottom w:val="nil"/>
              <w:right w:val="nil"/>
            </w:tcBorders>
            <w:shd w:val="clear" w:color="auto" w:fill="auto"/>
            <w:noWrap/>
            <w:vAlign w:val="bottom"/>
            <w:hideMark/>
          </w:tcPr>
          <w:p w14:paraId="46F148F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 xml:space="preserve">The Economic Condition </w:t>
            </w:r>
            <w:proofErr w:type="gramStart"/>
            <w:r w:rsidRPr="00C15318">
              <w:rPr>
                <w:rFonts w:ascii="Aptos Narrow" w:eastAsia="Times New Roman" w:hAnsi="Aptos Narrow" w:cs="Times New Roman"/>
                <w:color w:val="000000"/>
                <w:lang w:eastAsia="en-GB"/>
              </w:rPr>
              <w:t>Of</w:t>
            </w:r>
            <w:proofErr w:type="gramEnd"/>
            <w:r w:rsidRPr="00C15318">
              <w:rPr>
                <w:rFonts w:ascii="Aptos Narrow" w:eastAsia="Times New Roman" w:hAnsi="Aptos Narrow" w:cs="Times New Roman"/>
                <w:color w:val="000000"/>
                <w:lang w:eastAsia="en-GB"/>
              </w:rPr>
              <w:t xml:space="preserve"> The UK.</w:t>
            </w:r>
          </w:p>
        </w:tc>
        <w:tc>
          <w:tcPr>
            <w:tcW w:w="960" w:type="dxa"/>
            <w:tcBorders>
              <w:top w:val="nil"/>
              <w:left w:val="nil"/>
              <w:bottom w:val="nil"/>
              <w:right w:val="nil"/>
            </w:tcBorders>
            <w:shd w:val="clear" w:color="auto" w:fill="auto"/>
            <w:noWrap/>
            <w:vAlign w:val="bottom"/>
            <w:hideMark/>
          </w:tcPr>
          <w:p w14:paraId="3188E07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54</w:t>
            </w:r>
          </w:p>
        </w:tc>
      </w:tr>
      <w:tr w:rsidR="00CF159F" w:rsidRPr="00C15318" w14:paraId="135ACA44" w14:textId="77777777" w:rsidTr="00AB3BE2">
        <w:trPr>
          <w:trHeight w:val="300"/>
        </w:trPr>
        <w:tc>
          <w:tcPr>
            <w:tcW w:w="694" w:type="dxa"/>
            <w:tcBorders>
              <w:top w:val="nil"/>
              <w:left w:val="nil"/>
              <w:bottom w:val="nil"/>
              <w:right w:val="nil"/>
            </w:tcBorders>
            <w:shd w:val="clear" w:color="auto" w:fill="auto"/>
            <w:noWrap/>
            <w:vAlign w:val="bottom"/>
            <w:hideMark/>
          </w:tcPr>
          <w:p w14:paraId="2B4DF6A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4.6.2</w:t>
            </w:r>
          </w:p>
        </w:tc>
        <w:tc>
          <w:tcPr>
            <w:tcW w:w="6586" w:type="dxa"/>
            <w:tcBorders>
              <w:top w:val="nil"/>
              <w:left w:val="nil"/>
              <w:bottom w:val="nil"/>
              <w:right w:val="nil"/>
            </w:tcBorders>
            <w:shd w:val="clear" w:color="auto" w:fill="auto"/>
            <w:noWrap/>
            <w:vAlign w:val="bottom"/>
            <w:hideMark/>
          </w:tcPr>
          <w:p w14:paraId="68FB533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Political Stability</w:t>
            </w:r>
          </w:p>
        </w:tc>
        <w:tc>
          <w:tcPr>
            <w:tcW w:w="960" w:type="dxa"/>
            <w:tcBorders>
              <w:top w:val="nil"/>
              <w:left w:val="nil"/>
              <w:bottom w:val="nil"/>
              <w:right w:val="nil"/>
            </w:tcBorders>
            <w:shd w:val="clear" w:color="auto" w:fill="auto"/>
            <w:noWrap/>
            <w:vAlign w:val="bottom"/>
            <w:hideMark/>
          </w:tcPr>
          <w:p w14:paraId="0CB4E8F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56</w:t>
            </w:r>
          </w:p>
        </w:tc>
      </w:tr>
      <w:tr w:rsidR="00CF159F" w:rsidRPr="00C15318" w14:paraId="4643DDF2" w14:textId="77777777" w:rsidTr="00AB3BE2">
        <w:trPr>
          <w:trHeight w:val="300"/>
        </w:trPr>
        <w:tc>
          <w:tcPr>
            <w:tcW w:w="694" w:type="dxa"/>
            <w:tcBorders>
              <w:top w:val="nil"/>
              <w:left w:val="nil"/>
              <w:bottom w:val="nil"/>
              <w:right w:val="nil"/>
            </w:tcBorders>
            <w:shd w:val="clear" w:color="auto" w:fill="auto"/>
            <w:noWrap/>
            <w:vAlign w:val="bottom"/>
            <w:hideMark/>
          </w:tcPr>
          <w:p w14:paraId="1D0E477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4.6.3</w:t>
            </w:r>
          </w:p>
        </w:tc>
        <w:tc>
          <w:tcPr>
            <w:tcW w:w="6586" w:type="dxa"/>
            <w:tcBorders>
              <w:top w:val="nil"/>
              <w:left w:val="nil"/>
              <w:bottom w:val="nil"/>
              <w:right w:val="nil"/>
            </w:tcBorders>
            <w:shd w:val="clear" w:color="auto" w:fill="auto"/>
            <w:noWrap/>
            <w:vAlign w:val="bottom"/>
            <w:hideMark/>
          </w:tcPr>
          <w:p w14:paraId="47D8022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Labour Market</w:t>
            </w:r>
          </w:p>
        </w:tc>
        <w:tc>
          <w:tcPr>
            <w:tcW w:w="960" w:type="dxa"/>
            <w:tcBorders>
              <w:top w:val="nil"/>
              <w:left w:val="nil"/>
              <w:bottom w:val="nil"/>
              <w:right w:val="nil"/>
            </w:tcBorders>
            <w:shd w:val="clear" w:color="auto" w:fill="auto"/>
            <w:noWrap/>
            <w:vAlign w:val="bottom"/>
            <w:hideMark/>
          </w:tcPr>
          <w:p w14:paraId="44D8A52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58</w:t>
            </w:r>
          </w:p>
        </w:tc>
      </w:tr>
      <w:tr w:rsidR="00CF159F" w:rsidRPr="00C15318" w14:paraId="14CE9D06" w14:textId="77777777" w:rsidTr="00AB3BE2">
        <w:trPr>
          <w:trHeight w:val="300"/>
        </w:trPr>
        <w:tc>
          <w:tcPr>
            <w:tcW w:w="694" w:type="dxa"/>
            <w:tcBorders>
              <w:top w:val="nil"/>
              <w:left w:val="nil"/>
              <w:bottom w:val="nil"/>
              <w:right w:val="nil"/>
            </w:tcBorders>
            <w:shd w:val="clear" w:color="auto" w:fill="auto"/>
            <w:noWrap/>
            <w:vAlign w:val="bottom"/>
            <w:hideMark/>
          </w:tcPr>
          <w:p w14:paraId="34A6698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4.6.4</w:t>
            </w:r>
          </w:p>
        </w:tc>
        <w:tc>
          <w:tcPr>
            <w:tcW w:w="6586" w:type="dxa"/>
            <w:tcBorders>
              <w:top w:val="nil"/>
              <w:left w:val="nil"/>
              <w:bottom w:val="nil"/>
              <w:right w:val="nil"/>
            </w:tcBorders>
            <w:shd w:val="clear" w:color="auto" w:fill="auto"/>
            <w:noWrap/>
            <w:vAlign w:val="bottom"/>
            <w:hideMark/>
          </w:tcPr>
          <w:p w14:paraId="6F2B26F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Technology and Infrastructure</w:t>
            </w:r>
          </w:p>
        </w:tc>
        <w:tc>
          <w:tcPr>
            <w:tcW w:w="960" w:type="dxa"/>
            <w:tcBorders>
              <w:top w:val="nil"/>
              <w:left w:val="nil"/>
              <w:bottom w:val="nil"/>
              <w:right w:val="nil"/>
            </w:tcBorders>
            <w:shd w:val="clear" w:color="auto" w:fill="auto"/>
            <w:noWrap/>
            <w:vAlign w:val="bottom"/>
            <w:hideMark/>
          </w:tcPr>
          <w:p w14:paraId="6584055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60</w:t>
            </w:r>
          </w:p>
        </w:tc>
      </w:tr>
      <w:tr w:rsidR="00CF159F" w:rsidRPr="00C15318" w14:paraId="3551D722" w14:textId="77777777" w:rsidTr="00AB3BE2">
        <w:trPr>
          <w:trHeight w:val="300"/>
        </w:trPr>
        <w:tc>
          <w:tcPr>
            <w:tcW w:w="694" w:type="dxa"/>
            <w:tcBorders>
              <w:top w:val="nil"/>
              <w:left w:val="nil"/>
              <w:bottom w:val="nil"/>
              <w:right w:val="nil"/>
            </w:tcBorders>
            <w:shd w:val="clear" w:color="auto" w:fill="auto"/>
            <w:noWrap/>
            <w:vAlign w:val="bottom"/>
            <w:hideMark/>
          </w:tcPr>
          <w:p w14:paraId="556AB9A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4.6.5</w:t>
            </w:r>
          </w:p>
        </w:tc>
        <w:tc>
          <w:tcPr>
            <w:tcW w:w="6586" w:type="dxa"/>
            <w:tcBorders>
              <w:top w:val="nil"/>
              <w:left w:val="nil"/>
              <w:bottom w:val="nil"/>
              <w:right w:val="nil"/>
            </w:tcBorders>
            <w:shd w:val="clear" w:color="auto" w:fill="auto"/>
            <w:noWrap/>
            <w:vAlign w:val="bottom"/>
            <w:hideMark/>
          </w:tcPr>
          <w:p w14:paraId="7A6150F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Analysis of our First Objective: Factors for FDI</w:t>
            </w:r>
          </w:p>
        </w:tc>
        <w:tc>
          <w:tcPr>
            <w:tcW w:w="960" w:type="dxa"/>
            <w:tcBorders>
              <w:top w:val="nil"/>
              <w:left w:val="nil"/>
              <w:bottom w:val="nil"/>
              <w:right w:val="nil"/>
            </w:tcBorders>
            <w:shd w:val="clear" w:color="auto" w:fill="auto"/>
            <w:noWrap/>
            <w:vAlign w:val="bottom"/>
            <w:hideMark/>
          </w:tcPr>
          <w:p w14:paraId="026D473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63</w:t>
            </w:r>
          </w:p>
        </w:tc>
      </w:tr>
      <w:tr w:rsidR="00CF159F" w:rsidRPr="00C15318" w14:paraId="421EB903" w14:textId="77777777" w:rsidTr="00AB3BE2">
        <w:trPr>
          <w:trHeight w:val="300"/>
        </w:trPr>
        <w:tc>
          <w:tcPr>
            <w:tcW w:w="694" w:type="dxa"/>
            <w:tcBorders>
              <w:top w:val="nil"/>
              <w:left w:val="nil"/>
              <w:bottom w:val="nil"/>
              <w:right w:val="nil"/>
            </w:tcBorders>
            <w:shd w:val="clear" w:color="auto" w:fill="auto"/>
            <w:noWrap/>
            <w:vAlign w:val="bottom"/>
            <w:hideMark/>
          </w:tcPr>
          <w:p w14:paraId="1FB6F82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4.7</w:t>
            </w:r>
          </w:p>
        </w:tc>
        <w:tc>
          <w:tcPr>
            <w:tcW w:w="6586" w:type="dxa"/>
            <w:tcBorders>
              <w:top w:val="nil"/>
              <w:left w:val="nil"/>
              <w:bottom w:val="nil"/>
              <w:right w:val="nil"/>
            </w:tcBorders>
            <w:shd w:val="clear" w:color="auto" w:fill="auto"/>
            <w:noWrap/>
            <w:vAlign w:val="bottom"/>
            <w:hideMark/>
          </w:tcPr>
          <w:p w14:paraId="495A3DD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The impact of Brexit on FDI in the UK.</w:t>
            </w:r>
          </w:p>
        </w:tc>
        <w:tc>
          <w:tcPr>
            <w:tcW w:w="960" w:type="dxa"/>
            <w:tcBorders>
              <w:top w:val="nil"/>
              <w:left w:val="nil"/>
              <w:bottom w:val="nil"/>
              <w:right w:val="nil"/>
            </w:tcBorders>
            <w:shd w:val="clear" w:color="auto" w:fill="auto"/>
            <w:noWrap/>
            <w:vAlign w:val="bottom"/>
            <w:hideMark/>
          </w:tcPr>
          <w:p w14:paraId="2602525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63</w:t>
            </w:r>
          </w:p>
        </w:tc>
      </w:tr>
      <w:tr w:rsidR="00CF159F" w:rsidRPr="00C15318" w14:paraId="18340174" w14:textId="77777777" w:rsidTr="00AB3BE2">
        <w:trPr>
          <w:trHeight w:val="300"/>
        </w:trPr>
        <w:tc>
          <w:tcPr>
            <w:tcW w:w="694" w:type="dxa"/>
            <w:tcBorders>
              <w:top w:val="nil"/>
              <w:left w:val="nil"/>
              <w:bottom w:val="nil"/>
              <w:right w:val="nil"/>
            </w:tcBorders>
            <w:shd w:val="clear" w:color="auto" w:fill="auto"/>
            <w:noWrap/>
            <w:vAlign w:val="bottom"/>
            <w:hideMark/>
          </w:tcPr>
          <w:p w14:paraId="2FAC924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4.7.2</w:t>
            </w:r>
          </w:p>
        </w:tc>
        <w:tc>
          <w:tcPr>
            <w:tcW w:w="6586" w:type="dxa"/>
            <w:tcBorders>
              <w:top w:val="nil"/>
              <w:left w:val="nil"/>
              <w:bottom w:val="nil"/>
              <w:right w:val="nil"/>
            </w:tcBorders>
            <w:shd w:val="clear" w:color="auto" w:fill="auto"/>
            <w:noWrap/>
            <w:vAlign w:val="bottom"/>
            <w:hideMark/>
          </w:tcPr>
          <w:p w14:paraId="0A73FCF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 xml:space="preserve">Analysis Of </w:t>
            </w:r>
            <w:proofErr w:type="gramStart"/>
            <w:r w:rsidRPr="00C15318">
              <w:rPr>
                <w:rFonts w:ascii="Aptos Narrow" w:eastAsia="Times New Roman" w:hAnsi="Aptos Narrow" w:cs="Times New Roman"/>
                <w:color w:val="000000"/>
                <w:lang w:eastAsia="en-GB"/>
              </w:rPr>
              <w:t>The</w:t>
            </w:r>
            <w:proofErr w:type="gramEnd"/>
            <w:r w:rsidRPr="00C15318">
              <w:rPr>
                <w:rFonts w:ascii="Aptos Narrow" w:eastAsia="Times New Roman" w:hAnsi="Aptos Narrow" w:cs="Times New Roman"/>
                <w:color w:val="000000"/>
                <w:lang w:eastAsia="en-GB"/>
              </w:rPr>
              <w:t xml:space="preserve"> Second Objective: Brexit Impact.</w:t>
            </w:r>
          </w:p>
        </w:tc>
        <w:tc>
          <w:tcPr>
            <w:tcW w:w="960" w:type="dxa"/>
            <w:tcBorders>
              <w:top w:val="nil"/>
              <w:left w:val="nil"/>
              <w:bottom w:val="nil"/>
              <w:right w:val="nil"/>
            </w:tcBorders>
            <w:shd w:val="clear" w:color="auto" w:fill="auto"/>
            <w:noWrap/>
            <w:vAlign w:val="bottom"/>
            <w:hideMark/>
          </w:tcPr>
          <w:p w14:paraId="1EBB72E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66</w:t>
            </w:r>
          </w:p>
        </w:tc>
      </w:tr>
      <w:tr w:rsidR="00CF159F" w:rsidRPr="00C15318" w14:paraId="7F88892A" w14:textId="77777777" w:rsidTr="00AB3BE2">
        <w:trPr>
          <w:trHeight w:val="300"/>
        </w:trPr>
        <w:tc>
          <w:tcPr>
            <w:tcW w:w="694" w:type="dxa"/>
            <w:tcBorders>
              <w:top w:val="nil"/>
              <w:left w:val="nil"/>
              <w:bottom w:val="nil"/>
              <w:right w:val="nil"/>
            </w:tcBorders>
            <w:shd w:val="clear" w:color="auto" w:fill="auto"/>
            <w:noWrap/>
            <w:vAlign w:val="bottom"/>
            <w:hideMark/>
          </w:tcPr>
          <w:p w14:paraId="1E288A7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4.8</w:t>
            </w:r>
          </w:p>
        </w:tc>
        <w:tc>
          <w:tcPr>
            <w:tcW w:w="6586" w:type="dxa"/>
            <w:tcBorders>
              <w:top w:val="nil"/>
              <w:left w:val="nil"/>
              <w:bottom w:val="nil"/>
              <w:right w:val="nil"/>
            </w:tcBorders>
            <w:shd w:val="clear" w:color="auto" w:fill="auto"/>
            <w:noWrap/>
            <w:vAlign w:val="bottom"/>
            <w:hideMark/>
          </w:tcPr>
          <w:p w14:paraId="1453FFF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Impact of FDI on Economic Growth</w:t>
            </w:r>
          </w:p>
        </w:tc>
        <w:tc>
          <w:tcPr>
            <w:tcW w:w="960" w:type="dxa"/>
            <w:tcBorders>
              <w:top w:val="nil"/>
              <w:left w:val="nil"/>
              <w:bottom w:val="nil"/>
              <w:right w:val="nil"/>
            </w:tcBorders>
            <w:shd w:val="clear" w:color="auto" w:fill="auto"/>
            <w:noWrap/>
            <w:vAlign w:val="bottom"/>
            <w:hideMark/>
          </w:tcPr>
          <w:p w14:paraId="758EBA2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67</w:t>
            </w:r>
          </w:p>
        </w:tc>
      </w:tr>
      <w:tr w:rsidR="00CF159F" w:rsidRPr="00C15318" w14:paraId="1DF82E5D" w14:textId="77777777" w:rsidTr="00AB3BE2">
        <w:trPr>
          <w:trHeight w:val="300"/>
        </w:trPr>
        <w:tc>
          <w:tcPr>
            <w:tcW w:w="694" w:type="dxa"/>
            <w:tcBorders>
              <w:top w:val="nil"/>
              <w:left w:val="nil"/>
              <w:bottom w:val="nil"/>
              <w:right w:val="nil"/>
            </w:tcBorders>
            <w:shd w:val="clear" w:color="auto" w:fill="auto"/>
            <w:noWrap/>
            <w:vAlign w:val="bottom"/>
            <w:hideMark/>
          </w:tcPr>
          <w:p w14:paraId="3402FB2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4.8.1</w:t>
            </w:r>
          </w:p>
        </w:tc>
        <w:tc>
          <w:tcPr>
            <w:tcW w:w="6586" w:type="dxa"/>
            <w:tcBorders>
              <w:top w:val="nil"/>
              <w:left w:val="nil"/>
              <w:bottom w:val="nil"/>
              <w:right w:val="nil"/>
            </w:tcBorders>
            <w:shd w:val="clear" w:color="auto" w:fill="auto"/>
            <w:noWrap/>
            <w:vAlign w:val="bottom"/>
            <w:hideMark/>
          </w:tcPr>
          <w:p w14:paraId="716AF55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GDP Growth</w:t>
            </w:r>
          </w:p>
        </w:tc>
        <w:tc>
          <w:tcPr>
            <w:tcW w:w="960" w:type="dxa"/>
            <w:tcBorders>
              <w:top w:val="nil"/>
              <w:left w:val="nil"/>
              <w:bottom w:val="nil"/>
              <w:right w:val="nil"/>
            </w:tcBorders>
            <w:shd w:val="clear" w:color="auto" w:fill="auto"/>
            <w:noWrap/>
            <w:vAlign w:val="bottom"/>
            <w:hideMark/>
          </w:tcPr>
          <w:p w14:paraId="2F52FE7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68</w:t>
            </w:r>
          </w:p>
        </w:tc>
      </w:tr>
      <w:tr w:rsidR="00CF159F" w:rsidRPr="00C15318" w14:paraId="743789D0" w14:textId="77777777" w:rsidTr="00AB3BE2">
        <w:trPr>
          <w:trHeight w:val="300"/>
        </w:trPr>
        <w:tc>
          <w:tcPr>
            <w:tcW w:w="694" w:type="dxa"/>
            <w:tcBorders>
              <w:top w:val="nil"/>
              <w:left w:val="nil"/>
              <w:bottom w:val="nil"/>
              <w:right w:val="nil"/>
            </w:tcBorders>
            <w:shd w:val="clear" w:color="auto" w:fill="auto"/>
            <w:noWrap/>
            <w:vAlign w:val="bottom"/>
            <w:hideMark/>
          </w:tcPr>
          <w:p w14:paraId="55175C2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4.8.2</w:t>
            </w:r>
          </w:p>
        </w:tc>
        <w:tc>
          <w:tcPr>
            <w:tcW w:w="6586" w:type="dxa"/>
            <w:tcBorders>
              <w:top w:val="nil"/>
              <w:left w:val="nil"/>
              <w:bottom w:val="nil"/>
              <w:right w:val="nil"/>
            </w:tcBorders>
            <w:shd w:val="clear" w:color="auto" w:fill="auto"/>
            <w:noWrap/>
            <w:vAlign w:val="bottom"/>
            <w:hideMark/>
          </w:tcPr>
          <w:p w14:paraId="7C384BF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Employment Rate</w:t>
            </w:r>
          </w:p>
        </w:tc>
        <w:tc>
          <w:tcPr>
            <w:tcW w:w="960" w:type="dxa"/>
            <w:tcBorders>
              <w:top w:val="nil"/>
              <w:left w:val="nil"/>
              <w:bottom w:val="nil"/>
              <w:right w:val="nil"/>
            </w:tcBorders>
            <w:shd w:val="clear" w:color="auto" w:fill="auto"/>
            <w:noWrap/>
            <w:vAlign w:val="bottom"/>
            <w:hideMark/>
          </w:tcPr>
          <w:p w14:paraId="16C73B3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68</w:t>
            </w:r>
          </w:p>
        </w:tc>
      </w:tr>
      <w:tr w:rsidR="00CF159F" w:rsidRPr="00C15318" w14:paraId="31D658D6" w14:textId="77777777" w:rsidTr="00AB3BE2">
        <w:trPr>
          <w:trHeight w:val="300"/>
        </w:trPr>
        <w:tc>
          <w:tcPr>
            <w:tcW w:w="694" w:type="dxa"/>
            <w:tcBorders>
              <w:top w:val="nil"/>
              <w:left w:val="nil"/>
              <w:bottom w:val="nil"/>
              <w:right w:val="nil"/>
            </w:tcBorders>
            <w:shd w:val="clear" w:color="auto" w:fill="auto"/>
            <w:noWrap/>
            <w:vAlign w:val="bottom"/>
            <w:hideMark/>
          </w:tcPr>
          <w:p w14:paraId="11AEF2C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4.8.3</w:t>
            </w:r>
          </w:p>
        </w:tc>
        <w:tc>
          <w:tcPr>
            <w:tcW w:w="6586" w:type="dxa"/>
            <w:tcBorders>
              <w:top w:val="nil"/>
              <w:left w:val="nil"/>
              <w:bottom w:val="nil"/>
              <w:right w:val="nil"/>
            </w:tcBorders>
            <w:shd w:val="clear" w:color="auto" w:fill="auto"/>
            <w:noWrap/>
            <w:vAlign w:val="bottom"/>
            <w:hideMark/>
          </w:tcPr>
          <w:p w14:paraId="7FA4FD88"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Impact of FDI on the Local Community</w:t>
            </w:r>
          </w:p>
        </w:tc>
        <w:tc>
          <w:tcPr>
            <w:tcW w:w="960" w:type="dxa"/>
            <w:tcBorders>
              <w:top w:val="nil"/>
              <w:left w:val="nil"/>
              <w:bottom w:val="nil"/>
              <w:right w:val="nil"/>
            </w:tcBorders>
            <w:shd w:val="clear" w:color="auto" w:fill="auto"/>
            <w:noWrap/>
            <w:vAlign w:val="bottom"/>
            <w:hideMark/>
          </w:tcPr>
          <w:p w14:paraId="779F358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69</w:t>
            </w:r>
          </w:p>
        </w:tc>
      </w:tr>
      <w:tr w:rsidR="00CF159F" w:rsidRPr="00C15318" w14:paraId="00F525A9" w14:textId="77777777" w:rsidTr="00AB3BE2">
        <w:trPr>
          <w:trHeight w:val="300"/>
        </w:trPr>
        <w:tc>
          <w:tcPr>
            <w:tcW w:w="694" w:type="dxa"/>
            <w:tcBorders>
              <w:top w:val="nil"/>
              <w:left w:val="nil"/>
              <w:bottom w:val="nil"/>
              <w:right w:val="nil"/>
            </w:tcBorders>
            <w:shd w:val="clear" w:color="auto" w:fill="auto"/>
            <w:noWrap/>
            <w:vAlign w:val="bottom"/>
            <w:hideMark/>
          </w:tcPr>
          <w:p w14:paraId="071AD1E7"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4.8.4</w:t>
            </w:r>
          </w:p>
        </w:tc>
        <w:tc>
          <w:tcPr>
            <w:tcW w:w="6586" w:type="dxa"/>
            <w:tcBorders>
              <w:top w:val="nil"/>
              <w:left w:val="nil"/>
              <w:bottom w:val="nil"/>
              <w:right w:val="nil"/>
            </w:tcBorders>
            <w:shd w:val="clear" w:color="auto" w:fill="auto"/>
            <w:noWrap/>
            <w:vAlign w:val="bottom"/>
            <w:hideMark/>
          </w:tcPr>
          <w:p w14:paraId="2AF33B5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Future FDI Projects.</w:t>
            </w:r>
          </w:p>
        </w:tc>
        <w:tc>
          <w:tcPr>
            <w:tcW w:w="960" w:type="dxa"/>
            <w:tcBorders>
              <w:top w:val="nil"/>
              <w:left w:val="nil"/>
              <w:bottom w:val="nil"/>
              <w:right w:val="nil"/>
            </w:tcBorders>
            <w:shd w:val="clear" w:color="auto" w:fill="auto"/>
            <w:noWrap/>
            <w:vAlign w:val="bottom"/>
            <w:hideMark/>
          </w:tcPr>
          <w:p w14:paraId="50379FA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69</w:t>
            </w:r>
          </w:p>
        </w:tc>
      </w:tr>
      <w:tr w:rsidR="00CF159F" w:rsidRPr="00C15318" w14:paraId="32243624" w14:textId="77777777" w:rsidTr="00AB3BE2">
        <w:trPr>
          <w:trHeight w:val="300"/>
        </w:trPr>
        <w:tc>
          <w:tcPr>
            <w:tcW w:w="694" w:type="dxa"/>
            <w:tcBorders>
              <w:top w:val="nil"/>
              <w:left w:val="nil"/>
              <w:bottom w:val="nil"/>
              <w:right w:val="nil"/>
            </w:tcBorders>
            <w:shd w:val="clear" w:color="auto" w:fill="auto"/>
            <w:noWrap/>
            <w:vAlign w:val="bottom"/>
            <w:hideMark/>
          </w:tcPr>
          <w:p w14:paraId="57B28342"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4.8.5</w:t>
            </w:r>
          </w:p>
        </w:tc>
        <w:tc>
          <w:tcPr>
            <w:tcW w:w="6586" w:type="dxa"/>
            <w:tcBorders>
              <w:top w:val="nil"/>
              <w:left w:val="nil"/>
              <w:bottom w:val="nil"/>
              <w:right w:val="nil"/>
            </w:tcBorders>
            <w:shd w:val="clear" w:color="auto" w:fill="auto"/>
            <w:noWrap/>
            <w:vAlign w:val="bottom"/>
            <w:hideMark/>
          </w:tcPr>
          <w:p w14:paraId="7662640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 xml:space="preserve">FDI Impact </w:t>
            </w:r>
            <w:proofErr w:type="gramStart"/>
            <w:r w:rsidRPr="00C15318">
              <w:rPr>
                <w:rFonts w:ascii="Aptos Narrow" w:eastAsia="Times New Roman" w:hAnsi="Aptos Narrow" w:cs="Times New Roman"/>
                <w:color w:val="000000"/>
                <w:lang w:eastAsia="en-GB"/>
              </w:rPr>
              <w:t>On</w:t>
            </w:r>
            <w:proofErr w:type="gramEnd"/>
            <w:r w:rsidRPr="00C15318">
              <w:rPr>
                <w:rFonts w:ascii="Aptos Narrow" w:eastAsia="Times New Roman" w:hAnsi="Aptos Narrow" w:cs="Times New Roman"/>
                <w:color w:val="000000"/>
                <w:lang w:eastAsia="en-GB"/>
              </w:rPr>
              <w:t xml:space="preserve"> The Environment - Green Investment.</w:t>
            </w:r>
          </w:p>
        </w:tc>
        <w:tc>
          <w:tcPr>
            <w:tcW w:w="960" w:type="dxa"/>
            <w:tcBorders>
              <w:top w:val="nil"/>
              <w:left w:val="nil"/>
              <w:bottom w:val="nil"/>
              <w:right w:val="nil"/>
            </w:tcBorders>
            <w:shd w:val="clear" w:color="auto" w:fill="auto"/>
            <w:noWrap/>
            <w:vAlign w:val="bottom"/>
            <w:hideMark/>
          </w:tcPr>
          <w:p w14:paraId="37A438CF"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70</w:t>
            </w:r>
          </w:p>
        </w:tc>
      </w:tr>
      <w:tr w:rsidR="00CF159F" w:rsidRPr="00C15318" w14:paraId="28C02B70" w14:textId="77777777" w:rsidTr="00AB3BE2">
        <w:trPr>
          <w:trHeight w:val="300"/>
        </w:trPr>
        <w:tc>
          <w:tcPr>
            <w:tcW w:w="694" w:type="dxa"/>
            <w:tcBorders>
              <w:top w:val="nil"/>
              <w:left w:val="nil"/>
              <w:bottom w:val="nil"/>
              <w:right w:val="nil"/>
            </w:tcBorders>
            <w:shd w:val="clear" w:color="auto" w:fill="auto"/>
            <w:noWrap/>
            <w:vAlign w:val="bottom"/>
            <w:hideMark/>
          </w:tcPr>
          <w:p w14:paraId="323DCDDC"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4.9</w:t>
            </w:r>
          </w:p>
        </w:tc>
        <w:tc>
          <w:tcPr>
            <w:tcW w:w="6586" w:type="dxa"/>
            <w:tcBorders>
              <w:top w:val="nil"/>
              <w:left w:val="nil"/>
              <w:bottom w:val="nil"/>
              <w:right w:val="nil"/>
            </w:tcBorders>
            <w:shd w:val="clear" w:color="auto" w:fill="auto"/>
            <w:noWrap/>
            <w:vAlign w:val="bottom"/>
            <w:hideMark/>
          </w:tcPr>
          <w:p w14:paraId="080F2F0B"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Chapter Summary:</w:t>
            </w:r>
          </w:p>
        </w:tc>
        <w:tc>
          <w:tcPr>
            <w:tcW w:w="960" w:type="dxa"/>
            <w:tcBorders>
              <w:top w:val="nil"/>
              <w:left w:val="nil"/>
              <w:bottom w:val="nil"/>
              <w:right w:val="nil"/>
            </w:tcBorders>
            <w:shd w:val="clear" w:color="auto" w:fill="auto"/>
            <w:noWrap/>
            <w:vAlign w:val="bottom"/>
            <w:hideMark/>
          </w:tcPr>
          <w:p w14:paraId="498C5C5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71</w:t>
            </w:r>
          </w:p>
        </w:tc>
      </w:tr>
      <w:tr w:rsidR="00CF159F" w:rsidRPr="00C15318" w14:paraId="3E28AC39" w14:textId="77777777" w:rsidTr="00AB3BE2">
        <w:trPr>
          <w:trHeight w:val="300"/>
        </w:trPr>
        <w:tc>
          <w:tcPr>
            <w:tcW w:w="7280" w:type="dxa"/>
            <w:gridSpan w:val="2"/>
            <w:tcBorders>
              <w:top w:val="nil"/>
              <w:left w:val="nil"/>
              <w:bottom w:val="nil"/>
              <w:right w:val="nil"/>
            </w:tcBorders>
            <w:shd w:val="clear" w:color="auto" w:fill="auto"/>
            <w:noWrap/>
            <w:vAlign w:val="bottom"/>
            <w:hideMark/>
          </w:tcPr>
          <w:p w14:paraId="6F4F1E62" w14:textId="77777777" w:rsidR="00CF159F" w:rsidRPr="00C15318" w:rsidRDefault="00CF159F" w:rsidP="00AE0F20">
            <w:pPr>
              <w:spacing w:after="0" w:line="240" w:lineRule="auto"/>
              <w:rPr>
                <w:rFonts w:ascii="Aptos Narrow" w:eastAsia="Times New Roman" w:hAnsi="Aptos Narrow" w:cs="Times New Roman"/>
                <w:b/>
                <w:bCs/>
                <w:color w:val="000000"/>
                <w:lang w:eastAsia="en-GB"/>
              </w:rPr>
            </w:pPr>
            <w:r w:rsidRPr="00C15318">
              <w:rPr>
                <w:rFonts w:ascii="Aptos Narrow" w:eastAsia="Times New Roman" w:hAnsi="Aptos Narrow" w:cs="Times New Roman"/>
                <w:b/>
                <w:bCs/>
                <w:noProof/>
                <w:color w:val="000000"/>
                <w:sz w:val="28"/>
                <w:szCs w:val="28"/>
                <w:lang w:eastAsia="en-GB"/>
              </w:rPr>
              <w:t>Chapter 5. Conclusion</w:t>
            </w:r>
          </w:p>
        </w:tc>
        <w:tc>
          <w:tcPr>
            <w:tcW w:w="960" w:type="dxa"/>
            <w:tcBorders>
              <w:top w:val="nil"/>
              <w:left w:val="nil"/>
              <w:bottom w:val="nil"/>
              <w:right w:val="nil"/>
            </w:tcBorders>
            <w:shd w:val="clear" w:color="auto" w:fill="auto"/>
            <w:noWrap/>
            <w:vAlign w:val="bottom"/>
            <w:hideMark/>
          </w:tcPr>
          <w:p w14:paraId="494D865E" w14:textId="77777777" w:rsidR="00CF159F" w:rsidRPr="00C15318" w:rsidRDefault="00CF159F" w:rsidP="00AB3BE2">
            <w:pPr>
              <w:spacing w:after="0" w:line="240" w:lineRule="auto"/>
              <w:jc w:val="center"/>
              <w:rPr>
                <w:rFonts w:ascii="Aptos Narrow" w:eastAsia="Times New Roman" w:hAnsi="Aptos Narrow" w:cs="Times New Roman"/>
                <w:b/>
                <w:bCs/>
                <w:color w:val="000000"/>
                <w:lang w:eastAsia="en-GB"/>
              </w:rPr>
            </w:pPr>
          </w:p>
        </w:tc>
      </w:tr>
      <w:tr w:rsidR="00CF159F" w:rsidRPr="00C15318" w14:paraId="188DED5C" w14:textId="77777777" w:rsidTr="00AB3BE2">
        <w:trPr>
          <w:trHeight w:val="300"/>
        </w:trPr>
        <w:tc>
          <w:tcPr>
            <w:tcW w:w="694" w:type="dxa"/>
            <w:tcBorders>
              <w:top w:val="nil"/>
              <w:left w:val="nil"/>
              <w:bottom w:val="nil"/>
              <w:right w:val="nil"/>
            </w:tcBorders>
            <w:shd w:val="clear" w:color="auto" w:fill="auto"/>
            <w:noWrap/>
            <w:vAlign w:val="bottom"/>
            <w:hideMark/>
          </w:tcPr>
          <w:p w14:paraId="3963EC03"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5.1</w:t>
            </w:r>
          </w:p>
        </w:tc>
        <w:tc>
          <w:tcPr>
            <w:tcW w:w="6586" w:type="dxa"/>
            <w:tcBorders>
              <w:top w:val="nil"/>
              <w:left w:val="nil"/>
              <w:bottom w:val="nil"/>
              <w:right w:val="nil"/>
            </w:tcBorders>
            <w:shd w:val="clear" w:color="auto" w:fill="auto"/>
            <w:noWrap/>
            <w:vAlign w:val="bottom"/>
            <w:hideMark/>
          </w:tcPr>
          <w:p w14:paraId="4961F8BE"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Summary of Main Findings</w:t>
            </w:r>
          </w:p>
        </w:tc>
        <w:tc>
          <w:tcPr>
            <w:tcW w:w="960" w:type="dxa"/>
            <w:tcBorders>
              <w:top w:val="nil"/>
              <w:left w:val="nil"/>
              <w:bottom w:val="nil"/>
              <w:right w:val="nil"/>
            </w:tcBorders>
            <w:shd w:val="clear" w:color="auto" w:fill="auto"/>
            <w:noWrap/>
            <w:vAlign w:val="bottom"/>
            <w:hideMark/>
          </w:tcPr>
          <w:p w14:paraId="4E908011"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72</w:t>
            </w:r>
          </w:p>
        </w:tc>
      </w:tr>
      <w:tr w:rsidR="00CF159F" w:rsidRPr="00C15318" w14:paraId="6FCB261F" w14:textId="77777777" w:rsidTr="00AB3BE2">
        <w:trPr>
          <w:trHeight w:val="300"/>
        </w:trPr>
        <w:tc>
          <w:tcPr>
            <w:tcW w:w="694" w:type="dxa"/>
            <w:tcBorders>
              <w:top w:val="nil"/>
              <w:left w:val="nil"/>
              <w:bottom w:val="nil"/>
              <w:right w:val="nil"/>
            </w:tcBorders>
            <w:shd w:val="clear" w:color="auto" w:fill="auto"/>
            <w:noWrap/>
            <w:vAlign w:val="bottom"/>
            <w:hideMark/>
          </w:tcPr>
          <w:p w14:paraId="17D7AC7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5.2</w:t>
            </w:r>
          </w:p>
        </w:tc>
        <w:tc>
          <w:tcPr>
            <w:tcW w:w="6586" w:type="dxa"/>
            <w:tcBorders>
              <w:top w:val="nil"/>
              <w:left w:val="nil"/>
              <w:bottom w:val="nil"/>
              <w:right w:val="nil"/>
            </w:tcBorders>
            <w:shd w:val="clear" w:color="auto" w:fill="auto"/>
            <w:noWrap/>
            <w:vAlign w:val="bottom"/>
            <w:hideMark/>
          </w:tcPr>
          <w:p w14:paraId="47FFA34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Conclusion Based on our Research Questions.</w:t>
            </w:r>
          </w:p>
        </w:tc>
        <w:tc>
          <w:tcPr>
            <w:tcW w:w="960" w:type="dxa"/>
            <w:tcBorders>
              <w:top w:val="nil"/>
              <w:left w:val="nil"/>
              <w:bottom w:val="nil"/>
              <w:right w:val="nil"/>
            </w:tcBorders>
            <w:shd w:val="clear" w:color="auto" w:fill="auto"/>
            <w:noWrap/>
            <w:vAlign w:val="bottom"/>
            <w:hideMark/>
          </w:tcPr>
          <w:p w14:paraId="35288D8D"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73</w:t>
            </w:r>
          </w:p>
        </w:tc>
      </w:tr>
      <w:tr w:rsidR="00CF159F" w:rsidRPr="00C15318" w14:paraId="604FC520" w14:textId="77777777" w:rsidTr="00AB3BE2">
        <w:trPr>
          <w:trHeight w:val="300"/>
        </w:trPr>
        <w:tc>
          <w:tcPr>
            <w:tcW w:w="694" w:type="dxa"/>
            <w:tcBorders>
              <w:top w:val="nil"/>
              <w:left w:val="nil"/>
              <w:bottom w:val="nil"/>
              <w:right w:val="nil"/>
            </w:tcBorders>
            <w:shd w:val="clear" w:color="auto" w:fill="auto"/>
            <w:noWrap/>
            <w:vAlign w:val="bottom"/>
            <w:hideMark/>
          </w:tcPr>
          <w:p w14:paraId="5F82738A"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noProof/>
                <w:color w:val="000000"/>
                <w:lang w:eastAsia="en-GB"/>
              </w:rPr>
              <w:t>5.4</w:t>
            </w:r>
          </w:p>
        </w:tc>
        <w:tc>
          <w:tcPr>
            <w:tcW w:w="6586" w:type="dxa"/>
            <w:tcBorders>
              <w:top w:val="nil"/>
              <w:left w:val="nil"/>
              <w:bottom w:val="nil"/>
              <w:right w:val="nil"/>
            </w:tcBorders>
            <w:shd w:val="clear" w:color="auto" w:fill="auto"/>
            <w:noWrap/>
            <w:vAlign w:val="bottom"/>
            <w:hideMark/>
          </w:tcPr>
          <w:p w14:paraId="2A974DC6"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Future Research</w:t>
            </w:r>
          </w:p>
        </w:tc>
        <w:tc>
          <w:tcPr>
            <w:tcW w:w="960" w:type="dxa"/>
            <w:tcBorders>
              <w:top w:val="nil"/>
              <w:left w:val="nil"/>
              <w:bottom w:val="nil"/>
              <w:right w:val="nil"/>
            </w:tcBorders>
            <w:shd w:val="clear" w:color="auto" w:fill="auto"/>
            <w:noWrap/>
            <w:vAlign w:val="bottom"/>
            <w:hideMark/>
          </w:tcPr>
          <w:p w14:paraId="098F7A34"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webHidden/>
                <w:color w:val="000000"/>
                <w:lang w:eastAsia="en-GB"/>
              </w:rPr>
              <w:t>76</w:t>
            </w:r>
          </w:p>
        </w:tc>
      </w:tr>
      <w:tr w:rsidR="00CF159F" w:rsidRPr="00C15318" w14:paraId="4948BF19" w14:textId="77777777" w:rsidTr="00AB3BE2">
        <w:trPr>
          <w:trHeight w:val="300"/>
        </w:trPr>
        <w:tc>
          <w:tcPr>
            <w:tcW w:w="7280" w:type="dxa"/>
            <w:gridSpan w:val="2"/>
            <w:tcBorders>
              <w:top w:val="nil"/>
              <w:left w:val="nil"/>
              <w:bottom w:val="nil"/>
              <w:right w:val="nil"/>
            </w:tcBorders>
            <w:shd w:val="clear" w:color="auto" w:fill="auto"/>
            <w:noWrap/>
            <w:vAlign w:val="bottom"/>
            <w:hideMark/>
          </w:tcPr>
          <w:p w14:paraId="6F4A4B37" w14:textId="77777777" w:rsidR="00CF159F" w:rsidRPr="00C15318" w:rsidRDefault="00CF159F" w:rsidP="00AE0F20">
            <w:pPr>
              <w:spacing w:after="0" w:line="240" w:lineRule="auto"/>
              <w:rPr>
                <w:rFonts w:ascii="Aptos Narrow" w:eastAsia="Times New Roman" w:hAnsi="Aptos Narrow" w:cs="Times New Roman"/>
                <w:b/>
                <w:bCs/>
                <w:color w:val="000000"/>
                <w:lang w:eastAsia="en-GB"/>
              </w:rPr>
            </w:pPr>
            <w:r w:rsidRPr="00C15318">
              <w:rPr>
                <w:rFonts w:ascii="Aptos Narrow" w:eastAsia="Times New Roman" w:hAnsi="Aptos Narrow" w:cs="Times New Roman"/>
                <w:b/>
                <w:bCs/>
                <w:noProof/>
                <w:color w:val="000000"/>
                <w:sz w:val="28"/>
                <w:szCs w:val="28"/>
                <w:lang w:eastAsia="en-GB"/>
              </w:rPr>
              <w:t>References</w:t>
            </w:r>
          </w:p>
        </w:tc>
        <w:tc>
          <w:tcPr>
            <w:tcW w:w="960" w:type="dxa"/>
            <w:tcBorders>
              <w:top w:val="nil"/>
              <w:left w:val="nil"/>
              <w:bottom w:val="nil"/>
              <w:right w:val="nil"/>
            </w:tcBorders>
            <w:shd w:val="clear" w:color="auto" w:fill="auto"/>
            <w:noWrap/>
            <w:vAlign w:val="bottom"/>
            <w:hideMark/>
          </w:tcPr>
          <w:p w14:paraId="10348115" w14:textId="77777777" w:rsidR="00CF159F" w:rsidRPr="00C15318" w:rsidRDefault="00CF159F" w:rsidP="00AB3BE2">
            <w:pPr>
              <w:spacing w:after="0" w:line="240" w:lineRule="auto"/>
              <w:rPr>
                <w:rFonts w:ascii="Aptos Narrow" w:eastAsia="Times New Roman" w:hAnsi="Aptos Narrow" w:cs="Times New Roman"/>
                <w:color w:val="000000"/>
                <w:lang w:eastAsia="en-GB"/>
              </w:rPr>
            </w:pPr>
            <w:r w:rsidRPr="00C15318">
              <w:rPr>
                <w:rFonts w:ascii="Aptos Narrow" w:eastAsia="Times New Roman" w:hAnsi="Aptos Narrow" w:cs="Times New Roman"/>
                <w:color w:val="000000"/>
                <w:lang w:eastAsia="en-GB"/>
              </w:rPr>
              <w:t>77</w:t>
            </w:r>
          </w:p>
        </w:tc>
      </w:tr>
    </w:tbl>
    <w:p w14:paraId="145B6D20" w14:textId="77777777" w:rsidR="00FF2777" w:rsidRPr="004A73C1" w:rsidRDefault="00FF2777" w:rsidP="00EF2E34">
      <w:pPr>
        <w:spacing w:line="360" w:lineRule="auto"/>
        <w:jc w:val="both"/>
        <w:rPr>
          <w:rFonts w:ascii="Arial" w:eastAsia="Arial Unicode MS" w:hAnsi="Arial" w:cs="Arial"/>
          <w:color w:val="276E8B" w:themeColor="accent1" w:themeShade="BF"/>
          <w:sz w:val="40"/>
          <w:szCs w:val="40"/>
        </w:rPr>
      </w:pPr>
      <w:r w:rsidRPr="004A73C1">
        <w:rPr>
          <w:rFonts w:ascii="Arial" w:eastAsia="Arial Unicode MS" w:hAnsi="Arial" w:cs="Arial"/>
        </w:rPr>
        <w:br w:type="page"/>
      </w:r>
    </w:p>
    <w:p w14:paraId="76E43657" w14:textId="7CD81900" w:rsidR="001C79B1" w:rsidRPr="004A73C1" w:rsidRDefault="00E11091" w:rsidP="00083B6C">
      <w:pPr>
        <w:pStyle w:val="Heading1"/>
        <w:spacing w:line="360" w:lineRule="auto"/>
        <w:jc w:val="center"/>
        <w:rPr>
          <w:rFonts w:ascii="Arial" w:hAnsi="Arial" w:cs="Arial"/>
          <w:b/>
          <w:bCs/>
          <w:color w:val="002060"/>
          <w:sz w:val="28"/>
          <w:szCs w:val="28"/>
        </w:rPr>
      </w:pPr>
      <w:bookmarkStart w:id="4" w:name="_Toc175056427"/>
      <w:bookmarkStart w:id="5" w:name="_Toc175848088"/>
      <w:r w:rsidRPr="004A73C1">
        <w:rPr>
          <w:rFonts w:ascii="Arial" w:hAnsi="Arial" w:cs="Arial"/>
          <w:b/>
          <w:bCs/>
          <w:color w:val="002060"/>
          <w:sz w:val="28"/>
          <w:szCs w:val="28"/>
        </w:rPr>
        <w:lastRenderedPageBreak/>
        <w:t>Chapter No 1. Introduction, Aims and Objectives</w:t>
      </w:r>
      <w:bookmarkEnd w:id="4"/>
      <w:bookmarkEnd w:id="5"/>
    </w:p>
    <w:p w14:paraId="47A54439" w14:textId="12485513" w:rsidR="00E11091" w:rsidRPr="004A73C1" w:rsidRDefault="00000000" w:rsidP="00EF2E34">
      <w:pPr>
        <w:spacing w:line="360" w:lineRule="auto"/>
        <w:jc w:val="both"/>
        <w:rPr>
          <w:rFonts w:ascii="Arial" w:hAnsi="Arial" w:cs="Arial"/>
        </w:rPr>
      </w:pPr>
      <w:r>
        <w:rPr>
          <w:rFonts w:ascii="Arial" w:hAnsi="Arial" w:cs="Arial"/>
        </w:rPr>
        <w:pict w14:anchorId="17B1925A">
          <v:rect id="_x0000_i1025" style="width:0;height:1.5pt" o:hralign="center" o:hrstd="t" o:hr="t" fillcolor="#a0a0a0" stroked="f"/>
        </w:pict>
      </w:r>
    </w:p>
    <w:p w14:paraId="12761183" w14:textId="01D29011" w:rsidR="00FF2777" w:rsidRPr="004A73C1" w:rsidRDefault="00FF2777" w:rsidP="004117AD">
      <w:pPr>
        <w:pStyle w:val="Heading2"/>
        <w:numPr>
          <w:ilvl w:val="0"/>
          <w:numId w:val="56"/>
        </w:numPr>
        <w:spacing w:line="360" w:lineRule="auto"/>
        <w:ind w:left="0" w:firstLine="0"/>
        <w:rPr>
          <w:rFonts w:ascii="Arial" w:hAnsi="Arial" w:cs="Arial"/>
          <w:color w:val="auto"/>
        </w:rPr>
      </w:pPr>
      <w:bookmarkStart w:id="6" w:name="_Toc175056428"/>
      <w:bookmarkStart w:id="7" w:name="_Toc175848089"/>
      <w:r w:rsidRPr="004A73C1">
        <w:rPr>
          <w:rFonts w:ascii="Arial" w:hAnsi="Arial" w:cs="Arial"/>
          <w:color w:val="auto"/>
        </w:rPr>
        <w:t>Introduction</w:t>
      </w:r>
      <w:bookmarkEnd w:id="6"/>
      <w:bookmarkEnd w:id="7"/>
    </w:p>
    <w:p w14:paraId="7677B86A" w14:textId="5CD5CD97" w:rsidR="002F13D3" w:rsidRPr="004A73C1" w:rsidRDefault="002F13D3" w:rsidP="00EF2E34">
      <w:pPr>
        <w:spacing w:line="360" w:lineRule="auto"/>
        <w:jc w:val="both"/>
        <w:rPr>
          <w:rFonts w:ascii="Arial" w:hAnsi="Arial" w:cs="Arial"/>
        </w:rPr>
      </w:pPr>
      <w:r w:rsidRPr="004A73C1">
        <w:rPr>
          <w:rFonts w:ascii="Arial" w:hAnsi="Arial" w:cs="Arial"/>
        </w:rPr>
        <w:t xml:space="preserve">Foreign direct investment (FDI) </w:t>
      </w:r>
      <w:r w:rsidR="00B67A57" w:rsidRPr="004A73C1">
        <w:rPr>
          <w:rFonts w:ascii="Arial" w:hAnsi="Arial" w:cs="Arial"/>
        </w:rPr>
        <w:t>is a crucial concept, referring to an investment made by a firm or individual in one country into business interests in another country. It plays a significant role in a country's economic development, bringing in capital, technology, and managerial expertise. This understanding is vital as it</w:t>
      </w:r>
      <w:r w:rsidRPr="004A73C1">
        <w:rPr>
          <w:rFonts w:ascii="Arial" w:hAnsi="Arial" w:cs="Arial"/>
        </w:rPr>
        <w:t xml:space="preserve"> also contributes to job creation, infrastructure development, and economic growth. Additionally, FDI can help transfer skills and know-how, benefiting local workers and industries. Overall, FDI is an essential driver of economic prosperity and development for many countries (Botswana 2014).</w:t>
      </w:r>
    </w:p>
    <w:p w14:paraId="68D0DA7D" w14:textId="0A2A2A09" w:rsidR="002F13D3" w:rsidRPr="004A73C1" w:rsidRDefault="002F13D3" w:rsidP="00EF2E34">
      <w:pPr>
        <w:spacing w:line="360" w:lineRule="auto"/>
        <w:jc w:val="both"/>
        <w:rPr>
          <w:rFonts w:ascii="Arial" w:hAnsi="Arial" w:cs="Arial"/>
        </w:rPr>
      </w:pPr>
      <w:r w:rsidRPr="004A73C1">
        <w:rPr>
          <w:rFonts w:ascii="Arial" w:hAnsi="Arial" w:cs="Arial"/>
        </w:rPr>
        <w:t xml:space="preserve">Foreign direct investment (FDI) has </w:t>
      </w:r>
      <w:r w:rsidR="00B67A57" w:rsidRPr="004A73C1">
        <w:rPr>
          <w:rFonts w:ascii="Arial" w:hAnsi="Arial" w:cs="Arial"/>
        </w:rPr>
        <w:t>a rich history in the economic development of the United Kingdom. The UK has been a substantial recipient of FDI for many years. In the 19th century, the UK was a global powerhouse and attracted large amounts of foreign investment, particularly in manufacturing and finance. This historical context is important to understand the evolution of FDI in the UK.</w:t>
      </w:r>
    </w:p>
    <w:p w14:paraId="2F5ADCC1" w14:textId="07070CDA" w:rsidR="002F13D3" w:rsidRPr="004A73C1" w:rsidRDefault="002F13D3" w:rsidP="00EF2E34">
      <w:pPr>
        <w:spacing w:line="360" w:lineRule="auto"/>
        <w:jc w:val="both"/>
        <w:rPr>
          <w:rFonts w:ascii="Arial" w:hAnsi="Arial" w:cs="Arial"/>
        </w:rPr>
      </w:pPr>
      <w:r w:rsidRPr="004A73C1">
        <w:rPr>
          <w:rFonts w:ascii="Arial" w:hAnsi="Arial" w:cs="Arial"/>
        </w:rPr>
        <w:t>Post-World War II, the UK continued to attract FDI, especially from the United States. American companies</w:t>
      </w:r>
      <w:r w:rsidR="00B67A57" w:rsidRPr="004A73C1">
        <w:rPr>
          <w:rFonts w:ascii="Arial" w:hAnsi="Arial" w:cs="Arial"/>
        </w:rPr>
        <w:t>, seeking to expand into European markets, found the UK's EU membership particularly appealing. They used it as a launchpad to the larger European market, further boosting the UK's FDI influx</w:t>
      </w:r>
      <w:r w:rsidRPr="004A73C1">
        <w:rPr>
          <w:rFonts w:ascii="Arial" w:hAnsi="Arial" w:cs="Arial"/>
        </w:rPr>
        <w:t>.</w:t>
      </w:r>
    </w:p>
    <w:p w14:paraId="4BD3AECE" w14:textId="77777777" w:rsidR="002F13D3" w:rsidRPr="004A73C1" w:rsidRDefault="002F13D3" w:rsidP="00EF2E34">
      <w:pPr>
        <w:spacing w:line="360" w:lineRule="auto"/>
        <w:jc w:val="both"/>
        <w:rPr>
          <w:rFonts w:ascii="Arial" w:hAnsi="Arial" w:cs="Arial"/>
        </w:rPr>
      </w:pPr>
      <w:r w:rsidRPr="004A73C1">
        <w:rPr>
          <w:rFonts w:ascii="Arial" w:hAnsi="Arial" w:cs="Arial"/>
        </w:rPr>
        <w:t>Recently, the UK has maintained its allure for FDI, especially in sectors like finance, technology, pharmaceuticals, and renewable energy. The UK government's proactive promotion of FDI through various incentives and initiatives has further bolstered its appeal to foreign investors.</w:t>
      </w:r>
    </w:p>
    <w:p w14:paraId="568A7A7F" w14:textId="72235AB0"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Foreign direct investment (FDI) is a powerful force that shapes and influences the British economy. It is the lifeblood of market growth, directly and indirectly impacting every business. </w:t>
      </w:r>
    </w:p>
    <w:p w14:paraId="68827243"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In the domestic market, various investment objectives can provide viable alternatives for investors. Greenway and Kneller (2007) state that local markets may reach saturation points, offering diverse stakeholder advantages. For example, expanding into neighbouring countries may harm the host country. Morck et al. (2008) emphasise that each country harbours unique and complex economic factors that can significantly impact foreign direct investment, mainly as influenced by the populace's behaviour and the country's financial landscape.</w:t>
      </w:r>
    </w:p>
    <w:p w14:paraId="6F666973"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Haufler and </w:t>
      </w:r>
      <w:proofErr w:type="spellStart"/>
      <w:r w:rsidRPr="004A73C1">
        <w:rPr>
          <w:rFonts w:ascii="Arial" w:eastAsia="Arial Unicode MS" w:hAnsi="Arial" w:cs="Arial"/>
        </w:rPr>
        <w:t>Stowhase</w:t>
      </w:r>
      <w:proofErr w:type="spellEnd"/>
      <w:r w:rsidRPr="004A73C1">
        <w:rPr>
          <w:rFonts w:ascii="Arial" w:eastAsia="Arial Unicode MS" w:hAnsi="Arial" w:cs="Arial"/>
        </w:rPr>
        <w:t xml:space="preserve"> (2003) contend that foreign direct investment can yield multiple economic advantages. Extending incentives to foreign investors, such as tax relief, can elevate levels of foreign direct investment. Moreover, highlighting additional incentives within the hosting country or fostering domestic investment may contribute to heightened foreign direct investment.</w:t>
      </w:r>
    </w:p>
    <w:p w14:paraId="46E85D4F"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lastRenderedPageBreak/>
        <w:t>Safarian (1985) identified various factors that influence foreign direct investment (FDI), such as the exchange rate of the host country and the flow of capital. Chen's (2005) model further analysed these factors using 10 to 15 years of time series data, considering elements like mutual trade and currency valuation in the USA and other countries that affect a country's currency.</w:t>
      </w:r>
    </w:p>
    <w:p w14:paraId="5B507557" w14:textId="0D7C4CCB" w:rsidR="00FF2777" w:rsidRPr="004A73C1" w:rsidRDefault="00D11768" w:rsidP="00EF2E34">
      <w:pPr>
        <w:pStyle w:val="Heading2"/>
        <w:spacing w:line="360" w:lineRule="auto"/>
        <w:rPr>
          <w:rFonts w:ascii="Arial" w:hAnsi="Arial" w:cs="Arial"/>
          <w:color w:val="auto"/>
        </w:rPr>
      </w:pPr>
      <w:bookmarkStart w:id="8" w:name="_Toc158078667"/>
      <w:bookmarkStart w:id="9" w:name="_Toc175056429"/>
      <w:bookmarkStart w:id="10" w:name="_Toc175848090"/>
      <w:r w:rsidRPr="004A73C1">
        <w:rPr>
          <w:rFonts w:ascii="Arial" w:hAnsi="Arial" w:cs="Arial"/>
          <w:color w:val="auto"/>
        </w:rPr>
        <w:t>1.2</w:t>
      </w:r>
      <w:r w:rsidRPr="004A73C1">
        <w:rPr>
          <w:rFonts w:ascii="Arial" w:hAnsi="Arial" w:cs="Arial"/>
          <w:color w:val="auto"/>
        </w:rPr>
        <w:tab/>
      </w:r>
      <w:r w:rsidR="00FF2777" w:rsidRPr="004A73C1">
        <w:rPr>
          <w:rFonts w:ascii="Arial" w:hAnsi="Arial" w:cs="Arial"/>
          <w:color w:val="auto"/>
        </w:rPr>
        <w:t>Research Significance</w:t>
      </w:r>
      <w:bookmarkEnd w:id="8"/>
      <w:r w:rsidR="00B67A57" w:rsidRPr="004A73C1">
        <w:rPr>
          <w:rFonts w:ascii="Arial" w:hAnsi="Arial" w:cs="Arial"/>
          <w:color w:val="auto"/>
        </w:rPr>
        <w:t>- Problem Statement</w:t>
      </w:r>
      <w:bookmarkEnd w:id="9"/>
      <w:bookmarkEnd w:id="10"/>
    </w:p>
    <w:p w14:paraId="1724FE93" w14:textId="56D7A447" w:rsidR="004233BE" w:rsidRPr="004A73C1" w:rsidRDefault="004233BE" w:rsidP="004233BE">
      <w:pPr>
        <w:spacing w:line="360" w:lineRule="auto"/>
        <w:jc w:val="both"/>
        <w:rPr>
          <w:rFonts w:ascii="Arial" w:hAnsi="Arial" w:cs="Arial"/>
        </w:rPr>
      </w:pPr>
      <w:bookmarkStart w:id="11" w:name="_Toc175056430"/>
      <w:r w:rsidRPr="004A73C1">
        <w:rPr>
          <w:rFonts w:ascii="Arial" w:hAnsi="Arial" w:cs="Arial"/>
        </w:rPr>
        <w:t>The primary objective of this dissertation is to conduct an in-depth investigation into the influence of Foreign Direct Investment (FDI) on the economic growth of the United Kingdom. The study will comprehensively explore and analyse the diverse channels through which FDI impacts the UK's economic growth, encompassing its effects on employment, productivity, innovation, and trade dynamics. By utilizing empirical data and employing sophisticated econometric models, the research endeavours to offer a thorough and nuanced understanding of how FDI actively contributes to the economic growth of the UK. Furthermore, the study aims to provide valuable insights that can play a pivotal role in shaping policy decisions and devising effective strategies for both attracting and maximizing the benefits of FDI in the context of the United Kingdom's economy.</w:t>
      </w:r>
    </w:p>
    <w:p w14:paraId="37022BB5" w14:textId="70ED4345" w:rsidR="00FF2777" w:rsidRPr="004A73C1" w:rsidRDefault="00D11768" w:rsidP="00EF2E34">
      <w:pPr>
        <w:pStyle w:val="Heading2"/>
        <w:spacing w:line="360" w:lineRule="auto"/>
        <w:rPr>
          <w:rFonts w:ascii="Arial" w:hAnsi="Arial" w:cs="Arial"/>
          <w:color w:val="auto"/>
        </w:rPr>
      </w:pPr>
      <w:bookmarkStart w:id="12" w:name="_Toc175848091"/>
      <w:r w:rsidRPr="004A73C1">
        <w:rPr>
          <w:rFonts w:ascii="Arial" w:hAnsi="Arial" w:cs="Arial"/>
          <w:color w:val="auto"/>
        </w:rPr>
        <w:t>1.3</w:t>
      </w:r>
      <w:r w:rsidRPr="004A73C1">
        <w:rPr>
          <w:rFonts w:ascii="Arial" w:hAnsi="Arial" w:cs="Arial"/>
          <w:color w:val="auto"/>
        </w:rPr>
        <w:tab/>
      </w:r>
      <w:r w:rsidR="00FF2777" w:rsidRPr="004A73C1">
        <w:rPr>
          <w:rFonts w:ascii="Arial" w:hAnsi="Arial" w:cs="Arial"/>
          <w:color w:val="auto"/>
        </w:rPr>
        <w:t>Dissertation Aim:</w:t>
      </w:r>
      <w:bookmarkStart w:id="13" w:name="_Toc316005657"/>
      <w:bookmarkEnd w:id="11"/>
      <w:bookmarkEnd w:id="12"/>
    </w:p>
    <w:p w14:paraId="6953991D" w14:textId="4AA95A48"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Recognising the significance of FDI, this dissertation aims to delve into the current state of foreign direct investment in the United Kingdom. This involves analysing FDI inflows into the UK before</w:t>
      </w:r>
      <w:r w:rsidR="00526F60" w:rsidRPr="004A73C1">
        <w:rPr>
          <w:rFonts w:ascii="Arial" w:eastAsia="Arial Unicode MS" w:hAnsi="Arial" w:cs="Arial"/>
        </w:rPr>
        <w:t xml:space="preserve"> and after Brexit </w:t>
      </w:r>
      <w:r w:rsidRPr="004A73C1">
        <w:rPr>
          <w:rFonts w:ascii="Arial" w:eastAsia="Arial Unicode MS" w:hAnsi="Arial" w:cs="Arial"/>
        </w:rPr>
        <w:t xml:space="preserve">and </w:t>
      </w:r>
      <w:r w:rsidR="004B06E9" w:rsidRPr="004A73C1">
        <w:rPr>
          <w:rFonts w:ascii="Arial" w:eastAsia="Arial Unicode MS" w:hAnsi="Arial" w:cs="Arial"/>
        </w:rPr>
        <w:t>the impact of FDI on economic growth</w:t>
      </w:r>
      <w:r w:rsidRPr="004A73C1">
        <w:rPr>
          <w:rFonts w:ascii="Arial" w:eastAsia="Arial Unicode MS" w:hAnsi="Arial" w:cs="Arial"/>
        </w:rPr>
        <w:t>.</w:t>
      </w:r>
    </w:p>
    <w:p w14:paraId="4725EFFC" w14:textId="7A836C75" w:rsidR="00FF2777" w:rsidRPr="004A73C1" w:rsidRDefault="00D11768" w:rsidP="00EF2E34">
      <w:pPr>
        <w:pStyle w:val="Heading2"/>
        <w:spacing w:line="360" w:lineRule="auto"/>
        <w:rPr>
          <w:rFonts w:ascii="Arial" w:hAnsi="Arial" w:cs="Arial"/>
          <w:color w:val="auto"/>
        </w:rPr>
      </w:pPr>
      <w:bookmarkStart w:id="14" w:name="_Toc175056431"/>
      <w:bookmarkStart w:id="15" w:name="_Toc175848092"/>
      <w:bookmarkEnd w:id="13"/>
      <w:r w:rsidRPr="004A73C1">
        <w:rPr>
          <w:rFonts w:ascii="Arial" w:hAnsi="Arial" w:cs="Arial"/>
          <w:color w:val="auto"/>
        </w:rPr>
        <w:t>1.4</w:t>
      </w:r>
      <w:r w:rsidRPr="004A73C1">
        <w:rPr>
          <w:rFonts w:ascii="Arial" w:hAnsi="Arial" w:cs="Arial"/>
          <w:color w:val="auto"/>
        </w:rPr>
        <w:tab/>
      </w:r>
      <w:r w:rsidR="00FF2777" w:rsidRPr="004A73C1">
        <w:rPr>
          <w:rFonts w:ascii="Arial" w:hAnsi="Arial" w:cs="Arial"/>
          <w:color w:val="auto"/>
        </w:rPr>
        <w:t>Dissertation Objectives</w:t>
      </w:r>
      <w:bookmarkEnd w:id="14"/>
      <w:bookmarkEnd w:id="15"/>
    </w:p>
    <w:p w14:paraId="15747975" w14:textId="32CAD34F" w:rsidR="00FF2777" w:rsidRPr="004A73C1" w:rsidRDefault="00FF2777" w:rsidP="00EF2E34">
      <w:pPr>
        <w:spacing w:line="360" w:lineRule="auto"/>
        <w:jc w:val="both"/>
        <w:rPr>
          <w:rFonts w:ascii="Arial" w:hAnsi="Arial" w:cs="Arial"/>
        </w:rPr>
      </w:pPr>
      <w:r w:rsidRPr="004A73C1">
        <w:rPr>
          <w:rFonts w:ascii="Arial" w:hAnsi="Arial" w:cs="Arial"/>
        </w:rPr>
        <w:t>The dissertation aims to examine</w:t>
      </w:r>
      <w:r w:rsidR="00502385" w:rsidRPr="004A73C1">
        <w:rPr>
          <w:rFonts w:ascii="Arial" w:hAnsi="Arial" w:cs="Arial"/>
        </w:rPr>
        <w:t xml:space="preserve"> the impact of Foreign direct investment on the UK Economy</w:t>
      </w:r>
      <w:r w:rsidRPr="004A73C1">
        <w:rPr>
          <w:rFonts w:ascii="Arial" w:hAnsi="Arial" w:cs="Arial"/>
        </w:rPr>
        <w:t xml:space="preserve">. </w:t>
      </w:r>
    </w:p>
    <w:p w14:paraId="385E0218" w14:textId="77777777" w:rsidR="00C750B1" w:rsidRPr="004A73C1" w:rsidRDefault="00FF2777" w:rsidP="00105A1C">
      <w:pPr>
        <w:pStyle w:val="Heading2"/>
        <w:numPr>
          <w:ilvl w:val="1"/>
          <w:numId w:val="56"/>
        </w:numPr>
        <w:spacing w:line="360" w:lineRule="auto"/>
        <w:ind w:left="0" w:firstLine="0"/>
        <w:rPr>
          <w:rFonts w:ascii="Arial" w:hAnsi="Arial" w:cs="Arial"/>
          <w:color w:val="auto"/>
        </w:rPr>
      </w:pPr>
      <w:bookmarkStart w:id="16" w:name="_Toc175056432"/>
      <w:bookmarkStart w:id="17" w:name="_Toc175848093"/>
      <w:r w:rsidRPr="004A73C1">
        <w:rPr>
          <w:rFonts w:ascii="Arial" w:hAnsi="Arial" w:cs="Arial"/>
          <w:color w:val="auto"/>
        </w:rPr>
        <w:t xml:space="preserve">Questions </w:t>
      </w:r>
      <w:r w:rsidR="007D4E14" w:rsidRPr="004A73C1">
        <w:rPr>
          <w:rFonts w:ascii="Arial" w:hAnsi="Arial" w:cs="Arial"/>
          <w:color w:val="auto"/>
        </w:rPr>
        <w:t xml:space="preserve">To Achieve </w:t>
      </w:r>
      <w:bookmarkStart w:id="18" w:name="_Hlk174279874"/>
      <w:r w:rsidR="007D4E14" w:rsidRPr="004A73C1">
        <w:rPr>
          <w:rFonts w:ascii="Arial" w:hAnsi="Arial" w:cs="Arial"/>
          <w:color w:val="auto"/>
        </w:rPr>
        <w:t>My Objectives.</w:t>
      </w:r>
      <w:bookmarkStart w:id="19" w:name="_Hlk170727239"/>
      <w:bookmarkEnd w:id="16"/>
      <w:bookmarkEnd w:id="17"/>
    </w:p>
    <w:p w14:paraId="511B4568" w14:textId="25F1F17B" w:rsidR="00C750B1" w:rsidRPr="004A73C1" w:rsidRDefault="00C750B1" w:rsidP="00C750B1">
      <w:pPr>
        <w:rPr>
          <w:rFonts w:ascii="Arial" w:hAnsi="Arial" w:cs="Arial"/>
        </w:rPr>
      </w:pPr>
      <w:r w:rsidRPr="004A73C1">
        <w:rPr>
          <w:rFonts w:ascii="Arial" w:hAnsi="Arial" w:cs="Arial"/>
        </w:rPr>
        <w:t>Since foreign direct investment is a very broad topic, investigating the following questions will help us to focus on achieving our research objective:</w:t>
      </w:r>
    </w:p>
    <w:p w14:paraId="0DEBAE12" w14:textId="29EA60B3" w:rsidR="00FF2777" w:rsidRPr="004A73C1" w:rsidRDefault="00526F60" w:rsidP="00EF2E34">
      <w:pPr>
        <w:pStyle w:val="ListParagraph"/>
        <w:numPr>
          <w:ilvl w:val="0"/>
          <w:numId w:val="22"/>
        </w:numPr>
        <w:spacing w:after="200" w:line="360" w:lineRule="auto"/>
        <w:ind w:left="0" w:firstLine="0"/>
        <w:jc w:val="both"/>
        <w:rPr>
          <w:rFonts w:ascii="Arial" w:eastAsia="Arial Unicode MS" w:hAnsi="Arial" w:cs="Arial"/>
        </w:rPr>
      </w:pPr>
      <w:r w:rsidRPr="004A73C1">
        <w:rPr>
          <w:rFonts w:ascii="Arial" w:eastAsia="Arial Unicode MS" w:hAnsi="Arial" w:cs="Arial"/>
        </w:rPr>
        <w:t xml:space="preserve">How </w:t>
      </w:r>
      <w:r w:rsidR="00430FD7" w:rsidRPr="004A73C1">
        <w:rPr>
          <w:rFonts w:ascii="Arial" w:eastAsia="Arial Unicode MS" w:hAnsi="Arial" w:cs="Arial"/>
        </w:rPr>
        <w:t xml:space="preserve">do </w:t>
      </w:r>
      <w:r w:rsidR="00C26D98" w:rsidRPr="004A73C1">
        <w:rPr>
          <w:rFonts w:ascii="Arial" w:eastAsia="Arial Unicode MS" w:hAnsi="Arial" w:cs="Arial"/>
        </w:rPr>
        <w:t>the different factors</w:t>
      </w:r>
      <w:r w:rsidR="00430FD7" w:rsidRPr="004A73C1">
        <w:rPr>
          <w:rFonts w:ascii="Arial" w:eastAsia="Arial Unicode MS" w:hAnsi="Arial" w:cs="Arial"/>
        </w:rPr>
        <w:t xml:space="preserve"> more specifically economic condition, political stability and </w:t>
      </w:r>
      <w:r w:rsidR="00430FD7" w:rsidRPr="004A73C1">
        <w:rPr>
          <w:rFonts w:ascii="Arial" w:eastAsia="Arial Unicode MS" w:hAnsi="Arial" w:cs="Arial"/>
        </w:rPr>
        <w:tab/>
        <w:t xml:space="preserve">Labour availability </w:t>
      </w:r>
      <w:r w:rsidRPr="004A73C1">
        <w:rPr>
          <w:rFonts w:ascii="Arial" w:eastAsia="Arial Unicode MS" w:hAnsi="Arial" w:cs="Arial"/>
        </w:rPr>
        <w:t>influence the FDI in the UK</w:t>
      </w:r>
      <w:r w:rsidR="00FF2777" w:rsidRPr="004A73C1">
        <w:rPr>
          <w:rFonts w:ascii="Arial" w:eastAsia="Arial Unicode MS" w:hAnsi="Arial" w:cs="Arial"/>
        </w:rPr>
        <w:t>?</w:t>
      </w:r>
    </w:p>
    <w:p w14:paraId="17560F83" w14:textId="129A7DA9" w:rsidR="00105A1C" w:rsidRPr="004A73C1" w:rsidRDefault="00105A1C" w:rsidP="00105A1C">
      <w:pPr>
        <w:pStyle w:val="ListParagraph"/>
        <w:numPr>
          <w:ilvl w:val="0"/>
          <w:numId w:val="22"/>
        </w:numPr>
        <w:spacing w:after="0" w:line="240" w:lineRule="auto"/>
        <w:rPr>
          <w:rFonts w:ascii="Arial" w:eastAsia="Arial Unicode MS" w:hAnsi="Arial" w:cs="Arial"/>
        </w:rPr>
      </w:pPr>
      <w:r w:rsidRPr="004A73C1">
        <w:rPr>
          <w:rFonts w:ascii="Arial" w:eastAsia="Arial Unicode MS" w:hAnsi="Arial" w:cs="Arial"/>
        </w:rPr>
        <w:tab/>
        <w:t>How did Brexit affect foreign direct investment (FDI) in the UK, specifically investor behaviour following Brexit?</w:t>
      </w:r>
    </w:p>
    <w:p w14:paraId="7B505455" w14:textId="099BFE83" w:rsidR="00FF2777" w:rsidRPr="004A73C1" w:rsidRDefault="00526F60" w:rsidP="00EF2E34">
      <w:pPr>
        <w:pStyle w:val="ListParagraph"/>
        <w:numPr>
          <w:ilvl w:val="0"/>
          <w:numId w:val="22"/>
        </w:numPr>
        <w:spacing w:after="200" w:line="360" w:lineRule="auto"/>
        <w:ind w:left="0" w:firstLine="0"/>
        <w:jc w:val="both"/>
        <w:rPr>
          <w:rFonts w:ascii="Arial" w:eastAsia="Arial Unicode MS" w:hAnsi="Arial" w:cs="Arial"/>
        </w:rPr>
      </w:pPr>
      <w:r w:rsidRPr="004A73C1">
        <w:rPr>
          <w:rFonts w:ascii="Arial" w:eastAsia="Arial Unicode MS" w:hAnsi="Arial" w:cs="Arial"/>
        </w:rPr>
        <w:t xml:space="preserve">How does FDI impact </w:t>
      </w:r>
      <w:r w:rsidR="00FF2777" w:rsidRPr="004A73C1">
        <w:rPr>
          <w:rFonts w:ascii="Arial" w:eastAsia="Arial Unicode MS" w:hAnsi="Arial" w:cs="Arial"/>
        </w:rPr>
        <w:t>economic growth</w:t>
      </w:r>
      <w:r w:rsidR="00430FD7" w:rsidRPr="004A73C1">
        <w:rPr>
          <w:rFonts w:ascii="Arial" w:eastAsia="Arial Unicode MS" w:hAnsi="Arial" w:cs="Arial"/>
        </w:rPr>
        <w:t xml:space="preserve"> </w:t>
      </w:r>
      <w:r w:rsidR="00A61DB1" w:rsidRPr="004A73C1">
        <w:rPr>
          <w:rFonts w:ascii="Arial" w:eastAsia="Arial Unicode MS" w:hAnsi="Arial" w:cs="Arial"/>
        </w:rPr>
        <w:t xml:space="preserve">e.g. </w:t>
      </w:r>
      <w:r w:rsidR="00430FD7" w:rsidRPr="004A73C1">
        <w:rPr>
          <w:rFonts w:ascii="Arial" w:eastAsia="Arial Unicode MS" w:hAnsi="Arial" w:cs="Arial"/>
        </w:rPr>
        <w:t xml:space="preserve">GDP growth in the UK and overall </w:t>
      </w:r>
      <w:r w:rsidR="00A61DB1" w:rsidRPr="004A73C1">
        <w:rPr>
          <w:rFonts w:ascii="Arial" w:eastAsia="Arial Unicode MS" w:hAnsi="Arial" w:cs="Arial"/>
        </w:rPr>
        <w:t>financial</w:t>
      </w:r>
      <w:r w:rsidR="00430FD7" w:rsidRPr="004A73C1">
        <w:rPr>
          <w:rFonts w:ascii="Arial" w:eastAsia="Arial Unicode MS" w:hAnsi="Arial" w:cs="Arial"/>
        </w:rPr>
        <w:t xml:space="preserve"> conditions e.g. Labour market and its impact on the local</w:t>
      </w:r>
      <w:r w:rsidR="00A61DB1" w:rsidRPr="004A73C1">
        <w:rPr>
          <w:rFonts w:ascii="Arial" w:eastAsia="Arial Unicode MS" w:hAnsi="Arial" w:cs="Arial"/>
        </w:rPr>
        <w:t xml:space="preserve"> </w:t>
      </w:r>
      <w:r w:rsidR="00430FD7" w:rsidRPr="004A73C1">
        <w:rPr>
          <w:rFonts w:ascii="Arial" w:eastAsia="Arial Unicode MS" w:hAnsi="Arial" w:cs="Arial"/>
        </w:rPr>
        <w:t>community</w:t>
      </w:r>
      <w:r w:rsidR="00FF2777" w:rsidRPr="004A73C1">
        <w:rPr>
          <w:rFonts w:ascii="Arial" w:eastAsia="Arial Unicode MS" w:hAnsi="Arial" w:cs="Arial"/>
        </w:rPr>
        <w:t>?</w:t>
      </w:r>
    </w:p>
    <w:bookmarkEnd w:id="18"/>
    <w:p w14:paraId="53C0449A" w14:textId="77777777" w:rsidR="00FF2777" w:rsidRPr="004A73C1" w:rsidRDefault="00FF2777" w:rsidP="00EF2E34">
      <w:pPr>
        <w:pStyle w:val="ListParagraph"/>
        <w:spacing w:line="360" w:lineRule="auto"/>
        <w:ind w:left="0"/>
        <w:jc w:val="both"/>
        <w:rPr>
          <w:rFonts w:ascii="Arial" w:eastAsia="Arial Unicode MS" w:hAnsi="Arial" w:cs="Arial"/>
        </w:rPr>
      </w:pPr>
    </w:p>
    <w:p w14:paraId="1214AE60" w14:textId="77777777" w:rsidR="00FF2777" w:rsidRPr="004A73C1" w:rsidRDefault="00FF2777" w:rsidP="00EF2E34">
      <w:pPr>
        <w:spacing w:line="360" w:lineRule="auto"/>
        <w:jc w:val="both"/>
        <w:rPr>
          <w:rFonts w:ascii="Arial" w:eastAsia="Arial Unicode MS" w:hAnsi="Arial" w:cs="Arial"/>
        </w:rPr>
      </w:pPr>
      <w:bookmarkStart w:id="20" w:name="_Toc158078669"/>
      <w:bookmarkEnd w:id="19"/>
      <w:r w:rsidRPr="004A73C1">
        <w:rPr>
          <w:rFonts w:ascii="Arial" w:eastAsia="Arial Unicode MS" w:hAnsi="Arial" w:cs="Arial"/>
        </w:rPr>
        <w:t>This thesis will achieve these goals by thoroughly analysing and integrating various interconnected chapters. It also aims to significantly contribute to understanding foreign direct investment (FDI) and how it affects the United Kingdom.</w:t>
      </w:r>
    </w:p>
    <w:p w14:paraId="43FF405E" w14:textId="3F1CA138" w:rsidR="00FF2777" w:rsidRPr="004A73C1" w:rsidRDefault="00D11768" w:rsidP="00EF2E34">
      <w:pPr>
        <w:pStyle w:val="Heading2"/>
        <w:spacing w:line="360" w:lineRule="auto"/>
        <w:rPr>
          <w:rFonts w:ascii="Arial" w:hAnsi="Arial" w:cs="Arial"/>
          <w:color w:val="auto"/>
        </w:rPr>
      </w:pPr>
      <w:bookmarkStart w:id="21" w:name="_Toc158078670"/>
      <w:bookmarkStart w:id="22" w:name="_Toc175056433"/>
      <w:bookmarkStart w:id="23" w:name="_Toc175848094"/>
      <w:bookmarkEnd w:id="20"/>
      <w:r w:rsidRPr="004A73C1">
        <w:rPr>
          <w:rFonts w:ascii="Arial" w:hAnsi="Arial" w:cs="Arial"/>
          <w:color w:val="auto"/>
        </w:rPr>
        <w:lastRenderedPageBreak/>
        <w:t>1.6</w:t>
      </w:r>
      <w:r w:rsidRPr="004A73C1">
        <w:rPr>
          <w:rFonts w:ascii="Arial" w:hAnsi="Arial" w:cs="Arial"/>
          <w:color w:val="auto"/>
        </w:rPr>
        <w:tab/>
      </w:r>
      <w:r w:rsidR="00C26D98" w:rsidRPr="004A73C1">
        <w:rPr>
          <w:rFonts w:ascii="Arial" w:hAnsi="Arial" w:cs="Arial"/>
          <w:color w:val="auto"/>
        </w:rPr>
        <w:t xml:space="preserve">Brief </w:t>
      </w:r>
      <w:r w:rsidR="00FF2777" w:rsidRPr="004A73C1">
        <w:rPr>
          <w:rFonts w:ascii="Arial" w:hAnsi="Arial" w:cs="Arial"/>
          <w:color w:val="auto"/>
        </w:rPr>
        <w:t>Literature Review</w:t>
      </w:r>
      <w:bookmarkEnd w:id="21"/>
      <w:bookmarkEnd w:id="22"/>
      <w:bookmarkEnd w:id="23"/>
    </w:p>
    <w:p w14:paraId="32553EF9"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Economists emphasise various economic instruments that contribute to developing a country's economy. Factors such as capital requirements, technology, infrastructure, geographical location, investment costs, neighbouring countries, residency status, taxes, political environment, education levels, and foreign direct investment are all essential for economic growth. Additionally, various institutions pave the way for these influential factors. </w:t>
      </w:r>
    </w:p>
    <w:p w14:paraId="55844F64" w14:textId="568DB269" w:rsidR="00502385" w:rsidRPr="004A73C1" w:rsidRDefault="009647F8" w:rsidP="00EF2E34">
      <w:pPr>
        <w:spacing w:line="360" w:lineRule="auto"/>
        <w:jc w:val="both"/>
        <w:rPr>
          <w:rFonts w:ascii="Arial" w:eastAsia="Arial Unicode MS" w:hAnsi="Arial" w:cs="Arial"/>
        </w:rPr>
      </w:pPr>
      <w:r>
        <w:rPr>
          <w:rFonts w:ascii="Arial" w:eastAsia="Arial Unicode MS" w:hAnsi="Arial" w:cs="Arial"/>
        </w:rPr>
        <w:t xml:space="preserve">As per </w:t>
      </w:r>
      <w:r w:rsidRPr="004A73C1">
        <w:rPr>
          <w:rFonts w:ascii="Arial" w:eastAsia="Arial Unicode MS" w:hAnsi="Arial" w:cs="Arial"/>
        </w:rPr>
        <w:t>(Eaton &amp; Kortum, 2002)</w:t>
      </w:r>
      <w:r>
        <w:rPr>
          <w:rFonts w:ascii="Arial" w:eastAsia="Arial Unicode MS" w:hAnsi="Arial" w:cs="Arial"/>
        </w:rPr>
        <w:t>, h</w:t>
      </w:r>
      <w:r w:rsidR="00502385" w:rsidRPr="004A73C1">
        <w:rPr>
          <w:rFonts w:ascii="Arial" w:eastAsia="Arial Unicode MS" w:hAnsi="Arial" w:cs="Arial"/>
        </w:rPr>
        <w:t xml:space="preserve">aving the freedom to trade can make countries better off by allowing them to focus on the industries they are best at. This can help lower the costs of goods, services, and materials </w:t>
      </w:r>
    </w:p>
    <w:p w14:paraId="0B5DB4B8"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Foreign direct investment (FDI) represents a significant catalyst for economic growth in every country. </w:t>
      </w:r>
      <w:proofErr w:type="spellStart"/>
      <w:r w:rsidRPr="004A73C1">
        <w:rPr>
          <w:rFonts w:ascii="Arial" w:eastAsia="Arial Unicode MS" w:hAnsi="Arial" w:cs="Arial"/>
        </w:rPr>
        <w:t>Alesina</w:t>
      </w:r>
      <w:proofErr w:type="spellEnd"/>
      <w:r w:rsidRPr="004A73C1">
        <w:rPr>
          <w:rFonts w:ascii="Arial" w:eastAsia="Arial Unicode MS" w:hAnsi="Arial" w:cs="Arial"/>
        </w:rPr>
        <w:t xml:space="preserve"> and Rodrik (1994) underscore the crucial link between political factors and the economy's overall performance, emphasising the need for political stability and conducive policies. Furthermore, Kuznets (1966) suggested that governments should proactively enact policies that foster economic development, including but not limited to facilitating international trade, embracing new technological advancements, and promoting the dissemination of business knowledge within the domestic economy. These measures are vital for enhancing a nation's economic landscape and competitiveness.</w:t>
      </w:r>
    </w:p>
    <w:p w14:paraId="24EABDA7" w14:textId="5A1BFFC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In 1999, Markusen and Venables conducted research that revealed the substantial impact of FDI on medium</w:t>
      </w:r>
      <w:r w:rsidR="006804DC" w:rsidRPr="004A73C1">
        <w:rPr>
          <w:rFonts w:ascii="Arial" w:eastAsia="Arial Unicode MS" w:hAnsi="Arial" w:cs="Arial"/>
        </w:rPr>
        <w:t>—and small-sized firms. He analysed and emphasised</w:t>
      </w:r>
      <w:r w:rsidRPr="004A73C1">
        <w:rPr>
          <w:rFonts w:ascii="Arial" w:eastAsia="Arial Unicode MS" w:hAnsi="Arial" w:cs="Arial"/>
        </w:rPr>
        <w:t xml:space="preserve"> its economic benefits, such as lower labour costs and reduced raw material prices, which can significantly enhance business profitability.</w:t>
      </w:r>
    </w:p>
    <w:p w14:paraId="3210B71E" w14:textId="693D36E1" w:rsidR="006804DC" w:rsidRPr="004A73C1" w:rsidRDefault="006804DC" w:rsidP="00EF2E34">
      <w:pPr>
        <w:spacing w:line="360" w:lineRule="auto"/>
        <w:jc w:val="both"/>
        <w:rPr>
          <w:rFonts w:ascii="Arial" w:eastAsia="Arial Unicode MS" w:hAnsi="Arial" w:cs="Arial"/>
        </w:rPr>
      </w:pPr>
      <w:r w:rsidRPr="004A73C1">
        <w:rPr>
          <w:rFonts w:ascii="Arial" w:eastAsia="Arial Unicode MS" w:hAnsi="Arial" w:cs="Arial"/>
        </w:rPr>
        <w:t>In recent years, there has been growing research on the impact of Brexit on inward investment and foreign direct investment (FDI) distribution. Previous studies focused on the EU's positive influence on FDI in the UK and potential adverse effects post-Brexit. However, more attention is needed on the EU's competitive impact in attracting foreign investment amidst the uncertain economic conditions surrounding the UK's departure from the EU (</w:t>
      </w:r>
      <w:proofErr w:type="spellStart"/>
      <w:r w:rsidRPr="004A73C1">
        <w:rPr>
          <w:rFonts w:ascii="Arial" w:eastAsia="Arial Unicode MS" w:hAnsi="Arial" w:cs="Arial"/>
        </w:rPr>
        <w:t>Gudgin</w:t>
      </w:r>
      <w:proofErr w:type="spellEnd"/>
      <w:r w:rsidRPr="004A73C1">
        <w:rPr>
          <w:rFonts w:ascii="Arial" w:eastAsia="Arial Unicode MS" w:hAnsi="Arial" w:cs="Arial"/>
        </w:rPr>
        <w:t xml:space="preserve"> et al., 2017).</w:t>
      </w:r>
    </w:p>
    <w:p w14:paraId="61F7890C" w14:textId="07803149"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La </w:t>
      </w:r>
      <w:proofErr w:type="spellStart"/>
      <w:r w:rsidRPr="004A73C1">
        <w:rPr>
          <w:rFonts w:ascii="Arial" w:eastAsia="Arial Unicode MS" w:hAnsi="Arial" w:cs="Arial"/>
        </w:rPr>
        <w:t>ll</w:t>
      </w:r>
      <w:proofErr w:type="spellEnd"/>
      <w:r w:rsidRPr="004A73C1">
        <w:rPr>
          <w:rFonts w:ascii="Arial" w:eastAsia="Arial Unicode MS" w:hAnsi="Arial" w:cs="Arial"/>
        </w:rPr>
        <w:t xml:space="preserve"> (1997b) and Costa (2002) highlighted the substantial benefits of FDI, including technology transfer, increased market access, enhanced productivity, and exports. </w:t>
      </w:r>
      <w:r w:rsidR="009647F8">
        <w:rPr>
          <w:rFonts w:ascii="Arial" w:eastAsia="Arial Unicode MS" w:hAnsi="Arial" w:cs="Arial"/>
        </w:rPr>
        <w:t>As per them, r</w:t>
      </w:r>
      <w:r w:rsidRPr="004A73C1">
        <w:rPr>
          <w:rFonts w:ascii="Arial" w:eastAsia="Arial Unicode MS" w:hAnsi="Arial" w:cs="Arial"/>
        </w:rPr>
        <w:t xml:space="preserve">ecognising these benefits, authorities </w:t>
      </w:r>
      <w:r w:rsidR="006804DC" w:rsidRPr="004A73C1">
        <w:rPr>
          <w:rFonts w:ascii="Arial" w:eastAsia="Arial Unicode MS" w:hAnsi="Arial" w:cs="Arial"/>
        </w:rPr>
        <w:t xml:space="preserve">can </w:t>
      </w:r>
      <w:r w:rsidRPr="004A73C1">
        <w:rPr>
          <w:rFonts w:ascii="Arial" w:eastAsia="Arial Unicode MS" w:hAnsi="Arial" w:cs="Arial"/>
        </w:rPr>
        <w:t xml:space="preserve">offer various incentives, such as special relaxations, government support, and reduced taxes, to attract and motivate investors to bring FDI into the country. In </w:t>
      </w:r>
      <w:r w:rsidR="009A1DF4" w:rsidRPr="004A73C1">
        <w:rPr>
          <w:rFonts w:ascii="Arial" w:eastAsia="Arial Unicode MS" w:hAnsi="Arial" w:cs="Arial"/>
        </w:rPr>
        <w:t>one of the analyses</w:t>
      </w:r>
      <w:r w:rsidRPr="004A73C1">
        <w:rPr>
          <w:rFonts w:ascii="Arial" w:eastAsia="Arial Unicode MS" w:hAnsi="Arial" w:cs="Arial"/>
        </w:rPr>
        <w:t xml:space="preserve"> of location selection and the decision-making process for foreign direct investment (FDI), Chen (1996)</w:t>
      </w:r>
      <w:r w:rsidR="009647F8">
        <w:rPr>
          <w:rFonts w:ascii="Arial" w:eastAsia="Arial Unicode MS" w:hAnsi="Arial" w:cs="Arial"/>
        </w:rPr>
        <w:t>,</w:t>
      </w:r>
      <w:r w:rsidRPr="004A73C1">
        <w:rPr>
          <w:rFonts w:ascii="Arial" w:eastAsia="Arial Unicode MS" w:hAnsi="Arial" w:cs="Arial"/>
        </w:rPr>
        <w:t xml:space="preserve"> underscored several critical determinants. He posited that FDI is intricately linked to location-specific attributes and the potential for market </w:t>
      </w:r>
      <w:r w:rsidR="009A1DF4" w:rsidRPr="004A73C1">
        <w:rPr>
          <w:rFonts w:ascii="Arial" w:eastAsia="Arial Unicode MS" w:hAnsi="Arial" w:cs="Arial"/>
        </w:rPr>
        <w:t xml:space="preserve">expansion. </w:t>
      </w:r>
    </w:p>
    <w:p w14:paraId="6C7B48DA" w14:textId="113FB8A0"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It is essential to acknowledge that market attractiveness varies across regions, contingent on factors such as the legal framework, economic outlook, political stability, and government directives. From 1985 to 2013, a study by Bruno, Campos, Estrin, and Tian (2016) used </w:t>
      </w:r>
      <w:r w:rsidRPr="004A73C1">
        <w:rPr>
          <w:rFonts w:ascii="Arial" w:eastAsia="Arial Unicode MS" w:hAnsi="Arial" w:cs="Arial"/>
        </w:rPr>
        <w:lastRenderedPageBreak/>
        <w:t xml:space="preserve">foreign direct investment (FDI) data between 34 OECD countries. They </w:t>
      </w:r>
      <w:r w:rsidR="009A1DF4" w:rsidRPr="004A73C1">
        <w:rPr>
          <w:rFonts w:ascii="Arial" w:eastAsia="Arial Unicode MS" w:hAnsi="Arial" w:cs="Arial"/>
        </w:rPr>
        <w:t xml:space="preserve">analyse </w:t>
      </w:r>
      <w:r w:rsidRPr="004A73C1">
        <w:rPr>
          <w:rFonts w:ascii="Arial" w:eastAsia="Arial Unicode MS" w:hAnsi="Arial" w:cs="Arial"/>
        </w:rPr>
        <w:t>how joining the EU would affect FDI flows between countries. The study considered factors like market size (measured by GDP), distance between countries, and GDP per capita. This approach help</w:t>
      </w:r>
      <w:r w:rsidR="00415B7E" w:rsidRPr="004A73C1">
        <w:rPr>
          <w:rFonts w:ascii="Arial" w:eastAsia="Arial Unicode MS" w:hAnsi="Arial" w:cs="Arial"/>
        </w:rPr>
        <w:t>ed</w:t>
      </w:r>
      <w:r w:rsidRPr="004A73C1">
        <w:rPr>
          <w:rFonts w:ascii="Arial" w:eastAsia="Arial Unicode MS" w:hAnsi="Arial" w:cs="Arial"/>
        </w:rPr>
        <w:t xml:space="preserve"> </w:t>
      </w:r>
      <w:r w:rsidR="009A1DF4" w:rsidRPr="004A73C1">
        <w:rPr>
          <w:rFonts w:ascii="Arial" w:eastAsia="Arial Unicode MS" w:hAnsi="Arial" w:cs="Arial"/>
        </w:rPr>
        <w:t xml:space="preserve">us </w:t>
      </w:r>
      <w:r w:rsidR="00415B7E" w:rsidRPr="004A73C1">
        <w:rPr>
          <w:rFonts w:ascii="Arial" w:eastAsia="Arial Unicode MS" w:hAnsi="Arial" w:cs="Arial"/>
        </w:rPr>
        <w:t xml:space="preserve">to </w:t>
      </w:r>
      <w:r w:rsidR="006804DC" w:rsidRPr="004A73C1">
        <w:rPr>
          <w:rFonts w:ascii="Arial" w:eastAsia="Arial Unicode MS" w:hAnsi="Arial" w:cs="Arial"/>
        </w:rPr>
        <w:t>understand EU membership's specific impact</w:t>
      </w:r>
      <w:r w:rsidRPr="004A73C1">
        <w:rPr>
          <w:rFonts w:ascii="Arial" w:eastAsia="Arial Unicode MS" w:hAnsi="Arial" w:cs="Arial"/>
        </w:rPr>
        <w:t xml:space="preserve"> on FDI flows. </w:t>
      </w:r>
    </w:p>
    <w:p w14:paraId="08BF5DF2" w14:textId="195BEBB9" w:rsidR="006804DC" w:rsidRPr="004A73C1" w:rsidRDefault="00D11768" w:rsidP="00EF2E34">
      <w:pPr>
        <w:pStyle w:val="Heading2"/>
        <w:spacing w:line="360" w:lineRule="auto"/>
        <w:rPr>
          <w:rFonts w:ascii="Arial" w:hAnsi="Arial" w:cs="Arial"/>
          <w:color w:val="auto"/>
        </w:rPr>
      </w:pPr>
      <w:bookmarkStart w:id="24" w:name="_Toc175056434"/>
      <w:bookmarkStart w:id="25" w:name="_Toc175848095"/>
      <w:r w:rsidRPr="004A73C1">
        <w:rPr>
          <w:rFonts w:ascii="Arial" w:hAnsi="Arial" w:cs="Arial"/>
          <w:color w:val="auto"/>
        </w:rPr>
        <w:t>1.7</w:t>
      </w:r>
      <w:r w:rsidRPr="004A73C1">
        <w:rPr>
          <w:rFonts w:ascii="Arial" w:hAnsi="Arial" w:cs="Arial"/>
          <w:color w:val="auto"/>
        </w:rPr>
        <w:tab/>
      </w:r>
      <w:r w:rsidR="006804DC" w:rsidRPr="004A73C1">
        <w:rPr>
          <w:rFonts w:ascii="Arial" w:hAnsi="Arial" w:cs="Arial"/>
          <w:color w:val="auto"/>
        </w:rPr>
        <w:t>Research Gaps</w:t>
      </w:r>
      <w:bookmarkEnd w:id="24"/>
      <w:bookmarkEnd w:id="25"/>
      <w:r w:rsidR="006804DC" w:rsidRPr="004A73C1">
        <w:rPr>
          <w:rFonts w:ascii="Arial" w:hAnsi="Arial" w:cs="Arial"/>
          <w:color w:val="auto"/>
        </w:rPr>
        <w:t xml:space="preserve"> </w:t>
      </w:r>
    </w:p>
    <w:p w14:paraId="3083C928" w14:textId="30B39FFC" w:rsidR="006804DC" w:rsidRPr="004A73C1" w:rsidRDefault="00105A1C" w:rsidP="00EF2E34">
      <w:pPr>
        <w:pStyle w:val="ListParagraph"/>
        <w:spacing w:after="200" w:line="360" w:lineRule="auto"/>
        <w:ind w:left="0"/>
        <w:jc w:val="both"/>
        <w:rPr>
          <w:rFonts w:ascii="Arial" w:hAnsi="Arial" w:cs="Arial"/>
        </w:rPr>
      </w:pPr>
      <w:r w:rsidRPr="004A73C1">
        <w:rPr>
          <w:rFonts w:ascii="Arial" w:hAnsi="Arial" w:cs="Arial"/>
        </w:rPr>
        <w:t>In this research, we will try to cover the f</w:t>
      </w:r>
      <w:r w:rsidR="006804DC" w:rsidRPr="004A73C1">
        <w:rPr>
          <w:rFonts w:ascii="Arial" w:hAnsi="Arial" w:cs="Arial"/>
        </w:rPr>
        <w:t xml:space="preserve">ollowing research gaps, </w:t>
      </w:r>
      <w:r w:rsidRPr="004A73C1">
        <w:rPr>
          <w:rFonts w:ascii="Arial" w:hAnsi="Arial" w:cs="Arial"/>
        </w:rPr>
        <w:t>h</w:t>
      </w:r>
      <w:r w:rsidR="006804DC" w:rsidRPr="004A73C1">
        <w:rPr>
          <w:rFonts w:ascii="Arial" w:hAnsi="Arial" w:cs="Arial"/>
        </w:rPr>
        <w:t>owever, the topic is broad, and tackling all the gaps is challenging.</w:t>
      </w:r>
    </w:p>
    <w:p w14:paraId="25E028C6" w14:textId="77777777" w:rsidR="00105A1C" w:rsidRPr="004A73C1" w:rsidRDefault="00105A1C" w:rsidP="00EF2E34">
      <w:pPr>
        <w:pStyle w:val="ListParagraph"/>
        <w:spacing w:after="200" w:line="360" w:lineRule="auto"/>
        <w:ind w:left="0"/>
        <w:jc w:val="both"/>
        <w:rPr>
          <w:rFonts w:ascii="Arial" w:eastAsia="Arial Unicode MS" w:hAnsi="Arial" w:cs="Arial"/>
        </w:rPr>
      </w:pPr>
    </w:p>
    <w:p w14:paraId="4AC8DEDE" w14:textId="1F7EC9B6" w:rsidR="006804DC" w:rsidRPr="004A73C1" w:rsidRDefault="00105A1C" w:rsidP="00EF2E34">
      <w:pPr>
        <w:pStyle w:val="ListParagraph"/>
        <w:numPr>
          <w:ilvl w:val="0"/>
          <w:numId w:val="52"/>
        </w:numPr>
        <w:spacing w:after="200" w:line="360" w:lineRule="auto"/>
        <w:jc w:val="both"/>
        <w:rPr>
          <w:rFonts w:ascii="Arial" w:eastAsia="Arial Unicode MS" w:hAnsi="Arial" w:cs="Arial"/>
        </w:rPr>
      </w:pPr>
      <w:r w:rsidRPr="004A73C1">
        <w:rPr>
          <w:rFonts w:ascii="Arial" w:eastAsia="Arial Unicode MS" w:hAnsi="Arial" w:cs="Arial"/>
        </w:rPr>
        <w:t>E</w:t>
      </w:r>
      <w:r w:rsidR="006804DC" w:rsidRPr="004A73C1">
        <w:rPr>
          <w:rFonts w:ascii="Arial" w:eastAsia="Arial Unicode MS" w:hAnsi="Arial" w:cs="Arial"/>
        </w:rPr>
        <w:t>xploration and continuous analysis are crucial to filling the gaps in foreign direct investment (FDI).</w:t>
      </w:r>
      <w:r w:rsidRPr="004A73C1">
        <w:rPr>
          <w:rFonts w:ascii="Arial" w:eastAsia="Arial Unicode MS" w:hAnsi="Arial" w:cs="Arial"/>
        </w:rPr>
        <w:t xml:space="preserve"> W</w:t>
      </w:r>
      <w:r w:rsidR="006804DC" w:rsidRPr="004A73C1">
        <w:rPr>
          <w:rFonts w:ascii="Arial" w:eastAsia="Arial Unicode MS" w:hAnsi="Arial" w:cs="Arial"/>
        </w:rPr>
        <w:t xml:space="preserve">e must thoroughly analyse how Brexit impacts FDI in the United Kingdom and study the factors influencing FDI inflows and outflows in the UK before and after Brexit, as the time and data availability are changing year by year, and continuous study is needed in this context. </w:t>
      </w:r>
    </w:p>
    <w:p w14:paraId="171AD49A" w14:textId="77777777" w:rsidR="006804DC" w:rsidRPr="004A73C1" w:rsidRDefault="006804DC" w:rsidP="00EF2E34">
      <w:pPr>
        <w:pStyle w:val="ListParagraph"/>
        <w:spacing w:line="360" w:lineRule="auto"/>
        <w:ind w:left="0"/>
        <w:jc w:val="both"/>
        <w:rPr>
          <w:rFonts w:ascii="Arial" w:eastAsia="Arial Unicode MS" w:hAnsi="Arial" w:cs="Arial"/>
        </w:rPr>
      </w:pPr>
    </w:p>
    <w:p w14:paraId="7B5AC546" w14:textId="77777777" w:rsidR="006804DC" w:rsidRPr="004A73C1" w:rsidRDefault="006804DC" w:rsidP="00EF2E34">
      <w:pPr>
        <w:pStyle w:val="ListParagraph"/>
        <w:numPr>
          <w:ilvl w:val="0"/>
          <w:numId w:val="52"/>
        </w:numPr>
        <w:spacing w:after="200" w:line="360" w:lineRule="auto"/>
        <w:jc w:val="both"/>
        <w:rPr>
          <w:rFonts w:ascii="Arial" w:eastAsia="Arial Unicode MS" w:hAnsi="Arial" w:cs="Arial"/>
        </w:rPr>
      </w:pPr>
      <w:r w:rsidRPr="004A73C1">
        <w:rPr>
          <w:rFonts w:ascii="Arial" w:eastAsia="Arial Unicode MS" w:hAnsi="Arial" w:cs="Arial"/>
        </w:rPr>
        <w:t>more detailed and longitudinal studies are required to understand the long-term implications of FDI on the UK economy, including its effects on employment, economic growth, and industry dynamics. Furthermore, more literature is needed on the role of governmental policies and regulations in attracting or deterring FDI in the UK, which requires further exploration and analysis.</w:t>
      </w:r>
    </w:p>
    <w:p w14:paraId="644F0A82" w14:textId="77777777" w:rsidR="006804DC" w:rsidRPr="004A73C1" w:rsidRDefault="006804DC" w:rsidP="00EF2E34">
      <w:pPr>
        <w:pStyle w:val="ListParagraph"/>
        <w:spacing w:line="360" w:lineRule="auto"/>
        <w:ind w:left="0"/>
        <w:jc w:val="both"/>
        <w:rPr>
          <w:rFonts w:ascii="Arial" w:eastAsia="Arial Unicode MS" w:hAnsi="Arial" w:cs="Arial"/>
        </w:rPr>
      </w:pPr>
    </w:p>
    <w:p w14:paraId="475315A3" w14:textId="77777777" w:rsidR="006804DC" w:rsidRPr="004A73C1" w:rsidRDefault="006804DC" w:rsidP="00EF2E34">
      <w:pPr>
        <w:pStyle w:val="ListParagraph"/>
        <w:numPr>
          <w:ilvl w:val="0"/>
          <w:numId w:val="52"/>
        </w:numPr>
        <w:spacing w:after="200" w:line="360" w:lineRule="auto"/>
        <w:jc w:val="both"/>
        <w:rPr>
          <w:rFonts w:ascii="Arial" w:eastAsia="Arial Unicode MS" w:hAnsi="Arial" w:cs="Arial"/>
        </w:rPr>
      </w:pPr>
      <w:r w:rsidRPr="004A73C1">
        <w:rPr>
          <w:rFonts w:ascii="Arial" w:eastAsia="Arial Unicode MS" w:hAnsi="Arial" w:cs="Arial"/>
        </w:rPr>
        <w:t>Moreover, there are gaps in research regarding the changing patterns and trends in FDI inflows and outflows in the UK, necessitating more comprehensive studies to capture the evolving nature of FDI activities in the country.</w:t>
      </w:r>
    </w:p>
    <w:p w14:paraId="64A82634" w14:textId="5C4A960E" w:rsidR="00FF2777" w:rsidRPr="004A73C1" w:rsidRDefault="00D11768" w:rsidP="00EF2E34">
      <w:pPr>
        <w:pStyle w:val="Heading2"/>
        <w:spacing w:line="360" w:lineRule="auto"/>
        <w:rPr>
          <w:rFonts w:ascii="Arial" w:hAnsi="Arial" w:cs="Arial"/>
          <w:color w:val="auto"/>
        </w:rPr>
      </w:pPr>
      <w:bookmarkStart w:id="26" w:name="_Toc158078677"/>
      <w:bookmarkStart w:id="27" w:name="_Toc175056435"/>
      <w:bookmarkStart w:id="28" w:name="_Toc175848096"/>
      <w:r w:rsidRPr="004A73C1">
        <w:rPr>
          <w:rFonts w:ascii="Arial" w:hAnsi="Arial" w:cs="Arial"/>
          <w:color w:val="auto"/>
        </w:rPr>
        <w:t>1.8</w:t>
      </w:r>
      <w:r w:rsidRPr="004A73C1">
        <w:rPr>
          <w:rFonts w:ascii="Arial" w:hAnsi="Arial" w:cs="Arial"/>
          <w:color w:val="auto"/>
        </w:rPr>
        <w:tab/>
      </w:r>
      <w:r w:rsidR="00FF2777" w:rsidRPr="004A73C1">
        <w:rPr>
          <w:rFonts w:ascii="Arial" w:hAnsi="Arial" w:cs="Arial"/>
          <w:color w:val="auto"/>
        </w:rPr>
        <w:t>Methodology</w:t>
      </w:r>
      <w:bookmarkEnd w:id="26"/>
      <w:bookmarkEnd w:id="27"/>
      <w:bookmarkEnd w:id="28"/>
    </w:p>
    <w:p w14:paraId="43384851" w14:textId="56FB1F7C" w:rsidR="00415B7E" w:rsidRPr="004A73C1" w:rsidRDefault="00D11768" w:rsidP="003F68BF">
      <w:pPr>
        <w:pStyle w:val="Heading2"/>
        <w:rPr>
          <w:rFonts w:ascii="Arial" w:eastAsia="Arial Unicode MS" w:hAnsi="Arial" w:cs="Arial"/>
          <w:color w:val="auto"/>
        </w:rPr>
      </w:pPr>
      <w:bookmarkStart w:id="29" w:name="_Toc175056436"/>
      <w:bookmarkStart w:id="30" w:name="_Toc175848097"/>
      <w:r w:rsidRPr="004A73C1">
        <w:rPr>
          <w:rFonts w:ascii="Arial" w:eastAsia="Arial Unicode MS" w:hAnsi="Arial" w:cs="Arial"/>
          <w:color w:val="auto"/>
        </w:rPr>
        <w:t>1.9</w:t>
      </w:r>
      <w:r w:rsidRPr="004A73C1">
        <w:rPr>
          <w:rFonts w:ascii="Arial" w:eastAsia="Arial Unicode MS" w:hAnsi="Arial" w:cs="Arial"/>
          <w:color w:val="auto"/>
        </w:rPr>
        <w:tab/>
      </w:r>
      <w:r w:rsidR="00415B7E" w:rsidRPr="004A73C1">
        <w:rPr>
          <w:rStyle w:val="Heading2Char"/>
          <w:rFonts w:ascii="Arial" w:hAnsi="Arial" w:cs="Arial"/>
          <w:color w:val="auto"/>
        </w:rPr>
        <w:t>Quantitative Analysis Methodology</w:t>
      </w:r>
      <w:bookmarkEnd w:id="29"/>
      <w:bookmarkEnd w:id="30"/>
    </w:p>
    <w:p w14:paraId="00BBDC99" w14:textId="77777777" w:rsidR="00415B7E" w:rsidRPr="004A73C1" w:rsidRDefault="00415B7E" w:rsidP="00EF2E34">
      <w:pPr>
        <w:spacing w:line="360" w:lineRule="auto"/>
        <w:rPr>
          <w:rFonts w:ascii="Arial" w:hAnsi="Arial" w:cs="Arial"/>
        </w:rPr>
      </w:pPr>
    </w:p>
    <w:p w14:paraId="5B188270" w14:textId="7995DCC7" w:rsidR="00C36DB2" w:rsidRPr="004A73C1" w:rsidRDefault="00C36DB2" w:rsidP="00EF2E34">
      <w:pPr>
        <w:spacing w:line="360" w:lineRule="auto"/>
        <w:jc w:val="both"/>
        <w:rPr>
          <w:rFonts w:ascii="Arial" w:eastAsia="Arial Unicode MS" w:hAnsi="Arial" w:cs="Arial"/>
        </w:rPr>
      </w:pPr>
      <w:r w:rsidRPr="004A73C1">
        <w:rPr>
          <w:rFonts w:ascii="Arial" w:eastAsia="Arial Unicode MS" w:hAnsi="Arial" w:cs="Arial"/>
        </w:rPr>
        <w:t>For this dissertation, we will employ a quantitative analysis methodology. Our research topic focuses on Foreign Direct Investment (FDI), requiring us to access real-time information via secondary data sources. This approach will allow us to effectively analyse the impact of FDI on the target areas and draw valuable insights.</w:t>
      </w:r>
    </w:p>
    <w:p w14:paraId="059738C3" w14:textId="593F1783" w:rsidR="00FF2777" w:rsidRPr="004A73C1" w:rsidRDefault="00415B7E" w:rsidP="00EF2E34">
      <w:pPr>
        <w:spacing w:line="360" w:lineRule="auto"/>
        <w:jc w:val="both"/>
        <w:rPr>
          <w:rFonts w:ascii="Arial" w:eastAsia="Arial Unicode MS" w:hAnsi="Arial" w:cs="Arial"/>
        </w:rPr>
      </w:pPr>
      <w:r w:rsidRPr="004A73C1">
        <w:rPr>
          <w:rFonts w:ascii="Arial" w:eastAsia="Arial Unicode MS" w:hAnsi="Arial" w:cs="Arial"/>
        </w:rPr>
        <w:t>Q</w:t>
      </w:r>
      <w:r w:rsidR="00FF2777" w:rsidRPr="004A73C1">
        <w:rPr>
          <w:rFonts w:ascii="Arial" w:eastAsia="Arial Unicode MS" w:hAnsi="Arial" w:cs="Arial"/>
        </w:rPr>
        <w:t>uantitative methods will be used to analyse large datasets about FDI inflows and outflows, economic indicators, and market trends. This approach, which uses statistical tools and econometric models, aims to quantify the impact of FDI on various aspects of the UK economy and assess the changes post-Brexit.</w:t>
      </w:r>
    </w:p>
    <w:p w14:paraId="1569479E"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A comparative analysis will also examine pre- and post-Brexit scenarios, considering relevant factors influencing FDI and economic conditions. This will provide a nuanced understanding of how Brexit has affected FDI in the UK.</w:t>
      </w:r>
    </w:p>
    <w:p w14:paraId="02ED2369" w14:textId="5F94E9B5"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lastRenderedPageBreak/>
        <w:t xml:space="preserve">Furthermore, a thorough literature review will consolidate </w:t>
      </w:r>
      <w:r w:rsidR="00415B7E" w:rsidRPr="004A73C1">
        <w:rPr>
          <w:rFonts w:ascii="Arial" w:eastAsia="Arial Unicode MS" w:hAnsi="Arial" w:cs="Arial"/>
        </w:rPr>
        <w:t>knowledge,</w:t>
      </w:r>
      <w:r w:rsidRPr="004A73C1">
        <w:rPr>
          <w:rFonts w:ascii="Arial" w:eastAsia="Arial Unicode MS" w:hAnsi="Arial" w:cs="Arial"/>
        </w:rPr>
        <w:t xml:space="preserve"> and theories related to FDI, economic impact assessment, and the influence of geopolitical events on international investment.</w:t>
      </w:r>
    </w:p>
    <w:p w14:paraId="5E7430A9" w14:textId="0A47E99C"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Overall, th</w:t>
      </w:r>
      <w:r w:rsidR="00415B7E" w:rsidRPr="004A73C1">
        <w:rPr>
          <w:rFonts w:ascii="Arial" w:eastAsia="Arial Unicode MS" w:hAnsi="Arial" w:cs="Arial"/>
        </w:rPr>
        <w:t>is</w:t>
      </w:r>
      <w:r w:rsidRPr="004A73C1">
        <w:rPr>
          <w:rFonts w:ascii="Arial" w:eastAsia="Arial Unicode MS" w:hAnsi="Arial" w:cs="Arial"/>
        </w:rPr>
        <w:t xml:space="preserve"> methodology will provide a robust and comprehensive analysis of foreign direct investment in the United Kingdom, considering the implications of Brexit on FDI and the broader economy.</w:t>
      </w:r>
    </w:p>
    <w:p w14:paraId="2A7BA21C" w14:textId="6E736814" w:rsidR="00FF2777" w:rsidRPr="004A73C1" w:rsidRDefault="00D11768" w:rsidP="003F68BF">
      <w:pPr>
        <w:pStyle w:val="Heading2"/>
        <w:rPr>
          <w:rFonts w:ascii="Arial" w:hAnsi="Arial" w:cs="Arial"/>
          <w:color w:val="auto"/>
        </w:rPr>
      </w:pPr>
      <w:bookmarkStart w:id="31" w:name="_Toc175056437"/>
      <w:bookmarkStart w:id="32" w:name="_Toc175848098"/>
      <w:r w:rsidRPr="004A73C1">
        <w:rPr>
          <w:rFonts w:ascii="Arial" w:hAnsi="Arial" w:cs="Arial"/>
          <w:color w:val="auto"/>
        </w:rPr>
        <w:t>1.10</w:t>
      </w:r>
      <w:r w:rsidRPr="004A73C1">
        <w:rPr>
          <w:rFonts w:ascii="Arial" w:hAnsi="Arial" w:cs="Arial"/>
          <w:color w:val="auto"/>
        </w:rPr>
        <w:tab/>
      </w:r>
      <w:r w:rsidR="00FF2777" w:rsidRPr="004A73C1">
        <w:rPr>
          <w:rFonts w:ascii="Arial" w:hAnsi="Arial" w:cs="Arial"/>
          <w:color w:val="auto"/>
        </w:rPr>
        <w:t>Data Collection</w:t>
      </w:r>
      <w:bookmarkEnd w:id="31"/>
      <w:bookmarkEnd w:id="32"/>
    </w:p>
    <w:p w14:paraId="644E1042" w14:textId="77777777" w:rsidR="00842DCD" w:rsidRPr="00842DCD" w:rsidRDefault="00842DCD" w:rsidP="00842DCD">
      <w:pPr>
        <w:spacing w:line="360" w:lineRule="auto"/>
        <w:jc w:val="both"/>
        <w:rPr>
          <w:rFonts w:ascii="Arial" w:eastAsia="Arial Unicode MS" w:hAnsi="Arial" w:cs="Arial"/>
        </w:rPr>
      </w:pPr>
      <w:r w:rsidRPr="00842DCD">
        <w:rPr>
          <w:rFonts w:ascii="Arial" w:eastAsia="Arial Unicode MS" w:hAnsi="Arial" w:cs="Arial"/>
        </w:rPr>
        <w:t xml:space="preserve">To begin gathering data on foreign direct investment (FDI), I can consult sources such as the UK Office for National Statistics (ONS), the Department for International Trade (DIT), and the United Nations Conference on Trade and Development (UNCTAD) database. </w:t>
      </w:r>
    </w:p>
    <w:p w14:paraId="6406C710" w14:textId="285BC981"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These sources provide comprehensive and reliable information on FDI flows, stock, and trends. Additionally, consulting academic journals, research papers, and reports on FDI in the UK can offer valuable insights. For a more specific approach, collecting data on FDI requires attention to detail, ensuring that I am using reputable sources, and considering factors such as FDI inflows, outflows, sectors, and geographical distribution.</w:t>
      </w:r>
    </w:p>
    <w:p w14:paraId="730FA82C" w14:textId="1E003249" w:rsidR="00FF2777" w:rsidRPr="004A73C1" w:rsidRDefault="00D11768" w:rsidP="003F68BF">
      <w:pPr>
        <w:pStyle w:val="Heading2"/>
        <w:rPr>
          <w:rFonts w:ascii="Arial" w:hAnsi="Arial" w:cs="Arial"/>
          <w:color w:val="auto"/>
        </w:rPr>
      </w:pPr>
      <w:bookmarkStart w:id="33" w:name="_Toc175056438"/>
      <w:bookmarkStart w:id="34" w:name="_Toc175848099"/>
      <w:r w:rsidRPr="004A73C1">
        <w:rPr>
          <w:rFonts w:ascii="Arial" w:hAnsi="Arial" w:cs="Arial"/>
          <w:color w:val="auto"/>
        </w:rPr>
        <w:t>1.11</w:t>
      </w:r>
      <w:r w:rsidRPr="004A73C1">
        <w:rPr>
          <w:rFonts w:ascii="Arial" w:hAnsi="Arial" w:cs="Arial"/>
          <w:color w:val="auto"/>
        </w:rPr>
        <w:tab/>
      </w:r>
      <w:r w:rsidR="00FF2777" w:rsidRPr="004A73C1">
        <w:rPr>
          <w:rFonts w:ascii="Arial" w:hAnsi="Arial" w:cs="Arial"/>
          <w:color w:val="auto"/>
        </w:rPr>
        <w:t>Systematic Approach</w:t>
      </w:r>
      <w:bookmarkEnd w:id="33"/>
      <w:bookmarkEnd w:id="34"/>
    </w:p>
    <w:p w14:paraId="3AB38763" w14:textId="2E466B66"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A systematic approach for my dissertation on foreign direct investment (FDI) in the United Kingdom involves the following steps:</w:t>
      </w:r>
    </w:p>
    <w:p w14:paraId="145DADEB"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1. Define the Research Questions: Clearly define the main research questions I aim to address in my dissertation. These questions should guide me in investigating the impact of FDI on the UK economy and the effects of Brexit on FDI.</w:t>
      </w:r>
    </w:p>
    <w:p w14:paraId="68E5D8C0"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2. Literature Review: I will Conduct a comprehensive literature review to understand the existing knowledge and research gaps related to FDI in the UK. This will help me build a solid theoretical foundation for my study and identify the critical factors studied in previous research.</w:t>
      </w:r>
    </w:p>
    <w:p w14:paraId="54B9296C"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3. Data Collection and Analysis: To Collect relevant data on FDI inflows, outflows, and stock in the UK from credible sources such as government agencies, international organisations, and academic publications. Utilise statistical and econometric methods to analyse the data and draw meaningful insights.</w:t>
      </w:r>
    </w:p>
    <w:p w14:paraId="5E76EEBF"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4. Methodology: I clearly outline the methodology I plan to use for data collection, analysis, and interpretation and explain why the chosen methods are appropriate for addressing my research questions.</w:t>
      </w:r>
    </w:p>
    <w:p w14:paraId="13B1FF6A"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5. Empirical Analysis: Present the findings of my empirical analysis, highlighting the impact of FDI on the UK economy and any observable trends before and after Brexit.</w:t>
      </w:r>
    </w:p>
    <w:p w14:paraId="2EA039CF"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6. Discussion and Implications: Discuss the implications of my findings in the context of economic theory and policy. Consider the potential effects of Brexit on FDI and how they may shape the future financial landscape of the UK.</w:t>
      </w:r>
    </w:p>
    <w:p w14:paraId="53D68BCC"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lastRenderedPageBreak/>
        <w:t>7. Conclusion: Conclude by summarising the key findings of my research and discussing the broader implications of my work. Provide recommendations for policymakers and practitioners based on my findings.</w:t>
      </w:r>
    </w:p>
    <w:p w14:paraId="68BDE387"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By following this rational approach, I can ensure that my dissertation on FDI in the UK is well-structured, thoroughly researched, and contributes to the existing body of knowledge in this field.</w:t>
      </w:r>
    </w:p>
    <w:p w14:paraId="57CEAAC0" w14:textId="0895DD96" w:rsidR="00FF2777" w:rsidRPr="004A73C1" w:rsidRDefault="00D11768" w:rsidP="00EF2E34">
      <w:pPr>
        <w:pStyle w:val="Heading2"/>
        <w:spacing w:line="360" w:lineRule="auto"/>
        <w:rPr>
          <w:rFonts w:ascii="Arial" w:hAnsi="Arial" w:cs="Arial"/>
          <w:color w:val="auto"/>
        </w:rPr>
      </w:pPr>
      <w:bookmarkStart w:id="35" w:name="_Toc175056439"/>
      <w:bookmarkStart w:id="36" w:name="_Toc175848100"/>
      <w:r w:rsidRPr="004A73C1">
        <w:rPr>
          <w:rFonts w:ascii="Arial" w:hAnsi="Arial" w:cs="Arial"/>
          <w:color w:val="auto"/>
        </w:rPr>
        <w:t>1.12</w:t>
      </w:r>
      <w:r w:rsidR="003F68BF" w:rsidRPr="004A73C1">
        <w:rPr>
          <w:rFonts w:ascii="Arial" w:hAnsi="Arial" w:cs="Arial"/>
          <w:color w:val="auto"/>
        </w:rPr>
        <w:tab/>
      </w:r>
      <w:r w:rsidR="00FF2777" w:rsidRPr="004A73C1">
        <w:rPr>
          <w:rFonts w:ascii="Arial" w:hAnsi="Arial" w:cs="Arial"/>
          <w:color w:val="auto"/>
        </w:rPr>
        <w:t>Potential Risks</w:t>
      </w:r>
      <w:bookmarkEnd w:id="35"/>
      <w:bookmarkEnd w:id="36"/>
    </w:p>
    <w:p w14:paraId="2E79797E"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Some potential risks to consider include:</w:t>
      </w:r>
    </w:p>
    <w:p w14:paraId="0536A647"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1. Data Availability: Access to accurate and reliable data on FDI inflows and outflows, especially post-Brexit, may be limited. Ensuring the availability and credibility of data sources is crucial to the success of my research.</w:t>
      </w:r>
    </w:p>
    <w:p w14:paraId="1C959A8E" w14:textId="0CF31028"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2. Brexit Uncertainties: The impact of Brexit on FDI may still be uncertain and subject to ongoing developments. </w:t>
      </w:r>
      <w:r w:rsidR="006804DC" w:rsidRPr="004A73C1">
        <w:rPr>
          <w:rFonts w:ascii="Arial" w:eastAsia="Arial Unicode MS" w:hAnsi="Arial" w:cs="Arial"/>
        </w:rPr>
        <w:t>I must consider</w:t>
      </w:r>
      <w:r w:rsidR="00BF0083" w:rsidRPr="004A73C1">
        <w:rPr>
          <w:rFonts w:ascii="Arial" w:eastAsia="Arial Unicode MS" w:hAnsi="Arial" w:cs="Arial"/>
        </w:rPr>
        <w:t xml:space="preserve"> and address these uncertainties in my analysis and interpretation of results</w:t>
      </w:r>
      <w:r w:rsidRPr="004A73C1">
        <w:rPr>
          <w:rFonts w:ascii="Arial" w:eastAsia="Arial Unicode MS" w:hAnsi="Arial" w:cs="Arial"/>
        </w:rPr>
        <w:t>.</w:t>
      </w:r>
    </w:p>
    <w:p w14:paraId="32570C3C"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3. Macro-Economic Factors: FDI is influenced by various macroeconomic variables such as exchange rates, interest rates, and global economic conditions. These factors can be volatile and may impact the stability of FDI flows.</w:t>
      </w:r>
    </w:p>
    <w:p w14:paraId="507D1AAF"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4. Regulatory Changes: Changes in policies, trade agreements, and investment regulations, especially in the post-Brexit UK, may create uncertainties and potential barriers to FDI.</w:t>
      </w:r>
    </w:p>
    <w:p w14:paraId="6A7590F3"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5. Limited Research Scope: Ensuring that the scope of my dissertation is comprehensive enough to capture the diverse factors influencing FDI while also being focused enough to provide specific and meaningful insights. </w:t>
      </w:r>
    </w:p>
    <w:p w14:paraId="3B46B144"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By identifying and addressing these potential risks, I can strengthen the quality and reliability of my dissertation on Foreign Direct Investment in the UK.</w:t>
      </w:r>
    </w:p>
    <w:p w14:paraId="220B4244" w14:textId="293C64C4" w:rsidR="00FF2777" w:rsidRPr="004A73C1" w:rsidRDefault="00D11768" w:rsidP="00EF2E34">
      <w:pPr>
        <w:pStyle w:val="Heading2"/>
        <w:spacing w:line="360" w:lineRule="auto"/>
        <w:rPr>
          <w:rFonts w:ascii="Arial" w:hAnsi="Arial" w:cs="Arial"/>
          <w:color w:val="auto"/>
        </w:rPr>
      </w:pPr>
      <w:bookmarkStart w:id="37" w:name="_Toc175056440"/>
      <w:bookmarkStart w:id="38" w:name="_Toc175848101"/>
      <w:r w:rsidRPr="004A73C1">
        <w:rPr>
          <w:rFonts w:ascii="Arial" w:hAnsi="Arial" w:cs="Arial"/>
          <w:color w:val="auto"/>
        </w:rPr>
        <w:t>1.13</w:t>
      </w:r>
      <w:r w:rsidRPr="004A73C1">
        <w:rPr>
          <w:rFonts w:ascii="Arial" w:hAnsi="Arial" w:cs="Arial"/>
          <w:color w:val="auto"/>
        </w:rPr>
        <w:tab/>
      </w:r>
      <w:r w:rsidR="00FF2777" w:rsidRPr="004A73C1">
        <w:rPr>
          <w:rFonts w:ascii="Arial" w:hAnsi="Arial" w:cs="Arial"/>
          <w:color w:val="auto"/>
        </w:rPr>
        <w:t xml:space="preserve">Ethical </w:t>
      </w:r>
      <w:r w:rsidR="007D4E14" w:rsidRPr="004A73C1">
        <w:rPr>
          <w:rFonts w:ascii="Arial" w:hAnsi="Arial" w:cs="Arial"/>
          <w:color w:val="auto"/>
        </w:rPr>
        <w:t>Considerations</w:t>
      </w:r>
      <w:bookmarkEnd w:id="37"/>
      <w:bookmarkEnd w:id="38"/>
    </w:p>
    <w:p w14:paraId="24F9E5E6" w14:textId="01EDD33D"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 xml:space="preserve">Ethical considerations are crucial to any research or dissertation. When researching foreign direct investment (FDI) and its impact on the UK economy, it is important to consider ethical guidelines and ensure </w:t>
      </w:r>
      <w:r w:rsidR="00614F78" w:rsidRPr="004A73C1">
        <w:rPr>
          <w:rFonts w:ascii="Arial" w:eastAsia="Arial Unicode MS" w:hAnsi="Arial" w:cs="Arial"/>
        </w:rPr>
        <w:t xml:space="preserve">that </w:t>
      </w:r>
      <w:r w:rsidRPr="004A73C1">
        <w:rPr>
          <w:rFonts w:ascii="Arial" w:eastAsia="Arial Unicode MS" w:hAnsi="Arial" w:cs="Arial"/>
        </w:rPr>
        <w:t>the research is conducted with integrity and respect for all stakeholders involved.</w:t>
      </w:r>
    </w:p>
    <w:p w14:paraId="21F56F10"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Some key ethical considerations in this area of my research include:</w:t>
      </w:r>
    </w:p>
    <w:p w14:paraId="5FB28FBA"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1. Privacy and Confidentiality: When gathering data and conducting interviews or surveys, it is essential to respect the privacy and confidentiality of participants. This involves obtaining informed consent, protecting their anonymity, and safeguarding sensitive information.</w:t>
      </w:r>
    </w:p>
    <w:p w14:paraId="6040C762" w14:textId="21C78F48"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lastRenderedPageBreak/>
        <w:t xml:space="preserve">2. Research Integrity: </w:t>
      </w:r>
      <w:r w:rsidR="006804DC" w:rsidRPr="004A73C1">
        <w:rPr>
          <w:rFonts w:ascii="Arial" w:eastAsia="Arial Unicode MS" w:hAnsi="Arial" w:cs="Arial"/>
        </w:rPr>
        <w:t>Conducting research honestly, transparently, and accurately is essential</w:t>
      </w:r>
      <w:r w:rsidRPr="004A73C1">
        <w:rPr>
          <w:rFonts w:ascii="Arial" w:eastAsia="Arial Unicode MS" w:hAnsi="Arial" w:cs="Arial"/>
        </w:rPr>
        <w:t>. This includes appropriately citing sources, avoiding plagiarism, and presenting the findings truthfully without manipulation or bias.</w:t>
      </w:r>
    </w:p>
    <w:p w14:paraId="302DDB43"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3. Impartiality and Objectivity: Researchers should strive to maintain impartiality and objectivity in their work, avoiding conflicts of interest or biases that could unduly influence the research outcomes.</w:t>
      </w:r>
    </w:p>
    <w:p w14:paraId="4108ACE1" w14:textId="77777777" w:rsidR="00842DCD" w:rsidRPr="004A73C1" w:rsidRDefault="00842DCD" w:rsidP="00842DCD">
      <w:pPr>
        <w:spacing w:line="360" w:lineRule="auto"/>
        <w:jc w:val="both"/>
        <w:rPr>
          <w:rFonts w:ascii="Arial" w:eastAsia="Arial Unicode MS" w:hAnsi="Arial" w:cs="Arial"/>
        </w:rPr>
      </w:pPr>
      <w:r w:rsidRPr="00842DCD">
        <w:rPr>
          <w:rFonts w:ascii="Arial" w:eastAsia="Arial Unicode MS" w:hAnsi="Arial" w:cs="Arial"/>
        </w:rPr>
        <w:t xml:space="preserve">4. Respect for Participants: It is critical to treat all participants and stakeholders with dignity, respecting their contributions and opinions while ensuring their voices are appropriately represented in the research findings. </w:t>
      </w:r>
    </w:p>
    <w:p w14:paraId="6004FD61" w14:textId="04DD0A82" w:rsidR="00842DCD" w:rsidRPr="00842DCD" w:rsidRDefault="00842DCD" w:rsidP="00842DCD">
      <w:pPr>
        <w:spacing w:line="360" w:lineRule="auto"/>
        <w:jc w:val="both"/>
        <w:rPr>
          <w:rFonts w:ascii="Arial" w:eastAsia="Arial Unicode MS" w:hAnsi="Arial" w:cs="Arial"/>
        </w:rPr>
      </w:pPr>
      <w:r w:rsidRPr="00842DCD">
        <w:rPr>
          <w:rFonts w:ascii="Arial" w:eastAsia="Arial Unicode MS" w:hAnsi="Arial" w:cs="Arial"/>
        </w:rPr>
        <w:t xml:space="preserve">5. Compliance with rules: Researchers must follow applicable laws, rules, and institutional norms governing research ethics, such as data protection and ethical clearance. </w:t>
      </w:r>
    </w:p>
    <w:p w14:paraId="264E2C43" w14:textId="77777777" w:rsidR="00FF2777" w:rsidRPr="004A73C1" w:rsidRDefault="00FF2777" w:rsidP="00EF2E34">
      <w:pPr>
        <w:spacing w:line="360" w:lineRule="auto"/>
        <w:jc w:val="both"/>
        <w:rPr>
          <w:rFonts w:ascii="Arial" w:eastAsia="Arial Unicode MS" w:hAnsi="Arial" w:cs="Arial"/>
        </w:rPr>
      </w:pPr>
      <w:r w:rsidRPr="004A73C1">
        <w:rPr>
          <w:rFonts w:ascii="Arial" w:eastAsia="Arial Unicode MS" w:hAnsi="Arial" w:cs="Arial"/>
        </w:rPr>
        <w:t>6. Social Responsibility: The potential impact of the research on society should be considered, ensuring that the findings are used to bring about positive change and are not exploited for unethical purposes.</w:t>
      </w:r>
    </w:p>
    <w:p w14:paraId="0B7BA5E6" w14:textId="77777777" w:rsidR="009F1A70" w:rsidRPr="004A73C1" w:rsidRDefault="009F1A70">
      <w:pPr>
        <w:rPr>
          <w:rFonts w:ascii="Arial" w:eastAsiaTheme="majorEastAsia" w:hAnsi="Arial" w:cs="Arial"/>
          <w:sz w:val="28"/>
          <w:szCs w:val="28"/>
        </w:rPr>
      </w:pPr>
      <w:bookmarkStart w:id="39" w:name="_Toc316005658"/>
      <w:bookmarkStart w:id="40" w:name="_Toc175056441"/>
      <w:r w:rsidRPr="004A73C1">
        <w:rPr>
          <w:rFonts w:ascii="Arial" w:hAnsi="Arial" w:cs="Arial"/>
        </w:rPr>
        <w:br w:type="page"/>
      </w:r>
    </w:p>
    <w:p w14:paraId="0F24CC63" w14:textId="7BEC7EF9" w:rsidR="00595271" w:rsidRPr="004A73C1" w:rsidRDefault="00D11768" w:rsidP="00EF2E34">
      <w:pPr>
        <w:pStyle w:val="Heading2"/>
        <w:spacing w:line="360" w:lineRule="auto"/>
        <w:rPr>
          <w:rFonts w:ascii="Arial" w:hAnsi="Arial" w:cs="Arial"/>
          <w:color w:val="auto"/>
        </w:rPr>
      </w:pPr>
      <w:bookmarkStart w:id="41" w:name="_Toc175848102"/>
      <w:r w:rsidRPr="004A73C1">
        <w:rPr>
          <w:rFonts w:ascii="Arial" w:hAnsi="Arial" w:cs="Arial"/>
          <w:color w:val="auto"/>
        </w:rPr>
        <w:lastRenderedPageBreak/>
        <w:t>1.15</w:t>
      </w:r>
      <w:r w:rsidRPr="004A73C1">
        <w:rPr>
          <w:rFonts w:ascii="Arial" w:hAnsi="Arial" w:cs="Arial"/>
          <w:color w:val="auto"/>
        </w:rPr>
        <w:tab/>
      </w:r>
      <w:r w:rsidR="007D4E14" w:rsidRPr="004A73C1">
        <w:rPr>
          <w:rFonts w:ascii="Arial" w:hAnsi="Arial" w:cs="Arial"/>
          <w:color w:val="auto"/>
        </w:rPr>
        <w:t>Dissertation</w:t>
      </w:r>
      <w:r w:rsidR="00842DCD" w:rsidRPr="004A73C1">
        <w:rPr>
          <w:rFonts w:ascii="Arial" w:hAnsi="Arial" w:cs="Arial"/>
          <w:color w:val="auto"/>
        </w:rPr>
        <w:t xml:space="preserve"> Structure</w:t>
      </w:r>
      <w:r w:rsidR="007D4E14" w:rsidRPr="004A73C1">
        <w:rPr>
          <w:rFonts w:ascii="Arial" w:hAnsi="Arial" w:cs="Arial"/>
          <w:color w:val="auto"/>
        </w:rPr>
        <w:t>.</w:t>
      </w:r>
      <w:bookmarkEnd w:id="39"/>
      <w:bookmarkEnd w:id="40"/>
      <w:bookmarkEnd w:id="41"/>
    </w:p>
    <w:p w14:paraId="11C1AC0A" w14:textId="54B5EE66" w:rsidR="00595271" w:rsidRPr="004A73C1" w:rsidRDefault="00842DCD" w:rsidP="00EF2E34">
      <w:pPr>
        <w:spacing w:line="360" w:lineRule="auto"/>
        <w:jc w:val="both"/>
        <w:rPr>
          <w:rFonts w:ascii="Arial" w:eastAsia="Arial Unicode MS" w:hAnsi="Arial" w:cs="Arial"/>
        </w:rPr>
      </w:pPr>
      <w:r w:rsidRPr="004A73C1">
        <w:rPr>
          <w:rFonts w:ascii="Arial" w:eastAsia="Arial Unicode MS" w:hAnsi="Arial" w:cs="Arial"/>
        </w:rPr>
        <w:t>This research has the following flow</w:t>
      </w:r>
      <w:r w:rsidR="002E707B" w:rsidRPr="004A73C1">
        <w:rPr>
          <w:rFonts w:ascii="Arial" w:eastAsia="Arial Unicode MS" w:hAnsi="Arial" w:cs="Arial"/>
        </w:rPr>
        <w:t>:</w:t>
      </w:r>
    </w:p>
    <w:tbl>
      <w:tblPr>
        <w:tblW w:w="9705"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
        <w:gridCol w:w="1790"/>
        <w:gridCol w:w="6398"/>
      </w:tblGrid>
      <w:tr w:rsidR="00595271" w:rsidRPr="004A73C1" w14:paraId="4EE6DF6C" w14:textId="77777777" w:rsidTr="00C26D98">
        <w:trPr>
          <w:trHeight w:val="592"/>
        </w:trPr>
        <w:tc>
          <w:tcPr>
            <w:tcW w:w="1517" w:type="dxa"/>
          </w:tcPr>
          <w:p w14:paraId="4DF1A657" w14:textId="19DAA63C" w:rsidR="00595271" w:rsidRPr="004A73C1" w:rsidRDefault="00B80C0D"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Chapter</w:t>
            </w:r>
          </w:p>
        </w:tc>
        <w:tc>
          <w:tcPr>
            <w:tcW w:w="1790" w:type="dxa"/>
          </w:tcPr>
          <w:p w14:paraId="4A8745F9" w14:textId="5DE86733" w:rsidR="00595271" w:rsidRPr="004A73C1" w:rsidRDefault="00B80C0D"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Title</w:t>
            </w:r>
          </w:p>
        </w:tc>
        <w:tc>
          <w:tcPr>
            <w:tcW w:w="6398" w:type="dxa"/>
          </w:tcPr>
          <w:p w14:paraId="429450A7" w14:textId="25DB6047" w:rsidR="00595271" w:rsidRPr="004A73C1" w:rsidRDefault="00B80C0D" w:rsidP="00EF2E34">
            <w:pPr>
              <w:spacing w:line="360" w:lineRule="auto"/>
              <w:jc w:val="both"/>
              <w:rPr>
                <w:rFonts w:ascii="Arial" w:eastAsia="Arial Unicode MS" w:hAnsi="Arial" w:cs="Arial"/>
                <w:b/>
                <w:sz w:val="24"/>
                <w:szCs w:val="24"/>
              </w:rPr>
            </w:pPr>
            <w:r w:rsidRPr="004A73C1">
              <w:rPr>
                <w:rFonts w:ascii="Arial" w:eastAsia="Arial Unicode MS" w:hAnsi="Arial" w:cs="Arial"/>
                <w:b/>
                <w:sz w:val="24"/>
                <w:szCs w:val="24"/>
              </w:rPr>
              <w:t>Description</w:t>
            </w:r>
          </w:p>
        </w:tc>
      </w:tr>
      <w:tr w:rsidR="00595271" w:rsidRPr="004A73C1" w14:paraId="0FA326B4" w14:textId="77777777" w:rsidTr="00C26D98">
        <w:trPr>
          <w:trHeight w:val="3773"/>
        </w:trPr>
        <w:tc>
          <w:tcPr>
            <w:tcW w:w="1517" w:type="dxa"/>
          </w:tcPr>
          <w:p w14:paraId="0A161A63" w14:textId="77777777" w:rsidR="00595271" w:rsidRPr="004A73C1" w:rsidRDefault="00595271"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1</w:t>
            </w:r>
          </w:p>
        </w:tc>
        <w:tc>
          <w:tcPr>
            <w:tcW w:w="1790" w:type="dxa"/>
          </w:tcPr>
          <w:p w14:paraId="0CFF0DE0" w14:textId="0BEB29DD" w:rsidR="00595271" w:rsidRPr="004A73C1" w:rsidRDefault="00B80C0D"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 xml:space="preserve">Introduction, Aims </w:t>
            </w:r>
            <w:proofErr w:type="gramStart"/>
            <w:r w:rsidRPr="004A73C1">
              <w:rPr>
                <w:rFonts w:ascii="Arial" w:eastAsia="Arial Unicode MS" w:hAnsi="Arial" w:cs="Arial"/>
                <w:b/>
                <w:bCs/>
                <w:sz w:val="24"/>
                <w:szCs w:val="24"/>
              </w:rPr>
              <w:t>And</w:t>
            </w:r>
            <w:proofErr w:type="gramEnd"/>
            <w:r w:rsidRPr="004A73C1">
              <w:rPr>
                <w:rFonts w:ascii="Arial" w:eastAsia="Arial Unicode MS" w:hAnsi="Arial" w:cs="Arial"/>
                <w:b/>
                <w:bCs/>
                <w:sz w:val="24"/>
                <w:szCs w:val="24"/>
              </w:rPr>
              <w:t xml:space="preserve"> Objectives</w:t>
            </w:r>
          </w:p>
        </w:tc>
        <w:tc>
          <w:tcPr>
            <w:tcW w:w="6398" w:type="dxa"/>
          </w:tcPr>
          <w:p w14:paraId="2FC40FE9" w14:textId="623AF36C" w:rsidR="00595271" w:rsidRPr="004A73C1" w:rsidRDefault="00595271" w:rsidP="00EF2E34">
            <w:pPr>
              <w:spacing w:line="360" w:lineRule="auto"/>
              <w:jc w:val="both"/>
              <w:rPr>
                <w:rFonts w:ascii="Arial" w:eastAsia="Arial Unicode MS" w:hAnsi="Arial" w:cs="Arial"/>
                <w:b/>
                <w:sz w:val="24"/>
                <w:szCs w:val="24"/>
                <w:u w:val="single"/>
              </w:rPr>
            </w:pPr>
            <w:r w:rsidRPr="004A73C1">
              <w:rPr>
                <w:rFonts w:ascii="Arial" w:eastAsia="Arial Unicode MS" w:hAnsi="Arial" w:cs="Arial"/>
                <w:sz w:val="24"/>
                <w:szCs w:val="24"/>
              </w:rPr>
              <w:t>This chapter introduces foreign direct investment</w:t>
            </w:r>
            <w:r w:rsidR="00CE2452" w:rsidRPr="004A73C1">
              <w:rPr>
                <w:rFonts w:ascii="Arial" w:eastAsia="Arial Unicode MS" w:hAnsi="Arial" w:cs="Arial"/>
                <w:sz w:val="24"/>
                <w:szCs w:val="24"/>
              </w:rPr>
              <w:t xml:space="preserve"> and elucidates the dissertation's aims and objectives. It encompasses various subject areas, focusing on the dissertation's objectives, establishing </w:t>
            </w:r>
            <w:r w:rsidR="00827A02" w:rsidRPr="004A73C1">
              <w:rPr>
                <w:rFonts w:ascii="Arial" w:eastAsia="Arial Unicode MS" w:hAnsi="Arial" w:cs="Arial"/>
                <w:sz w:val="24"/>
                <w:szCs w:val="24"/>
              </w:rPr>
              <w:t>them</w:t>
            </w:r>
            <w:r w:rsidR="00CE2452" w:rsidRPr="004A73C1">
              <w:rPr>
                <w:rFonts w:ascii="Arial" w:eastAsia="Arial Unicode MS" w:hAnsi="Arial" w:cs="Arial"/>
                <w:sz w:val="24"/>
                <w:szCs w:val="24"/>
              </w:rPr>
              <w:t xml:space="preserve">, providing a concise overview of the subsequent chapters, and describing </w:t>
            </w:r>
            <w:r w:rsidRPr="004A73C1">
              <w:rPr>
                <w:rFonts w:ascii="Arial" w:eastAsia="Arial Unicode MS" w:hAnsi="Arial" w:cs="Arial"/>
                <w:sz w:val="24"/>
                <w:szCs w:val="24"/>
              </w:rPr>
              <w:t>the ultimate research output. It culminates in a comprehensive summary of the chapter.</w:t>
            </w:r>
          </w:p>
        </w:tc>
      </w:tr>
      <w:tr w:rsidR="00595271" w:rsidRPr="004A73C1" w14:paraId="10AB17D2" w14:textId="77777777" w:rsidTr="00C26D98">
        <w:trPr>
          <w:trHeight w:val="6174"/>
        </w:trPr>
        <w:tc>
          <w:tcPr>
            <w:tcW w:w="1517" w:type="dxa"/>
          </w:tcPr>
          <w:p w14:paraId="01107EB1" w14:textId="77777777" w:rsidR="00595271" w:rsidRPr="004A73C1" w:rsidRDefault="00595271"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2</w:t>
            </w:r>
          </w:p>
        </w:tc>
        <w:tc>
          <w:tcPr>
            <w:tcW w:w="1790" w:type="dxa"/>
          </w:tcPr>
          <w:p w14:paraId="70D901B9" w14:textId="04E068AF" w:rsidR="00595271" w:rsidRPr="004A73C1" w:rsidRDefault="00B80C0D" w:rsidP="00EF2E34">
            <w:pPr>
              <w:spacing w:line="360" w:lineRule="auto"/>
              <w:jc w:val="both"/>
              <w:rPr>
                <w:rFonts w:ascii="Arial" w:eastAsia="Arial Unicode MS" w:hAnsi="Arial" w:cs="Arial"/>
                <w:b/>
                <w:bCs/>
                <w:sz w:val="24"/>
                <w:szCs w:val="24"/>
                <w:u w:val="single"/>
              </w:rPr>
            </w:pPr>
            <w:r w:rsidRPr="004A73C1">
              <w:rPr>
                <w:rFonts w:ascii="Arial" w:eastAsia="Arial Unicode MS" w:hAnsi="Arial" w:cs="Arial"/>
                <w:b/>
                <w:bCs/>
                <w:sz w:val="24"/>
                <w:szCs w:val="24"/>
              </w:rPr>
              <w:t>Literature Review</w:t>
            </w:r>
          </w:p>
        </w:tc>
        <w:tc>
          <w:tcPr>
            <w:tcW w:w="6398" w:type="dxa"/>
          </w:tcPr>
          <w:p w14:paraId="5024039A" w14:textId="4E1BA7B3" w:rsidR="00595271" w:rsidRPr="004A73C1" w:rsidRDefault="00491A3E" w:rsidP="00EF2E34">
            <w:pPr>
              <w:spacing w:line="360" w:lineRule="auto"/>
              <w:jc w:val="both"/>
              <w:rPr>
                <w:rFonts w:ascii="Arial" w:eastAsia="Arial Unicode MS" w:hAnsi="Arial" w:cs="Arial"/>
                <w:sz w:val="24"/>
                <w:szCs w:val="24"/>
              </w:rPr>
            </w:pPr>
            <w:r w:rsidRPr="00491A3E">
              <w:rPr>
                <w:rFonts w:ascii="Arial" w:eastAsia="Arial Unicode MS" w:hAnsi="Arial" w:cs="Arial"/>
                <w:sz w:val="24"/>
                <w:szCs w:val="24"/>
              </w:rPr>
              <w:t xml:space="preserve">The primary goal of this chapter is to completely investigate and </w:t>
            </w:r>
            <w:r w:rsidR="00475D42" w:rsidRPr="00491A3E">
              <w:rPr>
                <w:rFonts w:ascii="Arial" w:eastAsia="Arial Unicode MS" w:hAnsi="Arial" w:cs="Arial"/>
                <w:sz w:val="24"/>
                <w:szCs w:val="24"/>
              </w:rPr>
              <w:t>analyse</w:t>
            </w:r>
            <w:r w:rsidRPr="00491A3E">
              <w:rPr>
                <w:rFonts w:ascii="Arial" w:eastAsia="Arial Unicode MS" w:hAnsi="Arial" w:cs="Arial"/>
                <w:sz w:val="24"/>
                <w:szCs w:val="24"/>
              </w:rPr>
              <w:t xml:space="preserve"> numerous nuanced concepts and views related to foreign direct investment. This includes an in-depth examination of the nature of foreign direct investment, a comprehensive categorization of various types of foreign direct investment, a thorough investigation of the numerous economic benefits it can potentially yield, and a detailed assessment of how the inflow and outflow of foreign direct investment may have a multifaceted impact on the British economy. </w:t>
            </w:r>
          </w:p>
        </w:tc>
      </w:tr>
      <w:tr w:rsidR="00595271" w:rsidRPr="004A73C1" w14:paraId="7415C584" w14:textId="77777777" w:rsidTr="00C26D98">
        <w:trPr>
          <w:trHeight w:val="2776"/>
        </w:trPr>
        <w:tc>
          <w:tcPr>
            <w:tcW w:w="1517" w:type="dxa"/>
          </w:tcPr>
          <w:p w14:paraId="0EBD83D9" w14:textId="77777777" w:rsidR="00595271" w:rsidRPr="004A73C1" w:rsidRDefault="00595271"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3</w:t>
            </w:r>
          </w:p>
        </w:tc>
        <w:tc>
          <w:tcPr>
            <w:tcW w:w="1790" w:type="dxa"/>
          </w:tcPr>
          <w:p w14:paraId="1777C3EC" w14:textId="59EA136B" w:rsidR="00595271" w:rsidRPr="004A73C1" w:rsidRDefault="00B80C0D" w:rsidP="00EF2E34">
            <w:pPr>
              <w:spacing w:line="360" w:lineRule="auto"/>
              <w:jc w:val="both"/>
              <w:rPr>
                <w:rFonts w:ascii="Arial" w:eastAsia="Arial Unicode MS" w:hAnsi="Arial" w:cs="Arial"/>
                <w:b/>
                <w:bCs/>
                <w:sz w:val="24"/>
                <w:szCs w:val="24"/>
                <w:u w:val="single"/>
              </w:rPr>
            </w:pPr>
            <w:r w:rsidRPr="004A73C1">
              <w:rPr>
                <w:rFonts w:ascii="Arial" w:eastAsia="Arial Unicode MS" w:hAnsi="Arial" w:cs="Arial"/>
                <w:b/>
                <w:bCs/>
                <w:sz w:val="24"/>
                <w:szCs w:val="24"/>
              </w:rPr>
              <w:t>Methodology And Design</w:t>
            </w:r>
          </w:p>
        </w:tc>
        <w:tc>
          <w:tcPr>
            <w:tcW w:w="6398" w:type="dxa"/>
          </w:tcPr>
          <w:p w14:paraId="68A3EF07" w14:textId="7E42FD3D" w:rsidR="00595271" w:rsidRPr="004A73C1" w:rsidRDefault="00595271" w:rsidP="00EF2E34">
            <w:pPr>
              <w:spacing w:line="360" w:lineRule="auto"/>
              <w:jc w:val="both"/>
              <w:rPr>
                <w:rFonts w:ascii="Arial" w:eastAsia="Arial Unicode MS" w:hAnsi="Arial" w:cs="Arial"/>
                <w:b/>
                <w:sz w:val="24"/>
                <w:szCs w:val="24"/>
                <w:u w:val="single"/>
              </w:rPr>
            </w:pPr>
            <w:r w:rsidRPr="004A73C1">
              <w:rPr>
                <w:rFonts w:ascii="Arial" w:eastAsia="Arial Unicode MS" w:hAnsi="Arial" w:cs="Arial"/>
                <w:sz w:val="24"/>
                <w:szCs w:val="24"/>
              </w:rPr>
              <w:t xml:space="preserve">The chapter focuses on how we did the research for the dissertation. It starts with an introduction. Then, I discussed what we wanted to find out, where we got the information, and how reliable it was. We also discuss how many people or things we studied and how we chose them. </w:t>
            </w:r>
            <w:r w:rsidR="00614F78" w:rsidRPr="004A73C1">
              <w:rPr>
                <w:rFonts w:ascii="Arial" w:eastAsia="Arial Unicode MS" w:hAnsi="Arial" w:cs="Arial"/>
                <w:sz w:val="24"/>
                <w:szCs w:val="24"/>
              </w:rPr>
              <w:t>After</w:t>
            </w:r>
            <w:r w:rsidRPr="004A73C1">
              <w:rPr>
                <w:rFonts w:ascii="Arial" w:eastAsia="Arial Unicode MS" w:hAnsi="Arial" w:cs="Arial"/>
                <w:sz w:val="24"/>
                <w:szCs w:val="24"/>
              </w:rPr>
              <w:t xml:space="preserve"> the chapter, I will provide a comprehensive summary. This summary will encompass in-depth analyses conducted by </w:t>
            </w:r>
            <w:r w:rsidRPr="004A73C1">
              <w:rPr>
                <w:rFonts w:ascii="Arial" w:eastAsia="Arial Unicode MS" w:hAnsi="Arial" w:cs="Arial"/>
                <w:sz w:val="24"/>
                <w:szCs w:val="24"/>
              </w:rPr>
              <w:lastRenderedPageBreak/>
              <w:t xml:space="preserve">various scholars, an examination of government data, and an analysis based on actual data. I will ensure </w:t>
            </w:r>
            <w:r w:rsidR="00614F78" w:rsidRPr="004A73C1">
              <w:rPr>
                <w:rFonts w:ascii="Arial" w:eastAsia="Arial Unicode MS" w:hAnsi="Arial" w:cs="Arial"/>
                <w:sz w:val="24"/>
                <w:szCs w:val="24"/>
              </w:rPr>
              <w:t>that I incorporate a wide range of references and structure them according to my objectives</w:t>
            </w:r>
            <w:r w:rsidRPr="004A73C1">
              <w:rPr>
                <w:rFonts w:ascii="Arial" w:eastAsia="Arial Unicode MS" w:hAnsi="Arial" w:cs="Arial"/>
                <w:sz w:val="24"/>
                <w:szCs w:val="24"/>
              </w:rPr>
              <w:t xml:space="preserve"> </w:t>
            </w:r>
            <w:r w:rsidR="007E75AE" w:rsidRPr="004A73C1">
              <w:rPr>
                <w:rFonts w:ascii="Arial" w:eastAsia="Arial Unicode MS" w:hAnsi="Arial" w:cs="Arial"/>
                <w:sz w:val="24"/>
                <w:szCs w:val="24"/>
              </w:rPr>
              <w:t xml:space="preserve">to </w:t>
            </w:r>
            <w:r w:rsidR="006804DC" w:rsidRPr="004A73C1">
              <w:rPr>
                <w:rFonts w:ascii="Arial" w:eastAsia="Arial Unicode MS" w:hAnsi="Arial" w:cs="Arial"/>
                <w:sz w:val="24"/>
                <w:szCs w:val="24"/>
              </w:rPr>
              <w:t>effectively address and answer the questions posed in my dissertation</w:t>
            </w:r>
            <w:r w:rsidRPr="004A73C1">
              <w:rPr>
                <w:rFonts w:ascii="Arial" w:eastAsia="Arial Unicode MS" w:hAnsi="Arial" w:cs="Arial"/>
                <w:sz w:val="24"/>
                <w:szCs w:val="24"/>
              </w:rPr>
              <w:t xml:space="preserve">. This approach will allow me </w:t>
            </w:r>
            <w:r w:rsidR="00614F78" w:rsidRPr="004A73C1">
              <w:rPr>
                <w:rFonts w:ascii="Arial" w:eastAsia="Arial Unicode MS" w:hAnsi="Arial" w:cs="Arial"/>
                <w:sz w:val="24"/>
                <w:szCs w:val="24"/>
              </w:rPr>
              <w:t>to conclude my findings thoroughly based on extensive research and analysis</w:t>
            </w:r>
            <w:r w:rsidRPr="004A73C1">
              <w:rPr>
                <w:rFonts w:ascii="Arial" w:eastAsia="Arial Unicode MS" w:hAnsi="Arial" w:cs="Arial"/>
                <w:sz w:val="24"/>
                <w:szCs w:val="24"/>
              </w:rPr>
              <w:t>.</w:t>
            </w:r>
          </w:p>
        </w:tc>
      </w:tr>
      <w:tr w:rsidR="00595271" w:rsidRPr="004A73C1" w14:paraId="62AF767A" w14:textId="77777777" w:rsidTr="00C26D98">
        <w:trPr>
          <w:trHeight w:val="138"/>
        </w:trPr>
        <w:tc>
          <w:tcPr>
            <w:tcW w:w="1517" w:type="dxa"/>
          </w:tcPr>
          <w:p w14:paraId="02476154" w14:textId="77777777" w:rsidR="00595271" w:rsidRPr="004A73C1" w:rsidRDefault="00595271"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lastRenderedPageBreak/>
              <w:t>4</w:t>
            </w:r>
          </w:p>
        </w:tc>
        <w:tc>
          <w:tcPr>
            <w:tcW w:w="1790" w:type="dxa"/>
            <w:tcBorders>
              <w:bottom w:val="single" w:sz="4" w:space="0" w:color="auto"/>
            </w:tcBorders>
          </w:tcPr>
          <w:p w14:paraId="076D771C" w14:textId="62D0339A" w:rsidR="00595271" w:rsidRPr="004A73C1" w:rsidRDefault="00B80C0D" w:rsidP="00EF2E34">
            <w:pPr>
              <w:spacing w:line="360" w:lineRule="auto"/>
              <w:jc w:val="both"/>
              <w:rPr>
                <w:rFonts w:ascii="Arial" w:eastAsia="Arial Unicode MS" w:hAnsi="Arial" w:cs="Arial"/>
                <w:b/>
                <w:bCs/>
                <w:sz w:val="24"/>
                <w:szCs w:val="24"/>
                <w:u w:val="single"/>
              </w:rPr>
            </w:pPr>
            <w:r w:rsidRPr="004A73C1">
              <w:rPr>
                <w:rFonts w:ascii="Arial" w:eastAsia="Arial Unicode MS" w:hAnsi="Arial" w:cs="Arial"/>
                <w:b/>
                <w:bCs/>
                <w:sz w:val="24"/>
                <w:szCs w:val="24"/>
              </w:rPr>
              <w:t xml:space="preserve">Dissertation </w:t>
            </w:r>
            <w:r w:rsidR="00EF2E34" w:rsidRPr="004A73C1">
              <w:rPr>
                <w:rFonts w:ascii="Arial" w:eastAsia="Arial Unicode MS" w:hAnsi="Arial" w:cs="Arial"/>
                <w:b/>
                <w:bCs/>
                <w:sz w:val="24"/>
                <w:szCs w:val="24"/>
              </w:rPr>
              <w:t xml:space="preserve">Analysis &amp; </w:t>
            </w:r>
            <w:r w:rsidRPr="004A73C1">
              <w:rPr>
                <w:rFonts w:ascii="Arial" w:eastAsia="Arial Unicode MS" w:hAnsi="Arial" w:cs="Arial"/>
                <w:b/>
                <w:bCs/>
                <w:sz w:val="24"/>
                <w:szCs w:val="24"/>
              </w:rPr>
              <w:t>Findings</w:t>
            </w:r>
          </w:p>
        </w:tc>
        <w:tc>
          <w:tcPr>
            <w:tcW w:w="6398" w:type="dxa"/>
          </w:tcPr>
          <w:p w14:paraId="0D7F2B5E" w14:textId="6C5DB6CD" w:rsidR="00595271" w:rsidRPr="004A73C1" w:rsidRDefault="00595271" w:rsidP="00EF2E34">
            <w:pPr>
              <w:spacing w:line="360" w:lineRule="auto"/>
              <w:jc w:val="both"/>
              <w:rPr>
                <w:rFonts w:ascii="Arial" w:eastAsia="Arial Unicode MS" w:hAnsi="Arial" w:cs="Arial"/>
                <w:b/>
                <w:sz w:val="24"/>
                <w:szCs w:val="24"/>
                <w:u w:val="single"/>
              </w:rPr>
            </w:pPr>
            <w:r w:rsidRPr="004A73C1">
              <w:rPr>
                <w:rFonts w:ascii="Arial" w:eastAsia="Arial Unicode MS" w:hAnsi="Arial" w:cs="Arial"/>
                <w:sz w:val="24"/>
                <w:szCs w:val="24"/>
              </w:rPr>
              <w:t xml:space="preserve">In this chapter, we aim to </w:t>
            </w:r>
            <w:r w:rsidR="00614F78" w:rsidRPr="004A73C1">
              <w:rPr>
                <w:rFonts w:ascii="Arial" w:eastAsia="Arial Unicode MS" w:hAnsi="Arial" w:cs="Arial"/>
                <w:sz w:val="24"/>
                <w:szCs w:val="24"/>
              </w:rPr>
              <w:t>actualise</w:t>
            </w:r>
            <w:r w:rsidRPr="004A73C1">
              <w:rPr>
                <w:rFonts w:ascii="Arial" w:eastAsia="Arial Unicode MS" w:hAnsi="Arial" w:cs="Arial"/>
                <w:sz w:val="24"/>
                <w:szCs w:val="24"/>
              </w:rPr>
              <w:t xml:space="preserve"> the objectives outlined in Chapter 1. Following the introduction, we will employ the previously examined models and techniques to achieve our research goals. Subsequently, a comprehensive individual assessment of each objective will be conducted to evaluate the impact of foreign direct investment on the UK. Finally, the chapter will culminate in an overarching summary of the findings.</w:t>
            </w:r>
          </w:p>
        </w:tc>
      </w:tr>
      <w:tr w:rsidR="00595271" w:rsidRPr="004A73C1" w14:paraId="2B4F0522" w14:textId="77777777" w:rsidTr="00C26D98">
        <w:trPr>
          <w:trHeight w:val="2182"/>
        </w:trPr>
        <w:tc>
          <w:tcPr>
            <w:tcW w:w="1517" w:type="dxa"/>
          </w:tcPr>
          <w:p w14:paraId="0060FFE7" w14:textId="77777777" w:rsidR="00595271" w:rsidRPr="004A73C1" w:rsidRDefault="00595271" w:rsidP="00EF2E34">
            <w:pPr>
              <w:spacing w:line="360" w:lineRule="auto"/>
              <w:jc w:val="both"/>
              <w:rPr>
                <w:rFonts w:ascii="Arial" w:eastAsia="Arial Unicode MS" w:hAnsi="Arial" w:cs="Arial"/>
                <w:b/>
                <w:bCs/>
                <w:sz w:val="24"/>
                <w:szCs w:val="24"/>
              </w:rPr>
            </w:pPr>
            <w:r w:rsidRPr="004A73C1">
              <w:rPr>
                <w:rFonts w:ascii="Arial" w:eastAsia="Arial Unicode MS" w:hAnsi="Arial" w:cs="Arial"/>
                <w:b/>
                <w:bCs/>
                <w:sz w:val="24"/>
                <w:szCs w:val="24"/>
              </w:rPr>
              <w:t>5</w:t>
            </w:r>
          </w:p>
        </w:tc>
        <w:tc>
          <w:tcPr>
            <w:tcW w:w="1790" w:type="dxa"/>
          </w:tcPr>
          <w:p w14:paraId="2445E6FC" w14:textId="1617C964" w:rsidR="00595271" w:rsidRPr="004A73C1" w:rsidRDefault="00B80C0D" w:rsidP="00EF2E34">
            <w:pPr>
              <w:spacing w:line="360" w:lineRule="auto"/>
              <w:jc w:val="both"/>
              <w:rPr>
                <w:rFonts w:ascii="Arial" w:eastAsia="Arial Unicode MS" w:hAnsi="Arial" w:cs="Arial"/>
                <w:b/>
                <w:bCs/>
                <w:sz w:val="24"/>
                <w:szCs w:val="24"/>
                <w:u w:val="single"/>
              </w:rPr>
            </w:pPr>
            <w:r w:rsidRPr="004A73C1">
              <w:rPr>
                <w:rFonts w:ascii="Arial" w:eastAsia="Arial Unicode MS" w:hAnsi="Arial" w:cs="Arial"/>
                <w:b/>
                <w:bCs/>
                <w:sz w:val="24"/>
                <w:szCs w:val="24"/>
              </w:rPr>
              <w:t>Dissertation Conclusion</w:t>
            </w:r>
          </w:p>
        </w:tc>
        <w:tc>
          <w:tcPr>
            <w:tcW w:w="6398" w:type="dxa"/>
          </w:tcPr>
          <w:p w14:paraId="28BB0F84" w14:textId="66FE8500" w:rsidR="00595271" w:rsidRPr="004A73C1" w:rsidRDefault="00BF0083" w:rsidP="00EF2E34">
            <w:pPr>
              <w:spacing w:line="360" w:lineRule="auto"/>
              <w:jc w:val="both"/>
              <w:rPr>
                <w:rFonts w:ascii="Arial" w:eastAsia="Arial Unicode MS" w:hAnsi="Arial" w:cs="Arial"/>
                <w:b/>
                <w:sz w:val="24"/>
                <w:szCs w:val="24"/>
                <w:u w:val="single"/>
              </w:rPr>
            </w:pPr>
            <w:r w:rsidRPr="004A73C1">
              <w:rPr>
                <w:rFonts w:ascii="Arial" w:eastAsia="Arial Unicode MS" w:hAnsi="Arial" w:cs="Arial"/>
                <w:sz w:val="24"/>
                <w:szCs w:val="24"/>
              </w:rPr>
              <w:t xml:space="preserve">As the dissertation </w:t>
            </w:r>
            <w:r w:rsidR="006804DC" w:rsidRPr="004A73C1">
              <w:rPr>
                <w:rFonts w:ascii="Arial" w:eastAsia="Arial Unicode MS" w:hAnsi="Arial" w:cs="Arial"/>
                <w:sz w:val="24"/>
                <w:szCs w:val="24"/>
              </w:rPr>
              <w:t>ends</w:t>
            </w:r>
            <w:r w:rsidRPr="004A73C1">
              <w:rPr>
                <w:rFonts w:ascii="Arial" w:eastAsia="Arial Unicode MS" w:hAnsi="Arial" w:cs="Arial"/>
                <w:sz w:val="24"/>
                <w:szCs w:val="24"/>
              </w:rPr>
              <w:t xml:space="preserve">, the final section will neatly </w:t>
            </w:r>
            <w:r w:rsidR="006804DC" w:rsidRPr="004A73C1">
              <w:rPr>
                <w:rFonts w:ascii="Arial" w:eastAsia="Arial Unicode MS" w:hAnsi="Arial" w:cs="Arial"/>
                <w:sz w:val="24"/>
                <w:szCs w:val="24"/>
              </w:rPr>
              <w:t>summarise</w:t>
            </w:r>
            <w:r w:rsidRPr="004A73C1">
              <w:rPr>
                <w:rFonts w:ascii="Arial" w:eastAsia="Arial Unicode MS" w:hAnsi="Arial" w:cs="Arial"/>
                <w:sz w:val="24"/>
                <w:szCs w:val="24"/>
              </w:rPr>
              <w:t xml:space="preserve"> the main points of each chapter and offer important concluding insights for the entire work. It will also highlight the significant contributions made within this dissertation.</w:t>
            </w:r>
          </w:p>
        </w:tc>
      </w:tr>
    </w:tbl>
    <w:p w14:paraId="286D67B0" w14:textId="77777777" w:rsidR="00EF2E34" w:rsidRPr="004A73C1" w:rsidRDefault="00EF2E34" w:rsidP="00EF2E34">
      <w:pPr>
        <w:pStyle w:val="Heading2"/>
        <w:spacing w:line="360" w:lineRule="auto"/>
        <w:rPr>
          <w:rFonts w:ascii="Arial" w:hAnsi="Arial" w:cs="Arial"/>
          <w:color w:val="auto"/>
        </w:rPr>
      </w:pPr>
    </w:p>
    <w:p w14:paraId="35348D65" w14:textId="187F0BAC" w:rsidR="00FF2777" w:rsidRPr="004A73C1" w:rsidRDefault="00D11768" w:rsidP="00EF2E34">
      <w:pPr>
        <w:pStyle w:val="Heading2"/>
        <w:spacing w:line="360" w:lineRule="auto"/>
        <w:rPr>
          <w:rFonts w:ascii="Arial" w:hAnsi="Arial" w:cs="Arial"/>
          <w:color w:val="auto"/>
        </w:rPr>
      </w:pPr>
      <w:bookmarkStart w:id="42" w:name="_Toc175056442"/>
      <w:bookmarkStart w:id="43" w:name="_Toc175848103"/>
      <w:r w:rsidRPr="004A73C1">
        <w:rPr>
          <w:rFonts w:ascii="Arial" w:hAnsi="Arial" w:cs="Arial"/>
          <w:color w:val="auto"/>
        </w:rPr>
        <w:t>1.16</w:t>
      </w:r>
      <w:r w:rsidRPr="004A73C1">
        <w:rPr>
          <w:rFonts w:ascii="Arial" w:hAnsi="Arial" w:cs="Arial"/>
          <w:color w:val="auto"/>
        </w:rPr>
        <w:tab/>
      </w:r>
      <w:r w:rsidR="00B63B17" w:rsidRPr="004A73C1">
        <w:rPr>
          <w:rFonts w:ascii="Arial" w:hAnsi="Arial" w:cs="Arial"/>
          <w:color w:val="auto"/>
        </w:rPr>
        <w:t>Chapter Summary</w:t>
      </w:r>
      <w:bookmarkEnd w:id="42"/>
      <w:bookmarkEnd w:id="43"/>
      <w:r w:rsidR="00B63B17" w:rsidRPr="004A73C1">
        <w:rPr>
          <w:rFonts w:ascii="Arial" w:hAnsi="Arial" w:cs="Arial"/>
          <w:color w:val="auto"/>
        </w:rPr>
        <w:t xml:space="preserve"> </w:t>
      </w:r>
    </w:p>
    <w:p w14:paraId="3C212C51" w14:textId="573E1577" w:rsidR="00FF2777" w:rsidRPr="004A73C1" w:rsidRDefault="005D0DF6" w:rsidP="00EF2E34">
      <w:pPr>
        <w:spacing w:line="360" w:lineRule="auto"/>
        <w:jc w:val="both"/>
        <w:rPr>
          <w:rFonts w:ascii="Arial" w:eastAsia="Arial Unicode MS" w:hAnsi="Arial" w:cs="Arial"/>
        </w:rPr>
      </w:pPr>
      <w:r w:rsidRPr="004A73C1">
        <w:rPr>
          <w:rFonts w:ascii="Arial" w:eastAsia="Arial Unicode MS" w:hAnsi="Arial" w:cs="Arial"/>
        </w:rPr>
        <w:t>The chapter centres on the principal objective of this dissertation, which is to thoroughly analyse the impact of Foreign Direct Investment (FDI) and Brexit on the economic growth of the United Kingdom. The focus is on examining current research gaps and evaluating the specific influence of FDI on the overall financial performance of the UK. The analysis aims to delve into the intricacies of these factors, providing a detailed understanding of their interplay and implications for the UK economy.</w:t>
      </w:r>
      <w:r w:rsidR="00FF2777" w:rsidRPr="004A73C1">
        <w:rPr>
          <w:rFonts w:ascii="Arial" w:eastAsia="Arial Unicode MS" w:hAnsi="Arial" w:cs="Arial"/>
        </w:rPr>
        <w:br w:type="page"/>
      </w:r>
    </w:p>
    <w:p w14:paraId="2052FF53" w14:textId="40DB6EEC" w:rsidR="009A1733" w:rsidRPr="004A73C1" w:rsidRDefault="007D4E14" w:rsidP="00083B6C">
      <w:pPr>
        <w:pStyle w:val="Heading1"/>
        <w:spacing w:line="360" w:lineRule="auto"/>
        <w:jc w:val="center"/>
        <w:rPr>
          <w:rFonts w:ascii="Arial" w:hAnsi="Arial" w:cs="Arial"/>
          <w:b/>
          <w:bCs/>
          <w:color w:val="002060"/>
          <w:sz w:val="28"/>
          <w:szCs w:val="28"/>
        </w:rPr>
      </w:pPr>
      <w:bookmarkStart w:id="44" w:name="_Toc175056443"/>
      <w:bookmarkStart w:id="45" w:name="_Toc175848104"/>
      <w:r w:rsidRPr="004A73C1">
        <w:rPr>
          <w:rFonts w:ascii="Arial" w:hAnsi="Arial" w:cs="Arial"/>
          <w:b/>
          <w:bCs/>
          <w:color w:val="002060"/>
          <w:sz w:val="28"/>
          <w:szCs w:val="28"/>
        </w:rPr>
        <w:lastRenderedPageBreak/>
        <w:t>Chapter 2: Literature Review</w:t>
      </w:r>
      <w:bookmarkEnd w:id="1"/>
      <w:bookmarkEnd w:id="0"/>
      <w:bookmarkEnd w:id="44"/>
      <w:bookmarkEnd w:id="45"/>
    </w:p>
    <w:p w14:paraId="3FC97225" w14:textId="2E342742" w:rsidR="00E11091" w:rsidRPr="004A73C1" w:rsidRDefault="00000000" w:rsidP="00EF2E34">
      <w:pPr>
        <w:spacing w:line="360" w:lineRule="auto"/>
        <w:jc w:val="both"/>
        <w:rPr>
          <w:rFonts w:ascii="Arial" w:hAnsi="Arial" w:cs="Arial"/>
        </w:rPr>
      </w:pPr>
      <w:r>
        <w:rPr>
          <w:rFonts w:ascii="Arial" w:hAnsi="Arial" w:cs="Arial"/>
        </w:rPr>
        <w:pict w14:anchorId="21D2EA04">
          <v:rect id="_x0000_i1026" style="width:0;height:1.5pt" o:hralign="center" o:hrstd="t" o:hr="t" fillcolor="#a0a0a0" stroked="f"/>
        </w:pict>
      </w:r>
    </w:p>
    <w:p w14:paraId="064F8CBA" w14:textId="4120AC1C" w:rsidR="009A1733" w:rsidRPr="004A73C1" w:rsidRDefault="00D11768" w:rsidP="00EF2E34">
      <w:pPr>
        <w:pStyle w:val="Heading2"/>
        <w:spacing w:line="360" w:lineRule="auto"/>
        <w:rPr>
          <w:rFonts w:ascii="Arial" w:hAnsi="Arial" w:cs="Arial"/>
          <w:color w:val="auto"/>
        </w:rPr>
      </w:pPr>
      <w:bookmarkStart w:id="46" w:name="_Toc175056444"/>
      <w:bookmarkStart w:id="47" w:name="_Toc175848105"/>
      <w:r w:rsidRPr="004A73C1">
        <w:rPr>
          <w:rFonts w:ascii="Arial" w:hAnsi="Arial" w:cs="Arial"/>
          <w:color w:val="auto"/>
        </w:rPr>
        <w:t>2.1</w:t>
      </w:r>
      <w:r w:rsidRPr="004A73C1">
        <w:rPr>
          <w:rFonts w:ascii="Arial" w:hAnsi="Arial" w:cs="Arial"/>
          <w:color w:val="auto"/>
        </w:rPr>
        <w:tab/>
      </w:r>
      <w:r w:rsidR="009A1733" w:rsidRPr="004A73C1">
        <w:rPr>
          <w:rFonts w:ascii="Arial" w:hAnsi="Arial" w:cs="Arial"/>
          <w:color w:val="auto"/>
        </w:rPr>
        <w:t>Introduction</w:t>
      </w:r>
      <w:bookmarkEnd w:id="46"/>
      <w:bookmarkEnd w:id="47"/>
      <w:r w:rsidR="009A1733" w:rsidRPr="004A73C1">
        <w:rPr>
          <w:rFonts w:ascii="Arial" w:hAnsi="Arial" w:cs="Arial"/>
          <w:color w:val="auto"/>
        </w:rPr>
        <w:t xml:space="preserve"> </w:t>
      </w:r>
    </w:p>
    <w:p w14:paraId="34A85C01" w14:textId="77777777" w:rsidR="00491A3E" w:rsidRPr="00491A3E" w:rsidRDefault="00491A3E" w:rsidP="00491A3E">
      <w:pPr>
        <w:spacing w:line="360" w:lineRule="auto"/>
        <w:jc w:val="both"/>
        <w:rPr>
          <w:rFonts w:ascii="Arial" w:hAnsi="Arial" w:cs="Arial"/>
        </w:rPr>
      </w:pPr>
      <w:bookmarkStart w:id="48" w:name="_Toc175056445"/>
      <w:r w:rsidRPr="00491A3E">
        <w:rPr>
          <w:rFonts w:ascii="Arial" w:hAnsi="Arial" w:cs="Arial"/>
        </w:rPr>
        <w:t>Foreign direct investment (FDI) significantly influences the global economy. This literature review aims to conduct a comprehensive examination of recent academic articles and research pertaining to FDI and its impact on the economies of various countries. The primary objective of this analysis is to explore the factors that influence FDI, the diverse forms of FDI, and the pivotal role of governments in both fostering and regulating FDI within their respective nations. By shedding light on the intricate dynamics of FDI and its implications for economic development, this review underscores the indispensable contribution of policymakers in this process.</w:t>
      </w:r>
    </w:p>
    <w:p w14:paraId="61F0B65C" w14:textId="77777777" w:rsidR="002E707B" w:rsidRPr="004A73C1" w:rsidRDefault="002E707B" w:rsidP="002E707B">
      <w:pPr>
        <w:rPr>
          <w:rFonts w:ascii="Arial" w:hAnsi="Arial" w:cs="Arial"/>
        </w:rPr>
      </w:pPr>
    </w:p>
    <w:p w14:paraId="20270A38" w14:textId="08D2932F" w:rsidR="009A1733" w:rsidRPr="004A73C1" w:rsidRDefault="00D11768" w:rsidP="00EF2E34">
      <w:pPr>
        <w:pStyle w:val="Heading2"/>
        <w:spacing w:line="360" w:lineRule="auto"/>
        <w:rPr>
          <w:rFonts w:ascii="Arial" w:hAnsi="Arial" w:cs="Arial"/>
          <w:color w:val="auto"/>
        </w:rPr>
      </w:pPr>
      <w:bookmarkStart w:id="49" w:name="_Toc175848106"/>
      <w:r w:rsidRPr="004A73C1">
        <w:rPr>
          <w:rFonts w:ascii="Arial" w:hAnsi="Arial" w:cs="Arial"/>
          <w:color w:val="auto"/>
        </w:rPr>
        <w:t>2.2</w:t>
      </w:r>
      <w:r w:rsidRPr="004A73C1">
        <w:rPr>
          <w:rFonts w:ascii="Arial" w:hAnsi="Arial" w:cs="Arial"/>
          <w:color w:val="auto"/>
        </w:rPr>
        <w:tab/>
      </w:r>
      <w:r w:rsidR="007D4E14" w:rsidRPr="004A73C1">
        <w:rPr>
          <w:rFonts w:ascii="Arial" w:hAnsi="Arial" w:cs="Arial"/>
          <w:color w:val="auto"/>
        </w:rPr>
        <w:t>Economic Growth &amp; Foreign Direct Investment</w:t>
      </w:r>
      <w:bookmarkEnd w:id="48"/>
      <w:bookmarkEnd w:id="49"/>
    </w:p>
    <w:p w14:paraId="4D8A3EDB" w14:textId="18B52847" w:rsidR="006053DE" w:rsidRPr="004A73C1" w:rsidRDefault="00A07CA2" w:rsidP="00EF2E34">
      <w:pPr>
        <w:pStyle w:val="ListParagraph"/>
        <w:spacing w:after="0" w:line="360" w:lineRule="auto"/>
        <w:ind w:left="0"/>
        <w:jc w:val="both"/>
        <w:rPr>
          <w:rFonts w:ascii="Arial" w:hAnsi="Arial" w:cs="Arial"/>
        </w:rPr>
      </w:pPr>
      <w:r w:rsidRPr="004A73C1">
        <w:rPr>
          <w:rFonts w:ascii="Arial" w:hAnsi="Arial" w:cs="Arial"/>
        </w:rPr>
        <w:t xml:space="preserve">Foreign Direct Investment (FDI) denotes the utilisation of technological, production, or management advantages by a multinational corporation (MNC) to engage in operations in a foreign country through licensing or a subsidiary branch. FDI plays a </w:t>
      </w:r>
      <w:r w:rsidR="00BF0083" w:rsidRPr="004A73C1">
        <w:rPr>
          <w:rFonts w:ascii="Arial" w:hAnsi="Arial" w:cs="Arial"/>
        </w:rPr>
        <w:t xml:space="preserve">crucial </w:t>
      </w:r>
      <w:r w:rsidRPr="004A73C1">
        <w:rPr>
          <w:rFonts w:ascii="Arial" w:hAnsi="Arial" w:cs="Arial"/>
        </w:rPr>
        <w:t xml:space="preserve">role in globalisation, yielding mutual benefits for the host country and the investing entities, with a prevalent focus on the manufacturing and service </w:t>
      </w:r>
      <w:r w:rsidR="009D3A77" w:rsidRPr="004A73C1">
        <w:rPr>
          <w:rFonts w:ascii="Arial" w:hAnsi="Arial" w:cs="Arial"/>
        </w:rPr>
        <w:t>industries (Bhattarai, K., 2016)</w:t>
      </w:r>
      <w:r w:rsidRPr="004A73C1">
        <w:rPr>
          <w:rFonts w:ascii="Arial" w:hAnsi="Arial" w:cs="Arial"/>
        </w:rPr>
        <w:t>. The multifaceted nature of FDI encompasses micro and macro dimensions, where micro-level operations are guided by profit-maximising endeavours. At the same time, macro-level involvement complements domestic investment, fostering capital accumulation and expediting economic growth, providing a reassuring outlook for the future</w:t>
      </w:r>
      <w:r w:rsidR="006053DE" w:rsidRPr="004A73C1">
        <w:rPr>
          <w:rFonts w:ascii="Arial" w:hAnsi="Arial" w:cs="Arial"/>
        </w:rPr>
        <w:t xml:space="preserve">. </w:t>
      </w:r>
    </w:p>
    <w:p w14:paraId="68F7CC70" w14:textId="77777777" w:rsidR="005E1029" w:rsidRPr="004A73C1" w:rsidRDefault="005E1029" w:rsidP="00EF2E34">
      <w:pPr>
        <w:pStyle w:val="ListParagraph"/>
        <w:spacing w:after="0" w:line="360" w:lineRule="auto"/>
        <w:ind w:left="0"/>
        <w:jc w:val="both"/>
        <w:rPr>
          <w:rFonts w:ascii="Arial" w:hAnsi="Arial" w:cs="Arial"/>
        </w:rPr>
      </w:pPr>
    </w:p>
    <w:p w14:paraId="51C512B3" w14:textId="6D697489" w:rsidR="002E707B" w:rsidRPr="004A73C1" w:rsidRDefault="002E707B" w:rsidP="00CD0082">
      <w:pPr>
        <w:pStyle w:val="ListParagraph"/>
        <w:spacing w:line="360" w:lineRule="auto"/>
        <w:ind w:left="0"/>
        <w:jc w:val="both"/>
        <w:rPr>
          <w:rFonts w:ascii="Arial" w:hAnsi="Arial" w:cs="Arial"/>
        </w:rPr>
      </w:pPr>
      <w:r w:rsidRPr="004A73C1">
        <w:rPr>
          <w:rFonts w:ascii="Arial" w:hAnsi="Arial" w:cs="Arial"/>
        </w:rPr>
        <w:t xml:space="preserve">In the field of foreign direct investment (FDI) study, Wallis (1968) conducted a thorough analysis of the increasing FDI inflows into the EU from the US. He evaluated FDI's critical role in propelling economic progress with great consideration. Feldstein and </w:t>
      </w:r>
      <w:proofErr w:type="spellStart"/>
      <w:r w:rsidRPr="004A73C1">
        <w:rPr>
          <w:rFonts w:ascii="Arial" w:hAnsi="Arial" w:cs="Arial"/>
        </w:rPr>
        <w:t>Horioka</w:t>
      </w:r>
      <w:proofErr w:type="spellEnd"/>
      <w:r w:rsidRPr="004A73C1">
        <w:rPr>
          <w:rFonts w:ascii="Arial" w:hAnsi="Arial" w:cs="Arial"/>
        </w:rPr>
        <w:t xml:space="preserve"> (1980) also calculated the effect of FDI on investment and saving. </w:t>
      </w:r>
      <w:r w:rsidR="00CD0082" w:rsidRPr="004A73C1">
        <w:rPr>
          <w:rFonts w:ascii="Arial" w:hAnsi="Arial" w:cs="Arial"/>
        </w:rPr>
        <w:t>To</w:t>
      </w:r>
      <w:r w:rsidRPr="004A73C1">
        <w:rPr>
          <w:rFonts w:ascii="Arial" w:hAnsi="Arial" w:cs="Arial"/>
        </w:rPr>
        <w:t xml:space="preserve"> properly </w:t>
      </w:r>
      <w:proofErr w:type="spellStart"/>
      <w:r w:rsidRPr="004A73C1">
        <w:rPr>
          <w:rFonts w:ascii="Arial" w:hAnsi="Arial" w:cs="Arial"/>
        </w:rPr>
        <w:t>analyze</w:t>
      </w:r>
      <w:proofErr w:type="spellEnd"/>
      <w:r w:rsidRPr="004A73C1">
        <w:rPr>
          <w:rFonts w:ascii="Arial" w:hAnsi="Arial" w:cs="Arial"/>
        </w:rPr>
        <w:t xml:space="preserve"> our data and findings, this study will assist us in placing the findings within the context of the UK.</w:t>
      </w:r>
    </w:p>
    <w:p w14:paraId="63AF3CA8" w14:textId="77777777" w:rsidR="00BF0083" w:rsidRPr="004A73C1" w:rsidRDefault="00BF0083" w:rsidP="00EF2E34">
      <w:pPr>
        <w:pStyle w:val="ListParagraph"/>
        <w:spacing w:after="0" w:line="360" w:lineRule="auto"/>
        <w:ind w:left="0"/>
        <w:jc w:val="both"/>
        <w:rPr>
          <w:rFonts w:ascii="Arial" w:hAnsi="Arial" w:cs="Arial"/>
        </w:rPr>
      </w:pPr>
    </w:p>
    <w:p w14:paraId="06F03CB8" w14:textId="77777777" w:rsidR="00CD0082" w:rsidRPr="004A73C1" w:rsidRDefault="00CD0082" w:rsidP="00CD0082">
      <w:pPr>
        <w:pStyle w:val="ListParagraph"/>
        <w:spacing w:line="360" w:lineRule="auto"/>
        <w:ind w:left="0"/>
        <w:jc w:val="both"/>
        <w:rPr>
          <w:rFonts w:ascii="Arial" w:hAnsi="Arial" w:cs="Arial"/>
        </w:rPr>
      </w:pPr>
      <w:r w:rsidRPr="004A73C1">
        <w:rPr>
          <w:rFonts w:ascii="Arial" w:hAnsi="Arial" w:cs="Arial"/>
        </w:rPr>
        <w:t xml:space="preserve">Later, Desai, Foley, and Hines (2005) found a nearly one-to-one positive relationship between FDI inflows and investment and saving GDP ratios, while FDI outflows were negatively correlated with decreased investment in OECD nations in the 1990s. Furthermore, a study on FDI flows from industrialized countries to 69 developing nations by </w:t>
      </w:r>
      <w:proofErr w:type="spellStart"/>
      <w:r w:rsidRPr="004A73C1">
        <w:rPr>
          <w:rFonts w:ascii="Arial" w:hAnsi="Arial" w:cs="Arial"/>
        </w:rPr>
        <w:t>Borensztein</w:t>
      </w:r>
      <w:proofErr w:type="spellEnd"/>
      <w:r w:rsidRPr="004A73C1">
        <w:rPr>
          <w:rFonts w:ascii="Arial" w:hAnsi="Arial" w:cs="Arial"/>
        </w:rPr>
        <w:t xml:space="preserve"> et al. (1998) established the essential requirement for domestic absorptive capacity to elevate FDI to a prominent position in affecting economic growth. </w:t>
      </w:r>
    </w:p>
    <w:p w14:paraId="65CBD985" w14:textId="77777777" w:rsidR="00E74B12" w:rsidRPr="004A73C1" w:rsidRDefault="00E74B12" w:rsidP="00EF2E34">
      <w:pPr>
        <w:pStyle w:val="ListParagraph"/>
        <w:spacing w:after="0" w:line="360" w:lineRule="auto"/>
        <w:ind w:left="0"/>
        <w:jc w:val="both"/>
        <w:rPr>
          <w:rFonts w:ascii="Arial" w:hAnsi="Arial" w:cs="Arial"/>
        </w:rPr>
      </w:pPr>
    </w:p>
    <w:p w14:paraId="2888E6B6" w14:textId="77777777" w:rsidR="00E74B12" w:rsidRPr="004A73C1" w:rsidRDefault="00A07CA2" w:rsidP="00EF2E34">
      <w:pPr>
        <w:pStyle w:val="ListParagraph"/>
        <w:spacing w:after="0" w:line="360" w:lineRule="auto"/>
        <w:ind w:left="0"/>
        <w:jc w:val="both"/>
        <w:rPr>
          <w:rFonts w:ascii="Arial" w:hAnsi="Arial" w:cs="Arial"/>
        </w:rPr>
      </w:pPr>
      <w:r w:rsidRPr="004A73C1">
        <w:rPr>
          <w:rFonts w:ascii="Arial" w:hAnsi="Arial" w:cs="Arial"/>
        </w:rPr>
        <w:lastRenderedPageBreak/>
        <w:t xml:space="preserve">In a recent study, de Mello (1999) employed a panel data model to discern that the nexus between growth and FDI is contingent upon country-specific factors and essentially buttresses a </w:t>
      </w:r>
      <w:r w:rsidR="00E74B12" w:rsidRPr="004A73C1">
        <w:rPr>
          <w:rFonts w:ascii="Arial" w:hAnsi="Arial" w:cs="Arial"/>
        </w:rPr>
        <w:t>favourable</w:t>
      </w:r>
      <w:r w:rsidRPr="004A73C1">
        <w:rPr>
          <w:rFonts w:ascii="Arial" w:hAnsi="Arial" w:cs="Arial"/>
        </w:rPr>
        <w:t xml:space="preserve"> association between FDI and long-term economic growth. </w:t>
      </w:r>
    </w:p>
    <w:p w14:paraId="6A845A60" w14:textId="77777777" w:rsidR="00E74B12" w:rsidRPr="004A73C1" w:rsidRDefault="00E74B12" w:rsidP="00EF2E34">
      <w:pPr>
        <w:pStyle w:val="ListParagraph"/>
        <w:spacing w:after="0" w:line="360" w:lineRule="auto"/>
        <w:ind w:left="0"/>
        <w:jc w:val="both"/>
        <w:rPr>
          <w:rFonts w:ascii="Arial" w:hAnsi="Arial" w:cs="Arial"/>
        </w:rPr>
      </w:pPr>
    </w:p>
    <w:p w14:paraId="40811777" w14:textId="3F07E75F" w:rsidR="00491A3E" w:rsidRPr="00491A3E" w:rsidRDefault="00491A3E" w:rsidP="00491A3E">
      <w:pPr>
        <w:pStyle w:val="ListParagraph"/>
        <w:spacing w:line="360" w:lineRule="auto"/>
        <w:ind w:left="0"/>
        <w:jc w:val="both"/>
        <w:rPr>
          <w:rFonts w:ascii="Arial" w:hAnsi="Arial" w:cs="Arial"/>
        </w:rPr>
      </w:pPr>
      <w:proofErr w:type="spellStart"/>
      <w:r w:rsidRPr="00491A3E">
        <w:rPr>
          <w:rFonts w:ascii="Arial" w:hAnsi="Arial" w:cs="Arial"/>
        </w:rPr>
        <w:t>Spickernell's</w:t>
      </w:r>
      <w:proofErr w:type="spellEnd"/>
      <w:r w:rsidRPr="00491A3E">
        <w:rPr>
          <w:rFonts w:ascii="Arial" w:hAnsi="Arial" w:cs="Arial"/>
        </w:rPr>
        <w:t xml:space="preserve"> (2014)</w:t>
      </w:r>
      <w:r w:rsidR="00475D42">
        <w:rPr>
          <w:rFonts w:ascii="Arial" w:hAnsi="Arial" w:cs="Arial"/>
        </w:rPr>
        <w:t>,</w:t>
      </w:r>
      <w:r w:rsidRPr="00491A3E">
        <w:rPr>
          <w:rFonts w:ascii="Arial" w:hAnsi="Arial" w:cs="Arial"/>
        </w:rPr>
        <w:t xml:space="preserve"> research highlights the significant impact of foreign direct investment (FDI) on the economies of host countries. The findings emphasize that FDI is a crucial driver of economic growth and is often considered the primary source of capital in most host countries. Additionally, FDI, </w:t>
      </w:r>
      <w:proofErr w:type="gramStart"/>
      <w:r w:rsidRPr="00491A3E">
        <w:rPr>
          <w:rFonts w:ascii="Arial" w:hAnsi="Arial" w:cs="Arial"/>
        </w:rPr>
        <w:t>similar to</w:t>
      </w:r>
      <w:proofErr w:type="gramEnd"/>
      <w:r w:rsidRPr="00491A3E">
        <w:rPr>
          <w:rFonts w:ascii="Arial" w:hAnsi="Arial" w:cs="Arial"/>
        </w:rPr>
        <w:t xml:space="preserve"> domestic private investments, contributes to GDP growth. Furthermore, FDI plays a vital role in the transfer of technology and dissemination of knowledge by introducing new and advanced technologies to the host country through its investments.</w:t>
      </w:r>
    </w:p>
    <w:p w14:paraId="58B06992" w14:textId="77777777" w:rsidR="006053DE" w:rsidRPr="004A73C1" w:rsidRDefault="006053DE" w:rsidP="00CD0082">
      <w:pPr>
        <w:pStyle w:val="ListParagraph"/>
        <w:spacing w:after="0" w:line="360" w:lineRule="auto"/>
        <w:ind w:left="0"/>
        <w:jc w:val="both"/>
        <w:rPr>
          <w:rFonts w:ascii="Arial" w:hAnsi="Arial" w:cs="Arial"/>
        </w:rPr>
      </w:pPr>
    </w:p>
    <w:p w14:paraId="23D27DEC" w14:textId="77777777" w:rsidR="00CD0082" w:rsidRPr="004A73C1" w:rsidRDefault="00CD0082" w:rsidP="00CD0082">
      <w:pPr>
        <w:pStyle w:val="ListParagraph"/>
        <w:spacing w:line="360" w:lineRule="auto"/>
        <w:ind w:left="0"/>
        <w:jc w:val="both"/>
        <w:rPr>
          <w:rFonts w:ascii="Arial" w:hAnsi="Arial" w:cs="Arial"/>
        </w:rPr>
      </w:pPr>
      <w:proofErr w:type="spellStart"/>
      <w:r w:rsidRPr="004A73C1">
        <w:rPr>
          <w:rFonts w:ascii="Arial" w:hAnsi="Arial" w:cs="Arial"/>
        </w:rPr>
        <w:t>Chete</w:t>
      </w:r>
      <w:proofErr w:type="spellEnd"/>
      <w:r w:rsidRPr="004A73C1">
        <w:rPr>
          <w:rFonts w:ascii="Arial" w:hAnsi="Arial" w:cs="Arial"/>
        </w:rPr>
        <w:t xml:space="preserve"> et al. (2013) state that before host economies can fully profit from FDI, they must first reach certain milestones in development parameters, like education and critical infrastructure. Therefore, foreign direct investment may not have a major effect on the acceleration of economic development rates in less developed nations.</w:t>
      </w:r>
    </w:p>
    <w:p w14:paraId="6BB21C68" w14:textId="77777777" w:rsidR="00D70583" w:rsidRPr="004A73C1" w:rsidRDefault="00D70583" w:rsidP="00EF2E34">
      <w:pPr>
        <w:pStyle w:val="ListParagraph"/>
        <w:spacing w:after="0" w:line="360" w:lineRule="auto"/>
        <w:ind w:left="0"/>
        <w:jc w:val="both"/>
        <w:rPr>
          <w:rFonts w:ascii="Arial" w:hAnsi="Arial" w:cs="Arial"/>
        </w:rPr>
      </w:pPr>
    </w:p>
    <w:p w14:paraId="64B18ACA" w14:textId="7D5E1C34" w:rsidR="00CD0082" w:rsidRPr="004A73C1" w:rsidRDefault="00CD0082" w:rsidP="00CD0082">
      <w:pPr>
        <w:pStyle w:val="ListParagraph"/>
        <w:spacing w:line="360" w:lineRule="auto"/>
        <w:ind w:left="0"/>
        <w:jc w:val="both"/>
        <w:rPr>
          <w:rFonts w:ascii="Arial" w:hAnsi="Arial" w:cs="Arial"/>
        </w:rPr>
      </w:pPr>
      <w:r w:rsidRPr="004A73C1">
        <w:rPr>
          <w:rFonts w:ascii="Arial" w:hAnsi="Arial" w:cs="Arial"/>
        </w:rPr>
        <w:t xml:space="preserve">According to Dunning (2012), foreign direct investment draws in matching local investment that either uses the foreign investors' output or supplies inputs. Because foreign direct investment fosters the development of innovative technologies, technical know-how, and best management practices, it has been seen as a driver of economic progress. The host nation's productivity is increased by these elements. Additionally, as a vote of confidence in the host economy, foreign direct investment encourages inward investment in host nations. Furthermore, it is essential to enhance native resources in the host nations. </w:t>
      </w:r>
    </w:p>
    <w:p w14:paraId="437CDC1E" w14:textId="77777777" w:rsidR="00CD0082" w:rsidRPr="004A73C1" w:rsidRDefault="00CD0082" w:rsidP="00CD0082">
      <w:pPr>
        <w:pStyle w:val="ListParagraph"/>
        <w:spacing w:line="360" w:lineRule="auto"/>
        <w:ind w:left="0"/>
        <w:jc w:val="both"/>
        <w:rPr>
          <w:rFonts w:ascii="Arial" w:hAnsi="Arial" w:cs="Arial"/>
        </w:rPr>
      </w:pPr>
    </w:p>
    <w:p w14:paraId="3CA8A893" w14:textId="0C230FCE" w:rsidR="00CD0082" w:rsidRPr="004A73C1" w:rsidRDefault="00CD0082" w:rsidP="00260344">
      <w:pPr>
        <w:pStyle w:val="ListParagraph"/>
        <w:spacing w:line="360" w:lineRule="auto"/>
        <w:ind w:left="0"/>
        <w:jc w:val="both"/>
        <w:rPr>
          <w:rFonts w:ascii="Arial" w:hAnsi="Arial" w:cs="Arial"/>
        </w:rPr>
      </w:pPr>
      <w:r w:rsidRPr="004A73C1">
        <w:rPr>
          <w:rFonts w:ascii="Arial" w:hAnsi="Arial" w:cs="Arial"/>
        </w:rPr>
        <w:t xml:space="preserve">Infrastructure and energy comprise more than half of all new projects in the UK, highlighting FDI's important role in the country's economy. Foreign direct investment is seen by the UK government as a key engine of economic expansion. Foreign investors must abide by industry-specific legislation (such as those in the manufacturing or energy sectors) just like other businesses, even though the UK does not have a special statute governing foreign direct </w:t>
      </w:r>
      <w:r w:rsidR="00BF24CC" w:rsidRPr="004A73C1">
        <w:rPr>
          <w:rFonts w:ascii="Arial" w:hAnsi="Arial" w:cs="Arial"/>
        </w:rPr>
        <w:t>investment. (</w:t>
      </w:r>
      <w:r w:rsidRPr="004A73C1">
        <w:rPr>
          <w:rFonts w:ascii="Arial" w:hAnsi="Arial" w:cs="Arial"/>
        </w:rPr>
        <w:t>ONS.Gov.UK/Asset publication,2021).</w:t>
      </w:r>
      <w:r w:rsidR="00491A3E" w:rsidRPr="004A73C1">
        <w:rPr>
          <w:rFonts w:ascii="Arial" w:hAnsi="Arial" w:cs="Arial"/>
          <w:color w:val="1C1C1C"/>
          <w:sz w:val="21"/>
          <w:szCs w:val="21"/>
          <w:shd w:val="clear" w:color="auto" w:fill="FFFFFF"/>
        </w:rPr>
        <w:t xml:space="preserve"> </w:t>
      </w:r>
      <w:r w:rsidR="00491A3E" w:rsidRPr="004A73C1">
        <w:rPr>
          <w:rFonts w:ascii="Arial" w:hAnsi="Arial" w:cs="Arial"/>
        </w:rPr>
        <w:t xml:space="preserve">The government has acknowledged the need for significant investment in sectors like information and communication technology (ICT), renewable energy, life sciences, and creative industries. This is crucial due to Brexit and the impact of inward investment on the UK economy. The UK, known for its open economy, has a history of trade deficits. </w:t>
      </w:r>
      <w:r w:rsidRPr="004A73C1">
        <w:rPr>
          <w:rFonts w:ascii="Arial" w:hAnsi="Arial" w:cs="Arial"/>
        </w:rPr>
        <w:t>(</w:t>
      </w:r>
      <w:r w:rsidR="00BF24CC" w:rsidRPr="004A73C1">
        <w:rPr>
          <w:rFonts w:ascii="Arial" w:hAnsi="Arial" w:cs="Arial"/>
        </w:rPr>
        <w:t>cer.eu/publications, 2022)</w:t>
      </w:r>
    </w:p>
    <w:p w14:paraId="5C2216F9" w14:textId="2D57E9D8" w:rsidR="00A07CA2" w:rsidRPr="004A73C1" w:rsidRDefault="00A07CA2" w:rsidP="00CD0082">
      <w:pPr>
        <w:pStyle w:val="ListParagraph"/>
        <w:spacing w:line="360" w:lineRule="auto"/>
        <w:ind w:left="0"/>
        <w:jc w:val="both"/>
        <w:rPr>
          <w:rFonts w:ascii="Arial" w:hAnsi="Arial" w:cs="Arial"/>
        </w:rPr>
      </w:pPr>
    </w:p>
    <w:p w14:paraId="67E6DD10" w14:textId="2691FDC7" w:rsidR="00C667F1" w:rsidRPr="004A73C1" w:rsidRDefault="00C667F1" w:rsidP="00EF2E34">
      <w:pPr>
        <w:pStyle w:val="ListParagraph"/>
        <w:spacing w:after="0" w:line="360" w:lineRule="auto"/>
        <w:ind w:left="0"/>
        <w:jc w:val="both"/>
        <w:rPr>
          <w:rFonts w:ascii="Arial" w:hAnsi="Arial" w:cs="Arial"/>
          <w:shd w:val="clear" w:color="auto" w:fill="FFFFFF"/>
        </w:rPr>
      </w:pPr>
      <w:r w:rsidRPr="004A73C1">
        <w:rPr>
          <w:rFonts w:ascii="Arial" w:hAnsi="Arial" w:cs="Arial"/>
          <w:shd w:val="clear" w:color="auto" w:fill="FFFFFF"/>
        </w:rPr>
        <w:t xml:space="preserve">Furthermore, while there is emerging literature on the impact of Brexit on inward investment, it </w:t>
      </w:r>
      <w:r w:rsidR="00614F78" w:rsidRPr="004A73C1">
        <w:rPr>
          <w:rFonts w:ascii="Arial" w:hAnsi="Arial" w:cs="Arial"/>
          <w:shd w:val="clear" w:color="auto" w:fill="FFFFFF"/>
        </w:rPr>
        <w:t>essentially</w:t>
      </w:r>
      <w:r w:rsidRPr="004A73C1">
        <w:rPr>
          <w:rFonts w:ascii="Arial" w:hAnsi="Arial" w:cs="Arial"/>
          <w:shd w:val="clear" w:color="auto" w:fill="FFFFFF"/>
        </w:rPr>
        <w:t xml:space="preserve"> adds to existing research on the geographical distribution of foreign direct investment (FDI) by considering the effects of Brexit (Bruno et al. (2016), Simionescu (2017)). </w:t>
      </w:r>
    </w:p>
    <w:p w14:paraId="202AAA28" w14:textId="77777777" w:rsidR="00C667F1" w:rsidRPr="004A73C1" w:rsidRDefault="00C667F1" w:rsidP="00EF2E34">
      <w:pPr>
        <w:pStyle w:val="ListParagraph"/>
        <w:spacing w:after="0" w:line="360" w:lineRule="auto"/>
        <w:ind w:left="0"/>
        <w:jc w:val="both"/>
        <w:rPr>
          <w:rFonts w:ascii="Arial" w:hAnsi="Arial" w:cs="Arial"/>
          <w:shd w:val="clear" w:color="auto" w:fill="FFFFFF"/>
        </w:rPr>
      </w:pPr>
    </w:p>
    <w:p w14:paraId="5A29F64C" w14:textId="2F0706D2" w:rsidR="00A07CA2" w:rsidRPr="004A73C1" w:rsidRDefault="00B63B17" w:rsidP="00EF2E34">
      <w:pPr>
        <w:pStyle w:val="ListParagraph"/>
        <w:spacing w:after="0" w:line="360" w:lineRule="auto"/>
        <w:ind w:left="0"/>
        <w:jc w:val="both"/>
        <w:rPr>
          <w:rFonts w:ascii="Arial" w:hAnsi="Arial" w:cs="Arial"/>
          <w:shd w:val="clear" w:color="auto" w:fill="FFFFFF"/>
        </w:rPr>
      </w:pPr>
      <w:proofErr w:type="spellStart"/>
      <w:r w:rsidRPr="004A73C1">
        <w:rPr>
          <w:rFonts w:ascii="Arial" w:hAnsi="Arial" w:cs="Arial"/>
          <w:shd w:val="clear" w:color="auto" w:fill="FFFFFF"/>
        </w:rPr>
        <w:t>Gudgin</w:t>
      </w:r>
      <w:proofErr w:type="spellEnd"/>
      <w:r w:rsidRPr="004A73C1">
        <w:rPr>
          <w:rFonts w:ascii="Arial" w:hAnsi="Arial" w:cs="Arial"/>
          <w:shd w:val="clear" w:color="auto" w:fill="FFFFFF"/>
        </w:rPr>
        <w:t xml:space="preserve"> et al. (2017) overlooked this factor and its potential impact in their Brexit analysis. Considering this, </w:t>
      </w:r>
      <w:r w:rsidR="005E1029" w:rsidRPr="004A73C1">
        <w:rPr>
          <w:rFonts w:ascii="Arial" w:hAnsi="Arial" w:cs="Arial"/>
          <w:shd w:val="clear" w:color="auto" w:fill="FFFFFF"/>
        </w:rPr>
        <w:t>they have proposed</w:t>
      </w:r>
      <w:r w:rsidRPr="004A73C1">
        <w:rPr>
          <w:rFonts w:ascii="Arial" w:hAnsi="Arial" w:cs="Arial"/>
          <w:shd w:val="clear" w:color="auto" w:fill="FFFFFF"/>
        </w:rPr>
        <w:t xml:space="preserve"> to investigate the dynamics of inward FDI in the macroeconomy using the structural vector autoregression (SVAR) paradigm</w:t>
      </w:r>
      <w:r w:rsidR="00C667F1" w:rsidRPr="004A73C1">
        <w:rPr>
          <w:rFonts w:ascii="Arial" w:hAnsi="Arial" w:cs="Arial"/>
          <w:shd w:val="clear" w:color="auto" w:fill="FFFFFF"/>
        </w:rPr>
        <w:t xml:space="preserve"> to provide a more comprehensive understanding of the impact of Brexit on inward FDI.</w:t>
      </w:r>
    </w:p>
    <w:p w14:paraId="4FDA9C4F" w14:textId="77777777" w:rsidR="00C667F1" w:rsidRPr="004A73C1" w:rsidRDefault="00C667F1" w:rsidP="00EF2E34">
      <w:pPr>
        <w:pStyle w:val="ListParagraph"/>
        <w:spacing w:after="0" w:line="360" w:lineRule="auto"/>
        <w:ind w:left="0"/>
        <w:jc w:val="both"/>
        <w:rPr>
          <w:rFonts w:ascii="Arial" w:hAnsi="Arial" w:cs="Arial"/>
        </w:rPr>
      </w:pPr>
    </w:p>
    <w:p w14:paraId="376DED79" w14:textId="58C5BBAE" w:rsidR="00DB33A6" w:rsidRPr="004A73C1" w:rsidRDefault="00E11EFD" w:rsidP="00EF2E34">
      <w:pPr>
        <w:pStyle w:val="ListParagraph"/>
        <w:autoSpaceDE w:val="0"/>
        <w:autoSpaceDN w:val="0"/>
        <w:adjustRightInd w:val="0"/>
        <w:spacing w:after="0" w:line="360" w:lineRule="auto"/>
        <w:ind w:left="0"/>
        <w:jc w:val="both"/>
        <w:rPr>
          <w:rFonts w:ascii="Arial" w:hAnsi="Arial" w:cs="Arial"/>
        </w:rPr>
      </w:pPr>
      <w:r w:rsidRPr="004A73C1">
        <w:rPr>
          <w:rFonts w:ascii="Arial" w:hAnsi="Arial" w:cs="Arial"/>
        </w:rPr>
        <w:t xml:space="preserve">The study conducted by </w:t>
      </w:r>
      <w:r w:rsidR="00DB33A6" w:rsidRPr="004A73C1">
        <w:rPr>
          <w:rFonts w:ascii="Arial" w:hAnsi="Arial" w:cs="Arial"/>
        </w:rPr>
        <w:t xml:space="preserve">CBI commissioned PwC to conduct an in-depth quantitative assessment of the potential economic implications of a UK exit from the EU. PwC evaluated two scenarios: one where the UK negotiates a Free Trade Agreement with the EU within five years of the referendum and another where trade defaults to World Trade Organization rules. </w:t>
      </w:r>
      <w:r w:rsidR="005E1029" w:rsidRPr="004A73C1">
        <w:rPr>
          <w:rFonts w:ascii="Arial" w:hAnsi="Arial" w:cs="Arial"/>
        </w:rPr>
        <w:t xml:space="preserve">The essence of the study revealed that if </w:t>
      </w:r>
      <w:r w:rsidR="00DB33A6" w:rsidRPr="004A73C1">
        <w:rPr>
          <w:rFonts w:ascii="Arial" w:hAnsi="Arial" w:cs="Arial"/>
        </w:rPr>
        <w:t>Both scenarios were compared to a hypothetical scenario where the UK remained in a reformed EU, assuming the UK's economy would grow at a long-term trend rate of 2.3% per year.</w:t>
      </w:r>
    </w:p>
    <w:p w14:paraId="1BD743BD" w14:textId="77777777" w:rsidR="00A07CA2" w:rsidRPr="004A73C1" w:rsidRDefault="00A07CA2" w:rsidP="00EF2E34">
      <w:pPr>
        <w:pStyle w:val="ListParagraph"/>
        <w:autoSpaceDE w:val="0"/>
        <w:autoSpaceDN w:val="0"/>
        <w:adjustRightInd w:val="0"/>
        <w:spacing w:after="0" w:line="360" w:lineRule="auto"/>
        <w:ind w:left="0"/>
        <w:jc w:val="both"/>
        <w:rPr>
          <w:rFonts w:ascii="Arial" w:hAnsi="Arial" w:cs="Arial"/>
        </w:rPr>
      </w:pPr>
    </w:p>
    <w:p w14:paraId="7B5231AD" w14:textId="2972B751" w:rsidR="00FB451C" w:rsidRPr="004A73C1" w:rsidRDefault="006B671E" w:rsidP="00EF2E34">
      <w:pPr>
        <w:pStyle w:val="ListParagraph"/>
        <w:autoSpaceDE w:val="0"/>
        <w:autoSpaceDN w:val="0"/>
        <w:adjustRightInd w:val="0"/>
        <w:spacing w:after="0" w:line="360" w:lineRule="auto"/>
        <w:ind w:left="0"/>
        <w:jc w:val="both"/>
        <w:rPr>
          <w:rFonts w:ascii="Arial" w:hAnsi="Arial" w:cs="Arial"/>
        </w:rPr>
      </w:pPr>
      <w:r w:rsidRPr="004A73C1">
        <w:rPr>
          <w:rFonts w:ascii="Arial" w:hAnsi="Arial" w:cs="Arial"/>
        </w:rPr>
        <w:t>As per Simionescu, l</w:t>
      </w:r>
      <w:r w:rsidR="00E109D3" w:rsidRPr="004A73C1">
        <w:rPr>
          <w:rFonts w:ascii="Arial" w:hAnsi="Arial" w:cs="Arial"/>
        </w:rPr>
        <w:t>eaving the EU (‘Brexit’) would lower trade between the UK and the EU because of higher tariff and non-tariff barriers to trade. In addition, the UK would benefit less from future market integration within the EU</w:t>
      </w:r>
      <w:r w:rsidRPr="004A73C1">
        <w:rPr>
          <w:rFonts w:ascii="Arial" w:hAnsi="Arial" w:cs="Arial"/>
        </w:rPr>
        <w:t xml:space="preserve"> </w:t>
      </w:r>
      <w:r w:rsidR="00EB7080" w:rsidRPr="004A73C1">
        <w:rPr>
          <w:rFonts w:ascii="Arial" w:hAnsi="Arial" w:cs="Arial"/>
        </w:rPr>
        <w:t>(Simionescu, M., 2017)</w:t>
      </w:r>
      <w:r w:rsidR="00E109D3" w:rsidRPr="004A73C1">
        <w:rPr>
          <w:rFonts w:ascii="Arial" w:hAnsi="Arial" w:cs="Arial"/>
        </w:rPr>
        <w:t>.</w:t>
      </w:r>
    </w:p>
    <w:p w14:paraId="6B9FBBD9" w14:textId="6CC9072D" w:rsidR="00A07CA2" w:rsidRPr="004A73C1" w:rsidRDefault="006B671E" w:rsidP="00EF2E34">
      <w:pPr>
        <w:pStyle w:val="ListParagraph"/>
        <w:autoSpaceDE w:val="0"/>
        <w:autoSpaceDN w:val="0"/>
        <w:adjustRightInd w:val="0"/>
        <w:spacing w:after="0" w:line="360" w:lineRule="auto"/>
        <w:ind w:left="0"/>
        <w:jc w:val="both"/>
        <w:rPr>
          <w:rFonts w:ascii="Arial" w:hAnsi="Arial" w:cs="Arial"/>
        </w:rPr>
      </w:pPr>
      <w:r w:rsidRPr="004A73C1">
        <w:rPr>
          <w:rFonts w:ascii="Arial" w:hAnsi="Arial" w:cs="Arial"/>
        </w:rPr>
        <w:t>Shatz and Venables (2000) found that companies want to improve their service to the local market and reduce input costs. They believe that companies expand globally mainly to find new markets and minimize production costs. The authors note that what drives foreign investment in developing countries may not apply to developed or underdeveloped nations. Therefore, we should be careful about assuming that what's true for developing countries also applies to developed countries.</w:t>
      </w:r>
    </w:p>
    <w:p w14:paraId="013F4A90" w14:textId="77777777" w:rsidR="00A07CA2" w:rsidRPr="004A73C1" w:rsidRDefault="00A07CA2" w:rsidP="00EF2E34">
      <w:pPr>
        <w:pStyle w:val="ListParagraph"/>
        <w:autoSpaceDE w:val="0"/>
        <w:autoSpaceDN w:val="0"/>
        <w:adjustRightInd w:val="0"/>
        <w:spacing w:after="0" w:line="360" w:lineRule="auto"/>
        <w:ind w:left="0"/>
        <w:jc w:val="both"/>
        <w:rPr>
          <w:rFonts w:ascii="Arial" w:hAnsi="Arial" w:cs="Arial"/>
        </w:rPr>
      </w:pPr>
    </w:p>
    <w:p w14:paraId="0F68F9EE" w14:textId="6F124751" w:rsidR="00DB33A6" w:rsidRPr="004A73C1" w:rsidRDefault="00DB33A6" w:rsidP="00EF2E34">
      <w:pPr>
        <w:pStyle w:val="ListParagraph"/>
        <w:spacing w:after="0" w:line="360" w:lineRule="auto"/>
        <w:ind w:left="0"/>
        <w:jc w:val="both"/>
        <w:rPr>
          <w:rFonts w:ascii="Arial" w:hAnsi="Arial" w:cs="Arial"/>
        </w:rPr>
      </w:pPr>
      <w:r w:rsidRPr="004A73C1">
        <w:rPr>
          <w:rFonts w:ascii="Arial" w:hAnsi="Arial" w:cs="Arial"/>
        </w:rPr>
        <w:t xml:space="preserve">In their 2016 study, Driffield and </w:t>
      </w:r>
      <w:proofErr w:type="spellStart"/>
      <w:r w:rsidRPr="004A73C1">
        <w:rPr>
          <w:rFonts w:ascii="Arial" w:hAnsi="Arial" w:cs="Arial"/>
        </w:rPr>
        <w:t>Karoglou</w:t>
      </w:r>
      <w:proofErr w:type="spellEnd"/>
      <w:r w:rsidRPr="004A73C1">
        <w:rPr>
          <w:rFonts w:ascii="Arial" w:hAnsi="Arial" w:cs="Arial"/>
        </w:rPr>
        <w:t xml:space="preserve"> found that Brexit hurt the UK's Foreign Direct Investment (FDI). Using a Markov regime-switching structural vector-autoregression, they suggested potential policies for Great Britain, including increasing labour market flexibility, pursuing more intensive trade with countries offering lower costs, and decreasing employment protection.</w:t>
      </w:r>
    </w:p>
    <w:p w14:paraId="7BB6147C" w14:textId="77777777" w:rsidR="00A07CA2" w:rsidRPr="004A73C1" w:rsidRDefault="00A07CA2" w:rsidP="00EF2E34">
      <w:pPr>
        <w:pStyle w:val="ListParagraph"/>
        <w:spacing w:after="0" w:line="360" w:lineRule="auto"/>
        <w:ind w:left="0"/>
        <w:jc w:val="both"/>
        <w:rPr>
          <w:rFonts w:ascii="Arial" w:hAnsi="Arial" w:cs="Arial"/>
        </w:rPr>
      </w:pPr>
    </w:p>
    <w:p w14:paraId="39764C48" w14:textId="63B2BA95" w:rsidR="00DB33A6" w:rsidRPr="004A73C1" w:rsidRDefault="00DB33A6" w:rsidP="00EF2E34">
      <w:pPr>
        <w:pStyle w:val="ListParagraph"/>
        <w:spacing w:after="0" w:line="360" w:lineRule="auto"/>
        <w:ind w:left="0"/>
        <w:jc w:val="both"/>
        <w:rPr>
          <w:rFonts w:ascii="Arial" w:hAnsi="Arial" w:cs="Arial"/>
        </w:rPr>
      </w:pPr>
      <w:r w:rsidRPr="004A73C1">
        <w:rPr>
          <w:rFonts w:ascii="Arial" w:hAnsi="Arial" w:cs="Arial"/>
        </w:rPr>
        <w:t>Additionally, Ebell and Warren's 2016 research showed that EU membership positively affected inward FDI in the UK. They attributed this to the advantages of free capital movement, trade in goods and services, labour mobility, and passports, collectively making the UK the most attractive FDI destination in Europe.</w:t>
      </w:r>
    </w:p>
    <w:p w14:paraId="6226F9FB" w14:textId="77777777" w:rsidR="00A07CA2" w:rsidRPr="004A73C1" w:rsidRDefault="00A07CA2" w:rsidP="00EF2E34">
      <w:pPr>
        <w:pStyle w:val="ListParagraph"/>
        <w:spacing w:after="0" w:line="360" w:lineRule="auto"/>
        <w:ind w:left="0"/>
        <w:jc w:val="both"/>
        <w:rPr>
          <w:rFonts w:ascii="Arial" w:hAnsi="Arial" w:cs="Arial"/>
        </w:rPr>
      </w:pPr>
    </w:p>
    <w:bookmarkEnd w:id="2"/>
    <w:p w14:paraId="5E5644B4" w14:textId="7062B700" w:rsidR="00D9708D" w:rsidRPr="004A73C1" w:rsidRDefault="00D9708D" w:rsidP="00EF2E34">
      <w:pPr>
        <w:pStyle w:val="ListParagraph"/>
        <w:autoSpaceDE w:val="0"/>
        <w:autoSpaceDN w:val="0"/>
        <w:adjustRightInd w:val="0"/>
        <w:spacing w:after="0" w:line="360" w:lineRule="auto"/>
        <w:ind w:left="0"/>
        <w:jc w:val="both"/>
        <w:rPr>
          <w:rFonts w:ascii="Arial" w:hAnsi="Arial" w:cs="Arial"/>
          <w:color w:val="000000"/>
          <w:shd w:val="clear" w:color="auto" w:fill="FFFFFF"/>
        </w:rPr>
      </w:pPr>
      <w:r w:rsidRPr="004A73C1">
        <w:rPr>
          <w:rFonts w:ascii="Arial" w:hAnsi="Arial" w:cs="Arial"/>
          <w:color w:val="000000"/>
          <w:shd w:val="clear" w:color="auto" w:fill="FFFFFF"/>
        </w:rPr>
        <w:t xml:space="preserve">Ruxanda (2010) identified two important ways in which foreign direct investment (FDI) can help economies grow. Firstly, FDI can bring in advanced technology, which local companies can then adopt. Secondly, investing firms can introduce new management methods and </w:t>
      </w:r>
      <w:r w:rsidRPr="004A73C1">
        <w:rPr>
          <w:rFonts w:ascii="Arial" w:hAnsi="Arial" w:cs="Arial"/>
          <w:color w:val="000000"/>
          <w:shd w:val="clear" w:color="auto" w:fill="FFFFFF"/>
        </w:rPr>
        <w:lastRenderedPageBreak/>
        <w:t xml:space="preserve">effective organizational structures, which </w:t>
      </w:r>
      <w:r w:rsidR="00804A87">
        <w:rPr>
          <w:rFonts w:ascii="Arial" w:hAnsi="Arial" w:cs="Arial"/>
          <w:color w:val="000000"/>
          <w:shd w:val="clear" w:color="auto" w:fill="FFFFFF"/>
        </w:rPr>
        <w:t>help</w:t>
      </w:r>
      <w:r w:rsidRPr="004A73C1">
        <w:rPr>
          <w:rFonts w:ascii="Arial" w:hAnsi="Arial" w:cs="Arial"/>
          <w:color w:val="000000"/>
          <w:shd w:val="clear" w:color="auto" w:fill="FFFFFF"/>
        </w:rPr>
        <w:t xml:space="preserve"> transfer valuable knowledge to the host economy.</w:t>
      </w:r>
    </w:p>
    <w:p w14:paraId="61EB1BCA" w14:textId="77777777" w:rsidR="00D9708D" w:rsidRPr="004A73C1" w:rsidRDefault="00D9708D" w:rsidP="00EF2E34">
      <w:pPr>
        <w:pStyle w:val="ListParagraph"/>
        <w:autoSpaceDE w:val="0"/>
        <w:autoSpaceDN w:val="0"/>
        <w:adjustRightInd w:val="0"/>
        <w:spacing w:after="0" w:line="360" w:lineRule="auto"/>
        <w:ind w:left="0"/>
        <w:jc w:val="both"/>
        <w:rPr>
          <w:rFonts w:ascii="Arial" w:hAnsi="Arial" w:cs="Arial"/>
          <w:color w:val="000000"/>
          <w:shd w:val="clear" w:color="auto" w:fill="FFFFFF"/>
        </w:rPr>
      </w:pPr>
    </w:p>
    <w:p w14:paraId="4C137662" w14:textId="6D50745D" w:rsidR="00491A3E" w:rsidRPr="004A73C1" w:rsidRDefault="00491A3E" w:rsidP="00EF2E34">
      <w:pPr>
        <w:pStyle w:val="ListParagraph"/>
        <w:autoSpaceDE w:val="0"/>
        <w:autoSpaceDN w:val="0"/>
        <w:adjustRightInd w:val="0"/>
        <w:spacing w:after="0" w:line="360" w:lineRule="auto"/>
        <w:ind w:left="0"/>
        <w:jc w:val="both"/>
        <w:rPr>
          <w:rFonts w:ascii="Arial" w:hAnsi="Arial" w:cs="Arial"/>
          <w:color w:val="000000"/>
          <w:shd w:val="clear" w:color="auto" w:fill="FFFFFF"/>
        </w:rPr>
      </w:pPr>
      <w:r w:rsidRPr="004A73C1">
        <w:rPr>
          <w:rFonts w:ascii="Arial" w:hAnsi="Arial" w:cs="Arial"/>
          <w:color w:val="000000"/>
          <w:shd w:val="clear" w:color="auto" w:fill="FFFFFF"/>
        </w:rPr>
        <w:t xml:space="preserve">In less developed countries, foreign direct investment (FDI) may not significantly boost economic growth. </w:t>
      </w:r>
      <w:proofErr w:type="spellStart"/>
      <w:r w:rsidRPr="004A73C1">
        <w:rPr>
          <w:rFonts w:ascii="Arial" w:hAnsi="Arial" w:cs="Arial"/>
          <w:color w:val="000000"/>
          <w:shd w:val="clear" w:color="auto" w:fill="FFFFFF"/>
        </w:rPr>
        <w:t>Chete</w:t>
      </w:r>
      <w:proofErr w:type="spellEnd"/>
      <w:r w:rsidRPr="004A73C1">
        <w:rPr>
          <w:rFonts w:ascii="Arial" w:hAnsi="Arial" w:cs="Arial"/>
          <w:color w:val="000000"/>
          <w:shd w:val="clear" w:color="auto" w:fill="FFFFFF"/>
        </w:rPr>
        <w:t xml:space="preserve"> et al. (2013) argues that host economies must meet specific milestones in education and infrastructure development before fully benefiting from FDI. Therefore, the conditions in the host country can impact the realization of FDI benefits.</w:t>
      </w:r>
    </w:p>
    <w:p w14:paraId="75C08B71" w14:textId="77777777" w:rsidR="00491A3E" w:rsidRPr="004A73C1" w:rsidRDefault="00491A3E" w:rsidP="00EF2E34">
      <w:pPr>
        <w:pStyle w:val="ListParagraph"/>
        <w:autoSpaceDE w:val="0"/>
        <w:autoSpaceDN w:val="0"/>
        <w:adjustRightInd w:val="0"/>
        <w:spacing w:after="0" w:line="360" w:lineRule="auto"/>
        <w:ind w:left="0"/>
        <w:jc w:val="both"/>
        <w:rPr>
          <w:rFonts w:ascii="Arial" w:hAnsi="Arial" w:cs="Arial"/>
          <w:color w:val="000000"/>
          <w:shd w:val="clear" w:color="auto" w:fill="FFFFFF"/>
        </w:rPr>
      </w:pPr>
    </w:p>
    <w:p w14:paraId="1520BADB" w14:textId="77777777" w:rsidR="008C7B52" w:rsidRPr="004A73C1" w:rsidRDefault="008C7B52" w:rsidP="00EF2E34">
      <w:pPr>
        <w:spacing w:line="360" w:lineRule="auto"/>
        <w:jc w:val="both"/>
        <w:rPr>
          <w:rFonts w:ascii="Arial" w:hAnsi="Arial" w:cs="Arial"/>
        </w:rPr>
      </w:pPr>
      <w:r w:rsidRPr="004A73C1">
        <w:rPr>
          <w:rFonts w:ascii="Arial" w:hAnsi="Arial" w:cs="Arial"/>
        </w:rPr>
        <w:t>The contrast between foreign direct investment (FDI) between developed and developing countries is substantial and multifaceted. However, FDI has the potential to bridge these gaps. Developed countries, with their stable political and economic environments, established infrastructure, and access to a skilled workforce, tend to attract a higher volume of FDI. This influx of investment often contributes to further economic development and technological advancement. Conversely, developing countries face challenges attracting FDI due to political instability, underdeveloped infrastructure, and higher perceived risks. But with the right conditions, they, too, can benefit from FDI. Consequently, this potential for FDI to bridge economic discrepancies can inspire optimism about the future of global economics.</w:t>
      </w:r>
    </w:p>
    <w:p w14:paraId="23AD3156" w14:textId="77777777" w:rsidR="008C7B52" w:rsidRDefault="008C7B52" w:rsidP="00EF2E34">
      <w:pPr>
        <w:spacing w:line="360" w:lineRule="auto"/>
        <w:jc w:val="both"/>
        <w:rPr>
          <w:rFonts w:ascii="Arial" w:hAnsi="Arial" w:cs="Arial"/>
        </w:rPr>
      </w:pPr>
      <w:r w:rsidRPr="004A73C1">
        <w:rPr>
          <w:rFonts w:ascii="Arial" w:hAnsi="Arial" w:cs="Arial"/>
        </w:rPr>
        <w:t>There are two main ways foreign direct investment (FDI) can benefit the host nations' economy, as explained by Ruxanda (2010). FDI can promote economic growth by transferring advanced technology and knowledge. Technology is mainly spread through spillovers. When new technology is introduced, local businesses quickly adopt it, especially if it is not patented. Additionally, investment businesses can bring in new management techniques and effective organisational structures, leading to knowledge transfer. However, the realisation of these FDI benefits may be influenced by the conditions in the host nation.</w:t>
      </w:r>
    </w:p>
    <w:p w14:paraId="2DF4B48E" w14:textId="71E5E6F2" w:rsidR="002608AF" w:rsidRPr="004A73C1" w:rsidRDefault="002608AF" w:rsidP="002608AF">
      <w:pPr>
        <w:spacing w:line="360" w:lineRule="auto"/>
        <w:jc w:val="both"/>
        <w:rPr>
          <w:rFonts w:ascii="Arial" w:hAnsi="Arial" w:cs="Arial"/>
        </w:rPr>
      </w:pPr>
      <w:bookmarkStart w:id="50" w:name="_Toc175056446"/>
      <w:r w:rsidRPr="004A73C1">
        <w:rPr>
          <w:rFonts w:ascii="Arial" w:hAnsi="Arial" w:cs="Arial"/>
        </w:rPr>
        <w:t xml:space="preserve">The literature mentioned above significantly aided our comprehension of the current research conducted in the field of foreign direct investment (FDI). However, while reviewing the existing literature, we identified certain research gaps. It is important to acknowledge that FDI is an intricate and continually evolving topic, given that economic conditions are subject to constant change due to various factors. As an example, in the present era, countries exhibit a growing need for investments that prioritize environmental sustainability, technology, and artificial intelligence (AI). And we </w:t>
      </w:r>
      <w:proofErr w:type="gramStart"/>
      <w:r w:rsidRPr="004A73C1">
        <w:rPr>
          <w:rFonts w:ascii="Arial" w:hAnsi="Arial" w:cs="Arial"/>
        </w:rPr>
        <w:t>can</w:t>
      </w:r>
      <w:r w:rsidR="001D5456" w:rsidRPr="004A73C1">
        <w:rPr>
          <w:rFonts w:ascii="Arial" w:hAnsi="Arial" w:cs="Arial"/>
        </w:rPr>
        <w:t xml:space="preserve">not </w:t>
      </w:r>
      <w:r w:rsidRPr="004A73C1">
        <w:rPr>
          <w:rFonts w:ascii="Arial" w:hAnsi="Arial" w:cs="Arial"/>
        </w:rPr>
        <w:t xml:space="preserve"> find</w:t>
      </w:r>
      <w:proofErr w:type="gramEnd"/>
      <w:r w:rsidRPr="004A73C1">
        <w:rPr>
          <w:rFonts w:ascii="Arial" w:hAnsi="Arial" w:cs="Arial"/>
        </w:rPr>
        <w:t xml:space="preserve"> much study and FDI </w:t>
      </w:r>
      <w:r w:rsidR="001D5456" w:rsidRPr="004A73C1">
        <w:rPr>
          <w:rFonts w:ascii="Arial" w:hAnsi="Arial" w:cs="Arial"/>
        </w:rPr>
        <w:t>behaviour</w:t>
      </w:r>
      <w:r w:rsidRPr="004A73C1">
        <w:rPr>
          <w:rFonts w:ascii="Arial" w:hAnsi="Arial" w:cs="Arial"/>
        </w:rPr>
        <w:t xml:space="preserve"> in this context.</w:t>
      </w:r>
    </w:p>
    <w:p w14:paraId="0B38C771" w14:textId="1D8A7063" w:rsidR="00733034" w:rsidRPr="004A73C1" w:rsidRDefault="00733034" w:rsidP="002608AF">
      <w:pPr>
        <w:spacing w:line="360" w:lineRule="auto"/>
        <w:jc w:val="both"/>
        <w:rPr>
          <w:rFonts w:ascii="Arial" w:hAnsi="Arial" w:cs="Arial"/>
        </w:rPr>
      </w:pPr>
      <w:r w:rsidRPr="004A73C1">
        <w:rPr>
          <w:rFonts w:ascii="Arial" w:hAnsi="Arial" w:cs="Arial"/>
        </w:rPr>
        <w:t xml:space="preserve">Based on the current literature, there seems to be a gap in the research related to the impact of Brexit on the geographical distribution of foreign direct investment (FDI) in the UK. While there are existing studies that consider the effects of Brexit on FDI, there is a need for more comprehensive research focusing on the recent developments and emerging trends in FDI flows to the UK post-Brexit. Additionally, there is also a need for studies that explore the specific industry sectors or regions within the UK that might be most affected by changes in </w:t>
      </w:r>
      <w:r w:rsidRPr="004A73C1">
        <w:rPr>
          <w:rFonts w:ascii="Arial" w:hAnsi="Arial" w:cs="Arial"/>
        </w:rPr>
        <w:lastRenderedPageBreak/>
        <w:t>FDI patterns. This gap presents an opportunity for future research to provide a deeper understanding of the post-Brexit FDI landscape in the UK.</w:t>
      </w:r>
    </w:p>
    <w:p w14:paraId="0CBFD9B4" w14:textId="77777777" w:rsidR="002608AF" w:rsidRPr="004A73C1" w:rsidRDefault="002608AF" w:rsidP="00EF2E34">
      <w:pPr>
        <w:pStyle w:val="Heading2"/>
        <w:spacing w:line="360" w:lineRule="auto"/>
        <w:rPr>
          <w:rFonts w:ascii="Arial" w:eastAsiaTheme="minorEastAsia" w:hAnsi="Arial" w:cs="Arial"/>
          <w:color w:val="auto"/>
          <w:sz w:val="22"/>
          <w:szCs w:val="22"/>
        </w:rPr>
      </w:pPr>
    </w:p>
    <w:p w14:paraId="1D46BADB" w14:textId="1FBF662F" w:rsidR="00077736" w:rsidRPr="004A73C1" w:rsidRDefault="00D11768" w:rsidP="00EF2E34">
      <w:pPr>
        <w:pStyle w:val="Heading2"/>
        <w:spacing w:line="360" w:lineRule="auto"/>
        <w:rPr>
          <w:rFonts w:ascii="Arial" w:hAnsi="Arial" w:cs="Arial"/>
          <w:color w:val="auto"/>
        </w:rPr>
      </w:pPr>
      <w:bookmarkStart w:id="51" w:name="_Toc175848107"/>
      <w:r w:rsidRPr="004A73C1">
        <w:rPr>
          <w:rFonts w:ascii="Arial" w:hAnsi="Arial" w:cs="Arial"/>
          <w:color w:val="auto"/>
        </w:rPr>
        <w:t>2.3</w:t>
      </w:r>
      <w:r w:rsidRPr="004A73C1">
        <w:rPr>
          <w:rFonts w:ascii="Arial" w:hAnsi="Arial" w:cs="Arial"/>
          <w:color w:val="auto"/>
        </w:rPr>
        <w:tab/>
      </w:r>
      <w:r w:rsidR="00DB196A" w:rsidRPr="004A73C1">
        <w:rPr>
          <w:rFonts w:ascii="Arial" w:hAnsi="Arial" w:cs="Arial"/>
          <w:color w:val="auto"/>
        </w:rPr>
        <w:t>Types of FDI</w:t>
      </w:r>
      <w:bookmarkEnd w:id="50"/>
      <w:bookmarkEnd w:id="51"/>
    </w:p>
    <w:p w14:paraId="03C85AAA" w14:textId="734E4B0D" w:rsidR="007D4E14" w:rsidRDefault="00D11768" w:rsidP="003F68BF">
      <w:pPr>
        <w:pStyle w:val="Heading2"/>
        <w:rPr>
          <w:rFonts w:ascii="Arial" w:hAnsi="Arial" w:cs="Arial"/>
          <w:color w:val="auto"/>
        </w:rPr>
      </w:pPr>
      <w:bookmarkStart w:id="52" w:name="_Toc175056447"/>
      <w:bookmarkStart w:id="53" w:name="_Toc175848108"/>
      <w:r w:rsidRPr="004A73C1">
        <w:rPr>
          <w:rFonts w:ascii="Arial" w:hAnsi="Arial" w:cs="Arial"/>
          <w:color w:val="auto"/>
        </w:rPr>
        <w:t>2.3.1</w:t>
      </w:r>
      <w:r w:rsidRPr="004A73C1">
        <w:rPr>
          <w:rFonts w:ascii="Arial" w:hAnsi="Arial" w:cs="Arial"/>
          <w:color w:val="auto"/>
        </w:rPr>
        <w:tab/>
      </w:r>
      <w:r w:rsidR="00DB196A" w:rsidRPr="004A73C1">
        <w:rPr>
          <w:rFonts w:ascii="Arial" w:hAnsi="Arial" w:cs="Arial"/>
          <w:color w:val="auto"/>
        </w:rPr>
        <w:t>Greenfield Investment</w:t>
      </w:r>
      <w:bookmarkEnd w:id="52"/>
      <w:bookmarkEnd w:id="53"/>
    </w:p>
    <w:p w14:paraId="6CF09960" w14:textId="77777777" w:rsidR="000D7E53" w:rsidRPr="000D7E53" w:rsidRDefault="000D7E53" w:rsidP="000D7E53"/>
    <w:p w14:paraId="597811E5" w14:textId="65864DA6" w:rsidR="00DB196A" w:rsidRPr="004A73C1" w:rsidRDefault="00DB196A" w:rsidP="003F68BF">
      <w:pPr>
        <w:rPr>
          <w:rFonts w:ascii="Arial" w:hAnsi="Arial" w:cs="Arial"/>
          <w:b/>
          <w:bCs/>
          <w:sz w:val="24"/>
          <w:szCs w:val="24"/>
        </w:rPr>
      </w:pPr>
      <w:bookmarkStart w:id="54" w:name="_Toc175056448"/>
      <w:r w:rsidRPr="004A73C1">
        <w:rPr>
          <w:rFonts w:ascii="Arial" w:hAnsi="Arial" w:cs="Arial"/>
          <w:b/>
          <w:bCs/>
          <w:sz w:val="24"/>
          <w:szCs w:val="24"/>
        </w:rPr>
        <w:t>Characteristics</w:t>
      </w:r>
      <w:bookmarkEnd w:id="54"/>
    </w:p>
    <w:p w14:paraId="343E69D1" w14:textId="68D6BFD8" w:rsidR="00BF24CC" w:rsidRPr="004A73C1" w:rsidRDefault="00BF24CC" w:rsidP="00BF24CC">
      <w:pPr>
        <w:spacing w:line="360" w:lineRule="auto"/>
        <w:jc w:val="both"/>
        <w:rPr>
          <w:rFonts w:ascii="Arial" w:hAnsi="Arial" w:cs="Arial"/>
        </w:rPr>
      </w:pPr>
      <w:r w:rsidRPr="004A73C1">
        <w:rPr>
          <w:rFonts w:ascii="Arial" w:hAnsi="Arial" w:cs="Arial"/>
        </w:rPr>
        <w:t>When a business constructs brand-new facilities and infrastructure from the bottom up abroad, it is referred to as a "greenfield" investment. With this investment, the business gains total authority over the creation, development, and management of the new endeavour. Although it is sometimes viewed as a long-term, high-risk venture, it can present potential for expansion into new markets as well as substantial strategic advantages.</w:t>
      </w:r>
    </w:p>
    <w:p w14:paraId="5359B056" w14:textId="77777777" w:rsidR="00DB196A" w:rsidRPr="004A73C1" w:rsidRDefault="00DB196A" w:rsidP="003F68BF">
      <w:pPr>
        <w:rPr>
          <w:rFonts w:ascii="Arial" w:hAnsi="Arial" w:cs="Arial"/>
          <w:b/>
          <w:bCs/>
          <w:sz w:val="24"/>
          <w:szCs w:val="24"/>
        </w:rPr>
      </w:pPr>
      <w:r w:rsidRPr="004A73C1">
        <w:rPr>
          <w:rFonts w:ascii="Arial" w:hAnsi="Arial" w:cs="Arial"/>
          <w:b/>
          <w:bCs/>
          <w:sz w:val="24"/>
          <w:szCs w:val="24"/>
        </w:rPr>
        <w:t>Advantages</w:t>
      </w:r>
    </w:p>
    <w:p w14:paraId="3F3A2023" w14:textId="2329B341" w:rsidR="00DB196A" w:rsidRDefault="00DB196A" w:rsidP="00EF2E34">
      <w:pPr>
        <w:pStyle w:val="ListParagraph"/>
        <w:spacing w:after="0" w:line="360" w:lineRule="auto"/>
        <w:ind w:left="0"/>
        <w:jc w:val="both"/>
        <w:rPr>
          <w:rFonts w:ascii="Arial" w:hAnsi="Arial" w:cs="Arial"/>
        </w:rPr>
      </w:pPr>
      <w:r w:rsidRPr="004A73C1">
        <w:rPr>
          <w:rFonts w:ascii="Arial" w:hAnsi="Arial" w:cs="Arial"/>
        </w:rPr>
        <w:t xml:space="preserve">The advantages of greenfield investment include building </w:t>
      </w:r>
      <w:r w:rsidR="00E74B12" w:rsidRPr="004A73C1">
        <w:rPr>
          <w:rFonts w:ascii="Arial" w:hAnsi="Arial" w:cs="Arial"/>
        </w:rPr>
        <w:t>customised</w:t>
      </w:r>
      <w:r w:rsidRPr="004A73C1">
        <w:rPr>
          <w:rFonts w:ascii="Arial" w:hAnsi="Arial" w:cs="Arial"/>
        </w:rPr>
        <w:t xml:space="preserve"> facilities, access to new markets, and the potential for higher returns due to lower initial overhead costs.</w:t>
      </w:r>
    </w:p>
    <w:p w14:paraId="52A3AAD7" w14:textId="77777777" w:rsidR="000D7E53" w:rsidRPr="004A73C1" w:rsidRDefault="000D7E53" w:rsidP="00EF2E34">
      <w:pPr>
        <w:pStyle w:val="ListParagraph"/>
        <w:spacing w:after="0" w:line="360" w:lineRule="auto"/>
        <w:ind w:left="0"/>
        <w:jc w:val="both"/>
        <w:rPr>
          <w:rFonts w:ascii="Arial" w:hAnsi="Arial" w:cs="Arial"/>
        </w:rPr>
      </w:pPr>
    </w:p>
    <w:p w14:paraId="33EFA7B2" w14:textId="77777777" w:rsidR="00DB196A" w:rsidRPr="004A73C1" w:rsidRDefault="00DB196A" w:rsidP="003F68BF">
      <w:pPr>
        <w:rPr>
          <w:rFonts w:ascii="Arial" w:hAnsi="Arial" w:cs="Arial"/>
          <w:b/>
          <w:bCs/>
          <w:sz w:val="24"/>
          <w:szCs w:val="24"/>
        </w:rPr>
      </w:pPr>
      <w:bookmarkStart w:id="55" w:name="_Toc175056449"/>
      <w:r w:rsidRPr="004A73C1">
        <w:rPr>
          <w:rFonts w:ascii="Arial" w:hAnsi="Arial" w:cs="Arial"/>
          <w:b/>
          <w:bCs/>
          <w:sz w:val="24"/>
          <w:szCs w:val="24"/>
        </w:rPr>
        <w:t>Examples of Companies</w:t>
      </w:r>
      <w:bookmarkEnd w:id="55"/>
    </w:p>
    <w:p w14:paraId="0C012E5C" w14:textId="1F6042DF" w:rsidR="00DB196A" w:rsidRDefault="00DB196A" w:rsidP="00EF2E34">
      <w:pPr>
        <w:spacing w:after="0" w:line="360" w:lineRule="auto"/>
        <w:jc w:val="both"/>
        <w:rPr>
          <w:rFonts w:ascii="Arial" w:hAnsi="Arial" w:cs="Arial"/>
        </w:rPr>
      </w:pPr>
      <w:r w:rsidRPr="004A73C1">
        <w:rPr>
          <w:rFonts w:ascii="Arial" w:hAnsi="Arial" w:cs="Arial"/>
        </w:rPr>
        <w:t>Some examples of greenfield investments in the UK include constructing manufacturing facilities by multinational corporations, establishing new research and development centres, and developing renewable energy infrastructure such as wind farms. Additionally, companies from overseas have built new office complexes and retail outlets as part of their greenfield investments in the UK. These investments have allowed foreign companies to establish a significant presence in the UK market while contributing to economic growth and job creation</w:t>
      </w:r>
      <w:r w:rsidR="00BF24CC" w:rsidRPr="004A73C1">
        <w:rPr>
          <w:rFonts w:ascii="Arial" w:hAnsi="Arial" w:cs="Arial"/>
        </w:rPr>
        <w:t xml:space="preserve"> (Source- Financial Times,2022)</w:t>
      </w:r>
    </w:p>
    <w:p w14:paraId="2D428997" w14:textId="77777777" w:rsidR="000D7E53" w:rsidRPr="004A73C1" w:rsidRDefault="000D7E53" w:rsidP="00EF2E34">
      <w:pPr>
        <w:spacing w:after="0" w:line="360" w:lineRule="auto"/>
        <w:jc w:val="both"/>
        <w:rPr>
          <w:rFonts w:ascii="Arial" w:hAnsi="Arial" w:cs="Arial"/>
        </w:rPr>
      </w:pPr>
    </w:p>
    <w:p w14:paraId="245C38F8" w14:textId="7CCC696A" w:rsidR="00DB196A" w:rsidRPr="004A73C1" w:rsidRDefault="00DB196A" w:rsidP="003F68BF">
      <w:pPr>
        <w:rPr>
          <w:rFonts w:ascii="Arial" w:hAnsi="Arial" w:cs="Arial"/>
          <w:b/>
          <w:bCs/>
          <w:sz w:val="24"/>
          <w:szCs w:val="24"/>
        </w:rPr>
      </w:pPr>
      <w:bookmarkStart w:id="56" w:name="_Toc175056450"/>
      <w:r w:rsidRPr="004A73C1">
        <w:rPr>
          <w:rFonts w:ascii="Arial" w:hAnsi="Arial" w:cs="Arial"/>
          <w:b/>
          <w:bCs/>
          <w:sz w:val="24"/>
          <w:szCs w:val="24"/>
        </w:rPr>
        <w:t xml:space="preserve">Global Greenfield FDI Capital Expenditure </w:t>
      </w:r>
      <w:r w:rsidR="003F68BF" w:rsidRPr="004A73C1">
        <w:rPr>
          <w:rFonts w:ascii="Arial" w:hAnsi="Arial" w:cs="Arial"/>
          <w:b/>
          <w:bCs/>
          <w:sz w:val="24"/>
          <w:szCs w:val="24"/>
        </w:rPr>
        <w:t>T</w:t>
      </w:r>
      <w:r w:rsidRPr="004A73C1">
        <w:rPr>
          <w:rFonts w:ascii="Arial" w:hAnsi="Arial" w:cs="Arial"/>
          <w:b/>
          <w:bCs/>
          <w:sz w:val="24"/>
          <w:szCs w:val="24"/>
        </w:rPr>
        <w:t>rends</w:t>
      </w:r>
      <w:bookmarkEnd w:id="56"/>
    </w:p>
    <w:p w14:paraId="2813FAB1" w14:textId="4BC64213" w:rsidR="00BF24CC" w:rsidRPr="004A73C1" w:rsidRDefault="00BF24CC" w:rsidP="00BF24CC">
      <w:pPr>
        <w:spacing w:after="0" w:line="360" w:lineRule="auto"/>
        <w:jc w:val="both"/>
        <w:rPr>
          <w:rFonts w:ascii="Arial" w:hAnsi="Arial" w:cs="Arial"/>
        </w:rPr>
      </w:pPr>
      <w:r w:rsidRPr="004A73C1">
        <w:rPr>
          <w:rFonts w:ascii="Arial" w:hAnsi="Arial" w:cs="Arial"/>
        </w:rPr>
        <w:t>In terms of greenfield FDI, the UK has brought in the third most money (£720 billion) during the past 20 years. With £1,302 billion and the US at £1,095 billion, the UK is now just behind China and the US. (Source- ONS.Gov.UK,2023)</w:t>
      </w:r>
    </w:p>
    <w:p w14:paraId="00365078" w14:textId="633BE8F6" w:rsidR="00BF24CC" w:rsidRPr="004A73C1" w:rsidRDefault="00BF24CC" w:rsidP="00BF24CC">
      <w:pPr>
        <w:spacing w:after="0" w:line="360" w:lineRule="auto"/>
        <w:jc w:val="both"/>
        <w:rPr>
          <w:rFonts w:ascii="Arial" w:hAnsi="Arial" w:cs="Arial"/>
        </w:rPr>
      </w:pPr>
      <w:r w:rsidRPr="004A73C1">
        <w:rPr>
          <w:rFonts w:ascii="Arial" w:hAnsi="Arial" w:cs="Arial"/>
        </w:rPr>
        <w:br/>
        <w:t xml:space="preserve">The UK overtook China in 2021 and 2022 to take the second spot after the US as the most popular location for foreign direct </w:t>
      </w:r>
      <w:proofErr w:type="spellStart"/>
      <w:proofErr w:type="gramStart"/>
      <w:r w:rsidRPr="004A73C1">
        <w:rPr>
          <w:rFonts w:ascii="Arial" w:hAnsi="Arial" w:cs="Arial"/>
        </w:rPr>
        <w:t>investment.The</w:t>
      </w:r>
      <w:proofErr w:type="spellEnd"/>
      <w:proofErr w:type="gramEnd"/>
      <w:r w:rsidRPr="004A73C1">
        <w:rPr>
          <w:rFonts w:ascii="Arial" w:hAnsi="Arial" w:cs="Arial"/>
        </w:rPr>
        <w:t xml:space="preserve"> UK's greenfield FDI total of £720 billion is higher than the combined sums of Germany's and France's (£305 billion and £205 billion, respectively). In terms of Greenfield FDI capital expenditure, Germany comes in at number nine, while France comes in at number seventeen. (Source- ONS.Gov.UK,2023)</w:t>
      </w:r>
    </w:p>
    <w:p w14:paraId="5A754A84" w14:textId="1BBB6C4C" w:rsidR="00DB196A" w:rsidRPr="004A73C1" w:rsidRDefault="00DB196A" w:rsidP="00EF2E34">
      <w:pPr>
        <w:spacing w:after="0" w:line="360" w:lineRule="auto"/>
        <w:jc w:val="both"/>
        <w:rPr>
          <w:rFonts w:ascii="Arial" w:hAnsi="Arial" w:cs="Arial"/>
        </w:rPr>
      </w:pPr>
      <w:r w:rsidRPr="004A73C1">
        <w:rPr>
          <w:rFonts w:ascii="Arial" w:hAnsi="Arial" w:cs="Arial"/>
          <w:noProof/>
        </w:rPr>
        <w:lastRenderedPageBreak/>
        <w:drawing>
          <wp:inline distT="0" distB="0" distL="0" distR="0" wp14:anchorId="6A92BC3A" wp14:editId="1A4BEA9E">
            <wp:extent cx="5731510" cy="2646680"/>
            <wp:effectExtent l="0" t="0" r="2540" b="1270"/>
            <wp:docPr id="1367589354"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589354" name="Picture 1" descr="A graph of different colored lines&#10;&#10;Description automatically generated"/>
                    <pic:cNvPicPr/>
                  </pic:nvPicPr>
                  <pic:blipFill>
                    <a:blip r:embed="rId8"/>
                    <a:stretch>
                      <a:fillRect/>
                    </a:stretch>
                  </pic:blipFill>
                  <pic:spPr>
                    <a:xfrm>
                      <a:off x="0" y="0"/>
                      <a:ext cx="5731510" cy="2646680"/>
                    </a:xfrm>
                    <a:prstGeom prst="rect">
                      <a:avLst/>
                    </a:prstGeom>
                  </pic:spPr>
                </pic:pic>
              </a:graphicData>
            </a:graphic>
          </wp:inline>
        </w:drawing>
      </w:r>
    </w:p>
    <w:p w14:paraId="0D3EF325" w14:textId="76388DCB" w:rsidR="00691E95" w:rsidRPr="004A73C1" w:rsidRDefault="00691E95" w:rsidP="00EF2E34">
      <w:pPr>
        <w:spacing w:after="0" w:line="360" w:lineRule="auto"/>
        <w:jc w:val="both"/>
        <w:rPr>
          <w:rFonts w:ascii="Arial" w:hAnsi="Arial" w:cs="Arial"/>
        </w:rPr>
      </w:pPr>
      <w:r w:rsidRPr="004A73C1">
        <w:rPr>
          <w:rFonts w:ascii="Arial" w:hAnsi="Arial" w:cs="Arial"/>
          <w:noProof/>
        </w:rPr>
        <w:drawing>
          <wp:inline distT="0" distB="0" distL="0" distR="0" wp14:anchorId="72A49FDA" wp14:editId="0C798E7E">
            <wp:extent cx="6007555" cy="574675"/>
            <wp:effectExtent l="0" t="0" r="0" b="0"/>
            <wp:docPr id="244234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234243" name=""/>
                    <pic:cNvPicPr/>
                  </pic:nvPicPr>
                  <pic:blipFill>
                    <a:blip r:embed="rId9"/>
                    <a:stretch>
                      <a:fillRect/>
                    </a:stretch>
                  </pic:blipFill>
                  <pic:spPr>
                    <a:xfrm>
                      <a:off x="0" y="0"/>
                      <a:ext cx="6010972" cy="575002"/>
                    </a:xfrm>
                    <a:prstGeom prst="rect">
                      <a:avLst/>
                    </a:prstGeom>
                  </pic:spPr>
                </pic:pic>
              </a:graphicData>
            </a:graphic>
          </wp:inline>
        </w:drawing>
      </w:r>
    </w:p>
    <w:tbl>
      <w:tblPr>
        <w:tblW w:w="8600" w:type="dxa"/>
        <w:tblLook w:val="04A0" w:firstRow="1" w:lastRow="0" w:firstColumn="1" w:lastColumn="0" w:noHBand="0" w:noVBand="1"/>
      </w:tblPr>
      <w:tblGrid>
        <w:gridCol w:w="1560"/>
        <w:gridCol w:w="750"/>
        <w:gridCol w:w="750"/>
        <w:gridCol w:w="750"/>
        <w:gridCol w:w="750"/>
        <w:gridCol w:w="750"/>
        <w:gridCol w:w="750"/>
        <w:gridCol w:w="750"/>
        <w:gridCol w:w="750"/>
        <w:gridCol w:w="1040"/>
      </w:tblGrid>
      <w:tr w:rsidR="00DB196A" w:rsidRPr="004A73C1" w14:paraId="6FE559A8" w14:textId="77777777" w:rsidTr="009019C5">
        <w:trPr>
          <w:trHeight w:val="300"/>
        </w:trPr>
        <w:tc>
          <w:tcPr>
            <w:tcW w:w="1560" w:type="dxa"/>
            <w:tcBorders>
              <w:top w:val="nil"/>
              <w:left w:val="nil"/>
              <w:bottom w:val="nil"/>
              <w:right w:val="nil"/>
            </w:tcBorders>
            <w:shd w:val="clear" w:color="auto" w:fill="auto"/>
            <w:noWrap/>
            <w:vAlign w:val="bottom"/>
            <w:hideMark/>
          </w:tcPr>
          <w:p w14:paraId="3552F67D" w14:textId="77777777" w:rsidR="00DB196A" w:rsidRPr="004A73C1" w:rsidRDefault="00DB196A" w:rsidP="00EF2E34">
            <w:pPr>
              <w:spacing w:after="0" w:line="360" w:lineRule="auto"/>
              <w:jc w:val="both"/>
              <w:rPr>
                <w:rFonts w:ascii="Arial" w:eastAsia="Times New Roman" w:hAnsi="Arial" w:cs="Arial"/>
                <w:lang w:eastAsia="en-GB"/>
              </w:rPr>
            </w:pPr>
          </w:p>
        </w:tc>
        <w:tc>
          <w:tcPr>
            <w:tcW w:w="2250" w:type="dxa"/>
            <w:gridSpan w:val="3"/>
            <w:tcBorders>
              <w:top w:val="nil"/>
              <w:left w:val="nil"/>
              <w:bottom w:val="single" w:sz="4" w:space="0" w:color="auto"/>
              <w:right w:val="nil"/>
            </w:tcBorders>
            <w:shd w:val="clear" w:color="auto" w:fill="auto"/>
            <w:noWrap/>
            <w:vAlign w:val="bottom"/>
            <w:hideMark/>
          </w:tcPr>
          <w:p w14:paraId="4AC6FA11" w14:textId="241E1B46" w:rsidR="00DB196A" w:rsidRPr="004A73C1" w:rsidRDefault="00B80C0D" w:rsidP="00EF2E34">
            <w:pPr>
              <w:spacing w:after="0" w:line="360" w:lineRule="auto"/>
              <w:jc w:val="center"/>
              <w:rPr>
                <w:rFonts w:ascii="Arial" w:eastAsia="Times New Roman" w:hAnsi="Arial" w:cs="Arial"/>
                <w:b/>
                <w:bCs/>
                <w:color w:val="000000"/>
                <w:lang w:eastAsia="en-GB"/>
              </w:rPr>
            </w:pPr>
            <w:r w:rsidRPr="004A73C1">
              <w:rPr>
                <w:rFonts w:ascii="Arial" w:eastAsia="Times New Roman" w:hAnsi="Arial" w:cs="Arial"/>
                <w:b/>
                <w:bCs/>
                <w:color w:val="000000"/>
                <w:lang w:eastAsia="en-GB"/>
              </w:rPr>
              <w:t>In £ Billions</w:t>
            </w:r>
          </w:p>
        </w:tc>
        <w:tc>
          <w:tcPr>
            <w:tcW w:w="750" w:type="dxa"/>
            <w:tcBorders>
              <w:top w:val="nil"/>
              <w:left w:val="nil"/>
              <w:bottom w:val="nil"/>
              <w:right w:val="nil"/>
            </w:tcBorders>
            <w:shd w:val="clear" w:color="auto" w:fill="auto"/>
            <w:noWrap/>
            <w:vAlign w:val="bottom"/>
            <w:hideMark/>
          </w:tcPr>
          <w:p w14:paraId="4E744427" w14:textId="77777777" w:rsidR="00DB196A" w:rsidRPr="004A73C1" w:rsidRDefault="00DB196A" w:rsidP="00EF2E34">
            <w:pPr>
              <w:spacing w:after="0" w:line="360" w:lineRule="auto"/>
              <w:jc w:val="both"/>
              <w:rPr>
                <w:rFonts w:ascii="Arial" w:eastAsia="Times New Roman" w:hAnsi="Arial" w:cs="Arial"/>
                <w:color w:val="000000"/>
                <w:lang w:eastAsia="en-GB"/>
              </w:rPr>
            </w:pPr>
          </w:p>
        </w:tc>
        <w:tc>
          <w:tcPr>
            <w:tcW w:w="750" w:type="dxa"/>
            <w:tcBorders>
              <w:top w:val="nil"/>
              <w:left w:val="nil"/>
              <w:bottom w:val="nil"/>
              <w:right w:val="nil"/>
            </w:tcBorders>
            <w:shd w:val="clear" w:color="auto" w:fill="auto"/>
            <w:noWrap/>
            <w:vAlign w:val="bottom"/>
            <w:hideMark/>
          </w:tcPr>
          <w:p w14:paraId="5D676E2C" w14:textId="77777777" w:rsidR="00DB196A" w:rsidRPr="004A73C1" w:rsidRDefault="00DB196A" w:rsidP="00EF2E34">
            <w:pPr>
              <w:spacing w:after="0" w:line="360" w:lineRule="auto"/>
              <w:jc w:val="both"/>
              <w:rPr>
                <w:rFonts w:ascii="Arial" w:eastAsia="Times New Roman" w:hAnsi="Arial" w:cs="Arial"/>
                <w:sz w:val="20"/>
                <w:szCs w:val="20"/>
                <w:lang w:eastAsia="en-GB"/>
              </w:rPr>
            </w:pPr>
          </w:p>
        </w:tc>
        <w:tc>
          <w:tcPr>
            <w:tcW w:w="750" w:type="dxa"/>
            <w:tcBorders>
              <w:top w:val="nil"/>
              <w:left w:val="nil"/>
              <w:bottom w:val="nil"/>
              <w:right w:val="nil"/>
            </w:tcBorders>
            <w:shd w:val="clear" w:color="auto" w:fill="auto"/>
            <w:noWrap/>
            <w:vAlign w:val="bottom"/>
            <w:hideMark/>
          </w:tcPr>
          <w:p w14:paraId="63FA7E4D" w14:textId="77777777" w:rsidR="00DB196A" w:rsidRPr="004A73C1" w:rsidRDefault="00DB196A" w:rsidP="00EF2E34">
            <w:pPr>
              <w:spacing w:after="0" w:line="360" w:lineRule="auto"/>
              <w:jc w:val="both"/>
              <w:rPr>
                <w:rFonts w:ascii="Arial" w:eastAsia="Times New Roman" w:hAnsi="Arial" w:cs="Arial"/>
                <w:sz w:val="20"/>
                <w:szCs w:val="20"/>
                <w:lang w:eastAsia="en-GB"/>
              </w:rPr>
            </w:pPr>
          </w:p>
        </w:tc>
        <w:tc>
          <w:tcPr>
            <w:tcW w:w="750" w:type="dxa"/>
            <w:tcBorders>
              <w:top w:val="nil"/>
              <w:left w:val="nil"/>
              <w:bottom w:val="nil"/>
              <w:right w:val="nil"/>
            </w:tcBorders>
            <w:shd w:val="clear" w:color="auto" w:fill="auto"/>
            <w:noWrap/>
            <w:vAlign w:val="bottom"/>
            <w:hideMark/>
          </w:tcPr>
          <w:p w14:paraId="1BCC3487" w14:textId="77777777" w:rsidR="00DB196A" w:rsidRPr="004A73C1" w:rsidRDefault="00DB196A" w:rsidP="00EF2E34">
            <w:pPr>
              <w:spacing w:after="0" w:line="360" w:lineRule="auto"/>
              <w:jc w:val="both"/>
              <w:rPr>
                <w:rFonts w:ascii="Arial" w:eastAsia="Times New Roman" w:hAnsi="Arial" w:cs="Arial"/>
                <w:sz w:val="20"/>
                <w:szCs w:val="20"/>
                <w:lang w:eastAsia="en-GB"/>
              </w:rPr>
            </w:pPr>
          </w:p>
        </w:tc>
        <w:tc>
          <w:tcPr>
            <w:tcW w:w="750" w:type="dxa"/>
            <w:tcBorders>
              <w:top w:val="nil"/>
              <w:left w:val="nil"/>
              <w:bottom w:val="nil"/>
              <w:right w:val="nil"/>
            </w:tcBorders>
            <w:shd w:val="clear" w:color="auto" w:fill="auto"/>
            <w:noWrap/>
            <w:vAlign w:val="bottom"/>
            <w:hideMark/>
          </w:tcPr>
          <w:p w14:paraId="0407EFBF" w14:textId="77777777" w:rsidR="00DB196A" w:rsidRPr="004A73C1" w:rsidRDefault="00DB196A" w:rsidP="00EF2E34">
            <w:pPr>
              <w:spacing w:after="0" w:line="360" w:lineRule="auto"/>
              <w:jc w:val="both"/>
              <w:rPr>
                <w:rFonts w:ascii="Arial" w:eastAsia="Times New Roman" w:hAnsi="Arial" w:cs="Arial"/>
                <w:sz w:val="20"/>
                <w:szCs w:val="20"/>
                <w:lang w:eastAsia="en-GB"/>
              </w:rPr>
            </w:pPr>
          </w:p>
        </w:tc>
        <w:tc>
          <w:tcPr>
            <w:tcW w:w="1040" w:type="dxa"/>
            <w:tcBorders>
              <w:top w:val="nil"/>
              <w:left w:val="nil"/>
              <w:bottom w:val="nil"/>
              <w:right w:val="nil"/>
            </w:tcBorders>
            <w:shd w:val="clear" w:color="auto" w:fill="auto"/>
            <w:noWrap/>
            <w:vAlign w:val="bottom"/>
            <w:hideMark/>
          </w:tcPr>
          <w:p w14:paraId="3F85178D" w14:textId="77777777" w:rsidR="00DB196A" w:rsidRPr="004A73C1" w:rsidRDefault="00DB196A" w:rsidP="00EF2E34">
            <w:pPr>
              <w:spacing w:after="0" w:line="360" w:lineRule="auto"/>
              <w:jc w:val="both"/>
              <w:rPr>
                <w:rFonts w:ascii="Arial" w:eastAsia="Times New Roman" w:hAnsi="Arial" w:cs="Arial"/>
                <w:sz w:val="20"/>
                <w:szCs w:val="20"/>
                <w:lang w:eastAsia="en-GB"/>
              </w:rPr>
            </w:pPr>
          </w:p>
        </w:tc>
      </w:tr>
      <w:tr w:rsidR="00F46779" w:rsidRPr="004A73C1" w14:paraId="1BA6DFC8" w14:textId="77777777" w:rsidTr="009019C5">
        <w:trPr>
          <w:trHeight w:val="315"/>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14:paraId="4CAD6F47"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Country</w:t>
            </w:r>
          </w:p>
        </w:tc>
        <w:tc>
          <w:tcPr>
            <w:tcW w:w="750" w:type="dxa"/>
            <w:tcBorders>
              <w:top w:val="nil"/>
              <w:left w:val="nil"/>
              <w:bottom w:val="single" w:sz="4" w:space="0" w:color="auto"/>
              <w:right w:val="single" w:sz="4" w:space="0" w:color="auto"/>
            </w:tcBorders>
            <w:shd w:val="clear" w:color="000000" w:fill="FFFFFF"/>
            <w:hideMark/>
          </w:tcPr>
          <w:p w14:paraId="3492CA57"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2015</w:t>
            </w:r>
          </w:p>
        </w:tc>
        <w:tc>
          <w:tcPr>
            <w:tcW w:w="750" w:type="dxa"/>
            <w:tcBorders>
              <w:top w:val="nil"/>
              <w:left w:val="nil"/>
              <w:bottom w:val="single" w:sz="4" w:space="0" w:color="auto"/>
              <w:right w:val="single" w:sz="4" w:space="0" w:color="auto"/>
            </w:tcBorders>
            <w:shd w:val="clear" w:color="000000" w:fill="FFFFFF"/>
            <w:hideMark/>
          </w:tcPr>
          <w:p w14:paraId="7E693362"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2016</w:t>
            </w:r>
          </w:p>
        </w:tc>
        <w:tc>
          <w:tcPr>
            <w:tcW w:w="750" w:type="dxa"/>
            <w:tcBorders>
              <w:top w:val="nil"/>
              <w:left w:val="nil"/>
              <w:bottom w:val="single" w:sz="4" w:space="0" w:color="auto"/>
              <w:right w:val="single" w:sz="4" w:space="0" w:color="auto"/>
            </w:tcBorders>
            <w:shd w:val="clear" w:color="000000" w:fill="FFFFFF"/>
            <w:hideMark/>
          </w:tcPr>
          <w:p w14:paraId="24E53741"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2017</w:t>
            </w:r>
          </w:p>
        </w:tc>
        <w:tc>
          <w:tcPr>
            <w:tcW w:w="750" w:type="dxa"/>
            <w:tcBorders>
              <w:top w:val="single" w:sz="4" w:space="0" w:color="auto"/>
              <w:left w:val="nil"/>
              <w:bottom w:val="single" w:sz="4" w:space="0" w:color="auto"/>
              <w:right w:val="single" w:sz="4" w:space="0" w:color="auto"/>
            </w:tcBorders>
            <w:shd w:val="clear" w:color="000000" w:fill="FFFFFF"/>
            <w:hideMark/>
          </w:tcPr>
          <w:p w14:paraId="08858DCF"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2018</w:t>
            </w:r>
          </w:p>
        </w:tc>
        <w:tc>
          <w:tcPr>
            <w:tcW w:w="750" w:type="dxa"/>
            <w:tcBorders>
              <w:top w:val="single" w:sz="4" w:space="0" w:color="auto"/>
              <w:left w:val="nil"/>
              <w:bottom w:val="single" w:sz="4" w:space="0" w:color="auto"/>
              <w:right w:val="single" w:sz="4" w:space="0" w:color="auto"/>
            </w:tcBorders>
            <w:shd w:val="clear" w:color="000000" w:fill="FFFFFF"/>
            <w:hideMark/>
          </w:tcPr>
          <w:p w14:paraId="069E05D6"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2019</w:t>
            </w:r>
          </w:p>
        </w:tc>
        <w:tc>
          <w:tcPr>
            <w:tcW w:w="750" w:type="dxa"/>
            <w:tcBorders>
              <w:top w:val="single" w:sz="4" w:space="0" w:color="auto"/>
              <w:left w:val="nil"/>
              <w:bottom w:val="single" w:sz="4" w:space="0" w:color="auto"/>
              <w:right w:val="single" w:sz="4" w:space="0" w:color="auto"/>
            </w:tcBorders>
            <w:shd w:val="clear" w:color="000000" w:fill="FFFFFF"/>
            <w:hideMark/>
          </w:tcPr>
          <w:p w14:paraId="775288BA"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2020</w:t>
            </w:r>
          </w:p>
        </w:tc>
        <w:tc>
          <w:tcPr>
            <w:tcW w:w="750" w:type="dxa"/>
            <w:tcBorders>
              <w:top w:val="single" w:sz="4" w:space="0" w:color="auto"/>
              <w:left w:val="nil"/>
              <w:bottom w:val="single" w:sz="4" w:space="0" w:color="auto"/>
              <w:right w:val="single" w:sz="4" w:space="0" w:color="auto"/>
            </w:tcBorders>
            <w:shd w:val="clear" w:color="000000" w:fill="FFFFFF"/>
            <w:hideMark/>
          </w:tcPr>
          <w:p w14:paraId="34544B4C"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2021</w:t>
            </w:r>
          </w:p>
        </w:tc>
        <w:tc>
          <w:tcPr>
            <w:tcW w:w="750" w:type="dxa"/>
            <w:tcBorders>
              <w:top w:val="single" w:sz="4" w:space="0" w:color="auto"/>
              <w:left w:val="nil"/>
              <w:bottom w:val="single" w:sz="4" w:space="0" w:color="auto"/>
              <w:right w:val="single" w:sz="4" w:space="0" w:color="auto"/>
            </w:tcBorders>
            <w:shd w:val="clear" w:color="000000" w:fill="FFFFFF"/>
            <w:hideMark/>
          </w:tcPr>
          <w:p w14:paraId="20D962AD"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2022</w:t>
            </w:r>
          </w:p>
        </w:tc>
        <w:tc>
          <w:tcPr>
            <w:tcW w:w="1040" w:type="dxa"/>
            <w:tcBorders>
              <w:top w:val="single" w:sz="4" w:space="0" w:color="auto"/>
              <w:left w:val="nil"/>
              <w:bottom w:val="single" w:sz="4" w:space="0" w:color="auto"/>
              <w:right w:val="single" w:sz="4" w:space="0" w:color="auto"/>
            </w:tcBorders>
            <w:shd w:val="clear" w:color="000000" w:fill="FFFFFF"/>
            <w:hideMark/>
          </w:tcPr>
          <w:p w14:paraId="4EAB45F0"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2015-22</w:t>
            </w:r>
          </w:p>
        </w:tc>
      </w:tr>
      <w:tr w:rsidR="00F46779" w:rsidRPr="004A73C1" w14:paraId="5B1334DB" w14:textId="77777777" w:rsidTr="009019C5">
        <w:trPr>
          <w:trHeight w:val="315"/>
        </w:trPr>
        <w:tc>
          <w:tcPr>
            <w:tcW w:w="1560" w:type="dxa"/>
            <w:tcBorders>
              <w:top w:val="nil"/>
              <w:left w:val="single" w:sz="4" w:space="0" w:color="auto"/>
              <w:bottom w:val="single" w:sz="4" w:space="0" w:color="auto"/>
              <w:right w:val="single" w:sz="4" w:space="0" w:color="auto"/>
            </w:tcBorders>
            <w:shd w:val="clear" w:color="000000" w:fill="FFFFFF"/>
            <w:hideMark/>
          </w:tcPr>
          <w:p w14:paraId="6BE3BC18"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China</w:t>
            </w:r>
          </w:p>
        </w:tc>
        <w:tc>
          <w:tcPr>
            <w:tcW w:w="750" w:type="dxa"/>
            <w:tcBorders>
              <w:top w:val="nil"/>
              <w:left w:val="nil"/>
              <w:bottom w:val="single" w:sz="4" w:space="0" w:color="auto"/>
              <w:right w:val="single" w:sz="4" w:space="0" w:color="auto"/>
            </w:tcBorders>
            <w:shd w:val="clear" w:color="000000" w:fill="FFFFFF"/>
            <w:hideMark/>
          </w:tcPr>
          <w:p w14:paraId="1AB3C6A7"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£46</w:t>
            </w:r>
          </w:p>
        </w:tc>
        <w:tc>
          <w:tcPr>
            <w:tcW w:w="750" w:type="dxa"/>
            <w:tcBorders>
              <w:top w:val="nil"/>
              <w:left w:val="nil"/>
              <w:bottom w:val="single" w:sz="4" w:space="0" w:color="auto"/>
              <w:right w:val="single" w:sz="4" w:space="0" w:color="auto"/>
            </w:tcBorders>
            <w:shd w:val="clear" w:color="000000" w:fill="FFFFFF"/>
            <w:hideMark/>
          </w:tcPr>
          <w:p w14:paraId="7DD8B7BA"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£50</w:t>
            </w:r>
          </w:p>
        </w:tc>
        <w:tc>
          <w:tcPr>
            <w:tcW w:w="750" w:type="dxa"/>
            <w:tcBorders>
              <w:top w:val="nil"/>
              <w:left w:val="nil"/>
              <w:bottom w:val="single" w:sz="4" w:space="0" w:color="auto"/>
              <w:right w:val="single" w:sz="4" w:space="0" w:color="auto"/>
            </w:tcBorders>
            <w:shd w:val="clear" w:color="000000" w:fill="FFFFFF"/>
            <w:hideMark/>
          </w:tcPr>
          <w:p w14:paraId="7E0D4A36"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£42</w:t>
            </w:r>
          </w:p>
        </w:tc>
        <w:tc>
          <w:tcPr>
            <w:tcW w:w="750" w:type="dxa"/>
            <w:tcBorders>
              <w:top w:val="nil"/>
              <w:left w:val="nil"/>
              <w:bottom w:val="single" w:sz="4" w:space="0" w:color="auto"/>
              <w:right w:val="single" w:sz="4" w:space="0" w:color="auto"/>
            </w:tcBorders>
            <w:shd w:val="clear" w:color="000000" w:fill="FFFFFF"/>
            <w:hideMark/>
          </w:tcPr>
          <w:p w14:paraId="5EE4EC55"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£88</w:t>
            </w:r>
          </w:p>
        </w:tc>
        <w:tc>
          <w:tcPr>
            <w:tcW w:w="750" w:type="dxa"/>
            <w:tcBorders>
              <w:top w:val="nil"/>
              <w:left w:val="nil"/>
              <w:bottom w:val="single" w:sz="4" w:space="0" w:color="auto"/>
              <w:right w:val="single" w:sz="4" w:space="0" w:color="auto"/>
            </w:tcBorders>
            <w:shd w:val="clear" w:color="000000" w:fill="FFFFFF"/>
            <w:hideMark/>
          </w:tcPr>
          <w:p w14:paraId="0F4B5651"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£58</w:t>
            </w:r>
          </w:p>
        </w:tc>
        <w:tc>
          <w:tcPr>
            <w:tcW w:w="750" w:type="dxa"/>
            <w:tcBorders>
              <w:top w:val="nil"/>
              <w:left w:val="nil"/>
              <w:bottom w:val="single" w:sz="4" w:space="0" w:color="auto"/>
              <w:right w:val="single" w:sz="4" w:space="0" w:color="auto"/>
            </w:tcBorders>
            <w:shd w:val="clear" w:color="000000" w:fill="FFFFFF"/>
            <w:hideMark/>
          </w:tcPr>
          <w:p w14:paraId="583B284F"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£29</w:t>
            </w:r>
          </w:p>
        </w:tc>
        <w:tc>
          <w:tcPr>
            <w:tcW w:w="750" w:type="dxa"/>
            <w:tcBorders>
              <w:top w:val="nil"/>
              <w:left w:val="nil"/>
              <w:bottom w:val="single" w:sz="4" w:space="0" w:color="auto"/>
              <w:right w:val="single" w:sz="4" w:space="0" w:color="auto"/>
            </w:tcBorders>
            <w:shd w:val="clear" w:color="000000" w:fill="FFFFFF"/>
            <w:hideMark/>
          </w:tcPr>
          <w:p w14:paraId="70863217"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£26</w:t>
            </w:r>
          </w:p>
        </w:tc>
        <w:tc>
          <w:tcPr>
            <w:tcW w:w="750" w:type="dxa"/>
            <w:tcBorders>
              <w:top w:val="nil"/>
              <w:left w:val="nil"/>
              <w:bottom w:val="single" w:sz="4" w:space="0" w:color="auto"/>
              <w:right w:val="single" w:sz="4" w:space="0" w:color="auto"/>
            </w:tcBorders>
            <w:shd w:val="clear" w:color="000000" w:fill="FFFFFF"/>
            <w:hideMark/>
          </w:tcPr>
          <w:p w14:paraId="673CA2ED"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£15</w:t>
            </w:r>
          </w:p>
        </w:tc>
        <w:tc>
          <w:tcPr>
            <w:tcW w:w="1040" w:type="dxa"/>
            <w:tcBorders>
              <w:top w:val="nil"/>
              <w:left w:val="nil"/>
              <w:bottom w:val="single" w:sz="4" w:space="0" w:color="auto"/>
              <w:right w:val="single" w:sz="4" w:space="0" w:color="auto"/>
            </w:tcBorders>
            <w:shd w:val="clear" w:color="000000" w:fill="FFFFFF"/>
            <w:hideMark/>
          </w:tcPr>
          <w:p w14:paraId="1C4340A2"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£354</w:t>
            </w:r>
          </w:p>
        </w:tc>
      </w:tr>
      <w:tr w:rsidR="00F46779" w:rsidRPr="004A73C1" w14:paraId="4ABA80FB" w14:textId="77777777" w:rsidTr="009019C5">
        <w:trPr>
          <w:trHeight w:val="315"/>
        </w:trPr>
        <w:tc>
          <w:tcPr>
            <w:tcW w:w="1560" w:type="dxa"/>
            <w:tcBorders>
              <w:top w:val="nil"/>
              <w:left w:val="single" w:sz="4" w:space="0" w:color="auto"/>
              <w:bottom w:val="single" w:sz="4" w:space="0" w:color="auto"/>
              <w:right w:val="single" w:sz="4" w:space="0" w:color="auto"/>
            </w:tcBorders>
            <w:shd w:val="clear" w:color="000000" w:fill="FFFFFF"/>
            <w:hideMark/>
          </w:tcPr>
          <w:p w14:paraId="0ADFA3A2"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France</w:t>
            </w:r>
          </w:p>
        </w:tc>
        <w:tc>
          <w:tcPr>
            <w:tcW w:w="750" w:type="dxa"/>
            <w:tcBorders>
              <w:top w:val="nil"/>
              <w:left w:val="nil"/>
              <w:bottom w:val="single" w:sz="4" w:space="0" w:color="auto"/>
              <w:right w:val="single" w:sz="4" w:space="0" w:color="auto"/>
            </w:tcBorders>
            <w:shd w:val="clear" w:color="000000" w:fill="FFFFFF"/>
            <w:hideMark/>
          </w:tcPr>
          <w:p w14:paraId="40952ACF"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£7</w:t>
            </w:r>
          </w:p>
        </w:tc>
        <w:tc>
          <w:tcPr>
            <w:tcW w:w="750" w:type="dxa"/>
            <w:tcBorders>
              <w:top w:val="nil"/>
              <w:left w:val="nil"/>
              <w:bottom w:val="single" w:sz="4" w:space="0" w:color="auto"/>
              <w:right w:val="single" w:sz="4" w:space="0" w:color="auto"/>
            </w:tcBorders>
            <w:shd w:val="clear" w:color="000000" w:fill="FFFFFF"/>
            <w:hideMark/>
          </w:tcPr>
          <w:p w14:paraId="35982071"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£11</w:t>
            </w:r>
          </w:p>
        </w:tc>
        <w:tc>
          <w:tcPr>
            <w:tcW w:w="750" w:type="dxa"/>
            <w:tcBorders>
              <w:top w:val="nil"/>
              <w:left w:val="nil"/>
              <w:bottom w:val="single" w:sz="4" w:space="0" w:color="auto"/>
              <w:right w:val="single" w:sz="4" w:space="0" w:color="auto"/>
            </w:tcBorders>
            <w:shd w:val="clear" w:color="000000" w:fill="FFFFFF"/>
            <w:hideMark/>
          </w:tcPr>
          <w:p w14:paraId="28214F57"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£11</w:t>
            </w:r>
          </w:p>
        </w:tc>
        <w:tc>
          <w:tcPr>
            <w:tcW w:w="750" w:type="dxa"/>
            <w:tcBorders>
              <w:top w:val="nil"/>
              <w:left w:val="nil"/>
              <w:bottom w:val="single" w:sz="4" w:space="0" w:color="auto"/>
              <w:right w:val="single" w:sz="4" w:space="0" w:color="auto"/>
            </w:tcBorders>
            <w:shd w:val="clear" w:color="000000" w:fill="FFFFFF"/>
            <w:hideMark/>
          </w:tcPr>
          <w:p w14:paraId="20ED909A"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£15</w:t>
            </w:r>
          </w:p>
        </w:tc>
        <w:tc>
          <w:tcPr>
            <w:tcW w:w="750" w:type="dxa"/>
            <w:tcBorders>
              <w:top w:val="nil"/>
              <w:left w:val="nil"/>
              <w:bottom w:val="single" w:sz="4" w:space="0" w:color="auto"/>
              <w:right w:val="single" w:sz="4" w:space="0" w:color="auto"/>
            </w:tcBorders>
            <w:shd w:val="clear" w:color="000000" w:fill="FFFFFF"/>
            <w:hideMark/>
          </w:tcPr>
          <w:p w14:paraId="54D12F2C"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£15</w:t>
            </w:r>
          </w:p>
        </w:tc>
        <w:tc>
          <w:tcPr>
            <w:tcW w:w="750" w:type="dxa"/>
            <w:tcBorders>
              <w:top w:val="nil"/>
              <w:left w:val="nil"/>
              <w:bottom w:val="single" w:sz="4" w:space="0" w:color="auto"/>
              <w:right w:val="single" w:sz="4" w:space="0" w:color="auto"/>
            </w:tcBorders>
            <w:shd w:val="clear" w:color="000000" w:fill="FFFFFF"/>
            <w:hideMark/>
          </w:tcPr>
          <w:p w14:paraId="780B92E8"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£12</w:t>
            </w:r>
          </w:p>
        </w:tc>
        <w:tc>
          <w:tcPr>
            <w:tcW w:w="750" w:type="dxa"/>
            <w:tcBorders>
              <w:top w:val="nil"/>
              <w:left w:val="nil"/>
              <w:bottom w:val="single" w:sz="4" w:space="0" w:color="auto"/>
              <w:right w:val="single" w:sz="4" w:space="0" w:color="auto"/>
            </w:tcBorders>
            <w:shd w:val="clear" w:color="000000" w:fill="FFFFFF"/>
            <w:hideMark/>
          </w:tcPr>
          <w:p w14:paraId="6F0FCC02"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£11</w:t>
            </w:r>
          </w:p>
        </w:tc>
        <w:tc>
          <w:tcPr>
            <w:tcW w:w="750" w:type="dxa"/>
            <w:tcBorders>
              <w:top w:val="nil"/>
              <w:left w:val="nil"/>
              <w:bottom w:val="single" w:sz="4" w:space="0" w:color="auto"/>
              <w:right w:val="single" w:sz="4" w:space="0" w:color="auto"/>
            </w:tcBorders>
            <w:shd w:val="clear" w:color="000000" w:fill="FFFFFF"/>
            <w:hideMark/>
          </w:tcPr>
          <w:p w14:paraId="4C126123"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£17</w:t>
            </w:r>
          </w:p>
        </w:tc>
        <w:tc>
          <w:tcPr>
            <w:tcW w:w="1040" w:type="dxa"/>
            <w:tcBorders>
              <w:top w:val="nil"/>
              <w:left w:val="nil"/>
              <w:bottom w:val="single" w:sz="4" w:space="0" w:color="auto"/>
              <w:right w:val="single" w:sz="4" w:space="0" w:color="auto"/>
            </w:tcBorders>
            <w:shd w:val="clear" w:color="000000" w:fill="FFFFFF"/>
            <w:hideMark/>
          </w:tcPr>
          <w:p w14:paraId="782551A8"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£99</w:t>
            </w:r>
          </w:p>
        </w:tc>
      </w:tr>
      <w:tr w:rsidR="00F46779" w:rsidRPr="004A73C1" w14:paraId="3DFAD77E" w14:textId="77777777" w:rsidTr="009019C5">
        <w:trPr>
          <w:trHeight w:val="315"/>
        </w:trPr>
        <w:tc>
          <w:tcPr>
            <w:tcW w:w="1560" w:type="dxa"/>
            <w:tcBorders>
              <w:top w:val="nil"/>
              <w:left w:val="single" w:sz="4" w:space="0" w:color="auto"/>
              <w:bottom w:val="single" w:sz="4" w:space="0" w:color="auto"/>
              <w:right w:val="single" w:sz="4" w:space="0" w:color="auto"/>
            </w:tcBorders>
            <w:shd w:val="clear" w:color="000000" w:fill="FFFFFF"/>
            <w:hideMark/>
          </w:tcPr>
          <w:p w14:paraId="6FF30D33"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Germany</w:t>
            </w:r>
          </w:p>
        </w:tc>
        <w:tc>
          <w:tcPr>
            <w:tcW w:w="750" w:type="dxa"/>
            <w:tcBorders>
              <w:top w:val="nil"/>
              <w:left w:val="nil"/>
              <w:bottom w:val="single" w:sz="4" w:space="0" w:color="auto"/>
              <w:right w:val="single" w:sz="4" w:space="0" w:color="auto"/>
            </w:tcBorders>
            <w:shd w:val="clear" w:color="000000" w:fill="FFFFFF"/>
            <w:hideMark/>
          </w:tcPr>
          <w:p w14:paraId="5A4E4C92"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£12</w:t>
            </w:r>
          </w:p>
        </w:tc>
        <w:tc>
          <w:tcPr>
            <w:tcW w:w="750" w:type="dxa"/>
            <w:tcBorders>
              <w:top w:val="nil"/>
              <w:left w:val="nil"/>
              <w:bottom w:val="single" w:sz="4" w:space="0" w:color="auto"/>
              <w:right w:val="single" w:sz="4" w:space="0" w:color="auto"/>
            </w:tcBorders>
            <w:shd w:val="clear" w:color="000000" w:fill="FFFFFF"/>
            <w:hideMark/>
          </w:tcPr>
          <w:p w14:paraId="08DC5E60"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£11</w:t>
            </w:r>
          </w:p>
        </w:tc>
        <w:tc>
          <w:tcPr>
            <w:tcW w:w="750" w:type="dxa"/>
            <w:tcBorders>
              <w:top w:val="nil"/>
              <w:left w:val="nil"/>
              <w:bottom w:val="single" w:sz="4" w:space="0" w:color="auto"/>
              <w:right w:val="single" w:sz="4" w:space="0" w:color="auto"/>
            </w:tcBorders>
            <w:shd w:val="clear" w:color="000000" w:fill="FFFFFF"/>
            <w:hideMark/>
          </w:tcPr>
          <w:p w14:paraId="091D3A7B"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£15</w:t>
            </w:r>
          </w:p>
        </w:tc>
        <w:tc>
          <w:tcPr>
            <w:tcW w:w="750" w:type="dxa"/>
            <w:tcBorders>
              <w:top w:val="nil"/>
              <w:left w:val="nil"/>
              <w:bottom w:val="single" w:sz="4" w:space="0" w:color="auto"/>
              <w:right w:val="single" w:sz="4" w:space="0" w:color="auto"/>
            </w:tcBorders>
            <w:shd w:val="clear" w:color="000000" w:fill="FFFFFF"/>
            <w:hideMark/>
          </w:tcPr>
          <w:p w14:paraId="41593D9A"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£18</w:t>
            </w:r>
          </w:p>
        </w:tc>
        <w:tc>
          <w:tcPr>
            <w:tcW w:w="750" w:type="dxa"/>
            <w:tcBorders>
              <w:top w:val="nil"/>
              <w:left w:val="nil"/>
              <w:bottom w:val="single" w:sz="4" w:space="0" w:color="auto"/>
              <w:right w:val="single" w:sz="4" w:space="0" w:color="auto"/>
            </w:tcBorders>
            <w:shd w:val="clear" w:color="000000" w:fill="FFFFFF"/>
            <w:hideMark/>
          </w:tcPr>
          <w:p w14:paraId="179D0A46"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£22</w:t>
            </w:r>
          </w:p>
        </w:tc>
        <w:tc>
          <w:tcPr>
            <w:tcW w:w="750" w:type="dxa"/>
            <w:tcBorders>
              <w:top w:val="nil"/>
              <w:left w:val="nil"/>
              <w:bottom w:val="single" w:sz="4" w:space="0" w:color="auto"/>
              <w:right w:val="single" w:sz="4" w:space="0" w:color="auto"/>
            </w:tcBorders>
            <w:shd w:val="clear" w:color="000000" w:fill="FFFFFF"/>
            <w:hideMark/>
          </w:tcPr>
          <w:p w14:paraId="7E9FE449"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£20</w:t>
            </w:r>
          </w:p>
        </w:tc>
        <w:tc>
          <w:tcPr>
            <w:tcW w:w="750" w:type="dxa"/>
            <w:tcBorders>
              <w:top w:val="nil"/>
              <w:left w:val="nil"/>
              <w:bottom w:val="single" w:sz="4" w:space="0" w:color="auto"/>
              <w:right w:val="single" w:sz="4" w:space="0" w:color="auto"/>
            </w:tcBorders>
            <w:shd w:val="clear" w:color="000000" w:fill="FFFFFF"/>
            <w:hideMark/>
          </w:tcPr>
          <w:p w14:paraId="5705C1F3"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£47</w:t>
            </w:r>
          </w:p>
        </w:tc>
        <w:tc>
          <w:tcPr>
            <w:tcW w:w="750" w:type="dxa"/>
            <w:tcBorders>
              <w:top w:val="nil"/>
              <w:left w:val="nil"/>
              <w:bottom w:val="single" w:sz="4" w:space="0" w:color="auto"/>
              <w:right w:val="single" w:sz="4" w:space="0" w:color="auto"/>
            </w:tcBorders>
            <w:shd w:val="clear" w:color="000000" w:fill="FFFFFF"/>
            <w:hideMark/>
          </w:tcPr>
          <w:p w14:paraId="12EE63D1"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£27</w:t>
            </w:r>
          </w:p>
        </w:tc>
        <w:tc>
          <w:tcPr>
            <w:tcW w:w="1040" w:type="dxa"/>
            <w:tcBorders>
              <w:top w:val="nil"/>
              <w:left w:val="nil"/>
              <w:bottom w:val="single" w:sz="4" w:space="0" w:color="auto"/>
              <w:right w:val="single" w:sz="4" w:space="0" w:color="auto"/>
            </w:tcBorders>
            <w:shd w:val="clear" w:color="000000" w:fill="FFFFFF"/>
            <w:hideMark/>
          </w:tcPr>
          <w:p w14:paraId="5E7808EA"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£172</w:t>
            </w:r>
          </w:p>
        </w:tc>
      </w:tr>
      <w:tr w:rsidR="00DB196A" w:rsidRPr="004A73C1" w14:paraId="09DE633C" w14:textId="77777777" w:rsidTr="009019C5">
        <w:trPr>
          <w:trHeight w:val="315"/>
        </w:trPr>
        <w:tc>
          <w:tcPr>
            <w:tcW w:w="1560" w:type="dxa"/>
            <w:tcBorders>
              <w:top w:val="nil"/>
              <w:left w:val="single" w:sz="4" w:space="0" w:color="auto"/>
              <w:bottom w:val="single" w:sz="4" w:space="0" w:color="auto"/>
              <w:right w:val="single" w:sz="4" w:space="0" w:color="auto"/>
            </w:tcBorders>
            <w:shd w:val="clear" w:color="000000" w:fill="FFFFFF"/>
            <w:hideMark/>
          </w:tcPr>
          <w:p w14:paraId="5B29D87C"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India</w:t>
            </w:r>
          </w:p>
        </w:tc>
        <w:tc>
          <w:tcPr>
            <w:tcW w:w="750" w:type="dxa"/>
            <w:tcBorders>
              <w:top w:val="nil"/>
              <w:left w:val="nil"/>
              <w:bottom w:val="single" w:sz="4" w:space="0" w:color="auto"/>
              <w:right w:val="single" w:sz="4" w:space="0" w:color="auto"/>
            </w:tcBorders>
            <w:shd w:val="clear" w:color="000000" w:fill="FFFFFF"/>
            <w:hideMark/>
          </w:tcPr>
          <w:p w14:paraId="6F62F379"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£45</w:t>
            </w:r>
          </w:p>
        </w:tc>
        <w:tc>
          <w:tcPr>
            <w:tcW w:w="750" w:type="dxa"/>
            <w:tcBorders>
              <w:top w:val="nil"/>
              <w:left w:val="nil"/>
              <w:bottom w:val="single" w:sz="4" w:space="0" w:color="auto"/>
              <w:right w:val="single" w:sz="4" w:space="0" w:color="auto"/>
            </w:tcBorders>
            <w:shd w:val="clear" w:color="000000" w:fill="FFFFFF"/>
            <w:hideMark/>
          </w:tcPr>
          <w:p w14:paraId="42234E69"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£45</w:t>
            </w:r>
          </w:p>
        </w:tc>
        <w:tc>
          <w:tcPr>
            <w:tcW w:w="750" w:type="dxa"/>
            <w:tcBorders>
              <w:top w:val="nil"/>
              <w:left w:val="nil"/>
              <w:bottom w:val="single" w:sz="4" w:space="0" w:color="auto"/>
              <w:right w:val="single" w:sz="4" w:space="0" w:color="auto"/>
            </w:tcBorders>
            <w:shd w:val="clear" w:color="000000" w:fill="FFFFFF"/>
            <w:hideMark/>
          </w:tcPr>
          <w:p w14:paraId="5F83E9E2"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£20</w:t>
            </w:r>
          </w:p>
        </w:tc>
        <w:tc>
          <w:tcPr>
            <w:tcW w:w="750" w:type="dxa"/>
            <w:tcBorders>
              <w:top w:val="nil"/>
              <w:left w:val="nil"/>
              <w:bottom w:val="single" w:sz="4" w:space="0" w:color="auto"/>
              <w:right w:val="single" w:sz="4" w:space="0" w:color="auto"/>
            </w:tcBorders>
            <w:shd w:val="clear" w:color="000000" w:fill="FFFFFF"/>
            <w:hideMark/>
          </w:tcPr>
          <w:p w14:paraId="62B077D7"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£42</w:t>
            </w:r>
          </w:p>
        </w:tc>
        <w:tc>
          <w:tcPr>
            <w:tcW w:w="750" w:type="dxa"/>
            <w:tcBorders>
              <w:top w:val="nil"/>
              <w:left w:val="nil"/>
              <w:bottom w:val="single" w:sz="4" w:space="0" w:color="auto"/>
              <w:right w:val="single" w:sz="4" w:space="0" w:color="auto"/>
            </w:tcBorders>
            <w:shd w:val="clear" w:color="000000" w:fill="FFFFFF"/>
            <w:hideMark/>
          </w:tcPr>
          <w:p w14:paraId="26F24CCC"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£28</w:t>
            </w:r>
          </w:p>
        </w:tc>
        <w:tc>
          <w:tcPr>
            <w:tcW w:w="750" w:type="dxa"/>
            <w:tcBorders>
              <w:top w:val="nil"/>
              <w:left w:val="nil"/>
              <w:bottom w:val="single" w:sz="4" w:space="0" w:color="auto"/>
              <w:right w:val="single" w:sz="4" w:space="0" w:color="auto"/>
            </w:tcBorders>
            <w:shd w:val="clear" w:color="000000" w:fill="FFFFFF"/>
            <w:hideMark/>
          </w:tcPr>
          <w:p w14:paraId="3878F1D8"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£17</w:t>
            </w:r>
          </w:p>
        </w:tc>
        <w:tc>
          <w:tcPr>
            <w:tcW w:w="750" w:type="dxa"/>
            <w:tcBorders>
              <w:top w:val="nil"/>
              <w:left w:val="nil"/>
              <w:bottom w:val="single" w:sz="4" w:space="0" w:color="auto"/>
              <w:right w:val="single" w:sz="4" w:space="0" w:color="auto"/>
            </w:tcBorders>
            <w:shd w:val="clear" w:color="000000" w:fill="FFFFFF"/>
            <w:hideMark/>
          </w:tcPr>
          <w:p w14:paraId="12E2CD1A"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£13</w:t>
            </w:r>
          </w:p>
        </w:tc>
        <w:tc>
          <w:tcPr>
            <w:tcW w:w="750" w:type="dxa"/>
            <w:tcBorders>
              <w:top w:val="nil"/>
              <w:left w:val="nil"/>
              <w:bottom w:val="single" w:sz="4" w:space="0" w:color="auto"/>
              <w:right w:val="single" w:sz="4" w:space="0" w:color="auto"/>
            </w:tcBorders>
            <w:shd w:val="clear" w:color="000000" w:fill="FFFFFF"/>
            <w:hideMark/>
          </w:tcPr>
          <w:p w14:paraId="21E32BEC"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£60</w:t>
            </w:r>
          </w:p>
        </w:tc>
        <w:tc>
          <w:tcPr>
            <w:tcW w:w="1040" w:type="dxa"/>
            <w:tcBorders>
              <w:top w:val="nil"/>
              <w:left w:val="nil"/>
              <w:bottom w:val="single" w:sz="4" w:space="0" w:color="auto"/>
              <w:right w:val="single" w:sz="4" w:space="0" w:color="auto"/>
            </w:tcBorders>
            <w:shd w:val="clear" w:color="000000" w:fill="FFFFFF"/>
            <w:hideMark/>
          </w:tcPr>
          <w:p w14:paraId="2318CF88"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£270</w:t>
            </w:r>
          </w:p>
        </w:tc>
      </w:tr>
      <w:tr w:rsidR="00DB196A" w:rsidRPr="004A73C1" w14:paraId="2FD524A2" w14:textId="77777777" w:rsidTr="009019C5">
        <w:trPr>
          <w:trHeight w:val="630"/>
        </w:trPr>
        <w:tc>
          <w:tcPr>
            <w:tcW w:w="1560" w:type="dxa"/>
            <w:tcBorders>
              <w:top w:val="single" w:sz="4" w:space="0" w:color="auto"/>
              <w:left w:val="single" w:sz="4" w:space="0" w:color="auto"/>
              <w:bottom w:val="single" w:sz="4" w:space="0" w:color="auto"/>
              <w:right w:val="single" w:sz="4" w:space="0" w:color="auto"/>
            </w:tcBorders>
            <w:shd w:val="clear" w:color="000000" w:fill="FFFFFF"/>
            <w:hideMark/>
          </w:tcPr>
          <w:p w14:paraId="3391AB92"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United Kingdom</w:t>
            </w:r>
          </w:p>
        </w:tc>
        <w:tc>
          <w:tcPr>
            <w:tcW w:w="750" w:type="dxa"/>
            <w:tcBorders>
              <w:top w:val="nil"/>
              <w:left w:val="nil"/>
              <w:bottom w:val="single" w:sz="4" w:space="0" w:color="auto"/>
              <w:right w:val="single" w:sz="4" w:space="0" w:color="auto"/>
            </w:tcBorders>
            <w:shd w:val="clear" w:color="000000" w:fill="FFFFFF"/>
            <w:hideMark/>
          </w:tcPr>
          <w:p w14:paraId="766FD168"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£45</w:t>
            </w:r>
          </w:p>
        </w:tc>
        <w:tc>
          <w:tcPr>
            <w:tcW w:w="750" w:type="dxa"/>
            <w:tcBorders>
              <w:top w:val="nil"/>
              <w:left w:val="nil"/>
              <w:bottom w:val="single" w:sz="4" w:space="0" w:color="auto"/>
              <w:right w:val="single" w:sz="4" w:space="0" w:color="auto"/>
            </w:tcBorders>
            <w:shd w:val="clear" w:color="000000" w:fill="FFFFFF"/>
            <w:hideMark/>
          </w:tcPr>
          <w:p w14:paraId="3AC18D06"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£31</w:t>
            </w:r>
          </w:p>
        </w:tc>
        <w:tc>
          <w:tcPr>
            <w:tcW w:w="750" w:type="dxa"/>
            <w:tcBorders>
              <w:top w:val="nil"/>
              <w:left w:val="nil"/>
              <w:bottom w:val="single" w:sz="4" w:space="0" w:color="auto"/>
              <w:right w:val="single" w:sz="4" w:space="0" w:color="auto"/>
            </w:tcBorders>
            <w:shd w:val="clear" w:color="000000" w:fill="FFFFFF"/>
            <w:hideMark/>
          </w:tcPr>
          <w:p w14:paraId="2E4BFDF7"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£26</w:t>
            </w:r>
          </w:p>
        </w:tc>
        <w:tc>
          <w:tcPr>
            <w:tcW w:w="750" w:type="dxa"/>
            <w:tcBorders>
              <w:top w:val="nil"/>
              <w:left w:val="nil"/>
              <w:bottom w:val="single" w:sz="4" w:space="0" w:color="auto"/>
              <w:right w:val="single" w:sz="4" w:space="0" w:color="auto"/>
            </w:tcBorders>
            <w:shd w:val="clear" w:color="000000" w:fill="FFFFFF"/>
            <w:hideMark/>
          </w:tcPr>
          <w:p w14:paraId="345ABDF4"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£31</w:t>
            </w:r>
          </w:p>
        </w:tc>
        <w:tc>
          <w:tcPr>
            <w:tcW w:w="750" w:type="dxa"/>
            <w:tcBorders>
              <w:top w:val="nil"/>
              <w:left w:val="nil"/>
              <w:bottom w:val="single" w:sz="4" w:space="0" w:color="auto"/>
              <w:right w:val="single" w:sz="4" w:space="0" w:color="auto"/>
            </w:tcBorders>
            <w:shd w:val="clear" w:color="000000" w:fill="FFFFFF"/>
            <w:hideMark/>
          </w:tcPr>
          <w:p w14:paraId="18360F96"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£30</w:t>
            </w:r>
          </w:p>
        </w:tc>
        <w:tc>
          <w:tcPr>
            <w:tcW w:w="750" w:type="dxa"/>
            <w:tcBorders>
              <w:top w:val="nil"/>
              <w:left w:val="nil"/>
              <w:bottom w:val="single" w:sz="4" w:space="0" w:color="auto"/>
              <w:right w:val="single" w:sz="4" w:space="0" w:color="auto"/>
            </w:tcBorders>
            <w:shd w:val="clear" w:color="000000" w:fill="FFFFFF"/>
            <w:hideMark/>
          </w:tcPr>
          <w:p w14:paraId="6D00AE14"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£34</w:t>
            </w:r>
          </w:p>
        </w:tc>
        <w:tc>
          <w:tcPr>
            <w:tcW w:w="750" w:type="dxa"/>
            <w:tcBorders>
              <w:top w:val="nil"/>
              <w:left w:val="nil"/>
              <w:bottom w:val="single" w:sz="4" w:space="0" w:color="auto"/>
              <w:right w:val="single" w:sz="4" w:space="0" w:color="auto"/>
            </w:tcBorders>
            <w:shd w:val="clear" w:color="000000" w:fill="FFFFFF"/>
            <w:hideMark/>
          </w:tcPr>
          <w:p w14:paraId="4E232522"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£49</w:t>
            </w:r>
          </w:p>
        </w:tc>
        <w:tc>
          <w:tcPr>
            <w:tcW w:w="750" w:type="dxa"/>
            <w:tcBorders>
              <w:top w:val="nil"/>
              <w:left w:val="nil"/>
              <w:bottom w:val="single" w:sz="4" w:space="0" w:color="auto"/>
              <w:right w:val="single" w:sz="4" w:space="0" w:color="auto"/>
            </w:tcBorders>
            <w:shd w:val="clear" w:color="000000" w:fill="FFFFFF"/>
            <w:hideMark/>
          </w:tcPr>
          <w:p w14:paraId="35546A89"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£79</w:t>
            </w:r>
          </w:p>
        </w:tc>
        <w:tc>
          <w:tcPr>
            <w:tcW w:w="1040" w:type="dxa"/>
            <w:tcBorders>
              <w:top w:val="nil"/>
              <w:left w:val="nil"/>
              <w:bottom w:val="single" w:sz="4" w:space="0" w:color="auto"/>
              <w:right w:val="single" w:sz="4" w:space="0" w:color="auto"/>
            </w:tcBorders>
            <w:shd w:val="clear" w:color="000000" w:fill="FFFFFF"/>
            <w:hideMark/>
          </w:tcPr>
          <w:p w14:paraId="0287D3CE"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£325</w:t>
            </w:r>
          </w:p>
        </w:tc>
      </w:tr>
      <w:tr w:rsidR="00DB196A" w:rsidRPr="004A73C1" w14:paraId="60DA6A14" w14:textId="77777777" w:rsidTr="009019C5">
        <w:trPr>
          <w:trHeight w:val="645"/>
        </w:trPr>
        <w:tc>
          <w:tcPr>
            <w:tcW w:w="1560" w:type="dxa"/>
            <w:tcBorders>
              <w:top w:val="single" w:sz="4" w:space="0" w:color="auto"/>
              <w:left w:val="single" w:sz="4" w:space="0" w:color="auto"/>
              <w:bottom w:val="single" w:sz="4" w:space="0" w:color="auto"/>
              <w:right w:val="nil"/>
            </w:tcBorders>
            <w:shd w:val="clear" w:color="000000" w:fill="FFFFFF"/>
            <w:hideMark/>
          </w:tcPr>
          <w:p w14:paraId="1EEB276F" w14:textId="77777777" w:rsidR="00DB196A" w:rsidRPr="004A73C1" w:rsidRDefault="00DB196A" w:rsidP="00EF2E34">
            <w:pPr>
              <w:spacing w:after="0" w:line="360" w:lineRule="auto"/>
              <w:jc w:val="both"/>
              <w:rPr>
                <w:rFonts w:ascii="Arial" w:eastAsia="Times New Roman" w:hAnsi="Arial" w:cs="Arial"/>
                <w:b/>
                <w:bCs/>
                <w:color w:val="0B0C0C"/>
                <w:lang w:eastAsia="en-GB"/>
              </w:rPr>
            </w:pPr>
            <w:r w:rsidRPr="004A73C1">
              <w:rPr>
                <w:rFonts w:ascii="Arial" w:eastAsia="Times New Roman" w:hAnsi="Arial" w:cs="Arial"/>
                <w:b/>
                <w:bCs/>
                <w:color w:val="0B0C0C"/>
                <w:lang w:eastAsia="en-GB"/>
              </w:rPr>
              <w:t>United States</w:t>
            </w:r>
          </w:p>
        </w:tc>
        <w:tc>
          <w:tcPr>
            <w:tcW w:w="750" w:type="dxa"/>
            <w:tcBorders>
              <w:top w:val="nil"/>
              <w:left w:val="single" w:sz="4" w:space="0" w:color="auto"/>
              <w:bottom w:val="single" w:sz="4" w:space="0" w:color="auto"/>
              <w:right w:val="single" w:sz="4" w:space="0" w:color="auto"/>
            </w:tcBorders>
            <w:shd w:val="clear" w:color="000000" w:fill="FFFFFF"/>
            <w:hideMark/>
          </w:tcPr>
          <w:p w14:paraId="3E5489DE"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£61</w:t>
            </w:r>
          </w:p>
        </w:tc>
        <w:tc>
          <w:tcPr>
            <w:tcW w:w="750" w:type="dxa"/>
            <w:tcBorders>
              <w:top w:val="nil"/>
              <w:left w:val="nil"/>
              <w:bottom w:val="single" w:sz="4" w:space="0" w:color="auto"/>
              <w:right w:val="single" w:sz="4" w:space="0" w:color="auto"/>
            </w:tcBorders>
            <w:shd w:val="clear" w:color="000000" w:fill="FFFFFF"/>
            <w:hideMark/>
          </w:tcPr>
          <w:p w14:paraId="4C39DA7F"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£49</w:t>
            </w:r>
          </w:p>
        </w:tc>
        <w:tc>
          <w:tcPr>
            <w:tcW w:w="750" w:type="dxa"/>
            <w:tcBorders>
              <w:top w:val="nil"/>
              <w:left w:val="nil"/>
              <w:bottom w:val="single" w:sz="4" w:space="0" w:color="auto"/>
              <w:right w:val="single" w:sz="4" w:space="0" w:color="auto"/>
            </w:tcBorders>
            <w:shd w:val="clear" w:color="000000" w:fill="FFFFFF"/>
            <w:hideMark/>
          </w:tcPr>
          <w:p w14:paraId="62801399"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£68</w:t>
            </w:r>
          </w:p>
        </w:tc>
        <w:tc>
          <w:tcPr>
            <w:tcW w:w="750" w:type="dxa"/>
            <w:tcBorders>
              <w:top w:val="nil"/>
              <w:left w:val="nil"/>
              <w:bottom w:val="single" w:sz="4" w:space="0" w:color="auto"/>
              <w:right w:val="single" w:sz="4" w:space="0" w:color="auto"/>
            </w:tcBorders>
            <w:shd w:val="clear" w:color="000000" w:fill="FFFFFF"/>
            <w:hideMark/>
          </w:tcPr>
          <w:p w14:paraId="667CD023"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£68</w:t>
            </w:r>
          </w:p>
        </w:tc>
        <w:tc>
          <w:tcPr>
            <w:tcW w:w="750" w:type="dxa"/>
            <w:tcBorders>
              <w:top w:val="nil"/>
              <w:left w:val="nil"/>
              <w:bottom w:val="single" w:sz="4" w:space="0" w:color="auto"/>
              <w:right w:val="single" w:sz="4" w:space="0" w:color="auto"/>
            </w:tcBorders>
            <w:shd w:val="clear" w:color="000000" w:fill="FFFFFF"/>
            <w:hideMark/>
          </w:tcPr>
          <w:p w14:paraId="5D49BCB5"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£76</w:t>
            </w:r>
          </w:p>
        </w:tc>
        <w:tc>
          <w:tcPr>
            <w:tcW w:w="750" w:type="dxa"/>
            <w:tcBorders>
              <w:top w:val="nil"/>
              <w:left w:val="nil"/>
              <w:bottom w:val="single" w:sz="4" w:space="0" w:color="auto"/>
              <w:right w:val="single" w:sz="4" w:space="0" w:color="auto"/>
            </w:tcBorders>
            <w:shd w:val="clear" w:color="000000" w:fill="FFFFFF"/>
            <w:hideMark/>
          </w:tcPr>
          <w:p w14:paraId="70D95E77"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£53</w:t>
            </w:r>
          </w:p>
        </w:tc>
        <w:tc>
          <w:tcPr>
            <w:tcW w:w="750" w:type="dxa"/>
            <w:tcBorders>
              <w:top w:val="nil"/>
              <w:left w:val="nil"/>
              <w:bottom w:val="single" w:sz="4" w:space="0" w:color="auto"/>
              <w:right w:val="single" w:sz="4" w:space="0" w:color="auto"/>
            </w:tcBorders>
            <w:shd w:val="clear" w:color="000000" w:fill="FFFFFF"/>
            <w:hideMark/>
          </w:tcPr>
          <w:p w14:paraId="5E09FEF4"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£73</w:t>
            </w:r>
          </w:p>
        </w:tc>
        <w:tc>
          <w:tcPr>
            <w:tcW w:w="750" w:type="dxa"/>
            <w:tcBorders>
              <w:top w:val="nil"/>
              <w:left w:val="nil"/>
              <w:bottom w:val="single" w:sz="4" w:space="0" w:color="auto"/>
              <w:right w:val="single" w:sz="4" w:space="0" w:color="auto"/>
            </w:tcBorders>
            <w:shd w:val="clear" w:color="000000" w:fill="FFFFFF"/>
            <w:hideMark/>
          </w:tcPr>
          <w:p w14:paraId="4086BD11"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£129</w:t>
            </w:r>
          </w:p>
        </w:tc>
        <w:tc>
          <w:tcPr>
            <w:tcW w:w="1040" w:type="dxa"/>
            <w:tcBorders>
              <w:top w:val="nil"/>
              <w:left w:val="nil"/>
              <w:bottom w:val="single" w:sz="4" w:space="0" w:color="auto"/>
              <w:right w:val="single" w:sz="4" w:space="0" w:color="auto"/>
            </w:tcBorders>
            <w:shd w:val="clear" w:color="000000" w:fill="FFFFFF"/>
            <w:hideMark/>
          </w:tcPr>
          <w:p w14:paraId="0C101AA2" w14:textId="77777777" w:rsidR="00DB196A" w:rsidRPr="004A73C1" w:rsidRDefault="00DB196A" w:rsidP="00EF2E34">
            <w:pPr>
              <w:spacing w:after="0" w:line="360" w:lineRule="auto"/>
              <w:jc w:val="both"/>
              <w:rPr>
                <w:rFonts w:ascii="Arial" w:eastAsia="Times New Roman" w:hAnsi="Arial" w:cs="Arial"/>
                <w:color w:val="0B0C0C"/>
                <w:lang w:eastAsia="en-GB"/>
              </w:rPr>
            </w:pPr>
            <w:r w:rsidRPr="004A73C1">
              <w:rPr>
                <w:rFonts w:ascii="Arial" w:eastAsia="Times New Roman" w:hAnsi="Arial" w:cs="Arial"/>
                <w:color w:val="0B0C0C"/>
                <w:lang w:eastAsia="en-GB"/>
              </w:rPr>
              <w:t>£577</w:t>
            </w:r>
          </w:p>
        </w:tc>
      </w:tr>
    </w:tbl>
    <w:p w14:paraId="57940B2A" w14:textId="77777777" w:rsidR="00691E95" w:rsidRPr="004A73C1" w:rsidRDefault="00691E95" w:rsidP="00EF2E34">
      <w:pPr>
        <w:spacing w:after="0" w:line="360" w:lineRule="auto"/>
        <w:jc w:val="both"/>
        <w:rPr>
          <w:rFonts w:ascii="Arial" w:hAnsi="Arial" w:cs="Arial"/>
        </w:rPr>
      </w:pPr>
    </w:p>
    <w:p w14:paraId="0D416995" w14:textId="01FCABB3" w:rsidR="00691E95" w:rsidRPr="004A73C1" w:rsidRDefault="00691E95" w:rsidP="00691E95">
      <w:pPr>
        <w:spacing w:after="0" w:line="360" w:lineRule="auto"/>
        <w:ind w:left="-284"/>
        <w:jc w:val="both"/>
        <w:rPr>
          <w:rFonts w:ascii="Arial" w:hAnsi="Arial" w:cs="Arial"/>
        </w:rPr>
      </w:pPr>
      <w:r w:rsidRPr="004A73C1">
        <w:rPr>
          <w:rFonts w:ascii="Arial" w:hAnsi="Arial" w:cs="Arial"/>
          <w:noProof/>
        </w:rPr>
        <w:drawing>
          <wp:inline distT="0" distB="0" distL="0" distR="0" wp14:anchorId="55539B76" wp14:editId="14D4DF7B">
            <wp:extent cx="5408762" cy="652477"/>
            <wp:effectExtent l="0" t="0" r="1905" b="0"/>
            <wp:docPr id="783348739"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348739" name="Picture 1" descr="A close-up of a number&#10;&#10;Description automatically generated"/>
                    <pic:cNvPicPr/>
                  </pic:nvPicPr>
                  <pic:blipFill>
                    <a:blip r:embed="rId10"/>
                    <a:stretch>
                      <a:fillRect/>
                    </a:stretch>
                  </pic:blipFill>
                  <pic:spPr>
                    <a:xfrm>
                      <a:off x="0" y="0"/>
                      <a:ext cx="5445694" cy="656932"/>
                    </a:xfrm>
                    <a:prstGeom prst="rect">
                      <a:avLst/>
                    </a:prstGeom>
                  </pic:spPr>
                </pic:pic>
              </a:graphicData>
            </a:graphic>
          </wp:inline>
        </w:drawing>
      </w:r>
    </w:p>
    <w:p w14:paraId="2DB9361C" w14:textId="58C516AC" w:rsidR="00DB196A" w:rsidRDefault="00D11768" w:rsidP="00EF2E34">
      <w:pPr>
        <w:pStyle w:val="Heading2"/>
        <w:spacing w:line="360" w:lineRule="auto"/>
        <w:rPr>
          <w:rFonts w:ascii="Arial" w:hAnsi="Arial" w:cs="Arial"/>
          <w:color w:val="auto"/>
        </w:rPr>
      </w:pPr>
      <w:bookmarkStart w:id="57" w:name="_Toc175056451"/>
      <w:bookmarkStart w:id="58" w:name="_Toc175848109"/>
      <w:r w:rsidRPr="004A73C1">
        <w:rPr>
          <w:rFonts w:ascii="Arial" w:hAnsi="Arial" w:cs="Arial"/>
          <w:color w:val="auto"/>
        </w:rPr>
        <w:t>2.3.2</w:t>
      </w:r>
      <w:r w:rsidRPr="004A73C1">
        <w:rPr>
          <w:rFonts w:ascii="Arial" w:hAnsi="Arial" w:cs="Arial"/>
          <w:color w:val="auto"/>
        </w:rPr>
        <w:tab/>
      </w:r>
      <w:r w:rsidR="00DB196A" w:rsidRPr="004A73C1">
        <w:rPr>
          <w:rFonts w:ascii="Arial" w:hAnsi="Arial" w:cs="Arial"/>
          <w:color w:val="auto"/>
        </w:rPr>
        <w:t>Mergers and Acquisitions</w:t>
      </w:r>
      <w:bookmarkEnd w:id="57"/>
      <w:bookmarkEnd w:id="58"/>
    </w:p>
    <w:p w14:paraId="355D9329" w14:textId="275BDB12" w:rsidR="00DB196A" w:rsidRPr="004A73C1" w:rsidRDefault="00DB196A" w:rsidP="003F68BF">
      <w:pPr>
        <w:rPr>
          <w:rFonts w:ascii="Arial" w:hAnsi="Arial" w:cs="Arial"/>
          <w:b/>
          <w:bCs/>
          <w:sz w:val="24"/>
          <w:szCs w:val="24"/>
        </w:rPr>
      </w:pPr>
      <w:bookmarkStart w:id="59" w:name="_Toc175056452"/>
      <w:r w:rsidRPr="004A73C1">
        <w:rPr>
          <w:rFonts w:ascii="Arial" w:hAnsi="Arial" w:cs="Arial"/>
          <w:b/>
          <w:bCs/>
          <w:sz w:val="24"/>
          <w:szCs w:val="24"/>
        </w:rPr>
        <w:t>Characteristics</w:t>
      </w:r>
      <w:bookmarkEnd w:id="59"/>
    </w:p>
    <w:p w14:paraId="2B976D3E" w14:textId="77777777" w:rsidR="007D4E14" w:rsidRPr="004A73C1" w:rsidRDefault="00DB196A" w:rsidP="00EF2E34">
      <w:pPr>
        <w:spacing w:after="0" w:line="360" w:lineRule="auto"/>
        <w:jc w:val="both"/>
        <w:rPr>
          <w:rFonts w:ascii="Arial" w:hAnsi="Arial" w:cs="Arial"/>
        </w:rPr>
      </w:pPr>
      <w:r w:rsidRPr="004A73C1">
        <w:rPr>
          <w:rFonts w:ascii="Arial" w:hAnsi="Arial" w:cs="Arial"/>
        </w:rPr>
        <w:t xml:space="preserve">This type of investment occurs when two or more companies come together to expand their business or create new business units. It involves the transfer of business assets between local and foreign markets. If foreign players invest in a local company, the foreign companies or players become the controlling authorities, effectively making the local company a part of the foreign company. The foreign company then takes the profit made by the local company according to their shareholding. Despite this, such investments by foreign companies are considered crucial for the local market, as they serve as an </w:t>
      </w:r>
      <w:r w:rsidR="00E74B12" w:rsidRPr="004A73C1">
        <w:rPr>
          <w:rFonts w:ascii="Arial" w:hAnsi="Arial" w:cs="Arial"/>
        </w:rPr>
        <w:t>essential</w:t>
      </w:r>
      <w:r w:rsidRPr="004A73C1">
        <w:rPr>
          <w:rFonts w:ascii="Arial" w:hAnsi="Arial" w:cs="Arial"/>
        </w:rPr>
        <w:t xml:space="preserve"> source of foreign direct investment and lead to an inflow of finance and capital assets into the local country.</w:t>
      </w:r>
    </w:p>
    <w:p w14:paraId="11B66329" w14:textId="77777777" w:rsidR="007D4E14" w:rsidRPr="004A73C1" w:rsidRDefault="007D4E14" w:rsidP="00EF2E34">
      <w:pPr>
        <w:spacing w:after="0" w:line="360" w:lineRule="auto"/>
        <w:jc w:val="both"/>
        <w:rPr>
          <w:rFonts w:ascii="Arial" w:hAnsi="Arial" w:cs="Arial"/>
        </w:rPr>
      </w:pPr>
    </w:p>
    <w:p w14:paraId="683C1793" w14:textId="24F6D007" w:rsidR="00DB196A" w:rsidRPr="004A73C1" w:rsidRDefault="00DB196A" w:rsidP="003F68BF">
      <w:pPr>
        <w:rPr>
          <w:rFonts w:ascii="Arial" w:hAnsi="Arial" w:cs="Arial"/>
          <w:b/>
          <w:bCs/>
          <w:sz w:val="24"/>
          <w:szCs w:val="24"/>
        </w:rPr>
      </w:pPr>
      <w:bookmarkStart w:id="60" w:name="_Toc175056453"/>
      <w:r w:rsidRPr="004A73C1">
        <w:rPr>
          <w:rFonts w:ascii="Arial" w:hAnsi="Arial" w:cs="Arial"/>
          <w:b/>
          <w:bCs/>
          <w:sz w:val="24"/>
          <w:szCs w:val="24"/>
        </w:rPr>
        <w:t>Advantages</w:t>
      </w:r>
      <w:bookmarkEnd w:id="60"/>
    </w:p>
    <w:p w14:paraId="646157D0" w14:textId="0DB069CD" w:rsidR="00DB196A" w:rsidRPr="004A73C1" w:rsidRDefault="00DB196A" w:rsidP="00EF2E34">
      <w:pPr>
        <w:spacing w:after="0" w:line="360" w:lineRule="auto"/>
        <w:jc w:val="both"/>
        <w:rPr>
          <w:rFonts w:ascii="Arial" w:hAnsi="Arial" w:cs="Arial"/>
        </w:rPr>
      </w:pPr>
      <w:r w:rsidRPr="004A73C1">
        <w:rPr>
          <w:rFonts w:ascii="Arial" w:hAnsi="Arial" w:cs="Arial"/>
        </w:rPr>
        <w:t xml:space="preserve">Mergers and acquisitions for foreign direct investment (FDI) can bring </w:t>
      </w:r>
      <w:r w:rsidR="00E74B12" w:rsidRPr="004A73C1">
        <w:rPr>
          <w:rFonts w:ascii="Arial" w:hAnsi="Arial" w:cs="Arial"/>
        </w:rPr>
        <w:t>several advantages for local and foreign companies</w:t>
      </w:r>
      <w:r w:rsidRPr="004A73C1">
        <w:rPr>
          <w:rFonts w:ascii="Arial" w:hAnsi="Arial" w:cs="Arial"/>
        </w:rPr>
        <w:t>. One of the primary benefits is the potential for business expansion and increased market share. By combining resources and expertise, companies can achieve economies of scale, access new markets, and diversify their product offerings.</w:t>
      </w:r>
    </w:p>
    <w:p w14:paraId="0572B89B" w14:textId="77777777" w:rsidR="00DB196A" w:rsidRPr="004A73C1" w:rsidRDefault="00DB196A" w:rsidP="00EF2E34">
      <w:pPr>
        <w:spacing w:after="0" w:line="360" w:lineRule="auto"/>
        <w:jc w:val="both"/>
        <w:rPr>
          <w:rFonts w:ascii="Arial" w:hAnsi="Arial" w:cs="Arial"/>
        </w:rPr>
      </w:pPr>
      <w:r w:rsidRPr="004A73C1">
        <w:rPr>
          <w:rFonts w:ascii="Arial" w:hAnsi="Arial" w:cs="Arial"/>
        </w:rPr>
        <w:t>Additionally, mergers for FDI can lead to enhanced competitiveness and innovation. The exchange of knowledge, technology, and best practices between the merging entities can result in improved products and services. This, in turn, can drive growth and strengthen the overall industry.</w:t>
      </w:r>
    </w:p>
    <w:p w14:paraId="1D20D752" w14:textId="365488C6" w:rsidR="00DB196A" w:rsidRPr="004A73C1" w:rsidRDefault="00DB196A" w:rsidP="00EF2E34">
      <w:pPr>
        <w:spacing w:after="0" w:line="360" w:lineRule="auto"/>
        <w:jc w:val="both"/>
        <w:rPr>
          <w:rFonts w:ascii="Arial" w:hAnsi="Arial" w:cs="Arial"/>
        </w:rPr>
      </w:pPr>
      <w:r w:rsidRPr="004A73C1">
        <w:rPr>
          <w:rFonts w:ascii="Arial" w:hAnsi="Arial" w:cs="Arial"/>
        </w:rPr>
        <w:t xml:space="preserve">Furthermore, FDI through mergers can facilitate the transfer of advanced technologies and management skills to domestic companies, ultimately contributing to the development of the local workforce and infrastructure. It also </w:t>
      </w:r>
      <w:r w:rsidR="00E74B12" w:rsidRPr="004A73C1">
        <w:rPr>
          <w:rFonts w:ascii="Arial" w:hAnsi="Arial" w:cs="Arial"/>
        </w:rPr>
        <w:t>attracts</w:t>
      </w:r>
      <w:r w:rsidRPr="004A73C1">
        <w:rPr>
          <w:rFonts w:ascii="Arial" w:hAnsi="Arial" w:cs="Arial"/>
        </w:rPr>
        <w:t xml:space="preserve"> foreign capital and investment, </w:t>
      </w:r>
      <w:r w:rsidR="00E74B12" w:rsidRPr="004A73C1">
        <w:rPr>
          <w:rFonts w:ascii="Arial" w:hAnsi="Arial" w:cs="Arial"/>
        </w:rPr>
        <w:t>stimulating economic growth and creating</w:t>
      </w:r>
      <w:r w:rsidRPr="004A73C1">
        <w:rPr>
          <w:rFonts w:ascii="Arial" w:hAnsi="Arial" w:cs="Arial"/>
        </w:rPr>
        <w:t xml:space="preserve"> employment opportunities.</w:t>
      </w:r>
    </w:p>
    <w:p w14:paraId="0FF1236F" w14:textId="77777777" w:rsidR="00DB196A" w:rsidRPr="004A73C1" w:rsidRDefault="00DB196A" w:rsidP="00EF2E34">
      <w:pPr>
        <w:spacing w:after="0" w:line="360" w:lineRule="auto"/>
        <w:jc w:val="both"/>
        <w:rPr>
          <w:rFonts w:ascii="Arial" w:hAnsi="Arial" w:cs="Arial"/>
        </w:rPr>
      </w:pPr>
    </w:p>
    <w:p w14:paraId="5661A7B4" w14:textId="77777777" w:rsidR="007D4E14" w:rsidRPr="004A73C1" w:rsidRDefault="00DB196A" w:rsidP="00EF2E34">
      <w:pPr>
        <w:spacing w:after="0" w:line="360" w:lineRule="auto"/>
        <w:jc w:val="both"/>
        <w:rPr>
          <w:rFonts w:ascii="Arial" w:hAnsi="Arial" w:cs="Arial"/>
        </w:rPr>
      </w:pPr>
      <w:r w:rsidRPr="004A73C1">
        <w:rPr>
          <w:rFonts w:ascii="Arial" w:hAnsi="Arial" w:cs="Arial"/>
        </w:rPr>
        <w:t xml:space="preserve">Overall, mergers for FDI can </w:t>
      </w:r>
      <w:r w:rsidR="00E74B12" w:rsidRPr="004A73C1">
        <w:rPr>
          <w:rFonts w:ascii="Arial" w:hAnsi="Arial" w:cs="Arial"/>
        </w:rPr>
        <w:t>mutually benefit</w:t>
      </w:r>
      <w:r w:rsidRPr="004A73C1">
        <w:rPr>
          <w:rFonts w:ascii="Arial" w:hAnsi="Arial" w:cs="Arial"/>
        </w:rPr>
        <w:t xml:space="preserve"> local and foreign entities, fostering growth, innovation, and strategic collaborations.</w:t>
      </w:r>
    </w:p>
    <w:p w14:paraId="0A3C2470" w14:textId="77777777" w:rsidR="00B63B17" w:rsidRPr="004A73C1" w:rsidRDefault="00B63B17" w:rsidP="00EF2E34">
      <w:pPr>
        <w:spacing w:after="0" w:line="360" w:lineRule="auto"/>
        <w:jc w:val="both"/>
        <w:rPr>
          <w:rFonts w:ascii="Arial" w:hAnsi="Arial" w:cs="Arial"/>
        </w:rPr>
      </w:pPr>
    </w:p>
    <w:p w14:paraId="76C26FF8" w14:textId="7B6B808D" w:rsidR="00DB196A" w:rsidRPr="004A73C1" w:rsidRDefault="00DB196A" w:rsidP="003F68BF">
      <w:pPr>
        <w:rPr>
          <w:rFonts w:ascii="Arial" w:hAnsi="Arial" w:cs="Arial"/>
          <w:b/>
          <w:bCs/>
          <w:sz w:val="24"/>
          <w:szCs w:val="24"/>
        </w:rPr>
      </w:pPr>
      <w:bookmarkStart w:id="61" w:name="_Toc175056454"/>
      <w:r w:rsidRPr="004A73C1">
        <w:rPr>
          <w:rFonts w:ascii="Arial" w:hAnsi="Arial" w:cs="Arial"/>
          <w:b/>
          <w:bCs/>
          <w:sz w:val="24"/>
          <w:szCs w:val="24"/>
        </w:rPr>
        <w:t>Examples</w:t>
      </w:r>
      <w:bookmarkEnd w:id="61"/>
    </w:p>
    <w:p w14:paraId="1257D484" w14:textId="4C64F274" w:rsidR="00595271" w:rsidRPr="004A73C1" w:rsidRDefault="00595271" w:rsidP="00EF2E34">
      <w:pPr>
        <w:spacing w:line="360" w:lineRule="auto"/>
        <w:jc w:val="both"/>
        <w:rPr>
          <w:rFonts w:ascii="Arial" w:hAnsi="Arial" w:cs="Arial"/>
          <w:sz w:val="24"/>
          <w:szCs w:val="24"/>
        </w:rPr>
      </w:pPr>
      <w:r w:rsidRPr="00804A87">
        <w:rPr>
          <w:rFonts w:ascii="Arial" w:hAnsi="Arial" w:cs="Arial"/>
        </w:rPr>
        <w:t xml:space="preserve">Some notable examples of mergers and acquisitions in the UK through foreign direct investment (FDI) include the acquisition of ARM Holdings, a leading semiconductor and software design company, by SoftBank Group from Japan in 2016. Another significant deal is the acquisition of BG Group, a British multinational oil and gas company, by Royal Dutch Shell, a Netherlands-based company, in 2016. Additionally, the acquisition of Cadbury, a British multinational confectionery company, by Kraft Foods from the United States in 2010 is an </w:t>
      </w:r>
      <w:r w:rsidR="00E11091" w:rsidRPr="00804A87">
        <w:rPr>
          <w:rFonts w:ascii="Arial" w:hAnsi="Arial" w:cs="Arial"/>
        </w:rPr>
        <w:t>essential</w:t>
      </w:r>
      <w:r w:rsidRPr="00804A87">
        <w:rPr>
          <w:rFonts w:ascii="Arial" w:hAnsi="Arial" w:cs="Arial"/>
        </w:rPr>
        <w:t xml:space="preserve"> example of FDI through mergers and acquisitions in the UK. These are just a few examples of the various mergers and acquisitions that have taken place in the UK through foreign direct investment</w:t>
      </w:r>
      <w:r w:rsidRPr="004A73C1">
        <w:rPr>
          <w:rFonts w:ascii="Arial" w:hAnsi="Arial" w:cs="Arial"/>
          <w:sz w:val="24"/>
          <w:szCs w:val="24"/>
        </w:rPr>
        <w:t>.</w:t>
      </w:r>
    </w:p>
    <w:p w14:paraId="0B09D446" w14:textId="20B927EE" w:rsidR="00DB196A" w:rsidRPr="004A73C1" w:rsidRDefault="00DB196A" w:rsidP="00EF2E34">
      <w:pPr>
        <w:pStyle w:val="ListParagraph"/>
        <w:spacing w:after="0" w:line="360" w:lineRule="auto"/>
        <w:ind w:left="0"/>
        <w:jc w:val="both"/>
        <w:rPr>
          <w:rFonts w:ascii="Arial" w:hAnsi="Arial" w:cs="Arial"/>
        </w:rPr>
      </w:pPr>
      <w:r w:rsidRPr="004A73C1">
        <w:rPr>
          <w:rFonts w:ascii="Arial" w:hAnsi="Arial" w:cs="Arial"/>
          <w:noProof/>
        </w:rPr>
        <w:lastRenderedPageBreak/>
        <w:drawing>
          <wp:inline distT="0" distB="0" distL="0" distR="0" wp14:anchorId="6D74784D" wp14:editId="28381810">
            <wp:extent cx="5731510" cy="4161790"/>
            <wp:effectExtent l="0" t="0" r="2540" b="0"/>
            <wp:docPr id="1159372928" name="Picture 1" descr="A graph of projects in the u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72928" name="Picture 1" descr="A graph of projects in the uk&#10;&#10;Description automatically generated"/>
                    <pic:cNvPicPr/>
                  </pic:nvPicPr>
                  <pic:blipFill>
                    <a:blip r:embed="rId11"/>
                    <a:stretch>
                      <a:fillRect/>
                    </a:stretch>
                  </pic:blipFill>
                  <pic:spPr>
                    <a:xfrm>
                      <a:off x="0" y="0"/>
                      <a:ext cx="5731510" cy="4161790"/>
                    </a:xfrm>
                    <a:prstGeom prst="rect">
                      <a:avLst/>
                    </a:prstGeom>
                  </pic:spPr>
                </pic:pic>
              </a:graphicData>
            </a:graphic>
          </wp:inline>
        </w:drawing>
      </w:r>
    </w:p>
    <w:p w14:paraId="3C43169E" w14:textId="5ED7DABE" w:rsidR="00B80C0D" w:rsidRPr="004A73C1" w:rsidRDefault="00B80C0D" w:rsidP="00EF2E34">
      <w:pPr>
        <w:spacing w:after="0" w:line="360" w:lineRule="auto"/>
        <w:jc w:val="both"/>
        <w:rPr>
          <w:rFonts w:ascii="Arial" w:hAnsi="Arial" w:cs="Arial"/>
        </w:rPr>
      </w:pPr>
      <w:r w:rsidRPr="004A73C1">
        <w:rPr>
          <w:rFonts w:ascii="Arial" w:hAnsi="Arial" w:cs="Arial"/>
        </w:rPr>
        <w:t>Figure 3</w:t>
      </w:r>
    </w:p>
    <w:p w14:paraId="13212CE4" w14:textId="0298D57F" w:rsidR="00DB196A" w:rsidRPr="004A73C1" w:rsidRDefault="00DB196A" w:rsidP="00EF2E34">
      <w:pPr>
        <w:spacing w:after="0" w:line="360" w:lineRule="auto"/>
        <w:jc w:val="both"/>
        <w:rPr>
          <w:rFonts w:ascii="Arial" w:hAnsi="Arial" w:cs="Arial"/>
        </w:rPr>
      </w:pPr>
      <w:r w:rsidRPr="004A73C1">
        <w:rPr>
          <w:rFonts w:ascii="Arial" w:hAnsi="Arial" w:cs="Arial"/>
        </w:rPr>
        <w:t>Source- Department of International Trade.</w:t>
      </w:r>
    </w:p>
    <w:p w14:paraId="7AC3E7CA" w14:textId="3E5A6E05" w:rsidR="00DB196A" w:rsidRPr="004A73C1" w:rsidRDefault="00DB196A" w:rsidP="00EF2E34">
      <w:pPr>
        <w:spacing w:after="0" w:line="360" w:lineRule="auto"/>
        <w:jc w:val="both"/>
        <w:rPr>
          <w:rFonts w:ascii="Arial" w:hAnsi="Arial" w:cs="Arial"/>
        </w:rPr>
      </w:pPr>
      <w:r w:rsidRPr="004A73C1">
        <w:rPr>
          <w:rFonts w:ascii="Arial" w:hAnsi="Arial" w:cs="Arial"/>
        </w:rPr>
        <w:t>The following data outlines the number of Foreign Direct Investment (FDI) projects accomplished in the UK during 2016-2017, 2017-2018, 2018-2019, 2019-2020, and 2020-2021.</w:t>
      </w:r>
    </w:p>
    <w:p w14:paraId="48A01CBB" w14:textId="77777777" w:rsidR="00DB196A" w:rsidRPr="004A73C1" w:rsidRDefault="00DB196A" w:rsidP="00EF2E34">
      <w:pPr>
        <w:spacing w:after="0" w:line="360" w:lineRule="auto"/>
        <w:jc w:val="both"/>
        <w:rPr>
          <w:rFonts w:ascii="Arial" w:hAnsi="Arial" w:cs="Arial"/>
        </w:rPr>
      </w:pPr>
    </w:p>
    <w:p w14:paraId="417AFE96" w14:textId="77777777" w:rsidR="00DB196A" w:rsidRPr="004A73C1" w:rsidRDefault="00DB196A" w:rsidP="00EF2E34">
      <w:pPr>
        <w:spacing w:after="0" w:line="360" w:lineRule="auto"/>
        <w:jc w:val="both"/>
        <w:rPr>
          <w:rFonts w:ascii="Arial" w:hAnsi="Arial" w:cs="Arial"/>
        </w:rPr>
      </w:pPr>
      <w:r w:rsidRPr="004A73C1">
        <w:rPr>
          <w:rFonts w:ascii="Arial" w:hAnsi="Arial" w:cs="Arial"/>
        </w:rPr>
        <w:t>- 2016-2017: 2,265 projects</w:t>
      </w:r>
    </w:p>
    <w:p w14:paraId="2685935D" w14:textId="77777777" w:rsidR="00DB196A" w:rsidRPr="004A73C1" w:rsidRDefault="00DB196A" w:rsidP="00EF2E34">
      <w:pPr>
        <w:spacing w:after="0" w:line="360" w:lineRule="auto"/>
        <w:jc w:val="both"/>
        <w:rPr>
          <w:rFonts w:ascii="Arial" w:hAnsi="Arial" w:cs="Arial"/>
        </w:rPr>
      </w:pPr>
      <w:r w:rsidRPr="004A73C1">
        <w:rPr>
          <w:rFonts w:ascii="Arial" w:hAnsi="Arial" w:cs="Arial"/>
        </w:rPr>
        <w:t>- 2017-2018: 2,072 projects</w:t>
      </w:r>
    </w:p>
    <w:p w14:paraId="6D732C93" w14:textId="77777777" w:rsidR="00DB196A" w:rsidRPr="004A73C1" w:rsidRDefault="00DB196A" w:rsidP="00EF2E34">
      <w:pPr>
        <w:spacing w:after="0" w:line="360" w:lineRule="auto"/>
        <w:jc w:val="both"/>
        <w:rPr>
          <w:rFonts w:ascii="Arial" w:hAnsi="Arial" w:cs="Arial"/>
        </w:rPr>
      </w:pPr>
      <w:r w:rsidRPr="004A73C1">
        <w:rPr>
          <w:rFonts w:ascii="Arial" w:hAnsi="Arial" w:cs="Arial"/>
        </w:rPr>
        <w:t>- 2018-2019: 1,782 projects</w:t>
      </w:r>
    </w:p>
    <w:p w14:paraId="768202C7" w14:textId="77777777" w:rsidR="00DB196A" w:rsidRPr="004A73C1" w:rsidRDefault="00DB196A" w:rsidP="00EF2E34">
      <w:pPr>
        <w:spacing w:after="0" w:line="360" w:lineRule="auto"/>
        <w:jc w:val="both"/>
        <w:rPr>
          <w:rFonts w:ascii="Arial" w:hAnsi="Arial" w:cs="Arial"/>
        </w:rPr>
      </w:pPr>
      <w:r w:rsidRPr="004A73C1">
        <w:rPr>
          <w:rFonts w:ascii="Arial" w:hAnsi="Arial" w:cs="Arial"/>
        </w:rPr>
        <w:t>- 2019-2020: 1,852 projects</w:t>
      </w:r>
    </w:p>
    <w:p w14:paraId="74B18466" w14:textId="77777777" w:rsidR="00DB196A" w:rsidRPr="004A73C1" w:rsidRDefault="00DB196A" w:rsidP="00EF2E34">
      <w:pPr>
        <w:spacing w:after="0" w:line="360" w:lineRule="auto"/>
        <w:jc w:val="both"/>
        <w:rPr>
          <w:rFonts w:ascii="Arial" w:hAnsi="Arial" w:cs="Arial"/>
        </w:rPr>
      </w:pPr>
      <w:r w:rsidRPr="004A73C1">
        <w:rPr>
          <w:rFonts w:ascii="Arial" w:hAnsi="Arial" w:cs="Arial"/>
        </w:rPr>
        <w:t>- 2020-2021: 1,538 projects</w:t>
      </w:r>
    </w:p>
    <w:p w14:paraId="593143D9" w14:textId="77777777" w:rsidR="00DB196A" w:rsidRPr="004A73C1" w:rsidRDefault="00DB196A" w:rsidP="00EF2E34">
      <w:pPr>
        <w:spacing w:after="0" w:line="360" w:lineRule="auto"/>
        <w:jc w:val="both"/>
        <w:rPr>
          <w:rFonts w:ascii="Arial" w:hAnsi="Arial" w:cs="Arial"/>
        </w:rPr>
      </w:pPr>
    </w:p>
    <w:p w14:paraId="3B099190" w14:textId="39337571" w:rsidR="00595271" w:rsidRPr="004A73C1" w:rsidRDefault="00595271" w:rsidP="00EF2E34">
      <w:pPr>
        <w:spacing w:after="0" w:line="360" w:lineRule="auto"/>
        <w:jc w:val="both"/>
        <w:rPr>
          <w:rFonts w:ascii="Arial" w:hAnsi="Arial" w:cs="Arial"/>
        </w:rPr>
      </w:pPr>
      <w:r w:rsidRPr="004A73C1">
        <w:rPr>
          <w:rFonts w:ascii="Arial" w:hAnsi="Arial" w:cs="Arial"/>
        </w:rPr>
        <w:t>In the fiscal year 2020-2021, the Department for International Trade supported 1,131 out of 1,538 Foreign Direct Investment (FDI) projects. Notably, 39% of these projects (596) originated from new investors in the UK, while existing investors contributed the remaining 61% (942 projects).</w:t>
      </w:r>
    </w:p>
    <w:p w14:paraId="6CA61345" w14:textId="77777777" w:rsidR="00C2494D" w:rsidRPr="004A73C1" w:rsidRDefault="00C2494D" w:rsidP="00EF2E34">
      <w:pPr>
        <w:spacing w:after="0" w:line="360" w:lineRule="auto"/>
        <w:jc w:val="both"/>
        <w:rPr>
          <w:rFonts w:ascii="Arial" w:hAnsi="Arial" w:cs="Arial"/>
        </w:rPr>
      </w:pPr>
    </w:p>
    <w:p w14:paraId="01382B32" w14:textId="77777777" w:rsidR="00C2494D" w:rsidRPr="004A73C1" w:rsidRDefault="00C2494D" w:rsidP="00EF2E34">
      <w:pPr>
        <w:spacing w:after="0" w:line="360" w:lineRule="auto"/>
        <w:jc w:val="both"/>
        <w:rPr>
          <w:rFonts w:ascii="Arial" w:hAnsi="Arial" w:cs="Arial"/>
        </w:rPr>
      </w:pPr>
    </w:p>
    <w:p w14:paraId="73888A84" w14:textId="77777777" w:rsidR="00C2494D" w:rsidRPr="004A73C1" w:rsidRDefault="00C2494D" w:rsidP="00EF2E34">
      <w:pPr>
        <w:spacing w:after="0" w:line="360" w:lineRule="auto"/>
        <w:jc w:val="both"/>
        <w:rPr>
          <w:rFonts w:ascii="Arial" w:hAnsi="Arial" w:cs="Arial"/>
        </w:rPr>
      </w:pPr>
    </w:p>
    <w:p w14:paraId="4A243BEC" w14:textId="77777777" w:rsidR="00C2494D" w:rsidRPr="004A73C1" w:rsidRDefault="00C2494D" w:rsidP="00EF2E34">
      <w:pPr>
        <w:spacing w:after="0" w:line="360" w:lineRule="auto"/>
        <w:jc w:val="both"/>
        <w:rPr>
          <w:rFonts w:ascii="Arial" w:hAnsi="Arial" w:cs="Arial"/>
        </w:rPr>
      </w:pPr>
    </w:p>
    <w:p w14:paraId="6615F271" w14:textId="77777777" w:rsidR="009F1A70" w:rsidRPr="004A73C1" w:rsidRDefault="009F1A70" w:rsidP="00EF2E34">
      <w:pPr>
        <w:spacing w:after="0" w:line="360" w:lineRule="auto"/>
        <w:jc w:val="both"/>
        <w:rPr>
          <w:rFonts w:ascii="Arial" w:hAnsi="Arial" w:cs="Arial"/>
        </w:rPr>
      </w:pPr>
    </w:p>
    <w:p w14:paraId="7E4A131C" w14:textId="77777777" w:rsidR="00595271" w:rsidRPr="004A73C1" w:rsidRDefault="00595271" w:rsidP="00EF2E34">
      <w:pPr>
        <w:spacing w:after="0" w:line="360" w:lineRule="auto"/>
        <w:jc w:val="both"/>
        <w:rPr>
          <w:rFonts w:ascii="Arial" w:hAnsi="Arial" w:cs="Arial"/>
        </w:rPr>
      </w:pPr>
    </w:p>
    <w:p w14:paraId="5D6B953E" w14:textId="1351951E" w:rsidR="00C2494D" w:rsidRPr="004A73C1" w:rsidRDefault="00C2494D" w:rsidP="00EF2E34">
      <w:pPr>
        <w:spacing w:after="0" w:line="360" w:lineRule="auto"/>
        <w:jc w:val="both"/>
        <w:rPr>
          <w:rFonts w:ascii="Arial" w:hAnsi="Arial" w:cs="Arial"/>
        </w:rPr>
      </w:pPr>
      <w:r w:rsidRPr="004A73C1">
        <w:rPr>
          <w:rFonts w:ascii="Arial" w:hAnsi="Arial" w:cs="Arial"/>
          <w:noProof/>
        </w:rPr>
        <w:drawing>
          <wp:inline distT="0" distB="0" distL="0" distR="0" wp14:anchorId="3BD24C1B" wp14:editId="6338A7B2">
            <wp:extent cx="5852280" cy="2400935"/>
            <wp:effectExtent l="0" t="0" r="0" b="0"/>
            <wp:docPr id="954463285" name="Picture 1" descr="A white grid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463285" name="Picture 1" descr="A white grid with numbers and a number on it&#10;&#10;Description automatically generated"/>
                    <pic:cNvPicPr/>
                  </pic:nvPicPr>
                  <pic:blipFill>
                    <a:blip r:embed="rId12"/>
                    <a:stretch>
                      <a:fillRect/>
                    </a:stretch>
                  </pic:blipFill>
                  <pic:spPr>
                    <a:xfrm>
                      <a:off x="0" y="0"/>
                      <a:ext cx="5854288" cy="2401759"/>
                    </a:xfrm>
                    <a:prstGeom prst="rect">
                      <a:avLst/>
                    </a:prstGeom>
                  </pic:spPr>
                </pic:pic>
              </a:graphicData>
            </a:graphic>
          </wp:inline>
        </w:drawing>
      </w:r>
    </w:p>
    <w:p w14:paraId="2A844F58" w14:textId="5C91B8CE" w:rsidR="00595271" w:rsidRPr="004A73C1" w:rsidRDefault="00B80C0D" w:rsidP="00EF2E34">
      <w:pPr>
        <w:spacing w:after="0" w:line="360" w:lineRule="auto"/>
        <w:jc w:val="both"/>
        <w:rPr>
          <w:rFonts w:ascii="Arial" w:hAnsi="Arial" w:cs="Arial"/>
        </w:rPr>
      </w:pPr>
      <w:r w:rsidRPr="004A73C1">
        <w:rPr>
          <w:rFonts w:ascii="Arial" w:hAnsi="Arial" w:cs="Arial"/>
        </w:rPr>
        <w:t>Figure 4</w:t>
      </w:r>
    </w:p>
    <w:p w14:paraId="4FB3D367" w14:textId="79220E1C" w:rsidR="00DB196A" w:rsidRPr="004A73C1" w:rsidRDefault="00DB196A" w:rsidP="00EF2E34">
      <w:pPr>
        <w:spacing w:after="0" w:line="360" w:lineRule="auto"/>
        <w:jc w:val="both"/>
        <w:rPr>
          <w:rFonts w:ascii="Arial" w:hAnsi="Arial" w:cs="Arial"/>
        </w:rPr>
      </w:pPr>
      <w:r w:rsidRPr="004A73C1">
        <w:rPr>
          <w:rFonts w:ascii="Arial" w:hAnsi="Arial" w:cs="Arial"/>
        </w:rPr>
        <w:t>Source – Department of International Trade.</w:t>
      </w:r>
    </w:p>
    <w:p w14:paraId="40C1F919" w14:textId="5B15F869" w:rsidR="00DB196A" w:rsidRPr="004A73C1" w:rsidRDefault="00D11768" w:rsidP="00EF2E34">
      <w:pPr>
        <w:pStyle w:val="Heading2"/>
        <w:spacing w:line="360" w:lineRule="auto"/>
        <w:rPr>
          <w:rFonts w:ascii="Arial" w:hAnsi="Arial" w:cs="Arial"/>
          <w:color w:val="auto"/>
        </w:rPr>
      </w:pPr>
      <w:bookmarkStart w:id="62" w:name="_Toc175056455"/>
      <w:bookmarkStart w:id="63" w:name="_Toc175848110"/>
      <w:r w:rsidRPr="004A73C1">
        <w:rPr>
          <w:rFonts w:ascii="Arial" w:hAnsi="Arial" w:cs="Arial"/>
          <w:color w:val="auto"/>
        </w:rPr>
        <w:t>2.3.4</w:t>
      </w:r>
      <w:r w:rsidRPr="004A73C1">
        <w:rPr>
          <w:rFonts w:ascii="Arial" w:hAnsi="Arial" w:cs="Arial"/>
          <w:color w:val="auto"/>
        </w:rPr>
        <w:tab/>
      </w:r>
      <w:r w:rsidR="00DB196A" w:rsidRPr="004A73C1">
        <w:rPr>
          <w:rFonts w:ascii="Arial" w:hAnsi="Arial" w:cs="Arial"/>
          <w:color w:val="auto"/>
        </w:rPr>
        <w:t>Joint Ventures</w:t>
      </w:r>
      <w:bookmarkEnd w:id="62"/>
      <w:bookmarkEnd w:id="63"/>
    </w:p>
    <w:p w14:paraId="6C7E1663" w14:textId="364430F2" w:rsidR="00DB196A" w:rsidRPr="004A73C1" w:rsidRDefault="00DB196A" w:rsidP="003F68BF">
      <w:pPr>
        <w:rPr>
          <w:rFonts w:ascii="Arial" w:hAnsi="Arial" w:cs="Arial"/>
          <w:b/>
          <w:bCs/>
          <w:sz w:val="24"/>
          <w:szCs w:val="24"/>
        </w:rPr>
      </w:pPr>
      <w:r w:rsidRPr="004A73C1">
        <w:rPr>
          <w:rFonts w:ascii="Arial" w:hAnsi="Arial" w:cs="Arial"/>
          <w:b/>
          <w:bCs/>
          <w:sz w:val="24"/>
          <w:szCs w:val="24"/>
        </w:rPr>
        <w:t>Characteristics</w:t>
      </w:r>
    </w:p>
    <w:p w14:paraId="3C2DB9CB" w14:textId="087C57EC" w:rsidR="00DB196A" w:rsidRPr="004A73C1" w:rsidRDefault="00DB196A" w:rsidP="00643808">
      <w:pPr>
        <w:spacing w:line="360" w:lineRule="auto"/>
        <w:jc w:val="both"/>
        <w:rPr>
          <w:rFonts w:ascii="Arial" w:hAnsi="Arial" w:cs="Arial"/>
        </w:rPr>
      </w:pPr>
      <w:r w:rsidRPr="004A73C1">
        <w:rPr>
          <w:rFonts w:ascii="Arial" w:hAnsi="Arial" w:cs="Arial"/>
        </w:rPr>
        <w:t xml:space="preserve">Joint ventures typically involve two or more businesses joining forces for a specific project or period. The partners in a joint venture share the risks and rewards of the </w:t>
      </w:r>
      <w:r w:rsidR="00A75559" w:rsidRPr="004A73C1">
        <w:rPr>
          <w:rFonts w:ascii="Arial" w:hAnsi="Arial" w:cs="Arial"/>
        </w:rPr>
        <w:t>endeavour</w:t>
      </w:r>
      <w:r w:rsidRPr="004A73C1">
        <w:rPr>
          <w:rFonts w:ascii="Arial" w:hAnsi="Arial" w:cs="Arial"/>
        </w:rPr>
        <w:t xml:space="preserve">, working together to achieve a common goal. Depending on the agreement, they may contribute capital, technology, expertise, or other resources to the joint venture. Each partner retains its identity and is not merged into a new entity, distinguishing joint ventures from mergers or </w:t>
      </w:r>
      <w:r w:rsidR="00A75559" w:rsidRPr="004A73C1">
        <w:rPr>
          <w:rFonts w:ascii="Arial" w:hAnsi="Arial" w:cs="Arial"/>
        </w:rPr>
        <w:t>complete</w:t>
      </w:r>
      <w:r w:rsidRPr="004A73C1">
        <w:rPr>
          <w:rFonts w:ascii="Arial" w:hAnsi="Arial" w:cs="Arial"/>
        </w:rPr>
        <w:t xml:space="preserve"> acquisitions.</w:t>
      </w:r>
    </w:p>
    <w:p w14:paraId="413D74E4" w14:textId="6E5F5F90" w:rsidR="00DB196A" w:rsidRPr="004A73C1" w:rsidRDefault="00DB196A" w:rsidP="003F68BF">
      <w:pPr>
        <w:rPr>
          <w:rFonts w:ascii="Arial" w:hAnsi="Arial" w:cs="Arial"/>
          <w:b/>
          <w:bCs/>
          <w:sz w:val="24"/>
          <w:szCs w:val="24"/>
        </w:rPr>
      </w:pPr>
      <w:r w:rsidRPr="004A73C1">
        <w:rPr>
          <w:rFonts w:ascii="Arial" w:hAnsi="Arial" w:cs="Arial"/>
          <w:b/>
          <w:bCs/>
          <w:sz w:val="24"/>
          <w:szCs w:val="24"/>
        </w:rPr>
        <w:t>Advantages</w:t>
      </w:r>
    </w:p>
    <w:p w14:paraId="6DBA27FE" w14:textId="77777777" w:rsidR="00DB196A" w:rsidRPr="004A73C1" w:rsidRDefault="00DB196A" w:rsidP="00EF2E34">
      <w:pPr>
        <w:spacing w:after="0" w:line="360" w:lineRule="auto"/>
        <w:jc w:val="both"/>
        <w:rPr>
          <w:rFonts w:ascii="Arial" w:hAnsi="Arial" w:cs="Arial"/>
        </w:rPr>
      </w:pPr>
      <w:r w:rsidRPr="004A73C1">
        <w:rPr>
          <w:rFonts w:ascii="Arial" w:hAnsi="Arial" w:cs="Arial"/>
        </w:rPr>
        <w:t>Some advantages of joint ventures include:</w:t>
      </w:r>
    </w:p>
    <w:p w14:paraId="199D1AF6" w14:textId="46BC7932" w:rsidR="00DB196A" w:rsidRPr="004A73C1" w:rsidRDefault="00DB196A" w:rsidP="00EF2E34">
      <w:pPr>
        <w:spacing w:after="0" w:line="360" w:lineRule="auto"/>
        <w:jc w:val="both"/>
        <w:rPr>
          <w:rFonts w:ascii="Arial" w:hAnsi="Arial" w:cs="Arial"/>
        </w:rPr>
      </w:pPr>
      <w:r w:rsidRPr="004A73C1">
        <w:rPr>
          <w:rFonts w:ascii="Arial" w:hAnsi="Arial" w:cs="Arial"/>
        </w:rPr>
        <w:t xml:space="preserve">1. Access to new markets and distribution networks: Joint ventures allow businesses to enter new markets and </w:t>
      </w:r>
      <w:r w:rsidR="00A75559" w:rsidRPr="004A73C1">
        <w:rPr>
          <w:rFonts w:ascii="Arial" w:hAnsi="Arial" w:cs="Arial"/>
        </w:rPr>
        <w:t>access</w:t>
      </w:r>
      <w:r w:rsidRPr="004A73C1">
        <w:rPr>
          <w:rFonts w:ascii="Arial" w:hAnsi="Arial" w:cs="Arial"/>
        </w:rPr>
        <w:t xml:space="preserve"> existing distribution channels </w:t>
      </w:r>
      <w:r w:rsidR="00A75559" w:rsidRPr="004A73C1">
        <w:rPr>
          <w:rFonts w:ascii="Arial" w:hAnsi="Arial" w:cs="Arial"/>
        </w:rPr>
        <w:t>by partnering</w:t>
      </w:r>
      <w:r w:rsidRPr="004A73C1">
        <w:rPr>
          <w:rFonts w:ascii="Arial" w:hAnsi="Arial" w:cs="Arial"/>
        </w:rPr>
        <w:t xml:space="preserve"> with other companies.</w:t>
      </w:r>
    </w:p>
    <w:p w14:paraId="3B200132" w14:textId="59F061A3" w:rsidR="00DB196A" w:rsidRPr="004A73C1" w:rsidRDefault="00DB196A" w:rsidP="00EF2E34">
      <w:pPr>
        <w:spacing w:after="0" w:line="360" w:lineRule="auto"/>
        <w:jc w:val="both"/>
        <w:rPr>
          <w:rFonts w:ascii="Arial" w:hAnsi="Arial" w:cs="Arial"/>
        </w:rPr>
      </w:pPr>
      <w:r w:rsidRPr="004A73C1">
        <w:rPr>
          <w:rFonts w:ascii="Arial" w:hAnsi="Arial" w:cs="Arial"/>
        </w:rPr>
        <w:t>2. Sharing of risks and costs: By collaborating in a joint venture, businesses can share the financial risks and costs associated with a specific project or market entry, reducing the burden on each partner.</w:t>
      </w:r>
    </w:p>
    <w:p w14:paraId="55DAACFC" w14:textId="05D4F0AD" w:rsidR="00DB196A" w:rsidRPr="004A73C1" w:rsidRDefault="00DB196A" w:rsidP="00EF2E34">
      <w:pPr>
        <w:spacing w:after="0" w:line="360" w:lineRule="auto"/>
        <w:jc w:val="both"/>
        <w:rPr>
          <w:rFonts w:ascii="Arial" w:hAnsi="Arial" w:cs="Arial"/>
        </w:rPr>
      </w:pPr>
      <w:r w:rsidRPr="004A73C1">
        <w:rPr>
          <w:rFonts w:ascii="Arial" w:hAnsi="Arial" w:cs="Arial"/>
        </w:rPr>
        <w:t xml:space="preserve">3. Pooling of resources and expertise: Joint ventures enable partners to combine their resources, knowledge, and expertise, leading to synergy that can enhance the </w:t>
      </w:r>
      <w:r w:rsidR="00A75559" w:rsidRPr="004A73C1">
        <w:rPr>
          <w:rFonts w:ascii="Arial" w:hAnsi="Arial" w:cs="Arial"/>
        </w:rPr>
        <w:t>venture's success</w:t>
      </w:r>
      <w:r w:rsidRPr="004A73C1">
        <w:rPr>
          <w:rFonts w:ascii="Arial" w:hAnsi="Arial" w:cs="Arial"/>
        </w:rPr>
        <w:t>.</w:t>
      </w:r>
    </w:p>
    <w:p w14:paraId="412B26E0" w14:textId="6F099DDC" w:rsidR="00DB196A" w:rsidRPr="004A73C1" w:rsidRDefault="00DB196A" w:rsidP="00EF2E34">
      <w:pPr>
        <w:spacing w:after="0" w:line="360" w:lineRule="auto"/>
        <w:jc w:val="both"/>
        <w:rPr>
          <w:rFonts w:ascii="Arial" w:hAnsi="Arial" w:cs="Arial"/>
        </w:rPr>
      </w:pPr>
      <w:r w:rsidRPr="004A73C1">
        <w:rPr>
          <w:rFonts w:ascii="Arial" w:hAnsi="Arial" w:cs="Arial"/>
        </w:rPr>
        <w:t xml:space="preserve">4. Reduced barriers to entry: Joint ventures can help businesses overcome regulatory or cultural barriers when entering a new market, leveraging </w:t>
      </w:r>
      <w:r w:rsidR="00A75559" w:rsidRPr="004A73C1">
        <w:rPr>
          <w:rFonts w:ascii="Arial" w:hAnsi="Arial" w:cs="Arial"/>
        </w:rPr>
        <w:t>their partners' local knowledge and connections</w:t>
      </w:r>
      <w:r w:rsidRPr="004A73C1">
        <w:rPr>
          <w:rFonts w:ascii="Arial" w:hAnsi="Arial" w:cs="Arial"/>
        </w:rPr>
        <w:t>.</w:t>
      </w:r>
    </w:p>
    <w:p w14:paraId="2F7F255C" w14:textId="664A8CC6" w:rsidR="00DB196A" w:rsidRPr="004A73C1" w:rsidRDefault="00DB196A" w:rsidP="00EF2E34">
      <w:pPr>
        <w:spacing w:after="0" w:line="360" w:lineRule="auto"/>
        <w:jc w:val="both"/>
        <w:rPr>
          <w:rFonts w:ascii="Arial" w:hAnsi="Arial" w:cs="Arial"/>
        </w:rPr>
      </w:pPr>
      <w:r w:rsidRPr="004A73C1">
        <w:rPr>
          <w:rFonts w:ascii="Arial" w:hAnsi="Arial" w:cs="Arial"/>
        </w:rPr>
        <w:t>5. Learning opportunities: Partners in a joint venture can learn from each other, gaining insights into business practices, technologies, and market dynamics.</w:t>
      </w:r>
    </w:p>
    <w:p w14:paraId="3BC906ED" w14:textId="77777777" w:rsidR="00DB196A" w:rsidRPr="004A73C1" w:rsidRDefault="00DB196A" w:rsidP="00EF2E34">
      <w:pPr>
        <w:spacing w:after="0" w:line="360" w:lineRule="auto"/>
        <w:jc w:val="both"/>
        <w:rPr>
          <w:rFonts w:ascii="Arial" w:hAnsi="Arial" w:cs="Arial"/>
        </w:rPr>
      </w:pPr>
    </w:p>
    <w:p w14:paraId="2A1B7709" w14:textId="01FC1B57" w:rsidR="00DB196A" w:rsidRDefault="00DB196A" w:rsidP="00EF2E34">
      <w:pPr>
        <w:spacing w:after="0" w:line="360" w:lineRule="auto"/>
        <w:jc w:val="both"/>
        <w:rPr>
          <w:rFonts w:ascii="Arial" w:hAnsi="Arial" w:cs="Arial"/>
        </w:rPr>
      </w:pPr>
      <w:r w:rsidRPr="004A73C1">
        <w:rPr>
          <w:rFonts w:ascii="Arial" w:hAnsi="Arial" w:cs="Arial"/>
        </w:rPr>
        <w:lastRenderedPageBreak/>
        <w:t xml:space="preserve">These are just a few advantages </w:t>
      </w:r>
      <w:r w:rsidR="00A75559" w:rsidRPr="004A73C1">
        <w:rPr>
          <w:rFonts w:ascii="Arial" w:hAnsi="Arial" w:cs="Arial"/>
        </w:rPr>
        <w:t>of</w:t>
      </w:r>
      <w:r w:rsidRPr="004A73C1">
        <w:rPr>
          <w:rFonts w:ascii="Arial" w:hAnsi="Arial" w:cs="Arial"/>
        </w:rPr>
        <w:t xml:space="preserve"> joint ventures, making them </w:t>
      </w:r>
      <w:r w:rsidR="00A75559" w:rsidRPr="004A73C1">
        <w:rPr>
          <w:rFonts w:ascii="Arial" w:hAnsi="Arial" w:cs="Arial"/>
        </w:rPr>
        <w:t xml:space="preserve">appealing </w:t>
      </w:r>
      <w:r w:rsidRPr="004A73C1">
        <w:rPr>
          <w:rFonts w:ascii="Arial" w:hAnsi="Arial" w:cs="Arial"/>
        </w:rPr>
        <w:t>for business collaboration.</w:t>
      </w:r>
    </w:p>
    <w:p w14:paraId="507E4A6A" w14:textId="77777777" w:rsidR="00ED3916" w:rsidRPr="004A73C1" w:rsidRDefault="00ED3916" w:rsidP="00EF2E34">
      <w:pPr>
        <w:spacing w:after="0" w:line="360" w:lineRule="auto"/>
        <w:jc w:val="both"/>
        <w:rPr>
          <w:rFonts w:ascii="Arial" w:hAnsi="Arial" w:cs="Arial"/>
        </w:rPr>
      </w:pPr>
    </w:p>
    <w:p w14:paraId="7AB24BF0" w14:textId="6C4453E6" w:rsidR="00DB196A" w:rsidRPr="004A73C1" w:rsidRDefault="00DB196A" w:rsidP="003F68BF">
      <w:pPr>
        <w:rPr>
          <w:rFonts w:ascii="Arial" w:hAnsi="Arial" w:cs="Arial"/>
          <w:b/>
          <w:bCs/>
          <w:sz w:val="24"/>
          <w:szCs w:val="24"/>
        </w:rPr>
      </w:pPr>
      <w:r w:rsidRPr="004A73C1">
        <w:rPr>
          <w:rFonts w:ascii="Arial" w:hAnsi="Arial" w:cs="Arial"/>
          <w:b/>
          <w:bCs/>
          <w:sz w:val="24"/>
          <w:szCs w:val="24"/>
        </w:rPr>
        <w:t>Examples of Companies</w:t>
      </w:r>
    </w:p>
    <w:p w14:paraId="251834D1" w14:textId="1AF5494E" w:rsidR="00DB196A" w:rsidRPr="004A73C1" w:rsidRDefault="00DB196A" w:rsidP="00EF2E34">
      <w:pPr>
        <w:spacing w:after="0" w:line="360" w:lineRule="auto"/>
        <w:jc w:val="both"/>
        <w:rPr>
          <w:rFonts w:ascii="Arial" w:hAnsi="Arial" w:cs="Arial"/>
        </w:rPr>
      </w:pPr>
      <w:r w:rsidRPr="004A73C1">
        <w:rPr>
          <w:rFonts w:ascii="Arial" w:hAnsi="Arial" w:cs="Arial"/>
        </w:rPr>
        <w:t xml:space="preserve">Some examples of joint ventures in the UK since 2020 include the partnership between Jaguar Land Rover and BMW to develop electric drive units and the collaboration between BP and German energy firm Energie Baden-Württemberg (EnBW) to </w:t>
      </w:r>
      <w:r w:rsidR="00A75559" w:rsidRPr="004A73C1">
        <w:rPr>
          <w:rFonts w:ascii="Arial" w:hAnsi="Arial" w:cs="Arial"/>
        </w:rPr>
        <w:t>build</w:t>
      </w:r>
      <w:r w:rsidRPr="004A73C1">
        <w:rPr>
          <w:rFonts w:ascii="Arial" w:hAnsi="Arial" w:cs="Arial"/>
        </w:rPr>
        <w:t xml:space="preserve"> and operate offshore wind farms in the UK. These joint ventures showcase international cooperation and technology sharing in the UK's automotive and renewable energy sectors.</w:t>
      </w:r>
    </w:p>
    <w:p w14:paraId="2CAF0EDE" w14:textId="77777777" w:rsidR="00DB196A" w:rsidRPr="004A73C1" w:rsidRDefault="00DB196A" w:rsidP="00EF2E34">
      <w:pPr>
        <w:spacing w:after="0" w:line="360" w:lineRule="auto"/>
        <w:jc w:val="both"/>
        <w:rPr>
          <w:rFonts w:ascii="Arial" w:hAnsi="Arial" w:cs="Arial"/>
        </w:rPr>
      </w:pPr>
    </w:p>
    <w:p w14:paraId="07B86127" w14:textId="4773C340" w:rsidR="00691E95" w:rsidRPr="004A73C1" w:rsidRDefault="00C2494D" w:rsidP="00EF2E34">
      <w:pPr>
        <w:spacing w:after="0" w:line="360" w:lineRule="auto"/>
        <w:jc w:val="both"/>
        <w:rPr>
          <w:rFonts w:ascii="Arial" w:hAnsi="Arial" w:cs="Arial"/>
        </w:rPr>
      </w:pPr>
      <w:r w:rsidRPr="004A73C1">
        <w:rPr>
          <w:rFonts w:ascii="Arial" w:hAnsi="Arial" w:cs="Arial"/>
          <w:noProof/>
        </w:rPr>
        <w:drawing>
          <wp:inline distT="0" distB="0" distL="0" distR="0" wp14:anchorId="627C583D" wp14:editId="1CFDDBD2">
            <wp:extent cx="6262777" cy="2320960"/>
            <wp:effectExtent l="0" t="0" r="5080" b="3175"/>
            <wp:docPr id="30438148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81482" name="Picture 1" descr="A table with numbers and text&#10;&#10;Description automatically generated"/>
                    <pic:cNvPicPr/>
                  </pic:nvPicPr>
                  <pic:blipFill>
                    <a:blip r:embed="rId13"/>
                    <a:stretch>
                      <a:fillRect/>
                    </a:stretch>
                  </pic:blipFill>
                  <pic:spPr>
                    <a:xfrm>
                      <a:off x="0" y="0"/>
                      <a:ext cx="6265714" cy="2322049"/>
                    </a:xfrm>
                    <a:prstGeom prst="rect">
                      <a:avLst/>
                    </a:prstGeom>
                  </pic:spPr>
                </pic:pic>
              </a:graphicData>
            </a:graphic>
          </wp:inline>
        </w:drawing>
      </w:r>
      <w:r w:rsidR="00B80C0D" w:rsidRPr="004A73C1">
        <w:rPr>
          <w:rFonts w:ascii="Arial" w:hAnsi="Arial" w:cs="Arial"/>
        </w:rPr>
        <w:t>Figure 5</w:t>
      </w:r>
    </w:p>
    <w:p w14:paraId="4CFB9F7F" w14:textId="77777777" w:rsidR="00691E95" w:rsidRPr="004A73C1" w:rsidRDefault="00DB196A" w:rsidP="00EF2E34">
      <w:pPr>
        <w:spacing w:after="0" w:line="360" w:lineRule="auto"/>
        <w:jc w:val="both"/>
        <w:rPr>
          <w:rFonts w:ascii="Arial" w:hAnsi="Arial" w:cs="Arial"/>
        </w:rPr>
      </w:pPr>
      <w:r w:rsidRPr="004A73C1">
        <w:rPr>
          <w:rFonts w:ascii="Arial" w:hAnsi="Arial" w:cs="Arial"/>
        </w:rPr>
        <w:t>Source – Department of International Trade.</w:t>
      </w:r>
    </w:p>
    <w:p w14:paraId="532C1F4C" w14:textId="77777777" w:rsidR="00691E95" w:rsidRPr="004A73C1" w:rsidRDefault="00691E95" w:rsidP="00EF2E34">
      <w:pPr>
        <w:spacing w:after="0" w:line="360" w:lineRule="auto"/>
        <w:jc w:val="both"/>
        <w:rPr>
          <w:rFonts w:ascii="Arial" w:hAnsi="Arial" w:cs="Arial"/>
        </w:rPr>
      </w:pPr>
    </w:p>
    <w:p w14:paraId="163C57D5" w14:textId="21C2E5EE" w:rsidR="00DB196A" w:rsidRPr="004A73C1" w:rsidRDefault="00691E95" w:rsidP="00EF2E34">
      <w:pPr>
        <w:spacing w:after="0" w:line="360" w:lineRule="auto"/>
        <w:jc w:val="both"/>
        <w:rPr>
          <w:rFonts w:ascii="Arial" w:hAnsi="Arial" w:cs="Arial"/>
        </w:rPr>
      </w:pPr>
      <w:r w:rsidRPr="004A73C1">
        <w:rPr>
          <w:rFonts w:ascii="Arial" w:hAnsi="Arial" w:cs="Arial"/>
          <w:noProof/>
        </w:rPr>
        <w:drawing>
          <wp:inline distT="0" distB="0" distL="0" distR="0" wp14:anchorId="06118FAB" wp14:editId="360A63E7">
            <wp:extent cx="5480685" cy="2670175"/>
            <wp:effectExtent l="0" t="0" r="5715" b="0"/>
            <wp:docPr id="1588756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0685" cy="2670175"/>
                    </a:xfrm>
                    <a:prstGeom prst="rect">
                      <a:avLst/>
                    </a:prstGeom>
                    <a:noFill/>
                  </pic:spPr>
                </pic:pic>
              </a:graphicData>
            </a:graphic>
          </wp:inline>
        </w:drawing>
      </w:r>
    </w:p>
    <w:p w14:paraId="02685D5E" w14:textId="77777777" w:rsidR="000D7E53" w:rsidRDefault="00691E95" w:rsidP="00691E95">
      <w:pPr>
        <w:spacing w:after="0" w:line="360" w:lineRule="auto"/>
        <w:jc w:val="both"/>
        <w:rPr>
          <w:rFonts w:ascii="Arial" w:hAnsi="Arial" w:cs="Arial"/>
        </w:rPr>
      </w:pPr>
      <w:r w:rsidRPr="004A73C1">
        <w:rPr>
          <w:rFonts w:ascii="Arial" w:hAnsi="Arial" w:cs="Arial"/>
        </w:rPr>
        <w:t xml:space="preserve">Figure </w:t>
      </w:r>
      <w:r w:rsidR="000D7E53" w:rsidRPr="004A73C1">
        <w:rPr>
          <w:rFonts w:ascii="Arial" w:hAnsi="Arial" w:cs="Arial"/>
        </w:rPr>
        <w:t xml:space="preserve">6 </w:t>
      </w:r>
    </w:p>
    <w:p w14:paraId="7349107E" w14:textId="480578A2" w:rsidR="00691E95" w:rsidRPr="004A73C1" w:rsidRDefault="000D7E53" w:rsidP="00691E95">
      <w:pPr>
        <w:spacing w:after="0" w:line="360" w:lineRule="auto"/>
        <w:jc w:val="both"/>
        <w:rPr>
          <w:rFonts w:ascii="Arial" w:hAnsi="Arial" w:cs="Arial"/>
        </w:rPr>
      </w:pPr>
      <w:r>
        <w:rPr>
          <w:rFonts w:ascii="Arial" w:hAnsi="Arial" w:cs="Arial"/>
        </w:rPr>
        <w:t xml:space="preserve">Source: </w:t>
      </w:r>
      <w:r w:rsidRPr="004A73C1">
        <w:rPr>
          <w:rFonts w:ascii="Arial" w:hAnsi="Arial" w:cs="Arial"/>
        </w:rPr>
        <w:t>Department</w:t>
      </w:r>
      <w:r w:rsidR="00691E95" w:rsidRPr="004A73C1">
        <w:rPr>
          <w:rFonts w:ascii="Arial" w:hAnsi="Arial" w:cs="Arial"/>
        </w:rPr>
        <w:t xml:space="preserve"> of International Trade.</w:t>
      </w:r>
    </w:p>
    <w:p w14:paraId="0D78EDD7" w14:textId="77777777" w:rsidR="00691E95" w:rsidRPr="004A73C1" w:rsidRDefault="00691E95" w:rsidP="00EF2E34">
      <w:pPr>
        <w:spacing w:after="0" w:line="360" w:lineRule="auto"/>
        <w:jc w:val="both"/>
        <w:rPr>
          <w:rFonts w:ascii="Arial" w:hAnsi="Arial" w:cs="Arial"/>
        </w:rPr>
      </w:pPr>
    </w:p>
    <w:p w14:paraId="61E2C3F9" w14:textId="77777777" w:rsidR="00ED3916" w:rsidRDefault="00ED3916" w:rsidP="00EF2E34">
      <w:pPr>
        <w:pStyle w:val="Heading2"/>
        <w:spacing w:line="360" w:lineRule="auto"/>
        <w:rPr>
          <w:rFonts w:ascii="Arial" w:hAnsi="Arial" w:cs="Arial"/>
          <w:color w:val="auto"/>
        </w:rPr>
      </w:pPr>
      <w:bookmarkStart w:id="64" w:name="_Toc316005667"/>
      <w:bookmarkStart w:id="65" w:name="_Toc175056456"/>
    </w:p>
    <w:p w14:paraId="037283BF" w14:textId="17F9B6B4" w:rsidR="00DB196A" w:rsidRPr="004A73C1" w:rsidRDefault="00D11768" w:rsidP="00EF2E34">
      <w:pPr>
        <w:pStyle w:val="Heading2"/>
        <w:spacing w:line="360" w:lineRule="auto"/>
        <w:rPr>
          <w:rFonts w:ascii="Arial" w:hAnsi="Arial" w:cs="Arial"/>
          <w:color w:val="auto"/>
        </w:rPr>
      </w:pPr>
      <w:bookmarkStart w:id="66" w:name="_Toc175848111"/>
      <w:r w:rsidRPr="004A73C1">
        <w:rPr>
          <w:rFonts w:ascii="Arial" w:hAnsi="Arial" w:cs="Arial"/>
          <w:color w:val="auto"/>
        </w:rPr>
        <w:t>2.4</w:t>
      </w:r>
      <w:r w:rsidRPr="004A73C1">
        <w:rPr>
          <w:rFonts w:ascii="Arial" w:hAnsi="Arial" w:cs="Arial"/>
          <w:color w:val="auto"/>
        </w:rPr>
        <w:tab/>
      </w:r>
      <w:r w:rsidR="00DB196A" w:rsidRPr="004A73C1">
        <w:rPr>
          <w:rFonts w:ascii="Arial" w:hAnsi="Arial" w:cs="Arial"/>
          <w:color w:val="auto"/>
        </w:rPr>
        <w:t>FDI BY DIRECTION</w:t>
      </w:r>
      <w:bookmarkEnd w:id="64"/>
      <w:bookmarkEnd w:id="65"/>
      <w:bookmarkEnd w:id="66"/>
    </w:p>
    <w:p w14:paraId="5B34D88D" w14:textId="74D33E82" w:rsidR="00DB196A" w:rsidRPr="004A73C1" w:rsidRDefault="00DB196A" w:rsidP="00EF2E34">
      <w:pPr>
        <w:spacing w:after="0" w:line="360" w:lineRule="auto"/>
        <w:jc w:val="both"/>
        <w:rPr>
          <w:rFonts w:ascii="Arial" w:hAnsi="Arial" w:cs="Arial"/>
        </w:rPr>
      </w:pPr>
      <w:r w:rsidRPr="004A73C1">
        <w:rPr>
          <w:rFonts w:ascii="Arial" w:hAnsi="Arial" w:cs="Arial"/>
        </w:rPr>
        <w:t xml:space="preserve">FDI by directions has two </w:t>
      </w:r>
      <w:r w:rsidR="00595271" w:rsidRPr="004A73C1">
        <w:rPr>
          <w:rFonts w:ascii="Arial" w:hAnsi="Arial" w:cs="Arial"/>
        </w:rPr>
        <w:t>types:</w:t>
      </w:r>
    </w:p>
    <w:p w14:paraId="156492D6" w14:textId="77777777" w:rsidR="00DB196A" w:rsidRPr="004A73C1" w:rsidRDefault="00DB196A" w:rsidP="00EF2E34">
      <w:pPr>
        <w:spacing w:after="0" w:line="360" w:lineRule="auto"/>
        <w:jc w:val="both"/>
        <w:rPr>
          <w:rFonts w:ascii="Arial" w:hAnsi="Arial" w:cs="Arial"/>
        </w:rPr>
      </w:pPr>
      <w:r w:rsidRPr="004A73C1">
        <w:rPr>
          <w:rFonts w:ascii="Arial" w:hAnsi="Arial" w:cs="Arial"/>
        </w:rPr>
        <w:t>Inward FDI</w:t>
      </w:r>
    </w:p>
    <w:p w14:paraId="4E61C7A6" w14:textId="77777777" w:rsidR="00DB196A" w:rsidRPr="004A73C1" w:rsidRDefault="00DB196A" w:rsidP="00EF2E34">
      <w:pPr>
        <w:spacing w:after="0" w:line="360" w:lineRule="auto"/>
        <w:jc w:val="both"/>
        <w:rPr>
          <w:rFonts w:ascii="Arial" w:hAnsi="Arial" w:cs="Arial"/>
        </w:rPr>
      </w:pPr>
      <w:r w:rsidRPr="004A73C1">
        <w:rPr>
          <w:rFonts w:ascii="Arial" w:hAnsi="Arial" w:cs="Arial"/>
        </w:rPr>
        <w:t>Outward FDI</w:t>
      </w:r>
    </w:p>
    <w:p w14:paraId="18351615" w14:textId="05CBE01B" w:rsidR="00DB196A" w:rsidRPr="004A73C1" w:rsidRDefault="00D11768" w:rsidP="00EF2E34">
      <w:pPr>
        <w:pStyle w:val="Heading3"/>
        <w:spacing w:line="360" w:lineRule="auto"/>
        <w:rPr>
          <w:rFonts w:ascii="Arial" w:hAnsi="Arial" w:cs="Arial"/>
          <w:color w:val="auto"/>
        </w:rPr>
      </w:pPr>
      <w:bookmarkStart w:id="67" w:name="_Toc175056457"/>
      <w:bookmarkStart w:id="68" w:name="_Toc175848112"/>
      <w:r w:rsidRPr="004A73C1">
        <w:rPr>
          <w:rFonts w:ascii="Arial" w:hAnsi="Arial" w:cs="Arial"/>
          <w:color w:val="auto"/>
        </w:rPr>
        <w:t>2.4.1</w:t>
      </w:r>
      <w:r w:rsidRPr="004A73C1">
        <w:rPr>
          <w:rFonts w:ascii="Arial" w:hAnsi="Arial" w:cs="Arial"/>
          <w:color w:val="auto"/>
        </w:rPr>
        <w:tab/>
      </w:r>
      <w:r w:rsidR="00DB196A" w:rsidRPr="004A73C1">
        <w:rPr>
          <w:rFonts w:ascii="Arial" w:hAnsi="Arial" w:cs="Arial"/>
          <w:color w:val="auto"/>
        </w:rPr>
        <w:t>Inward FDI</w:t>
      </w:r>
      <w:bookmarkEnd w:id="67"/>
      <w:bookmarkEnd w:id="68"/>
    </w:p>
    <w:p w14:paraId="479CD0E3" w14:textId="3448E3D2" w:rsidR="00DB196A" w:rsidRPr="004A73C1" w:rsidRDefault="00DB196A" w:rsidP="00EF2E34">
      <w:pPr>
        <w:spacing w:after="0" w:line="360" w:lineRule="auto"/>
        <w:jc w:val="both"/>
        <w:rPr>
          <w:rFonts w:ascii="Arial" w:hAnsi="Arial" w:cs="Arial"/>
        </w:rPr>
      </w:pPr>
      <w:r w:rsidRPr="004A73C1">
        <w:rPr>
          <w:rFonts w:ascii="Arial" w:hAnsi="Arial" w:cs="Arial"/>
        </w:rPr>
        <w:t xml:space="preserve">Inward foreign direct investment (FDI) occurs when a company or individual from one country invests </w:t>
      </w:r>
      <w:r w:rsidR="00A75559" w:rsidRPr="004A73C1">
        <w:rPr>
          <w:rFonts w:ascii="Arial" w:hAnsi="Arial" w:cs="Arial"/>
        </w:rPr>
        <w:t xml:space="preserve">in </w:t>
      </w:r>
      <w:r w:rsidRPr="004A73C1">
        <w:rPr>
          <w:rFonts w:ascii="Arial" w:hAnsi="Arial" w:cs="Arial"/>
        </w:rPr>
        <w:t xml:space="preserve">a business located in another country. This can take the form of acquiring a stake in an existing company, establishing new operations, or reinvesting profits from international business activities. Inward FDI is a </w:t>
      </w:r>
      <w:r w:rsidR="00A75559" w:rsidRPr="004A73C1">
        <w:rPr>
          <w:rFonts w:ascii="Arial" w:hAnsi="Arial" w:cs="Arial"/>
        </w:rPr>
        <w:t>crucial</w:t>
      </w:r>
      <w:r w:rsidRPr="004A73C1">
        <w:rPr>
          <w:rFonts w:ascii="Arial" w:hAnsi="Arial" w:cs="Arial"/>
        </w:rPr>
        <w:t xml:space="preserve"> measure of a country's appeal to foreign investors and can significantly impact the economy and business environment.</w:t>
      </w:r>
    </w:p>
    <w:p w14:paraId="66066336" w14:textId="1B632A2D" w:rsidR="00DB196A" w:rsidRPr="004A73C1" w:rsidRDefault="00DB196A" w:rsidP="00EF2E34">
      <w:pPr>
        <w:spacing w:after="0" w:line="360" w:lineRule="auto"/>
        <w:jc w:val="both"/>
        <w:rPr>
          <w:rFonts w:ascii="Arial" w:hAnsi="Arial" w:cs="Arial"/>
        </w:rPr>
      </w:pPr>
      <w:r w:rsidRPr="004A73C1">
        <w:rPr>
          <w:rFonts w:ascii="Arial" w:hAnsi="Arial" w:cs="Arial"/>
        </w:rPr>
        <w:t xml:space="preserve">1. Amazon's expansion in the UK: Following Brexit, Amazon announced plans to expand its investment in the UK. The company committed to creating thousands of new jobs and investing in new </w:t>
      </w:r>
      <w:r w:rsidR="00A75559" w:rsidRPr="004A73C1">
        <w:rPr>
          <w:rFonts w:ascii="Arial" w:hAnsi="Arial" w:cs="Arial"/>
        </w:rPr>
        <w:t>fulfilment centres</w:t>
      </w:r>
      <w:r w:rsidRPr="004A73C1">
        <w:rPr>
          <w:rFonts w:ascii="Arial" w:hAnsi="Arial" w:cs="Arial"/>
        </w:rPr>
        <w:t xml:space="preserve"> and corporate offices, indicating confidence in the UK market post-Brexit ("Amazon to create 10,000 new UK jobs post-Brexit" - The Guardian).</w:t>
      </w:r>
    </w:p>
    <w:p w14:paraId="41CD864C" w14:textId="2A1B7CFF" w:rsidR="00DB196A" w:rsidRPr="004A73C1" w:rsidRDefault="00DB196A" w:rsidP="00EF2E34">
      <w:pPr>
        <w:spacing w:after="0" w:line="360" w:lineRule="auto"/>
        <w:jc w:val="both"/>
        <w:rPr>
          <w:rFonts w:ascii="Arial" w:hAnsi="Arial" w:cs="Arial"/>
        </w:rPr>
      </w:pPr>
      <w:r w:rsidRPr="004A73C1">
        <w:rPr>
          <w:rFonts w:ascii="Arial" w:hAnsi="Arial" w:cs="Arial"/>
        </w:rPr>
        <w:t xml:space="preserve">2. Nissan's commitment to UK manufacturing: Despite </w:t>
      </w:r>
      <w:r w:rsidR="00A75559" w:rsidRPr="004A73C1">
        <w:rPr>
          <w:rFonts w:ascii="Arial" w:hAnsi="Arial" w:cs="Arial"/>
        </w:rPr>
        <w:t>Brexit uncertainties</w:t>
      </w:r>
      <w:r w:rsidRPr="004A73C1">
        <w:rPr>
          <w:rFonts w:ascii="Arial" w:hAnsi="Arial" w:cs="Arial"/>
        </w:rPr>
        <w:t xml:space="preserve">, Nissan confirmed its commitment to producing new vehicle models in the UK. The company's investment </w:t>
      </w:r>
      <w:r w:rsidR="00A75559" w:rsidRPr="004A73C1">
        <w:rPr>
          <w:rFonts w:ascii="Arial" w:hAnsi="Arial" w:cs="Arial"/>
        </w:rPr>
        <w:t xml:space="preserve">signalled a vote of confidence in the UK's automotive industry post-Brexit </w:t>
      </w:r>
      <w:r w:rsidR="00804A87">
        <w:rPr>
          <w:rFonts w:ascii="Arial" w:hAnsi="Arial" w:cs="Arial"/>
        </w:rPr>
        <w:t>(</w:t>
      </w:r>
      <w:r w:rsidR="00A75559" w:rsidRPr="004A73C1">
        <w:rPr>
          <w:rFonts w:ascii="Arial" w:hAnsi="Arial" w:cs="Arial"/>
        </w:rPr>
        <w:t xml:space="preserve">Nissan </w:t>
      </w:r>
      <w:r w:rsidRPr="004A73C1">
        <w:rPr>
          <w:rFonts w:ascii="Arial" w:hAnsi="Arial" w:cs="Arial"/>
        </w:rPr>
        <w:t>- Financial Times</w:t>
      </w:r>
      <w:r w:rsidR="00804A87">
        <w:rPr>
          <w:rFonts w:ascii="Arial" w:hAnsi="Arial" w:cs="Arial"/>
        </w:rPr>
        <w:t>,2023</w:t>
      </w:r>
      <w:r w:rsidRPr="004A73C1">
        <w:rPr>
          <w:rFonts w:ascii="Arial" w:hAnsi="Arial" w:cs="Arial"/>
        </w:rPr>
        <w:t>).</w:t>
      </w:r>
    </w:p>
    <w:p w14:paraId="6DB93BC4" w14:textId="3A4684FD" w:rsidR="00DB196A" w:rsidRPr="004A73C1" w:rsidRDefault="00DB196A" w:rsidP="00EF2E34">
      <w:pPr>
        <w:spacing w:after="0" w:line="360" w:lineRule="auto"/>
        <w:jc w:val="both"/>
        <w:rPr>
          <w:rFonts w:ascii="Arial" w:hAnsi="Arial" w:cs="Arial"/>
        </w:rPr>
      </w:pPr>
      <w:r w:rsidRPr="004A73C1">
        <w:rPr>
          <w:rFonts w:ascii="Arial" w:hAnsi="Arial" w:cs="Arial"/>
        </w:rPr>
        <w:t>3. Inward FDI in UK financial services: Several international financial institutions, including JPMorgan Chase and Goldman Sachs, have announced plans to expand their operations in the UK post-Brexit, demonstrating ongoing investment and confidence in the UK's financial services sector (Reuters</w:t>
      </w:r>
      <w:r w:rsidR="00804A87">
        <w:rPr>
          <w:rFonts w:ascii="Arial" w:hAnsi="Arial" w:cs="Arial"/>
        </w:rPr>
        <w:t xml:space="preserve">,2023 &amp; </w:t>
      </w:r>
      <w:r w:rsidR="00804A87" w:rsidRPr="00804A87">
        <w:rPr>
          <w:rFonts w:ascii="Arial" w:hAnsi="Arial" w:cs="Arial"/>
        </w:rPr>
        <w:t>bloomberg.com/news/articles</w:t>
      </w:r>
      <w:r w:rsidR="00804A87">
        <w:rPr>
          <w:rFonts w:ascii="Arial" w:hAnsi="Arial" w:cs="Arial"/>
        </w:rPr>
        <w:t>,</w:t>
      </w:r>
      <w:r w:rsidR="00804A87" w:rsidRPr="00804A87">
        <w:rPr>
          <w:rFonts w:ascii="Arial" w:hAnsi="Arial" w:cs="Arial"/>
        </w:rPr>
        <w:t>2022</w:t>
      </w:r>
      <w:r w:rsidRPr="004A73C1">
        <w:rPr>
          <w:rFonts w:ascii="Arial" w:hAnsi="Arial" w:cs="Arial"/>
        </w:rPr>
        <w:t>).</w:t>
      </w:r>
    </w:p>
    <w:p w14:paraId="2A9A1728" w14:textId="58005A32" w:rsidR="00DB196A" w:rsidRPr="004A73C1" w:rsidRDefault="00DB196A" w:rsidP="00EF2E34">
      <w:pPr>
        <w:spacing w:after="0" w:line="360" w:lineRule="auto"/>
        <w:jc w:val="both"/>
        <w:rPr>
          <w:rFonts w:ascii="Arial" w:hAnsi="Arial" w:cs="Arial"/>
        </w:rPr>
      </w:pPr>
      <w:r w:rsidRPr="004A73C1">
        <w:rPr>
          <w:rFonts w:ascii="Arial" w:hAnsi="Arial" w:cs="Arial"/>
        </w:rPr>
        <w:t xml:space="preserve">These examples show that despite Brexit, the UK continues to attract significant inward FDI across various sectors, </w:t>
      </w:r>
      <w:r w:rsidR="00595271" w:rsidRPr="004A73C1">
        <w:rPr>
          <w:rFonts w:ascii="Arial" w:hAnsi="Arial" w:cs="Arial"/>
        </w:rPr>
        <w:t>signalling</w:t>
      </w:r>
      <w:r w:rsidRPr="004A73C1">
        <w:rPr>
          <w:rFonts w:ascii="Arial" w:hAnsi="Arial" w:cs="Arial"/>
        </w:rPr>
        <w:t xml:space="preserve"> continued confidence in the country's economy and business environment.</w:t>
      </w:r>
    </w:p>
    <w:p w14:paraId="74771300" w14:textId="44256296" w:rsidR="00DB196A" w:rsidRPr="004A73C1" w:rsidRDefault="00D11768" w:rsidP="00EF2E34">
      <w:pPr>
        <w:pStyle w:val="Heading3"/>
        <w:spacing w:line="360" w:lineRule="auto"/>
        <w:rPr>
          <w:rFonts w:ascii="Arial" w:hAnsi="Arial" w:cs="Arial"/>
          <w:color w:val="auto"/>
        </w:rPr>
      </w:pPr>
      <w:bookmarkStart w:id="69" w:name="_Toc175056458"/>
      <w:bookmarkStart w:id="70" w:name="_Toc175848113"/>
      <w:r w:rsidRPr="004A73C1">
        <w:rPr>
          <w:rFonts w:ascii="Arial" w:hAnsi="Arial" w:cs="Arial"/>
          <w:color w:val="auto"/>
        </w:rPr>
        <w:t>2.4.2</w:t>
      </w:r>
      <w:r w:rsidRPr="004A73C1">
        <w:rPr>
          <w:rFonts w:ascii="Arial" w:hAnsi="Arial" w:cs="Arial"/>
          <w:color w:val="auto"/>
        </w:rPr>
        <w:tab/>
      </w:r>
      <w:r w:rsidR="00DB196A" w:rsidRPr="004A73C1">
        <w:rPr>
          <w:rFonts w:ascii="Arial" w:hAnsi="Arial" w:cs="Arial"/>
          <w:color w:val="auto"/>
        </w:rPr>
        <w:t>Outward FDI</w:t>
      </w:r>
      <w:bookmarkEnd w:id="69"/>
      <w:bookmarkEnd w:id="70"/>
    </w:p>
    <w:p w14:paraId="1720CD0E" w14:textId="69D15044" w:rsidR="00DB196A" w:rsidRPr="004A73C1" w:rsidRDefault="00DB196A" w:rsidP="00EF2E34">
      <w:pPr>
        <w:spacing w:after="0" w:line="360" w:lineRule="auto"/>
        <w:jc w:val="both"/>
        <w:rPr>
          <w:rFonts w:ascii="Arial" w:hAnsi="Arial" w:cs="Arial"/>
        </w:rPr>
      </w:pPr>
      <w:r w:rsidRPr="004A73C1">
        <w:rPr>
          <w:rFonts w:ascii="Arial" w:hAnsi="Arial" w:cs="Arial"/>
        </w:rPr>
        <w:t xml:space="preserve">Outward FDI, </w:t>
      </w:r>
      <w:r w:rsidR="00B63B17" w:rsidRPr="004A73C1">
        <w:rPr>
          <w:rFonts w:ascii="Arial" w:hAnsi="Arial" w:cs="Arial"/>
        </w:rPr>
        <w:t>or</w:t>
      </w:r>
      <w:r w:rsidRPr="004A73C1">
        <w:rPr>
          <w:rFonts w:ascii="Arial" w:hAnsi="Arial" w:cs="Arial"/>
        </w:rPr>
        <w:t xml:space="preserve"> "direct investment abroad," </w:t>
      </w:r>
      <w:r w:rsidR="00595271" w:rsidRPr="004A73C1">
        <w:rPr>
          <w:rFonts w:ascii="Arial" w:hAnsi="Arial" w:cs="Arial"/>
        </w:rPr>
        <w:t>occurs when a domestic company invests in business operations or acquires assets in a foreign country. This type of investment is often made to gain access to new markets, resources, and business opportunities</w:t>
      </w:r>
      <w:r w:rsidRPr="004A73C1">
        <w:rPr>
          <w:rFonts w:ascii="Arial" w:hAnsi="Arial" w:cs="Arial"/>
        </w:rPr>
        <w:t xml:space="preserve"> and </w:t>
      </w:r>
      <w:r w:rsidR="00B63B17" w:rsidRPr="004A73C1">
        <w:rPr>
          <w:rFonts w:ascii="Arial" w:hAnsi="Arial" w:cs="Arial"/>
        </w:rPr>
        <w:t>diversify a company's global operations</w:t>
      </w:r>
      <w:r w:rsidRPr="004A73C1">
        <w:rPr>
          <w:rFonts w:ascii="Arial" w:hAnsi="Arial" w:cs="Arial"/>
        </w:rPr>
        <w:t>.</w:t>
      </w:r>
    </w:p>
    <w:p w14:paraId="606754D8" w14:textId="77777777" w:rsidR="00DB196A" w:rsidRPr="004A73C1" w:rsidRDefault="00DB196A" w:rsidP="00EF2E34">
      <w:pPr>
        <w:spacing w:after="0" w:line="360" w:lineRule="auto"/>
        <w:jc w:val="both"/>
        <w:rPr>
          <w:rFonts w:ascii="Arial" w:hAnsi="Arial" w:cs="Arial"/>
        </w:rPr>
      </w:pPr>
    </w:p>
    <w:p w14:paraId="772EDC99" w14:textId="3AEE70B4" w:rsidR="00DB196A" w:rsidRPr="004A73C1" w:rsidRDefault="00DB196A" w:rsidP="00EF2E34">
      <w:pPr>
        <w:spacing w:after="0" w:line="360" w:lineRule="auto"/>
        <w:jc w:val="both"/>
        <w:rPr>
          <w:rFonts w:ascii="Arial" w:hAnsi="Arial" w:cs="Arial"/>
        </w:rPr>
      </w:pPr>
      <w:r w:rsidRPr="004A73C1">
        <w:rPr>
          <w:rFonts w:ascii="Arial" w:hAnsi="Arial" w:cs="Arial"/>
        </w:rPr>
        <w:t xml:space="preserve">In the United Kingdom (UK), there are numerous examples of outward FDI by UK-based companies. One prominent example is BP (British Petroleum), a major multinational oil and gas company. BP has engaged in outward FDI by investing in oil exploration and production ventures in various countries </w:t>
      </w:r>
      <w:r w:rsidR="00595271" w:rsidRPr="004A73C1">
        <w:rPr>
          <w:rFonts w:ascii="Arial" w:hAnsi="Arial" w:cs="Arial"/>
        </w:rPr>
        <w:t>worldwide</w:t>
      </w:r>
      <w:r w:rsidRPr="004A73C1">
        <w:rPr>
          <w:rFonts w:ascii="Arial" w:hAnsi="Arial" w:cs="Arial"/>
        </w:rPr>
        <w:t>, including the United States, Russia, and other countries. This strategic approach has allowed BP to diversify its global operations and access valuable energy resources in different regions.</w:t>
      </w:r>
    </w:p>
    <w:p w14:paraId="1D0A00DB" w14:textId="77777777" w:rsidR="00DB196A" w:rsidRPr="004A73C1" w:rsidRDefault="00DB196A" w:rsidP="00EF2E34">
      <w:pPr>
        <w:spacing w:after="0" w:line="360" w:lineRule="auto"/>
        <w:jc w:val="both"/>
        <w:rPr>
          <w:rFonts w:ascii="Arial" w:hAnsi="Arial" w:cs="Arial"/>
        </w:rPr>
      </w:pPr>
      <w:r w:rsidRPr="004A73C1">
        <w:rPr>
          <w:rFonts w:ascii="Arial" w:hAnsi="Arial" w:cs="Arial"/>
        </w:rPr>
        <w:lastRenderedPageBreak/>
        <w:t>Another example is Vodafone, a leading telecommunications company headquartered in the UK. Vodafone has pursued outward FDI by acquiring and investing in mobile networks and telecommunications infrastructure in multiple countries, such as India, Germany, and South Africa. These investments have enabled Vodafone to expand its global reach and offer telecommunication services in diverse markets.</w:t>
      </w:r>
    </w:p>
    <w:p w14:paraId="6BB0D61F" w14:textId="77777777" w:rsidR="00DB196A" w:rsidRPr="004A73C1" w:rsidRDefault="00DB196A" w:rsidP="00EF2E34">
      <w:pPr>
        <w:spacing w:after="0" w:line="360" w:lineRule="auto"/>
        <w:jc w:val="both"/>
        <w:rPr>
          <w:rFonts w:ascii="Arial" w:hAnsi="Arial" w:cs="Arial"/>
        </w:rPr>
      </w:pPr>
      <w:r w:rsidRPr="004A73C1">
        <w:rPr>
          <w:rFonts w:ascii="Arial" w:hAnsi="Arial" w:cs="Arial"/>
        </w:rPr>
        <w:t>Furthermore, pharmaceutical companies such as GlaxoSmithKline (GSK) and AstraZeneca have engaged in outward FDI by establishing research and development facilities, manufacturing plants, and sales operations in various countries outside the UK.</w:t>
      </w:r>
    </w:p>
    <w:p w14:paraId="4FFEF60D" w14:textId="75063606" w:rsidR="00DB196A" w:rsidRPr="004A73C1" w:rsidRDefault="00DB196A" w:rsidP="00EF2E34">
      <w:pPr>
        <w:spacing w:after="0" w:line="360" w:lineRule="auto"/>
        <w:jc w:val="both"/>
        <w:rPr>
          <w:rFonts w:ascii="Arial" w:hAnsi="Arial" w:cs="Arial"/>
        </w:rPr>
      </w:pPr>
      <w:r w:rsidRPr="004A73C1">
        <w:rPr>
          <w:rFonts w:ascii="Arial" w:hAnsi="Arial" w:cs="Arial"/>
        </w:rPr>
        <w:t xml:space="preserve">These examples illustrate how UK-based companies undertake outward FDI to access new markets, </w:t>
      </w:r>
      <w:r w:rsidR="00F46779" w:rsidRPr="004A73C1">
        <w:rPr>
          <w:rFonts w:ascii="Arial" w:hAnsi="Arial" w:cs="Arial"/>
        </w:rPr>
        <w:t>capitalise</w:t>
      </w:r>
      <w:r w:rsidRPr="004A73C1">
        <w:rPr>
          <w:rFonts w:ascii="Arial" w:hAnsi="Arial" w:cs="Arial"/>
        </w:rPr>
        <w:t xml:space="preserve"> on growth opportunities, and diversify their operations across different geographical regions, ultimately contributing to global competitiveness and growth.</w:t>
      </w:r>
    </w:p>
    <w:p w14:paraId="257B63EC" w14:textId="77777777" w:rsidR="00E305FC" w:rsidRPr="004A73C1" w:rsidRDefault="00E305FC" w:rsidP="00EF2E34">
      <w:pPr>
        <w:spacing w:after="0" w:line="360" w:lineRule="auto"/>
        <w:jc w:val="both"/>
        <w:rPr>
          <w:rFonts w:ascii="Arial" w:hAnsi="Arial" w:cs="Arial"/>
        </w:rPr>
      </w:pPr>
    </w:p>
    <w:p w14:paraId="01B54989" w14:textId="09727078" w:rsidR="00E305FC" w:rsidRPr="004A73C1" w:rsidRDefault="00E305FC" w:rsidP="00EF2E34">
      <w:pPr>
        <w:spacing w:after="0" w:line="360" w:lineRule="auto"/>
        <w:jc w:val="both"/>
        <w:rPr>
          <w:rFonts w:ascii="Arial" w:hAnsi="Arial" w:cs="Arial"/>
        </w:rPr>
      </w:pPr>
      <w:r w:rsidRPr="004A73C1">
        <w:rPr>
          <w:rFonts w:ascii="Arial" w:hAnsi="Arial" w:cs="Arial"/>
        </w:rPr>
        <w:t>The following Table shows the FDI Project recorded from 2014 to 2023.</w:t>
      </w:r>
    </w:p>
    <w:p w14:paraId="0BE0B260" w14:textId="77777777" w:rsidR="00EF2E34" w:rsidRPr="004A73C1" w:rsidRDefault="00EF2E34" w:rsidP="00EF2E34">
      <w:pPr>
        <w:spacing w:after="0" w:line="360" w:lineRule="auto"/>
        <w:jc w:val="both"/>
        <w:rPr>
          <w:rFonts w:ascii="Arial" w:hAnsi="Arial" w:cs="Arial"/>
        </w:rPr>
      </w:pPr>
    </w:p>
    <w:p w14:paraId="39F1E7E0" w14:textId="26498D7C" w:rsidR="00E305FC" w:rsidRPr="004A73C1" w:rsidRDefault="00E305FC" w:rsidP="00EF2E34">
      <w:pPr>
        <w:spacing w:after="0" w:line="360" w:lineRule="auto"/>
        <w:rPr>
          <w:rFonts w:ascii="Arial" w:hAnsi="Arial" w:cs="Arial"/>
          <w:noProof/>
          <w:u w:val="single"/>
        </w:rPr>
      </w:pPr>
    </w:p>
    <w:p w14:paraId="265CBFD8" w14:textId="77777777" w:rsidR="00E305FC" w:rsidRPr="004A73C1" w:rsidRDefault="00E305FC" w:rsidP="00EF2E34">
      <w:pPr>
        <w:spacing w:after="0" w:line="360" w:lineRule="auto"/>
        <w:rPr>
          <w:rFonts w:ascii="Arial" w:hAnsi="Arial" w:cs="Arial"/>
        </w:rPr>
      </w:pPr>
    </w:p>
    <w:p w14:paraId="03322578" w14:textId="459A6630" w:rsidR="00DB196A" w:rsidRPr="004A73C1" w:rsidRDefault="00DB196A" w:rsidP="00EF2E34">
      <w:pPr>
        <w:spacing w:after="0" w:line="360" w:lineRule="auto"/>
        <w:rPr>
          <w:rFonts w:ascii="Arial" w:hAnsi="Arial" w:cs="Arial"/>
        </w:rPr>
      </w:pPr>
      <w:r w:rsidRPr="004A73C1">
        <w:rPr>
          <w:rFonts w:ascii="Arial" w:hAnsi="Arial" w:cs="Arial"/>
          <w:noProof/>
        </w:rPr>
        <w:drawing>
          <wp:inline distT="0" distB="0" distL="0" distR="0" wp14:anchorId="4C155C4B" wp14:editId="3388C274">
            <wp:extent cx="5917721" cy="3995748"/>
            <wp:effectExtent l="0" t="0" r="6985" b="5080"/>
            <wp:docPr id="1139291900"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91900" name="Picture 1" descr="A graph with a line going up&#10;&#10;Description automatically generated"/>
                    <pic:cNvPicPr/>
                  </pic:nvPicPr>
                  <pic:blipFill>
                    <a:blip r:embed="rId15"/>
                    <a:stretch>
                      <a:fillRect/>
                    </a:stretch>
                  </pic:blipFill>
                  <pic:spPr>
                    <a:xfrm>
                      <a:off x="0" y="0"/>
                      <a:ext cx="5946736" cy="4015340"/>
                    </a:xfrm>
                    <a:prstGeom prst="rect">
                      <a:avLst/>
                    </a:prstGeom>
                  </pic:spPr>
                </pic:pic>
              </a:graphicData>
            </a:graphic>
          </wp:inline>
        </w:drawing>
      </w:r>
    </w:p>
    <w:p w14:paraId="147A360C" w14:textId="212E8401" w:rsidR="00EF2E34" w:rsidRPr="004A73C1" w:rsidRDefault="00EF2E34" w:rsidP="00EF2E34">
      <w:pPr>
        <w:spacing w:after="0" w:line="360" w:lineRule="auto"/>
        <w:rPr>
          <w:rFonts w:ascii="Arial" w:hAnsi="Arial" w:cs="Arial"/>
        </w:rPr>
      </w:pPr>
      <w:r w:rsidRPr="004A73C1">
        <w:rPr>
          <w:rFonts w:ascii="Arial" w:hAnsi="Arial" w:cs="Arial"/>
        </w:rPr>
        <w:t>Table 6</w:t>
      </w:r>
      <w:r w:rsidR="00260344" w:rsidRPr="004A73C1">
        <w:rPr>
          <w:rFonts w:ascii="Arial" w:hAnsi="Arial" w:cs="Arial"/>
        </w:rPr>
        <w:t xml:space="preserve"> </w:t>
      </w:r>
    </w:p>
    <w:p w14:paraId="652461A1" w14:textId="77777777" w:rsidR="00EF2E34" w:rsidRDefault="00EF2E34" w:rsidP="00EF2E34">
      <w:pPr>
        <w:spacing w:after="0" w:line="360" w:lineRule="auto"/>
        <w:rPr>
          <w:rFonts w:ascii="Arial" w:hAnsi="Arial" w:cs="Arial"/>
          <w:noProof/>
        </w:rPr>
      </w:pPr>
    </w:p>
    <w:p w14:paraId="01F3ED12" w14:textId="77777777" w:rsidR="00475D42" w:rsidRDefault="00475D42" w:rsidP="00EF2E34">
      <w:pPr>
        <w:spacing w:after="0" w:line="360" w:lineRule="auto"/>
        <w:rPr>
          <w:rFonts w:ascii="Arial" w:hAnsi="Arial" w:cs="Arial"/>
          <w:noProof/>
        </w:rPr>
      </w:pPr>
    </w:p>
    <w:p w14:paraId="2ABD68D4" w14:textId="77777777" w:rsidR="00475D42" w:rsidRDefault="00475D42" w:rsidP="00EF2E34">
      <w:pPr>
        <w:spacing w:after="0" w:line="360" w:lineRule="auto"/>
        <w:rPr>
          <w:rFonts w:ascii="Arial" w:hAnsi="Arial" w:cs="Arial"/>
          <w:noProof/>
        </w:rPr>
      </w:pPr>
    </w:p>
    <w:p w14:paraId="11A3CB51" w14:textId="77777777" w:rsidR="00475D42" w:rsidRDefault="00475D42" w:rsidP="00EF2E34">
      <w:pPr>
        <w:spacing w:after="0" w:line="360" w:lineRule="auto"/>
        <w:rPr>
          <w:rFonts w:ascii="Arial" w:hAnsi="Arial" w:cs="Arial"/>
          <w:noProof/>
        </w:rPr>
      </w:pPr>
    </w:p>
    <w:p w14:paraId="60E81444" w14:textId="77777777" w:rsidR="00475D42" w:rsidRDefault="00475D42" w:rsidP="00EF2E34">
      <w:pPr>
        <w:spacing w:after="0" w:line="360" w:lineRule="auto"/>
        <w:rPr>
          <w:rFonts w:ascii="Arial" w:hAnsi="Arial" w:cs="Arial"/>
          <w:noProof/>
        </w:rPr>
      </w:pPr>
    </w:p>
    <w:p w14:paraId="39A13D85" w14:textId="77777777" w:rsidR="00475D42" w:rsidRPr="004A73C1" w:rsidRDefault="00475D42" w:rsidP="00EF2E34">
      <w:pPr>
        <w:spacing w:after="0" w:line="360" w:lineRule="auto"/>
        <w:rPr>
          <w:rFonts w:ascii="Arial" w:hAnsi="Arial" w:cs="Arial"/>
          <w:noProof/>
        </w:rPr>
      </w:pPr>
    </w:p>
    <w:p w14:paraId="35D430C8" w14:textId="18927E45" w:rsidR="00DB196A" w:rsidRPr="004A73C1" w:rsidRDefault="00EF2E34" w:rsidP="00EF2E34">
      <w:pPr>
        <w:spacing w:after="0" w:line="360" w:lineRule="auto"/>
        <w:rPr>
          <w:rFonts w:ascii="Arial" w:hAnsi="Arial" w:cs="Arial"/>
        </w:rPr>
      </w:pPr>
      <w:r w:rsidRPr="004A73C1">
        <w:rPr>
          <w:rFonts w:ascii="Arial" w:hAnsi="Arial" w:cs="Arial"/>
          <w:u w:val="single"/>
        </w:rPr>
        <w:t>Table 7</w:t>
      </w:r>
      <w:r w:rsidR="00DB196A" w:rsidRPr="004A73C1">
        <w:rPr>
          <w:rFonts w:ascii="Arial" w:hAnsi="Arial" w:cs="Arial"/>
          <w:noProof/>
        </w:rPr>
        <w:drawing>
          <wp:inline distT="0" distB="0" distL="0" distR="0" wp14:anchorId="2F52AD7B" wp14:editId="6221F576">
            <wp:extent cx="5966749" cy="3518580"/>
            <wp:effectExtent l="0" t="0" r="0" b="5715"/>
            <wp:docPr id="1146624940" name="Picture 1" descr="A graph with green ba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24940" name="Picture 1" descr="A graph with green bars and numbers&#10;&#10;Description automatically generated"/>
                    <pic:cNvPicPr/>
                  </pic:nvPicPr>
                  <pic:blipFill>
                    <a:blip r:embed="rId16"/>
                    <a:stretch>
                      <a:fillRect/>
                    </a:stretch>
                  </pic:blipFill>
                  <pic:spPr>
                    <a:xfrm>
                      <a:off x="0" y="0"/>
                      <a:ext cx="5969486" cy="3520194"/>
                    </a:xfrm>
                    <a:prstGeom prst="rect">
                      <a:avLst/>
                    </a:prstGeom>
                  </pic:spPr>
                </pic:pic>
              </a:graphicData>
            </a:graphic>
          </wp:inline>
        </w:drawing>
      </w:r>
    </w:p>
    <w:p w14:paraId="1D989C60" w14:textId="77777777" w:rsidR="00475D42" w:rsidRDefault="00475D42" w:rsidP="00691E95">
      <w:pPr>
        <w:spacing w:after="0" w:line="360" w:lineRule="auto"/>
        <w:jc w:val="both"/>
        <w:rPr>
          <w:rFonts w:ascii="Arial" w:hAnsi="Arial" w:cs="Arial"/>
        </w:rPr>
      </w:pPr>
    </w:p>
    <w:p w14:paraId="44819063" w14:textId="77777777" w:rsidR="00475D42" w:rsidRDefault="00475D42" w:rsidP="00691E95">
      <w:pPr>
        <w:spacing w:after="0" w:line="360" w:lineRule="auto"/>
        <w:jc w:val="both"/>
        <w:rPr>
          <w:rFonts w:ascii="Arial" w:hAnsi="Arial" w:cs="Arial"/>
        </w:rPr>
      </w:pPr>
    </w:p>
    <w:p w14:paraId="01152CE8" w14:textId="02B3BDB6" w:rsidR="00691E95" w:rsidRPr="004A73C1" w:rsidRDefault="00691E95" w:rsidP="00691E95">
      <w:pPr>
        <w:spacing w:after="0" w:line="360" w:lineRule="auto"/>
        <w:jc w:val="both"/>
        <w:rPr>
          <w:rFonts w:ascii="Arial" w:hAnsi="Arial" w:cs="Arial"/>
        </w:rPr>
      </w:pPr>
      <w:r w:rsidRPr="004A73C1">
        <w:rPr>
          <w:rFonts w:ascii="Arial" w:hAnsi="Arial" w:cs="Arial"/>
        </w:rPr>
        <w:t xml:space="preserve">The impact of Brexit and the coronavirus outbreak on foreign direct investment in the UK has sparked much discussion. Since the EU referendum in June 2016, there has been a consistent uptick in inbound investment in the UK, as indicated by analysis of quarterly data from the Office for National Statistics (ONS). From Q1 2017 to Q4 2021, growth was recorded in 14 out of 20 quarters. It's worth noting, however, that this growth was not as rapid as it was in 2016, which saw particularly high levels of investment. Moreover, it's important to bear in mind that flows of foreign direct investment (FDI) can be erratic. </w:t>
      </w:r>
      <w:r w:rsidR="00C2494D" w:rsidRPr="004A73C1">
        <w:rPr>
          <w:rFonts w:ascii="Arial" w:hAnsi="Arial" w:cs="Arial"/>
        </w:rPr>
        <w:t>Despite experiencing positive trends in every quarter, investment saw a significant slowdown after Q1 2020. Following a £20.6 billion net inflow in Q1, there was a sharp 95% decrease to £1.1 billion in Q</w:t>
      </w:r>
      <w:proofErr w:type="gramStart"/>
      <w:r w:rsidR="00C2494D" w:rsidRPr="004A73C1">
        <w:rPr>
          <w:rFonts w:ascii="Arial" w:hAnsi="Arial" w:cs="Arial"/>
        </w:rPr>
        <w:t>2</w:t>
      </w:r>
      <w:r w:rsidRPr="004A73C1">
        <w:rPr>
          <w:rFonts w:ascii="Arial" w:hAnsi="Arial" w:cs="Arial"/>
        </w:rPr>
        <w:t>.</w:t>
      </w:r>
      <w:r w:rsidR="00545EDD">
        <w:rPr>
          <w:rFonts w:ascii="Arial" w:hAnsi="Arial" w:cs="Arial"/>
        </w:rPr>
        <w:t>(</w:t>
      </w:r>
      <w:proofErr w:type="gramEnd"/>
      <w:r w:rsidR="00545EDD">
        <w:rPr>
          <w:rFonts w:ascii="Arial" w:hAnsi="Arial" w:cs="Arial"/>
        </w:rPr>
        <w:t>Source ONS.Gov,2023)</w:t>
      </w:r>
    </w:p>
    <w:p w14:paraId="5CBAE826" w14:textId="77777777" w:rsidR="009F1A70" w:rsidRPr="004A73C1" w:rsidRDefault="009F1A70" w:rsidP="00EF2E34">
      <w:pPr>
        <w:spacing w:after="0" w:line="360" w:lineRule="auto"/>
        <w:jc w:val="both"/>
        <w:rPr>
          <w:rFonts w:ascii="Arial" w:hAnsi="Arial" w:cs="Arial"/>
        </w:rPr>
      </w:pPr>
    </w:p>
    <w:p w14:paraId="1635CAFC" w14:textId="77777777" w:rsidR="009F1A70" w:rsidRPr="004A73C1" w:rsidRDefault="009F1A70" w:rsidP="00EF2E34">
      <w:pPr>
        <w:spacing w:after="0" w:line="360" w:lineRule="auto"/>
        <w:jc w:val="both"/>
        <w:rPr>
          <w:rFonts w:ascii="Arial" w:hAnsi="Arial" w:cs="Arial"/>
        </w:rPr>
      </w:pPr>
    </w:p>
    <w:p w14:paraId="5A27C1C9" w14:textId="77777777" w:rsidR="009F1A70" w:rsidRPr="004A73C1" w:rsidRDefault="009F1A70" w:rsidP="00EF2E34">
      <w:pPr>
        <w:spacing w:after="0" w:line="360" w:lineRule="auto"/>
        <w:jc w:val="both"/>
        <w:rPr>
          <w:rFonts w:ascii="Arial" w:hAnsi="Arial" w:cs="Arial"/>
        </w:rPr>
      </w:pPr>
    </w:p>
    <w:p w14:paraId="7D8C7C3C" w14:textId="77777777" w:rsidR="009F1A70" w:rsidRPr="004A73C1" w:rsidRDefault="009F1A70" w:rsidP="00EF2E34">
      <w:pPr>
        <w:spacing w:after="0" w:line="360" w:lineRule="auto"/>
        <w:jc w:val="both"/>
        <w:rPr>
          <w:rFonts w:ascii="Arial" w:hAnsi="Arial" w:cs="Arial"/>
        </w:rPr>
      </w:pPr>
    </w:p>
    <w:p w14:paraId="04F64F68" w14:textId="77777777" w:rsidR="009F1A70" w:rsidRDefault="009F1A70" w:rsidP="00EF2E34">
      <w:pPr>
        <w:spacing w:after="0" w:line="360" w:lineRule="auto"/>
        <w:jc w:val="both"/>
        <w:rPr>
          <w:rFonts w:ascii="Arial" w:hAnsi="Arial" w:cs="Arial"/>
        </w:rPr>
      </w:pPr>
    </w:p>
    <w:p w14:paraId="051453BC" w14:textId="77777777" w:rsidR="00BE222C" w:rsidRDefault="00BE222C" w:rsidP="00EF2E34">
      <w:pPr>
        <w:spacing w:after="0" w:line="360" w:lineRule="auto"/>
        <w:jc w:val="both"/>
        <w:rPr>
          <w:rFonts w:ascii="Arial" w:hAnsi="Arial" w:cs="Arial"/>
        </w:rPr>
      </w:pPr>
    </w:p>
    <w:p w14:paraId="7C1C9D5C" w14:textId="77777777" w:rsidR="00BE222C" w:rsidRDefault="00BE222C" w:rsidP="00EF2E34">
      <w:pPr>
        <w:spacing w:after="0" w:line="360" w:lineRule="auto"/>
        <w:jc w:val="both"/>
        <w:rPr>
          <w:rFonts w:ascii="Arial" w:hAnsi="Arial" w:cs="Arial"/>
        </w:rPr>
      </w:pPr>
    </w:p>
    <w:p w14:paraId="20C8D076" w14:textId="77777777" w:rsidR="00BE222C" w:rsidRDefault="00BE222C" w:rsidP="00EF2E34">
      <w:pPr>
        <w:spacing w:after="0" w:line="360" w:lineRule="auto"/>
        <w:jc w:val="both"/>
        <w:rPr>
          <w:rFonts w:ascii="Arial" w:hAnsi="Arial" w:cs="Arial"/>
        </w:rPr>
      </w:pPr>
    </w:p>
    <w:p w14:paraId="2912D2D0" w14:textId="77777777" w:rsidR="00BE222C" w:rsidRDefault="00BE222C" w:rsidP="00EF2E34">
      <w:pPr>
        <w:spacing w:after="0" w:line="360" w:lineRule="auto"/>
        <w:jc w:val="both"/>
        <w:rPr>
          <w:rFonts w:ascii="Arial" w:hAnsi="Arial" w:cs="Arial"/>
        </w:rPr>
      </w:pPr>
    </w:p>
    <w:p w14:paraId="51FFDE40" w14:textId="77777777" w:rsidR="00BE222C" w:rsidRDefault="00BE222C" w:rsidP="00EF2E34">
      <w:pPr>
        <w:spacing w:after="0" w:line="360" w:lineRule="auto"/>
        <w:jc w:val="both"/>
        <w:rPr>
          <w:rFonts w:ascii="Arial" w:hAnsi="Arial" w:cs="Arial"/>
        </w:rPr>
      </w:pPr>
    </w:p>
    <w:p w14:paraId="31D41E83" w14:textId="77777777" w:rsidR="00BE222C" w:rsidRPr="004A73C1" w:rsidRDefault="00BE222C" w:rsidP="00EF2E34">
      <w:pPr>
        <w:spacing w:after="0" w:line="360" w:lineRule="auto"/>
        <w:jc w:val="both"/>
        <w:rPr>
          <w:rFonts w:ascii="Arial" w:hAnsi="Arial" w:cs="Arial"/>
        </w:rPr>
      </w:pPr>
    </w:p>
    <w:p w14:paraId="5876C44A" w14:textId="77777777" w:rsidR="009F1A70" w:rsidRPr="004A73C1" w:rsidRDefault="009F1A70" w:rsidP="00EF2E34">
      <w:pPr>
        <w:spacing w:after="0" w:line="360" w:lineRule="auto"/>
        <w:jc w:val="both"/>
        <w:rPr>
          <w:rFonts w:ascii="Arial" w:hAnsi="Arial" w:cs="Arial"/>
        </w:rPr>
      </w:pPr>
    </w:p>
    <w:p w14:paraId="74FC9161" w14:textId="708BC869" w:rsidR="00E305FC" w:rsidRPr="004A73C1" w:rsidRDefault="00E305FC" w:rsidP="00EF2E34">
      <w:pPr>
        <w:spacing w:after="0" w:line="360" w:lineRule="auto"/>
        <w:jc w:val="both"/>
        <w:rPr>
          <w:rFonts w:ascii="Arial" w:hAnsi="Arial" w:cs="Arial"/>
          <w:u w:val="single"/>
        </w:rPr>
      </w:pPr>
      <w:r w:rsidRPr="004A73C1">
        <w:rPr>
          <w:rFonts w:ascii="Arial" w:hAnsi="Arial" w:cs="Arial"/>
          <w:u w:val="single"/>
        </w:rPr>
        <w:t xml:space="preserve">Table </w:t>
      </w:r>
      <w:r w:rsidR="00B80C0D" w:rsidRPr="004A73C1">
        <w:rPr>
          <w:rFonts w:ascii="Arial" w:hAnsi="Arial" w:cs="Arial"/>
          <w:u w:val="single"/>
        </w:rPr>
        <w:t>8</w:t>
      </w:r>
    </w:p>
    <w:p w14:paraId="46224177" w14:textId="1400FF86" w:rsidR="00DB196A" w:rsidRPr="004A73C1" w:rsidRDefault="00DB196A" w:rsidP="00EF2E34">
      <w:pPr>
        <w:spacing w:after="0" w:line="360" w:lineRule="auto"/>
        <w:jc w:val="both"/>
        <w:rPr>
          <w:rFonts w:ascii="Arial" w:hAnsi="Arial" w:cs="Arial"/>
        </w:rPr>
      </w:pPr>
      <w:r w:rsidRPr="004A73C1">
        <w:rPr>
          <w:rFonts w:ascii="Arial" w:hAnsi="Arial" w:cs="Arial"/>
          <w:noProof/>
        </w:rPr>
        <w:drawing>
          <wp:inline distT="0" distB="0" distL="0" distR="0" wp14:anchorId="5B97E877" wp14:editId="6DBE1676">
            <wp:extent cx="5220429" cy="3400900"/>
            <wp:effectExtent l="0" t="0" r="0" b="9525"/>
            <wp:docPr id="139699536" name="Picture 1" descr="A graph with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9536" name="Picture 1" descr="A graph with green lines&#10;&#10;Description automatically generated"/>
                    <pic:cNvPicPr/>
                  </pic:nvPicPr>
                  <pic:blipFill>
                    <a:blip r:embed="rId17"/>
                    <a:stretch>
                      <a:fillRect/>
                    </a:stretch>
                  </pic:blipFill>
                  <pic:spPr>
                    <a:xfrm>
                      <a:off x="0" y="0"/>
                      <a:ext cx="5220429" cy="3400900"/>
                    </a:xfrm>
                    <a:prstGeom prst="rect">
                      <a:avLst/>
                    </a:prstGeom>
                  </pic:spPr>
                </pic:pic>
              </a:graphicData>
            </a:graphic>
          </wp:inline>
        </w:drawing>
      </w:r>
    </w:p>
    <w:p w14:paraId="6F3901C9" w14:textId="77777777" w:rsidR="00475D42" w:rsidRDefault="00475D42" w:rsidP="00C2494D">
      <w:pPr>
        <w:spacing w:after="0" w:line="360" w:lineRule="auto"/>
        <w:jc w:val="both"/>
        <w:rPr>
          <w:rFonts w:ascii="Arial" w:hAnsi="Arial" w:cs="Arial"/>
        </w:rPr>
      </w:pPr>
    </w:p>
    <w:p w14:paraId="7ED2B2CB" w14:textId="398CF252" w:rsidR="00C2494D" w:rsidRPr="004A73C1" w:rsidRDefault="00C2494D" w:rsidP="00C2494D">
      <w:pPr>
        <w:spacing w:after="0" w:line="360" w:lineRule="auto"/>
        <w:jc w:val="both"/>
        <w:rPr>
          <w:rFonts w:ascii="Arial" w:hAnsi="Arial" w:cs="Arial"/>
        </w:rPr>
      </w:pPr>
      <w:r w:rsidRPr="004A73C1">
        <w:rPr>
          <w:rFonts w:ascii="Arial" w:hAnsi="Arial" w:cs="Arial"/>
        </w:rPr>
        <w:t xml:space="preserve">The UK remained a desirable location for international investors because of its stable legal system and low corporate tax, even in the face of Brexit uncertainties, according to a 2019 Economist article. </w:t>
      </w:r>
    </w:p>
    <w:p w14:paraId="59E30695" w14:textId="5D075EF5" w:rsidR="00595271" w:rsidRPr="004A73C1" w:rsidRDefault="00595271" w:rsidP="00880023">
      <w:pPr>
        <w:spacing w:line="360" w:lineRule="auto"/>
        <w:jc w:val="both"/>
        <w:rPr>
          <w:rFonts w:ascii="Arial" w:hAnsi="Arial" w:cs="Arial"/>
        </w:rPr>
      </w:pPr>
      <w:r w:rsidRPr="004A73C1">
        <w:rPr>
          <w:rFonts w:ascii="Arial" w:hAnsi="Arial" w:cs="Arial"/>
        </w:rPr>
        <w:t>However, contrasting views suggest that post-referendum foreign direct investment (FDI) may have primarily involved acquiring British companies at discounted prices rather than substantial investment in the country's growth.</w:t>
      </w:r>
    </w:p>
    <w:p w14:paraId="29E0AA7F" w14:textId="21BD695B" w:rsidR="00595271" w:rsidRPr="004A73C1" w:rsidRDefault="00595271" w:rsidP="00880023">
      <w:pPr>
        <w:spacing w:line="360" w:lineRule="auto"/>
        <w:jc w:val="both"/>
        <w:rPr>
          <w:rFonts w:ascii="Arial" w:hAnsi="Arial" w:cs="Arial"/>
        </w:rPr>
      </w:pPr>
      <w:r w:rsidRPr="004A73C1">
        <w:rPr>
          <w:rFonts w:ascii="Arial" w:hAnsi="Arial" w:cs="Arial"/>
        </w:rPr>
        <w:t>In a recent statement, British Minister for Investment, Lord Dominic Johnson, emphasised the availability of significant funding to support burgeoning industries through various programs. Johnson underscored the importance of strategically promoting the country's support subsidies, grants, and investment initiatives.</w:t>
      </w:r>
    </w:p>
    <w:p w14:paraId="5C3CB8B5" w14:textId="77777777" w:rsidR="00C2494D" w:rsidRPr="004A73C1" w:rsidRDefault="00C2494D" w:rsidP="00880023">
      <w:pPr>
        <w:spacing w:line="360" w:lineRule="auto"/>
        <w:jc w:val="both"/>
        <w:rPr>
          <w:rFonts w:ascii="Arial" w:hAnsi="Arial" w:cs="Arial"/>
        </w:rPr>
      </w:pPr>
      <w:bookmarkStart w:id="71" w:name="_Toc175056459"/>
      <w:r w:rsidRPr="004A73C1">
        <w:rPr>
          <w:rFonts w:ascii="Arial" w:hAnsi="Arial" w:cs="Arial"/>
        </w:rPr>
        <w:t>However, in terms of drawing in foreign direct investment (FDI) projects last year, France did better than the UK, according to the EY European Attractiveness Survey. According to the report, the UK's proportion of European digital tech initiatives has declined, from 28.3% on average over the previous ten years to 19.8% in 2022.</w:t>
      </w:r>
    </w:p>
    <w:p w14:paraId="625DB9BA" w14:textId="692FB313" w:rsidR="00CE2452" w:rsidRPr="004A73C1" w:rsidRDefault="00D11768" w:rsidP="00EF2E34">
      <w:pPr>
        <w:pStyle w:val="Heading2"/>
        <w:spacing w:line="360" w:lineRule="auto"/>
        <w:rPr>
          <w:rFonts w:ascii="Arial" w:hAnsi="Arial" w:cs="Arial"/>
          <w:color w:val="auto"/>
        </w:rPr>
      </w:pPr>
      <w:bookmarkStart w:id="72" w:name="_Toc175848114"/>
      <w:r w:rsidRPr="004A73C1">
        <w:rPr>
          <w:rFonts w:ascii="Arial" w:hAnsi="Arial" w:cs="Arial"/>
          <w:color w:val="auto"/>
        </w:rPr>
        <w:t>2.5</w:t>
      </w:r>
      <w:r w:rsidRPr="004A73C1">
        <w:rPr>
          <w:rFonts w:ascii="Arial" w:hAnsi="Arial" w:cs="Arial"/>
          <w:color w:val="auto"/>
        </w:rPr>
        <w:tab/>
      </w:r>
      <w:r w:rsidR="00CE2452" w:rsidRPr="004A73C1">
        <w:rPr>
          <w:rFonts w:ascii="Arial" w:hAnsi="Arial" w:cs="Arial"/>
          <w:color w:val="auto"/>
        </w:rPr>
        <w:t>Chapter Summary</w:t>
      </w:r>
      <w:bookmarkEnd w:id="71"/>
      <w:bookmarkEnd w:id="72"/>
    </w:p>
    <w:p w14:paraId="11BD53BA" w14:textId="194D786F" w:rsidR="00CE2452" w:rsidRPr="004A73C1" w:rsidRDefault="00CE2452" w:rsidP="00EF2E34">
      <w:pPr>
        <w:spacing w:line="360" w:lineRule="auto"/>
        <w:jc w:val="both"/>
        <w:rPr>
          <w:rFonts w:ascii="Arial" w:hAnsi="Arial" w:cs="Arial"/>
        </w:rPr>
      </w:pPr>
      <w:r w:rsidRPr="004A73C1">
        <w:rPr>
          <w:rFonts w:ascii="Arial" w:hAnsi="Arial" w:cs="Arial"/>
        </w:rPr>
        <w:t xml:space="preserve">The literature review chapter provides an overview of existing research, theories, and knowledge related to the topic of interest. It aims to identify gaps in the current understanding and establish the groundwork for the </w:t>
      </w:r>
      <w:r w:rsidR="00E11091" w:rsidRPr="004A73C1">
        <w:rPr>
          <w:rFonts w:ascii="Arial" w:hAnsi="Arial" w:cs="Arial"/>
        </w:rPr>
        <w:t>study</w:t>
      </w:r>
      <w:r w:rsidRPr="004A73C1">
        <w:rPr>
          <w:rFonts w:ascii="Arial" w:hAnsi="Arial" w:cs="Arial"/>
        </w:rPr>
        <w:t xml:space="preserve">. </w:t>
      </w:r>
      <w:r w:rsidR="00E11091" w:rsidRPr="004A73C1">
        <w:rPr>
          <w:rFonts w:ascii="Arial" w:hAnsi="Arial" w:cs="Arial"/>
        </w:rPr>
        <w:t>This literature review focuses</w:t>
      </w:r>
      <w:r w:rsidRPr="004A73C1">
        <w:rPr>
          <w:rFonts w:ascii="Arial" w:hAnsi="Arial" w:cs="Arial"/>
        </w:rPr>
        <w:t xml:space="preserve"> on </w:t>
      </w:r>
      <w:r w:rsidR="00A704B7" w:rsidRPr="004A73C1">
        <w:rPr>
          <w:rFonts w:ascii="Arial" w:hAnsi="Arial" w:cs="Arial"/>
        </w:rPr>
        <w:t>analysing</w:t>
      </w:r>
      <w:r w:rsidRPr="004A73C1">
        <w:rPr>
          <w:rFonts w:ascii="Arial" w:hAnsi="Arial" w:cs="Arial"/>
        </w:rPr>
        <w:t xml:space="preserve"> Foreign </w:t>
      </w:r>
      <w:r w:rsidRPr="004A73C1">
        <w:rPr>
          <w:rFonts w:ascii="Arial" w:hAnsi="Arial" w:cs="Arial"/>
        </w:rPr>
        <w:lastRenderedPageBreak/>
        <w:t>Direct Investment (FDI) projects and the impacts of joint ventures, with a specific emphasis on the UK market.</w:t>
      </w:r>
    </w:p>
    <w:p w14:paraId="432027C2" w14:textId="77777777" w:rsidR="00CE2452" w:rsidRPr="004A73C1" w:rsidRDefault="00CE2452" w:rsidP="00EF2E34">
      <w:pPr>
        <w:spacing w:line="360" w:lineRule="auto"/>
        <w:jc w:val="both"/>
        <w:rPr>
          <w:rFonts w:ascii="Arial" w:hAnsi="Arial" w:cs="Arial"/>
        </w:rPr>
      </w:pPr>
      <w:r w:rsidRPr="004A73C1">
        <w:rPr>
          <w:rFonts w:ascii="Arial" w:hAnsi="Arial" w:cs="Arial"/>
        </w:rPr>
        <w:t>The chapter begins with a detailed analysis of FDI statistics, highlighting the number of projects, types of investment, and changes observed over the years. It delves into the role of the Department for International Trade in supporting FDI projects, showcasing the scale and significance of foreign investment in the UK.</w:t>
      </w:r>
    </w:p>
    <w:p w14:paraId="1F81BFAE" w14:textId="77777777" w:rsidR="00CE2452" w:rsidRPr="004A73C1" w:rsidRDefault="00CE2452" w:rsidP="00EF2E34">
      <w:pPr>
        <w:spacing w:line="360" w:lineRule="auto"/>
        <w:jc w:val="both"/>
        <w:rPr>
          <w:rFonts w:ascii="Arial" w:hAnsi="Arial" w:cs="Arial"/>
        </w:rPr>
      </w:pPr>
      <w:r w:rsidRPr="004A73C1">
        <w:rPr>
          <w:rFonts w:ascii="Arial" w:hAnsi="Arial" w:cs="Arial"/>
        </w:rPr>
        <w:t>Additionally, the chapter delves into the concept of FDI by direction, distinguishing between inward FDI and outward FDI. Through real-world examples, it illustrates the impact of inward FDI on the UK economy, demonstrating how international companies continue to invest in the UK market despite uncertainties such as Brexit. It also sheds light on the nature of outward FDI and how domestic companies expand their investments abroad.</w:t>
      </w:r>
    </w:p>
    <w:p w14:paraId="6050A5B7" w14:textId="77CD0160" w:rsidR="00317BCF" w:rsidRPr="004A73C1" w:rsidRDefault="00CE2452" w:rsidP="00EF2E34">
      <w:pPr>
        <w:spacing w:line="360" w:lineRule="auto"/>
        <w:jc w:val="both"/>
        <w:rPr>
          <w:rFonts w:ascii="Arial" w:hAnsi="Arial" w:cs="Arial"/>
        </w:rPr>
      </w:pPr>
      <w:r w:rsidRPr="004A73C1">
        <w:rPr>
          <w:rFonts w:ascii="Arial" w:hAnsi="Arial" w:cs="Arial"/>
        </w:rPr>
        <w:t xml:space="preserve">Overall, the literature review aims to </w:t>
      </w:r>
      <w:r w:rsidR="00E11091" w:rsidRPr="004A73C1">
        <w:rPr>
          <w:rFonts w:ascii="Arial" w:hAnsi="Arial" w:cs="Arial"/>
        </w:rPr>
        <w:t>comprehensively understand</w:t>
      </w:r>
      <w:r w:rsidRPr="004A73C1">
        <w:rPr>
          <w:rFonts w:ascii="Arial" w:hAnsi="Arial" w:cs="Arial"/>
        </w:rPr>
        <w:t xml:space="preserve"> FDI projects, joint ventures, and the dynamics of inward and outward investment. It sets the stage for the research by providing a solid foundation of knowledge and insights into the complex world of international business and investment.</w:t>
      </w:r>
      <w:r w:rsidR="00317BCF" w:rsidRPr="004A73C1">
        <w:rPr>
          <w:rFonts w:ascii="Arial" w:hAnsi="Arial" w:cs="Arial"/>
        </w:rPr>
        <w:br w:type="page"/>
      </w:r>
    </w:p>
    <w:p w14:paraId="6320DAB7" w14:textId="513DBBB7" w:rsidR="00E11091" w:rsidRPr="004A73C1" w:rsidRDefault="00317BCF" w:rsidP="00083B6C">
      <w:pPr>
        <w:pStyle w:val="Heading1"/>
        <w:spacing w:line="360" w:lineRule="auto"/>
        <w:jc w:val="center"/>
        <w:rPr>
          <w:rFonts w:ascii="Arial" w:hAnsi="Arial" w:cs="Arial"/>
          <w:b/>
          <w:bCs/>
          <w:color w:val="002060"/>
          <w:sz w:val="28"/>
          <w:szCs w:val="28"/>
        </w:rPr>
      </w:pPr>
      <w:bookmarkStart w:id="73" w:name="_Toc316005687"/>
      <w:bookmarkStart w:id="74" w:name="_Toc175056460"/>
      <w:bookmarkStart w:id="75" w:name="_Toc175848115"/>
      <w:r w:rsidRPr="004A73C1">
        <w:rPr>
          <w:rFonts w:ascii="Arial" w:hAnsi="Arial" w:cs="Arial"/>
          <w:b/>
          <w:bCs/>
          <w:color w:val="002060"/>
          <w:sz w:val="28"/>
          <w:szCs w:val="28"/>
        </w:rPr>
        <w:lastRenderedPageBreak/>
        <w:t>C</w:t>
      </w:r>
      <w:r w:rsidR="00083B6C">
        <w:rPr>
          <w:rFonts w:ascii="Arial" w:hAnsi="Arial" w:cs="Arial"/>
          <w:b/>
          <w:bCs/>
          <w:color w:val="002060"/>
          <w:sz w:val="28"/>
          <w:szCs w:val="28"/>
        </w:rPr>
        <w:t>hapter</w:t>
      </w:r>
      <w:r w:rsidRPr="004A73C1">
        <w:rPr>
          <w:rFonts w:ascii="Arial" w:hAnsi="Arial" w:cs="Arial"/>
          <w:b/>
          <w:bCs/>
          <w:color w:val="002060"/>
          <w:sz w:val="28"/>
          <w:szCs w:val="28"/>
        </w:rPr>
        <w:t xml:space="preserve"> </w:t>
      </w:r>
      <w:r w:rsidR="00E11091" w:rsidRPr="004A73C1">
        <w:rPr>
          <w:rFonts w:ascii="Arial" w:hAnsi="Arial" w:cs="Arial"/>
          <w:b/>
          <w:bCs/>
          <w:color w:val="002060"/>
          <w:sz w:val="28"/>
          <w:szCs w:val="28"/>
        </w:rPr>
        <w:t>3</w:t>
      </w:r>
      <w:bookmarkEnd w:id="73"/>
      <w:r w:rsidR="00E11091" w:rsidRPr="004A73C1">
        <w:rPr>
          <w:rFonts w:ascii="Arial" w:hAnsi="Arial" w:cs="Arial"/>
          <w:b/>
          <w:bCs/>
          <w:color w:val="002060"/>
          <w:sz w:val="28"/>
          <w:szCs w:val="28"/>
        </w:rPr>
        <w:t>- Research Methodologies</w:t>
      </w:r>
      <w:bookmarkEnd w:id="74"/>
      <w:bookmarkEnd w:id="75"/>
    </w:p>
    <w:p w14:paraId="73DEBF1B" w14:textId="4AA9EAD6" w:rsidR="00E11091" w:rsidRPr="004A73C1" w:rsidRDefault="00000000" w:rsidP="00EF2E34">
      <w:pPr>
        <w:spacing w:line="360" w:lineRule="auto"/>
        <w:jc w:val="both"/>
        <w:rPr>
          <w:rFonts w:ascii="Arial" w:hAnsi="Arial" w:cs="Arial"/>
        </w:rPr>
      </w:pPr>
      <w:r>
        <w:rPr>
          <w:rFonts w:ascii="Arial" w:hAnsi="Arial" w:cs="Arial"/>
        </w:rPr>
        <w:pict w14:anchorId="14EFB2C5">
          <v:rect id="_x0000_i1027" style="width:0;height:1.5pt" o:hralign="center" o:hrstd="t" o:hr="t" fillcolor="#a0a0a0" stroked="f"/>
        </w:pict>
      </w:r>
    </w:p>
    <w:p w14:paraId="37A891CE" w14:textId="393031AD" w:rsidR="00317BCF" w:rsidRPr="004A73C1" w:rsidRDefault="00D11768" w:rsidP="00EF2E34">
      <w:pPr>
        <w:pStyle w:val="Heading2"/>
        <w:spacing w:line="360" w:lineRule="auto"/>
        <w:rPr>
          <w:rFonts w:ascii="Arial" w:hAnsi="Arial" w:cs="Arial"/>
          <w:color w:val="auto"/>
        </w:rPr>
      </w:pPr>
      <w:bookmarkStart w:id="76" w:name="_Toc316005688"/>
      <w:bookmarkStart w:id="77" w:name="_Toc175056461"/>
      <w:bookmarkStart w:id="78" w:name="_Toc175848116"/>
      <w:r w:rsidRPr="004A73C1">
        <w:rPr>
          <w:rFonts w:ascii="Arial" w:hAnsi="Arial" w:cs="Arial"/>
          <w:color w:val="auto"/>
        </w:rPr>
        <w:t>3.1</w:t>
      </w:r>
      <w:r w:rsidRPr="004A73C1">
        <w:rPr>
          <w:rFonts w:ascii="Arial" w:hAnsi="Arial" w:cs="Arial"/>
          <w:color w:val="auto"/>
        </w:rPr>
        <w:tab/>
      </w:r>
      <w:r w:rsidR="009F1A70" w:rsidRPr="004A73C1">
        <w:rPr>
          <w:rFonts w:ascii="Arial" w:hAnsi="Arial" w:cs="Arial"/>
          <w:color w:val="auto"/>
        </w:rPr>
        <w:t>Introduction</w:t>
      </w:r>
      <w:bookmarkEnd w:id="76"/>
      <w:bookmarkEnd w:id="77"/>
      <w:bookmarkEnd w:id="78"/>
    </w:p>
    <w:p w14:paraId="7DAA3A3E" w14:textId="41E0DBAE" w:rsidR="00B90250" w:rsidRPr="004A73C1" w:rsidRDefault="00B90250" w:rsidP="00EF2E34">
      <w:pPr>
        <w:spacing w:after="0" w:line="360" w:lineRule="auto"/>
        <w:jc w:val="both"/>
        <w:rPr>
          <w:rFonts w:ascii="Arial" w:hAnsi="Arial" w:cs="Arial"/>
        </w:rPr>
      </w:pPr>
      <w:r w:rsidRPr="004A73C1">
        <w:rPr>
          <w:rFonts w:ascii="Arial" w:hAnsi="Arial" w:cs="Arial"/>
        </w:rPr>
        <w:t>This chapter will present an overview of the dissertation's methodology and discuss the various research types and procedures available for scholarly investigation.</w:t>
      </w:r>
    </w:p>
    <w:p w14:paraId="4CFCF0BB" w14:textId="2633446B" w:rsidR="00B90250" w:rsidRPr="004A73C1" w:rsidRDefault="00D11768" w:rsidP="00EF2E34">
      <w:pPr>
        <w:pStyle w:val="Heading2"/>
        <w:spacing w:line="360" w:lineRule="auto"/>
        <w:rPr>
          <w:rFonts w:ascii="Arial" w:hAnsi="Arial" w:cs="Arial"/>
          <w:color w:val="auto"/>
        </w:rPr>
      </w:pPr>
      <w:bookmarkStart w:id="79" w:name="_Toc175056462"/>
      <w:bookmarkStart w:id="80" w:name="_Toc175848117"/>
      <w:r w:rsidRPr="004A73C1">
        <w:rPr>
          <w:rFonts w:ascii="Arial" w:hAnsi="Arial" w:cs="Arial"/>
          <w:color w:val="auto"/>
        </w:rPr>
        <w:t>3.2</w:t>
      </w:r>
      <w:r w:rsidRPr="004A73C1">
        <w:rPr>
          <w:rFonts w:ascii="Arial" w:hAnsi="Arial" w:cs="Arial"/>
          <w:color w:val="auto"/>
        </w:rPr>
        <w:tab/>
      </w:r>
      <w:r w:rsidR="00B90250" w:rsidRPr="004A73C1">
        <w:rPr>
          <w:rFonts w:ascii="Arial" w:hAnsi="Arial" w:cs="Arial"/>
          <w:color w:val="auto"/>
        </w:rPr>
        <w:t xml:space="preserve">Research </w:t>
      </w:r>
      <w:r w:rsidR="00C13730">
        <w:rPr>
          <w:rFonts w:ascii="Arial" w:hAnsi="Arial" w:cs="Arial"/>
          <w:color w:val="auto"/>
        </w:rPr>
        <w:t>M</w:t>
      </w:r>
      <w:r w:rsidR="00B90250" w:rsidRPr="004A73C1">
        <w:rPr>
          <w:rFonts w:ascii="Arial" w:hAnsi="Arial" w:cs="Arial"/>
          <w:color w:val="auto"/>
        </w:rPr>
        <w:t>ethodologies</w:t>
      </w:r>
      <w:bookmarkEnd w:id="79"/>
      <w:bookmarkEnd w:id="80"/>
    </w:p>
    <w:p w14:paraId="58EE6A52" w14:textId="7E01945F" w:rsidR="00317BCF" w:rsidRDefault="00317BCF" w:rsidP="00EF2E34">
      <w:pPr>
        <w:spacing w:after="0" w:line="360" w:lineRule="auto"/>
        <w:jc w:val="both"/>
        <w:rPr>
          <w:rFonts w:ascii="Arial" w:eastAsia="Arial Unicode MS" w:hAnsi="Arial" w:cs="Arial"/>
        </w:rPr>
      </w:pPr>
      <w:r w:rsidRPr="004A73C1">
        <w:rPr>
          <w:rFonts w:ascii="Arial" w:hAnsi="Arial" w:cs="Arial"/>
        </w:rPr>
        <w:t>Research methodologies refer to the systematic and structured techniques and procedures researchers use to conduct their studies and gather relevant data. These methodologies assist researchers in achieving their objectives and drawing conclusions from their research. Various research methodologies, such as pure and applied research, serve different purposes and utilise distinct approaches to gather and interpret data. The research process involves several steps, including formulating research questions, reviewing existing literature, collecting and analysing data, and drawing conclusions based on the findings. These steps are crucial in guiding researchers towards completing their research projects (</w:t>
      </w:r>
      <w:r w:rsidRPr="004A73C1">
        <w:rPr>
          <w:rFonts w:ascii="Arial" w:eastAsia="Arial Unicode MS" w:hAnsi="Arial" w:cs="Arial"/>
        </w:rPr>
        <w:t>Kothari, C.R, 1985).</w:t>
      </w:r>
    </w:p>
    <w:p w14:paraId="08F91F15" w14:textId="77777777" w:rsidR="000D7E53" w:rsidRPr="004A73C1" w:rsidRDefault="000D7E53" w:rsidP="00EF2E34">
      <w:pPr>
        <w:spacing w:after="0" w:line="360" w:lineRule="auto"/>
        <w:jc w:val="both"/>
        <w:rPr>
          <w:rFonts w:ascii="Arial" w:eastAsia="Arial Unicode MS" w:hAnsi="Arial" w:cs="Arial"/>
        </w:rPr>
      </w:pPr>
    </w:p>
    <w:p w14:paraId="6ABA27C1" w14:textId="27312F54" w:rsidR="00317BCF" w:rsidRPr="004A73C1" w:rsidRDefault="00D11768" w:rsidP="00EF2E34">
      <w:pPr>
        <w:pStyle w:val="Heading2"/>
        <w:spacing w:line="360" w:lineRule="auto"/>
        <w:rPr>
          <w:rFonts w:ascii="Arial" w:hAnsi="Arial" w:cs="Arial"/>
          <w:color w:val="auto"/>
        </w:rPr>
      </w:pPr>
      <w:bookmarkStart w:id="81" w:name="_Toc175056463"/>
      <w:bookmarkStart w:id="82" w:name="_Toc175848118"/>
      <w:r w:rsidRPr="004A73C1">
        <w:rPr>
          <w:rFonts w:ascii="Arial" w:hAnsi="Arial" w:cs="Arial"/>
          <w:color w:val="auto"/>
        </w:rPr>
        <w:t>3.3</w:t>
      </w:r>
      <w:r w:rsidRPr="004A73C1">
        <w:rPr>
          <w:rFonts w:ascii="Arial" w:hAnsi="Arial" w:cs="Arial"/>
          <w:color w:val="auto"/>
        </w:rPr>
        <w:tab/>
      </w:r>
      <w:r w:rsidR="00317BCF" w:rsidRPr="004A73C1">
        <w:rPr>
          <w:rFonts w:ascii="Arial" w:hAnsi="Arial" w:cs="Arial"/>
          <w:color w:val="auto"/>
        </w:rPr>
        <w:t xml:space="preserve">The </w:t>
      </w:r>
      <w:r w:rsidR="00C13730">
        <w:rPr>
          <w:rFonts w:ascii="Arial" w:hAnsi="Arial" w:cs="Arial"/>
          <w:color w:val="auto"/>
        </w:rPr>
        <w:t>M</w:t>
      </w:r>
      <w:r w:rsidR="00317BCF" w:rsidRPr="004A73C1">
        <w:rPr>
          <w:rFonts w:ascii="Arial" w:hAnsi="Arial" w:cs="Arial"/>
          <w:color w:val="auto"/>
        </w:rPr>
        <w:t xml:space="preserve">ain </w:t>
      </w:r>
      <w:r w:rsidR="00C13730">
        <w:rPr>
          <w:rFonts w:ascii="Arial" w:hAnsi="Arial" w:cs="Arial"/>
          <w:color w:val="auto"/>
        </w:rPr>
        <w:t>T</w:t>
      </w:r>
      <w:r w:rsidR="00317BCF" w:rsidRPr="004A73C1">
        <w:rPr>
          <w:rFonts w:ascii="Arial" w:hAnsi="Arial" w:cs="Arial"/>
          <w:color w:val="auto"/>
        </w:rPr>
        <w:t xml:space="preserve">ypes </w:t>
      </w:r>
      <w:proofErr w:type="gramStart"/>
      <w:r w:rsidR="00C13730">
        <w:rPr>
          <w:rFonts w:ascii="Arial" w:hAnsi="Arial" w:cs="Arial"/>
          <w:color w:val="auto"/>
        </w:rPr>
        <w:t>O</w:t>
      </w:r>
      <w:r w:rsidR="00317BCF" w:rsidRPr="004A73C1">
        <w:rPr>
          <w:rFonts w:ascii="Arial" w:hAnsi="Arial" w:cs="Arial"/>
          <w:color w:val="auto"/>
        </w:rPr>
        <w:t>f</w:t>
      </w:r>
      <w:proofErr w:type="gramEnd"/>
      <w:r w:rsidR="00317BCF" w:rsidRPr="004A73C1">
        <w:rPr>
          <w:rFonts w:ascii="Arial" w:hAnsi="Arial" w:cs="Arial"/>
          <w:color w:val="auto"/>
        </w:rPr>
        <w:t xml:space="preserve"> </w:t>
      </w:r>
      <w:r w:rsidR="00C13730">
        <w:rPr>
          <w:rFonts w:ascii="Arial" w:hAnsi="Arial" w:cs="Arial"/>
          <w:color w:val="auto"/>
        </w:rPr>
        <w:t>R</w:t>
      </w:r>
      <w:r w:rsidR="00317BCF" w:rsidRPr="004A73C1">
        <w:rPr>
          <w:rFonts w:ascii="Arial" w:hAnsi="Arial" w:cs="Arial"/>
          <w:color w:val="auto"/>
        </w:rPr>
        <w:t>esearch</w:t>
      </w:r>
      <w:bookmarkEnd w:id="81"/>
      <w:bookmarkEnd w:id="82"/>
      <w:r w:rsidR="00317BCF" w:rsidRPr="004A73C1">
        <w:rPr>
          <w:rFonts w:ascii="Arial" w:hAnsi="Arial" w:cs="Arial"/>
          <w:color w:val="auto"/>
        </w:rPr>
        <w:t xml:space="preserve"> </w:t>
      </w:r>
    </w:p>
    <w:p w14:paraId="6D9FB606" w14:textId="7A440E1D" w:rsidR="00321E92" w:rsidRPr="004A73C1" w:rsidRDefault="00321E92" w:rsidP="00EF2E34">
      <w:pPr>
        <w:spacing w:after="0" w:line="360" w:lineRule="auto"/>
        <w:jc w:val="both"/>
        <w:rPr>
          <w:rFonts w:ascii="Arial" w:hAnsi="Arial" w:cs="Arial"/>
        </w:rPr>
      </w:pPr>
      <w:r w:rsidRPr="004A73C1">
        <w:rPr>
          <w:rFonts w:ascii="Arial" w:hAnsi="Arial" w:cs="Arial"/>
        </w:rPr>
        <w:t>There are three types of research:</w:t>
      </w:r>
    </w:p>
    <w:p w14:paraId="0293F899" w14:textId="77777777" w:rsidR="00317BCF" w:rsidRPr="004A73C1" w:rsidRDefault="00317BCF" w:rsidP="00EF2E34">
      <w:pPr>
        <w:spacing w:after="0" w:line="360" w:lineRule="auto"/>
        <w:jc w:val="both"/>
        <w:rPr>
          <w:rFonts w:ascii="Arial" w:hAnsi="Arial" w:cs="Arial"/>
        </w:rPr>
      </w:pPr>
      <w:r w:rsidRPr="004A73C1">
        <w:rPr>
          <w:rFonts w:ascii="Arial" w:hAnsi="Arial" w:cs="Arial"/>
        </w:rPr>
        <w:t>1. Quantitative research</w:t>
      </w:r>
    </w:p>
    <w:p w14:paraId="01B4C520" w14:textId="77777777" w:rsidR="00317BCF" w:rsidRPr="004A73C1" w:rsidRDefault="00317BCF" w:rsidP="00EF2E34">
      <w:pPr>
        <w:spacing w:after="0" w:line="360" w:lineRule="auto"/>
        <w:jc w:val="both"/>
        <w:rPr>
          <w:rFonts w:ascii="Arial" w:hAnsi="Arial" w:cs="Arial"/>
        </w:rPr>
      </w:pPr>
      <w:r w:rsidRPr="004A73C1">
        <w:rPr>
          <w:rFonts w:ascii="Arial" w:hAnsi="Arial" w:cs="Arial"/>
        </w:rPr>
        <w:t>2. Qualitative research</w:t>
      </w:r>
    </w:p>
    <w:p w14:paraId="0EFB114E" w14:textId="77777777" w:rsidR="00317BCF" w:rsidRDefault="00317BCF" w:rsidP="00EF2E34">
      <w:pPr>
        <w:spacing w:after="0" w:line="360" w:lineRule="auto"/>
        <w:jc w:val="both"/>
        <w:rPr>
          <w:rFonts w:ascii="Arial" w:hAnsi="Arial" w:cs="Arial"/>
        </w:rPr>
      </w:pPr>
      <w:r w:rsidRPr="004A73C1">
        <w:rPr>
          <w:rFonts w:ascii="Arial" w:hAnsi="Arial" w:cs="Arial"/>
        </w:rPr>
        <w:t>3. Mixed-method research</w:t>
      </w:r>
    </w:p>
    <w:p w14:paraId="6495F1AF" w14:textId="77777777" w:rsidR="000D7E53" w:rsidRPr="004A73C1" w:rsidRDefault="000D7E53" w:rsidP="00EF2E34">
      <w:pPr>
        <w:spacing w:after="0" w:line="360" w:lineRule="auto"/>
        <w:jc w:val="both"/>
        <w:rPr>
          <w:rFonts w:ascii="Arial" w:hAnsi="Arial" w:cs="Arial"/>
        </w:rPr>
      </w:pPr>
    </w:p>
    <w:p w14:paraId="2E033D10" w14:textId="5EEA5B82" w:rsidR="00127D43" w:rsidRPr="004A73C1" w:rsidRDefault="00D11768" w:rsidP="00EF2E34">
      <w:pPr>
        <w:pStyle w:val="Heading2"/>
        <w:spacing w:line="360" w:lineRule="auto"/>
        <w:rPr>
          <w:rFonts w:ascii="Arial" w:hAnsi="Arial" w:cs="Arial"/>
          <w:color w:val="auto"/>
        </w:rPr>
      </w:pPr>
      <w:bookmarkStart w:id="83" w:name="_Toc175056464"/>
      <w:bookmarkStart w:id="84" w:name="_Toc175848119"/>
      <w:r w:rsidRPr="004A73C1">
        <w:rPr>
          <w:rFonts w:ascii="Arial" w:hAnsi="Arial" w:cs="Arial"/>
          <w:color w:val="auto"/>
        </w:rPr>
        <w:t>3.3.1</w:t>
      </w:r>
      <w:r w:rsidRPr="004A73C1">
        <w:rPr>
          <w:rFonts w:ascii="Arial" w:hAnsi="Arial" w:cs="Arial"/>
          <w:color w:val="auto"/>
        </w:rPr>
        <w:tab/>
      </w:r>
      <w:r w:rsidR="00127D43" w:rsidRPr="004A73C1">
        <w:rPr>
          <w:rFonts w:ascii="Arial" w:hAnsi="Arial" w:cs="Arial"/>
          <w:color w:val="auto"/>
        </w:rPr>
        <w:t xml:space="preserve">Quantitative </w:t>
      </w:r>
      <w:r w:rsidR="00C13730">
        <w:rPr>
          <w:rFonts w:ascii="Arial" w:hAnsi="Arial" w:cs="Arial"/>
          <w:color w:val="auto"/>
        </w:rPr>
        <w:t>R</w:t>
      </w:r>
      <w:r w:rsidR="00127D43" w:rsidRPr="004A73C1">
        <w:rPr>
          <w:rFonts w:ascii="Arial" w:hAnsi="Arial" w:cs="Arial"/>
          <w:color w:val="auto"/>
        </w:rPr>
        <w:t>esearch</w:t>
      </w:r>
      <w:bookmarkEnd w:id="83"/>
      <w:bookmarkEnd w:id="84"/>
    </w:p>
    <w:p w14:paraId="121FE5AC" w14:textId="77777777" w:rsidR="000C06A6" w:rsidRPr="004A73C1" w:rsidRDefault="002B08F4" w:rsidP="00EF2E34">
      <w:pPr>
        <w:spacing w:after="0" w:line="360" w:lineRule="auto"/>
        <w:jc w:val="both"/>
        <w:rPr>
          <w:rFonts w:ascii="Arial" w:hAnsi="Arial" w:cs="Arial"/>
        </w:rPr>
      </w:pPr>
      <w:r w:rsidRPr="004A73C1">
        <w:rPr>
          <w:rFonts w:ascii="Arial" w:hAnsi="Arial" w:cs="Arial"/>
        </w:rPr>
        <w:t xml:space="preserve">When conducting quantitative research for Foreign Direct Investment (FDI), detailed analysis involves utilizing statistical and econometric methods to examine specific aspects of FDI and its impact on the economy. </w:t>
      </w:r>
    </w:p>
    <w:p w14:paraId="13B6D34E" w14:textId="77777777" w:rsidR="000D7E53" w:rsidRDefault="000D7E53" w:rsidP="00EF2E34">
      <w:pPr>
        <w:spacing w:after="0" w:line="360" w:lineRule="auto"/>
        <w:jc w:val="both"/>
        <w:rPr>
          <w:rFonts w:ascii="Arial" w:hAnsi="Arial" w:cs="Arial"/>
        </w:rPr>
      </w:pPr>
    </w:p>
    <w:p w14:paraId="581CFBD3" w14:textId="67D5E4C9" w:rsidR="00433E60" w:rsidRPr="004A73C1" w:rsidRDefault="00433E60" w:rsidP="00EF2E34">
      <w:pPr>
        <w:spacing w:after="0" w:line="360" w:lineRule="auto"/>
        <w:jc w:val="both"/>
        <w:rPr>
          <w:rFonts w:ascii="Arial" w:hAnsi="Arial" w:cs="Arial"/>
        </w:rPr>
      </w:pPr>
      <w:r w:rsidRPr="004A73C1">
        <w:rPr>
          <w:rFonts w:ascii="Arial" w:hAnsi="Arial" w:cs="Arial"/>
        </w:rPr>
        <w:t>To effectively achieve our research objectives, it is imperative to undertake a thorough analysis aimed at uncovering the answers to our specific research inquiries. This involves comprehensively grasping and effectively leveraging data derived from various sources. To meticulously compare the secondary data, we will employ a range of analysis methods which are detailed below. These methods will allow us to quantitatively assess the data and provide a thorough and detailed analysis.</w:t>
      </w:r>
    </w:p>
    <w:p w14:paraId="230FD5D7" w14:textId="77777777" w:rsidR="006C3437" w:rsidRDefault="006C3437" w:rsidP="00EF2E34">
      <w:pPr>
        <w:spacing w:after="0" w:line="360" w:lineRule="auto"/>
        <w:jc w:val="both"/>
        <w:rPr>
          <w:rFonts w:ascii="Arial" w:hAnsi="Arial" w:cs="Arial"/>
        </w:rPr>
      </w:pPr>
    </w:p>
    <w:p w14:paraId="39ACA4BB" w14:textId="6CBAA377" w:rsidR="002B08F4" w:rsidRPr="004A73C1" w:rsidRDefault="002B08F4" w:rsidP="00EF2E34">
      <w:pPr>
        <w:spacing w:after="0" w:line="360" w:lineRule="auto"/>
        <w:jc w:val="both"/>
        <w:rPr>
          <w:rFonts w:ascii="Arial" w:hAnsi="Arial" w:cs="Arial"/>
        </w:rPr>
      </w:pPr>
      <w:r w:rsidRPr="004A73C1">
        <w:rPr>
          <w:rFonts w:ascii="Arial" w:hAnsi="Arial" w:cs="Arial"/>
        </w:rPr>
        <w:t>Here are a few quantitative research techniques and examples of their application in FDI analysis:</w:t>
      </w:r>
    </w:p>
    <w:p w14:paraId="2F385D4C" w14:textId="77777777" w:rsidR="002B08F4" w:rsidRPr="004A73C1" w:rsidRDefault="002B08F4" w:rsidP="00EF2E34">
      <w:pPr>
        <w:spacing w:after="0" w:line="360" w:lineRule="auto"/>
        <w:jc w:val="both"/>
        <w:rPr>
          <w:rFonts w:ascii="Arial" w:hAnsi="Arial" w:cs="Arial"/>
        </w:rPr>
      </w:pPr>
    </w:p>
    <w:p w14:paraId="0602CD24" w14:textId="42976D28" w:rsidR="00994D7E" w:rsidRDefault="00D11768" w:rsidP="00EF2E34">
      <w:pPr>
        <w:pStyle w:val="Heading3"/>
        <w:spacing w:line="360" w:lineRule="auto"/>
        <w:rPr>
          <w:rStyle w:val="Heading2Char"/>
          <w:rFonts w:ascii="Arial" w:hAnsi="Arial" w:cs="Arial"/>
          <w:color w:val="auto"/>
          <w:sz w:val="26"/>
          <w:szCs w:val="26"/>
        </w:rPr>
      </w:pPr>
      <w:bookmarkStart w:id="85" w:name="_Toc175056465"/>
      <w:bookmarkStart w:id="86" w:name="_Toc175848120"/>
      <w:r w:rsidRPr="004A73C1">
        <w:rPr>
          <w:rStyle w:val="Heading2Char"/>
          <w:rFonts w:ascii="Arial" w:hAnsi="Arial" w:cs="Arial"/>
          <w:color w:val="auto"/>
          <w:sz w:val="26"/>
          <w:szCs w:val="26"/>
        </w:rPr>
        <w:lastRenderedPageBreak/>
        <w:t>3.3.</w:t>
      </w:r>
      <w:r w:rsidR="00646CBB" w:rsidRPr="004A73C1">
        <w:rPr>
          <w:rStyle w:val="Heading2Char"/>
          <w:rFonts w:ascii="Arial" w:hAnsi="Arial" w:cs="Arial"/>
          <w:color w:val="auto"/>
          <w:sz w:val="26"/>
          <w:szCs w:val="26"/>
        </w:rPr>
        <w:t>2</w:t>
      </w:r>
      <w:r w:rsidRPr="004A73C1">
        <w:rPr>
          <w:rStyle w:val="Heading2Char"/>
          <w:rFonts w:ascii="Arial" w:hAnsi="Arial" w:cs="Arial"/>
          <w:color w:val="auto"/>
          <w:sz w:val="26"/>
          <w:szCs w:val="26"/>
        </w:rPr>
        <w:tab/>
      </w:r>
      <w:r w:rsidR="00994D7E" w:rsidRPr="004A73C1">
        <w:rPr>
          <w:rStyle w:val="Heading2Char"/>
          <w:rFonts w:ascii="Arial" w:hAnsi="Arial" w:cs="Arial"/>
          <w:color w:val="auto"/>
          <w:sz w:val="26"/>
          <w:szCs w:val="26"/>
        </w:rPr>
        <w:t>Quantitative Research Techniques</w:t>
      </w:r>
      <w:bookmarkEnd w:id="86"/>
    </w:p>
    <w:p w14:paraId="0959C290" w14:textId="77777777" w:rsidR="00475D42" w:rsidRPr="00475D42" w:rsidRDefault="00475D42" w:rsidP="00475D42"/>
    <w:p w14:paraId="205FEB67" w14:textId="208C1E48" w:rsidR="002B08F4" w:rsidRPr="004A73C1" w:rsidRDefault="00994D7E" w:rsidP="00EF2E34">
      <w:pPr>
        <w:pStyle w:val="Heading3"/>
        <w:spacing w:line="360" w:lineRule="auto"/>
        <w:rPr>
          <w:rStyle w:val="Heading2Char"/>
          <w:rFonts w:ascii="Arial" w:hAnsi="Arial" w:cs="Arial"/>
          <w:color w:val="auto"/>
          <w:sz w:val="26"/>
          <w:szCs w:val="26"/>
        </w:rPr>
      </w:pPr>
      <w:bookmarkStart w:id="87" w:name="_Toc175848121"/>
      <w:r w:rsidRPr="004A73C1">
        <w:rPr>
          <w:rStyle w:val="Heading2Char"/>
          <w:rFonts w:ascii="Arial" w:hAnsi="Arial" w:cs="Arial"/>
          <w:color w:val="auto"/>
          <w:sz w:val="26"/>
          <w:szCs w:val="26"/>
        </w:rPr>
        <w:t>1</w:t>
      </w:r>
      <w:r w:rsidRPr="004A73C1">
        <w:rPr>
          <w:rStyle w:val="Heading2Char"/>
          <w:rFonts w:ascii="Arial" w:hAnsi="Arial" w:cs="Arial"/>
          <w:color w:val="auto"/>
          <w:sz w:val="26"/>
          <w:szCs w:val="26"/>
        </w:rPr>
        <w:tab/>
      </w:r>
      <w:r w:rsidR="002B08F4" w:rsidRPr="004A73C1">
        <w:rPr>
          <w:rStyle w:val="Heading2Char"/>
          <w:rFonts w:ascii="Arial" w:hAnsi="Arial" w:cs="Arial"/>
          <w:color w:val="auto"/>
          <w:sz w:val="26"/>
          <w:szCs w:val="26"/>
        </w:rPr>
        <w:t>Regression Analysis:</w:t>
      </w:r>
      <w:bookmarkEnd w:id="85"/>
      <w:bookmarkEnd w:id="87"/>
    </w:p>
    <w:p w14:paraId="1AD68A23" w14:textId="74A4D69D" w:rsidR="002B08F4" w:rsidRPr="004A73C1" w:rsidRDefault="002B08F4" w:rsidP="00EF2E34">
      <w:pPr>
        <w:spacing w:after="0" w:line="360" w:lineRule="auto"/>
        <w:jc w:val="both"/>
        <w:rPr>
          <w:rFonts w:ascii="Arial" w:hAnsi="Arial" w:cs="Arial"/>
        </w:rPr>
      </w:pPr>
      <w:r w:rsidRPr="004A73C1">
        <w:rPr>
          <w:rFonts w:ascii="Arial" w:hAnsi="Arial" w:cs="Arial"/>
        </w:rPr>
        <w:t>Regression analysis can be used to identify the determinants of FDI.</w:t>
      </w:r>
      <w:r w:rsidR="00E305FC" w:rsidRPr="004A73C1">
        <w:rPr>
          <w:rFonts w:ascii="Arial" w:hAnsi="Arial" w:cs="Arial"/>
        </w:rPr>
        <w:t xml:space="preserve"> This allows us to</w:t>
      </w:r>
      <w:r w:rsidRPr="004A73C1">
        <w:rPr>
          <w:rFonts w:ascii="Arial" w:hAnsi="Arial" w:cs="Arial"/>
        </w:rPr>
        <w:t xml:space="preserve"> examine the relationship between FDI inflows and various factors such as market size, labour costs, infrastructure, government policies, and economic stability. For example, a study may use regression analysis to assess the impact of tax incentives on FDI inflows in a specific industry or region.</w:t>
      </w:r>
    </w:p>
    <w:p w14:paraId="0B431AA7" w14:textId="7BE5DB09" w:rsidR="002B08F4" w:rsidRPr="004A73C1" w:rsidRDefault="00994D7E" w:rsidP="00EF2E34">
      <w:pPr>
        <w:pStyle w:val="Heading3"/>
        <w:spacing w:line="360" w:lineRule="auto"/>
        <w:rPr>
          <w:rStyle w:val="Heading2Char"/>
          <w:rFonts w:ascii="Arial" w:hAnsi="Arial" w:cs="Arial"/>
          <w:color w:val="auto"/>
          <w:sz w:val="26"/>
          <w:szCs w:val="26"/>
        </w:rPr>
      </w:pPr>
      <w:bookmarkStart w:id="88" w:name="_Toc175056466"/>
      <w:bookmarkStart w:id="89" w:name="_Toc175848122"/>
      <w:r w:rsidRPr="004A73C1">
        <w:rPr>
          <w:rStyle w:val="Heading2Char"/>
          <w:rFonts w:ascii="Arial" w:hAnsi="Arial" w:cs="Arial"/>
          <w:color w:val="auto"/>
          <w:sz w:val="26"/>
          <w:szCs w:val="26"/>
        </w:rPr>
        <w:t>2</w:t>
      </w:r>
      <w:r w:rsidR="00D11768" w:rsidRPr="004A73C1">
        <w:rPr>
          <w:rStyle w:val="Heading2Char"/>
          <w:rFonts w:ascii="Arial" w:hAnsi="Arial" w:cs="Arial"/>
          <w:color w:val="auto"/>
          <w:sz w:val="26"/>
          <w:szCs w:val="26"/>
        </w:rPr>
        <w:tab/>
      </w:r>
      <w:r w:rsidR="002B08F4" w:rsidRPr="004A73C1">
        <w:rPr>
          <w:rStyle w:val="Heading2Char"/>
          <w:rFonts w:ascii="Arial" w:hAnsi="Arial" w:cs="Arial"/>
          <w:color w:val="auto"/>
          <w:sz w:val="26"/>
          <w:szCs w:val="26"/>
        </w:rPr>
        <w:t>Input-Output Analysis:</w:t>
      </w:r>
      <w:bookmarkEnd w:id="88"/>
      <w:bookmarkEnd w:id="89"/>
    </w:p>
    <w:p w14:paraId="28622361" w14:textId="527EE18C" w:rsidR="002B08F4" w:rsidRPr="004A73C1" w:rsidRDefault="002B08F4" w:rsidP="00EF2E34">
      <w:pPr>
        <w:spacing w:after="0" w:line="360" w:lineRule="auto"/>
        <w:jc w:val="both"/>
        <w:rPr>
          <w:rFonts w:ascii="Arial" w:hAnsi="Arial" w:cs="Arial"/>
        </w:rPr>
      </w:pPr>
      <w:r w:rsidRPr="004A73C1">
        <w:rPr>
          <w:rFonts w:ascii="Arial" w:hAnsi="Arial" w:cs="Arial"/>
        </w:rPr>
        <w:t xml:space="preserve"> Input-output analysis can be applied to evaluate the inter-industry linkages and multiplier effects of FDI. </w:t>
      </w:r>
      <w:r w:rsidR="00E305FC" w:rsidRPr="004A73C1">
        <w:rPr>
          <w:rFonts w:ascii="Arial" w:hAnsi="Arial" w:cs="Arial"/>
        </w:rPr>
        <w:t xml:space="preserve">We </w:t>
      </w:r>
      <w:r w:rsidRPr="004A73C1">
        <w:rPr>
          <w:rFonts w:ascii="Arial" w:hAnsi="Arial" w:cs="Arial"/>
        </w:rPr>
        <w:t>can use input-output models to quantify how FDI in a particular sector affects other sectors of the economy</w:t>
      </w:r>
    </w:p>
    <w:p w14:paraId="57F4083E" w14:textId="77777777" w:rsidR="002B08F4" w:rsidRPr="004A73C1" w:rsidRDefault="002B08F4" w:rsidP="00EF2E34">
      <w:pPr>
        <w:spacing w:after="0" w:line="360" w:lineRule="auto"/>
        <w:jc w:val="both"/>
        <w:rPr>
          <w:rFonts w:ascii="Arial" w:hAnsi="Arial" w:cs="Arial"/>
        </w:rPr>
      </w:pPr>
    </w:p>
    <w:p w14:paraId="47ED21B8" w14:textId="03827A5E" w:rsidR="002B08F4" w:rsidRPr="004A73C1" w:rsidRDefault="00994D7E" w:rsidP="00EF2E34">
      <w:pPr>
        <w:pStyle w:val="Heading3"/>
        <w:spacing w:line="360" w:lineRule="auto"/>
        <w:rPr>
          <w:rStyle w:val="Heading2Char"/>
          <w:rFonts w:ascii="Arial" w:hAnsi="Arial" w:cs="Arial"/>
          <w:color w:val="auto"/>
          <w:sz w:val="26"/>
          <w:szCs w:val="26"/>
        </w:rPr>
      </w:pPr>
      <w:bookmarkStart w:id="90" w:name="_Toc175056467"/>
      <w:bookmarkStart w:id="91" w:name="_Toc175848123"/>
      <w:r w:rsidRPr="004A73C1">
        <w:rPr>
          <w:rStyle w:val="Heading2Char"/>
          <w:rFonts w:ascii="Arial" w:hAnsi="Arial" w:cs="Arial"/>
          <w:color w:val="auto"/>
          <w:sz w:val="26"/>
          <w:szCs w:val="26"/>
        </w:rPr>
        <w:t>3</w:t>
      </w:r>
      <w:r w:rsidR="00D11768" w:rsidRPr="004A73C1">
        <w:rPr>
          <w:rStyle w:val="Heading2Char"/>
          <w:rFonts w:ascii="Arial" w:hAnsi="Arial" w:cs="Arial"/>
          <w:color w:val="auto"/>
          <w:sz w:val="26"/>
          <w:szCs w:val="26"/>
        </w:rPr>
        <w:tab/>
      </w:r>
      <w:r w:rsidR="002B08F4" w:rsidRPr="004A73C1">
        <w:rPr>
          <w:rStyle w:val="Heading2Char"/>
          <w:rFonts w:ascii="Arial" w:hAnsi="Arial" w:cs="Arial"/>
          <w:color w:val="auto"/>
          <w:sz w:val="26"/>
          <w:szCs w:val="26"/>
        </w:rPr>
        <w:t>Panel Data Analysis:</w:t>
      </w:r>
      <w:bookmarkEnd w:id="90"/>
      <w:bookmarkEnd w:id="91"/>
    </w:p>
    <w:p w14:paraId="6F335899" w14:textId="17628E9E" w:rsidR="002B08F4" w:rsidRDefault="002B08F4" w:rsidP="00EF2E34">
      <w:pPr>
        <w:spacing w:after="0" w:line="360" w:lineRule="auto"/>
        <w:jc w:val="both"/>
        <w:rPr>
          <w:rFonts w:ascii="Arial" w:hAnsi="Arial" w:cs="Arial"/>
        </w:rPr>
      </w:pPr>
      <w:r w:rsidRPr="004A73C1">
        <w:rPr>
          <w:rFonts w:ascii="Arial" w:hAnsi="Arial" w:cs="Arial"/>
        </w:rPr>
        <w:t xml:space="preserve">Panel data analysis involves using data from multiple </w:t>
      </w:r>
      <w:r w:rsidR="008D0B8F" w:rsidRPr="004A73C1">
        <w:rPr>
          <w:rFonts w:ascii="Arial" w:hAnsi="Arial" w:cs="Arial"/>
        </w:rPr>
        <w:t>periods</w:t>
      </w:r>
      <w:r w:rsidRPr="004A73C1">
        <w:rPr>
          <w:rFonts w:ascii="Arial" w:hAnsi="Arial" w:cs="Arial"/>
        </w:rPr>
        <w:t xml:space="preserve"> and/or geographical units to </w:t>
      </w:r>
      <w:r w:rsidR="008D0B8F" w:rsidRPr="004A73C1">
        <w:rPr>
          <w:rFonts w:ascii="Arial" w:hAnsi="Arial" w:cs="Arial"/>
        </w:rPr>
        <w:t>analyse</w:t>
      </w:r>
      <w:r w:rsidRPr="004A73C1">
        <w:rPr>
          <w:rFonts w:ascii="Arial" w:hAnsi="Arial" w:cs="Arial"/>
        </w:rPr>
        <w:t xml:space="preserve"> the impact of FDI. </w:t>
      </w:r>
      <w:r w:rsidR="00E305FC" w:rsidRPr="004A73C1">
        <w:rPr>
          <w:rFonts w:ascii="Arial" w:hAnsi="Arial" w:cs="Arial"/>
        </w:rPr>
        <w:t>We</w:t>
      </w:r>
      <w:r w:rsidRPr="004A73C1">
        <w:rPr>
          <w:rFonts w:ascii="Arial" w:hAnsi="Arial" w:cs="Arial"/>
        </w:rPr>
        <w:t xml:space="preserve"> can employ </w:t>
      </w:r>
      <w:r w:rsidR="008D0B8F" w:rsidRPr="004A73C1">
        <w:rPr>
          <w:rFonts w:ascii="Arial" w:hAnsi="Arial" w:cs="Arial"/>
        </w:rPr>
        <w:t>fixed</w:t>
      </w:r>
      <w:r w:rsidRPr="004A73C1">
        <w:rPr>
          <w:rFonts w:ascii="Arial" w:hAnsi="Arial" w:cs="Arial"/>
        </w:rPr>
        <w:t xml:space="preserve"> or random effects models to examine how FDI affects economic variables over time or across different regions. For example, a panel data analysis can assess the relationship between FDI and regional economic growth in various countries over a decade.</w:t>
      </w:r>
    </w:p>
    <w:p w14:paraId="28136B5B" w14:textId="0249AC9B" w:rsidR="002B08F4" w:rsidRPr="004A73C1" w:rsidRDefault="00994D7E" w:rsidP="00EF2E34">
      <w:pPr>
        <w:pStyle w:val="Heading3"/>
        <w:spacing w:line="360" w:lineRule="auto"/>
        <w:rPr>
          <w:rFonts w:ascii="Arial" w:hAnsi="Arial" w:cs="Arial"/>
          <w:color w:val="auto"/>
        </w:rPr>
      </w:pPr>
      <w:bookmarkStart w:id="92" w:name="_Toc175056468"/>
      <w:bookmarkStart w:id="93" w:name="_Toc175848124"/>
      <w:r w:rsidRPr="004A73C1">
        <w:rPr>
          <w:rStyle w:val="Heading2Char"/>
          <w:rFonts w:ascii="Arial" w:hAnsi="Arial" w:cs="Arial"/>
          <w:color w:val="auto"/>
          <w:sz w:val="26"/>
          <w:szCs w:val="26"/>
        </w:rPr>
        <w:t>4</w:t>
      </w:r>
      <w:r w:rsidR="00D11768" w:rsidRPr="004A73C1">
        <w:rPr>
          <w:rStyle w:val="Heading2Char"/>
          <w:rFonts w:ascii="Arial" w:hAnsi="Arial" w:cs="Arial"/>
          <w:color w:val="auto"/>
          <w:sz w:val="26"/>
          <w:szCs w:val="26"/>
        </w:rPr>
        <w:tab/>
      </w:r>
      <w:r w:rsidR="002B08F4" w:rsidRPr="004A73C1">
        <w:rPr>
          <w:rStyle w:val="Heading2Char"/>
          <w:rFonts w:ascii="Arial" w:hAnsi="Arial" w:cs="Arial"/>
          <w:color w:val="auto"/>
          <w:sz w:val="26"/>
          <w:szCs w:val="26"/>
        </w:rPr>
        <w:t xml:space="preserve">Computable General Equilibrium (CGE) </w:t>
      </w:r>
      <w:r w:rsidR="00B4014F" w:rsidRPr="004A73C1">
        <w:rPr>
          <w:rStyle w:val="Heading2Char"/>
          <w:rFonts w:ascii="Arial" w:hAnsi="Arial" w:cs="Arial"/>
          <w:color w:val="auto"/>
          <w:sz w:val="26"/>
          <w:szCs w:val="26"/>
        </w:rPr>
        <w:t>Modelling</w:t>
      </w:r>
      <w:r w:rsidR="002B08F4" w:rsidRPr="004A73C1">
        <w:rPr>
          <w:rStyle w:val="Heading2Char"/>
          <w:rFonts w:ascii="Arial" w:hAnsi="Arial" w:cs="Arial"/>
          <w:color w:val="auto"/>
          <w:sz w:val="26"/>
          <w:szCs w:val="26"/>
        </w:rPr>
        <w:t>:</w:t>
      </w:r>
      <w:bookmarkEnd w:id="92"/>
      <w:bookmarkEnd w:id="93"/>
    </w:p>
    <w:p w14:paraId="0C0A5588" w14:textId="52A3762D" w:rsidR="002B08F4" w:rsidRPr="004A73C1" w:rsidRDefault="002B08F4" w:rsidP="00EF2E34">
      <w:pPr>
        <w:spacing w:after="0" w:line="360" w:lineRule="auto"/>
        <w:jc w:val="both"/>
        <w:rPr>
          <w:rFonts w:ascii="Arial" w:hAnsi="Arial" w:cs="Arial"/>
        </w:rPr>
      </w:pPr>
      <w:r w:rsidRPr="004A73C1">
        <w:rPr>
          <w:rFonts w:ascii="Arial" w:hAnsi="Arial" w:cs="Arial"/>
        </w:rPr>
        <w:t xml:space="preserve">CGE </w:t>
      </w:r>
      <w:r w:rsidR="00B4014F" w:rsidRPr="004A73C1">
        <w:rPr>
          <w:rFonts w:ascii="Arial" w:hAnsi="Arial" w:cs="Arial"/>
        </w:rPr>
        <w:t>modelling</w:t>
      </w:r>
      <w:r w:rsidRPr="004A73C1">
        <w:rPr>
          <w:rFonts w:ascii="Arial" w:hAnsi="Arial" w:cs="Arial"/>
        </w:rPr>
        <w:t xml:space="preserve"> can be </w:t>
      </w:r>
      <w:r w:rsidR="008D0B8F" w:rsidRPr="004A73C1">
        <w:rPr>
          <w:rFonts w:ascii="Arial" w:hAnsi="Arial" w:cs="Arial"/>
        </w:rPr>
        <w:t>utilised</w:t>
      </w:r>
      <w:r w:rsidRPr="004A73C1">
        <w:rPr>
          <w:rFonts w:ascii="Arial" w:hAnsi="Arial" w:cs="Arial"/>
        </w:rPr>
        <w:t xml:space="preserve"> to simulate the effects of FDI on the overall economy. </w:t>
      </w:r>
      <w:r w:rsidR="00E305FC" w:rsidRPr="004A73C1">
        <w:rPr>
          <w:rFonts w:ascii="Arial" w:hAnsi="Arial" w:cs="Arial"/>
        </w:rPr>
        <w:t xml:space="preserve">We </w:t>
      </w:r>
      <w:r w:rsidRPr="004A73C1">
        <w:rPr>
          <w:rFonts w:ascii="Arial" w:hAnsi="Arial" w:cs="Arial"/>
        </w:rPr>
        <w:t xml:space="preserve">can construct a CGE model to estimate the impact of increased FDI in a specific sector on factors such as GDP, employment, trade balance, and income distribution. For instance, a study may use CGE </w:t>
      </w:r>
      <w:r w:rsidR="00B4014F" w:rsidRPr="004A73C1">
        <w:rPr>
          <w:rFonts w:ascii="Arial" w:hAnsi="Arial" w:cs="Arial"/>
        </w:rPr>
        <w:t>modelling</w:t>
      </w:r>
      <w:r w:rsidRPr="004A73C1">
        <w:rPr>
          <w:rFonts w:ascii="Arial" w:hAnsi="Arial" w:cs="Arial"/>
        </w:rPr>
        <w:t xml:space="preserve"> to </w:t>
      </w:r>
      <w:r w:rsidR="00B4014F" w:rsidRPr="004A73C1">
        <w:rPr>
          <w:rFonts w:ascii="Arial" w:hAnsi="Arial" w:cs="Arial"/>
        </w:rPr>
        <w:t>analyse</w:t>
      </w:r>
      <w:r w:rsidRPr="004A73C1">
        <w:rPr>
          <w:rFonts w:ascii="Arial" w:hAnsi="Arial" w:cs="Arial"/>
        </w:rPr>
        <w:t xml:space="preserve"> the effects of FDI in the services sector on the economy of a developing country.</w:t>
      </w:r>
    </w:p>
    <w:p w14:paraId="03800339" w14:textId="77777777" w:rsidR="002B08F4" w:rsidRPr="004A73C1" w:rsidRDefault="002B08F4" w:rsidP="00EF2E34">
      <w:pPr>
        <w:spacing w:after="0" w:line="360" w:lineRule="auto"/>
        <w:jc w:val="both"/>
        <w:rPr>
          <w:rFonts w:ascii="Arial" w:hAnsi="Arial" w:cs="Arial"/>
        </w:rPr>
      </w:pPr>
    </w:p>
    <w:p w14:paraId="34D1F43F" w14:textId="18212811" w:rsidR="002B08F4" w:rsidRPr="004A73C1" w:rsidRDefault="008D0B8F" w:rsidP="00EF2E34">
      <w:pPr>
        <w:spacing w:after="0" w:line="360" w:lineRule="auto"/>
        <w:jc w:val="both"/>
        <w:rPr>
          <w:rFonts w:ascii="Arial" w:hAnsi="Arial" w:cs="Arial"/>
        </w:rPr>
      </w:pPr>
      <w:r w:rsidRPr="004A73C1">
        <w:rPr>
          <w:rFonts w:ascii="Arial" w:hAnsi="Arial" w:cs="Arial"/>
        </w:rPr>
        <w:t xml:space="preserve">When applied to the analysis of FDI, these quantitative research methods </w:t>
      </w:r>
      <w:r w:rsidR="002B08F4" w:rsidRPr="004A73C1">
        <w:rPr>
          <w:rFonts w:ascii="Arial" w:hAnsi="Arial" w:cs="Arial"/>
        </w:rPr>
        <w:t>provide insights into the determinants, impacts, and implications of foreign direct investment on the economy. Each technique offers a unique perspective on the quantitative aspects of FDI and contributes to a comprehensive understanding of its effects on economic growth, employment, productivity, and trade dynamics.</w:t>
      </w:r>
    </w:p>
    <w:p w14:paraId="75B90FC7" w14:textId="77777777" w:rsidR="00E305FC" w:rsidRPr="004A73C1" w:rsidRDefault="00E305FC" w:rsidP="00EF2E34">
      <w:pPr>
        <w:spacing w:after="0" w:line="360" w:lineRule="auto"/>
        <w:jc w:val="both"/>
        <w:rPr>
          <w:rFonts w:ascii="Arial" w:hAnsi="Arial" w:cs="Arial"/>
        </w:rPr>
      </w:pPr>
    </w:p>
    <w:p w14:paraId="15FE0B14" w14:textId="7CD93BA4" w:rsidR="00127D43" w:rsidRPr="004A73C1" w:rsidRDefault="00127D43" w:rsidP="00EF2E34">
      <w:pPr>
        <w:spacing w:after="0" w:line="360" w:lineRule="auto"/>
        <w:jc w:val="both"/>
        <w:rPr>
          <w:rFonts w:ascii="Arial" w:hAnsi="Arial" w:cs="Arial"/>
        </w:rPr>
      </w:pPr>
      <w:r w:rsidRPr="004A73C1">
        <w:rPr>
          <w:rFonts w:ascii="Arial" w:hAnsi="Arial" w:cs="Arial"/>
        </w:rPr>
        <w:t xml:space="preserve">Quantitative research </w:t>
      </w:r>
      <w:r w:rsidR="00077736" w:rsidRPr="004A73C1">
        <w:rPr>
          <w:rFonts w:ascii="Arial" w:hAnsi="Arial" w:cs="Arial"/>
        </w:rPr>
        <w:t>quantifies data and applies</w:t>
      </w:r>
      <w:r w:rsidR="00595271" w:rsidRPr="004A73C1">
        <w:rPr>
          <w:rFonts w:ascii="Arial" w:hAnsi="Arial" w:cs="Arial"/>
        </w:rPr>
        <w:t xml:space="preserve"> statistical and mathematical techniques to analyse and interpret it. This type of research uses a structured methodology to collect data that</w:t>
      </w:r>
      <w:r w:rsidRPr="004A73C1">
        <w:rPr>
          <w:rFonts w:ascii="Arial" w:hAnsi="Arial" w:cs="Arial"/>
        </w:rPr>
        <w:t xml:space="preserve"> can be measured and quantified. It aims to establish </w:t>
      </w:r>
      <w:r w:rsidR="00595271" w:rsidRPr="004A73C1">
        <w:rPr>
          <w:rFonts w:ascii="Arial" w:hAnsi="Arial" w:cs="Arial"/>
        </w:rPr>
        <w:t>generalisable</w:t>
      </w:r>
      <w:r w:rsidRPr="004A73C1">
        <w:rPr>
          <w:rFonts w:ascii="Arial" w:hAnsi="Arial" w:cs="Arial"/>
        </w:rPr>
        <w:t xml:space="preserve"> results and often involves </w:t>
      </w:r>
      <w:r w:rsidR="00595271" w:rsidRPr="004A73C1">
        <w:rPr>
          <w:rFonts w:ascii="Arial" w:hAnsi="Arial" w:cs="Arial"/>
        </w:rPr>
        <w:t>gathering information from surveys, experiments, and structured observations</w:t>
      </w:r>
      <w:r w:rsidRPr="004A73C1">
        <w:rPr>
          <w:rFonts w:ascii="Arial" w:hAnsi="Arial" w:cs="Arial"/>
        </w:rPr>
        <w:t>.</w:t>
      </w:r>
    </w:p>
    <w:p w14:paraId="71A2A791" w14:textId="77777777" w:rsidR="00646CBB" w:rsidRPr="004A73C1" w:rsidRDefault="00646CBB" w:rsidP="00EF2E34">
      <w:pPr>
        <w:spacing w:after="0" w:line="360" w:lineRule="auto"/>
        <w:jc w:val="both"/>
        <w:rPr>
          <w:rFonts w:ascii="Arial" w:hAnsi="Arial" w:cs="Arial"/>
        </w:rPr>
      </w:pPr>
    </w:p>
    <w:p w14:paraId="76DFD21D" w14:textId="77777777" w:rsidR="00077736" w:rsidRPr="004A73C1" w:rsidRDefault="00077736" w:rsidP="00EF2E34">
      <w:pPr>
        <w:spacing w:after="0" w:line="360" w:lineRule="auto"/>
        <w:jc w:val="both"/>
        <w:rPr>
          <w:rFonts w:ascii="Arial" w:hAnsi="Arial" w:cs="Arial"/>
          <w:b/>
          <w:bCs/>
        </w:rPr>
      </w:pPr>
    </w:p>
    <w:p w14:paraId="6C1303D0" w14:textId="05E68440" w:rsidR="00646CBB" w:rsidRPr="004A73C1" w:rsidRDefault="00646CBB" w:rsidP="00646CBB">
      <w:pPr>
        <w:pStyle w:val="Heading2"/>
        <w:rPr>
          <w:rFonts w:ascii="Arial" w:hAnsi="Arial" w:cs="Arial"/>
          <w:color w:val="auto"/>
        </w:rPr>
      </w:pPr>
      <w:bookmarkStart w:id="94" w:name="_Toc175056469"/>
      <w:bookmarkStart w:id="95" w:name="_Toc175848125"/>
      <w:r w:rsidRPr="004A73C1">
        <w:rPr>
          <w:rFonts w:ascii="Arial" w:hAnsi="Arial" w:cs="Arial"/>
          <w:color w:val="auto"/>
        </w:rPr>
        <w:lastRenderedPageBreak/>
        <w:t>3.4</w:t>
      </w:r>
      <w:r w:rsidRPr="004A73C1">
        <w:rPr>
          <w:rFonts w:ascii="Arial" w:hAnsi="Arial" w:cs="Arial"/>
          <w:color w:val="auto"/>
        </w:rPr>
        <w:tab/>
        <w:t>DATA Collection Sources and Limitations</w:t>
      </w:r>
      <w:bookmarkEnd w:id="95"/>
    </w:p>
    <w:p w14:paraId="28866C31" w14:textId="77777777" w:rsidR="000D7E53" w:rsidRDefault="000D7E53" w:rsidP="00646CBB">
      <w:pPr>
        <w:spacing w:line="360" w:lineRule="auto"/>
        <w:jc w:val="both"/>
        <w:rPr>
          <w:rFonts w:ascii="Arial" w:hAnsi="Arial" w:cs="Arial"/>
        </w:rPr>
      </w:pPr>
    </w:p>
    <w:p w14:paraId="25F65668" w14:textId="4DC20D56" w:rsidR="00646CBB" w:rsidRPr="004A73C1" w:rsidRDefault="00646CBB" w:rsidP="00646CBB">
      <w:pPr>
        <w:spacing w:line="360" w:lineRule="auto"/>
        <w:jc w:val="both"/>
        <w:rPr>
          <w:rFonts w:ascii="Arial" w:hAnsi="Arial" w:cs="Arial"/>
        </w:rPr>
      </w:pPr>
      <w:r w:rsidRPr="004A73C1">
        <w:rPr>
          <w:rFonts w:ascii="Arial" w:hAnsi="Arial" w:cs="Arial"/>
        </w:rPr>
        <w:t>When it comes to collecting data for research on Foreign Direct Investment (FDI), several sources can be utilized to gather relevant information. Some of the primary data collection sources for FDI research include official government statistics, reports from international organizations such as the World Bank and the United Nations, academic journals, industry reports, and databases from central banks and financial institutions.</w:t>
      </w:r>
    </w:p>
    <w:p w14:paraId="7E9ECF30" w14:textId="77777777" w:rsidR="00646CBB" w:rsidRPr="004A73C1" w:rsidRDefault="00646CBB" w:rsidP="00646CBB">
      <w:pPr>
        <w:spacing w:line="360" w:lineRule="auto"/>
        <w:jc w:val="both"/>
        <w:rPr>
          <w:rFonts w:ascii="Arial" w:hAnsi="Arial" w:cs="Arial"/>
        </w:rPr>
      </w:pPr>
      <w:r w:rsidRPr="004A73C1">
        <w:rPr>
          <w:rFonts w:ascii="Arial" w:hAnsi="Arial" w:cs="Arial"/>
        </w:rPr>
        <w:t xml:space="preserve">Official government statistics provide valuable FDI inflow and outflow data, as well as insights into the sectors and countries attracting the most foreign investment. Reports from international organizations offer comprehensive analysis and global perspectives on FDI trends, policies, and impacts. Academic journals provide in-depth scholarly research and case studies on specific aspects of FDI, contributing to a deeper understanding of the subject. Industry reports offer sector-specific data and analysis, highlighting trends and patterns within </w:t>
      </w:r>
      <w:proofErr w:type="gramStart"/>
      <w:r w:rsidRPr="004A73C1">
        <w:rPr>
          <w:rFonts w:ascii="Arial" w:hAnsi="Arial" w:cs="Arial"/>
        </w:rPr>
        <w:t>particular industries</w:t>
      </w:r>
      <w:proofErr w:type="gramEnd"/>
      <w:r w:rsidRPr="004A73C1">
        <w:rPr>
          <w:rFonts w:ascii="Arial" w:hAnsi="Arial" w:cs="Arial"/>
        </w:rPr>
        <w:t>. Databases from central banks and financial institutions contain detailed financial and economic data that can be used for FDI analysis.</w:t>
      </w:r>
    </w:p>
    <w:p w14:paraId="2D7F5103" w14:textId="77777777" w:rsidR="00646CBB" w:rsidRPr="004A73C1" w:rsidRDefault="00646CBB" w:rsidP="00646CBB">
      <w:pPr>
        <w:spacing w:line="360" w:lineRule="auto"/>
        <w:jc w:val="both"/>
        <w:rPr>
          <w:rFonts w:ascii="Arial" w:hAnsi="Arial" w:cs="Arial"/>
        </w:rPr>
      </w:pPr>
      <w:r w:rsidRPr="004A73C1">
        <w:rPr>
          <w:rFonts w:ascii="Arial" w:hAnsi="Arial" w:cs="Arial"/>
        </w:rPr>
        <w:t>While these sources offer valuable information for FDI research, it's important to be aware of their limitations. Government statistics may have lags in reporting, inconsistencies in classification, or limited coverage of certain types of FDI. Reports from international organizations can be subject to bias or may not capture the full diversity of FDI experiences across different regions. Academic journals may have a focus on theoretical research and may not always reflect real-time FDI trends. Industry reports may be influenced by the perspectives of specific companies or industry players. Databases from central banks and financial institutions may have data limitations and may not always be directly comparable across different countries.</w:t>
      </w:r>
    </w:p>
    <w:p w14:paraId="21AC5A5A" w14:textId="2A38FF98" w:rsidR="00646CBB" w:rsidRDefault="00646CBB" w:rsidP="00646CBB">
      <w:pPr>
        <w:spacing w:line="360" w:lineRule="auto"/>
        <w:jc w:val="both"/>
        <w:rPr>
          <w:rFonts w:ascii="Arial" w:hAnsi="Arial" w:cs="Arial"/>
        </w:rPr>
      </w:pPr>
      <w:r w:rsidRPr="004A73C1">
        <w:rPr>
          <w:rFonts w:ascii="Arial" w:hAnsi="Arial" w:cs="Arial"/>
        </w:rPr>
        <w:t>Therefore, when collecting data for FDI research, it's essential to critically evaluate the reliability, relevance, and comparability of the sources. Researchers should triangulate data from multiple sources to gain a more comprehensive understanding of FDI patterns and dynamics, and where possible, supplement the secondary data with primary data collection methods such as surveys, interviews, and case studies to enrich the research findings. Additionally, researchers should be transparent about the limitations of the data sources used and the potential impact of these limitations on the research outcomes. By acknowledging these limitations and taking a rigorous approach to data collection, researchers can enhance the credibility and robustness of their FDI research.</w:t>
      </w:r>
    </w:p>
    <w:p w14:paraId="7EC744EB" w14:textId="77777777" w:rsidR="00BE222C" w:rsidRDefault="00BE222C" w:rsidP="00646CBB">
      <w:pPr>
        <w:spacing w:line="360" w:lineRule="auto"/>
        <w:jc w:val="both"/>
        <w:rPr>
          <w:rFonts w:ascii="Arial" w:hAnsi="Arial" w:cs="Arial"/>
        </w:rPr>
      </w:pPr>
    </w:p>
    <w:p w14:paraId="3FC8FB3C" w14:textId="77777777" w:rsidR="00BE222C" w:rsidRDefault="00BE222C" w:rsidP="00646CBB">
      <w:pPr>
        <w:spacing w:line="360" w:lineRule="auto"/>
        <w:jc w:val="both"/>
        <w:rPr>
          <w:rFonts w:ascii="Arial" w:hAnsi="Arial" w:cs="Arial"/>
        </w:rPr>
      </w:pPr>
    </w:p>
    <w:p w14:paraId="7428F64D" w14:textId="77777777" w:rsidR="00BE222C" w:rsidRDefault="00BE222C" w:rsidP="00646CBB">
      <w:pPr>
        <w:spacing w:line="360" w:lineRule="auto"/>
        <w:jc w:val="both"/>
        <w:rPr>
          <w:rFonts w:ascii="Arial" w:hAnsi="Arial" w:cs="Arial"/>
        </w:rPr>
      </w:pPr>
    </w:p>
    <w:p w14:paraId="3B573D2E" w14:textId="77777777" w:rsidR="00BE222C" w:rsidRPr="004A73C1" w:rsidRDefault="00BE222C" w:rsidP="00646CBB">
      <w:pPr>
        <w:spacing w:line="360" w:lineRule="auto"/>
        <w:jc w:val="both"/>
        <w:rPr>
          <w:rFonts w:ascii="Arial" w:hAnsi="Arial" w:cs="Arial"/>
        </w:rPr>
      </w:pPr>
    </w:p>
    <w:p w14:paraId="3A9ED647" w14:textId="7AC250CB" w:rsidR="0036485C" w:rsidRPr="004A73C1" w:rsidRDefault="00CA52E6" w:rsidP="00EF2E34">
      <w:pPr>
        <w:pStyle w:val="Heading2"/>
        <w:spacing w:line="360" w:lineRule="auto"/>
        <w:rPr>
          <w:rFonts w:ascii="Arial" w:hAnsi="Arial" w:cs="Arial"/>
          <w:color w:val="auto"/>
        </w:rPr>
      </w:pPr>
      <w:bookmarkStart w:id="96" w:name="_Toc175848126"/>
      <w:r w:rsidRPr="004A73C1">
        <w:rPr>
          <w:rFonts w:ascii="Arial" w:hAnsi="Arial" w:cs="Arial"/>
          <w:color w:val="auto"/>
        </w:rPr>
        <w:t>3.4</w:t>
      </w:r>
      <w:r w:rsidR="00646CBB" w:rsidRPr="004A73C1">
        <w:rPr>
          <w:rFonts w:ascii="Arial" w:hAnsi="Arial" w:cs="Arial"/>
          <w:color w:val="auto"/>
        </w:rPr>
        <w:t>.1</w:t>
      </w:r>
      <w:r w:rsidRPr="004A73C1">
        <w:rPr>
          <w:rFonts w:ascii="Arial" w:hAnsi="Arial" w:cs="Arial"/>
          <w:color w:val="auto"/>
        </w:rPr>
        <w:tab/>
      </w:r>
      <w:r w:rsidR="00A915F4" w:rsidRPr="004A73C1">
        <w:rPr>
          <w:rFonts w:ascii="Arial" w:hAnsi="Arial" w:cs="Arial"/>
          <w:color w:val="auto"/>
        </w:rPr>
        <w:t>Quantitative Data for the UK for FDI.</w:t>
      </w:r>
      <w:bookmarkEnd w:id="94"/>
      <w:bookmarkEnd w:id="96"/>
    </w:p>
    <w:p w14:paraId="73F6E89D" w14:textId="7B077BC5" w:rsidR="00A915F4" w:rsidRPr="004A73C1" w:rsidRDefault="00A915F4" w:rsidP="00EF2E34">
      <w:pPr>
        <w:spacing w:after="0" w:line="360" w:lineRule="auto"/>
        <w:jc w:val="both"/>
        <w:rPr>
          <w:rFonts w:ascii="Arial" w:hAnsi="Arial" w:cs="Arial"/>
        </w:rPr>
      </w:pPr>
      <w:r w:rsidRPr="004A73C1">
        <w:rPr>
          <w:rFonts w:ascii="Arial" w:hAnsi="Arial" w:cs="Arial"/>
        </w:rPr>
        <w:t>Please see below some of the data which we use to analyse our research objectives.</w:t>
      </w:r>
    </w:p>
    <w:p w14:paraId="1C3CF151" w14:textId="77777777" w:rsidR="00A915F4" w:rsidRPr="004A73C1" w:rsidRDefault="00A915F4" w:rsidP="00EF2E34">
      <w:pPr>
        <w:spacing w:after="0" w:line="360" w:lineRule="auto"/>
        <w:jc w:val="both"/>
        <w:rPr>
          <w:rFonts w:ascii="Arial" w:hAnsi="Arial" w:cs="Arial"/>
        </w:rPr>
      </w:pPr>
    </w:p>
    <w:p w14:paraId="3CF5506F" w14:textId="7296D52A" w:rsidR="00A915F4" w:rsidRPr="004A73C1" w:rsidRDefault="00CA52E6" w:rsidP="00EF2E34">
      <w:pPr>
        <w:pStyle w:val="Heading3"/>
        <w:spacing w:line="360" w:lineRule="auto"/>
        <w:rPr>
          <w:rStyle w:val="Heading2Char"/>
          <w:rFonts w:ascii="Arial" w:hAnsi="Arial" w:cs="Arial"/>
          <w:color w:val="auto"/>
          <w:sz w:val="26"/>
          <w:szCs w:val="26"/>
        </w:rPr>
      </w:pPr>
      <w:bookmarkStart w:id="97" w:name="_Toc175056470"/>
      <w:bookmarkStart w:id="98" w:name="_Toc175848127"/>
      <w:r w:rsidRPr="004A73C1">
        <w:rPr>
          <w:rStyle w:val="Heading2Char"/>
          <w:rFonts w:ascii="Arial" w:hAnsi="Arial" w:cs="Arial"/>
          <w:color w:val="auto"/>
          <w:sz w:val="26"/>
          <w:szCs w:val="26"/>
        </w:rPr>
        <w:t>3.4.</w:t>
      </w:r>
      <w:r w:rsidR="00646CBB" w:rsidRPr="004A73C1">
        <w:rPr>
          <w:rStyle w:val="Heading2Char"/>
          <w:rFonts w:ascii="Arial" w:hAnsi="Arial" w:cs="Arial"/>
          <w:color w:val="auto"/>
          <w:sz w:val="26"/>
          <w:szCs w:val="26"/>
        </w:rPr>
        <w:t>2</w:t>
      </w:r>
      <w:r w:rsidRPr="004A73C1">
        <w:rPr>
          <w:rStyle w:val="Heading2Char"/>
          <w:rFonts w:ascii="Arial" w:hAnsi="Arial" w:cs="Arial"/>
          <w:color w:val="auto"/>
          <w:sz w:val="26"/>
          <w:szCs w:val="26"/>
        </w:rPr>
        <w:tab/>
      </w:r>
      <w:r w:rsidR="00A915F4" w:rsidRPr="004A73C1">
        <w:rPr>
          <w:rStyle w:val="Heading2Char"/>
          <w:rFonts w:ascii="Arial" w:hAnsi="Arial" w:cs="Arial"/>
          <w:color w:val="auto"/>
          <w:sz w:val="26"/>
          <w:szCs w:val="26"/>
        </w:rPr>
        <w:t>Capital Flows</w:t>
      </w:r>
      <w:bookmarkEnd w:id="97"/>
      <w:bookmarkEnd w:id="98"/>
      <w:r w:rsidR="00A915F4" w:rsidRPr="004A73C1">
        <w:rPr>
          <w:rStyle w:val="Heading2Char"/>
          <w:rFonts w:ascii="Arial" w:hAnsi="Arial" w:cs="Arial"/>
          <w:color w:val="auto"/>
          <w:sz w:val="26"/>
          <w:szCs w:val="26"/>
        </w:rPr>
        <w:t xml:space="preserve"> </w:t>
      </w:r>
    </w:p>
    <w:p w14:paraId="61CF9BF5" w14:textId="39DDD115" w:rsidR="00C2494D" w:rsidRPr="004A73C1" w:rsidRDefault="00766D90" w:rsidP="00C2494D">
      <w:pPr>
        <w:spacing w:after="0" w:line="360" w:lineRule="auto"/>
        <w:jc w:val="both"/>
        <w:rPr>
          <w:rFonts w:ascii="Arial" w:hAnsi="Arial" w:cs="Arial"/>
        </w:rPr>
      </w:pPr>
      <w:r w:rsidRPr="004A73C1">
        <w:rPr>
          <w:rFonts w:ascii="Arial" w:hAnsi="Arial" w:cs="Arial"/>
        </w:rPr>
        <w:t>The below diagram shows the capital flow for the UK from 2015 to 2023.</w:t>
      </w:r>
      <w:r w:rsidR="00A915F4" w:rsidRPr="004A73C1">
        <w:rPr>
          <w:rFonts w:ascii="Arial" w:hAnsi="Arial" w:cs="Arial"/>
        </w:rPr>
        <w:t> </w:t>
      </w:r>
      <w:r w:rsidR="00C2494D" w:rsidRPr="004A73C1">
        <w:rPr>
          <w:rFonts w:ascii="Arial" w:hAnsi="Arial" w:cs="Arial"/>
        </w:rPr>
        <w:t>(Source: </w:t>
      </w:r>
      <w:hyperlink r:id="rId18" w:tgtFrame="_blank" w:history="1">
        <w:r w:rsidR="00C2494D" w:rsidRPr="004A73C1">
          <w:rPr>
            <w:rStyle w:val="Hyperlink"/>
            <w:rFonts w:ascii="Arial" w:hAnsi="Arial" w:cs="Arial"/>
            <w:color w:val="auto"/>
          </w:rPr>
          <w:t>Office for National Statistics</w:t>
        </w:r>
      </w:hyperlink>
      <w:r w:rsidR="00C2494D" w:rsidRPr="004A73C1">
        <w:rPr>
          <w:rFonts w:ascii="Arial" w:hAnsi="Arial" w:cs="Arial"/>
        </w:rPr>
        <w:t xml:space="preserve"> UK)</w:t>
      </w:r>
    </w:p>
    <w:p w14:paraId="2A1B9096" w14:textId="749EEA8E" w:rsidR="00A915F4" w:rsidRPr="004A73C1" w:rsidRDefault="00A915F4" w:rsidP="00EF2E34">
      <w:pPr>
        <w:spacing w:line="360" w:lineRule="auto"/>
        <w:jc w:val="both"/>
        <w:rPr>
          <w:rFonts w:ascii="Arial" w:hAnsi="Arial" w:cs="Arial"/>
        </w:rPr>
      </w:pPr>
    </w:p>
    <w:p w14:paraId="7E86914C" w14:textId="77777777" w:rsidR="00A915F4" w:rsidRPr="004A73C1" w:rsidRDefault="00A915F4" w:rsidP="00EF2E34">
      <w:pPr>
        <w:spacing w:after="0" w:line="360" w:lineRule="auto"/>
        <w:jc w:val="both"/>
        <w:rPr>
          <w:rFonts w:ascii="Arial" w:hAnsi="Arial" w:cs="Arial"/>
        </w:rPr>
      </w:pPr>
    </w:p>
    <w:p w14:paraId="0B810367" w14:textId="77777777" w:rsidR="00A915F4" w:rsidRPr="004A73C1" w:rsidRDefault="00A915F4" w:rsidP="00EF2E34">
      <w:pPr>
        <w:spacing w:after="0" w:line="360" w:lineRule="auto"/>
        <w:jc w:val="both"/>
        <w:rPr>
          <w:rFonts w:ascii="Arial" w:hAnsi="Arial" w:cs="Arial"/>
        </w:rPr>
      </w:pPr>
    </w:p>
    <w:p w14:paraId="6F6C4462" w14:textId="77777777" w:rsidR="00A915F4" w:rsidRPr="004A73C1" w:rsidRDefault="00A915F4" w:rsidP="00EF2E34">
      <w:pPr>
        <w:spacing w:after="0" w:line="360" w:lineRule="auto"/>
        <w:jc w:val="both"/>
        <w:rPr>
          <w:rFonts w:ascii="Arial" w:hAnsi="Arial" w:cs="Arial"/>
        </w:rPr>
      </w:pPr>
      <w:r w:rsidRPr="004A73C1">
        <w:rPr>
          <w:rFonts w:ascii="Arial" w:hAnsi="Arial" w:cs="Arial"/>
          <w:noProof/>
        </w:rPr>
        <w:drawing>
          <wp:inline distT="0" distB="0" distL="0" distR="0" wp14:anchorId="31E8FB85" wp14:editId="5205E133">
            <wp:extent cx="5731510" cy="2675255"/>
            <wp:effectExtent l="0" t="0" r="2540" b="0"/>
            <wp:docPr id="1267630929"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630929" name="Picture 1" descr="A graph of a graph&#10;&#10;Description automatically generated with medium confidence"/>
                    <pic:cNvPicPr/>
                  </pic:nvPicPr>
                  <pic:blipFill>
                    <a:blip r:embed="rId19"/>
                    <a:stretch>
                      <a:fillRect/>
                    </a:stretch>
                  </pic:blipFill>
                  <pic:spPr>
                    <a:xfrm>
                      <a:off x="0" y="0"/>
                      <a:ext cx="5731510" cy="2675255"/>
                    </a:xfrm>
                    <a:prstGeom prst="rect">
                      <a:avLst/>
                    </a:prstGeom>
                  </pic:spPr>
                </pic:pic>
              </a:graphicData>
            </a:graphic>
          </wp:inline>
        </w:drawing>
      </w:r>
    </w:p>
    <w:p w14:paraId="6E30F778" w14:textId="76D6F301" w:rsidR="00B80C0D" w:rsidRPr="004A73C1" w:rsidRDefault="00B80C0D" w:rsidP="00EF2E34">
      <w:pPr>
        <w:spacing w:after="0" w:line="360" w:lineRule="auto"/>
        <w:jc w:val="both"/>
        <w:rPr>
          <w:rFonts w:ascii="Arial" w:hAnsi="Arial" w:cs="Arial"/>
        </w:rPr>
      </w:pPr>
      <w:r w:rsidRPr="004A73C1">
        <w:rPr>
          <w:rFonts w:ascii="Arial" w:hAnsi="Arial" w:cs="Arial"/>
        </w:rPr>
        <w:t>Figure 9</w:t>
      </w:r>
    </w:p>
    <w:p w14:paraId="278845C2" w14:textId="7C1935C6" w:rsidR="00A915F4" w:rsidRPr="004A73C1" w:rsidRDefault="00A915F4" w:rsidP="00EF2E34">
      <w:pPr>
        <w:spacing w:after="0" w:line="360" w:lineRule="auto"/>
        <w:jc w:val="both"/>
        <w:rPr>
          <w:rFonts w:ascii="Arial" w:hAnsi="Arial" w:cs="Arial"/>
        </w:rPr>
      </w:pPr>
      <w:r w:rsidRPr="004A73C1">
        <w:rPr>
          <w:rFonts w:ascii="Arial" w:hAnsi="Arial" w:cs="Arial"/>
        </w:rPr>
        <w:t>source: </w:t>
      </w:r>
      <w:hyperlink r:id="rId20" w:tgtFrame="_blank" w:history="1">
        <w:r w:rsidRPr="004A73C1">
          <w:rPr>
            <w:rStyle w:val="Hyperlink"/>
            <w:rFonts w:ascii="Arial" w:hAnsi="Arial" w:cs="Arial"/>
            <w:color w:val="auto"/>
          </w:rPr>
          <w:t>Office for National Statistics</w:t>
        </w:r>
      </w:hyperlink>
    </w:p>
    <w:p w14:paraId="1696770C" w14:textId="77777777" w:rsidR="00A915F4" w:rsidRPr="004A73C1" w:rsidRDefault="00A915F4" w:rsidP="00EF2E34">
      <w:pPr>
        <w:spacing w:after="0" w:line="360" w:lineRule="auto"/>
        <w:jc w:val="both"/>
        <w:rPr>
          <w:rFonts w:ascii="Arial" w:hAnsi="Arial" w:cs="Arial"/>
        </w:rPr>
      </w:pPr>
    </w:p>
    <w:p w14:paraId="37184FEB" w14:textId="09EBBF7B" w:rsidR="00A915F4" w:rsidRPr="004A73C1" w:rsidRDefault="00CA52E6" w:rsidP="00EF2E34">
      <w:pPr>
        <w:pStyle w:val="Heading3"/>
        <w:spacing w:line="360" w:lineRule="auto"/>
        <w:rPr>
          <w:rStyle w:val="Heading2Char"/>
          <w:rFonts w:ascii="Arial" w:hAnsi="Arial" w:cs="Arial"/>
          <w:color w:val="auto"/>
          <w:sz w:val="26"/>
          <w:szCs w:val="26"/>
        </w:rPr>
      </w:pPr>
      <w:bookmarkStart w:id="99" w:name="_Toc175056471"/>
      <w:bookmarkStart w:id="100" w:name="_Toc175848128"/>
      <w:r w:rsidRPr="004A73C1">
        <w:rPr>
          <w:rStyle w:val="Heading2Char"/>
          <w:rFonts w:ascii="Arial" w:hAnsi="Arial" w:cs="Arial"/>
          <w:color w:val="auto"/>
          <w:sz w:val="26"/>
          <w:szCs w:val="26"/>
        </w:rPr>
        <w:t>3.4.</w:t>
      </w:r>
      <w:r w:rsidR="00646CBB" w:rsidRPr="004A73C1">
        <w:rPr>
          <w:rStyle w:val="Heading2Char"/>
          <w:rFonts w:ascii="Arial" w:hAnsi="Arial" w:cs="Arial"/>
          <w:color w:val="auto"/>
          <w:sz w:val="26"/>
          <w:szCs w:val="26"/>
        </w:rPr>
        <w:t>3</w:t>
      </w:r>
      <w:r w:rsidRPr="004A73C1">
        <w:rPr>
          <w:rStyle w:val="Heading2Char"/>
          <w:rFonts w:ascii="Arial" w:hAnsi="Arial" w:cs="Arial"/>
          <w:color w:val="auto"/>
          <w:sz w:val="26"/>
          <w:szCs w:val="26"/>
        </w:rPr>
        <w:tab/>
      </w:r>
      <w:r w:rsidR="00A915F4" w:rsidRPr="004A73C1">
        <w:rPr>
          <w:rStyle w:val="Heading2Char"/>
          <w:rFonts w:ascii="Arial" w:hAnsi="Arial" w:cs="Arial"/>
          <w:color w:val="auto"/>
          <w:sz w:val="26"/>
          <w:szCs w:val="26"/>
        </w:rPr>
        <w:t>Linear Regression Analysis.</w:t>
      </w:r>
      <w:bookmarkEnd w:id="99"/>
      <w:bookmarkEnd w:id="100"/>
    </w:p>
    <w:p w14:paraId="0409F3DC" w14:textId="77777777" w:rsidR="001B3596" w:rsidRPr="004A73C1" w:rsidRDefault="001B3596" w:rsidP="001B3596">
      <w:pPr>
        <w:spacing w:line="360" w:lineRule="auto"/>
        <w:rPr>
          <w:rFonts w:ascii="Arial" w:hAnsi="Arial" w:cs="Arial"/>
        </w:rPr>
      </w:pPr>
      <w:r w:rsidRPr="004A73C1">
        <w:rPr>
          <w:rFonts w:ascii="Arial" w:hAnsi="Arial" w:cs="Arial"/>
        </w:rPr>
        <w:t>The relationship between two continuous variables is best represented by a straight line, which is the linear regression line. In statistical analysis, it is frequently employed to discern patterns and trends in the data. If y is the dependent variable, x is the independent variable, m is the line's slope, and c is the y-intercept, then the formula for a linear regression line is y = mx + c. The value of y at x = 0 is the y-intercept, and the slope indicates the rate of change. Predictions and an understanding of the strength of the link between the variables can be made using the line.</w:t>
      </w:r>
    </w:p>
    <w:p w14:paraId="446E724C" w14:textId="77777777" w:rsidR="00A915F4" w:rsidRPr="004A73C1" w:rsidRDefault="00A915F4" w:rsidP="00EF2E34">
      <w:pPr>
        <w:spacing w:line="360" w:lineRule="auto"/>
        <w:rPr>
          <w:rFonts w:ascii="Arial" w:hAnsi="Arial" w:cs="Arial"/>
        </w:rPr>
      </w:pPr>
    </w:p>
    <w:p w14:paraId="5C23A1FA" w14:textId="56B2D383" w:rsidR="00A915F4" w:rsidRPr="004A73C1" w:rsidRDefault="00741FAB" w:rsidP="00EF2E34">
      <w:pPr>
        <w:spacing w:line="360" w:lineRule="auto"/>
        <w:rPr>
          <w:rFonts w:ascii="Arial" w:hAnsi="Arial" w:cs="Arial"/>
        </w:rPr>
      </w:pPr>
      <w:r w:rsidRPr="004A73C1">
        <w:rPr>
          <w:rFonts w:ascii="Arial" w:hAnsi="Arial" w:cs="Arial"/>
          <w:noProof/>
        </w:rPr>
        <w:lastRenderedPageBreak/>
        <w:drawing>
          <wp:inline distT="0" distB="0" distL="0" distR="0" wp14:anchorId="25692F2B" wp14:editId="3AF47D8A">
            <wp:extent cx="5745192" cy="3792998"/>
            <wp:effectExtent l="0" t="0" r="8255" b="0"/>
            <wp:docPr id="1073763353" name="Picture 1" descr="A graph with black dot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63353" name="Picture 1" descr="A graph with black dots and numbers&#10;&#10;Description automatically generated"/>
                    <pic:cNvPicPr/>
                  </pic:nvPicPr>
                  <pic:blipFill>
                    <a:blip r:embed="rId21"/>
                    <a:stretch>
                      <a:fillRect/>
                    </a:stretch>
                  </pic:blipFill>
                  <pic:spPr>
                    <a:xfrm>
                      <a:off x="0" y="0"/>
                      <a:ext cx="5761799" cy="3803962"/>
                    </a:xfrm>
                    <a:prstGeom prst="rect">
                      <a:avLst/>
                    </a:prstGeom>
                  </pic:spPr>
                </pic:pic>
              </a:graphicData>
            </a:graphic>
          </wp:inline>
        </w:drawing>
      </w:r>
    </w:p>
    <w:p w14:paraId="5E09E1E3" w14:textId="12F12ACC" w:rsidR="00A915F4" w:rsidRPr="004A73C1" w:rsidRDefault="00B80C0D" w:rsidP="00EF2E34">
      <w:pPr>
        <w:spacing w:line="360" w:lineRule="auto"/>
        <w:rPr>
          <w:rFonts w:ascii="Arial" w:hAnsi="Arial" w:cs="Arial"/>
        </w:rPr>
      </w:pPr>
      <w:r w:rsidRPr="004A73C1">
        <w:rPr>
          <w:rFonts w:ascii="Arial" w:hAnsi="Arial" w:cs="Arial"/>
        </w:rPr>
        <w:t>Figure 10</w:t>
      </w:r>
      <w:r w:rsidR="00741FAB" w:rsidRPr="004A73C1">
        <w:rPr>
          <w:rFonts w:ascii="Arial" w:hAnsi="Arial" w:cs="Arial"/>
        </w:rPr>
        <w:t xml:space="preserve"> – </w:t>
      </w:r>
      <w:r w:rsidR="000D7E53">
        <w:rPr>
          <w:rFonts w:ascii="Arial" w:hAnsi="Arial" w:cs="Arial"/>
        </w:rPr>
        <w:t>Researcher's</w:t>
      </w:r>
      <w:r w:rsidR="00741FAB" w:rsidRPr="004A73C1">
        <w:rPr>
          <w:rFonts w:ascii="Arial" w:hAnsi="Arial" w:cs="Arial"/>
        </w:rPr>
        <w:t xml:space="preserve"> own calculations</w:t>
      </w:r>
    </w:p>
    <w:p w14:paraId="3C2BBB26" w14:textId="77777777" w:rsidR="00A915F4" w:rsidRPr="004A73C1" w:rsidRDefault="00A915F4" w:rsidP="00EF2E34">
      <w:pPr>
        <w:spacing w:line="360" w:lineRule="auto"/>
        <w:rPr>
          <w:rFonts w:ascii="Arial" w:hAnsi="Arial" w:cs="Arial"/>
        </w:rPr>
      </w:pPr>
      <w:r w:rsidRPr="004A73C1">
        <w:rPr>
          <w:rFonts w:ascii="Arial" w:hAnsi="Arial" w:cs="Arial"/>
        </w:rPr>
        <w:t>Best-fit values</w:t>
      </w:r>
    </w:p>
    <w:p w14:paraId="6C81D65A" w14:textId="220C58B4" w:rsidR="00A915F4" w:rsidRPr="004A73C1" w:rsidRDefault="00741FAB" w:rsidP="00EF2E34">
      <w:pPr>
        <w:spacing w:line="360" w:lineRule="auto"/>
        <w:rPr>
          <w:rFonts w:ascii="Arial" w:hAnsi="Arial" w:cs="Arial"/>
        </w:rPr>
      </w:pPr>
      <w:r w:rsidRPr="004A73C1">
        <w:rPr>
          <w:rFonts w:ascii="Arial" w:hAnsi="Arial" w:cs="Arial"/>
          <w:noProof/>
        </w:rPr>
        <w:drawing>
          <wp:inline distT="0" distB="0" distL="0" distR="0" wp14:anchorId="4EB3B4D3" wp14:editId="24A03B22">
            <wp:extent cx="5882832" cy="4269471"/>
            <wp:effectExtent l="0" t="0" r="3810" b="0"/>
            <wp:docPr id="470158750"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58750" name="Picture 1" descr="A screenshot of a calculator&#10;&#10;Description automatically generated"/>
                    <pic:cNvPicPr/>
                  </pic:nvPicPr>
                  <pic:blipFill>
                    <a:blip r:embed="rId22"/>
                    <a:stretch>
                      <a:fillRect/>
                    </a:stretch>
                  </pic:blipFill>
                  <pic:spPr>
                    <a:xfrm>
                      <a:off x="0" y="0"/>
                      <a:ext cx="5893111" cy="4276931"/>
                    </a:xfrm>
                    <a:prstGeom prst="rect">
                      <a:avLst/>
                    </a:prstGeom>
                  </pic:spPr>
                </pic:pic>
              </a:graphicData>
            </a:graphic>
          </wp:inline>
        </w:drawing>
      </w:r>
    </w:p>
    <w:p w14:paraId="19C96C31" w14:textId="12239E0C" w:rsidR="00741FAB" w:rsidRPr="004A73C1" w:rsidRDefault="00741FAB" w:rsidP="00EF2E34">
      <w:pPr>
        <w:spacing w:line="360" w:lineRule="auto"/>
        <w:rPr>
          <w:rFonts w:ascii="Arial" w:hAnsi="Arial" w:cs="Arial"/>
        </w:rPr>
      </w:pPr>
      <w:r w:rsidRPr="004A73C1">
        <w:rPr>
          <w:rFonts w:ascii="Arial" w:hAnsi="Arial" w:cs="Arial"/>
        </w:rPr>
        <w:t>Source - Researcher own calculations</w:t>
      </w:r>
    </w:p>
    <w:p w14:paraId="4C0930A2" w14:textId="6CF75724" w:rsidR="00A915F4" w:rsidRPr="004A73C1" w:rsidRDefault="00CA52E6" w:rsidP="00EF2E34">
      <w:pPr>
        <w:pStyle w:val="Heading2"/>
        <w:spacing w:line="360" w:lineRule="auto"/>
        <w:rPr>
          <w:rFonts w:ascii="Arial" w:hAnsi="Arial" w:cs="Arial"/>
          <w:color w:val="auto"/>
        </w:rPr>
      </w:pPr>
      <w:bookmarkStart w:id="101" w:name="_Toc175056472"/>
      <w:bookmarkStart w:id="102" w:name="_Toc175848129"/>
      <w:r w:rsidRPr="004A73C1">
        <w:rPr>
          <w:rFonts w:ascii="Arial" w:hAnsi="Arial" w:cs="Arial"/>
          <w:color w:val="auto"/>
        </w:rPr>
        <w:lastRenderedPageBreak/>
        <w:t>3.4.</w:t>
      </w:r>
      <w:r w:rsidR="00646CBB" w:rsidRPr="004A73C1">
        <w:rPr>
          <w:rFonts w:ascii="Arial" w:hAnsi="Arial" w:cs="Arial"/>
          <w:color w:val="auto"/>
        </w:rPr>
        <w:t>4</w:t>
      </w:r>
      <w:r w:rsidRPr="004A73C1">
        <w:rPr>
          <w:rFonts w:ascii="Arial" w:hAnsi="Arial" w:cs="Arial"/>
          <w:color w:val="auto"/>
        </w:rPr>
        <w:tab/>
      </w:r>
      <w:r w:rsidR="00A915F4" w:rsidRPr="004A73C1">
        <w:rPr>
          <w:rFonts w:ascii="Arial" w:hAnsi="Arial" w:cs="Arial"/>
          <w:color w:val="auto"/>
        </w:rPr>
        <w:t>Other Statistical Analysis.</w:t>
      </w:r>
      <w:bookmarkEnd w:id="101"/>
      <w:bookmarkEnd w:id="102"/>
    </w:p>
    <w:tbl>
      <w:tblPr>
        <w:tblW w:w="9253" w:type="dxa"/>
        <w:tblLook w:val="04A0" w:firstRow="1" w:lastRow="0" w:firstColumn="1" w:lastColumn="0" w:noHBand="0" w:noVBand="1"/>
      </w:tblPr>
      <w:tblGrid>
        <w:gridCol w:w="2547"/>
        <w:gridCol w:w="2080"/>
        <w:gridCol w:w="1869"/>
        <w:gridCol w:w="2757"/>
      </w:tblGrid>
      <w:tr w:rsidR="00A915F4" w:rsidRPr="004A73C1" w14:paraId="2CC4595C" w14:textId="77777777" w:rsidTr="0021554E">
        <w:trPr>
          <w:trHeight w:val="1193"/>
        </w:trPr>
        <w:tc>
          <w:tcPr>
            <w:tcW w:w="25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80AE2E"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Description</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14:paraId="74A6FA17"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NET FDI - Billions </w:t>
            </w:r>
          </w:p>
        </w:tc>
        <w:tc>
          <w:tcPr>
            <w:tcW w:w="1869" w:type="dxa"/>
            <w:tcBorders>
              <w:top w:val="single" w:sz="4" w:space="0" w:color="auto"/>
              <w:left w:val="nil"/>
              <w:bottom w:val="single" w:sz="4" w:space="0" w:color="auto"/>
              <w:right w:val="single" w:sz="4" w:space="0" w:color="auto"/>
            </w:tcBorders>
            <w:shd w:val="clear" w:color="auto" w:fill="auto"/>
            <w:noWrap/>
            <w:vAlign w:val="bottom"/>
            <w:hideMark/>
          </w:tcPr>
          <w:p w14:paraId="44D54D53"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GDP- In Billions</w:t>
            </w:r>
          </w:p>
        </w:tc>
        <w:tc>
          <w:tcPr>
            <w:tcW w:w="2757" w:type="dxa"/>
            <w:tcBorders>
              <w:top w:val="single" w:sz="4" w:space="0" w:color="auto"/>
              <w:left w:val="nil"/>
              <w:bottom w:val="single" w:sz="4" w:space="0" w:color="auto"/>
              <w:right w:val="single" w:sz="4" w:space="0" w:color="auto"/>
            </w:tcBorders>
            <w:shd w:val="clear" w:color="auto" w:fill="auto"/>
            <w:vAlign w:val="bottom"/>
            <w:hideMark/>
          </w:tcPr>
          <w:p w14:paraId="4604447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Percentage FDI/GDP%</w:t>
            </w:r>
          </w:p>
        </w:tc>
      </w:tr>
      <w:tr w:rsidR="00A915F4" w:rsidRPr="004A73C1" w14:paraId="4C40F624"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03A4F21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2015 </w:t>
            </w:r>
          </w:p>
        </w:tc>
        <w:tc>
          <w:tcPr>
            <w:tcW w:w="2080" w:type="dxa"/>
            <w:tcBorders>
              <w:top w:val="nil"/>
              <w:left w:val="nil"/>
              <w:bottom w:val="single" w:sz="4" w:space="0" w:color="auto"/>
              <w:right w:val="single" w:sz="4" w:space="0" w:color="auto"/>
            </w:tcBorders>
            <w:shd w:val="clear" w:color="auto" w:fill="auto"/>
            <w:noWrap/>
            <w:vAlign w:val="bottom"/>
            <w:hideMark/>
          </w:tcPr>
          <w:p w14:paraId="69E93E9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105.51 </w:t>
            </w:r>
          </w:p>
        </w:tc>
        <w:tc>
          <w:tcPr>
            <w:tcW w:w="1869" w:type="dxa"/>
            <w:tcBorders>
              <w:top w:val="nil"/>
              <w:left w:val="nil"/>
              <w:bottom w:val="single" w:sz="4" w:space="0" w:color="auto"/>
              <w:right w:val="single" w:sz="4" w:space="0" w:color="auto"/>
            </w:tcBorders>
            <w:shd w:val="clear" w:color="auto" w:fill="auto"/>
            <w:noWrap/>
            <w:vAlign w:val="bottom"/>
            <w:hideMark/>
          </w:tcPr>
          <w:p w14:paraId="34140572"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2,927.91 </w:t>
            </w:r>
          </w:p>
        </w:tc>
        <w:tc>
          <w:tcPr>
            <w:tcW w:w="2757" w:type="dxa"/>
            <w:tcBorders>
              <w:top w:val="nil"/>
              <w:left w:val="nil"/>
              <w:bottom w:val="single" w:sz="4" w:space="0" w:color="auto"/>
              <w:right w:val="single" w:sz="4" w:space="0" w:color="auto"/>
            </w:tcBorders>
            <w:shd w:val="clear" w:color="auto" w:fill="auto"/>
            <w:noWrap/>
            <w:vAlign w:val="bottom"/>
            <w:hideMark/>
          </w:tcPr>
          <w:p w14:paraId="7F21BC47"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-3.60%</w:t>
            </w:r>
          </w:p>
        </w:tc>
      </w:tr>
      <w:tr w:rsidR="00A915F4" w:rsidRPr="004A73C1" w14:paraId="3B6DC4C8"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32F90C7"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2016 </w:t>
            </w:r>
          </w:p>
        </w:tc>
        <w:tc>
          <w:tcPr>
            <w:tcW w:w="2080" w:type="dxa"/>
            <w:tcBorders>
              <w:top w:val="nil"/>
              <w:left w:val="nil"/>
              <w:bottom w:val="single" w:sz="4" w:space="0" w:color="auto"/>
              <w:right w:val="single" w:sz="4" w:space="0" w:color="auto"/>
            </w:tcBorders>
            <w:shd w:val="clear" w:color="auto" w:fill="auto"/>
            <w:noWrap/>
            <w:vAlign w:val="bottom"/>
            <w:hideMark/>
          </w:tcPr>
          <w:p w14:paraId="02D209F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291.90 </w:t>
            </w:r>
          </w:p>
        </w:tc>
        <w:tc>
          <w:tcPr>
            <w:tcW w:w="1869" w:type="dxa"/>
            <w:tcBorders>
              <w:top w:val="nil"/>
              <w:left w:val="nil"/>
              <w:bottom w:val="single" w:sz="4" w:space="0" w:color="auto"/>
              <w:right w:val="single" w:sz="4" w:space="0" w:color="auto"/>
            </w:tcBorders>
            <w:shd w:val="clear" w:color="auto" w:fill="auto"/>
            <w:noWrap/>
            <w:vAlign w:val="bottom"/>
            <w:hideMark/>
          </w:tcPr>
          <w:p w14:paraId="4ED63E19"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2,689.11 </w:t>
            </w:r>
          </w:p>
        </w:tc>
        <w:tc>
          <w:tcPr>
            <w:tcW w:w="2757" w:type="dxa"/>
            <w:tcBorders>
              <w:top w:val="nil"/>
              <w:left w:val="nil"/>
              <w:bottom w:val="single" w:sz="4" w:space="0" w:color="auto"/>
              <w:right w:val="single" w:sz="4" w:space="0" w:color="auto"/>
            </w:tcBorders>
            <w:shd w:val="clear" w:color="auto" w:fill="auto"/>
            <w:noWrap/>
            <w:vAlign w:val="bottom"/>
            <w:hideMark/>
          </w:tcPr>
          <w:p w14:paraId="0C192359"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-10.86%</w:t>
            </w:r>
          </w:p>
        </w:tc>
      </w:tr>
      <w:tr w:rsidR="00A915F4" w:rsidRPr="004A73C1" w14:paraId="70FA2676"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D22F003"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2017 </w:t>
            </w:r>
          </w:p>
        </w:tc>
        <w:tc>
          <w:tcPr>
            <w:tcW w:w="2080" w:type="dxa"/>
            <w:tcBorders>
              <w:top w:val="nil"/>
              <w:left w:val="nil"/>
              <w:bottom w:val="single" w:sz="4" w:space="0" w:color="auto"/>
              <w:right w:val="single" w:sz="4" w:space="0" w:color="auto"/>
            </w:tcBorders>
            <w:shd w:val="clear" w:color="auto" w:fill="auto"/>
            <w:noWrap/>
            <w:vAlign w:val="bottom"/>
            <w:hideMark/>
          </w:tcPr>
          <w:p w14:paraId="405EAE9B"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46.69 </w:t>
            </w:r>
          </w:p>
        </w:tc>
        <w:tc>
          <w:tcPr>
            <w:tcW w:w="1869" w:type="dxa"/>
            <w:tcBorders>
              <w:top w:val="nil"/>
              <w:left w:val="nil"/>
              <w:bottom w:val="single" w:sz="4" w:space="0" w:color="auto"/>
              <w:right w:val="single" w:sz="4" w:space="0" w:color="auto"/>
            </w:tcBorders>
            <w:shd w:val="clear" w:color="auto" w:fill="auto"/>
            <w:noWrap/>
            <w:vAlign w:val="bottom"/>
            <w:hideMark/>
          </w:tcPr>
          <w:p w14:paraId="0B5D528B"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2,680.15 </w:t>
            </w:r>
          </w:p>
        </w:tc>
        <w:tc>
          <w:tcPr>
            <w:tcW w:w="2757" w:type="dxa"/>
            <w:tcBorders>
              <w:top w:val="nil"/>
              <w:left w:val="nil"/>
              <w:bottom w:val="single" w:sz="4" w:space="0" w:color="auto"/>
              <w:right w:val="single" w:sz="4" w:space="0" w:color="auto"/>
            </w:tcBorders>
            <w:shd w:val="clear" w:color="auto" w:fill="auto"/>
            <w:noWrap/>
            <w:vAlign w:val="bottom"/>
            <w:hideMark/>
          </w:tcPr>
          <w:p w14:paraId="163456F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1.74%</w:t>
            </w:r>
          </w:p>
        </w:tc>
      </w:tr>
      <w:tr w:rsidR="00A915F4" w:rsidRPr="004A73C1" w14:paraId="1254A3EA"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47A2750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2018 </w:t>
            </w:r>
          </w:p>
        </w:tc>
        <w:tc>
          <w:tcPr>
            <w:tcW w:w="2080" w:type="dxa"/>
            <w:tcBorders>
              <w:top w:val="nil"/>
              <w:left w:val="nil"/>
              <w:bottom w:val="single" w:sz="4" w:space="0" w:color="auto"/>
              <w:right w:val="single" w:sz="4" w:space="0" w:color="auto"/>
            </w:tcBorders>
            <w:shd w:val="clear" w:color="auto" w:fill="auto"/>
            <w:noWrap/>
            <w:vAlign w:val="bottom"/>
            <w:hideMark/>
          </w:tcPr>
          <w:p w14:paraId="3E715B0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3.58 </w:t>
            </w:r>
          </w:p>
        </w:tc>
        <w:tc>
          <w:tcPr>
            <w:tcW w:w="1869" w:type="dxa"/>
            <w:tcBorders>
              <w:top w:val="nil"/>
              <w:left w:val="nil"/>
              <w:bottom w:val="single" w:sz="4" w:space="0" w:color="auto"/>
              <w:right w:val="single" w:sz="4" w:space="0" w:color="auto"/>
            </w:tcBorders>
            <w:shd w:val="clear" w:color="auto" w:fill="auto"/>
            <w:noWrap/>
            <w:vAlign w:val="bottom"/>
            <w:hideMark/>
          </w:tcPr>
          <w:p w14:paraId="1DBEC7B5"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2,871.34 </w:t>
            </w:r>
          </w:p>
        </w:tc>
        <w:tc>
          <w:tcPr>
            <w:tcW w:w="2757" w:type="dxa"/>
            <w:tcBorders>
              <w:top w:val="nil"/>
              <w:left w:val="nil"/>
              <w:bottom w:val="single" w:sz="4" w:space="0" w:color="auto"/>
              <w:right w:val="single" w:sz="4" w:space="0" w:color="auto"/>
            </w:tcBorders>
            <w:shd w:val="clear" w:color="auto" w:fill="auto"/>
            <w:noWrap/>
            <w:vAlign w:val="bottom"/>
            <w:hideMark/>
          </w:tcPr>
          <w:p w14:paraId="3B003742"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-0.12%</w:t>
            </w:r>
          </w:p>
        </w:tc>
      </w:tr>
      <w:tr w:rsidR="00A915F4" w:rsidRPr="004A73C1" w14:paraId="551F9F98"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5420FFAE"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2019 </w:t>
            </w:r>
          </w:p>
        </w:tc>
        <w:tc>
          <w:tcPr>
            <w:tcW w:w="2080" w:type="dxa"/>
            <w:tcBorders>
              <w:top w:val="nil"/>
              <w:left w:val="nil"/>
              <w:bottom w:val="single" w:sz="4" w:space="0" w:color="auto"/>
              <w:right w:val="single" w:sz="4" w:space="0" w:color="auto"/>
            </w:tcBorders>
            <w:shd w:val="clear" w:color="auto" w:fill="auto"/>
            <w:noWrap/>
            <w:vAlign w:val="bottom"/>
            <w:hideMark/>
          </w:tcPr>
          <w:p w14:paraId="10FD8E7B"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41.29 </w:t>
            </w:r>
          </w:p>
        </w:tc>
        <w:tc>
          <w:tcPr>
            <w:tcW w:w="1869" w:type="dxa"/>
            <w:tcBorders>
              <w:top w:val="nil"/>
              <w:left w:val="nil"/>
              <w:bottom w:val="single" w:sz="4" w:space="0" w:color="auto"/>
              <w:right w:val="single" w:sz="4" w:space="0" w:color="auto"/>
            </w:tcBorders>
            <w:shd w:val="clear" w:color="auto" w:fill="auto"/>
            <w:noWrap/>
            <w:vAlign w:val="bottom"/>
            <w:hideMark/>
          </w:tcPr>
          <w:p w14:paraId="6A4FB71C"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2,851.41 </w:t>
            </w:r>
          </w:p>
        </w:tc>
        <w:tc>
          <w:tcPr>
            <w:tcW w:w="2757" w:type="dxa"/>
            <w:tcBorders>
              <w:top w:val="nil"/>
              <w:left w:val="nil"/>
              <w:bottom w:val="single" w:sz="4" w:space="0" w:color="auto"/>
              <w:right w:val="single" w:sz="4" w:space="0" w:color="auto"/>
            </w:tcBorders>
            <w:shd w:val="clear" w:color="auto" w:fill="auto"/>
            <w:noWrap/>
            <w:vAlign w:val="bottom"/>
            <w:hideMark/>
          </w:tcPr>
          <w:p w14:paraId="0F309061"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-1.45%</w:t>
            </w:r>
          </w:p>
        </w:tc>
      </w:tr>
      <w:tr w:rsidR="00A915F4" w:rsidRPr="004A73C1" w14:paraId="36F37AEC"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93A7990"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2020 </w:t>
            </w:r>
          </w:p>
        </w:tc>
        <w:tc>
          <w:tcPr>
            <w:tcW w:w="2080" w:type="dxa"/>
            <w:tcBorders>
              <w:top w:val="nil"/>
              <w:left w:val="nil"/>
              <w:bottom w:val="single" w:sz="4" w:space="0" w:color="auto"/>
              <w:right w:val="single" w:sz="4" w:space="0" w:color="auto"/>
            </w:tcBorders>
            <w:shd w:val="clear" w:color="auto" w:fill="auto"/>
            <w:noWrap/>
            <w:vAlign w:val="bottom"/>
            <w:hideMark/>
          </w:tcPr>
          <w:p w14:paraId="13566002"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140.80 </w:t>
            </w:r>
          </w:p>
        </w:tc>
        <w:tc>
          <w:tcPr>
            <w:tcW w:w="1869" w:type="dxa"/>
            <w:tcBorders>
              <w:top w:val="nil"/>
              <w:left w:val="nil"/>
              <w:bottom w:val="single" w:sz="4" w:space="0" w:color="auto"/>
              <w:right w:val="single" w:sz="4" w:space="0" w:color="auto"/>
            </w:tcBorders>
            <w:shd w:val="clear" w:color="auto" w:fill="auto"/>
            <w:noWrap/>
            <w:vAlign w:val="bottom"/>
            <w:hideMark/>
          </w:tcPr>
          <w:p w14:paraId="73ADE645"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2,697.81 </w:t>
            </w:r>
          </w:p>
        </w:tc>
        <w:tc>
          <w:tcPr>
            <w:tcW w:w="2757" w:type="dxa"/>
            <w:tcBorders>
              <w:top w:val="nil"/>
              <w:left w:val="nil"/>
              <w:bottom w:val="single" w:sz="4" w:space="0" w:color="auto"/>
              <w:right w:val="single" w:sz="4" w:space="0" w:color="auto"/>
            </w:tcBorders>
            <w:shd w:val="clear" w:color="auto" w:fill="auto"/>
            <w:noWrap/>
            <w:vAlign w:val="bottom"/>
            <w:hideMark/>
          </w:tcPr>
          <w:p w14:paraId="7167D216"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-5.22%</w:t>
            </w:r>
          </w:p>
        </w:tc>
      </w:tr>
      <w:tr w:rsidR="00A915F4" w:rsidRPr="004A73C1" w14:paraId="7C606EB7"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35BF7CF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2021 </w:t>
            </w:r>
          </w:p>
        </w:tc>
        <w:tc>
          <w:tcPr>
            <w:tcW w:w="2080" w:type="dxa"/>
            <w:tcBorders>
              <w:top w:val="nil"/>
              <w:left w:val="nil"/>
              <w:bottom w:val="single" w:sz="4" w:space="0" w:color="auto"/>
              <w:right w:val="single" w:sz="4" w:space="0" w:color="auto"/>
            </w:tcBorders>
            <w:shd w:val="clear" w:color="auto" w:fill="auto"/>
            <w:noWrap/>
            <w:vAlign w:val="bottom"/>
            <w:hideMark/>
          </w:tcPr>
          <w:p w14:paraId="0E2AB3CE"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155.01 </w:t>
            </w:r>
          </w:p>
        </w:tc>
        <w:tc>
          <w:tcPr>
            <w:tcW w:w="1869" w:type="dxa"/>
            <w:tcBorders>
              <w:top w:val="nil"/>
              <w:left w:val="nil"/>
              <w:bottom w:val="single" w:sz="4" w:space="0" w:color="auto"/>
              <w:right w:val="single" w:sz="4" w:space="0" w:color="auto"/>
            </w:tcBorders>
            <w:shd w:val="clear" w:color="auto" w:fill="auto"/>
            <w:noWrap/>
            <w:vAlign w:val="bottom"/>
            <w:hideMark/>
          </w:tcPr>
          <w:p w14:paraId="17409AAA"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3,141.51 </w:t>
            </w:r>
          </w:p>
        </w:tc>
        <w:tc>
          <w:tcPr>
            <w:tcW w:w="2757" w:type="dxa"/>
            <w:tcBorders>
              <w:top w:val="nil"/>
              <w:left w:val="nil"/>
              <w:bottom w:val="single" w:sz="4" w:space="0" w:color="auto"/>
              <w:right w:val="single" w:sz="4" w:space="0" w:color="auto"/>
            </w:tcBorders>
            <w:shd w:val="clear" w:color="auto" w:fill="auto"/>
            <w:noWrap/>
            <w:vAlign w:val="bottom"/>
            <w:hideMark/>
          </w:tcPr>
          <w:p w14:paraId="247A2169"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4.93%</w:t>
            </w:r>
          </w:p>
        </w:tc>
      </w:tr>
      <w:tr w:rsidR="00A915F4" w:rsidRPr="004A73C1" w14:paraId="773F3A10"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1A845DD1"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2022 </w:t>
            </w:r>
          </w:p>
        </w:tc>
        <w:tc>
          <w:tcPr>
            <w:tcW w:w="2080" w:type="dxa"/>
            <w:tcBorders>
              <w:top w:val="nil"/>
              <w:left w:val="nil"/>
              <w:bottom w:val="single" w:sz="4" w:space="0" w:color="auto"/>
              <w:right w:val="single" w:sz="4" w:space="0" w:color="auto"/>
            </w:tcBorders>
            <w:shd w:val="clear" w:color="auto" w:fill="auto"/>
            <w:noWrap/>
            <w:vAlign w:val="bottom"/>
            <w:hideMark/>
          </w:tcPr>
          <w:p w14:paraId="630FCDC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79.99 </w:t>
            </w:r>
          </w:p>
        </w:tc>
        <w:tc>
          <w:tcPr>
            <w:tcW w:w="1869" w:type="dxa"/>
            <w:tcBorders>
              <w:top w:val="nil"/>
              <w:left w:val="nil"/>
              <w:bottom w:val="single" w:sz="4" w:space="0" w:color="auto"/>
              <w:right w:val="single" w:sz="4" w:space="0" w:color="auto"/>
            </w:tcBorders>
            <w:shd w:val="clear" w:color="auto" w:fill="auto"/>
            <w:noWrap/>
            <w:vAlign w:val="bottom"/>
            <w:hideMark/>
          </w:tcPr>
          <w:p w14:paraId="7057181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3,088.84 </w:t>
            </w:r>
          </w:p>
        </w:tc>
        <w:tc>
          <w:tcPr>
            <w:tcW w:w="2757" w:type="dxa"/>
            <w:tcBorders>
              <w:top w:val="nil"/>
              <w:left w:val="nil"/>
              <w:bottom w:val="single" w:sz="4" w:space="0" w:color="auto"/>
              <w:right w:val="single" w:sz="4" w:space="0" w:color="auto"/>
            </w:tcBorders>
            <w:shd w:val="clear" w:color="auto" w:fill="auto"/>
            <w:noWrap/>
            <w:vAlign w:val="bottom"/>
            <w:hideMark/>
          </w:tcPr>
          <w:p w14:paraId="5845579E"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2.59%</w:t>
            </w:r>
          </w:p>
        </w:tc>
      </w:tr>
      <w:tr w:rsidR="00A915F4" w:rsidRPr="004A73C1" w14:paraId="51708FBA"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4FA366B5"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2023 </w:t>
            </w:r>
          </w:p>
        </w:tc>
        <w:tc>
          <w:tcPr>
            <w:tcW w:w="2080" w:type="dxa"/>
            <w:tcBorders>
              <w:top w:val="nil"/>
              <w:left w:val="nil"/>
              <w:bottom w:val="single" w:sz="4" w:space="0" w:color="auto"/>
              <w:right w:val="single" w:sz="4" w:space="0" w:color="auto"/>
            </w:tcBorders>
            <w:shd w:val="clear" w:color="auto" w:fill="auto"/>
            <w:noWrap/>
            <w:vAlign w:val="bottom"/>
            <w:hideMark/>
          </w:tcPr>
          <w:p w14:paraId="4AA80100"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90.03 </w:t>
            </w:r>
          </w:p>
        </w:tc>
        <w:tc>
          <w:tcPr>
            <w:tcW w:w="1869" w:type="dxa"/>
            <w:tcBorders>
              <w:top w:val="nil"/>
              <w:left w:val="nil"/>
              <w:bottom w:val="single" w:sz="4" w:space="0" w:color="auto"/>
              <w:right w:val="single" w:sz="4" w:space="0" w:color="auto"/>
            </w:tcBorders>
            <w:shd w:val="clear" w:color="auto" w:fill="auto"/>
            <w:noWrap/>
            <w:vAlign w:val="bottom"/>
            <w:hideMark/>
          </w:tcPr>
          <w:p w14:paraId="2A3B2F46"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3,340.03 </w:t>
            </w:r>
          </w:p>
        </w:tc>
        <w:tc>
          <w:tcPr>
            <w:tcW w:w="2757" w:type="dxa"/>
            <w:tcBorders>
              <w:top w:val="nil"/>
              <w:left w:val="nil"/>
              <w:bottom w:val="single" w:sz="4" w:space="0" w:color="auto"/>
              <w:right w:val="single" w:sz="4" w:space="0" w:color="auto"/>
            </w:tcBorders>
            <w:shd w:val="clear" w:color="auto" w:fill="auto"/>
            <w:noWrap/>
            <w:vAlign w:val="bottom"/>
            <w:hideMark/>
          </w:tcPr>
          <w:p w14:paraId="3B9154D7"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2.70%</w:t>
            </w:r>
          </w:p>
        </w:tc>
      </w:tr>
      <w:tr w:rsidR="00A915F4" w:rsidRPr="004A73C1" w14:paraId="5408CCCF" w14:textId="77777777" w:rsidTr="0021554E">
        <w:trPr>
          <w:trHeight w:val="895"/>
        </w:trPr>
        <w:tc>
          <w:tcPr>
            <w:tcW w:w="2547" w:type="dxa"/>
            <w:tcBorders>
              <w:top w:val="nil"/>
              <w:left w:val="single" w:sz="4" w:space="0" w:color="auto"/>
              <w:bottom w:val="single" w:sz="4" w:space="0" w:color="auto"/>
              <w:right w:val="single" w:sz="4" w:space="0" w:color="auto"/>
            </w:tcBorders>
            <w:shd w:val="clear" w:color="auto" w:fill="auto"/>
            <w:vAlign w:val="bottom"/>
            <w:hideMark/>
          </w:tcPr>
          <w:p w14:paraId="6646A151"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Standard Deviation. Population</w:t>
            </w:r>
          </w:p>
        </w:tc>
        <w:tc>
          <w:tcPr>
            <w:tcW w:w="2080" w:type="dxa"/>
            <w:tcBorders>
              <w:top w:val="nil"/>
              <w:left w:val="nil"/>
              <w:bottom w:val="single" w:sz="4" w:space="0" w:color="auto"/>
              <w:right w:val="single" w:sz="4" w:space="0" w:color="auto"/>
            </w:tcBorders>
            <w:shd w:val="clear" w:color="auto" w:fill="auto"/>
            <w:noWrap/>
            <w:vAlign w:val="bottom"/>
            <w:hideMark/>
          </w:tcPr>
          <w:p w14:paraId="3EA79CF5"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130.65 </w:t>
            </w:r>
          </w:p>
        </w:tc>
        <w:tc>
          <w:tcPr>
            <w:tcW w:w="1869" w:type="dxa"/>
            <w:tcBorders>
              <w:top w:val="nil"/>
              <w:left w:val="nil"/>
              <w:bottom w:val="single" w:sz="4" w:space="0" w:color="auto"/>
              <w:right w:val="single" w:sz="4" w:space="0" w:color="auto"/>
            </w:tcBorders>
            <w:shd w:val="clear" w:color="auto" w:fill="auto"/>
            <w:noWrap/>
            <w:vAlign w:val="bottom"/>
            <w:hideMark/>
          </w:tcPr>
          <w:p w14:paraId="3F3D387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216.37 </w:t>
            </w:r>
          </w:p>
        </w:tc>
        <w:tc>
          <w:tcPr>
            <w:tcW w:w="2757" w:type="dxa"/>
            <w:tcBorders>
              <w:top w:val="nil"/>
              <w:left w:val="nil"/>
              <w:bottom w:val="single" w:sz="4" w:space="0" w:color="auto"/>
              <w:right w:val="single" w:sz="4" w:space="0" w:color="auto"/>
            </w:tcBorders>
            <w:shd w:val="clear" w:color="auto" w:fill="auto"/>
            <w:noWrap/>
            <w:vAlign w:val="bottom"/>
            <w:hideMark/>
          </w:tcPr>
          <w:p w14:paraId="2AAD43A5"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5%</w:t>
            </w:r>
          </w:p>
        </w:tc>
      </w:tr>
      <w:tr w:rsidR="00A915F4" w:rsidRPr="004A73C1" w14:paraId="60760F79"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0A6000E"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Median</w:t>
            </w:r>
          </w:p>
        </w:tc>
        <w:tc>
          <w:tcPr>
            <w:tcW w:w="2080" w:type="dxa"/>
            <w:tcBorders>
              <w:top w:val="nil"/>
              <w:left w:val="nil"/>
              <w:bottom w:val="single" w:sz="4" w:space="0" w:color="auto"/>
              <w:right w:val="single" w:sz="4" w:space="0" w:color="auto"/>
            </w:tcBorders>
            <w:shd w:val="clear" w:color="auto" w:fill="auto"/>
            <w:noWrap/>
            <w:vAlign w:val="bottom"/>
            <w:hideMark/>
          </w:tcPr>
          <w:p w14:paraId="2B5D17A4"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3.58 </w:t>
            </w:r>
          </w:p>
        </w:tc>
        <w:tc>
          <w:tcPr>
            <w:tcW w:w="1869" w:type="dxa"/>
            <w:tcBorders>
              <w:top w:val="nil"/>
              <w:left w:val="nil"/>
              <w:bottom w:val="single" w:sz="4" w:space="0" w:color="auto"/>
              <w:right w:val="single" w:sz="4" w:space="0" w:color="auto"/>
            </w:tcBorders>
            <w:shd w:val="clear" w:color="auto" w:fill="auto"/>
            <w:noWrap/>
            <w:vAlign w:val="bottom"/>
            <w:hideMark/>
          </w:tcPr>
          <w:p w14:paraId="2D60C07A"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2,871.34 </w:t>
            </w:r>
          </w:p>
        </w:tc>
        <w:tc>
          <w:tcPr>
            <w:tcW w:w="2757" w:type="dxa"/>
            <w:tcBorders>
              <w:top w:val="nil"/>
              <w:left w:val="nil"/>
              <w:bottom w:val="single" w:sz="4" w:space="0" w:color="auto"/>
              <w:right w:val="single" w:sz="4" w:space="0" w:color="auto"/>
            </w:tcBorders>
            <w:shd w:val="clear" w:color="auto" w:fill="auto"/>
            <w:noWrap/>
            <w:vAlign w:val="bottom"/>
            <w:hideMark/>
          </w:tcPr>
          <w:p w14:paraId="73C4D040"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-0.12%</w:t>
            </w:r>
          </w:p>
        </w:tc>
      </w:tr>
      <w:tr w:rsidR="00A915F4" w:rsidRPr="004A73C1" w14:paraId="3B5CE0B4"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2C3C8846"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Mean</w:t>
            </w:r>
          </w:p>
        </w:tc>
        <w:tc>
          <w:tcPr>
            <w:tcW w:w="2080" w:type="dxa"/>
            <w:tcBorders>
              <w:top w:val="nil"/>
              <w:left w:val="nil"/>
              <w:bottom w:val="single" w:sz="4" w:space="0" w:color="auto"/>
              <w:right w:val="single" w:sz="4" w:space="0" w:color="auto"/>
            </w:tcBorders>
            <w:shd w:val="clear" w:color="auto" w:fill="auto"/>
            <w:noWrap/>
            <w:vAlign w:val="bottom"/>
            <w:hideMark/>
          </w:tcPr>
          <w:p w14:paraId="2944ADD0"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23.48 </w:t>
            </w:r>
          </w:p>
        </w:tc>
        <w:tc>
          <w:tcPr>
            <w:tcW w:w="1869" w:type="dxa"/>
            <w:tcBorders>
              <w:top w:val="nil"/>
              <w:left w:val="nil"/>
              <w:bottom w:val="single" w:sz="4" w:space="0" w:color="auto"/>
              <w:right w:val="single" w:sz="4" w:space="0" w:color="auto"/>
            </w:tcBorders>
            <w:shd w:val="clear" w:color="auto" w:fill="auto"/>
            <w:noWrap/>
            <w:vAlign w:val="bottom"/>
            <w:hideMark/>
          </w:tcPr>
          <w:p w14:paraId="4ACCC9D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2,920.90 </w:t>
            </w:r>
          </w:p>
        </w:tc>
        <w:tc>
          <w:tcPr>
            <w:tcW w:w="2757" w:type="dxa"/>
            <w:tcBorders>
              <w:top w:val="nil"/>
              <w:left w:val="nil"/>
              <w:bottom w:val="single" w:sz="4" w:space="0" w:color="auto"/>
              <w:right w:val="single" w:sz="4" w:space="0" w:color="auto"/>
            </w:tcBorders>
            <w:shd w:val="clear" w:color="auto" w:fill="auto"/>
            <w:noWrap/>
            <w:vAlign w:val="bottom"/>
            <w:hideMark/>
          </w:tcPr>
          <w:p w14:paraId="2D694A87"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-1.03%</w:t>
            </w:r>
          </w:p>
        </w:tc>
      </w:tr>
      <w:tr w:rsidR="00A915F4" w:rsidRPr="004A73C1" w14:paraId="7F5F89D0" w14:textId="77777777" w:rsidTr="0021554E">
        <w:trPr>
          <w:trHeight w:val="298"/>
        </w:trPr>
        <w:tc>
          <w:tcPr>
            <w:tcW w:w="2547" w:type="dxa"/>
            <w:tcBorders>
              <w:top w:val="nil"/>
              <w:left w:val="single" w:sz="4" w:space="0" w:color="auto"/>
              <w:bottom w:val="single" w:sz="4" w:space="0" w:color="auto"/>
              <w:right w:val="single" w:sz="4" w:space="0" w:color="auto"/>
            </w:tcBorders>
            <w:shd w:val="clear" w:color="auto" w:fill="auto"/>
            <w:noWrap/>
            <w:vAlign w:val="bottom"/>
            <w:hideMark/>
          </w:tcPr>
          <w:p w14:paraId="7525340D"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Standard deviation </w:t>
            </w:r>
          </w:p>
        </w:tc>
        <w:tc>
          <w:tcPr>
            <w:tcW w:w="2080" w:type="dxa"/>
            <w:tcBorders>
              <w:top w:val="nil"/>
              <w:left w:val="nil"/>
              <w:bottom w:val="single" w:sz="4" w:space="0" w:color="auto"/>
              <w:right w:val="single" w:sz="4" w:space="0" w:color="auto"/>
            </w:tcBorders>
            <w:shd w:val="clear" w:color="auto" w:fill="auto"/>
            <w:noWrap/>
            <w:vAlign w:val="bottom"/>
            <w:hideMark/>
          </w:tcPr>
          <w:p w14:paraId="2F4ACEAF"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138.58 </w:t>
            </w:r>
          </w:p>
        </w:tc>
        <w:tc>
          <w:tcPr>
            <w:tcW w:w="1869" w:type="dxa"/>
            <w:tcBorders>
              <w:top w:val="nil"/>
              <w:left w:val="nil"/>
              <w:bottom w:val="single" w:sz="4" w:space="0" w:color="auto"/>
              <w:right w:val="single" w:sz="4" w:space="0" w:color="auto"/>
            </w:tcBorders>
            <w:shd w:val="clear" w:color="auto" w:fill="auto"/>
            <w:noWrap/>
            <w:vAlign w:val="bottom"/>
            <w:hideMark/>
          </w:tcPr>
          <w:p w14:paraId="63E7E212"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 xml:space="preserve">                   229.49 </w:t>
            </w:r>
          </w:p>
        </w:tc>
        <w:tc>
          <w:tcPr>
            <w:tcW w:w="2757" w:type="dxa"/>
            <w:tcBorders>
              <w:top w:val="nil"/>
              <w:left w:val="nil"/>
              <w:bottom w:val="single" w:sz="4" w:space="0" w:color="auto"/>
              <w:right w:val="single" w:sz="4" w:space="0" w:color="auto"/>
            </w:tcBorders>
            <w:shd w:val="clear" w:color="auto" w:fill="auto"/>
            <w:noWrap/>
            <w:vAlign w:val="bottom"/>
            <w:hideMark/>
          </w:tcPr>
          <w:p w14:paraId="51D8A5DA" w14:textId="77777777" w:rsidR="00A915F4" w:rsidRPr="004A73C1" w:rsidRDefault="00A915F4" w:rsidP="00EF2E34">
            <w:pPr>
              <w:spacing w:line="360" w:lineRule="auto"/>
              <w:rPr>
                <w:rFonts w:ascii="Arial" w:eastAsia="Times New Roman" w:hAnsi="Arial" w:cs="Arial"/>
                <w:lang w:eastAsia="en-GB"/>
              </w:rPr>
            </w:pPr>
            <w:r w:rsidRPr="004A73C1">
              <w:rPr>
                <w:rFonts w:ascii="Arial" w:eastAsia="Times New Roman" w:hAnsi="Arial" w:cs="Arial"/>
                <w:lang w:eastAsia="en-GB"/>
              </w:rPr>
              <w:t>4.90%</w:t>
            </w:r>
          </w:p>
        </w:tc>
      </w:tr>
    </w:tbl>
    <w:p w14:paraId="3D42AF08" w14:textId="7494A2D3" w:rsidR="00B80C0D" w:rsidRPr="004A73C1" w:rsidRDefault="00B80C0D" w:rsidP="00EF2E34">
      <w:pPr>
        <w:spacing w:line="360" w:lineRule="auto"/>
        <w:rPr>
          <w:rFonts w:ascii="Arial" w:hAnsi="Arial" w:cs="Arial"/>
        </w:rPr>
      </w:pPr>
      <w:r w:rsidRPr="004A73C1">
        <w:rPr>
          <w:rFonts w:ascii="Arial" w:hAnsi="Arial" w:cs="Arial"/>
        </w:rPr>
        <w:t>Figure 11</w:t>
      </w:r>
    </w:p>
    <w:p w14:paraId="0F36E6CD" w14:textId="749FAB23" w:rsidR="00A915F4" w:rsidRPr="004A73C1" w:rsidRDefault="004D6F6C" w:rsidP="00EF2E34">
      <w:pPr>
        <w:spacing w:line="360" w:lineRule="auto"/>
        <w:rPr>
          <w:rFonts w:ascii="Arial" w:hAnsi="Arial" w:cs="Arial"/>
        </w:rPr>
      </w:pPr>
      <w:r>
        <w:rPr>
          <w:rFonts w:ascii="Arial" w:hAnsi="Arial" w:cs="Arial"/>
        </w:rPr>
        <w:t>(</w:t>
      </w:r>
      <w:r w:rsidR="00A915F4" w:rsidRPr="004A73C1">
        <w:rPr>
          <w:rFonts w:ascii="Arial" w:hAnsi="Arial" w:cs="Arial"/>
        </w:rPr>
        <w:t xml:space="preserve">Source- Data World Bank </w:t>
      </w:r>
      <w:r w:rsidR="00B66179" w:rsidRPr="004A73C1">
        <w:rPr>
          <w:rFonts w:ascii="Arial" w:hAnsi="Arial" w:cs="Arial"/>
        </w:rPr>
        <w:t xml:space="preserve">- </w:t>
      </w:r>
      <w:r w:rsidR="00A915F4" w:rsidRPr="004A73C1">
        <w:rPr>
          <w:rFonts w:ascii="Arial" w:hAnsi="Arial" w:cs="Arial"/>
        </w:rPr>
        <w:t>Calculation Researcher Own working</w:t>
      </w:r>
      <w:r>
        <w:rPr>
          <w:rFonts w:ascii="Arial" w:hAnsi="Arial" w:cs="Arial"/>
        </w:rPr>
        <w:t>)</w:t>
      </w:r>
    </w:p>
    <w:p w14:paraId="704B3F01" w14:textId="77777777" w:rsidR="00A915F4" w:rsidRPr="004A73C1" w:rsidRDefault="00A915F4" w:rsidP="00EF2E34">
      <w:pPr>
        <w:spacing w:after="0" w:line="360" w:lineRule="auto"/>
        <w:jc w:val="both"/>
        <w:rPr>
          <w:rStyle w:val="Heading2Char"/>
          <w:rFonts w:ascii="Arial" w:hAnsi="Arial" w:cs="Arial"/>
          <w:color w:val="auto"/>
        </w:rPr>
      </w:pPr>
    </w:p>
    <w:p w14:paraId="24DC9CE4" w14:textId="3A6FA727" w:rsidR="00D84748" w:rsidRPr="004A73C1" w:rsidRDefault="00CA52E6" w:rsidP="00EF2E34">
      <w:pPr>
        <w:pStyle w:val="Heading3"/>
        <w:spacing w:line="360" w:lineRule="auto"/>
        <w:rPr>
          <w:rStyle w:val="Heading2Char"/>
          <w:rFonts w:ascii="Arial" w:hAnsi="Arial" w:cs="Arial"/>
          <w:color w:val="auto"/>
          <w:sz w:val="26"/>
          <w:szCs w:val="26"/>
        </w:rPr>
      </w:pPr>
      <w:bookmarkStart w:id="103" w:name="_Toc175056473"/>
      <w:bookmarkStart w:id="104" w:name="_Toc175848130"/>
      <w:r w:rsidRPr="004A73C1">
        <w:rPr>
          <w:rStyle w:val="Heading2Char"/>
          <w:rFonts w:ascii="Arial" w:hAnsi="Arial" w:cs="Arial"/>
          <w:color w:val="auto"/>
          <w:sz w:val="26"/>
          <w:szCs w:val="26"/>
        </w:rPr>
        <w:lastRenderedPageBreak/>
        <w:t>3.4.</w:t>
      </w:r>
      <w:r w:rsidR="00646CBB" w:rsidRPr="004A73C1">
        <w:rPr>
          <w:rStyle w:val="Heading2Char"/>
          <w:rFonts w:ascii="Arial" w:hAnsi="Arial" w:cs="Arial"/>
          <w:color w:val="auto"/>
          <w:sz w:val="26"/>
          <w:szCs w:val="26"/>
        </w:rPr>
        <w:t>5</w:t>
      </w:r>
      <w:r w:rsidRPr="004A73C1">
        <w:rPr>
          <w:rStyle w:val="Heading2Char"/>
          <w:rFonts w:ascii="Arial" w:hAnsi="Arial" w:cs="Arial"/>
          <w:color w:val="auto"/>
          <w:sz w:val="26"/>
          <w:szCs w:val="26"/>
        </w:rPr>
        <w:tab/>
      </w:r>
      <w:r w:rsidR="00D84748" w:rsidRPr="004A73C1">
        <w:rPr>
          <w:rStyle w:val="Heading2Char"/>
          <w:rFonts w:ascii="Arial" w:hAnsi="Arial" w:cs="Arial"/>
          <w:color w:val="auto"/>
          <w:sz w:val="26"/>
          <w:szCs w:val="26"/>
        </w:rPr>
        <w:t>Interest Rate</w:t>
      </w:r>
      <w:bookmarkEnd w:id="103"/>
      <w:bookmarkEnd w:id="104"/>
    </w:p>
    <w:p w14:paraId="7F674711" w14:textId="0E23D975" w:rsidR="008D0B8F" w:rsidRPr="004A73C1" w:rsidRDefault="00B4014F" w:rsidP="00EF2E34">
      <w:pPr>
        <w:spacing w:line="360" w:lineRule="auto"/>
        <w:jc w:val="both"/>
        <w:rPr>
          <w:rFonts w:ascii="Arial" w:hAnsi="Arial" w:cs="Arial"/>
        </w:rPr>
      </w:pPr>
      <w:r w:rsidRPr="004A73C1">
        <w:rPr>
          <w:rFonts w:ascii="Arial" w:hAnsi="Arial" w:cs="Arial"/>
        </w:rPr>
        <w:t>The interest rate is also a positive measure of the country's economic stability.</w:t>
      </w:r>
      <w:r w:rsidR="008D0B8F" w:rsidRPr="004A73C1">
        <w:rPr>
          <w:rFonts w:ascii="Arial" w:hAnsi="Arial" w:cs="Arial"/>
        </w:rPr>
        <w:t xml:space="preserve"> Set by the central bank, it influences borrowing costs, savings returns, and investment decisions within the economy. A higher interest rate tends to reduce borrowing and stimulate saving, while a lower interest rate encourages borrowing and spending.</w:t>
      </w:r>
    </w:p>
    <w:p w14:paraId="0E331844" w14:textId="77777777" w:rsidR="008D0B8F" w:rsidRPr="004A73C1" w:rsidRDefault="008D0B8F" w:rsidP="00EF2E34">
      <w:pPr>
        <w:spacing w:line="360" w:lineRule="auto"/>
        <w:jc w:val="both"/>
        <w:rPr>
          <w:rFonts w:ascii="Arial" w:hAnsi="Arial" w:cs="Arial"/>
        </w:rPr>
      </w:pPr>
      <w:r w:rsidRPr="004A73C1">
        <w:rPr>
          <w:rFonts w:ascii="Arial" w:hAnsi="Arial" w:cs="Arial"/>
        </w:rPr>
        <w:t>In the United Kingdom, the prevailing interest rate is closely monitored to gauge the overall economic conditions. Changes in the interest rate can signal the central bank's stance on inflation, economic growth, and employment. Investors and businesses often assess interest rate movements to make informed decisions regarding investments, borrowing, and expansion plans.</w:t>
      </w:r>
    </w:p>
    <w:p w14:paraId="798BE644" w14:textId="143B6782" w:rsidR="00B4014F" w:rsidRPr="004A73C1" w:rsidRDefault="008D0B8F" w:rsidP="00EF2E34">
      <w:pPr>
        <w:spacing w:line="360" w:lineRule="auto"/>
        <w:jc w:val="both"/>
        <w:rPr>
          <w:rFonts w:ascii="Arial" w:hAnsi="Arial" w:cs="Arial"/>
        </w:rPr>
      </w:pPr>
      <w:r w:rsidRPr="004A73C1">
        <w:rPr>
          <w:rFonts w:ascii="Arial" w:hAnsi="Arial" w:cs="Arial"/>
        </w:rPr>
        <w:t>Overall, the interest rate is a significant indicator of the UK's economic health and is closely watched by market analysts, policymakers, and financial institutions.</w:t>
      </w:r>
    </w:p>
    <w:p w14:paraId="3CCC814F" w14:textId="24C99FED" w:rsidR="00D84748" w:rsidRPr="004A73C1" w:rsidRDefault="00D84748" w:rsidP="00EF2E34">
      <w:pPr>
        <w:spacing w:after="0" w:line="360" w:lineRule="auto"/>
        <w:jc w:val="both"/>
        <w:rPr>
          <w:rFonts w:ascii="Arial" w:hAnsi="Arial" w:cs="Arial"/>
        </w:rPr>
      </w:pPr>
      <w:r w:rsidRPr="004A73C1">
        <w:rPr>
          <w:rFonts w:ascii="Arial" w:hAnsi="Arial" w:cs="Arial"/>
          <w:noProof/>
        </w:rPr>
        <w:drawing>
          <wp:inline distT="0" distB="0" distL="0" distR="0" wp14:anchorId="66090EF4" wp14:editId="06B61AC4">
            <wp:extent cx="5731510" cy="2636520"/>
            <wp:effectExtent l="0" t="0" r="2540" b="0"/>
            <wp:docPr id="745491878"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491878" name="Picture 1" descr="A graph with numbers and a line&#10;&#10;Description automatically generated"/>
                    <pic:cNvPicPr/>
                  </pic:nvPicPr>
                  <pic:blipFill>
                    <a:blip r:embed="rId23"/>
                    <a:stretch>
                      <a:fillRect/>
                    </a:stretch>
                  </pic:blipFill>
                  <pic:spPr>
                    <a:xfrm>
                      <a:off x="0" y="0"/>
                      <a:ext cx="5731510" cy="2636520"/>
                    </a:xfrm>
                    <a:prstGeom prst="rect">
                      <a:avLst/>
                    </a:prstGeom>
                  </pic:spPr>
                </pic:pic>
              </a:graphicData>
            </a:graphic>
          </wp:inline>
        </w:drawing>
      </w:r>
    </w:p>
    <w:p w14:paraId="3FADEFD3" w14:textId="1CA6BC6D" w:rsidR="008D0B8F" w:rsidRPr="004A73C1" w:rsidRDefault="00B80C0D" w:rsidP="00EF2E34">
      <w:pPr>
        <w:spacing w:after="0" w:line="360" w:lineRule="auto"/>
        <w:jc w:val="both"/>
        <w:rPr>
          <w:rStyle w:val="Heading2Char"/>
          <w:rFonts w:ascii="Arial" w:hAnsi="Arial" w:cs="Arial"/>
          <w:color w:val="auto"/>
        </w:rPr>
      </w:pPr>
      <w:r w:rsidRPr="004A73C1">
        <w:rPr>
          <w:rFonts w:ascii="Arial" w:hAnsi="Arial" w:cs="Arial"/>
        </w:rPr>
        <w:t>Figure 12</w:t>
      </w:r>
      <w:r w:rsidR="00741FAB" w:rsidRPr="004A73C1">
        <w:rPr>
          <w:rFonts w:ascii="Arial" w:hAnsi="Arial" w:cs="Arial"/>
        </w:rPr>
        <w:t xml:space="preserve"> – Source Bank of England, April 2024</w:t>
      </w:r>
    </w:p>
    <w:p w14:paraId="11BD0C57" w14:textId="77777777" w:rsidR="00A915F4" w:rsidRPr="004A73C1" w:rsidRDefault="00A915F4" w:rsidP="00EF2E34">
      <w:pPr>
        <w:spacing w:after="0" w:line="360" w:lineRule="auto"/>
        <w:jc w:val="both"/>
        <w:rPr>
          <w:rFonts w:ascii="Arial" w:hAnsi="Arial" w:cs="Arial"/>
        </w:rPr>
      </w:pPr>
      <w:r w:rsidRPr="004A73C1">
        <w:rPr>
          <w:rFonts w:ascii="Arial" w:hAnsi="Arial" w:cs="Arial"/>
          <w:noProof/>
        </w:rPr>
        <w:lastRenderedPageBreak/>
        <w:drawing>
          <wp:inline distT="0" distB="0" distL="0" distR="0" wp14:anchorId="7F6EF172" wp14:editId="5E319CC5">
            <wp:extent cx="5731510" cy="3608705"/>
            <wp:effectExtent l="0" t="0" r="2540" b="0"/>
            <wp:docPr id="1046496618" name="Picture 1" descr="A graph of a graph with numbers and a number of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96618" name="Picture 1" descr="A graph of a graph with numbers and a number of bars&#10;&#10;Description automatically generated with medium confidence"/>
                    <pic:cNvPicPr/>
                  </pic:nvPicPr>
                  <pic:blipFill>
                    <a:blip r:embed="rId24"/>
                    <a:stretch>
                      <a:fillRect/>
                    </a:stretch>
                  </pic:blipFill>
                  <pic:spPr>
                    <a:xfrm>
                      <a:off x="0" y="0"/>
                      <a:ext cx="5731510" cy="3608705"/>
                    </a:xfrm>
                    <a:prstGeom prst="rect">
                      <a:avLst/>
                    </a:prstGeom>
                  </pic:spPr>
                </pic:pic>
              </a:graphicData>
            </a:graphic>
          </wp:inline>
        </w:drawing>
      </w:r>
    </w:p>
    <w:p w14:paraId="1C8F2C91" w14:textId="67FD7B27" w:rsidR="00A915F4" w:rsidRPr="004A73C1" w:rsidRDefault="00B80C0D" w:rsidP="00EF2E34">
      <w:pPr>
        <w:spacing w:after="0" w:line="360" w:lineRule="auto"/>
        <w:jc w:val="both"/>
        <w:rPr>
          <w:rFonts w:ascii="Arial" w:hAnsi="Arial" w:cs="Arial"/>
        </w:rPr>
      </w:pPr>
      <w:r w:rsidRPr="004A73C1">
        <w:rPr>
          <w:rFonts w:ascii="Arial" w:hAnsi="Arial" w:cs="Arial"/>
        </w:rPr>
        <w:t>Figure 13</w:t>
      </w:r>
      <w:r w:rsidR="00976200">
        <w:rPr>
          <w:rFonts w:ascii="Arial" w:hAnsi="Arial" w:cs="Arial"/>
        </w:rPr>
        <w:tab/>
        <w:t>(Source Bank of England)</w:t>
      </w:r>
    </w:p>
    <w:p w14:paraId="3BAD6AAD" w14:textId="77777777" w:rsidR="00A915F4" w:rsidRPr="004A73C1" w:rsidRDefault="00A915F4" w:rsidP="00EF2E34">
      <w:pPr>
        <w:spacing w:after="0" w:line="360" w:lineRule="auto"/>
        <w:jc w:val="both"/>
        <w:rPr>
          <w:rFonts w:ascii="Arial" w:hAnsi="Arial" w:cs="Arial"/>
        </w:rPr>
      </w:pPr>
      <w:r w:rsidRPr="004A73C1">
        <w:rPr>
          <w:rFonts w:ascii="Arial" w:hAnsi="Arial" w:cs="Arial"/>
        </w:rPr>
        <w:t>The following table shows the variance and change from Q3 of 2023 to Q3 of 2024.</w:t>
      </w:r>
    </w:p>
    <w:p w14:paraId="06E24AF0" w14:textId="77777777" w:rsidR="00A915F4" w:rsidRPr="004A73C1" w:rsidRDefault="00A915F4" w:rsidP="00EF2E34">
      <w:pPr>
        <w:spacing w:after="0" w:line="360" w:lineRule="auto"/>
        <w:jc w:val="both"/>
        <w:rPr>
          <w:rFonts w:ascii="Arial" w:hAnsi="Arial" w:cs="Arial"/>
        </w:rPr>
      </w:pPr>
      <w:r w:rsidRPr="004A73C1">
        <w:rPr>
          <w:rFonts w:ascii="Arial" w:hAnsi="Arial" w:cs="Arial"/>
          <w:noProof/>
        </w:rPr>
        <w:drawing>
          <wp:inline distT="0" distB="0" distL="0" distR="0" wp14:anchorId="3058233C" wp14:editId="404C7D54">
            <wp:extent cx="5731510" cy="2647950"/>
            <wp:effectExtent l="0" t="0" r="2540" b="0"/>
            <wp:docPr id="650716692" name="Picture 1" descr="A graph with numbers and a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16692" name="Picture 1" descr="A graph with numbers and a line&#10;&#10;Description automatically generated with medium confidence"/>
                    <pic:cNvPicPr/>
                  </pic:nvPicPr>
                  <pic:blipFill>
                    <a:blip r:embed="rId25"/>
                    <a:stretch>
                      <a:fillRect/>
                    </a:stretch>
                  </pic:blipFill>
                  <pic:spPr>
                    <a:xfrm>
                      <a:off x="0" y="0"/>
                      <a:ext cx="5731510" cy="2647950"/>
                    </a:xfrm>
                    <a:prstGeom prst="rect">
                      <a:avLst/>
                    </a:prstGeom>
                  </pic:spPr>
                </pic:pic>
              </a:graphicData>
            </a:graphic>
          </wp:inline>
        </w:drawing>
      </w:r>
    </w:p>
    <w:p w14:paraId="238E1838" w14:textId="7FE4F417" w:rsidR="00A915F4" w:rsidRPr="004A73C1" w:rsidRDefault="00B80C0D" w:rsidP="00EF2E34">
      <w:pPr>
        <w:spacing w:after="0" w:line="360" w:lineRule="auto"/>
        <w:jc w:val="both"/>
        <w:rPr>
          <w:rFonts w:ascii="Arial" w:hAnsi="Arial" w:cs="Arial"/>
        </w:rPr>
      </w:pPr>
      <w:r w:rsidRPr="004A73C1">
        <w:rPr>
          <w:rFonts w:ascii="Arial" w:hAnsi="Arial" w:cs="Arial"/>
        </w:rPr>
        <w:t>Figure 14</w:t>
      </w:r>
      <w:r w:rsidR="00976200">
        <w:rPr>
          <w:rFonts w:ascii="Arial" w:hAnsi="Arial" w:cs="Arial"/>
        </w:rPr>
        <w:t xml:space="preserve"> (Source: ONS)</w:t>
      </w:r>
    </w:p>
    <w:p w14:paraId="1D43E40D" w14:textId="77777777" w:rsidR="00A915F4" w:rsidRPr="004A73C1" w:rsidRDefault="00A915F4" w:rsidP="00EF2E34">
      <w:pPr>
        <w:spacing w:after="0" w:line="360" w:lineRule="auto"/>
        <w:jc w:val="both"/>
        <w:rPr>
          <w:rFonts w:ascii="Arial" w:hAnsi="Arial" w:cs="Arial"/>
        </w:rPr>
      </w:pPr>
      <w:r w:rsidRPr="004A73C1">
        <w:rPr>
          <w:rFonts w:ascii="Arial" w:hAnsi="Arial" w:cs="Arial"/>
        </w:rPr>
        <w:t>The following table Comparison of UK GDP Growth with EU Annual Growth</w:t>
      </w:r>
    </w:p>
    <w:p w14:paraId="50909A0B" w14:textId="77777777" w:rsidR="00A915F4" w:rsidRPr="004A73C1" w:rsidRDefault="00A915F4" w:rsidP="00EF2E34">
      <w:pPr>
        <w:spacing w:after="0" w:line="360" w:lineRule="auto"/>
        <w:jc w:val="both"/>
        <w:rPr>
          <w:rFonts w:ascii="Arial" w:hAnsi="Arial" w:cs="Arial"/>
        </w:rPr>
      </w:pPr>
      <w:r w:rsidRPr="004A73C1">
        <w:rPr>
          <w:rFonts w:ascii="Arial" w:hAnsi="Arial" w:cs="Arial"/>
          <w:noProof/>
        </w:rPr>
        <w:lastRenderedPageBreak/>
        <w:drawing>
          <wp:inline distT="0" distB="0" distL="0" distR="0" wp14:anchorId="5170D2C3" wp14:editId="7052551C">
            <wp:extent cx="5731510" cy="3817620"/>
            <wp:effectExtent l="0" t="0" r="2540" b="0"/>
            <wp:docPr id="232699146" name="Picture 1" descr="A graph of a graph showing the growth of the e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99146" name="Picture 1" descr="A graph of a graph showing the growth of the eu&#10;&#10;Description automatically generated"/>
                    <pic:cNvPicPr/>
                  </pic:nvPicPr>
                  <pic:blipFill>
                    <a:blip r:embed="rId26"/>
                    <a:stretch>
                      <a:fillRect/>
                    </a:stretch>
                  </pic:blipFill>
                  <pic:spPr>
                    <a:xfrm>
                      <a:off x="0" y="0"/>
                      <a:ext cx="5731510" cy="3817620"/>
                    </a:xfrm>
                    <a:prstGeom prst="rect">
                      <a:avLst/>
                    </a:prstGeom>
                  </pic:spPr>
                </pic:pic>
              </a:graphicData>
            </a:graphic>
          </wp:inline>
        </w:drawing>
      </w:r>
    </w:p>
    <w:p w14:paraId="5672713C" w14:textId="045BB664" w:rsidR="00A915F4" w:rsidRDefault="00B80C0D" w:rsidP="00EF2E34">
      <w:pPr>
        <w:spacing w:after="0" w:line="360" w:lineRule="auto"/>
        <w:jc w:val="both"/>
        <w:rPr>
          <w:rFonts w:ascii="Arial" w:hAnsi="Arial" w:cs="Arial"/>
        </w:rPr>
      </w:pPr>
      <w:r w:rsidRPr="004A73C1">
        <w:rPr>
          <w:rFonts w:ascii="Arial" w:hAnsi="Arial" w:cs="Arial"/>
        </w:rPr>
        <w:t>Figure 15</w:t>
      </w:r>
      <w:r w:rsidR="009F1A70" w:rsidRPr="004A73C1">
        <w:rPr>
          <w:rFonts w:ascii="Arial" w:hAnsi="Arial" w:cs="Arial"/>
        </w:rPr>
        <w:tab/>
        <w:t>(</w:t>
      </w:r>
      <w:r w:rsidR="00A915F4" w:rsidRPr="004A73C1">
        <w:rPr>
          <w:rFonts w:ascii="Arial" w:hAnsi="Arial" w:cs="Arial"/>
        </w:rPr>
        <w:t>Source- World Bank</w:t>
      </w:r>
      <w:r w:rsidR="009F1A70" w:rsidRPr="004A73C1">
        <w:rPr>
          <w:rFonts w:ascii="Arial" w:hAnsi="Arial" w:cs="Arial"/>
        </w:rPr>
        <w:t>)</w:t>
      </w:r>
    </w:p>
    <w:p w14:paraId="04158CF1" w14:textId="77777777" w:rsidR="00ED3916" w:rsidRPr="004A73C1" w:rsidRDefault="00ED3916" w:rsidP="00EF2E34">
      <w:pPr>
        <w:spacing w:after="0" w:line="360" w:lineRule="auto"/>
        <w:jc w:val="both"/>
        <w:rPr>
          <w:rFonts w:ascii="Arial" w:hAnsi="Arial" w:cs="Arial"/>
        </w:rPr>
      </w:pPr>
    </w:p>
    <w:p w14:paraId="1E0F94E0" w14:textId="20138915" w:rsidR="000B0043" w:rsidRPr="004A73C1" w:rsidRDefault="00CA52E6" w:rsidP="00EF2E34">
      <w:pPr>
        <w:pStyle w:val="Heading3"/>
        <w:spacing w:line="360" w:lineRule="auto"/>
        <w:rPr>
          <w:rStyle w:val="Heading2Char"/>
          <w:rFonts w:ascii="Arial" w:hAnsi="Arial" w:cs="Arial"/>
          <w:color w:val="auto"/>
          <w:sz w:val="26"/>
          <w:szCs w:val="26"/>
        </w:rPr>
      </w:pPr>
      <w:bookmarkStart w:id="105" w:name="_Toc175056474"/>
      <w:bookmarkStart w:id="106" w:name="_Toc175848131"/>
      <w:r w:rsidRPr="004A73C1">
        <w:rPr>
          <w:rStyle w:val="Heading2Char"/>
          <w:rFonts w:ascii="Arial" w:hAnsi="Arial" w:cs="Arial"/>
          <w:color w:val="auto"/>
          <w:sz w:val="26"/>
          <w:szCs w:val="26"/>
        </w:rPr>
        <w:t>3.4.</w:t>
      </w:r>
      <w:r w:rsidR="00646CBB" w:rsidRPr="004A73C1">
        <w:rPr>
          <w:rStyle w:val="Heading2Char"/>
          <w:rFonts w:ascii="Arial" w:hAnsi="Arial" w:cs="Arial"/>
          <w:color w:val="auto"/>
          <w:sz w:val="26"/>
          <w:szCs w:val="26"/>
        </w:rPr>
        <w:t>6</w:t>
      </w:r>
      <w:r w:rsidRPr="004A73C1">
        <w:rPr>
          <w:rStyle w:val="Heading2Char"/>
          <w:rFonts w:ascii="Arial" w:hAnsi="Arial" w:cs="Arial"/>
          <w:color w:val="auto"/>
          <w:sz w:val="26"/>
          <w:szCs w:val="26"/>
        </w:rPr>
        <w:tab/>
      </w:r>
      <w:r w:rsidR="000B0043" w:rsidRPr="004A73C1">
        <w:rPr>
          <w:rStyle w:val="Heading2Char"/>
          <w:rFonts w:ascii="Arial" w:hAnsi="Arial" w:cs="Arial"/>
          <w:color w:val="auto"/>
          <w:sz w:val="26"/>
          <w:szCs w:val="26"/>
        </w:rPr>
        <w:t>Unemployment Rate</w:t>
      </w:r>
      <w:bookmarkEnd w:id="105"/>
      <w:bookmarkEnd w:id="106"/>
    </w:p>
    <w:p w14:paraId="5EAEAE22" w14:textId="4D28358D" w:rsidR="008D0B8F" w:rsidRPr="004A73C1" w:rsidRDefault="008D0B8F" w:rsidP="00EF2E34">
      <w:pPr>
        <w:spacing w:line="360" w:lineRule="auto"/>
        <w:jc w:val="both"/>
        <w:rPr>
          <w:rFonts w:ascii="Arial" w:hAnsi="Arial" w:cs="Arial"/>
        </w:rPr>
      </w:pPr>
      <w:r w:rsidRPr="004A73C1">
        <w:rPr>
          <w:rFonts w:ascii="Arial" w:hAnsi="Arial" w:cs="Arial"/>
        </w:rPr>
        <w:t>The analysis of the unemployment rate is important when examining foreign direct investment (FDI) because it can provide insights into FDI's impact on the labour market and overall employment conditions. Understanding how FDI influences unemployment can help policymakers, businesses, and researchers comprehend the broader socioeconomic effects of foreign investment.</w:t>
      </w:r>
    </w:p>
    <w:p w14:paraId="007074B3" w14:textId="4F2E3110" w:rsidR="008D0B8F" w:rsidRPr="004A73C1" w:rsidRDefault="008D0B8F" w:rsidP="00EF2E34">
      <w:pPr>
        <w:spacing w:line="360" w:lineRule="auto"/>
        <w:jc w:val="both"/>
        <w:rPr>
          <w:rFonts w:ascii="Arial" w:hAnsi="Arial" w:cs="Arial"/>
        </w:rPr>
      </w:pPr>
      <w:r w:rsidRPr="004A73C1">
        <w:rPr>
          <w:rFonts w:ascii="Arial" w:hAnsi="Arial" w:cs="Arial"/>
        </w:rPr>
        <w:t>When FDI flows into a country, it can lead to job creation through the establishment of new businesses, expansion of existing enterprises, and investments in various industries. A thorough analysis of the unemployment rate in conjunction with FDI can reveal the extent to which foreign investment contributes to reducing unemployment or creating new employment opportunities. This assessment is valuable for assessing the effectiveness of FDI in generating sustainable employment and improving labour market conditions.</w:t>
      </w:r>
    </w:p>
    <w:p w14:paraId="5C14047C" w14:textId="773767CE" w:rsidR="008D0B8F" w:rsidRPr="004A73C1" w:rsidRDefault="008D0B8F" w:rsidP="00EF2E34">
      <w:pPr>
        <w:spacing w:line="360" w:lineRule="auto"/>
        <w:jc w:val="both"/>
        <w:rPr>
          <w:rFonts w:ascii="Arial" w:hAnsi="Arial" w:cs="Arial"/>
        </w:rPr>
      </w:pPr>
      <w:r w:rsidRPr="004A73C1">
        <w:rPr>
          <w:rFonts w:ascii="Arial" w:hAnsi="Arial" w:cs="Arial"/>
        </w:rPr>
        <w:t xml:space="preserve">Additionally, analysing the unemployment rate in the context of FDI can shed light on the quality of jobs created </w:t>
      </w:r>
      <w:proofErr w:type="gramStart"/>
      <w:r w:rsidRPr="004A73C1">
        <w:rPr>
          <w:rFonts w:ascii="Arial" w:hAnsi="Arial" w:cs="Arial"/>
        </w:rPr>
        <w:t>as a result of</w:t>
      </w:r>
      <w:proofErr w:type="gramEnd"/>
      <w:r w:rsidRPr="004A73C1">
        <w:rPr>
          <w:rFonts w:ascii="Arial" w:hAnsi="Arial" w:cs="Arial"/>
        </w:rPr>
        <w:t xml:space="preserve"> foreign investment. It allows for the examination of whether the jobs generated by FDI are primarily low-skill, low-wage positions or if they contribute to higher-skilled employment and overall human capital development. Understanding the nature of employment created by FDI is crucial for evaluating its long-term impact on the workforce and economic development.</w:t>
      </w:r>
    </w:p>
    <w:p w14:paraId="2F5C6758" w14:textId="77777777" w:rsidR="008D0B8F" w:rsidRPr="004A73C1" w:rsidRDefault="008D0B8F" w:rsidP="00EF2E34">
      <w:pPr>
        <w:spacing w:line="360" w:lineRule="auto"/>
        <w:jc w:val="both"/>
        <w:rPr>
          <w:rFonts w:ascii="Arial" w:hAnsi="Arial" w:cs="Arial"/>
        </w:rPr>
      </w:pPr>
    </w:p>
    <w:p w14:paraId="208C7ACC" w14:textId="0E5B86EF" w:rsidR="008D0B8F" w:rsidRPr="004A73C1" w:rsidRDefault="008D0B8F" w:rsidP="00EF2E34">
      <w:pPr>
        <w:spacing w:line="360" w:lineRule="auto"/>
        <w:jc w:val="both"/>
        <w:rPr>
          <w:rFonts w:ascii="Arial" w:hAnsi="Arial" w:cs="Arial"/>
        </w:rPr>
      </w:pPr>
      <w:r w:rsidRPr="004A73C1">
        <w:rPr>
          <w:rFonts w:ascii="Arial" w:hAnsi="Arial" w:cs="Arial"/>
        </w:rPr>
        <w:lastRenderedPageBreak/>
        <w:t>Furthermore, the relationship between FDI and unemployment can also influence government policies and investment strategies. Policymakers may use insights from the analysis to formulate targeted policies aimed at maximizing the positive effects of FDI on employment while mitigating potential negative consequences. Additionally, businesses considering foreign investment can assess the labour market conditions, including the unemployment rate, to make informed decisions regarding their investment plans and potential job creation initiatives.</w:t>
      </w:r>
    </w:p>
    <w:p w14:paraId="4F0DEB90" w14:textId="43623FF2" w:rsidR="008D0B8F" w:rsidRPr="004A73C1" w:rsidRDefault="008D0B8F" w:rsidP="00EF2E34">
      <w:pPr>
        <w:spacing w:line="360" w:lineRule="auto"/>
        <w:jc w:val="both"/>
        <w:rPr>
          <w:rFonts w:ascii="Arial" w:hAnsi="Arial" w:cs="Arial"/>
        </w:rPr>
      </w:pPr>
      <w:r w:rsidRPr="004A73C1">
        <w:rPr>
          <w:rFonts w:ascii="Arial" w:hAnsi="Arial" w:cs="Arial"/>
        </w:rPr>
        <w:t>In summary, analysing the unemployment rate for FDI provides a comprehensive understanding of how foreign investment influences employment dynamics, facilitates the assessment of job quality, informs policy decisions, and aids in strategic investment planning.</w:t>
      </w:r>
    </w:p>
    <w:p w14:paraId="249CAE58" w14:textId="1F78224D" w:rsidR="00B80C0D" w:rsidRPr="004A73C1" w:rsidRDefault="000B0043" w:rsidP="00EF2E34">
      <w:pPr>
        <w:spacing w:after="0" w:line="360" w:lineRule="auto"/>
        <w:jc w:val="both"/>
        <w:rPr>
          <w:rStyle w:val="Heading2Char"/>
          <w:rFonts w:ascii="Arial" w:eastAsiaTheme="minorEastAsia" w:hAnsi="Arial" w:cs="Arial"/>
          <w:color w:val="auto"/>
          <w:sz w:val="22"/>
          <w:szCs w:val="22"/>
        </w:rPr>
      </w:pPr>
      <w:r w:rsidRPr="004A73C1">
        <w:rPr>
          <w:rFonts w:ascii="Arial" w:hAnsi="Arial" w:cs="Arial"/>
          <w:noProof/>
        </w:rPr>
        <w:drawing>
          <wp:inline distT="0" distB="0" distL="0" distR="0" wp14:anchorId="23A38C9A" wp14:editId="55C577F1">
            <wp:extent cx="5731510" cy="2435225"/>
            <wp:effectExtent l="0" t="0" r="2540" b="3175"/>
            <wp:docPr id="367233204"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33204" name="Picture 1" descr="A graph of a graph&#10;&#10;Description automatically generated with medium confidence"/>
                    <pic:cNvPicPr/>
                  </pic:nvPicPr>
                  <pic:blipFill>
                    <a:blip r:embed="rId27"/>
                    <a:stretch>
                      <a:fillRect/>
                    </a:stretch>
                  </pic:blipFill>
                  <pic:spPr>
                    <a:xfrm>
                      <a:off x="0" y="0"/>
                      <a:ext cx="5731510" cy="2435225"/>
                    </a:xfrm>
                    <a:prstGeom prst="rect">
                      <a:avLst/>
                    </a:prstGeom>
                  </pic:spPr>
                </pic:pic>
              </a:graphicData>
            </a:graphic>
          </wp:inline>
        </w:drawing>
      </w:r>
    </w:p>
    <w:p w14:paraId="55211201" w14:textId="1FA185F4" w:rsidR="00B80C0D" w:rsidRPr="004A73C1" w:rsidRDefault="00B80C0D" w:rsidP="00EF2E34">
      <w:pPr>
        <w:spacing w:after="0" w:line="360" w:lineRule="auto"/>
        <w:jc w:val="both"/>
        <w:rPr>
          <w:rFonts w:ascii="Arial" w:hAnsi="Arial" w:cs="Arial"/>
        </w:rPr>
      </w:pPr>
      <w:r w:rsidRPr="004A73C1">
        <w:rPr>
          <w:rFonts w:ascii="Arial" w:hAnsi="Arial" w:cs="Arial"/>
        </w:rPr>
        <w:t>Figure 16</w:t>
      </w:r>
    </w:p>
    <w:p w14:paraId="1FB4C7AC" w14:textId="75EF9C92" w:rsidR="00B80C0D" w:rsidRPr="004A73C1" w:rsidRDefault="00B80C0D" w:rsidP="00EF2E34">
      <w:pPr>
        <w:spacing w:after="0" w:line="360" w:lineRule="auto"/>
        <w:jc w:val="both"/>
        <w:rPr>
          <w:rStyle w:val="Heading2Char"/>
          <w:rFonts w:ascii="Arial" w:eastAsiaTheme="minorEastAsia" w:hAnsi="Arial" w:cs="Arial"/>
          <w:color w:val="auto"/>
          <w:sz w:val="22"/>
          <w:szCs w:val="22"/>
        </w:rPr>
      </w:pPr>
      <w:r w:rsidRPr="004A73C1">
        <w:rPr>
          <w:rFonts w:ascii="Arial" w:hAnsi="Arial" w:cs="Arial"/>
        </w:rPr>
        <w:t>Source-World Bank</w:t>
      </w:r>
    </w:p>
    <w:p w14:paraId="45CC22EC" w14:textId="1EBA8A01" w:rsidR="000B0043" w:rsidRPr="004A73C1" w:rsidRDefault="00CA52E6" w:rsidP="00EF2E34">
      <w:pPr>
        <w:pStyle w:val="Heading3"/>
        <w:spacing w:line="360" w:lineRule="auto"/>
        <w:rPr>
          <w:rStyle w:val="Heading2Char"/>
          <w:rFonts w:ascii="Arial" w:hAnsi="Arial" w:cs="Arial"/>
          <w:color w:val="auto"/>
          <w:sz w:val="26"/>
          <w:szCs w:val="26"/>
        </w:rPr>
      </w:pPr>
      <w:bookmarkStart w:id="107" w:name="_Toc175056475"/>
      <w:bookmarkStart w:id="108" w:name="_Toc175848132"/>
      <w:r w:rsidRPr="004A73C1">
        <w:rPr>
          <w:rStyle w:val="Heading2Char"/>
          <w:rFonts w:ascii="Arial" w:hAnsi="Arial" w:cs="Arial"/>
          <w:color w:val="auto"/>
          <w:sz w:val="26"/>
          <w:szCs w:val="26"/>
        </w:rPr>
        <w:t>3.4.</w:t>
      </w:r>
      <w:r w:rsidR="00646CBB" w:rsidRPr="004A73C1">
        <w:rPr>
          <w:rStyle w:val="Heading2Char"/>
          <w:rFonts w:ascii="Arial" w:hAnsi="Arial" w:cs="Arial"/>
          <w:color w:val="auto"/>
          <w:sz w:val="26"/>
          <w:szCs w:val="26"/>
        </w:rPr>
        <w:t>7</w:t>
      </w:r>
      <w:r w:rsidRPr="004A73C1">
        <w:rPr>
          <w:rStyle w:val="Heading2Char"/>
          <w:rFonts w:ascii="Arial" w:hAnsi="Arial" w:cs="Arial"/>
          <w:color w:val="auto"/>
          <w:sz w:val="26"/>
          <w:szCs w:val="26"/>
        </w:rPr>
        <w:tab/>
      </w:r>
      <w:r w:rsidR="000B0043" w:rsidRPr="004A73C1">
        <w:rPr>
          <w:rStyle w:val="Heading2Char"/>
          <w:rFonts w:ascii="Arial" w:hAnsi="Arial" w:cs="Arial"/>
          <w:color w:val="auto"/>
          <w:sz w:val="26"/>
          <w:szCs w:val="26"/>
        </w:rPr>
        <w:t>Future GDP Forecast</w:t>
      </w:r>
      <w:bookmarkEnd w:id="107"/>
      <w:bookmarkEnd w:id="108"/>
    </w:p>
    <w:p w14:paraId="1B6131E7" w14:textId="1D0C073F" w:rsidR="00FA36A7" w:rsidRPr="004A73C1" w:rsidRDefault="00D53F0F" w:rsidP="001B3596">
      <w:pPr>
        <w:spacing w:after="0" w:line="360" w:lineRule="auto"/>
        <w:jc w:val="both"/>
        <w:rPr>
          <w:rStyle w:val="Heading2Char"/>
          <w:rFonts w:ascii="Arial" w:eastAsiaTheme="minorEastAsia" w:hAnsi="Arial" w:cs="Arial"/>
          <w:color w:val="auto"/>
          <w:sz w:val="22"/>
          <w:szCs w:val="22"/>
        </w:rPr>
      </w:pPr>
      <w:r w:rsidRPr="004A73C1">
        <w:rPr>
          <w:rFonts w:ascii="Arial" w:hAnsi="Arial" w:cs="Arial"/>
        </w:rPr>
        <w:t>The following figure shows t</w:t>
      </w:r>
      <w:r w:rsidR="00FA36A7" w:rsidRPr="004A73C1">
        <w:rPr>
          <w:rFonts w:ascii="Arial" w:hAnsi="Arial" w:cs="Arial"/>
        </w:rPr>
        <w:t xml:space="preserve">he future GDP forecast for the </w:t>
      </w:r>
      <w:proofErr w:type="gramStart"/>
      <w:r w:rsidR="00FA36A7" w:rsidRPr="004A73C1">
        <w:rPr>
          <w:rFonts w:ascii="Arial" w:hAnsi="Arial" w:cs="Arial"/>
        </w:rPr>
        <w:t>United</w:t>
      </w:r>
      <w:r w:rsidR="001B3596" w:rsidRPr="004A73C1">
        <w:rPr>
          <w:rFonts w:ascii="Arial" w:hAnsi="Arial" w:cs="Arial"/>
        </w:rPr>
        <w:t>( Source</w:t>
      </w:r>
      <w:proofErr w:type="gramEnd"/>
      <w:r w:rsidR="001B3596" w:rsidRPr="004A73C1">
        <w:rPr>
          <w:rFonts w:ascii="Arial" w:hAnsi="Arial" w:cs="Arial"/>
        </w:rPr>
        <w:t>-World Bank</w:t>
      </w:r>
      <w:r w:rsidR="001B3596" w:rsidRPr="004A73C1">
        <w:rPr>
          <w:rStyle w:val="Heading2Char"/>
          <w:rFonts w:ascii="Arial" w:eastAsiaTheme="minorEastAsia" w:hAnsi="Arial" w:cs="Arial"/>
          <w:color w:val="auto"/>
          <w:sz w:val="22"/>
          <w:szCs w:val="22"/>
        </w:rPr>
        <w:t>)</w:t>
      </w:r>
      <w:r w:rsidRPr="004A73C1">
        <w:rPr>
          <w:rStyle w:val="Heading2Char"/>
          <w:rFonts w:ascii="Arial" w:eastAsiaTheme="minorEastAsia" w:hAnsi="Arial" w:cs="Arial"/>
          <w:color w:val="auto"/>
          <w:sz w:val="22"/>
          <w:szCs w:val="22"/>
        </w:rPr>
        <w:t>.</w:t>
      </w:r>
    </w:p>
    <w:p w14:paraId="445CA40F" w14:textId="064A5CF0" w:rsidR="00D53F0F" w:rsidRPr="004A73C1" w:rsidRDefault="00D53F0F" w:rsidP="001B3596">
      <w:pPr>
        <w:spacing w:after="0" w:line="360" w:lineRule="auto"/>
        <w:jc w:val="both"/>
        <w:rPr>
          <w:rFonts w:ascii="Arial" w:hAnsi="Arial" w:cs="Arial"/>
        </w:rPr>
      </w:pPr>
      <w:r w:rsidRPr="004A73C1">
        <w:rPr>
          <w:rFonts w:ascii="Arial" w:hAnsi="Arial" w:cs="Arial"/>
          <w:noProof/>
        </w:rPr>
        <w:drawing>
          <wp:inline distT="0" distB="0" distL="0" distR="0" wp14:anchorId="6DDC1B75" wp14:editId="06D4FC0A">
            <wp:extent cx="6484852" cy="1674495"/>
            <wp:effectExtent l="0" t="0" r="0" b="1905"/>
            <wp:docPr id="2073941579" name="Picture 1" descr="A graph of growth ra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941579" name="Picture 1" descr="A graph of growth rate&#10;&#10;Description automatically generated with medium confidence"/>
                    <pic:cNvPicPr/>
                  </pic:nvPicPr>
                  <pic:blipFill>
                    <a:blip r:embed="rId28"/>
                    <a:stretch>
                      <a:fillRect/>
                    </a:stretch>
                  </pic:blipFill>
                  <pic:spPr>
                    <a:xfrm>
                      <a:off x="0" y="0"/>
                      <a:ext cx="6514720" cy="1682207"/>
                    </a:xfrm>
                    <a:prstGeom prst="rect">
                      <a:avLst/>
                    </a:prstGeom>
                  </pic:spPr>
                </pic:pic>
              </a:graphicData>
            </a:graphic>
          </wp:inline>
        </w:drawing>
      </w:r>
    </w:p>
    <w:p w14:paraId="7AC4231D" w14:textId="77777777" w:rsidR="00FA36A7" w:rsidRPr="004A73C1" w:rsidRDefault="00FA36A7" w:rsidP="00EF2E34">
      <w:pPr>
        <w:spacing w:line="360" w:lineRule="auto"/>
        <w:jc w:val="both"/>
        <w:rPr>
          <w:rFonts w:ascii="Arial" w:hAnsi="Arial" w:cs="Arial"/>
        </w:rPr>
      </w:pPr>
    </w:p>
    <w:p w14:paraId="4FE4F0A6" w14:textId="377EEE2A" w:rsidR="00FA36A7" w:rsidRPr="004A73C1" w:rsidRDefault="00FA36A7" w:rsidP="00D53F0F">
      <w:pPr>
        <w:spacing w:line="360" w:lineRule="auto"/>
        <w:jc w:val="both"/>
        <w:rPr>
          <w:rFonts w:ascii="Arial" w:hAnsi="Arial" w:cs="Arial"/>
        </w:rPr>
      </w:pPr>
    </w:p>
    <w:p w14:paraId="6DF29AC2" w14:textId="77777777" w:rsidR="009F1A70" w:rsidRPr="004A73C1" w:rsidRDefault="009F1A70" w:rsidP="00EF2E34">
      <w:pPr>
        <w:spacing w:line="360" w:lineRule="auto"/>
        <w:jc w:val="both"/>
        <w:rPr>
          <w:rFonts w:ascii="Arial" w:hAnsi="Arial" w:cs="Arial"/>
        </w:rPr>
      </w:pPr>
    </w:p>
    <w:p w14:paraId="7594798E" w14:textId="77777777" w:rsidR="001B3596" w:rsidRPr="004A73C1" w:rsidRDefault="001B3596" w:rsidP="00EF2E34">
      <w:pPr>
        <w:spacing w:line="360" w:lineRule="auto"/>
        <w:jc w:val="both"/>
        <w:rPr>
          <w:rFonts w:ascii="Arial" w:hAnsi="Arial" w:cs="Arial"/>
        </w:rPr>
      </w:pPr>
    </w:p>
    <w:p w14:paraId="42E2E533" w14:textId="77777777" w:rsidR="001B3596" w:rsidRPr="004A73C1" w:rsidRDefault="001B3596" w:rsidP="00EF2E34">
      <w:pPr>
        <w:spacing w:line="360" w:lineRule="auto"/>
        <w:jc w:val="both"/>
        <w:rPr>
          <w:rFonts w:ascii="Arial" w:hAnsi="Arial" w:cs="Arial"/>
        </w:rPr>
      </w:pPr>
    </w:p>
    <w:p w14:paraId="5DD3A231" w14:textId="77777777" w:rsidR="001B3596" w:rsidRPr="004A73C1" w:rsidRDefault="001B3596" w:rsidP="00EF2E34">
      <w:pPr>
        <w:spacing w:line="360" w:lineRule="auto"/>
        <w:jc w:val="both"/>
        <w:rPr>
          <w:rFonts w:ascii="Arial" w:hAnsi="Arial" w:cs="Arial"/>
        </w:rPr>
      </w:pPr>
    </w:p>
    <w:p w14:paraId="39293CE1" w14:textId="77777777" w:rsidR="001B3596" w:rsidRPr="004A73C1" w:rsidRDefault="001B3596" w:rsidP="00EF2E34">
      <w:pPr>
        <w:spacing w:line="360" w:lineRule="auto"/>
        <w:jc w:val="both"/>
        <w:rPr>
          <w:rFonts w:ascii="Arial" w:hAnsi="Arial" w:cs="Arial"/>
        </w:rPr>
      </w:pPr>
    </w:p>
    <w:p w14:paraId="495E6645" w14:textId="64E2961D" w:rsidR="00FA36A7" w:rsidRPr="004A73C1" w:rsidRDefault="00FA36A7" w:rsidP="00EF2E34">
      <w:pPr>
        <w:spacing w:line="360" w:lineRule="auto"/>
        <w:jc w:val="both"/>
        <w:rPr>
          <w:rFonts w:ascii="Arial" w:hAnsi="Arial" w:cs="Arial"/>
        </w:rPr>
      </w:pPr>
      <w:r w:rsidRPr="004A73C1">
        <w:rPr>
          <w:rFonts w:ascii="Arial" w:hAnsi="Arial" w:cs="Arial"/>
        </w:rPr>
        <w:t>These figures provide insights into the projected growth of the UK's economy in the coming quarters.</w:t>
      </w:r>
    </w:p>
    <w:p w14:paraId="3C1CEBE3" w14:textId="01DE0CBA" w:rsidR="000B0043" w:rsidRPr="004A73C1" w:rsidRDefault="000B0043" w:rsidP="00EF2E34">
      <w:pPr>
        <w:spacing w:line="360" w:lineRule="auto"/>
        <w:rPr>
          <w:rFonts w:ascii="Arial" w:hAnsi="Arial" w:cs="Arial"/>
        </w:rPr>
      </w:pPr>
      <w:r w:rsidRPr="004A73C1">
        <w:rPr>
          <w:rFonts w:ascii="Arial" w:hAnsi="Arial" w:cs="Arial"/>
        </w:rPr>
        <w:fldChar w:fldCharType="begin"/>
      </w:r>
      <w:r w:rsidRPr="004A73C1">
        <w:rPr>
          <w:rFonts w:ascii="Arial" w:hAnsi="Arial" w:cs="Arial"/>
        </w:rPr>
        <w:instrText xml:space="preserve"> LINK Excel.Sheet.8 "C:\\Users\\azizta01\\Downloads\\Figure_1__The_value_of_the_inward_FDI_position_was_above_£2,000_billion_in_2021 (2).xls" "Sheet1!R2C3:R14C7" \a \f 4 \h  \* MERGEFORMAT </w:instrText>
      </w:r>
      <w:r w:rsidRPr="004A73C1">
        <w:rPr>
          <w:rFonts w:ascii="Arial" w:hAnsi="Arial" w:cs="Arial"/>
        </w:rPr>
        <w:fldChar w:fldCharType="separate"/>
      </w:r>
    </w:p>
    <w:tbl>
      <w:tblPr>
        <w:tblW w:w="9724" w:type="dxa"/>
        <w:tblLook w:val="04A0" w:firstRow="1" w:lastRow="0" w:firstColumn="1" w:lastColumn="0" w:noHBand="0" w:noVBand="1"/>
      </w:tblPr>
      <w:tblGrid>
        <w:gridCol w:w="4024"/>
        <w:gridCol w:w="1425"/>
        <w:gridCol w:w="1425"/>
        <w:gridCol w:w="1425"/>
        <w:gridCol w:w="1425"/>
      </w:tblGrid>
      <w:tr w:rsidR="000B0043" w:rsidRPr="004A73C1" w14:paraId="650781E6" w14:textId="77777777" w:rsidTr="000B0043">
        <w:trPr>
          <w:trHeight w:val="290"/>
        </w:trPr>
        <w:tc>
          <w:tcPr>
            <w:tcW w:w="4024" w:type="dxa"/>
            <w:tcBorders>
              <w:top w:val="single" w:sz="4" w:space="0" w:color="auto"/>
              <w:left w:val="single" w:sz="4" w:space="0" w:color="auto"/>
              <w:bottom w:val="single" w:sz="4" w:space="0" w:color="auto"/>
              <w:right w:val="single" w:sz="4" w:space="0" w:color="auto"/>
            </w:tcBorders>
            <w:shd w:val="clear" w:color="000000" w:fill="F5F5F5"/>
            <w:vAlign w:val="center"/>
            <w:hideMark/>
          </w:tcPr>
          <w:p w14:paraId="0E1F4A04" w14:textId="4041EC8E" w:rsidR="000B0043" w:rsidRPr="004A73C1" w:rsidRDefault="000B0043" w:rsidP="00EF2E34">
            <w:pPr>
              <w:spacing w:after="0" w:line="360" w:lineRule="auto"/>
              <w:rPr>
                <w:rFonts w:ascii="Arial" w:eastAsia="Times New Roman" w:hAnsi="Arial" w:cs="Arial"/>
                <w:sz w:val="24"/>
                <w:szCs w:val="24"/>
                <w:lang w:eastAsia="en-GB"/>
              </w:rPr>
            </w:pPr>
            <w:r w:rsidRPr="004A73C1">
              <w:rPr>
                <w:rFonts w:ascii="Arial" w:eastAsia="Times New Roman" w:hAnsi="Arial" w:cs="Arial"/>
                <w:sz w:val="24"/>
                <w:szCs w:val="24"/>
                <w:lang w:eastAsia="en-GB"/>
              </w:rPr>
              <w:t>GDP</w:t>
            </w:r>
          </w:p>
        </w:tc>
        <w:tc>
          <w:tcPr>
            <w:tcW w:w="1425" w:type="dxa"/>
            <w:tcBorders>
              <w:top w:val="single" w:sz="4" w:space="0" w:color="auto"/>
              <w:left w:val="nil"/>
              <w:bottom w:val="single" w:sz="4" w:space="0" w:color="auto"/>
              <w:right w:val="single" w:sz="4" w:space="0" w:color="auto"/>
            </w:tcBorders>
            <w:shd w:val="clear" w:color="000000" w:fill="F5F5F5"/>
            <w:vAlign w:val="center"/>
            <w:hideMark/>
          </w:tcPr>
          <w:p w14:paraId="6167366C"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Q3/24</w:t>
            </w:r>
          </w:p>
        </w:tc>
        <w:tc>
          <w:tcPr>
            <w:tcW w:w="1425" w:type="dxa"/>
            <w:tcBorders>
              <w:top w:val="single" w:sz="4" w:space="0" w:color="auto"/>
              <w:left w:val="nil"/>
              <w:bottom w:val="single" w:sz="4" w:space="0" w:color="auto"/>
              <w:right w:val="single" w:sz="4" w:space="0" w:color="auto"/>
            </w:tcBorders>
            <w:shd w:val="clear" w:color="000000" w:fill="F5F5F5"/>
            <w:vAlign w:val="center"/>
            <w:hideMark/>
          </w:tcPr>
          <w:p w14:paraId="4F9FA533"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Q4/24</w:t>
            </w:r>
          </w:p>
        </w:tc>
        <w:tc>
          <w:tcPr>
            <w:tcW w:w="1425" w:type="dxa"/>
            <w:tcBorders>
              <w:top w:val="single" w:sz="4" w:space="0" w:color="auto"/>
              <w:left w:val="nil"/>
              <w:bottom w:val="single" w:sz="4" w:space="0" w:color="auto"/>
              <w:right w:val="single" w:sz="4" w:space="0" w:color="auto"/>
            </w:tcBorders>
            <w:shd w:val="clear" w:color="000000" w:fill="F5F5F5"/>
            <w:vAlign w:val="center"/>
            <w:hideMark/>
          </w:tcPr>
          <w:p w14:paraId="3A9178CF"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Q1/25</w:t>
            </w:r>
          </w:p>
        </w:tc>
        <w:tc>
          <w:tcPr>
            <w:tcW w:w="1425" w:type="dxa"/>
            <w:tcBorders>
              <w:top w:val="single" w:sz="4" w:space="0" w:color="auto"/>
              <w:left w:val="nil"/>
              <w:bottom w:val="single" w:sz="4" w:space="0" w:color="auto"/>
              <w:right w:val="single" w:sz="4" w:space="0" w:color="auto"/>
            </w:tcBorders>
            <w:shd w:val="clear" w:color="000000" w:fill="F5F5F5"/>
            <w:vAlign w:val="center"/>
            <w:hideMark/>
          </w:tcPr>
          <w:p w14:paraId="79D46A8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Q2/25</w:t>
            </w:r>
          </w:p>
        </w:tc>
      </w:tr>
      <w:tr w:rsidR="000B0043" w:rsidRPr="004A73C1" w14:paraId="5FDF1C61"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6C0F520F" w14:textId="5060B55A"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29" w:history="1">
              <w:r w:rsidR="000B0043" w:rsidRPr="004A73C1">
                <w:rPr>
                  <w:rFonts w:ascii="Arial" w:eastAsia="Times New Roman" w:hAnsi="Arial" w:cs="Arial"/>
                  <w:color w:val="467886"/>
                  <w:sz w:val="24"/>
                  <w:szCs w:val="24"/>
                  <w:u w:val="single"/>
                  <w:lang w:eastAsia="en-GB"/>
                </w:rPr>
                <w:t>GDP Growth Rate (%)</w:t>
              </w:r>
            </w:hyperlink>
          </w:p>
        </w:tc>
        <w:tc>
          <w:tcPr>
            <w:tcW w:w="1425" w:type="dxa"/>
            <w:tcBorders>
              <w:top w:val="nil"/>
              <w:left w:val="nil"/>
              <w:bottom w:val="single" w:sz="4" w:space="0" w:color="auto"/>
              <w:right w:val="single" w:sz="4" w:space="0" w:color="auto"/>
            </w:tcBorders>
            <w:shd w:val="clear" w:color="auto" w:fill="auto"/>
            <w:vAlign w:val="center"/>
            <w:hideMark/>
          </w:tcPr>
          <w:p w14:paraId="22CBECCE"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0.30 </w:t>
            </w:r>
          </w:p>
        </w:tc>
        <w:tc>
          <w:tcPr>
            <w:tcW w:w="1425" w:type="dxa"/>
            <w:tcBorders>
              <w:top w:val="nil"/>
              <w:left w:val="nil"/>
              <w:bottom w:val="single" w:sz="4" w:space="0" w:color="auto"/>
              <w:right w:val="single" w:sz="4" w:space="0" w:color="auto"/>
            </w:tcBorders>
            <w:shd w:val="clear" w:color="auto" w:fill="auto"/>
            <w:vAlign w:val="center"/>
            <w:hideMark/>
          </w:tcPr>
          <w:p w14:paraId="04486F49"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0.20 </w:t>
            </w:r>
          </w:p>
        </w:tc>
        <w:tc>
          <w:tcPr>
            <w:tcW w:w="1425" w:type="dxa"/>
            <w:tcBorders>
              <w:top w:val="nil"/>
              <w:left w:val="nil"/>
              <w:bottom w:val="single" w:sz="4" w:space="0" w:color="auto"/>
              <w:right w:val="single" w:sz="4" w:space="0" w:color="auto"/>
            </w:tcBorders>
            <w:shd w:val="clear" w:color="auto" w:fill="auto"/>
            <w:vAlign w:val="center"/>
            <w:hideMark/>
          </w:tcPr>
          <w:p w14:paraId="69E1EBD4"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0.30 </w:t>
            </w:r>
          </w:p>
        </w:tc>
        <w:tc>
          <w:tcPr>
            <w:tcW w:w="1425" w:type="dxa"/>
            <w:tcBorders>
              <w:top w:val="nil"/>
              <w:left w:val="nil"/>
              <w:bottom w:val="single" w:sz="4" w:space="0" w:color="auto"/>
              <w:right w:val="single" w:sz="4" w:space="0" w:color="auto"/>
            </w:tcBorders>
            <w:shd w:val="clear" w:color="auto" w:fill="auto"/>
            <w:vAlign w:val="center"/>
            <w:hideMark/>
          </w:tcPr>
          <w:p w14:paraId="1B211995"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0.40 </w:t>
            </w:r>
          </w:p>
        </w:tc>
      </w:tr>
      <w:tr w:rsidR="000B0043" w:rsidRPr="004A73C1" w14:paraId="3F2382FF" w14:textId="77777777" w:rsidTr="000B0043">
        <w:trPr>
          <w:trHeight w:val="406"/>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0D50985F" w14:textId="6C5E4DE6"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0" w:history="1">
              <w:r w:rsidR="000B0043" w:rsidRPr="004A73C1">
                <w:rPr>
                  <w:rFonts w:ascii="Arial" w:eastAsia="Times New Roman" w:hAnsi="Arial" w:cs="Arial"/>
                  <w:color w:val="467886"/>
                  <w:sz w:val="24"/>
                  <w:szCs w:val="24"/>
                  <w:u w:val="single"/>
                  <w:lang w:eastAsia="en-GB"/>
                </w:rPr>
                <w:t>GDP Annual Growth Rate (%)</w:t>
              </w:r>
            </w:hyperlink>
          </w:p>
        </w:tc>
        <w:tc>
          <w:tcPr>
            <w:tcW w:w="1425" w:type="dxa"/>
            <w:tcBorders>
              <w:top w:val="nil"/>
              <w:left w:val="nil"/>
              <w:bottom w:val="single" w:sz="4" w:space="0" w:color="auto"/>
              <w:right w:val="single" w:sz="4" w:space="0" w:color="auto"/>
            </w:tcBorders>
            <w:shd w:val="clear" w:color="auto" w:fill="auto"/>
            <w:vAlign w:val="center"/>
            <w:hideMark/>
          </w:tcPr>
          <w:p w14:paraId="67F233E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1.20 </w:t>
            </w:r>
          </w:p>
        </w:tc>
        <w:tc>
          <w:tcPr>
            <w:tcW w:w="1425" w:type="dxa"/>
            <w:tcBorders>
              <w:top w:val="nil"/>
              <w:left w:val="nil"/>
              <w:bottom w:val="single" w:sz="4" w:space="0" w:color="auto"/>
              <w:right w:val="single" w:sz="4" w:space="0" w:color="auto"/>
            </w:tcBorders>
            <w:shd w:val="clear" w:color="auto" w:fill="auto"/>
            <w:vAlign w:val="center"/>
            <w:hideMark/>
          </w:tcPr>
          <w:p w14:paraId="51BDF205"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1.00 </w:t>
            </w:r>
          </w:p>
        </w:tc>
        <w:tc>
          <w:tcPr>
            <w:tcW w:w="1425" w:type="dxa"/>
            <w:tcBorders>
              <w:top w:val="nil"/>
              <w:left w:val="nil"/>
              <w:bottom w:val="single" w:sz="4" w:space="0" w:color="auto"/>
              <w:right w:val="single" w:sz="4" w:space="0" w:color="auto"/>
            </w:tcBorders>
            <w:shd w:val="clear" w:color="auto" w:fill="auto"/>
            <w:vAlign w:val="center"/>
            <w:hideMark/>
          </w:tcPr>
          <w:p w14:paraId="7EFA8021"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1.40 </w:t>
            </w:r>
          </w:p>
        </w:tc>
        <w:tc>
          <w:tcPr>
            <w:tcW w:w="1425" w:type="dxa"/>
            <w:tcBorders>
              <w:top w:val="nil"/>
              <w:left w:val="nil"/>
              <w:bottom w:val="single" w:sz="4" w:space="0" w:color="auto"/>
              <w:right w:val="single" w:sz="4" w:space="0" w:color="auto"/>
            </w:tcBorders>
            <w:shd w:val="clear" w:color="auto" w:fill="auto"/>
            <w:vAlign w:val="center"/>
            <w:hideMark/>
          </w:tcPr>
          <w:p w14:paraId="6B127BC7"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1.40 </w:t>
            </w:r>
          </w:p>
        </w:tc>
      </w:tr>
      <w:tr w:rsidR="000B0043" w:rsidRPr="004A73C1" w14:paraId="108223A6"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5065344C" w14:textId="2ED315C7"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1" w:history="1">
              <w:r w:rsidR="000B0043" w:rsidRPr="004A73C1">
                <w:rPr>
                  <w:rFonts w:ascii="Arial" w:eastAsia="Times New Roman" w:hAnsi="Arial" w:cs="Arial"/>
                  <w:color w:val="467886"/>
                  <w:sz w:val="24"/>
                  <w:szCs w:val="24"/>
                  <w:u w:val="single"/>
                  <w:lang w:eastAsia="en-GB"/>
                </w:rPr>
                <w:t>GDP Constant Prices (GBP Million)</w:t>
              </w:r>
            </w:hyperlink>
          </w:p>
        </w:tc>
        <w:tc>
          <w:tcPr>
            <w:tcW w:w="1425" w:type="dxa"/>
            <w:tcBorders>
              <w:top w:val="nil"/>
              <w:left w:val="nil"/>
              <w:bottom w:val="single" w:sz="4" w:space="0" w:color="auto"/>
              <w:right w:val="single" w:sz="4" w:space="0" w:color="auto"/>
            </w:tcBorders>
            <w:shd w:val="clear" w:color="auto" w:fill="auto"/>
            <w:vAlign w:val="center"/>
            <w:hideMark/>
          </w:tcPr>
          <w:p w14:paraId="5594224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575,218.00 </w:t>
            </w:r>
          </w:p>
        </w:tc>
        <w:tc>
          <w:tcPr>
            <w:tcW w:w="1425" w:type="dxa"/>
            <w:tcBorders>
              <w:top w:val="nil"/>
              <w:left w:val="nil"/>
              <w:bottom w:val="single" w:sz="4" w:space="0" w:color="auto"/>
              <w:right w:val="single" w:sz="4" w:space="0" w:color="auto"/>
            </w:tcBorders>
            <w:shd w:val="clear" w:color="auto" w:fill="auto"/>
            <w:vAlign w:val="center"/>
            <w:hideMark/>
          </w:tcPr>
          <w:p w14:paraId="2EF3A907"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572,292.00 </w:t>
            </w:r>
          </w:p>
        </w:tc>
        <w:tc>
          <w:tcPr>
            <w:tcW w:w="1425" w:type="dxa"/>
            <w:tcBorders>
              <w:top w:val="nil"/>
              <w:left w:val="nil"/>
              <w:bottom w:val="single" w:sz="4" w:space="0" w:color="auto"/>
              <w:right w:val="single" w:sz="4" w:space="0" w:color="auto"/>
            </w:tcBorders>
            <w:shd w:val="clear" w:color="auto" w:fill="auto"/>
            <w:vAlign w:val="center"/>
            <w:hideMark/>
          </w:tcPr>
          <w:p w14:paraId="54A843F7"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578,684.00 </w:t>
            </w:r>
          </w:p>
        </w:tc>
        <w:tc>
          <w:tcPr>
            <w:tcW w:w="1425" w:type="dxa"/>
            <w:tcBorders>
              <w:top w:val="nil"/>
              <w:left w:val="nil"/>
              <w:bottom w:val="single" w:sz="4" w:space="0" w:color="auto"/>
              <w:right w:val="single" w:sz="4" w:space="0" w:color="auto"/>
            </w:tcBorders>
            <w:shd w:val="clear" w:color="auto" w:fill="auto"/>
            <w:vAlign w:val="center"/>
            <w:hideMark/>
          </w:tcPr>
          <w:p w14:paraId="56442D13"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581,991.00 </w:t>
            </w:r>
          </w:p>
        </w:tc>
      </w:tr>
      <w:tr w:rsidR="000B0043" w:rsidRPr="004A73C1" w14:paraId="52A7BED0" w14:textId="77777777" w:rsidTr="000B0043">
        <w:trPr>
          <w:trHeight w:val="522"/>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6B9E4070" w14:textId="113D86B8"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2" w:history="1">
              <w:r w:rsidR="000B0043" w:rsidRPr="004A73C1">
                <w:rPr>
                  <w:rFonts w:ascii="Arial" w:eastAsia="Times New Roman" w:hAnsi="Arial" w:cs="Arial"/>
                  <w:color w:val="467886"/>
                  <w:sz w:val="24"/>
                  <w:szCs w:val="24"/>
                  <w:u w:val="single"/>
                  <w:lang w:eastAsia="en-GB"/>
                </w:rPr>
                <w:t>Gross National Product (GBP Million)</w:t>
              </w:r>
            </w:hyperlink>
          </w:p>
        </w:tc>
        <w:tc>
          <w:tcPr>
            <w:tcW w:w="1425" w:type="dxa"/>
            <w:tcBorders>
              <w:top w:val="nil"/>
              <w:left w:val="nil"/>
              <w:bottom w:val="single" w:sz="4" w:space="0" w:color="auto"/>
              <w:right w:val="single" w:sz="4" w:space="0" w:color="auto"/>
            </w:tcBorders>
            <w:shd w:val="clear" w:color="auto" w:fill="auto"/>
            <w:vAlign w:val="center"/>
            <w:hideMark/>
          </w:tcPr>
          <w:p w14:paraId="311AFE2D"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679,391.00 </w:t>
            </w:r>
          </w:p>
        </w:tc>
        <w:tc>
          <w:tcPr>
            <w:tcW w:w="1425" w:type="dxa"/>
            <w:tcBorders>
              <w:top w:val="nil"/>
              <w:left w:val="nil"/>
              <w:bottom w:val="single" w:sz="4" w:space="0" w:color="auto"/>
              <w:right w:val="single" w:sz="4" w:space="0" w:color="auto"/>
            </w:tcBorders>
            <w:shd w:val="clear" w:color="auto" w:fill="auto"/>
            <w:vAlign w:val="center"/>
            <w:hideMark/>
          </w:tcPr>
          <w:p w14:paraId="7395D6FE"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675,322.00 </w:t>
            </w:r>
          </w:p>
        </w:tc>
        <w:tc>
          <w:tcPr>
            <w:tcW w:w="1425" w:type="dxa"/>
            <w:tcBorders>
              <w:top w:val="nil"/>
              <w:left w:val="nil"/>
              <w:bottom w:val="single" w:sz="4" w:space="0" w:color="auto"/>
              <w:right w:val="single" w:sz="4" w:space="0" w:color="auto"/>
            </w:tcBorders>
            <w:shd w:val="clear" w:color="auto" w:fill="auto"/>
            <w:vAlign w:val="center"/>
            <w:hideMark/>
          </w:tcPr>
          <w:p w14:paraId="5665B58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686,768.00 </w:t>
            </w:r>
          </w:p>
        </w:tc>
        <w:tc>
          <w:tcPr>
            <w:tcW w:w="1425" w:type="dxa"/>
            <w:tcBorders>
              <w:top w:val="nil"/>
              <w:left w:val="nil"/>
              <w:bottom w:val="single" w:sz="4" w:space="0" w:color="auto"/>
              <w:right w:val="single" w:sz="4" w:space="0" w:color="auto"/>
            </w:tcBorders>
            <w:shd w:val="clear" w:color="auto" w:fill="auto"/>
            <w:vAlign w:val="center"/>
            <w:hideMark/>
          </w:tcPr>
          <w:p w14:paraId="16F1BB3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686,768.00 </w:t>
            </w:r>
          </w:p>
        </w:tc>
      </w:tr>
      <w:tr w:rsidR="000B0043" w:rsidRPr="004A73C1" w14:paraId="216D769F"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0850143F" w14:textId="6609950A"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3" w:history="1">
              <w:r w:rsidR="000B0043" w:rsidRPr="004A73C1">
                <w:rPr>
                  <w:rFonts w:ascii="Arial" w:eastAsia="Times New Roman" w:hAnsi="Arial" w:cs="Arial"/>
                  <w:color w:val="467886"/>
                  <w:sz w:val="24"/>
                  <w:szCs w:val="24"/>
                  <w:u w:val="single"/>
                  <w:lang w:eastAsia="en-GB"/>
                </w:rPr>
                <w:t>Monthly GDP YoY (%)</w:t>
              </w:r>
            </w:hyperlink>
          </w:p>
        </w:tc>
        <w:tc>
          <w:tcPr>
            <w:tcW w:w="1425" w:type="dxa"/>
            <w:tcBorders>
              <w:top w:val="nil"/>
              <w:left w:val="nil"/>
              <w:bottom w:val="single" w:sz="4" w:space="0" w:color="auto"/>
              <w:right w:val="single" w:sz="4" w:space="0" w:color="auto"/>
            </w:tcBorders>
            <w:shd w:val="clear" w:color="auto" w:fill="auto"/>
            <w:vAlign w:val="center"/>
            <w:hideMark/>
          </w:tcPr>
          <w:p w14:paraId="032570D5"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1.60 </w:t>
            </w:r>
          </w:p>
        </w:tc>
        <w:tc>
          <w:tcPr>
            <w:tcW w:w="1425" w:type="dxa"/>
            <w:tcBorders>
              <w:top w:val="nil"/>
              <w:left w:val="nil"/>
              <w:bottom w:val="single" w:sz="4" w:space="0" w:color="auto"/>
              <w:right w:val="single" w:sz="4" w:space="0" w:color="auto"/>
            </w:tcBorders>
            <w:shd w:val="clear" w:color="auto" w:fill="auto"/>
            <w:vAlign w:val="center"/>
            <w:hideMark/>
          </w:tcPr>
          <w:p w14:paraId="4E665AD8"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1.80 </w:t>
            </w:r>
          </w:p>
        </w:tc>
        <w:tc>
          <w:tcPr>
            <w:tcW w:w="1425" w:type="dxa"/>
            <w:tcBorders>
              <w:top w:val="nil"/>
              <w:left w:val="nil"/>
              <w:bottom w:val="single" w:sz="4" w:space="0" w:color="auto"/>
              <w:right w:val="single" w:sz="4" w:space="0" w:color="auto"/>
            </w:tcBorders>
            <w:shd w:val="clear" w:color="auto" w:fill="auto"/>
            <w:vAlign w:val="center"/>
            <w:hideMark/>
          </w:tcPr>
          <w:p w14:paraId="47B7E48A"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1.50 </w:t>
            </w:r>
          </w:p>
        </w:tc>
        <w:tc>
          <w:tcPr>
            <w:tcW w:w="1425" w:type="dxa"/>
            <w:tcBorders>
              <w:top w:val="nil"/>
              <w:left w:val="nil"/>
              <w:bottom w:val="single" w:sz="4" w:space="0" w:color="auto"/>
              <w:right w:val="single" w:sz="4" w:space="0" w:color="auto"/>
            </w:tcBorders>
            <w:shd w:val="clear" w:color="auto" w:fill="auto"/>
            <w:vAlign w:val="center"/>
            <w:hideMark/>
          </w:tcPr>
          <w:p w14:paraId="74C76B54"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1.20 </w:t>
            </w:r>
          </w:p>
        </w:tc>
      </w:tr>
      <w:tr w:rsidR="000B0043" w:rsidRPr="004A73C1" w14:paraId="29FF5646"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7F6C6409" w14:textId="7067E218"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4" w:history="1">
              <w:r w:rsidR="000B0043" w:rsidRPr="004A73C1">
                <w:rPr>
                  <w:rFonts w:ascii="Arial" w:eastAsia="Times New Roman" w:hAnsi="Arial" w:cs="Arial"/>
                  <w:color w:val="467886"/>
                  <w:sz w:val="24"/>
                  <w:szCs w:val="24"/>
                  <w:u w:val="single"/>
                  <w:lang w:eastAsia="en-GB"/>
                </w:rPr>
                <w:t>Monthly GDP MoM (%)</w:t>
              </w:r>
            </w:hyperlink>
          </w:p>
        </w:tc>
        <w:tc>
          <w:tcPr>
            <w:tcW w:w="1425" w:type="dxa"/>
            <w:tcBorders>
              <w:top w:val="nil"/>
              <w:left w:val="nil"/>
              <w:bottom w:val="single" w:sz="4" w:space="0" w:color="auto"/>
              <w:right w:val="single" w:sz="4" w:space="0" w:color="auto"/>
            </w:tcBorders>
            <w:shd w:val="clear" w:color="auto" w:fill="auto"/>
            <w:vAlign w:val="center"/>
            <w:hideMark/>
          </w:tcPr>
          <w:p w14:paraId="7C46A8E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0.20 </w:t>
            </w:r>
          </w:p>
        </w:tc>
        <w:tc>
          <w:tcPr>
            <w:tcW w:w="1425" w:type="dxa"/>
            <w:tcBorders>
              <w:top w:val="nil"/>
              <w:left w:val="nil"/>
              <w:bottom w:val="single" w:sz="4" w:space="0" w:color="auto"/>
              <w:right w:val="single" w:sz="4" w:space="0" w:color="auto"/>
            </w:tcBorders>
            <w:shd w:val="clear" w:color="auto" w:fill="auto"/>
            <w:vAlign w:val="center"/>
            <w:hideMark/>
          </w:tcPr>
          <w:p w14:paraId="3DCA74AB"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0.30 </w:t>
            </w:r>
          </w:p>
        </w:tc>
        <w:tc>
          <w:tcPr>
            <w:tcW w:w="1425" w:type="dxa"/>
            <w:tcBorders>
              <w:top w:val="nil"/>
              <w:left w:val="nil"/>
              <w:bottom w:val="single" w:sz="4" w:space="0" w:color="auto"/>
              <w:right w:val="single" w:sz="4" w:space="0" w:color="auto"/>
            </w:tcBorders>
            <w:shd w:val="clear" w:color="auto" w:fill="auto"/>
            <w:vAlign w:val="center"/>
            <w:hideMark/>
          </w:tcPr>
          <w:p w14:paraId="1AEA9A5E"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0.20 </w:t>
            </w:r>
          </w:p>
        </w:tc>
        <w:tc>
          <w:tcPr>
            <w:tcW w:w="1425" w:type="dxa"/>
            <w:tcBorders>
              <w:top w:val="nil"/>
              <w:left w:val="nil"/>
              <w:bottom w:val="single" w:sz="4" w:space="0" w:color="auto"/>
              <w:right w:val="single" w:sz="4" w:space="0" w:color="auto"/>
            </w:tcBorders>
            <w:shd w:val="clear" w:color="auto" w:fill="auto"/>
            <w:vAlign w:val="center"/>
            <w:hideMark/>
          </w:tcPr>
          <w:p w14:paraId="3530BE3F"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0.10 </w:t>
            </w:r>
          </w:p>
        </w:tc>
      </w:tr>
      <w:tr w:rsidR="000B0043" w:rsidRPr="004A73C1" w14:paraId="73FA95D6" w14:textId="77777777" w:rsidTr="000B0043">
        <w:trPr>
          <w:trHeight w:val="58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439D77AC" w14:textId="74BC8150"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5" w:history="1">
              <w:r w:rsidR="000B0043" w:rsidRPr="004A73C1">
                <w:rPr>
                  <w:rFonts w:ascii="Arial" w:eastAsia="Times New Roman" w:hAnsi="Arial" w:cs="Arial"/>
                  <w:color w:val="467886"/>
                  <w:sz w:val="24"/>
                  <w:szCs w:val="24"/>
                  <w:u w:val="single"/>
                  <w:lang w:eastAsia="en-GB"/>
                </w:rPr>
                <w:t>GDP from Manufacturing (GBP Million)</w:t>
              </w:r>
            </w:hyperlink>
          </w:p>
        </w:tc>
        <w:tc>
          <w:tcPr>
            <w:tcW w:w="1425" w:type="dxa"/>
            <w:tcBorders>
              <w:top w:val="nil"/>
              <w:left w:val="nil"/>
              <w:bottom w:val="single" w:sz="4" w:space="0" w:color="auto"/>
              <w:right w:val="single" w:sz="4" w:space="0" w:color="auto"/>
            </w:tcBorders>
            <w:shd w:val="clear" w:color="auto" w:fill="auto"/>
            <w:vAlign w:val="center"/>
            <w:hideMark/>
          </w:tcPr>
          <w:p w14:paraId="0B04DCD3"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50,807.00 </w:t>
            </w:r>
          </w:p>
        </w:tc>
        <w:tc>
          <w:tcPr>
            <w:tcW w:w="1425" w:type="dxa"/>
            <w:tcBorders>
              <w:top w:val="nil"/>
              <w:left w:val="nil"/>
              <w:bottom w:val="single" w:sz="4" w:space="0" w:color="auto"/>
              <w:right w:val="single" w:sz="4" w:space="0" w:color="auto"/>
            </w:tcBorders>
            <w:shd w:val="clear" w:color="auto" w:fill="auto"/>
            <w:vAlign w:val="center"/>
            <w:hideMark/>
          </w:tcPr>
          <w:p w14:paraId="54984E3D"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50,212.00 </w:t>
            </w:r>
          </w:p>
        </w:tc>
        <w:tc>
          <w:tcPr>
            <w:tcW w:w="1425" w:type="dxa"/>
            <w:tcBorders>
              <w:top w:val="nil"/>
              <w:left w:val="nil"/>
              <w:bottom w:val="single" w:sz="4" w:space="0" w:color="auto"/>
              <w:right w:val="single" w:sz="4" w:space="0" w:color="auto"/>
            </w:tcBorders>
            <w:shd w:val="clear" w:color="auto" w:fill="auto"/>
            <w:vAlign w:val="center"/>
            <w:hideMark/>
          </w:tcPr>
          <w:p w14:paraId="71FE4DDA"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50,954.00 </w:t>
            </w:r>
          </w:p>
        </w:tc>
        <w:tc>
          <w:tcPr>
            <w:tcW w:w="1425" w:type="dxa"/>
            <w:tcBorders>
              <w:top w:val="nil"/>
              <w:left w:val="nil"/>
              <w:bottom w:val="single" w:sz="4" w:space="0" w:color="auto"/>
              <w:right w:val="single" w:sz="4" w:space="0" w:color="auto"/>
            </w:tcBorders>
            <w:shd w:val="clear" w:color="auto" w:fill="auto"/>
            <w:vAlign w:val="center"/>
            <w:hideMark/>
          </w:tcPr>
          <w:p w14:paraId="43FDA047"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50,636.00 </w:t>
            </w:r>
          </w:p>
        </w:tc>
      </w:tr>
      <w:tr w:rsidR="000B0043" w:rsidRPr="004A73C1" w14:paraId="2CA9FBF2"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6F532EF9" w14:textId="36B005CD"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6" w:history="1">
              <w:r w:rsidR="000B0043" w:rsidRPr="004A73C1">
                <w:rPr>
                  <w:rFonts w:ascii="Arial" w:eastAsia="Times New Roman" w:hAnsi="Arial" w:cs="Arial"/>
                  <w:color w:val="467886"/>
                  <w:sz w:val="24"/>
                  <w:szCs w:val="24"/>
                  <w:u w:val="single"/>
                  <w:lang w:eastAsia="en-GB"/>
                </w:rPr>
                <w:t>GDP from Services (GBP Million)</w:t>
              </w:r>
            </w:hyperlink>
          </w:p>
        </w:tc>
        <w:tc>
          <w:tcPr>
            <w:tcW w:w="1425" w:type="dxa"/>
            <w:tcBorders>
              <w:top w:val="nil"/>
              <w:left w:val="nil"/>
              <w:bottom w:val="single" w:sz="4" w:space="0" w:color="auto"/>
              <w:right w:val="single" w:sz="4" w:space="0" w:color="auto"/>
            </w:tcBorders>
            <w:shd w:val="clear" w:color="auto" w:fill="auto"/>
            <w:vAlign w:val="center"/>
            <w:hideMark/>
          </w:tcPr>
          <w:p w14:paraId="653DE697"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414,965.00 </w:t>
            </w:r>
          </w:p>
        </w:tc>
        <w:tc>
          <w:tcPr>
            <w:tcW w:w="1425" w:type="dxa"/>
            <w:tcBorders>
              <w:top w:val="nil"/>
              <w:left w:val="nil"/>
              <w:bottom w:val="single" w:sz="4" w:space="0" w:color="auto"/>
              <w:right w:val="single" w:sz="4" w:space="0" w:color="auto"/>
            </w:tcBorders>
            <w:shd w:val="clear" w:color="auto" w:fill="auto"/>
            <w:vAlign w:val="center"/>
            <w:hideMark/>
          </w:tcPr>
          <w:p w14:paraId="12C40A7F"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413,560.00 </w:t>
            </w:r>
          </w:p>
        </w:tc>
        <w:tc>
          <w:tcPr>
            <w:tcW w:w="1425" w:type="dxa"/>
            <w:tcBorders>
              <w:top w:val="nil"/>
              <w:left w:val="nil"/>
              <w:bottom w:val="single" w:sz="4" w:space="0" w:color="auto"/>
              <w:right w:val="single" w:sz="4" w:space="0" w:color="auto"/>
            </w:tcBorders>
            <w:shd w:val="clear" w:color="auto" w:fill="auto"/>
            <w:vAlign w:val="center"/>
            <w:hideMark/>
          </w:tcPr>
          <w:p w14:paraId="05D3633C"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418,705.00 </w:t>
            </w:r>
          </w:p>
        </w:tc>
        <w:tc>
          <w:tcPr>
            <w:tcW w:w="1425" w:type="dxa"/>
            <w:tcBorders>
              <w:top w:val="nil"/>
              <w:left w:val="nil"/>
              <w:bottom w:val="single" w:sz="4" w:space="0" w:color="auto"/>
              <w:right w:val="single" w:sz="4" w:space="0" w:color="auto"/>
            </w:tcBorders>
            <w:shd w:val="clear" w:color="auto" w:fill="auto"/>
            <w:vAlign w:val="center"/>
            <w:hideMark/>
          </w:tcPr>
          <w:p w14:paraId="1992B803"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422,062.00 </w:t>
            </w:r>
          </w:p>
        </w:tc>
      </w:tr>
      <w:tr w:rsidR="000B0043" w:rsidRPr="004A73C1" w14:paraId="20C16F01"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103336E1" w14:textId="0C5BF554"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7" w:history="1">
              <w:r w:rsidR="000B0043" w:rsidRPr="004A73C1">
                <w:rPr>
                  <w:rFonts w:ascii="Arial" w:eastAsia="Times New Roman" w:hAnsi="Arial" w:cs="Arial"/>
                  <w:color w:val="467886"/>
                  <w:sz w:val="24"/>
                  <w:szCs w:val="24"/>
                  <w:u w:val="single"/>
                  <w:lang w:eastAsia="en-GB"/>
                </w:rPr>
                <w:t>GDP (USD Billion)</w:t>
              </w:r>
            </w:hyperlink>
          </w:p>
        </w:tc>
        <w:tc>
          <w:tcPr>
            <w:tcW w:w="1425" w:type="dxa"/>
            <w:tcBorders>
              <w:top w:val="nil"/>
              <w:left w:val="nil"/>
              <w:bottom w:val="single" w:sz="4" w:space="0" w:color="auto"/>
              <w:right w:val="single" w:sz="4" w:space="0" w:color="auto"/>
            </w:tcBorders>
            <w:shd w:val="clear" w:color="auto" w:fill="auto"/>
            <w:vAlign w:val="center"/>
            <w:hideMark/>
          </w:tcPr>
          <w:p w14:paraId="17CCFF8D"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2E74855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3,383.00 </w:t>
            </w:r>
          </w:p>
        </w:tc>
        <w:tc>
          <w:tcPr>
            <w:tcW w:w="1425" w:type="dxa"/>
            <w:tcBorders>
              <w:top w:val="nil"/>
              <w:left w:val="nil"/>
              <w:bottom w:val="single" w:sz="4" w:space="0" w:color="auto"/>
              <w:right w:val="single" w:sz="4" w:space="0" w:color="auto"/>
            </w:tcBorders>
            <w:shd w:val="clear" w:color="auto" w:fill="auto"/>
            <w:vAlign w:val="center"/>
            <w:hideMark/>
          </w:tcPr>
          <w:p w14:paraId="472C0829"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7F41F784"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r>
      <w:tr w:rsidR="000B0043" w:rsidRPr="004A73C1" w14:paraId="590FF36B"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37CC2A24" w14:textId="1A49618C"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8" w:history="1">
              <w:r w:rsidR="000B0043" w:rsidRPr="004A73C1">
                <w:rPr>
                  <w:rFonts w:ascii="Arial" w:eastAsia="Times New Roman" w:hAnsi="Arial" w:cs="Arial"/>
                  <w:color w:val="467886"/>
                  <w:sz w:val="24"/>
                  <w:szCs w:val="24"/>
                  <w:u w:val="single"/>
                  <w:lang w:eastAsia="en-GB"/>
                </w:rPr>
                <w:t>GDP per Capita (USD)</w:t>
              </w:r>
            </w:hyperlink>
          </w:p>
        </w:tc>
        <w:tc>
          <w:tcPr>
            <w:tcW w:w="1425" w:type="dxa"/>
            <w:tcBorders>
              <w:top w:val="nil"/>
              <w:left w:val="nil"/>
              <w:bottom w:val="single" w:sz="4" w:space="0" w:color="auto"/>
              <w:right w:val="single" w:sz="4" w:space="0" w:color="auto"/>
            </w:tcBorders>
            <w:shd w:val="clear" w:color="auto" w:fill="auto"/>
            <w:vAlign w:val="center"/>
            <w:hideMark/>
          </w:tcPr>
          <w:p w14:paraId="2E798A6F"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07C0989F"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47,616.00 </w:t>
            </w:r>
          </w:p>
        </w:tc>
        <w:tc>
          <w:tcPr>
            <w:tcW w:w="1425" w:type="dxa"/>
            <w:tcBorders>
              <w:top w:val="nil"/>
              <w:left w:val="nil"/>
              <w:bottom w:val="single" w:sz="4" w:space="0" w:color="auto"/>
              <w:right w:val="single" w:sz="4" w:space="0" w:color="auto"/>
            </w:tcBorders>
            <w:shd w:val="clear" w:color="auto" w:fill="auto"/>
            <w:vAlign w:val="center"/>
            <w:hideMark/>
          </w:tcPr>
          <w:p w14:paraId="02ABCC81"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13D121F2"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r>
      <w:tr w:rsidR="000B0043" w:rsidRPr="004A73C1" w14:paraId="0F7BA049"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53FA2AAF" w14:textId="27C57880"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39" w:history="1">
              <w:r w:rsidR="000B0043" w:rsidRPr="004A73C1">
                <w:rPr>
                  <w:rFonts w:ascii="Arial" w:eastAsia="Times New Roman" w:hAnsi="Arial" w:cs="Arial"/>
                  <w:color w:val="467886"/>
                  <w:sz w:val="24"/>
                  <w:szCs w:val="24"/>
                  <w:u w:val="single"/>
                  <w:lang w:eastAsia="en-GB"/>
                </w:rPr>
                <w:t>GDP per Capita PPP (USD)</w:t>
              </w:r>
            </w:hyperlink>
          </w:p>
        </w:tc>
        <w:tc>
          <w:tcPr>
            <w:tcW w:w="1425" w:type="dxa"/>
            <w:tcBorders>
              <w:top w:val="nil"/>
              <w:left w:val="nil"/>
              <w:bottom w:val="single" w:sz="4" w:space="0" w:color="auto"/>
              <w:right w:val="single" w:sz="4" w:space="0" w:color="auto"/>
            </w:tcBorders>
            <w:shd w:val="clear" w:color="auto" w:fill="auto"/>
            <w:vAlign w:val="center"/>
            <w:hideMark/>
          </w:tcPr>
          <w:p w14:paraId="3F445B1C"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3C680B5A"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54,830.00 </w:t>
            </w:r>
          </w:p>
        </w:tc>
        <w:tc>
          <w:tcPr>
            <w:tcW w:w="1425" w:type="dxa"/>
            <w:tcBorders>
              <w:top w:val="nil"/>
              <w:left w:val="nil"/>
              <w:bottom w:val="single" w:sz="4" w:space="0" w:color="auto"/>
              <w:right w:val="single" w:sz="4" w:space="0" w:color="auto"/>
            </w:tcBorders>
            <w:shd w:val="clear" w:color="auto" w:fill="auto"/>
            <w:vAlign w:val="center"/>
            <w:hideMark/>
          </w:tcPr>
          <w:p w14:paraId="7E884ECA"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4E438615"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r>
      <w:tr w:rsidR="000B0043" w:rsidRPr="004A73C1" w14:paraId="4CEC5DC8" w14:textId="77777777" w:rsidTr="000B0043">
        <w:trPr>
          <w:trHeight w:val="290"/>
        </w:trPr>
        <w:tc>
          <w:tcPr>
            <w:tcW w:w="4024" w:type="dxa"/>
            <w:tcBorders>
              <w:top w:val="nil"/>
              <w:left w:val="single" w:sz="4" w:space="0" w:color="auto"/>
              <w:bottom w:val="single" w:sz="4" w:space="0" w:color="auto"/>
              <w:right w:val="single" w:sz="4" w:space="0" w:color="auto"/>
            </w:tcBorders>
            <w:shd w:val="clear" w:color="auto" w:fill="auto"/>
            <w:vAlign w:val="center"/>
            <w:hideMark/>
          </w:tcPr>
          <w:p w14:paraId="14C0BD08" w14:textId="3E0C6F44" w:rsidR="000B0043" w:rsidRPr="004A73C1" w:rsidRDefault="00000000" w:rsidP="00EF2E34">
            <w:pPr>
              <w:spacing w:after="0" w:line="360" w:lineRule="auto"/>
              <w:rPr>
                <w:rFonts w:ascii="Arial" w:eastAsia="Times New Roman" w:hAnsi="Arial" w:cs="Arial"/>
                <w:color w:val="467886"/>
                <w:sz w:val="24"/>
                <w:szCs w:val="24"/>
                <w:u w:val="single"/>
                <w:lang w:eastAsia="en-GB"/>
              </w:rPr>
            </w:pPr>
            <w:hyperlink r:id="rId40" w:history="1">
              <w:r w:rsidR="000B0043" w:rsidRPr="004A73C1">
                <w:rPr>
                  <w:rFonts w:ascii="Arial" w:eastAsia="Times New Roman" w:hAnsi="Arial" w:cs="Arial"/>
                  <w:color w:val="467886"/>
                  <w:sz w:val="24"/>
                  <w:szCs w:val="24"/>
                  <w:u w:val="single"/>
                  <w:lang w:eastAsia="en-GB"/>
                </w:rPr>
                <w:t>Full Year GDP Growth (%)</w:t>
              </w:r>
            </w:hyperlink>
          </w:p>
        </w:tc>
        <w:tc>
          <w:tcPr>
            <w:tcW w:w="1425" w:type="dxa"/>
            <w:tcBorders>
              <w:top w:val="nil"/>
              <w:left w:val="nil"/>
              <w:bottom w:val="single" w:sz="4" w:space="0" w:color="auto"/>
              <w:right w:val="single" w:sz="4" w:space="0" w:color="auto"/>
            </w:tcBorders>
            <w:shd w:val="clear" w:color="auto" w:fill="auto"/>
            <w:vAlign w:val="center"/>
            <w:hideMark/>
          </w:tcPr>
          <w:p w14:paraId="41208B56"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188E3B42"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xml:space="preserve">              1.30 </w:t>
            </w:r>
          </w:p>
        </w:tc>
        <w:tc>
          <w:tcPr>
            <w:tcW w:w="1425" w:type="dxa"/>
            <w:tcBorders>
              <w:top w:val="nil"/>
              <w:left w:val="nil"/>
              <w:bottom w:val="single" w:sz="4" w:space="0" w:color="auto"/>
              <w:right w:val="single" w:sz="4" w:space="0" w:color="auto"/>
            </w:tcBorders>
            <w:shd w:val="clear" w:color="auto" w:fill="auto"/>
            <w:vAlign w:val="center"/>
            <w:hideMark/>
          </w:tcPr>
          <w:p w14:paraId="238424BA"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c>
          <w:tcPr>
            <w:tcW w:w="1425" w:type="dxa"/>
            <w:tcBorders>
              <w:top w:val="nil"/>
              <w:left w:val="nil"/>
              <w:bottom w:val="single" w:sz="4" w:space="0" w:color="auto"/>
              <w:right w:val="single" w:sz="4" w:space="0" w:color="auto"/>
            </w:tcBorders>
            <w:shd w:val="clear" w:color="auto" w:fill="auto"/>
            <w:vAlign w:val="center"/>
            <w:hideMark/>
          </w:tcPr>
          <w:p w14:paraId="1F81AD91" w14:textId="77777777" w:rsidR="000B0043" w:rsidRPr="004A73C1" w:rsidRDefault="000B0043" w:rsidP="00EF2E34">
            <w:pPr>
              <w:spacing w:after="0" w:line="360" w:lineRule="auto"/>
              <w:jc w:val="right"/>
              <w:rPr>
                <w:rFonts w:ascii="Arial" w:eastAsia="Times New Roman" w:hAnsi="Arial" w:cs="Arial"/>
                <w:sz w:val="24"/>
                <w:szCs w:val="24"/>
                <w:lang w:eastAsia="en-GB"/>
              </w:rPr>
            </w:pPr>
            <w:r w:rsidRPr="004A73C1">
              <w:rPr>
                <w:rFonts w:ascii="Arial" w:eastAsia="Times New Roman" w:hAnsi="Arial" w:cs="Arial"/>
                <w:sz w:val="24"/>
                <w:szCs w:val="24"/>
                <w:lang w:eastAsia="en-GB"/>
              </w:rPr>
              <w:t> </w:t>
            </w:r>
          </w:p>
        </w:tc>
      </w:tr>
    </w:tbl>
    <w:p w14:paraId="4EA9C893" w14:textId="33FCB278" w:rsidR="000B0043" w:rsidRPr="004A73C1" w:rsidRDefault="000B0043" w:rsidP="00EF2E34">
      <w:pPr>
        <w:spacing w:line="360" w:lineRule="auto"/>
        <w:rPr>
          <w:rFonts w:ascii="Arial" w:hAnsi="Arial" w:cs="Arial"/>
        </w:rPr>
      </w:pPr>
      <w:r w:rsidRPr="004A73C1">
        <w:rPr>
          <w:rFonts w:ascii="Arial" w:hAnsi="Arial" w:cs="Arial"/>
        </w:rPr>
        <w:fldChar w:fldCharType="end"/>
      </w:r>
      <w:r w:rsidR="00740D35" w:rsidRPr="004A73C1">
        <w:rPr>
          <w:rFonts w:ascii="Arial" w:hAnsi="Arial" w:cs="Arial"/>
        </w:rPr>
        <w:t xml:space="preserve"> Figure </w:t>
      </w:r>
      <w:proofErr w:type="gramStart"/>
      <w:r w:rsidR="00740D35" w:rsidRPr="004A73C1">
        <w:rPr>
          <w:rFonts w:ascii="Arial" w:hAnsi="Arial" w:cs="Arial"/>
        </w:rPr>
        <w:t>17</w:t>
      </w:r>
      <w:r w:rsidR="009F1A70" w:rsidRPr="004A73C1">
        <w:rPr>
          <w:rFonts w:ascii="Arial" w:hAnsi="Arial" w:cs="Arial"/>
        </w:rPr>
        <w:t xml:space="preserve">  </w:t>
      </w:r>
      <w:r w:rsidR="009F1A70" w:rsidRPr="004A73C1">
        <w:rPr>
          <w:rFonts w:ascii="Arial" w:hAnsi="Arial" w:cs="Arial"/>
        </w:rPr>
        <w:tab/>
      </w:r>
      <w:proofErr w:type="gramEnd"/>
      <w:r w:rsidR="009F1A70" w:rsidRPr="004A73C1">
        <w:rPr>
          <w:rFonts w:ascii="Arial" w:hAnsi="Arial" w:cs="Arial"/>
        </w:rPr>
        <w:t>(</w:t>
      </w:r>
      <w:r w:rsidR="006E66F2" w:rsidRPr="004A73C1">
        <w:rPr>
          <w:rFonts w:ascii="Arial" w:hAnsi="Arial" w:cs="Arial"/>
        </w:rPr>
        <w:t>Source</w:t>
      </w:r>
      <w:r w:rsidRPr="004A73C1">
        <w:rPr>
          <w:rFonts w:ascii="Arial" w:hAnsi="Arial" w:cs="Arial"/>
        </w:rPr>
        <w:t xml:space="preserve"> Data </w:t>
      </w:r>
      <w:r w:rsidR="003E1181" w:rsidRPr="004A73C1">
        <w:rPr>
          <w:rFonts w:ascii="Arial" w:hAnsi="Arial" w:cs="Arial"/>
        </w:rPr>
        <w:t>–</w:t>
      </w:r>
      <w:r w:rsidRPr="004A73C1">
        <w:rPr>
          <w:rFonts w:ascii="Arial" w:hAnsi="Arial" w:cs="Arial"/>
        </w:rPr>
        <w:t xml:space="preserve"> </w:t>
      </w:r>
      <w:r w:rsidR="003E1181" w:rsidRPr="004A73C1">
        <w:rPr>
          <w:rFonts w:ascii="Arial" w:hAnsi="Arial" w:cs="Arial"/>
        </w:rPr>
        <w:t>ONS United Kingdom</w:t>
      </w:r>
      <w:r w:rsidR="009F1A70" w:rsidRPr="004A73C1">
        <w:rPr>
          <w:rFonts w:ascii="Arial" w:hAnsi="Arial" w:cs="Arial"/>
        </w:rPr>
        <w:t>)</w:t>
      </w:r>
    </w:p>
    <w:p w14:paraId="7EE24934" w14:textId="77777777" w:rsidR="00D53F0F" w:rsidRPr="004A73C1" w:rsidRDefault="00D53F0F" w:rsidP="00EF2E34">
      <w:pPr>
        <w:spacing w:line="360" w:lineRule="auto"/>
        <w:rPr>
          <w:rFonts w:ascii="Arial" w:hAnsi="Arial" w:cs="Arial"/>
        </w:rPr>
      </w:pPr>
    </w:p>
    <w:p w14:paraId="2C1A3405" w14:textId="77777777" w:rsidR="00D53F0F" w:rsidRPr="004A73C1" w:rsidRDefault="00D53F0F" w:rsidP="00EF2E34">
      <w:pPr>
        <w:spacing w:line="360" w:lineRule="auto"/>
        <w:rPr>
          <w:rFonts w:ascii="Arial" w:hAnsi="Arial" w:cs="Arial"/>
        </w:rPr>
      </w:pPr>
    </w:p>
    <w:p w14:paraId="3816DD70" w14:textId="3326ABA4" w:rsidR="00127D43" w:rsidRPr="004A73C1" w:rsidRDefault="00CA52E6" w:rsidP="00EF2E34">
      <w:pPr>
        <w:pStyle w:val="Heading2"/>
        <w:spacing w:line="360" w:lineRule="auto"/>
        <w:rPr>
          <w:rFonts w:ascii="Arial" w:hAnsi="Arial" w:cs="Arial"/>
          <w:color w:val="auto"/>
        </w:rPr>
      </w:pPr>
      <w:bookmarkStart w:id="109" w:name="_Toc175056476"/>
      <w:bookmarkStart w:id="110" w:name="_Toc175848133"/>
      <w:r w:rsidRPr="004A73C1">
        <w:rPr>
          <w:rFonts w:ascii="Arial" w:hAnsi="Arial" w:cs="Arial"/>
          <w:color w:val="auto"/>
        </w:rPr>
        <w:lastRenderedPageBreak/>
        <w:t>3.5</w:t>
      </w:r>
      <w:r w:rsidRPr="004A73C1">
        <w:rPr>
          <w:rFonts w:ascii="Arial" w:hAnsi="Arial" w:cs="Arial"/>
          <w:color w:val="auto"/>
        </w:rPr>
        <w:tab/>
      </w:r>
      <w:r w:rsidR="00127D43" w:rsidRPr="004A73C1">
        <w:rPr>
          <w:rFonts w:ascii="Arial" w:hAnsi="Arial" w:cs="Arial"/>
          <w:color w:val="auto"/>
        </w:rPr>
        <w:t xml:space="preserve">Qualitative </w:t>
      </w:r>
      <w:r w:rsidR="00C13730">
        <w:rPr>
          <w:rFonts w:ascii="Arial" w:hAnsi="Arial" w:cs="Arial"/>
          <w:color w:val="auto"/>
        </w:rPr>
        <w:t>R</w:t>
      </w:r>
      <w:r w:rsidR="00127D43" w:rsidRPr="004A73C1">
        <w:rPr>
          <w:rFonts w:ascii="Arial" w:hAnsi="Arial" w:cs="Arial"/>
          <w:color w:val="auto"/>
        </w:rPr>
        <w:t>esearch</w:t>
      </w:r>
      <w:bookmarkEnd w:id="109"/>
      <w:bookmarkEnd w:id="110"/>
    </w:p>
    <w:p w14:paraId="7E62F95B" w14:textId="442792BB" w:rsidR="00127D43" w:rsidRPr="004A73C1" w:rsidRDefault="00D53F0F" w:rsidP="00EF2E34">
      <w:pPr>
        <w:spacing w:line="360" w:lineRule="auto"/>
        <w:jc w:val="both"/>
        <w:rPr>
          <w:rFonts w:ascii="Arial" w:hAnsi="Arial" w:cs="Arial"/>
        </w:rPr>
      </w:pPr>
      <w:r w:rsidRPr="004A73C1">
        <w:rPr>
          <w:rFonts w:ascii="Arial" w:hAnsi="Arial" w:cs="Arial"/>
        </w:rPr>
        <w:t xml:space="preserve">Qualitative research serves as a method for comprehending the underlying reasons, opinions, and motivations. It offers valuable insights into a given problem or aids in the development of ideas and hypotheses for potential quantitative research endeavours. </w:t>
      </w:r>
      <w:r w:rsidR="007D1085" w:rsidRPr="004A73C1">
        <w:rPr>
          <w:rFonts w:ascii="Arial" w:hAnsi="Arial" w:cs="Arial"/>
        </w:rPr>
        <w:t>An example of qualitative research could be a study conducted through interviews or focus groups to understand people's perceptions of a new product or to explore the impact of a particular social phenomenon.</w:t>
      </w:r>
    </w:p>
    <w:p w14:paraId="3550743A" w14:textId="6450A040" w:rsidR="007D1085" w:rsidRPr="004A73C1" w:rsidRDefault="00CA52E6" w:rsidP="00EF2E34">
      <w:pPr>
        <w:pStyle w:val="Heading2"/>
        <w:spacing w:line="360" w:lineRule="auto"/>
        <w:rPr>
          <w:rFonts w:ascii="Arial" w:hAnsi="Arial" w:cs="Arial"/>
          <w:color w:val="auto"/>
        </w:rPr>
      </w:pPr>
      <w:bookmarkStart w:id="111" w:name="_Toc175056477"/>
      <w:bookmarkStart w:id="112" w:name="_Toc175848134"/>
      <w:r w:rsidRPr="004A73C1">
        <w:rPr>
          <w:rFonts w:ascii="Arial" w:hAnsi="Arial" w:cs="Arial"/>
          <w:color w:val="auto"/>
        </w:rPr>
        <w:t>3.6</w:t>
      </w:r>
      <w:r w:rsidRPr="004A73C1">
        <w:rPr>
          <w:rFonts w:ascii="Arial" w:hAnsi="Arial" w:cs="Arial"/>
          <w:color w:val="auto"/>
        </w:rPr>
        <w:tab/>
      </w:r>
      <w:r w:rsidR="007D1085" w:rsidRPr="004A73C1">
        <w:rPr>
          <w:rFonts w:ascii="Arial" w:hAnsi="Arial" w:cs="Arial"/>
          <w:color w:val="auto"/>
        </w:rPr>
        <w:t>Mixed-</w:t>
      </w:r>
      <w:r w:rsidR="00C13730">
        <w:rPr>
          <w:rFonts w:ascii="Arial" w:hAnsi="Arial" w:cs="Arial"/>
          <w:color w:val="auto"/>
        </w:rPr>
        <w:t>M</w:t>
      </w:r>
      <w:r w:rsidR="007D1085" w:rsidRPr="004A73C1">
        <w:rPr>
          <w:rFonts w:ascii="Arial" w:hAnsi="Arial" w:cs="Arial"/>
          <w:color w:val="auto"/>
        </w:rPr>
        <w:t xml:space="preserve">ethod </w:t>
      </w:r>
      <w:r w:rsidR="00C13730">
        <w:rPr>
          <w:rFonts w:ascii="Arial" w:hAnsi="Arial" w:cs="Arial"/>
          <w:color w:val="auto"/>
        </w:rPr>
        <w:t>R</w:t>
      </w:r>
      <w:r w:rsidR="007D1085" w:rsidRPr="004A73C1">
        <w:rPr>
          <w:rFonts w:ascii="Arial" w:hAnsi="Arial" w:cs="Arial"/>
          <w:color w:val="auto"/>
        </w:rPr>
        <w:t>esearch</w:t>
      </w:r>
      <w:bookmarkEnd w:id="111"/>
      <w:bookmarkEnd w:id="112"/>
    </w:p>
    <w:p w14:paraId="7FF5F118" w14:textId="4AFB93AF" w:rsidR="007D1085" w:rsidRPr="004A73C1" w:rsidRDefault="00595271" w:rsidP="00EF2E34">
      <w:pPr>
        <w:spacing w:line="360" w:lineRule="auto"/>
        <w:jc w:val="both"/>
        <w:rPr>
          <w:rFonts w:ascii="Arial" w:hAnsi="Arial" w:cs="Arial"/>
        </w:rPr>
      </w:pPr>
      <w:r w:rsidRPr="004A73C1">
        <w:rPr>
          <w:rFonts w:ascii="Arial" w:hAnsi="Arial" w:cs="Arial"/>
        </w:rPr>
        <w:t>The mixed-method</w:t>
      </w:r>
      <w:r w:rsidR="007D1085" w:rsidRPr="004A73C1">
        <w:rPr>
          <w:rFonts w:ascii="Arial" w:hAnsi="Arial" w:cs="Arial"/>
        </w:rPr>
        <w:t xml:space="preserve"> research approach </w:t>
      </w:r>
      <w:r w:rsidR="00A1034C" w:rsidRPr="004A73C1">
        <w:rPr>
          <w:rFonts w:ascii="Arial" w:hAnsi="Arial" w:cs="Arial"/>
        </w:rPr>
        <w:t xml:space="preserve">uses quantitative and qualitative research methods </w:t>
      </w:r>
      <w:r w:rsidR="00E11EFD" w:rsidRPr="004A73C1">
        <w:rPr>
          <w:rFonts w:ascii="Arial" w:hAnsi="Arial" w:cs="Arial"/>
        </w:rPr>
        <w:t>to understand a phenomenon comprehensively</w:t>
      </w:r>
      <w:r w:rsidR="007D1085" w:rsidRPr="004A73C1">
        <w:rPr>
          <w:rFonts w:ascii="Arial" w:hAnsi="Arial" w:cs="Arial"/>
        </w:rPr>
        <w:t>. For example</w:t>
      </w:r>
      <w:r w:rsidRPr="004A73C1">
        <w:rPr>
          <w:rFonts w:ascii="Arial" w:hAnsi="Arial" w:cs="Arial"/>
        </w:rPr>
        <w:t xml:space="preserve">, a mixed-method approach in education research </w:t>
      </w:r>
      <w:r w:rsidR="007D1085" w:rsidRPr="004A73C1">
        <w:rPr>
          <w:rFonts w:ascii="Arial" w:hAnsi="Arial" w:cs="Arial"/>
        </w:rPr>
        <w:t xml:space="preserve">might </w:t>
      </w:r>
      <w:r w:rsidRPr="004A73C1">
        <w:rPr>
          <w:rFonts w:ascii="Arial" w:hAnsi="Arial" w:cs="Arial"/>
        </w:rPr>
        <w:t>include</w:t>
      </w:r>
      <w:r w:rsidR="007D1085" w:rsidRPr="004A73C1">
        <w:rPr>
          <w:rFonts w:ascii="Arial" w:hAnsi="Arial" w:cs="Arial"/>
        </w:rPr>
        <w:t xml:space="preserve"> collecting and </w:t>
      </w:r>
      <w:r w:rsidRPr="004A73C1">
        <w:rPr>
          <w:rFonts w:ascii="Arial" w:hAnsi="Arial" w:cs="Arial"/>
        </w:rPr>
        <w:t>analysing</w:t>
      </w:r>
      <w:r w:rsidR="007D1085" w:rsidRPr="004A73C1">
        <w:rPr>
          <w:rFonts w:ascii="Arial" w:hAnsi="Arial" w:cs="Arial"/>
        </w:rPr>
        <w:t xml:space="preserve"> numerical data on student test scores (quantitative) </w:t>
      </w:r>
      <w:r w:rsidRPr="004A73C1">
        <w:rPr>
          <w:rFonts w:ascii="Arial" w:hAnsi="Arial" w:cs="Arial"/>
        </w:rPr>
        <w:t>and</w:t>
      </w:r>
      <w:r w:rsidR="007D1085" w:rsidRPr="004A73C1">
        <w:rPr>
          <w:rFonts w:ascii="Arial" w:hAnsi="Arial" w:cs="Arial"/>
        </w:rPr>
        <w:t xml:space="preserve"> conducting interviews or focus groups with teachers and students to understand their experiences and perspectives (qualitative). By combining both </w:t>
      </w:r>
      <w:r w:rsidR="00B63B17" w:rsidRPr="004A73C1">
        <w:rPr>
          <w:rFonts w:ascii="Arial" w:hAnsi="Arial" w:cs="Arial"/>
        </w:rPr>
        <w:t>data types</w:t>
      </w:r>
      <w:r w:rsidR="007D1085" w:rsidRPr="004A73C1">
        <w:rPr>
          <w:rFonts w:ascii="Arial" w:hAnsi="Arial" w:cs="Arial"/>
        </w:rPr>
        <w:t xml:space="preserve">, researchers can gain a more thorough and nuanced understanding of </w:t>
      </w:r>
      <w:r w:rsidRPr="004A73C1">
        <w:rPr>
          <w:rFonts w:ascii="Arial" w:hAnsi="Arial" w:cs="Arial"/>
        </w:rPr>
        <w:t>their study topic</w:t>
      </w:r>
      <w:r w:rsidR="007D1085" w:rsidRPr="004A73C1">
        <w:rPr>
          <w:rFonts w:ascii="Arial" w:hAnsi="Arial" w:cs="Arial"/>
        </w:rPr>
        <w:t>.</w:t>
      </w:r>
    </w:p>
    <w:p w14:paraId="1778C1DA" w14:textId="0177B013" w:rsidR="006A5B39" w:rsidRPr="004A73C1" w:rsidRDefault="006A5B39" w:rsidP="00EF2E34">
      <w:pPr>
        <w:spacing w:line="360" w:lineRule="auto"/>
        <w:jc w:val="both"/>
        <w:rPr>
          <w:rFonts w:ascii="Arial" w:hAnsi="Arial" w:cs="Arial"/>
        </w:rPr>
      </w:pPr>
      <w:r w:rsidRPr="004A73C1">
        <w:rPr>
          <w:rFonts w:ascii="Arial" w:hAnsi="Arial" w:cs="Arial"/>
        </w:rPr>
        <w:t>A mixed-method approach for analysing Foreign Direct Investment (FDI) involves using both qualitative and quantitative methods to gain a comprehensive understanding of FDI trends, patterns, and impacts. Qualitative methods such as interviews, case studies, and content analysis can provide in-depth insights into the motivations and experiences of the involved parties. On the other hand, quantitative methods such as statistical analysis, econometric modelling, and data mining can offer numerical evidence and trends related to FDI flows, investment patterns, and economic impacts. By combining both approaches, researchers can gain a more comprehensive and nuanced understanding of FDI dynamics and its implications for host and home countries.</w:t>
      </w:r>
    </w:p>
    <w:p w14:paraId="50D39C0C" w14:textId="20055946" w:rsidR="00317BCF" w:rsidRPr="004A73C1" w:rsidRDefault="00CA52E6" w:rsidP="00EF2E34">
      <w:pPr>
        <w:pStyle w:val="Heading2"/>
        <w:spacing w:line="360" w:lineRule="auto"/>
        <w:rPr>
          <w:rFonts w:ascii="Arial" w:hAnsi="Arial" w:cs="Arial"/>
          <w:color w:val="auto"/>
        </w:rPr>
      </w:pPr>
      <w:bookmarkStart w:id="113" w:name="_Toc175056478"/>
      <w:bookmarkStart w:id="114" w:name="_Toc175848135"/>
      <w:r w:rsidRPr="004A73C1">
        <w:rPr>
          <w:rFonts w:ascii="Arial" w:hAnsi="Arial" w:cs="Arial"/>
          <w:color w:val="auto"/>
        </w:rPr>
        <w:t>3.7</w:t>
      </w:r>
      <w:r w:rsidRPr="004A73C1">
        <w:rPr>
          <w:rFonts w:ascii="Arial" w:hAnsi="Arial" w:cs="Arial"/>
          <w:color w:val="auto"/>
        </w:rPr>
        <w:tab/>
      </w:r>
      <w:r w:rsidR="00317BCF" w:rsidRPr="004A73C1">
        <w:rPr>
          <w:rFonts w:ascii="Arial" w:hAnsi="Arial" w:cs="Arial"/>
          <w:color w:val="auto"/>
        </w:rPr>
        <w:t xml:space="preserve">The Research </w:t>
      </w:r>
      <w:r w:rsidR="006A5B39" w:rsidRPr="004A73C1">
        <w:rPr>
          <w:rFonts w:ascii="Arial" w:hAnsi="Arial" w:cs="Arial"/>
          <w:color w:val="auto"/>
        </w:rPr>
        <w:t>P</w:t>
      </w:r>
      <w:r w:rsidR="00317BCF" w:rsidRPr="004A73C1">
        <w:rPr>
          <w:rFonts w:ascii="Arial" w:hAnsi="Arial" w:cs="Arial"/>
          <w:color w:val="auto"/>
        </w:rPr>
        <w:t>rocess</w:t>
      </w:r>
      <w:bookmarkEnd w:id="113"/>
      <w:bookmarkEnd w:id="114"/>
    </w:p>
    <w:p w14:paraId="1AF91AA5" w14:textId="77777777" w:rsidR="00D53F0F" w:rsidRPr="00D53F0F" w:rsidRDefault="00D53F0F" w:rsidP="00D53F0F">
      <w:pPr>
        <w:spacing w:line="360" w:lineRule="auto"/>
        <w:jc w:val="both"/>
        <w:rPr>
          <w:rFonts w:ascii="Arial" w:hAnsi="Arial" w:cs="Arial"/>
        </w:rPr>
      </w:pPr>
      <w:r w:rsidRPr="00D53F0F">
        <w:rPr>
          <w:rFonts w:ascii="Arial" w:hAnsi="Arial" w:cs="Arial"/>
        </w:rPr>
        <w:t xml:space="preserve">According to Dawson and Catherine (2002), the researcher must define the research barriers, which can be accomplished by evaluating other people's work in the same subject and tying it to the study objectives. </w:t>
      </w:r>
    </w:p>
    <w:p w14:paraId="61164BD9" w14:textId="1656CCBD" w:rsidR="00317BCF" w:rsidRPr="004A73C1" w:rsidRDefault="00317BCF" w:rsidP="00EF2E34">
      <w:pPr>
        <w:spacing w:line="360" w:lineRule="auto"/>
        <w:jc w:val="both"/>
        <w:rPr>
          <w:rFonts w:ascii="Arial" w:hAnsi="Arial" w:cs="Arial"/>
        </w:rPr>
      </w:pPr>
      <w:r w:rsidRPr="004A73C1">
        <w:rPr>
          <w:rFonts w:ascii="Arial" w:hAnsi="Arial" w:cs="Arial"/>
        </w:rPr>
        <w:t xml:space="preserve">The research process involves a systematic and organised series of steps that researchers adhere to gather information, address inquiries, or test hypotheses. Firstly, researchers define a research question or problem to establish the focus of their study. They then conduct a thorough literature review to understand existing knowledge and identify gaps in the research. After this, they outline a research plan detailing the methodologies, data collection techniques, and analysis procedures they will employ. Subsequently, researchers gather data through observation, experimentation, surveys, or other methods and analyse it to derive meaningful conclusions. Finally, they effectively communicate their findings through research papers, reports, presentations, or other forms of dissemination. The specific approach to the research </w:t>
      </w:r>
      <w:r w:rsidRPr="004A73C1">
        <w:rPr>
          <w:rFonts w:ascii="Arial" w:hAnsi="Arial" w:cs="Arial"/>
        </w:rPr>
        <w:lastRenderedPageBreak/>
        <w:t>process may vary depending on the discipline and the nature of the research being conducted, with different fields employing distinct methodologies and techniques.</w:t>
      </w:r>
    </w:p>
    <w:p w14:paraId="47A443B7" w14:textId="77777777" w:rsidR="00B63B17" w:rsidRPr="004A73C1" w:rsidRDefault="00317BCF" w:rsidP="00EF2E34">
      <w:pPr>
        <w:spacing w:line="360" w:lineRule="auto"/>
        <w:jc w:val="both"/>
        <w:rPr>
          <w:rFonts w:ascii="Arial" w:hAnsi="Arial" w:cs="Arial"/>
        </w:rPr>
      </w:pPr>
      <w:r w:rsidRPr="004A73C1">
        <w:rPr>
          <w:rFonts w:ascii="Arial" w:hAnsi="Arial" w:cs="Arial"/>
        </w:rPr>
        <w:t>The steps involved in the research process include the following:</w:t>
      </w:r>
    </w:p>
    <w:p w14:paraId="5C4777B7" w14:textId="55575868" w:rsidR="00317BCF" w:rsidRPr="004A73C1" w:rsidRDefault="00317BCF" w:rsidP="00EF2E34">
      <w:pPr>
        <w:spacing w:line="360" w:lineRule="auto"/>
        <w:jc w:val="both"/>
        <w:rPr>
          <w:rFonts w:ascii="Arial" w:hAnsi="Arial" w:cs="Arial"/>
        </w:rPr>
      </w:pPr>
      <w:r w:rsidRPr="004A73C1">
        <w:rPr>
          <w:rFonts w:ascii="Arial" w:hAnsi="Arial" w:cs="Arial"/>
          <w:b/>
          <w:bCs/>
        </w:rPr>
        <w:t xml:space="preserve">Defining </w:t>
      </w:r>
      <w:r w:rsidR="00A704B7" w:rsidRPr="004A73C1">
        <w:rPr>
          <w:rFonts w:ascii="Arial" w:hAnsi="Arial" w:cs="Arial"/>
          <w:b/>
          <w:bCs/>
        </w:rPr>
        <w:t xml:space="preserve">And Identifying </w:t>
      </w:r>
      <w:r w:rsidR="00E11EFD" w:rsidRPr="004A73C1">
        <w:rPr>
          <w:rFonts w:ascii="Arial" w:hAnsi="Arial" w:cs="Arial"/>
          <w:b/>
          <w:bCs/>
        </w:rPr>
        <w:t>the</w:t>
      </w:r>
      <w:r w:rsidR="00A704B7" w:rsidRPr="004A73C1">
        <w:rPr>
          <w:rFonts w:ascii="Arial" w:hAnsi="Arial" w:cs="Arial"/>
          <w:b/>
          <w:bCs/>
        </w:rPr>
        <w:t xml:space="preserve"> Research Problem </w:t>
      </w:r>
      <w:proofErr w:type="gramStart"/>
      <w:r w:rsidR="00A704B7" w:rsidRPr="004A73C1">
        <w:rPr>
          <w:rFonts w:ascii="Arial" w:hAnsi="Arial" w:cs="Arial"/>
          <w:b/>
          <w:bCs/>
        </w:rPr>
        <w:t>Or</w:t>
      </w:r>
      <w:proofErr w:type="gramEnd"/>
      <w:r w:rsidR="00A704B7" w:rsidRPr="004A73C1">
        <w:rPr>
          <w:rFonts w:ascii="Arial" w:hAnsi="Arial" w:cs="Arial"/>
          <w:b/>
          <w:bCs/>
        </w:rPr>
        <w:t xml:space="preserve"> Topic That Needs Investigation.</w:t>
      </w:r>
    </w:p>
    <w:p w14:paraId="3CC886F1" w14:textId="6C0FD398" w:rsidR="00317BCF" w:rsidRPr="004A73C1" w:rsidRDefault="00B90250" w:rsidP="00EF2E34">
      <w:pPr>
        <w:spacing w:after="0" w:line="360" w:lineRule="auto"/>
        <w:jc w:val="both"/>
        <w:rPr>
          <w:rFonts w:ascii="Arial" w:hAnsi="Arial" w:cs="Arial"/>
        </w:rPr>
      </w:pPr>
      <w:r w:rsidRPr="004A73C1">
        <w:rPr>
          <w:rFonts w:ascii="Arial" w:hAnsi="Arial" w:cs="Arial"/>
        </w:rPr>
        <w:t>To</w:t>
      </w:r>
      <w:r w:rsidR="00317BCF" w:rsidRPr="004A73C1">
        <w:rPr>
          <w:rFonts w:ascii="Arial" w:hAnsi="Arial" w:cs="Arial"/>
        </w:rPr>
        <w:t xml:space="preserve"> define and identify a research problem or topic that necessitates investigation, several essential steps can be followed:</w:t>
      </w:r>
    </w:p>
    <w:p w14:paraId="73ED8EC2" w14:textId="4FA61AC7" w:rsidR="00317BCF" w:rsidRPr="004A73C1" w:rsidRDefault="00317BCF" w:rsidP="00EF2E34">
      <w:pPr>
        <w:pStyle w:val="ListParagraph"/>
        <w:numPr>
          <w:ilvl w:val="0"/>
          <w:numId w:val="37"/>
        </w:numPr>
        <w:spacing w:after="0" w:line="360" w:lineRule="auto"/>
        <w:jc w:val="both"/>
        <w:rPr>
          <w:rFonts w:ascii="Arial" w:hAnsi="Arial" w:cs="Arial"/>
        </w:rPr>
      </w:pPr>
      <w:r w:rsidRPr="004A73C1">
        <w:rPr>
          <w:rFonts w:ascii="Arial" w:hAnsi="Arial" w:cs="Arial"/>
        </w:rPr>
        <w:t xml:space="preserve">Select the general area of interest: Initially, pinpoint a broad </w:t>
      </w:r>
      <w:r w:rsidR="00B90250" w:rsidRPr="004A73C1">
        <w:rPr>
          <w:rFonts w:ascii="Arial" w:hAnsi="Arial" w:cs="Arial"/>
        </w:rPr>
        <w:t xml:space="preserve">or </w:t>
      </w:r>
      <w:r w:rsidRPr="004A73C1">
        <w:rPr>
          <w:rFonts w:ascii="Arial" w:hAnsi="Arial" w:cs="Arial"/>
        </w:rPr>
        <w:t xml:space="preserve">general topic that aligns with </w:t>
      </w:r>
      <w:r w:rsidR="00B90250" w:rsidRPr="004A73C1">
        <w:rPr>
          <w:rFonts w:ascii="Arial" w:hAnsi="Arial" w:cs="Arial"/>
        </w:rPr>
        <w:t>my</w:t>
      </w:r>
      <w:r w:rsidRPr="004A73C1">
        <w:rPr>
          <w:rFonts w:ascii="Arial" w:hAnsi="Arial" w:cs="Arial"/>
        </w:rPr>
        <w:t xml:space="preserve"> expertise or is pertinent to </w:t>
      </w:r>
      <w:r w:rsidR="00B90250" w:rsidRPr="004A73C1">
        <w:rPr>
          <w:rFonts w:ascii="Arial" w:hAnsi="Arial" w:cs="Arial"/>
        </w:rPr>
        <w:t>my</w:t>
      </w:r>
      <w:r w:rsidRPr="004A73C1">
        <w:rPr>
          <w:rFonts w:ascii="Arial" w:hAnsi="Arial" w:cs="Arial"/>
        </w:rPr>
        <w:t xml:space="preserve"> field of study.</w:t>
      </w:r>
    </w:p>
    <w:p w14:paraId="7B8AA60E" w14:textId="7C2D70DF" w:rsidR="00317BCF" w:rsidRPr="004A73C1" w:rsidRDefault="00317BCF" w:rsidP="00EF2E34">
      <w:pPr>
        <w:pStyle w:val="ListParagraph"/>
        <w:numPr>
          <w:ilvl w:val="0"/>
          <w:numId w:val="37"/>
        </w:numPr>
        <w:spacing w:after="0" w:line="360" w:lineRule="auto"/>
        <w:jc w:val="both"/>
        <w:rPr>
          <w:rFonts w:ascii="Arial" w:hAnsi="Arial" w:cs="Arial"/>
        </w:rPr>
      </w:pPr>
      <w:r w:rsidRPr="004A73C1">
        <w:rPr>
          <w:rFonts w:ascii="Arial" w:hAnsi="Arial" w:cs="Arial"/>
        </w:rPr>
        <w:t xml:space="preserve">Conduct a comprehensive literature review: </w:t>
      </w:r>
      <w:r w:rsidR="00E11EFD" w:rsidRPr="004A73C1">
        <w:rPr>
          <w:rFonts w:ascii="Arial" w:hAnsi="Arial" w:cs="Arial"/>
        </w:rPr>
        <w:t>This involves thoroughly reviewing</w:t>
      </w:r>
      <w:r w:rsidR="00B90250" w:rsidRPr="004A73C1">
        <w:rPr>
          <w:rFonts w:ascii="Arial" w:hAnsi="Arial" w:cs="Arial"/>
        </w:rPr>
        <w:t xml:space="preserve"> existing literature, research papers, and scholarly articles to gain insight into prior studies in</w:t>
      </w:r>
      <w:r w:rsidRPr="004A73C1">
        <w:rPr>
          <w:rFonts w:ascii="Arial" w:hAnsi="Arial" w:cs="Arial"/>
        </w:rPr>
        <w:t xml:space="preserve"> area of interest.</w:t>
      </w:r>
    </w:p>
    <w:p w14:paraId="24EC0750" w14:textId="77777777" w:rsidR="00E11EFD" w:rsidRPr="004A73C1" w:rsidRDefault="00317BCF" w:rsidP="00EF2E34">
      <w:pPr>
        <w:pStyle w:val="ListParagraph"/>
        <w:numPr>
          <w:ilvl w:val="0"/>
          <w:numId w:val="37"/>
        </w:numPr>
        <w:spacing w:after="0" w:line="360" w:lineRule="auto"/>
        <w:jc w:val="both"/>
        <w:rPr>
          <w:rFonts w:ascii="Arial" w:hAnsi="Arial" w:cs="Arial"/>
        </w:rPr>
      </w:pPr>
      <w:r w:rsidRPr="004A73C1">
        <w:rPr>
          <w:rFonts w:ascii="Arial" w:hAnsi="Arial" w:cs="Arial"/>
        </w:rPr>
        <w:t>Refine the focus: Based on the initial review, discern specific gaps, contradictions, or unresolved questions within the existing literature. This process aids in narrowing the focus and pinpointing potential research problems.</w:t>
      </w:r>
    </w:p>
    <w:p w14:paraId="7FB5BE51" w14:textId="77777777" w:rsidR="00E11EFD" w:rsidRPr="004A73C1" w:rsidRDefault="00317BCF" w:rsidP="00EF2E34">
      <w:pPr>
        <w:pStyle w:val="ListParagraph"/>
        <w:numPr>
          <w:ilvl w:val="0"/>
          <w:numId w:val="37"/>
        </w:numPr>
        <w:spacing w:after="0" w:line="360" w:lineRule="auto"/>
        <w:jc w:val="both"/>
        <w:rPr>
          <w:rFonts w:ascii="Arial" w:hAnsi="Arial" w:cs="Arial"/>
        </w:rPr>
      </w:pPr>
      <w:r w:rsidRPr="004A73C1">
        <w:rPr>
          <w:rFonts w:ascii="Arial" w:hAnsi="Arial" w:cs="Arial"/>
        </w:rPr>
        <w:t xml:space="preserve">Formulate specific research questions: </w:t>
      </w:r>
      <w:r w:rsidR="00595271" w:rsidRPr="004A73C1">
        <w:rPr>
          <w:rFonts w:ascii="Arial" w:hAnsi="Arial" w:cs="Arial"/>
        </w:rPr>
        <w:t>Based on</w:t>
      </w:r>
      <w:r w:rsidRPr="004A73C1">
        <w:rPr>
          <w:rFonts w:ascii="Arial" w:hAnsi="Arial" w:cs="Arial"/>
        </w:rPr>
        <w:t xml:space="preserve"> the identified gaps or unresolved issues, craft precise research questions that demand attention. These inquiries should be articulate, </w:t>
      </w:r>
      <w:r w:rsidR="00B90250" w:rsidRPr="004A73C1">
        <w:rPr>
          <w:rFonts w:ascii="Arial" w:hAnsi="Arial" w:cs="Arial"/>
        </w:rPr>
        <w:t>concise</w:t>
      </w:r>
      <w:r w:rsidRPr="004A73C1">
        <w:rPr>
          <w:rFonts w:ascii="Arial" w:hAnsi="Arial" w:cs="Arial"/>
        </w:rPr>
        <w:t>, and targeted.</w:t>
      </w:r>
    </w:p>
    <w:p w14:paraId="4FA85FC6" w14:textId="06B242B5" w:rsidR="00317BCF" w:rsidRPr="004A73C1" w:rsidRDefault="00317BCF" w:rsidP="00EF2E34">
      <w:pPr>
        <w:pStyle w:val="ListParagraph"/>
        <w:numPr>
          <w:ilvl w:val="0"/>
          <w:numId w:val="37"/>
        </w:numPr>
        <w:spacing w:after="0" w:line="360" w:lineRule="auto"/>
        <w:jc w:val="both"/>
        <w:rPr>
          <w:rFonts w:ascii="Arial" w:hAnsi="Arial" w:cs="Arial"/>
        </w:rPr>
      </w:pPr>
      <w:r w:rsidRPr="004A73C1">
        <w:rPr>
          <w:rFonts w:ascii="Arial" w:hAnsi="Arial" w:cs="Arial"/>
        </w:rPr>
        <w:t xml:space="preserve">Define the problem statement: Once the research questions are delineated, articulate a clear and precise problem statement </w:t>
      </w:r>
      <w:r w:rsidR="00B90250" w:rsidRPr="004A73C1">
        <w:rPr>
          <w:rFonts w:ascii="Arial" w:hAnsi="Arial" w:cs="Arial"/>
        </w:rPr>
        <w:t>summarising</w:t>
      </w:r>
      <w:r w:rsidRPr="004A73C1">
        <w:rPr>
          <w:rFonts w:ascii="Arial" w:hAnsi="Arial" w:cs="Arial"/>
        </w:rPr>
        <w:t xml:space="preserve"> the issue slated for investigation.</w:t>
      </w:r>
    </w:p>
    <w:p w14:paraId="096EFEBB" w14:textId="03A5A2A2" w:rsidR="00317BCF" w:rsidRPr="004A73C1" w:rsidRDefault="00B90250" w:rsidP="00EF2E34">
      <w:pPr>
        <w:spacing w:after="0" w:line="360" w:lineRule="auto"/>
        <w:jc w:val="both"/>
        <w:rPr>
          <w:rFonts w:ascii="Arial" w:hAnsi="Arial" w:cs="Arial"/>
        </w:rPr>
      </w:pPr>
      <w:r w:rsidRPr="004A73C1">
        <w:rPr>
          <w:rFonts w:ascii="Arial" w:hAnsi="Arial" w:cs="Arial"/>
        </w:rPr>
        <w:t>These</w:t>
      </w:r>
      <w:r w:rsidR="00317BCF" w:rsidRPr="004A73C1">
        <w:rPr>
          <w:rFonts w:ascii="Arial" w:hAnsi="Arial" w:cs="Arial"/>
        </w:rPr>
        <w:t xml:space="preserve"> steps can help one identify a research problem or topic that warrants investigation.</w:t>
      </w:r>
    </w:p>
    <w:p w14:paraId="3F965487" w14:textId="77777777" w:rsidR="007D4E14" w:rsidRPr="004A73C1" w:rsidRDefault="007D4E14" w:rsidP="00EF2E34">
      <w:pPr>
        <w:spacing w:after="0" w:line="360" w:lineRule="auto"/>
        <w:jc w:val="both"/>
        <w:rPr>
          <w:rFonts w:ascii="Arial" w:hAnsi="Arial" w:cs="Arial"/>
        </w:rPr>
      </w:pPr>
    </w:p>
    <w:p w14:paraId="022F1092" w14:textId="4A546B2F" w:rsidR="00317BCF" w:rsidRPr="004A73C1" w:rsidRDefault="00317BCF" w:rsidP="00EF2E34">
      <w:pPr>
        <w:spacing w:line="360" w:lineRule="auto"/>
        <w:jc w:val="both"/>
        <w:rPr>
          <w:rFonts w:ascii="Arial" w:hAnsi="Arial" w:cs="Arial"/>
          <w:b/>
          <w:bCs/>
        </w:rPr>
      </w:pPr>
      <w:r w:rsidRPr="004A73C1">
        <w:rPr>
          <w:rFonts w:ascii="Arial" w:hAnsi="Arial" w:cs="Arial"/>
          <w:b/>
          <w:bCs/>
        </w:rPr>
        <w:t xml:space="preserve">Reviewing </w:t>
      </w:r>
      <w:r w:rsidR="00A704B7" w:rsidRPr="004A73C1">
        <w:rPr>
          <w:rFonts w:ascii="Arial" w:hAnsi="Arial" w:cs="Arial"/>
          <w:b/>
          <w:bCs/>
        </w:rPr>
        <w:t xml:space="preserve">And Analysing Existing Literature </w:t>
      </w:r>
      <w:proofErr w:type="gramStart"/>
      <w:r w:rsidR="00A704B7" w:rsidRPr="004A73C1">
        <w:rPr>
          <w:rFonts w:ascii="Arial" w:hAnsi="Arial" w:cs="Arial"/>
          <w:b/>
          <w:bCs/>
        </w:rPr>
        <w:t>To</w:t>
      </w:r>
      <w:proofErr w:type="gramEnd"/>
      <w:r w:rsidR="00A704B7" w:rsidRPr="004A73C1">
        <w:rPr>
          <w:rFonts w:ascii="Arial" w:hAnsi="Arial" w:cs="Arial"/>
          <w:b/>
          <w:bCs/>
        </w:rPr>
        <w:t xml:space="preserve"> Understand The Current State Of Knowledge On The Topic.</w:t>
      </w:r>
    </w:p>
    <w:p w14:paraId="629B7333" w14:textId="5BC6CBD7" w:rsidR="00317BCF" w:rsidRPr="004A73C1" w:rsidRDefault="00317BCF" w:rsidP="00EF2E34">
      <w:pPr>
        <w:spacing w:after="0" w:line="360" w:lineRule="auto"/>
        <w:jc w:val="both"/>
        <w:rPr>
          <w:rFonts w:ascii="Arial" w:hAnsi="Arial" w:cs="Arial"/>
        </w:rPr>
      </w:pPr>
      <w:r w:rsidRPr="004A73C1">
        <w:rPr>
          <w:rFonts w:ascii="Arial" w:hAnsi="Arial" w:cs="Arial"/>
        </w:rPr>
        <w:t xml:space="preserve">To review and analyse existing literature to understand the current state of knowledge on a topic, </w:t>
      </w:r>
      <w:r w:rsidR="00E11EFD" w:rsidRPr="004A73C1">
        <w:rPr>
          <w:rFonts w:ascii="Arial" w:hAnsi="Arial" w:cs="Arial"/>
        </w:rPr>
        <w:t>we</w:t>
      </w:r>
      <w:r w:rsidRPr="004A73C1">
        <w:rPr>
          <w:rFonts w:ascii="Arial" w:hAnsi="Arial" w:cs="Arial"/>
        </w:rPr>
        <w:t xml:space="preserve"> can comprehensively search academic databases, journals, and credible online resources relevant to </w:t>
      </w:r>
      <w:r w:rsidR="00B90250" w:rsidRPr="004A73C1">
        <w:rPr>
          <w:rFonts w:ascii="Arial" w:hAnsi="Arial" w:cs="Arial"/>
        </w:rPr>
        <w:t>my</w:t>
      </w:r>
      <w:r w:rsidRPr="004A73C1">
        <w:rPr>
          <w:rFonts w:ascii="Arial" w:hAnsi="Arial" w:cs="Arial"/>
        </w:rPr>
        <w:t xml:space="preserve"> subject matter. </w:t>
      </w:r>
      <w:r w:rsidR="00E11EFD" w:rsidRPr="004A73C1">
        <w:rPr>
          <w:rFonts w:ascii="Arial" w:hAnsi="Arial" w:cs="Arial"/>
        </w:rPr>
        <w:t>we</w:t>
      </w:r>
      <w:r w:rsidR="00B90250" w:rsidRPr="004A73C1">
        <w:rPr>
          <w:rFonts w:ascii="Arial" w:hAnsi="Arial" w:cs="Arial"/>
        </w:rPr>
        <w:t xml:space="preserve"> can use </w:t>
      </w:r>
      <w:r w:rsidR="007D4E14" w:rsidRPr="004A73C1">
        <w:rPr>
          <w:rFonts w:ascii="Arial" w:hAnsi="Arial" w:cs="Arial"/>
        </w:rPr>
        <w:t>appropriate</w:t>
      </w:r>
      <w:r w:rsidR="00B90250" w:rsidRPr="004A73C1">
        <w:rPr>
          <w:rFonts w:ascii="Arial" w:hAnsi="Arial" w:cs="Arial"/>
        </w:rPr>
        <w:t xml:space="preserve"> keywords and phrases to narrow the search results to the most pertinent literature (Bell, J. 1999).</w:t>
      </w:r>
    </w:p>
    <w:p w14:paraId="009F5449" w14:textId="13491EF3" w:rsidR="00317BCF" w:rsidRPr="004A73C1" w:rsidRDefault="00317BCF" w:rsidP="00EF2E34">
      <w:pPr>
        <w:spacing w:after="0" w:line="360" w:lineRule="auto"/>
        <w:jc w:val="both"/>
        <w:rPr>
          <w:rFonts w:ascii="Arial" w:hAnsi="Arial" w:cs="Arial"/>
        </w:rPr>
      </w:pPr>
      <w:r w:rsidRPr="004A73C1">
        <w:rPr>
          <w:rFonts w:ascii="Arial" w:hAnsi="Arial" w:cs="Arial"/>
        </w:rPr>
        <w:t xml:space="preserve">Once </w:t>
      </w:r>
      <w:r w:rsidR="00E11EFD" w:rsidRPr="004A73C1">
        <w:rPr>
          <w:rFonts w:ascii="Arial" w:hAnsi="Arial" w:cs="Arial"/>
        </w:rPr>
        <w:t>we</w:t>
      </w:r>
      <w:r w:rsidRPr="004A73C1">
        <w:rPr>
          <w:rFonts w:ascii="Arial" w:hAnsi="Arial" w:cs="Arial"/>
        </w:rPr>
        <w:t xml:space="preserve"> have compiled a collection of relevant sources, </w:t>
      </w:r>
      <w:r w:rsidR="00E11EFD" w:rsidRPr="004A73C1">
        <w:rPr>
          <w:rFonts w:ascii="Arial" w:hAnsi="Arial" w:cs="Arial"/>
        </w:rPr>
        <w:t>we</w:t>
      </w:r>
      <w:r w:rsidR="00B90250" w:rsidRPr="004A73C1">
        <w:rPr>
          <w:rFonts w:ascii="Arial" w:hAnsi="Arial" w:cs="Arial"/>
        </w:rPr>
        <w:t xml:space="preserve"> assess the quality and relevance of each source to ensure that it is credible and authoritative. </w:t>
      </w:r>
      <w:r w:rsidR="00E11EFD" w:rsidRPr="004A73C1">
        <w:rPr>
          <w:rFonts w:ascii="Arial" w:hAnsi="Arial" w:cs="Arial"/>
        </w:rPr>
        <w:t>we</w:t>
      </w:r>
      <w:r w:rsidR="00B90250" w:rsidRPr="004A73C1">
        <w:rPr>
          <w:rFonts w:ascii="Arial" w:hAnsi="Arial" w:cs="Arial"/>
        </w:rPr>
        <w:t xml:space="preserve"> also note</w:t>
      </w:r>
      <w:r w:rsidRPr="004A73C1">
        <w:rPr>
          <w:rFonts w:ascii="Arial" w:hAnsi="Arial" w:cs="Arial"/>
        </w:rPr>
        <w:t xml:space="preserve"> key findings, methodologies, and theoretical frameworks in the literature.</w:t>
      </w:r>
    </w:p>
    <w:p w14:paraId="7B711616" w14:textId="5F2DD104" w:rsidR="00317BCF" w:rsidRPr="004A73C1" w:rsidRDefault="00317BCF" w:rsidP="00EF2E34">
      <w:pPr>
        <w:spacing w:after="0" w:line="360" w:lineRule="auto"/>
        <w:jc w:val="both"/>
        <w:rPr>
          <w:rFonts w:ascii="Arial" w:hAnsi="Arial" w:cs="Arial"/>
        </w:rPr>
      </w:pPr>
      <w:r w:rsidRPr="004A73C1">
        <w:rPr>
          <w:rFonts w:ascii="Arial" w:hAnsi="Arial" w:cs="Arial"/>
        </w:rPr>
        <w:t xml:space="preserve">It's also </w:t>
      </w:r>
      <w:r w:rsidR="007D4E14" w:rsidRPr="004A73C1">
        <w:rPr>
          <w:rFonts w:ascii="Arial" w:hAnsi="Arial" w:cs="Arial"/>
        </w:rPr>
        <w:t>essential</w:t>
      </w:r>
      <w:r w:rsidRPr="004A73C1">
        <w:rPr>
          <w:rFonts w:ascii="Arial" w:hAnsi="Arial" w:cs="Arial"/>
        </w:rPr>
        <w:t xml:space="preserve"> to identify </w:t>
      </w:r>
      <w:r w:rsidR="00B90250" w:rsidRPr="004A73C1">
        <w:rPr>
          <w:rFonts w:ascii="Arial" w:hAnsi="Arial" w:cs="Arial"/>
        </w:rPr>
        <w:t>gaps or</w:t>
      </w:r>
      <w:r w:rsidRPr="004A73C1">
        <w:rPr>
          <w:rFonts w:ascii="Arial" w:hAnsi="Arial" w:cs="Arial"/>
        </w:rPr>
        <w:t xml:space="preserve"> </w:t>
      </w:r>
      <w:r w:rsidR="00B90250" w:rsidRPr="004A73C1">
        <w:rPr>
          <w:rFonts w:ascii="Arial" w:hAnsi="Arial" w:cs="Arial"/>
        </w:rPr>
        <w:t>disagreements within the literature. This can help pinpoint where further research or analysis is needed to advance</w:t>
      </w:r>
      <w:r w:rsidRPr="004A73C1">
        <w:rPr>
          <w:rFonts w:ascii="Arial" w:hAnsi="Arial" w:cs="Arial"/>
        </w:rPr>
        <w:t xml:space="preserve"> understanding of the topic.</w:t>
      </w:r>
    </w:p>
    <w:p w14:paraId="3C693238" w14:textId="77777777" w:rsidR="00317BCF" w:rsidRPr="004A73C1" w:rsidRDefault="00317BCF" w:rsidP="00EF2E34">
      <w:pPr>
        <w:spacing w:after="0" w:line="360" w:lineRule="auto"/>
        <w:jc w:val="both"/>
        <w:rPr>
          <w:rFonts w:ascii="Arial" w:hAnsi="Arial" w:cs="Arial"/>
        </w:rPr>
      </w:pPr>
    </w:p>
    <w:p w14:paraId="2AB866D6" w14:textId="1202E1C4" w:rsidR="00317BCF" w:rsidRDefault="00317BCF" w:rsidP="00EF2E34">
      <w:pPr>
        <w:spacing w:after="0" w:line="360" w:lineRule="auto"/>
        <w:jc w:val="both"/>
        <w:rPr>
          <w:rFonts w:ascii="Arial" w:hAnsi="Arial" w:cs="Arial"/>
        </w:rPr>
      </w:pPr>
      <w:r w:rsidRPr="004A73C1">
        <w:rPr>
          <w:rFonts w:ascii="Arial" w:hAnsi="Arial" w:cs="Arial"/>
        </w:rPr>
        <w:t xml:space="preserve">By critically evaluating and synthesising existing literature, </w:t>
      </w:r>
      <w:r w:rsidR="00E11EFD" w:rsidRPr="004A73C1">
        <w:rPr>
          <w:rFonts w:ascii="Arial" w:hAnsi="Arial" w:cs="Arial"/>
        </w:rPr>
        <w:t>we can</w:t>
      </w:r>
      <w:r w:rsidRPr="004A73C1">
        <w:rPr>
          <w:rFonts w:ascii="Arial" w:hAnsi="Arial" w:cs="Arial"/>
        </w:rPr>
        <w:t xml:space="preserve"> gain valuable insights into the current state of knowledge on the topic, providing a solid foundation for </w:t>
      </w:r>
      <w:r w:rsidR="00B90250" w:rsidRPr="004A73C1">
        <w:rPr>
          <w:rFonts w:ascii="Arial" w:hAnsi="Arial" w:cs="Arial"/>
        </w:rPr>
        <w:t>my</w:t>
      </w:r>
      <w:r w:rsidRPr="004A73C1">
        <w:rPr>
          <w:rFonts w:ascii="Arial" w:hAnsi="Arial" w:cs="Arial"/>
        </w:rPr>
        <w:t xml:space="preserve"> research or analysis.</w:t>
      </w:r>
    </w:p>
    <w:p w14:paraId="5AF7199F" w14:textId="77777777" w:rsidR="00ED3916" w:rsidRPr="004A73C1" w:rsidRDefault="00ED3916" w:rsidP="00EF2E34">
      <w:pPr>
        <w:spacing w:after="0" w:line="360" w:lineRule="auto"/>
        <w:jc w:val="both"/>
        <w:rPr>
          <w:rFonts w:ascii="Arial" w:hAnsi="Arial" w:cs="Arial"/>
        </w:rPr>
      </w:pPr>
    </w:p>
    <w:p w14:paraId="6C96407A" w14:textId="77777777" w:rsidR="00CE2452" w:rsidRPr="004A73C1" w:rsidRDefault="00CE2452" w:rsidP="00EF2E34">
      <w:pPr>
        <w:spacing w:after="0" w:line="360" w:lineRule="auto"/>
        <w:jc w:val="both"/>
        <w:rPr>
          <w:rFonts w:ascii="Arial" w:hAnsi="Arial" w:cs="Arial"/>
        </w:rPr>
      </w:pPr>
    </w:p>
    <w:p w14:paraId="7F4DE712" w14:textId="7FC2CD6B" w:rsidR="00317BCF" w:rsidRPr="004A73C1" w:rsidRDefault="00317BCF" w:rsidP="00EF2E34">
      <w:pPr>
        <w:spacing w:line="360" w:lineRule="auto"/>
        <w:jc w:val="both"/>
        <w:rPr>
          <w:rFonts w:ascii="Arial" w:hAnsi="Arial" w:cs="Arial"/>
          <w:b/>
          <w:bCs/>
        </w:rPr>
      </w:pPr>
      <w:r w:rsidRPr="004A73C1">
        <w:rPr>
          <w:rFonts w:ascii="Arial" w:hAnsi="Arial" w:cs="Arial"/>
          <w:b/>
          <w:bCs/>
        </w:rPr>
        <w:lastRenderedPageBreak/>
        <w:t xml:space="preserve">Formulating </w:t>
      </w:r>
      <w:r w:rsidR="00A704B7" w:rsidRPr="004A73C1">
        <w:rPr>
          <w:rFonts w:ascii="Arial" w:hAnsi="Arial" w:cs="Arial"/>
          <w:b/>
          <w:bCs/>
        </w:rPr>
        <w:t xml:space="preserve">A Specific Research Question </w:t>
      </w:r>
      <w:proofErr w:type="gramStart"/>
      <w:r w:rsidR="00A704B7" w:rsidRPr="004A73C1">
        <w:rPr>
          <w:rFonts w:ascii="Arial" w:hAnsi="Arial" w:cs="Arial"/>
          <w:b/>
          <w:bCs/>
        </w:rPr>
        <w:t>Or</w:t>
      </w:r>
      <w:proofErr w:type="gramEnd"/>
      <w:r w:rsidR="00A704B7" w:rsidRPr="004A73C1">
        <w:rPr>
          <w:rFonts w:ascii="Arial" w:hAnsi="Arial" w:cs="Arial"/>
          <w:b/>
          <w:bCs/>
        </w:rPr>
        <w:t xml:space="preserve"> Hypothesis To Address The Problem.</w:t>
      </w:r>
    </w:p>
    <w:p w14:paraId="6AA69ABE" w14:textId="0D8FFD32" w:rsidR="00317BCF" w:rsidRPr="004A73C1" w:rsidRDefault="00317BCF" w:rsidP="00EF2E34">
      <w:pPr>
        <w:spacing w:after="0" w:line="360" w:lineRule="auto"/>
        <w:jc w:val="both"/>
        <w:rPr>
          <w:rFonts w:ascii="Arial" w:hAnsi="Arial" w:cs="Arial"/>
        </w:rPr>
      </w:pPr>
      <w:r w:rsidRPr="004A73C1">
        <w:rPr>
          <w:rFonts w:ascii="Arial" w:hAnsi="Arial" w:cs="Arial"/>
        </w:rPr>
        <w:t xml:space="preserve">When formulating a specific research question or hypothesis to address a problem, </w:t>
      </w:r>
      <w:r w:rsidR="00E11EFD" w:rsidRPr="004A73C1">
        <w:rPr>
          <w:rFonts w:ascii="Arial" w:hAnsi="Arial" w:cs="Arial"/>
        </w:rPr>
        <w:t>it</w:t>
      </w:r>
      <w:r w:rsidR="00B90250" w:rsidRPr="004A73C1">
        <w:rPr>
          <w:rFonts w:ascii="Arial" w:hAnsi="Arial" w:cs="Arial"/>
        </w:rPr>
        <w:t xml:space="preserve"> must clearly define the problem </w:t>
      </w:r>
      <w:r w:rsidR="00E11EFD" w:rsidRPr="004A73C1">
        <w:rPr>
          <w:rFonts w:ascii="Arial" w:hAnsi="Arial" w:cs="Arial"/>
        </w:rPr>
        <w:t>we</w:t>
      </w:r>
      <w:r w:rsidR="00B90250" w:rsidRPr="004A73C1">
        <w:rPr>
          <w:rFonts w:ascii="Arial" w:hAnsi="Arial" w:cs="Arial"/>
        </w:rPr>
        <w:t xml:space="preserve"> </w:t>
      </w:r>
      <w:r w:rsidR="00E11EFD" w:rsidRPr="004A73C1">
        <w:rPr>
          <w:rFonts w:ascii="Arial" w:hAnsi="Arial" w:cs="Arial"/>
        </w:rPr>
        <w:t>are</w:t>
      </w:r>
      <w:r w:rsidR="00B90250" w:rsidRPr="004A73C1">
        <w:rPr>
          <w:rFonts w:ascii="Arial" w:hAnsi="Arial" w:cs="Arial"/>
        </w:rPr>
        <w:t xml:space="preserve"> trying to solve</w:t>
      </w:r>
      <w:r w:rsidRPr="004A73C1">
        <w:rPr>
          <w:rFonts w:ascii="Arial" w:hAnsi="Arial" w:cs="Arial"/>
        </w:rPr>
        <w:t xml:space="preserve">. Then, consider what </w:t>
      </w:r>
      <w:r w:rsidR="00E11EFD" w:rsidRPr="004A73C1">
        <w:rPr>
          <w:rFonts w:ascii="Arial" w:hAnsi="Arial" w:cs="Arial"/>
        </w:rPr>
        <w:t>we</w:t>
      </w:r>
      <w:r w:rsidRPr="004A73C1">
        <w:rPr>
          <w:rFonts w:ascii="Arial" w:hAnsi="Arial" w:cs="Arial"/>
        </w:rPr>
        <w:t xml:space="preserve"> want to achieve through </w:t>
      </w:r>
      <w:r w:rsidR="00E11EFD" w:rsidRPr="004A73C1">
        <w:rPr>
          <w:rFonts w:ascii="Arial" w:hAnsi="Arial" w:cs="Arial"/>
        </w:rPr>
        <w:t>our</w:t>
      </w:r>
      <w:r w:rsidRPr="004A73C1">
        <w:rPr>
          <w:rFonts w:ascii="Arial" w:hAnsi="Arial" w:cs="Arial"/>
        </w:rPr>
        <w:t xml:space="preserve"> research and what specific aspect of the problem </w:t>
      </w:r>
      <w:r w:rsidR="00E11EFD" w:rsidRPr="004A73C1">
        <w:rPr>
          <w:rFonts w:ascii="Arial" w:hAnsi="Arial" w:cs="Arial"/>
        </w:rPr>
        <w:t>we</w:t>
      </w:r>
      <w:r w:rsidRPr="004A73C1">
        <w:rPr>
          <w:rFonts w:ascii="Arial" w:hAnsi="Arial" w:cs="Arial"/>
        </w:rPr>
        <w:t xml:space="preserve"> want to investigate. Once</w:t>
      </w:r>
      <w:r w:rsidR="00E11EFD" w:rsidRPr="004A73C1">
        <w:rPr>
          <w:rFonts w:ascii="Arial" w:hAnsi="Arial" w:cs="Arial"/>
        </w:rPr>
        <w:t xml:space="preserve"> we</w:t>
      </w:r>
      <w:r w:rsidRPr="004A73C1">
        <w:rPr>
          <w:rFonts w:ascii="Arial" w:hAnsi="Arial" w:cs="Arial"/>
        </w:rPr>
        <w:t xml:space="preserve"> have a clear understanding of the problem, </w:t>
      </w:r>
      <w:r w:rsidR="00E11EFD" w:rsidRPr="004A73C1">
        <w:rPr>
          <w:rFonts w:ascii="Arial" w:hAnsi="Arial" w:cs="Arial"/>
        </w:rPr>
        <w:t>we</w:t>
      </w:r>
      <w:r w:rsidRPr="004A73C1">
        <w:rPr>
          <w:rFonts w:ascii="Arial" w:hAnsi="Arial" w:cs="Arial"/>
        </w:rPr>
        <w:t xml:space="preserve"> can then formulate a research question that is specific, focused, and can be addressed through research. Alternatively, </w:t>
      </w:r>
      <w:r w:rsidR="00E11EFD" w:rsidRPr="004A73C1">
        <w:rPr>
          <w:rFonts w:ascii="Arial" w:hAnsi="Arial" w:cs="Arial"/>
        </w:rPr>
        <w:t>we</w:t>
      </w:r>
      <w:r w:rsidRPr="004A73C1">
        <w:rPr>
          <w:rFonts w:ascii="Arial" w:hAnsi="Arial" w:cs="Arial"/>
        </w:rPr>
        <w:t xml:space="preserve"> can develop a hypothesis, a testable prediction about the relationship between variables. This process involves </w:t>
      </w:r>
      <w:r w:rsidR="00B90250" w:rsidRPr="004A73C1">
        <w:rPr>
          <w:rFonts w:ascii="Arial" w:hAnsi="Arial" w:cs="Arial"/>
        </w:rPr>
        <w:t xml:space="preserve">carefully considering and reviewing existing literature to ensure my research question or hypothesis is </w:t>
      </w:r>
      <w:r w:rsidRPr="004A73C1">
        <w:rPr>
          <w:rFonts w:ascii="Arial" w:hAnsi="Arial" w:cs="Arial"/>
        </w:rPr>
        <w:t>relevant and valuable.</w:t>
      </w:r>
    </w:p>
    <w:p w14:paraId="148B58F2" w14:textId="7353D088" w:rsidR="00317BCF" w:rsidRPr="004A73C1" w:rsidRDefault="00317BCF" w:rsidP="00EF2E34">
      <w:pPr>
        <w:spacing w:line="360" w:lineRule="auto"/>
        <w:jc w:val="both"/>
        <w:rPr>
          <w:rFonts w:ascii="Arial" w:hAnsi="Arial" w:cs="Arial"/>
          <w:b/>
          <w:bCs/>
        </w:rPr>
      </w:pPr>
      <w:r w:rsidRPr="004A73C1">
        <w:rPr>
          <w:rFonts w:ascii="Arial" w:hAnsi="Arial" w:cs="Arial"/>
          <w:b/>
          <w:bCs/>
        </w:rPr>
        <w:t xml:space="preserve">Designing </w:t>
      </w:r>
      <w:r w:rsidR="00A704B7" w:rsidRPr="004A73C1">
        <w:rPr>
          <w:rFonts w:ascii="Arial" w:hAnsi="Arial" w:cs="Arial"/>
          <w:b/>
          <w:bCs/>
        </w:rPr>
        <w:t xml:space="preserve">A Detailed Research Methodology That Outlines </w:t>
      </w:r>
      <w:proofErr w:type="gramStart"/>
      <w:r w:rsidR="00A704B7" w:rsidRPr="004A73C1">
        <w:rPr>
          <w:rFonts w:ascii="Arial" w:hAnsi="Arial" w:cs="Arial"/>
          <w:b/>
          <w:bCs/>
        </w:rPr>
        <w:t>The</w:t>
      </w:r>
      <w:proofErr w:type="gramEnd"/>
      <w:r w:rsidR="00A704B7" w:rsidRPr="004A73C1">
        <w:rPr>
          <w:rFonts w:ascii="Arial" w:hAnsi="Arial" w:cs="Arial"/>
          <w:b/>
          <w:bCs/>
        </w:rPr>
        <w:t xml:space="preserve"> Approach, Data Collection Methods, And Analysis Techniques.</w:t>
      </w:r>
    </w:p>
    <w:p w14:paraId="40E0014C" w14:textId="6A847EB4" w:rsidR="00317BCF" w:rsidRPr="004A73C1" w:rsidRDefault="00B90250" w:rsidP="00EF2E34">
      <w:pPr>
        <w:spacing w:after="0" w:line="360" w:lineRule="auto"/>
        <w:jc w:val="both"/>
        <w:rPr>
          <w:rFonts w:ascii="Arial" w:hAnsi="Arial" w:cs="Arial"/>
        </w:rPr>
      </w:pPr>
      <w:r w:rsidRPr="004A73C1">
        <w:rPr>
          <w:rFonts w:ascii="Arial" w:hAnsi="Arial" w:cs="Arial"/>
        </w:rPr>
        <w:t>Formulating</w:t>
      </w:r>
      <w:r w:rsidR="00317BCF" w:rsidRPr="004A73C1">
        <w:rPr>
          <w:rFonts w:ascii="Arial" w:hAnsi="Arial" w:cs="Arial"/>
        </w:rPr>
        <w:t xml:space="preserve"> a detailed research methodology is akin to architecting a precise blueprint for the entire research process. This intricate framework meticulously maps out the strategic approach that will be adopted, carefully selects the methods for data collection, and outlines the comprehensive array of analytical techniques that will be deployed. Each </w:t>
      </w:r>
      <w:r w:rsidRPr="004A73C1">
        <w:rPr>
          <w:rFonts w:ascii="Arial" w:hAnsi="Arial" w:cs="Arial"/>
        </w:rPr>
        <w:t>methodology component</w:t>
      </w:r>
      <w:r w:rsidR="00317BCF" w:rsidRPr="004A73C1">
        <w:rPr>
          <w:rFonts w:ascii="Arial" w:hAnsi="Arial" w:cs="Arial"/>
        </w:rPr>
        <w:t xml:space="preserve">, from defining the research questions to specifying the sources of data and delineating the intricacies of the analysis, is painstakingly crafted to ensure that every aspect of the research is conducted with transparency and rigour. This structured approach </w:t>
      </w:r>
      <w:r w:rsidRPr="004A73C1">
        <w:rPr>
          <w:rFonts w:ascii="Arial" w:hAnsi="Arial" w:cs="Arial"/>
        </w:rPr>
        <w:t>is</w:t>
      </w:r>
      <w:r w:rsidR="00317BCF" w:rsidRPr="004A73C1">
        <w:rPr>
          <w:rFonts w:ascii="Arial" w:hAnsi="Arial" w:cs="Arial"/>
        </w:rPr>
        <w:t xml:space="preserve"> a cornerstone in fostering the reliability and validity of the research outcomes.</w:t>
      </w:r>
    </w:p>
    <w:p w14:paraId="6C9EA217" w14:textId="5F0A553A" w:rsidR="00317BCF" w:rsidRPr="004A73C1" w:rsidRDefault="00317BCF" w:rsidP="00EF2E34">
      <w:pPr>
        <w:spacing w:line="360" w:lineRule="auto"/>
        <w:jc w:val="both"/>
        <w:rPr>
          <w:rFonts w:ascii="Arial" w:hAnsi="Arial" w:cs="Arial"/>
          <w:b/>
          <w:bCs/>
        </w:rPr>
      </w:pPr>
      <w:r w:rsidRPr="004A73C1">
        <w:rPr>
          <w:rFonts w:ascii="Arial" w:hAnsi="Arial" w:cs="Arial"/>
          <w:b/>
          <w:bCs/>
        </w:rPr>
        <w:t xml:space="preserve">Collecting </w:t>
      </w:r>
      <w:r w:rsidR="00A704B7" w:rsidRPr="004A73C1">
        <w:rPr>
          <w:rFonts w:ascii="Arial" w:hAnsi="Arial" w:cs="Arial"/>
          <w:b/>
          <w:bCs/>
        </w:rPr>
        <w:t xml:space="preserve">And Analysing Data Using Appropriate Methods </w:t>
      </w:r>
      <w:proofErr w:type="gramStart"/>
      <w:r w:rsidR="00A704B7" w:rsidRPr="004A73C1">
        <w:rPr>
          <w:rFonts w:ascii="Arial" w:hAnsi="Arial" w:cs="Arial"/>
          <w:b/>
          <w:bCs/>
        </w:rPr>
        <w:t>To</w:t>
      </w:r>
      <w:proofErr w:type="gramEnd"/>
      <w:r w:rsidR="00A704B7" w:rsidRPr="004A73C1">
        <w:rPr>
          <w:rFonts w:ascii="Arial" w:hAnsi="Arial" w:cs="Arial"/>
          <w:b/>
          <w:bCs/>
        </w:rPr>
        <w:t xml:space="preserve"> Derive Meaningful Insights.</w:t>
      </w:r>
    </w:p>
    <w:p w14:paraId="1CBD3243" w14:textId="2828030D" w:rsidR="00317BCF" w:rsidRPr="004A73C1" w:rsidRDefault="00317BCF" w:rsidP="00EF2E34">
      <w:pPr>
        <w:spacing w:after="0" w:line="360" w:lineRule="auto"/>
        <w:jc w:val="both"/>
        <w:rPr>
          <w:rFonts w:ascii="Arial" w:hAnsi="Arial" w:cs="Arial"/>
        </w:rPr>
      </w:pPr>
      <w:r w:rsidRPr="004A73C1">
        <w:rPr>
          <w:rFonts w:ascii="Arial" w:hAnsi="Arial" w:cs="Arial"/>
        </w:rPr>
        <w:t xml:space="preserve">To collect and </w:t>
      </w:r>
      <w:r w:rsidR="00B90250" w:rsidRPr="004A73C1">
        <w:rPr>
          <w:rFonts w:ascii="Arial" w:hAnsi="Arial" w:cs="Arial"/>
        </w:rPr>
        <w:t>analyse</w:t>
      </w:r>
      <w:r w:rsidRPr="004A73C1">
        <w:rPr>
          <w:rFonts w:ascii="Arial" w:hAnsi="Arial" w:cs="Arial"/>
        </w:rPr>
        <w:t xml:space="preserve"> data using appropriate methods to derive meaningful insights, </w:t>
      </w:r>
      <w:r w:rsidR="00E11EFD" w:rsidRPr="004A73C1">
        <w:rPr>
          <w:rFonts w:ascii="Arial" w:hAnsi="Arial" w:cs="Arial"/>
        </w:rPr>
        <w:t>we</w:t>
      </w:r>
      <w:r w:rsidRPr="004A73C1">
        <w:rPr>
          <w:rFonts w:ascii="Arial" w:hAnsi="Arial" w:cs="Arial"/>
        </w:rPr>
        <w:t xml:space="preserve"> can start by clearly defining </w:t>
      </w:r>
      <w:r w:rsidR="00B90250" w:rsidRPr="004A73C1">
        <w:rPr>
          <w:rFonts w:ascii="Arial" w:hAnsi="Arial" w:cs="Arial"/>
        </w:rPr>
        <w:t>my</w:t>
      </w:r>
      <w:r w:rsidRPr="004A73C1">
        <w:rPr>
          <w:rFonts w:ascii="Arial" w:hAnsi="Arial" w:cs="Arial"/>
        </w:rPr>
        <w:t xml:space="preserve"> research question or objective. Then, </w:t>
      </w:r>
      <w:r w:rsidR="00E11EFD" w:rsidRPr="004A73C1">
        <w:rPr>
          <w:rFonts w:ascii="Arial" w:hAnsi="Arial" w:cs="Arial"/>
        </w:rPr>
        <w:t>we</w:t>
      </w:r>
      <w:r w:rsidR="00B90250" w:rsidRPr="004A73C1">
        <w:rPr>
          <w:rFonts w:ascii="Arial" w:hAnsi="Arial" w:cs="Arial"/>
        </w:rPr>
        <w:t xml:space="preserve"> can identify the data sources relevant to my research question and gather the data using appropriate methods such as surveys, interviews, or </w:t>
      </w:r>
      <w:r w:rsidRPr="004A73C1">
        <w:rPr>
          <w:rFonts w:ascii="Arial" w:hAnsi="Arial" w:cs="Arial"/>
        </w:rPr>
        <w:t>existing databases.</w:t>
      </w:r>
    </w:p>
    <w:p w14:paraId="213DE904" w14:textId="77777777" w:rsidR="00317BCF" w:rsidRPr="004A73C1" w:rsidRDefault="00317BCF" w:rsidP="00EF2E34">
      <w:pPr>
        <w:spacing w:after="0" w:line="360" w:lineRule="auto"/>
        <w:jc w:val="both"/>
        <w:rPr>
          <w:rFonts w:ascii="Arial" w:hAnsi="Arial" w:cs="Arial"/>
        </w:rPr>
      </w:pPr>
    </w:p>
    <w:p w14:paraId="5F210C87" w14:textId="405E5724" w:rsidR="00317BCF" w:rsidRPr="004A73C1" w:rsidRDefault="00317BCF" w:rsidP="00EF2E34">
      <w:pPr>
        <w:spacing w:after="0" w:line="360" w:lineRule="auto"/>
        <w:jc w:val="both"/>
        <w:rPr>
          <w:rFonts w:ascii="Arial" w:hAnsi="Arial" w:cs="Arial"/>
        </w:rPr>
      </w:pPr>
      <w:r w:rsidRPr="004A73C1">
        <w:rPr>
          <w:rFonts w:ascii="Arial" w:hAnsi="Arial" w:cs="Arial"/>
        </w:rPr>
        <w:t xml:space="preserve">Once the data is collected, </w:t>
      </w:r>
      <w:r w:rsidR="00E11EFD" w:rsidRPr="004A73C1">
        <w:rPr>
          <w:rFonts w:ascii="Arial" w:hAnsi="Arial" w:cs="Arial"/>
        </w:rPr>
        <w:t>the analysis can begin</w:t>
      </w:r>
      <w:r w:rsidRPr="004A73C1">
        <w:rPr>
          <w:rFonts w:ascii="Arial" w:hAnsi="Arial" w:cs="Arial"/>
        </w:rPr>
        <w:t xml:space="preserve"> by cleaning it to ensure accuracy and consistency. Then, select the appropriate analytical methods, such as statistical analysis, data mining, or </w:t>
      </w:r>
      <w:r w:rsidR="00B90250" w:rsidRPr="004A73C1">
        <w:rPr>
          <w:rFonts w:ascii="Arial" w:hAnsi="Arial" w:cs="Arial"/>
        </w:rPr>
        <w:t>visualisation</w:t>
      </w:r>
      <w:r w:rsidRPr="004A73C1">
        <w:rPr>
          <w:rFonts w:ascii="Arial" w:hAnsi="Arial" w:cs="Arial"/>
        </w:rPr>
        <w:t xml:space="preserve"> techniques, to derive meaningful insights from the data.</w:t>
      </w:r>
    </w:p>
    <w:p w14:paraId="11EA7B3A" w14:textId="77777777" w:rsidR="00317BCF" w:rsidRPr="004A73C1" w:rsidRDefault="00317BCF" w:rsidP="00EF2E34">
      <w:pPr>
        <w:spacing w:after="0" w:line="360" w:lineRule="auto"/>
        <w:jc w:val="both"/>
        <w:rPr>
          <w:rFonts w:ascii="Arial" w:hAnsi="Arial" w:cs="Arial"/>
        </w:rPr>
      </w:pPr>
    </w:p>
    <w:p w14:paraId="6B860DED" w14:textId="6EE396D0" w:rsidR="00317BCF" w:rsidRDefault="00317BCF" w:rsidP="00EF2E34">
      <w:pPr>
        <w:spacing w:after="0" w:line="360" w:lineRule="auto"/>
        <w:jc w:val="both"/>
        <w:rPr>
          <w:rFonts w:ascii="Arial" w:hAnsi="Arial" w:cs="Arial"/>
        </w:rPr>
      </w:pPr>
      <w:r w:rsidRPr="004A73C1">
        <w:rPr>
          <w:rFonts w:ascii="Arial" w:hAnsi="Arial" w:cs="Arial"/>
        </w:rPr>
        <w:t xml:space="preserve">Throughout the process, it's </w:t>
      </w:r>
      <w:r w:rsidR="00B90250" w:rsidRPr="004A73C1">
        <w:rPr>
          <w:rFonts w:ascii="Arial" w:hAnsi="Arial" w:cs="Arial"/>
        </w:rPr>
        <w:t>essential</w:t>
      </w:r>
      <w:r w:rsidRPr="004A73C1">
        <w:rPr>
          <w:rFonts w:ascii="Arial" w:hAnsi="Arial" w:cs="Arial"/>
        </w:rPr>
        <w:t xml:space="preserve"> to maintain the integrity and confidentiality of the data and ensure that the analysis is conducted ethically. Finally, </w:t>
      </w:r>
      <w:r w:rsidR="00E11EFD" w:rsidRPr="004A73C1">
        <w:rPr>
          <w:rFonts w:ascii="Arial" w:hAnsi="Arial" w:cs="Arial"/>
        </w:rPr>
        <w:t>it</w:t>
      </w:r>
      <w:r w:rsidR="00B90250" w:rsidRPr="004A73C1">
        <w:rPr>
          <w:rFonts w:ascii="Arial" w:hAnsi="Arial" w:cs="Arial"/>
        </w:rPr>
        <w:t xml:space="preserve"> </w:t>
      </w:r>
      <w:r w:rsidR="00E11EFD" w:rsidRPr="004A73C1">
        <w:rPr>
          <w:rFonts w:ascii="Arial" w:hAnsi="Arial" w:cs="Arial"/>
        </w:rPr>
        <w:t>communicates</w:t>
      </w:r>
      <w:r w:rsidRPr="004A73C1">
        <w:rPr>
          <w:rFonts w:ascii="Arial" w:hAnsi="Arial" w:cs="Arial"/>
        </w:rPr>
        <w:t xml:space="preserve"> </w:t>
      </w:r>
      <w:r w:rsidR="00E11EFD" w:rsidRPr="004A73C1">
        <w:rPr>
          <w:rFonts w:ascii="Arial" w:hAnsi="Arial" w:cs="Arial"/>
        </w:rPr>
        <w:t>the</w:t>
      </w:r>
      <w:r w:rsidRPr="004A73C1">
        <w:rPr>
          <w:rFonts w:ascii="Arial" w:hAnsi="Arial" w:cs="Arial"/>
        </w:rPr>
        <w:t xml:space="preserve"> findings effectively to stakeholders and decision-makers to drive informed decision-making.</w:t>
      </w:r>
    </w:p>
    <w:p w14:paraId="10D11D3C" w14:textId="358A3A35" w:rsidR="00317BCF" w:rsidRPr="004A73C1" w:rsidRDefault="00A704B7" w:rsidP="00EF2E34">
      <w:pPr>
        <w:spacing w:line="360" w:lineRule="auto"/>
        <w:jc w:val="both"/>
        <w:rPr>
          <w:rFonts w:ascii="Arial" w:hAnsi="Arial" w:cs="Arial"/>
          <w:b/>
          <w:bCs/>
        </w:rPr>
      </w:pPr>
      <w:r w:rsidRPr="004A73C1">
        <w:rPr>
          <w:rFonts w:ascii="Arial" w:hAnsi="Arial" w:cs="Arial"/>
          <w:b/>
          <w:bCs/>
        </w:rPr>
        <w:t>Drawing</w:t>
      </w:r>
      <w:r w:rsidR="00317BCF" w:rsidRPr="004A73C1">
        <w:rPr>
          <w:rFonts w:ascii="Arial" w:hAnsi="Arial" w:cs="Arial"/>
          <w:b/>
          <w:bCs/>
        </w:rPr>
        <w:t xml:space="preserve"> </w:t>
      </w:r>
      <w:r w:rsidRPr="004A73C1">
        <w:rPr>
          <w:rFonts w:ascii="Arial" w:hAnsi="Arial" w:cs="Arial"/>
          <w:b/>
          <w:bCs/>
        </w:rPr>
        <w:t xml:space="preserve">Conclusions Based </w:t>
      </w:r>
      <w:proofErr w:type="gramStart"/>
      <w:r w:rsidRPr="004A73C1">
        <w:rPr>
          <w:rFonts w:ascii="Arial" w:hAnsi="Arial" w:cs="Arial"/>
          <w:b/>
          <w:bCs/>
        </w:rPr>
        <w:t>On</w:t>
      </w:r>
      <w:proofErr w:type="gramEnd"/>
      <w:r w:rsidRPr="004A73C1">
        <w:rPr>
          <w:rFonts w:ascii="Arial" w:hAnsi="Arial" w:cs="Arial"/>
          <w:b/>
          <w:bCs/>
        </w:rPr>
        <w:t xml:space="preserve"> The Analysis And Discussing The Implications Of The Findings.</w:t>
      </w:r>
    </w:p>
    <w:p w14:paraId="415B3C12" w14:textId="6A4F8CF1" w:rsidR="00317BCF" w:rsidRPr="004A73C1" w:rsidRDefault="00E11EFD" w:rsidP="00EF2E34">
      <w:pPr>
        <w:spacing w:after="0" w:line="360" w:lineRule="auto"/>
        <w:jc w:val="both"/>
        <w:rPr>
          <w:rFonts w:ascii="Arial" w:hAnsi="Arial" w:cs="Arial"/>
        </w:rPr>
      </w:pPr>
      <w:r w:rsidRPr="004A73C1">
        <w:rPr>
          <w:rFonts w:ascii="Arial" w:hAnsi="Arial" w:cs="Arial"/>
        </w:rPr>
        <w:t>This</w:t>
      </w:r>
      <w:r w:rsidR="00B90250" w:rsidRPr="004A73C1">
        <w:rPr>
          <w:rFonts w:ascii="Arial" w:hAnsi="Arial" w:cs="Arial"/>
        </w:rPr>
        <w:t xml:space="preserve"> should carefully analyse the data </w:t>
      </w:r>
      <w:r w:rsidRPr="004A73C1">
        <w:rPr>
          <w:rFonts w:ascii="Arial" w:hAnsi="Arial" w:cs="Arial"/>
        </w:rPr>
        <w:t>gathered, draw conclusions based on the analysis,</w:t>
      </w:r>
      <w:r w:rsidR="00B90250" w:rsidRPr="004A73C1">
        <w:rPr>
          <w:rFonts w:ascii="Arial" w:hAnsi="Arial" w:cs="Arial"/>
        </w:rPr>
        <w:t xml:space="preserve"> and discuss the implications of the findings. I should look for patterns, trends, and relationships within the data </w:t>
      </w:r>
      <w:r w:rsidR="009A1733" w:rsidRPr="004A73C1">
        <w:rPr>
          <w:rFonts w:ascii="Arial" w:hAnsi="Arial" w:cs="Arial"/>
        </w:rPr>
        <w:t>to</w:t>
      </w:r>
      <w:r w:rsidR="00B90250" w:rsidRPr="004A73C1">
        <w:rPr>
          <w:rFonts w:ascii="Arial" w:hAnsi="Arial" w:cs="Arial"/>
        </w:rPr>
        <w:t xml:space="preserve"> help me </w:t>
      </w:r>
      <w:r w:rsidR="00317BCF" w:rsidRPr="004A73C1">
        <w:rPr>
          <w:rFonts w:ascii="Arial" w:hAnsi="Arial" w:cs="Arial"/>
        </w:rPr>
        <w:t xml:space="preserve">answer </w:t>
      </w:r>
      <w:r w:rsidR="00B90250" w:rsidRPr="004A73C1">
        <w:rPr>
          <w:rFonts w:ascii="Arial" w:hAnsi="Arial" w:cs="Arial"/>
        </w:rPr>
        <w:t>my</w:t>
      </w:r>
      <w:r w:rsidR="00317BCF" w:rsidRPr="004A73C1">
        <w:rPr>
          <w:rFonts w:ascii="Arial" w:hAnsi="Arial" w:cs="Arial"/>
        </w:rPr>
        <w:t xml:space="preserve"> research questions and address </w:t>
      </w:r>
      <w:r w:rsidR="00B90250" w:rsidRPr="004A73C1">
        <w:rPr>
          <w:rFonts w:ascii="Arial" w:hAnsi="Arial" w:cs="Arial"/>
        </w:rPr>
        <w:t>my</w:t>
      </w:r>
      <w:r w:rsidR="00317BCF" w:rsidRPr="004A73C1">
        <w:rPr>
          <w:rFonts w:ascii="Arial" w:hAnsi="Arial" w:cs="Arial"/>
        </w:rPr>
        <w:t xml:space="preserve"> research problem.</w:t>
      </w:r>
    </w:p>
    <w:p w14:paraId="641C5DFF" w14:textId="77777777" w:rsidR="00317BCF" w:rsidRPr="004A73C1" w:rsidRDefault="00317BCF" w:rsidP="00EF2E34">
      <w:pPr>
        <w:spacing w:after="0" w:line="360" w:lineRule="auto"/>
        <w:jc w:val="both"/>
        <w:rPr>
          <w:rFonts w:ascii="Arial" w:hAnsi="Arial" w:cs="Arial"/>
        </w:rPr>
      </w:pPr>
    </w:p>
    <w:p w14:paraId="2F4EE936" w14:textId="0BD7CDCE" w:rsidR="00317BCF" w:rsidRPr="004A73C1" w:rsidRDefault="00317BCF" w:rsidP="00EF2E34">
      <w:pPr>
        <w:spacing w:after="0" w:line="360" w:lineRule="auto"/>
        <w:jc w:val="both"/>
        <w:rPr>
          <w:rFonts w:ascii="Arial" w:hAnsi="Arial" w:cs="Arial"/>
        </w:rPr>
      </w:pPr>
      <w:r w:rsidRPr="004A73C1">
        <w:rPr>
          <w:rFonts w:ascii="Arial" w:hAnsi="Arial" w:cs="Arial"/>
        </w:rPr>
        <w:t xml:space="preserve">After </w:t>
      </w:r>
      <w:r w:rsidR="00B90250" w:rsidRPr="004A73C1">
        <w:rPr>
          <w:rFonts w:ascii="Arial" w:hAnsi="Arial" w:cs="Arial"/>
        </w:rPr>
        <w:t>analysing</w:t>
      </w:r>
      <w:r w:rsidRPr="004A73C1">
        <w:rPr>
          <w:rFonts w:ascii="Arial" w:hAnsi="Arial" w:cs="Arial"/>
        </w:rPr>
        <w:t xml:space="preserve"> the data, </w:t>
      </w:r>
      <w:r w:rsidR="00B90250" w:rsidRPr="004A73C1">
        <w:rPr>
          <w:rFonts w:ascii="Arial" w:hAnsi="Arial" w:cs="Arial"/>
        </w:rPr>
        <w:t xml:space="preserve">draw conclusions based on </w:t>
      </w:r>
      <w:r w:rsidR="00E11EFD" w:rsidRPr="004A73C1">
        <w:rPr>
          <w:rFonts w:ascii="Arial" w:hAnsi="Arial" w:cs="Arial"/>
        </w:rPr>
        <w:t>the</w:t>
      </w:r>
      <w:r w:rsidR="00B90250" w:rsidRPr="004A73C1">
        <w:rPr>
          <w:rFonts w:ascii="Arial" w:hAnsi="Arial" w:cs="Arial"/>
        </w:rPr>
        <w:t xml:space="preserve"> findings. </w:t>
      </w:r>
      <w:r w:rsidR="00E11EFD" w:rsidRPr="004A73C1">
        <w:rPr>
          <w:rFonts w:ascii="Arial" w:hAnsi="Arial" w:cs="Arial"/>
        </w:rPr>
        <w:t>Ensure</w:t>
      </w:r>
      <w:r w:rsidR="00B90250" w:rsidRPr="004A73C1">
        <w:rPr>
          <w:rFonts w:ascii="Arial" w:hAnsi="Arial" w:cs="Arial"/>
        </w:rPr>
        <w:t xml:space="preserve"> that </w:t>
      </w:r>
      <w:r w:rsidR="007D4E14" w:rsidRPr="004A73C1">
        <w:rPr>
          <w:rFonts w:ascii="Arial" w:hAnsi="Arial" w:cs="Arial"/>
        </w:rPr>
        <w:t>the evidence collected</w:t>
      </w:r>
      <w:r w:rsidR="009A1733" w:rsidRPr="004A73C1">
        <w:rPr>
          <w:rFonts w:ascii="Arial" w:hAnsi="Arial" w:cs="Arial"/>
        </w:rPr>
        <w:t xml:space="preserve"> supports </w:t>
      </w:r>
      <w:r w:rsidR="00E11EFD" w:rsidRPr="004A73C1">
        <w:rPr>
          <w:rFonts w:ascii="Arial" w:hAnsi="Arial" w:cs="Arial"/>
        </w:rPr>
        <w:t>the</w:t>
      </w:r>
      <w:r w:rsidR="009A1733" w:rsidRPr="004A73C1">
        <w:rPr>
          <w:rFonts w:ascii="Arial" w:hAnsi="Arial" w:cs="Arial"/>
        </w:rPr>
        <w:t xml:space="preserve"> conclusions</w:t>
      </w:r>
      <w:r w:rsidR="00B90250" w:rsidRPr="004A73C1">
        <w:rPr>
          <w:rFonts w:ascii="Arial" w:hAnsi="Arial" w:cs="Arial"/>
        </w:rPr>
        <w:t xml:space="preserve">. It's </w:t>
      </w:r>
      <w:r w:rsidR="009A1733" w:rsidRPr="004A73C1">
        <w:rPr>
          <w:rFonts w:ascii="Arial" w:hAnsi="Arial" w:cs="Arial"/>
        </w:rPr>
        <w:t>essential</w:t>
      </w:r>
      <w:r w:rsidR="00B90250" w:rsidRPr="004A73C1">
        <w:rPr>
          <w:rFonts w:ascii="Arial" w:hAnsi="Arial" w:cs="Arial"/>
        </w:rPr>
        <w:t xml:space="preserve"> to be thorough and transparent in analysis and to consider alternative explanations for </w:t>
      </w:r>
      <w:r w:rsidR="00E11EFD" w:rsidRPr="004A73C1">
        <w:rPr>
          <w:rFonts w:ascii="Arial" w:hAnsi="Arial" w:cs="Arial"/>
        </w:rPr>
        <w:t>the</w:t>
      </w:r>
      <w:r w:rsidRPr="004A73C1">
        <w:rPr>
          <w:rFonts w:ascii="Arial" w:hAnsi="Arial" w:cs="Arial"/>
        </w:rPr>
        <w:t xml:space="preserve"> findings.</w:t>
      </w:r>
    </w:p>
    <w:p w14:paraId="1CA39BA0" w14:textId="77777777" w:rsidR="00ED3916" w:rsidRDefault="00ED3916" w:rsidP="00EF2E34">
      <w:pPr>
        <w:spacing w:after="0" w:line="360" w:lineRule="auto"/>
        <w:jc w:val="both"/>
        <w:rPr>
          <w:rFonts w:ascii="Arial" w:hAnsi="Arial" w:cs="Arial"/>
        </w:rPr>
      </w:pPr>
    </w:p>
    <w:p w14:paraId="4B153CB4" w14:textId="1AD947C9" w:rsidR="00317BCF" w:rsidRPr="004A73C1" w:rsidRDefault="00317BCF" w:rsidP="00EF2E34">
      <w:pPr>
        <w:spacing w:after="0" w:line="360" w:lineRule="auto"/>
        <w:jc w:val="both"/>
        <w:rPr>
          <w:rFonts w:ascii="Arial" w:hAnsi="Arial" w:cs="Arial"/>
        </w:rPr>
      </w:pPr>
      <w:r w:rsidRPr="004A73C1">
        <w:rPr>
          <w:rFonts w:ascii="Arial" w:hAnsi="Arial" w:cs="Arial"/>
        </w:rPr>
        <w:t xml:space="preserve">Once </w:t>
      </w:r>
      <w:r w:rsidR="00E11EFD" w:rsidRPr="004A73C1">
        <w:rPr>
          <w:rFonts w:ascii="Arial" w:hAnsi="Arial" w:cs="Arial"/>
        </w:rPr>
        <w:t xml:space="preserve">the conclusion has been </w:t>
      </w:r>
      <w:r w:rsidRPr="004A73C1">
        <w:rPr>
          <w:rFonts w:ascii="Arial" w:hAnsi="Arial" w:cs="Arial"/>
        </w:rPr>
        <w:t xml:space="preserve">drawn, </w:t>
      </w:r>
      <w:r w:rsidR="00E11EFD" w:rsidRPr="004A73C1">
        <w:rPr>
          <w:rFonts w:ascii="Arial" w:hAnsi="Arial" w:cs="Arial"/>
        </w:rPr>
        <w:t>we</w:t>
      </w:r>
      <w:r w:rsidRPr="004A73C1">
        <w:rPr>
          <w:rFonts w:ascii="Arial" w:hAnsi="Arial" w:cs="Arial"/>
        </w:rPr>
        <w:t xml:space="preserve"> can discuss the implications of </w:t>
      </w:r>
      <w:r w:rsidR="00B90250" w:rsidRPr="004A73C1">
        <w:rPr>
          <w:rFonts w:ascii="Arial" w:hAnsi="Arial" w:cs="Arial"/>
        </w:rPr>
        <w:t>my</w:t>
      </w:r>
      <w:r w:rsidRPr="004A73C1">
        <w:rPr>
          <w:rFonts w:ascii="Arial" w:hAnsi="Arial" w:cs="Arial"/>
        </w:rPr>
        <w:t xml:space="preserve"> findings. </w:t>
      </w:r>
      <w:r w:rsidR="00E11EFD" w:rsidRPr="004A73C1">
        <w:rPr>
          <w:rFonts w:ascii="Arial" w:hAnsi="Arial" w:cs="Arial"/>
        </w:rPr>
        <w:t>we</w:t>
      </w:r>
      <w:r w:rsidR="00B90250" w:rsidRPr="004A73C1">
        <w:rPr>
          <w:rFonts w:ascii="Arial" w:hAnsi="Arial" w:cs="Arial"/>
        </w:rPr>
        <w:t xml:space="preserve"> should consider the broader significance of </w:t>
      </w:r>
      <w:r w:rsidR="00E11EFD" w:rsidRPr="004A73C1">
        <w:rPr>
          <w:rFonts w:ascii="Arial" w:hAnsi="Arial" w:cs="Arial"/>
        </w:rPr>
        <w:t>the</w:t>
      </w:r>
      <w:r w:rsidR="00B90250" w:rsidRPr="004A73C1">
        <w:rPr>
          <w:rFonts w:ascii="Arial" w:hAnsi="Arial" w:cs="Arial"/>
        </w:rPr>
        <w:t xml:space="preserve"> research and how it contributes to </w:t>
      </w:r>
      <w:r w:rsidR="00E11EFD" w:rsidRPr="004A73C1">
        <w:rPr>
          <w:rFonts w:ascii="Arial" w:hAnsi="Arial" w:cs="Arial"/>
        </w:rPr>
        <w:t>the</w:t>
      </w:r>
      <w:r w:rsidR="00B90250" w:rsidRPr="004A73C1">
        <w:rPr>
          <w:rFonts w:ascii="Arial" w:hAnsi="Arial" w:cs="Arial"/>
        </w:rPr>
        <w:t xml:space="preserve"> field's existing body of knowledge. </w:t>
      </w:r>
      <w:r w:rsidR="00E11EFD" w:rsidRPr="004A73C1">
        <w:rPr>
          <w:rFonts w:ascii="Arial" w:hAnsi="Arial" w:cs="Arial"/>
        </w:rPr>
        <w:t>It</w:t>
      </w:r>
      <w:r w:rsidR="00B90250" w:rsidRPr="004A73C1">
        <w:rPr>
          <w:rFonts w:ascii="Arial" w:hAnsi="Arial" w:cs="Arial"/>
        </w:rPr>
        <w:t xml:space="preserve"> should also discuss any practical applications of </w:t>
      </w:r>
      <w:r w:rsidR="00E11EFD" w:rsidRPr="004A73C1">
        <w:rPr>
          <w:rFonts w:ascii="Arial" w:hAnsi="Arial" w:cs="Arial"/>
        </w:rPr>
        <w:t>the</w:t>
      </w:r>
      <w:r w:rsidR="00B90250" w:rsidRPr="004A73C1">
        <w:rPr>
          <w:rFonts w:ascii="Arial" w:hAnsi="Arial" w:cs="Arial"/>
        </w:rPr>
        <w:t xml:space="preserve"> findings and consider how they might impact the field or the specific problem </w:t>
      </w:r>
      <w:r w:rsidR="00E11EFD" w:rsidRPr="004A73C1">
        <w:rPr>
          <w:rFonts w:ascii="Arial" w:hAnsi="Arial" w:cs="Arial"/>
        </w:rPr>
        <w:t>we are</w:t>
      </w:r>
      <w:r w:rsidRPr="004A73C1">
        <w:rPr>
          <w:rFonts w:ascii="Arial" w:hAnsi="Arial" w:cs="Arial"/>
        </w:rPr>
        <w:t xml:space="preserve"> addressing.</w:t>
      </w:r>
    </w:p>
    <w:p w14:paraId="4564A841" w14:textId="740E7A25" w:rsidR="00317BCF" w:rsidRPr="004A73C1" w:rsidRDefault="00317BCF" w:rsidP="00EF2E34">
      <w:pPr>
        <w:spacing w:after="0" w:line="360" w:lineRule="auto"/>
        <w:jc w:val="both"/>
        <w:rPr>
          <w:rFonts w:ascii="Arial" w:hAnsi="Arial" w:cs="Arial"/>
        </w:rPr>
      </w:pPr>
      <w:r w:rsidRPr="004A73C1">
        <w:rPr>
          <w:rFonts w:ascii="Arial" w:hAnsi="Arial" w:cs="Arial"/>
        </w:rPr>
        <w:t xml:space="preserve">It's </w:t>
      </w:r>
      <w:r w:rsidR="00B90250" w:rsidRPr="004A73C1">
        <w:rPr>
          <w:rFonts w:ascii="Arial" w:hAnsi="Arial" w:cs="Arial"/>
        </w:rPr>
        <w:t>essential</w:t>
      </w:r>
      <w:r w:rsidRPr="004A73C1">
        <w:rPr>
          <w:rFonts w:ascii="Arial" w:hAnsi="Arial" w:cs="Arial"/>
        </w:rPr>
        <w:t xml:space="preserve"> to be clear and concise in </w:t>
      </w:r>
      <w:r w:rsidR="00E11EFD" w:rsidRPr="004A73C1">
        <w:rPr>
          <w:rFonts w:ascii="Arial" w:hAnsi="Arial" w:cs="Arial"/>
        </w:rPr>
        <w:t>discussing</w:t>
      </w:r>
      <w:r w:rsidRPr="004A73C1">
        <w:rPr>
          <w:rFonts w:ascii="Arial" w:hAnsi="Arial" w:cs="Arial"/>
        </w:rPr>
        <w:t xml:space="preserve"> the implications of </w:t>
      </w:r>
      <w:r w:rsidR="00B90250" w:rsidRPr="004A73C1">
        <w:rPr>
          <w:rFonts w:ascii="Arial" w:hAnsi="Arial" w:cs="Arial"/>
        </w:rPr>
        <w:t>my</w:t>
      </w:r>
      <w:r w:rsidRPr="004A73C1">
        <w:rPr>
          <w:rFonts w:ascii="Arial" w:hAnsi="Arial" w:cs="Arial"/>
        </w:rPr>
        <w:t xml:space="preserve"> findings and to consider any potential limitations of </w:t>
      </w:r>
      <w:r w:rsidR="00B90250" w:rsidRPr="004A73C1">
        <w:rPr>
          <w:rFonts w:ascii="Arial" w:hAnsi="Arial" w:cs="Arial"/>
        </w:rPr>
        <w:t>my</w:t>
      </w:r>
      <w:r w:rsidRPr="004A73C1">
        <w:rPr>
          <w:rFonts w:ascii="Arial" w:hAnsi="Arial" w:cs="Arial"/>
        </w:rPr>
        <w:t xml:space="preserve"> study. Finally, </w:t>
      </w:r>
      <w:r w:rsidR="00E11EFD" w:rsidRPr="004A73C1">
        <w:rPr>
          <w:rFonts w:ascii="Arial" w:hAnsi="Arial" w:cs="Arial"/>
        </w:rPr>
        <w:t>this</w:t>
      </w:r>
      <w:r w:rsidR="00B90250" w:rsidRPr="004A73C1">
        <w:rPr>
          <w:rFonts w:ascii="Arial" w:hAnsi="Arial" w:cs="Arial"/>
        </w:rPr>
        <w:t xml:space="preserve"> </w:t>
      </w:r>
      <w:r w:rsidR="00E11EFD" w:rsidRPr="004A73C1">
        <w:rPr>
          <w:rFonts w:ascii="Arial" w:hAnsi="Arial" w:cs="Arial"/>
        </w:rPr>
        <w:t>relates to conclusions and their implications for</w:t>
      </w:r>
      <w:r w:rsidRPr="004A73C1">
        <w:rPr>
          <w:rFonts w:ascii="Arial" w:hAnsi="Arial" w:cs="Arial"/>
        </w:rPr>
        <w:t xml:space="preserve"> </w:t>
      </w:r>
      <w:r w:rsidR="00E11EFD" w:rsidRPr="004A73C1">
        <w:rPr>
          <w:rFonts w:ascii="Arial" w:hAnsi="Arial" w:cs="Arial"/>
        </w:rPr>
        <w:t>the</w:t>
      </w:r>
      <w:r w:rsidRPr="004A73C1">
        <w:rPr>
          <w:rFonts w:ascii="Arial" w:hAnsi="Arial" w:cs="Arial"/>
        </w:rPr>
        <w:t xml:space="preserve"> original research questions and objectives.</w:t>
      </w:r>
    </w:p>
    <w:p w14:paraId="3AE80584" w14:textId="77777777" w:rsidR="007D4E14" w:rsidRPr="004A73C1" w:rsidRDefault="007D4E14" w:rsidP="00EF2E34">
      <w:pPr>
        <w:spacing w:after="0" w:line="360" w:lineRule="auto"/>
        <w:jc w:val="both"/>
        <w:rPr>
          <w:rFonts w:ascii="Arial" w:hAnsi="Arial" w:cs="Arial"/>
        </w:rPr>
      </w:pPr>
    </w:p>
    <w:p w14:paraId="41979184" w14:textId="4E472D23" w:rsidR="00317BCF" w:rsidRPr="004A73C1" w:rsidRDefault="00317BCF" w:rsidP="00EF2E34">
      <w:pPr>
        <w:spacing w:line="360" w:lineRule="auto"/>
        <w:jc w:val="both"/>
        <w:rPr>
          <w:rFonts w:ascii="Arial" w:hAnsi="Arial" w:cs="Arial"/>
          <w:b/>
          <w:bCs/>
        </w:rPr>
      </w:pPr>
      <w:r w:rsidRPr="004A73C1">
        <w:rPr>
          <w:rFonts w:ascii="Arial" w:hAnsi="Arial" w:cs="Arial"/>
          <w:b/>
          <w:bCs/>
        </w:rPr>
        <w:t xml:space="preserve">Communicating </w:t>
      </w:r>
      <w:r w:rsidR="00A704B7" w:rsidRPr="004A73C1">
        <w:rPr>
          <w:rFonts w:ascii="Arial" w:hAnsi="Arial" w:cs="Arial"/>
          <w:b/>
          <w:bCs/>
        </w:rPr>
        <w:t xml:space="preserve">The Research Findings Effectively Through Reports, Presentations, Or Publications </w:t>
      </w:r>
      <w:proofErr w:type="gramStart"/>
      <w:r w:rsidR="00A704B7" w:rsidRPr="004A73C1">
        <w:rPr>
          <w:rFonts w:ascii="Arial" w:hAnsi="Arial" w:cs="Arial"/>
          <w:b/>
          <w:bCs/>
        </w:rPr>
        <w:t>To</w:t>
      </w:r>
      <w:proofErr w:type="gramEnd"/>
      <w:r w:rsidR="00A704B7" w:rsidRPr="004A73C1">
        <w:rPr>
          <w:rFonts w:ascii="Arial" w:hAnsi="Arial" w:cs="Arial"/>
          <w:b/>
          <w:bCs/>
        </w:rPr>
        <w:t xml:space="preserve"> Share The Knowledge Gained.</w:t>
      </w:r>
    </w:p>
    <w:p w14:paraId="6EB64EDD" w14:textId="05AF0361" w:rsidR="00317BCF" w:rsidRDefault="00B90250" w:rsidP="00EF2E34">
      <w:pPr>
        <w:spacing w:after="0" w:line="360" w:lineRule="auto"/>
        <w:jc w:val="both"/>
        <w:rPr>
          <w:rFonts w:ascii="Arial" w:hAnsi="Arial" w:cs="Arial"/>
        </w:rPr>
      </w:pPr>
      <w:r w:rsidRPr="004A73C1">
        <w:rPr>
          <w:rFonts w:ascii="Arial" w:hAnsi="Arial" w:cs="Arial"/>
        </w:rPr>
        <w:t>To</w:t>
      </w:r>
      <w:r w:rsidR="00317BCF" w:rsidRPr="004A73C1">
        <w:rPr>
          <w:rFonts w:ascii="Arial" w:hAnsi="Arial" w:cs="Arial"/>
        </w:rPr>
        <w:t xml:space="preserve"> effectively communicate research findings, it's essential </w:t>
      </w:r>
      <w:r w:rsidR="00E11EFD" w:rsidRPr="004A73C1">
        <w:rPr>
          <w:rFonts w:ascii="Arial" w:hAnsi="Arial" w:cs="Arial"/>
        </w:rPr>
        <w:t>to structure the reports, presentations, or publications carefully</w:t>
      </w:r>
      <w:r w:rsidR="00317BCF" w:rsidRPr="004A73C1">
        <w:rPr>
          <w:rFonts w:ascii="Arial" w:hAnsi="Arial" w:cs="Arial"/>
        </w:rPr>
        <w:t>. Start by outlining the key objectives, methodologies, and results in a clear and organised manner. Use descriptive language and provide contextual information to ensure the audience can easily comprehend the findings. Additionally, consider incorporating visual aids such as graphs, charts, and images to enhance the presentation of data and make the information more accessible. Tailoring the communication style to the audience's level of understanding is crucial, ensuring that the knowledge gained is effectively conveyed and comprehended. Encouraging questions and discussions further promotes knowledge sharing and allows for a deeper exploration of the findings.</w:t>
      </w:r>
    </w:p>
    <w:p w14:paraId="00D857B3" w14:textId="77777777" w:rsidR="004117AD" w:rsidRPr="004A73C1" w:rsidRDefault="004117AD" w:rsidP="00EF2E34">
      <w:pPr>
        <w:spacing w:after="0" w:line="360" w:lineRule="auto"/>
        <w:jc w:val="both"/>
        <w:rPr>
          <w:rFonts w:ascii="Arial" w:hAnsi="Arial" w:cs="Arial"/>
        </w:rPr>
      </w:pPr>
    </w:p>
    <w:p w14:paraId="62FC7349" w14:textId="3EB4753F" w:rsidR="00317BCF" w:rsidRPr="004A73C1" w:rsidRDefault="00CA52E6" w:rsidP="00EF2E34">
      <w:pPr>
        <w:pStyle w:val="Heading2"/>
        <w:spacing w:line="360" w:lineRule="auto"/>
        <w:rPr>
          <w:rFonts w:ascii="Arial" w:hAnsi="Arial" w:cs="Arial"/>
          <w:color w:val="auto"/>
        </w:rPr>
      </w:pPr>
      <w:bookmarkStart w:id="115" w:name="_Toc175056479"/>
      <w:bookmarkStart w:id="116" w:name="_Toc175848136"/>
      <w:r w:rsidRPr="004A73C1">
        <w:rPr>
          <w:rFonts w:ascii="Arial" w:hAnsi="Arial" w:cs="Arial"/>
          <w:color w:val="auto"/>
        </w:rPr>
        <w:t>3.8</w:t>
      </w:r>
      <w:r w:rsidRPr="004A73C1">
        <w:rPr>
          <w:rFonts w:ascii="Arial" w:hAnsi="Arial" w:cs="Arial"/>
          <w:color w:val="auto"/>
        </w:rPr>
        <w:tab/>
      </w:r>
      <w:r w:rsidR="00B66179" w:rsidRPr="004A73C1">
        <w:rPr>
          <w:rFonts w:ascii="Arial" w:hAnsi="Arial" w:cs="Arial"/>
          <w:color w:val="auto"/>
        </w:rPr>
        <w:t>Research Onion</w:t>
      </w:r>
      <w:bookmarkEnd w:id="115"/>
      <w:bookmarkEnd w:id="116"/>
    </w:p>
    <w:p w14:paraId="09DFB33B" w14:textId="77777777" w:rsidR="00317BCF" w:rsidRPr="004A73C1" w:rsidRDefault="00317BCF" w:rsidP="00EF2E34">
      <w:pPr>
        <w:spacing w:after="0" w:line="360" w:lineRule="auto"/>
        <w:jc w:val="both"/>
        <w:rPr>
          <w:rFonts w:ascii="Arial" w:hAnsi="Arial" w:cs="Arial"/>
        </w:rPr>
      </w:pPr>
      <w:r w:rsidRPr="004A73C1">
        <w:rPr>
          <w:rFonts w:ascii="Arial" w:hAnsi="Arial" w:cs="Arial"/>
        </w:rPr>
        <w:t xml:space="preserve">Research Onion is a model Saunders et al. (2007) proposed for conducting research. It is a methodology that allows researchers to approach a research question systematically and structured. The research onion consists of different layers: philosophy, approach, strategy, choices, time horizon, and techniques. These layers help develop a comprehensive understanding of the research </w:t>
      </w:r>
      <w:proofErr w:type="gramStart"/>
      <w:r w:rsidRPr="004A73C1">
        <w:rPr>
          <w:rFonts w:ascii="Arial" w:hAnsi="Arial" w:cs="Arial"/>
        </w:rPr>
        <w:t>process</w:t>
      </w:r>
      <w:proofErr w:type="gramEnd"/>
      <w:r w:rsidRPr="004A73C1">
        <w:rPr>
          <w:rFonts w:ascii="Arial" w:hAnsi="Arial" w:cs="Arial"/>
        </w:rPr>
        <w:t xml:space="preserve"> and the methodological decisions involved (Saunders, M., Lewis, P., &amp; Thornhill, A., 2007). </w:t>
      </w:r>
    </w:p>
    <w:p w14:paraId="65EB8DA3" w14:textId="77777777" w:rsidR="00317BCF" w:rsidRPr="004A73C1" w:rsidRDefault="00317BCF" w:rsidP="00EF2E34">
      <w:pPr>
        <w:spacing w:after="0" w:line="360" w:lineRule="auto"/>
        <w:jc w:val="both"/>
        <w:rPr>
          <w:rFonts w:ascii="Arial" w:eastAsiaTheme="majorEastAsia" w:hAnsi="Arial" w:cs="Arial"/>
          <w:color w:val="276E8B" w:themeColor="accent1" w:themeShade="BF"/>
          <w:sz w:val="40"/>
          <w:szCs w:val="40"/>
        </w:rPr>
      </w:pPr>
      <w:r w:rsidRPr="004A73C1">
        <w:rPr>
          <w:rFonts w:ascii="Arial" w:hAnsi="Arial" w:cs="Arial"/>
          <w:noProof/>
        </w:rPr>
        <w:lastRenderedPageBreak/>
        <w:drawing>
          <wp:inline distT="0" distB="0" distL="0" distR="0" wp14:anchorId="50D24198" wp14:editId="2D2B38E4">
            <wp:extent cx="5731510" cy="3652520"/>
            <wp:effectExtent l="0" t="0" r="2540" b="5080"/>
            <wp:docPr id="100646581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65817" name="Picture 1" descr="A diagram of a diagram&#10;&#10;Description automatically generated"/>
                    <pic:cNvPicPr/>
                  </pic:nvPicPr>
                  <pic:blipFill>
                    <a:blip r:embed="rId41"/>
                    <a:stretch>
                      <a:fillRect/>
                    </a:stretch>
                  </pic:blipFill>
                  <pic:spPr>
                    <a:xfrm>
                      <a:off x="0" y="0"/>
                      <a:ext cx="5731510" cy="3652520"/>
                    </a:xfrm>
                    <a:prstGeom prst="rect">
                      <a:avLst/>
                    </a:prstGeom>
                  </pic:spPr>
                </pic:pic>
              </a:graphicData>
            </a:graphic>
          </wp:inline>
        </w:drawing>
      </w:r>
    </w:p>
    <w:p w14:paraId="395A9489" w14:textId="18D9C04D" w:rsidR="00740D35" w:rsidRPr="004A73C1" w:rsidRDefault="00740D35" w:rsidP="00EF2E34">
      <w:pPr>
        <w:spacing w:after="0" w:line="360" w:lineRule="auto"/>
        <w:jc w:val="both"/>
        <w:rPr>
          <w:rFonts w:ascii="Arial" w:eastAsia="Arial Unicode MS" w:hAnsi="Arial" w:cs="Arial"/>
        </w:rPr>
      </w:pPr>
      <w:r w:rsidRPr="004A73C1">
        <w:rPr>
          <w:rFonts w:ascii="Arial" w:hAnsi="Arial" w:cs="Arial"/>
        </w:rPr>
        <w:t>Figure 18</w:t>
      </w:r>
    </w:p>
    <w:p w14:paraId="18A590B1" w14:textId="58FE9302" w:rsidR="00317BCF" w:rsidRPr="004A73C1" w:rsidRDefault="009A1733" w:rsidP="00EF2E34">
      <w:pPr>
        <w:spacing w:after="0" w:line="360" w:lineRule="auto"/>
        <w:jc w:val="both"/>
        <w:rPr>
          <w:rFonts w:ascii="Arial" w:eastAsia="Arial Unicode MS" w:hAnsi="Arial" w:cs="Arial"/>
        </w:rPr>
      </w:pPr>
      <w:r w:rsidRPr="004A73C1">
        <w:rPr>
          <w:rFonts w:ascii="Arial" w:eastAsia="Arial Unicode MS" w:hAnsi="Arial" w:cs="Arial"/>
        </w:rPr>
        <w:t>Source: Saunders</w:t>
      </w:r>
      <w:r w:rsidR="00317BCF" w:rsidRPr="004A73C1">
        <w:rPr>
          <w:rFonts w:ascii="Arial" w:eastAsia="Arial Unicode MS" w:hAnsi="Arial" w:cs="Arial"/>
        </w:rPr>
        <w:t xml:space="preserve">, </w:t>
      </w:r>
      <w:r w:rsidR="00B90250" w:rsidRPr="004A73C1">
        <w:rPr>
          <w:rFonts w:ascii="Arial" w:eastAsia="Arial Unicode MS" w:hAnsi="Arial" w:cs="Arial"/>
        </w:rPr>
        <w:t>P.</w:t>
      </w:r>
      <w:r w:rsidR="00317BCF" w:rsidRPr="004A73C1">
        <w:rPr>
          <w:rFonts w:ascii="Arial" w:eastAsia="Arial Unicode MS" w:hAnsi="Arial" w:cs="Arial"/>
        </w:rPr>
        <w:t xml:space="preserve"> &amp; LEWIS, A T. (2009) </w:t>
      </w:r>
    </w:p>
    <w:p w14:paraId="4FA90110" w14:textId="411B30D7" w:rsidR="00B90250" w:rsidRPr="004A73C1" w:rsidRDefault="008A2625" w:rsidP="00EF2E34">
      <w:pPr>
        <w:spacing w:line="360" w:lineRule="auto"/>
        <w:rPr>
          <w:rFonts w:ascii="Arial" w:hAnsi="Arial" w:cs="Arial"/>
          <w:b/>
          <w:bCs/>
        </w:rPr>
      </w:pPr>
      <w:r w:rsidRPr="004A73C1">
        <w:rPr>
          <w:rFonts w:ascii="Arial" w:hAnsi="Arial" w:cs="Arial"/>
          <w:b/>
          <w:bCs/>
        </w:rPr>
        <w:t>Research</w:t>
      </w:r>
      <w:r w:rsidR="00B90250" w:rsidRPr="004A73C1">
        <w:rPr>
          <w:rFonts w:ascii="Arial" w:hAnsi="Arial" w:cs="Arial"/>
          <w:b/>
          <w:bCs/>
        </w:rPr>
        <w:t xml:space="preserve"> Philosophy:</w:t>
      </w:r>
    </w:p>
    <w:p w14:paraId="51835E31" w14:textId="77777777" w:rsidR="008A2625" w:rsidRPr="004A73C1" w:rsidRDefault="00B90250" w:rsidP="00EF2E34">
      <w:pPr>
        <w:pStyle w:val="ListParagraph"/>
        <w:spacing w:after="0" w:line="360" w:lineRule="auto"/>
        <w:ind w:left="0"/>
        <w:jc w:val="both"/>
        <w:rPr>
          <w:rFonts w:ascii="Arial" w:hAnsi="Arial" w:cs="Arial"/>
        </w:rPr>
      </w:pPr>
      <w:r w:rsidRPr="004A73C1">
        <w:rPr>
          <w:rFonts w:ascii="Arial" w:hAnsi="Arial" w:cs="Arial"/>
        </w:rPr>
        <w:t>This layer deals with the researcher's assumptions about the nature of knowledge and how it can be obtained. It includes the choice between positivist and interpretivist paradigms.</w:t>
      </w:r>
    </w:p>
    <w:p w14:paraId="679AC76C" w14:textId="7FF768FB" w:rsidR="00B90250" w:rsidRPr="004A73C1" w:rsidRDefault="00B90250" w:rsidP="00EF2E34">
      <w:pPr>
        <w:spacing w:line="360" w:lineRule="auto"/>
        <w:rPr>
          <w:rFonts w:ascii="Arial" w:hAnsi="Arial" w:cs="Arial"/>
          <w:b/>
          <w:bCs/>
        </w:rPr>
      </w:pPr>
      <w:r w:rsidRPr="004A73C1">
        <w:rPr>
          <w:rFonts w:ascii="Arial" w:hAnsi="Arial" w:cs="Arial"/>
          <w:b/>
          <w:bCs/>
        </w:rPr>
        <w:t xml:space="preserve">Research Approach: </w:t>
      </w:r>
    </w:p>
    <w:p w14:paraId="77499EE0" w14:textId="1CC5B418" w:rsidR="00B90250" w:rsidRPr="004A73C1" w:rsidRDefault="00B90250" w:rsidP="00EF2E34">
      <w:pPr>
        <w:pStyle w:val="ListParagraph"/>
        <w:spacing w:after="0" w:line="360" w:lineRule="auto"/>
        <w:ind w:left="0"/>
        <w:jc w:val="both"/>
        <w:rPr>
          <w:rFonts w:ascii="Arial" w:hAnsi="Arial" w:cs="Arial"/>
        </w:rPr>
      </w:pPr>
      <w:r w:rsidRPr="004A73C1">
        <w:rPr>
          <w:rFonts w:ascii="Arial" w:hAnsi="Arial" w:cs="Arial"/>
        </w:rPr>
        <w:t>This layer involves deciding whether the research will be deductive or inductive. Deductive research starts with a general theory and then tests it with specific observations, while inductive research starts with specific observations and then seeks to discover general patterns or theories.</w:t>
      </w:r>
    </w:p>
    <w:p w14:paraId="15FB75AC" w14:textId="26B5E823" w:rsidR="00B90250" w:rsidRPr="004A73C1" w:rsidRDefault="00B90250" w:rsidP="00EF2E34">
      <w:pPr>
        <w:spacing w:line="360" w:lineRule="auto"/>
        <w:rPr>
          <w:rFonts w:ascii="Arial" w:hAnsi="Arial" w:cs="Arial"/>
          <w:b/>
          <w:bCs/>
        </w:rPr>
      </w:pPr>
      <w:r w:rsidRPr="004A73C1">
        <w:rPr>
          <w:rFonts w:ascii="Arial" w:hAnsi="Arial" w:cs="Arial"/>
          <w:b/>
          <w:bCs/>
        </w:rPr>
        <w:t xml:space="preserve">Research Strategy: </w:t>
      </w:r>
    </w:p>
    <w:p w14:paraId="48884034" w14:textId="3214F9F5" w:rsidR="00B90250" w:rsidRPr="004A73C1" w:rsidRDefault="00B90250" w:rsidP="00EF2E34">
      <w:pPr>
        <w:pStyle w:val="ListParagraph"/>
        <w:spacing w:after="0" w:line="360" w:lineRule="auto"/>
        <w:ind w:left="0"/>
        <w:jc w:val="both"/>
        <w:rPr>
          <w:rFonts w:ascii="Arial" w:hAnsi="Arial" w:cs="Arial"/>
        </w:rPr>
      </w:pPr>
      <w:r w:rsidRPr="004A73C1">
        <w:rPr>
          <w:rFonts w:ascii="Arial" w:hAnsi="Arial" w:cs="Arial"/>
        </w:rPr>
        <w:t>This layer involves choosing a specific research strategy</w:t>
      </w:r>
      <w:r w:rsidR="00127D43" w:rsidRPr="004A73C1">
        <w:rPr>
          <w:rFonts w:ascii="Arial" w:hAnsi="Arial" w:cs="Arial"/>
        </w:rPr>
        <w:t>, such as experiments, surveys, case studies, or ethnography,</w:t>
      </w:r>
      <w:r w:rsidRPr="004A73C1">
        <w:rPr>
          <w:rFonts w:ascii="Arial" w:hAnsi="Arial" w:cs="Arial"/>
        </w:rPr>
        <w:t xml:space="preserve"> based on the nature of the research problem.</w:t>
      </w:r>
    </w:p>
    <w:p w14:paraId="690E24FD" w14:textId="742812FD" w:rsidR="00B90250" w:rsidRPr="004A73C1" w:rsidRDefault="00B90250" w:rsidP="00EF2E34">
      <w:pPr>
        <w:spacing w:line="360" w:lineRule="auto"/>
        <w:rPr>
          <w:rFonts w:ascii="Arial" w:hAnsi="Arial" w:cs="Arial"/>
          <w:b/>
          <w:bCs/>
        </w:rPr>
      </w:pPr>
      <w:r w:rsidRPr="004A73C1">
        <w:rPr>
          <w:rFonts w:ascii="Arial" w:hAnsi="Arial" w:cs="Arial"/>
          <w:b/>
          <w:bCs/>
        </w:rPr>
        <w:t xml:space="preserve">Time Horizon: </w:t>
      </w:r>
    </w:p>
    <w:p w14:paraId="4BA25276" w14:textId="2497A7D4" w:rsidR="00B90250" w:rsidRPr="004A73C1" w:rsidRDefault="00B90250" w:rsidP="00EF2E34">
      <w:pPr>
        <w:pStyle w:val="ListParagraph"/>
        <w:spacing w:after="0" w:line="360" w:lineRule="auto"/>
        <w:ind w:left="0"/>
        <w:jc w:val="both"/>
        <w:rPr>
          <w:rFonts w:ascii="Arial" w:hAnsi="Arial" w:cs="Arial"/>
        </w:rPr>
      </w:pPr>
      <w:r w:rsidRPr="004A73C1">
        <w:rPr>
          <w:rFonts w:ascii="Arial" w:hAnsi="Arial" w:cs="Arial"/>
        </w:rPr>
        <w:t>This layer refers to the research's temporal perspective and whether the study is cross-sectional or longitudinal.</w:t>
      </w:r>
    </w:p>
    <w:p w14:paraId="472492C8" w14:textId="406D6940" w:rsidR="00B90250" w:rsidRPr="004A73C1" w:rsidRDefault="00B90250" w:rsidP="00EF2E34">
      <w:pPr>
        <w:spacing w:line="360" w:lineRule="auto"/>
        <w:rPr>
          <w:rFonts w:ascii="Arial" w:hAnsi="Arial" w:cs="Arial"/>
          <w:b/>
          <w:bCs/>
        </w:rPr>
      </w:pPr>
      <w:r w:rsidRPr="004A73C1">
        <w:rPr>
          <w:rFonts w:ascii="Arial" w:hAnsi="Arial" w:cs="Arial"/>
          <w:b/>
          <w:bCs/>
        </w:rPr>
        <w:t xml:space="preserve">Data Collection Methods: </w:t>
      </w:r>
    </w:p>
    <w:p w14:paraId="62973081" w14:textId="2C7BD516" w:rsidR="00B90250" w:rsidRPr="004A73C1" w:rsidRDefault="00B90250" w:rsidP="00EF2E34">
      <w:pPr>
        <w:pStyle w:val="ListParagraph"/>
        <w:spacing w:after="0" w:line="360" w:lineRule="auto"/>
        <w:ind w:left="0"/>
        <w:jc w:val="both"/>
        <w:rPr>
          <w:rFonts w:ascii="Arial" w:hAnsi="Arial" w:cs="Arial"/>
        </w:rPr>
      </w:pPr>
      <w:r w:rsidRPr="004A73C1">
        <w:rPr>
          <w:rFonts w:ascii="Arial" w:hAnsi="Arial" w:cs="Arial"/>
        </w:rPr>
        <w:t xml:space="preserve">This layer covers the methods and techniques employed to gather relevant data, </w:t>
      </w:r>
      <w:r w:rsidR="00127D43" w:rsidRPr="004A73C1">
        <w:rPr>
          <w:rFonts w:ascii="Arial" w:hAnsi="Arial" w:cs="Arial"/>
        </w:rPr>
        <w:t>including</w:t>
      </w:r>
      <w:r w:rsidRPr="004A73C1">
        <w:rPr>
          <w:rFonts w:ascii="Arial" w:hAnsi="Arial" w:cs="Arial"/>
        </w:rPr>
        <w:t xml:space="preserve"> surveys, interviews, observations, or document analysis.</w:t>
      </w:r>
    </w:p>
    <w:p w14:paraId="13F367CB" w14:textId="406B811C" w:rsidR="00B90250" w:rsidRPr="004A73C1" w:rsidRDefault="00B90250" w:rsidP="00EF2E34">
      <w:pPr>
        <w:spacing w:line="360" w:lineRule="auto"/>
        <w:rPr>
          <w:rFonts w:ascii="Arial" w:hAnsi="Arial" w:cs="Arial"/>
          <w:b/>
          <w:bCs/>
        </w:rPr>
      </w:pPr>
      <w:r w:rsidRPr="004A73C1">
        <w:rPr>
          <w:rFonts w:ascii="Arial" w:hAnsi="Arial" w:cs="Arial"/>
          <w:b/>
          <w:bCs/>
        </w:rPr>
        <w:t xml:space="preserve">Data Analysis Techniques: </w:t>
      </w:r>
    </w:p>
    <w:p w14:paraId="16AE3016" w14:textId="16442119" w:rsidR="00B90250" w:rsidRPr="004A73C1" w:rsidRDefault="00B90250" w:rsidP="00EF2E34">
      <w:pPr>
        <w:pStyle w:val="ListParagraph"/>
        <w:spacing w:after="0" w:line="360" w:lineRule="auto"/>
        <w:ind w:left="0"/>
        <w:jc w:val="both"/>
        <w:rPr>
          <w:rFonts w:ascii="Arial" w:hAnsi="Arial" w:cs="Arial"/>
        </w:rPr>
      </w:pPr>
      <w:r w:rsidRPr="004A73C1">
        <w:rPr>
          <w:rFonts w:ascii="Arial" w:hAnsi="Arial" w:cs="Arial"/>
        </w:rPr>
        <w:t>This layer includes the methods used to analyse and interpret the collected data, such as statistical analysis, content analysis, thematic analysis, or grounded theory.</w:t>
      </w:r>
    </w:p>
    <w:p w14:paraId="34AA7CD6" w14:textId="20707D0E" w:rsidR="00DB196A" w:rsidRDefault="00B90250" w:rsidP="00EF2E34">
      <w:pPr>
        <w:pStyle w:val="ListParagraph"/>
        <w:spacing w:after="0" w:line="360" w:lineRule="auto"/>
        <w:ind w:left="0"/>
        <w:jc w:val="both"/>
        <w:rPr>
          <w:rFonts w:ascii="Arial" w:hAnsi="Arial" w:cs="Arial"/>
        </w:rPr>
      </w:pPr>
      <w:r w:rsidRPr="004A73C1">
        <w:rPr>
          <w:rFonts w:ascii="Arial" w:hAnsi="Arial" w:cs="Arial"/>
        </w:rPr>
        <w:lastRenderedPageBreak/>
        <w:t>The research onion provides a comprehensive framework for researchers to conceptualise the various elements involved in the research process and make informed decisions at each stage. It encourages researchers to consider the interconnectedness of the different layers and how they influence each other throughout the research journey.</w:t>
      </w:r>
    </w:p>
    <w:p w14:paraId="4E43B11B" w14:textId="73730E1B" w:rsidR="000C59D1" w:rsidRPr="004A73C1" w:rsidRDefault="003F68BF" w:rsidP="00EF2E34">
      <w:pPr>
        <w:pStyle w:val="Heading2"/>
        <w:spacing w:line="360" w:lineRule="auto"/>
        <w:rPr>
          <w:rFonts w:ascii="Arial" w:hAnsi="Arial" w:cs="Arial"/>
          <w:color w:val="auto"/>
        </w:rPr>
      </w:pPr>
      <w:bookmarkStart w:id="117" w:name="_Toc175056480"/>
      <w:bookmarkStart w:id="118" w:name="_Toc175848137"/>
      <w:r w:rsidRPr="004A73C1">
        <w:rPr>
          <w:rFonts w:ascii="Arial" w:hAnsi="Arial" w:cs="Arial"/>
          <w:color w:val="auto"/>
        </w:rPr>
        <w:t>3.9</w:t>
      </w:r>
      <w:r w:rsidRPr="004A73C1">
        <w:rPr>
          <w:rFonts w:ascii="Arial" w:hAnsi="Arial" w:cs="Arial"/>
          <w:color w:val="auto"/>
        </w:rPr>
        <w:tab/>
      </w:r>
      <w:r w:rsidR="000C59D1" w:rsidRPr="004A73C1">
        <w:rPr>
          <w:rFonts w:ascii="Arial" w:hAnsi="Arial" w:cs="Arial"/>
          <w:color w:val="auto"/>
        </w:rPr>
        <w:t xml:space="preserve">Ethical </w:t>
      </w:r>
      <w:r w:rsidR="00C13730">
        <w:rPr>
          <w:rFonts w:ascii="Arial" w:hAnsi="Arial" w:cs="Arial"/>
          <w:color w:val="auto"/>
        </w:rPr>
        <w:t>C</w:t>
      </w:r>
      <w:r w:rsidR="000C59D1" w:rsidRPr="004A73C1">
        <w:rPr>
          <w:rFonts w:ascii="Arial" w:hAnsi="Arial" w:cs="Arial"/>
          <w:color w:val="auto"/>
        </w:rPr>
        <w:t>onsideration</w:t>
      </w:r>
      <w:bookmarkEnd w:id="117"/>
      <w:bookmarkEnd w:id="118"/>
    </w:p>
    <w:p w14:paraId="15EE3487" w14:textId="77777777" w:rsidR="000C59D1" w:rsidRDefault="000C59D1" w:rsidP="00EF2E34">
      <w:pPr>
        <w:spacing w:after="0" w:line="360" w:lineRule="auto"/>
        <w:jc w:val="both"/>
        <w:rPr>
          <w:rFonts w:ascii="Arial" w:hAnsi="Arial" w:cs="Arial"/>
        </w:rPr>
      </w:pPr>
      <w:r w:rsidRPr="004A73C1">
        <w:rPr>
          <w:rFonts w:ascii="Arial" w:hAnsi="Arial" w:cs="Arial"/>
        </w:rPr>
        <w:t>When conducting research, ethical considerations play a crucial role in ensuring the rights and well-being of participants are protected. Researchers must adhere to ethical guidelines, such as obtaining informed consent from participants, ensuring confidentiality, and minimising potential harm. Additionally, it is essential to consider the research's cultural sensitivity and avoid discrimination. Ethical considerations help maintain the integrity and validity of the research process.</w:t>
      </w:r>
    </w:p>
    <w:p w14:paraId="13ABCB0F" w14:textId="2C80FEEA" w:rsidR="00CE2452" w:rsidRPr="004A73C1" w:rsidRDefault="00CA52E6" w:rsidP="00EF2E34">
      <w:pPr>
        <w:pStyle w:val="Heading2"/>
        <w:spacing w:line="360" w:lineRule="auto"/>
        <w:rPr>
          <w:rFonts w:ascii="Arial" w:hAnsi="Arial" w:cs="Arial"/>
          <w:color w:val="auto"/>
        </w:rPr>
      </w:pPr>
      <w:bookmarkStart w:id="119" w:name="_Toc175056481"/>
      <w:bookmarkStart w:id="120" w:name="_Toc175848138"/>
      <w:r w:rsidRPr="004A73C1">
        <w:rPr>
          <w:rFonts w:ascii="Arial" w:hAnsi="Arial" w:cs="Arial"/>
          <w:color w:val="auto"/>
        </w:rPr>
        <w:t>3.</w:t>
      </w:r>
      <w:r w:rsidR="003F68BF" w:rsidRPr="004A73C1">
        <w:rPr>
          <w:rFonts w:ascii="Arial" w:hAnsi="Arial" w:cs="Arial"/>
          <w:color w:val="auto"/>
        </w:rPr>
        <w:t>10</w:t>
      </w:r>
      <w:r w:rsidRPr="004A73C1">
        <w:rPr>
          <w:rFonts w:ascii="Arial" w:hAnsi="Arial" w:cs="Arial"/>
          <w:color w:val="auto"/>
        </w:rPr>
        <w:tab/>
      </w:r>
      <w:r w:rsidR="00CE2452" w:rsidRPr="004A73C1">
        <w:rPr>
          <w:rFonts w:ascii="Arial" w:hAnsi="Arial" w:cs="Arial"/>
          <w:color w:val="auto"/>
        </w:rPr>
        <w:t>Chapter Summary</w:t>
      </w:r>
      <w:bookmarkEnd w:id="119"/>
      <w:bookmarkEnd w:id="120"/>
    </w:p>
    <w:p w14:paraId="2BA7CA41" w14:textId="5B4468DD" w:rsidR="0016333C" w:rsidRPr="004A73C1" w:rsidRDefault="00CE2452" w:rsidP="00EF2E34">
      <w:pPr>
        <w:spacing w:after="0" w:line="360" w:lineRule="auto"/>
        <w:jc w:val="both"/>
        <w:rPr>
          <w:rFonts w:ascii="Arial" w:hAnsi="Arial" w:cs="Arial"/>
        </w:rPr>
      </w:pPr>
      <w:r w:rsidRPr="004A73C1">
        <w:rPr>
          <w:rFonts w:ascii="Arial" w:hAnsi="Arial" w:cs="Arial"/>
        </w:rPr>
        <w:t xml:space="preserve">This </w:t>
      </w:r>
      <w:r w:rsidR="00646CBB" w:rsidRPr="004A73C1">
        <w:rPr>
          <w:rFonts w:ascii="Arial" w:hAnsi="Arial" w:cs="Arial"/>
        </w:rPr>
        <w:t xml:space="preserve">chapter </w:t>
      </w:r>
      <w:r w:rsidRPr="004A73C1">
        <w:rPr>
          <w:rFonts w:ascii="Arial" w:hAnsi="Arial" w:cs="Arial"/>
        </w:rPr>
        <w:t xml:space="preserve">provides a comprehensive overview of the </w:t>
      </w:r>
      <w:r w:rsidR="00A704B7" w:rsidRPr="004A73C1">
        <w:rPr>
          <w:rFonts w:ascii="Arial" w:hAnsi="Arial" w:cs="Arial"/>
        </w:rPr>
        <w:t>critical</w:t>
      </w:r>
      <w:r w:rsidRPr="004A73C1">
        <w:rPr>
          <w:rFonts w:ascii="Arial" w:hAnsi="Arial" w:cs="Arial"/>
        </w:rPr>
        <w:t xml:space="preserve"> steps involved in the research process. It </w:t>
      </w:r>
      <w:r w:rsidR="00A704B7" w:rsidRPr="004A73C1">
        <w:rPr>
          <w:rFonts w:ascii="Arial" w:hAnsi="Arial" w:cs="Arial"/>
        </w:rPr>
        <w:t>emphasises</w:t>
      </w:r>
      <w:r w:rsidRPr="004A73C1">
        <w:rPr>
          <w:rFonts w:ascii="Arial" w:hAnsi="Arial" w:cs="Arial"/>
        </w:rPr>
        <w:t xml:space="preserve"> the importance of formulating a specific research question or hypothesis to address the problem, highlighting the need </w:t>
      </w:r>
      <w:r w:rsidR="00A704B7" w:rsidRPr="004A73C1">
        <w:rPr>
          <w:rFonts w:ascii="Arial" w:hAnsi="Arial" w:cs="Arial"/>
        </w:rPr>
        <w:t>to define the issue being addressed clearly</w:t>
      </w:r>
      <w:r w:rsidRPr="004A73C1">
        <w:rPr>
          <w:rFonts w:ascii="Arial" w:hAnsi="Arial" w:cs="Arial"/>
        </w:rPr>
        <w:t xml:space="preserve">. The chapter then delves into the significance of designing a detailed research methodology, </w:t>
      </w:r>
      <w:r w:rsidR="00A704B7" w:rsidRPr="004A73C1">
        <w:rPr>
          <w:rFonts w:ascii="Arial" w:hAnsi="Arial" w:cs="Arial"/>
        </w:rPr>
        <w:t>emphasising</w:t>
      </w:r>
      <w:r w:rsidRPr="004A73C1">
        <w:rPr>
          <w:rFonts w:ascii="Arial" w:hAnsi="Arial" w:cs="Arial"/>
        </w:rPr>
        <w:t xml:space="preserve"> the meticulous framework required to ensure transparency and rigour in the research process. Additionally, it </w:t>
      </w:r>
      <w:r w:rsidR="00A704B7" w:rsidRPr="004A73C1">
        <w:rPr>
          <w:rFonts w:ascii="Arial" w:hAnsi="Arial" w:cs="Arial"/>
        </w:rPr>
        <w:t>emphasises</w:t>
      </w:r>
      <w:r w:rsidRPr="004A73C1">
        <w:rPr>
          <w:rFonts w:ascii="Arial" w:hAnsi="Arial" w:cs="Arial"/>
        </w:rPr>
        <w:t xml:space="preserve"> the importance of collecting and analysing data using appropriate methods to derive meaningful insights</w:t>
      </w:r>
      <w:r w:rsidR="00A704B7" w:rsidRPr="004A73C1">
        <w:rPr>
          <w:rFonts w:ascii="Arial" w:hAnsi="Arial" w:cs="Arial"/>
        </w:rPr>
        <w:t>. It draws</w:t>
      </w:r>
      <w:r w:rsidRPr="004A73C1">
        <w:rPr>
          <w:rFonts w:ascii="Arial" w:hAnsi="Arial" w:cs="Arial"/>
        </w:rPr>
        <w:t xml:space="preserve"> attention to the need for maintaining data integrity and ethical conduct throughout this process. Furthermore, the chapter </w:t>
      </w:r>
      <w:r w:rsidR="00A704B7" w:rsidRPr="004A73C1">
        <w:rPr>
          <w:rFonts w:ascii="Arial" w:hAnsi="Arial" w:cs="Arial"/>
        </w:rPr>
        <w:t>emphasises</w:t>
      </w:r>
      <w:r w:rsidRPr="004A73C1">
        <w:rPr>
          <w:rFonts w:ascii="Arial" w:hAnsi="Arial" w:cs="Arial"/>
        </w:rPr>
        <w:t xml:space="preserve"> the significance of drawing conclusions based on the analysis and discussing the implications of the findings, stressing the need for thoroughness and transparency in the </w:t>
      </w:r>
      <w:r w:rsidR="00A704B7" w:rsidRPr="004A73C1">
        <w:rPr>
          <w:rFonts w:ascii="Arial" w:hAnsi="Arial" w:cs="Arial"/>
        </w:rPr>
        <w:t>study</w:t>
      </w:r>
      <w:r w:rsidRPr="004A73C1">
        <w:rPr>
          <w:rFonts w:ascii="Arial" w:hAnsi="Arial" w:cs="Arial"/>
        </w:rPr>
        <w:t xml:space="preserve">. Lastly, the chapter underscores the importance of effectively communicating research findings through reports, presentations, or publications, </w:t>
      </w:r>
      <w:r w:rsidR="00A704B7" w:rsidRPr="004A73C1">
        <w:rPr>
          <w:rFonts w:ascii="Arial" w:hAnsi="Arial" w:cs="Arial"/>
        </w:rPr>
        <w:t>focusing</w:t>
      </w:r>
      <w:r w:rsidRPr="004A73C1">
        <w:rPr>
          <w:rFonts w:ascii="Arial" w:hAnsi="Arial" w:cs="Arial"/>
        </w:rPr>
        <w:t xml:space="preserve"> on ensuring clarity and accessibility while also adhering to ethical considerations to protect the rights and well-being of participants.</w:t>
      </w:r>
    </w:p>
    <w:p w14:paraId="528AAF1C" w14:textId="77777777" w:rsidR="0016333C" w:rsidRPr="004A73C1" w:rsidRDefault="0016333C" w:rsidP="00EF2E34">
      <w:pPr>
        <w:spacing w:line="360" w:lineRule="auto"/>
        <w:jc w:val="both"/>
        <w:rPr>
          <w:rFonts w:ascii="Arial" w:hAnsi="Arial" w:cs="Arial"/>
        </w:rPr>
      </w:pPr>
      <w:r w:rsidRPr="004A73C1">
        <w:rPr>
          <w:rFonts w:ascii="Arial" w:hAnsi="Arial" w:cs="Arial"/>
        </w:rPr>
        <w:br w:type="page"/>
      </w:r>
    </w:p>
    <w:p w14:paraId="51C273FC" w14:textId="617E8F78" w:rsidR="009A1733" w:rsidRPr="004A73C1" w:rsidRDefault="00E11091" w:rsidP="00083B6C">
      <w:pPr>
        <w:pStyle w:val="Heading1"/>
        <w:spacing w:line="360" w:lineRule="auto"/>
        <w:jc w:val="center"/>
        <w:rPr>
          <w:rFonts w:ascii="Arial" w:hAnsi="Arial" w:cs="Arial"/>
          <w:b/>
          <w:bCs/>
          <w:color w:val="002060"/>
          <w:sz w:val="28"/>
          <w:szCs w:val="28"/>
        </w:rPr>
      </w:pPr>
      <w:bookmarkStart w:id="121" w:name="_Toc316003069"/>
      <w:bookmarkStart w:id="122" w:name="_Toc316005709"/>
      <w:bookmarkStart w:id="123" w:name="_Toc175056482"/>
      <w:bookmarkStart w:id="124" w:name="_Toc175848139"/>
      <w:r w:rsidRPr="004A73C1">
        <w:rPr>
          <w:rFonts w:ascii="Arial" w:hAnsi="Arial" w:cs="Arial"/>
          <w:b/>
          <w:bCs/>
          <w:color w:val="002060"/>
          <w:sz w:val="28"/>
          <w:szCs w:val="28"/>
        </w:rPr>
        <w:lastRenderedPageBreak/>
        <w:t>Chapter 4: Dissertation Analysis &amp; Findings.</w:t>
      </w:r>
      <w:bookmarkEnd w:id="121"/>
      <w:bookmarkEnd w:id="122"/>
      <w:bookmarkEnd w:id="123"/>
      <w:bookmarkEnd w:id="124"/>
    </w:p>
    <w:p w14:paraId="19FB3B7B" w14:textId="780A60D9" w:rsidR="00E11091" w:rsidRPr="004A73C1" w:rsidRDefault="00000000" w:rsidP="00EF2E34">
      <w:pPr>
        <w:spacing w:line="360" w:lineRule="auto"/>
        <w:jc w:val="both"/>
        <w:rPr>
          <w:rFonts w:ascii="Arial" w:hAnsi="Arial" w:cs="Arial"/>
          <w:color w:val="000000"/>
          <w:shd w:val="clear" w:color="auto" w:fill="FFFFFF"/>
        </w:rPr>
      </w:pPr>
      <w:r>
        <w:rPr>
          <w:rFonts w:ascii="Arial" w:hAnsi="Arial" w:cs="Arial"/>
        </w:rPr>
        <w:pict w14:anchorId="70E76493">
          <v:rect id="_x0000_i1028" style="width:0;height:1.5pt" o:hralign="center" o:hrstd="t" o:hr="t" fillcolor="#a0a0a0" stroked="f"/>
        </w:pict>
      </w:r>
    </w:p>
    <w:p w14:paraId="2C9C9187" w14:textId="3EBB1B83" w:rsidR="002F73F0" w:rsidRPr="004A73C1" w:rsidRDefault="00CA52E6" w:rsidP="00EF2E34">
      <w:pPr>
        <w:pStyle w:val="Heading2"/>
        <w:spacing w:line="360" w:lineRule="auto"/>
        <w:rPr>
          <w:rFonts w:ascii="Arial" w:hAnsi="Arial" w:cs="Arial"/>
          <w:color w:val="auto"/>
        </w:rPr>
      </w:pPr>
      <w:bookmarkStart w:id="125" w:name="_Toc175056483"/>
      <w:bookmarkStart w:id="126" w:name="_Toc175848140"/>
      <w:r w:rsidRPr="004A73C1">
        <w:rPr>
          <w:rFonts w:ascii="Arial" w:hAnsi="Arial" w:cs="Arial"/>
          <w:color w:val="auto"/>
        </w:rPr>
        <w:t>4.1</w:t>
      </w:r>
      <w:r w:rsidRPr="004A73C1">
        <w:rPr>
          <w:rFonts w:ascii="Arial" w:hAnsi="Arial" w:cs="Arial"/>
          <w:color w:val="auto"/>
        </w:rPr>
        <w:tab/>
      </w:r>
      <w:r w:rsidR="002F73F0" w:rsidRPr="004A73C1">
        <w:rPr>
          <w:rFonts w:ascii="Arial" w:hAnsi="Arial" w:cs="Arial"/>
          <w:color w:val="auto"/>
        </w:rPr>
        <w:t>Introduction</w:t>
      </w:r>
      <w:bookmarkEnd w:id="125"/>
      <w:bookmarkEnd w:id="126"/>
    </w:p>
    <w:p w14:paraId="02023AE9" w14:textId="1D0298A9" w:rsidR="002F73F0" w:rsidRPr="004A73C1" w:rsidRDefault="002F73F0" w:rsidP="00EF2E34">
      <w:pPr>
        <w:spacing w:line="360" w:lineRule="auto"/>
        <w:jc w:val="both"/>
        <w:rPr>
          <w:rFonts w:ascii="Arial" w:hAnsi="Arial" w:cs="Arial"/>
        </w:rPr>
      </w:pPr>
      <w:r w:rsidRPr="004A73C1">
        <w:rPr>
          <w:rFonts w:ascii="Arial" w:hAnsi="Arial" w:cs="Arial"/>
        </w:rPr>
        <w:t xml:space="preserve">This section of the dissertation will systematically present the </w:t>
      </w:r>
      <w:r w:rsidR="00BF0083" w:rsidRPr="004A73C1">
        <w:rPr>
          <w:rFonts w:ascii="Arial" w:hAnsi="Arial" w:cs="Arial"/>
        </w:rPr>
        <w:t>research findings and analysis</w:t>
      </w:r>
      <w:r w:rsidRPr="004A73C1">
        <w:rPr>
          <w:rFonts w:ascii="Arial" w:hAnsi="Arial" w:cs="Arial"/>
        </w:rPr>
        <w:t>, aligning them with the predefined goals established in the preceding chapters. Furthermore, it will conclude with a comprehensive summary of the presented information.</w:t>
      </w:r>
    </w:p>
    <w:p w14:paraId="23805CE4" w14:textId="64173DBD" w:rsidR="002F73F0" w:rsidRPr="004A73C1" w:rsidRDefault="00CA52E6" w:rsidP="00EF2E34">
      <w:pPr>
        <w:pStyle w:val="Heading2"/>
        <w:spacing w:line="360" w:lineRule="auto"/>
        <w:rPr>
          <w:rFonts w:ascii="Arial" w:hAnsi="Arial" w:cs="Arial"/>
          <w:color w:val="auto"/>
        </w:rPr>
      </w:pPr>
      <w:bookmarkStart w:id="127" w:name="_Toc175056484"/>
      <w:bookmarkStart w:id="128" w:name="_Toc175848141"/>
      <w:r w:rsidRPr="004A73C1">
        <w:rPr>
          <w:rFonts w:ascii="Arial" w:hAnsi="Arial" w:cs="Arial"/>
          <w:color w:val="auto"/>
        </w:rPr>
        <w:t>4.2</w:t>
      </w:r>
      <w:r w:rsidRPr="004A73C1">
        <w:rPr>
          <w:rFonts w:ascii="Arial" w:hAnsi="Arial" w:cs="Arial"/>
          <w:color w:val="auto"/>
        </w:rPr>
        <w:tab/>
      </w:r>
      <w:r w:rsidR="002F73F0" w:rsidRPr="004A73C1">
        <w:rPr>
          <w:rFonts w:ascii="Arial" w:hAnsi="Arial" w:cs="Arial"/>
          <w:color w:val="auto"/>
        </w:rPr>
        <w:t>FDI Overview</w:t>
      </w:r>
      <w:bookmarkEnd w:id="127"/>
      <w:bookmarkEnd w:id="128"/>
    </w:p>
    <w:p w14:paraId="0E785BC4" w14:textId="473BEDF1" w:rsidR="002F73F0" w:rsidRPr="004A73C1" w:rsidRDefault="00BF0083" w:rsidP="00EF2E34">
      <w:pPr>
        <w:spacing w:line="360" w:lineRule="auto"/>
        <w:jc w:val="both"/>
        <w:rPr>
          <w:rFonts w:ascii="Arial" w:hAnsi="Arial" w:cs="Arial"/>
        </w:rPr>
      </w:pPr>
      <w:r w:rsidRPr="004A73C1">
        <w:rPr>
          <w:rFonts w:ascii="Arial" w:hAnsi="Arial" w:cs="Arial"/>
        </w:rPr>
        <w:t>Foreign direct investment (FDI) serves as a vital catalyst for the global economy, driving economic growth, creating fresh business opportunities, and nurturing innovation and technological advancement. FDI is intricately linked to specific geographical attributes, market expansion potential, and factors such as labour costs, transport accessibility, and technological advancements. Its impact on the economy is significant and positive, fuelling rapid and widespread economic expansion. The appeal of markets for FDI varies across regions and is influenced by factors such as the legal framework, financial prospects, and political stability. Furthermore, the decision to join international bodies like the EU can significantly affect FDI flows between countries, as evidenced by studies examining FDI data among OECD nations.</w:t>
      </w:r>
    </w:p>
    <w:p w14:paraId="43CAE50D" w14:textId="77777777" w:rsidR="001B3596" w:rsidRPr="004A73C1" w:rsidRDefault="001B3596" w:rsidP="001B3596">
      <w:pPr>
        <w:spacing w:after="160" w:line="360" w:lineRule="auto"/>
        <w:jc w:val="both"/>
        <w:rPr>
          <w:rFonts w:ascii="Arial" w:hAnsi="Arial" w:cs="Arial"/>
        </w:rPr>
      </w:pPr>
      <w:r w:rsidRPr="004A73C1">
        <w:rPr>
          <w:rFonts w:ascii="Arial" w:hAnsi="Arial" w:cs="Arial"/>
        </w:rPr>
        <w:t xml:space="preserve">Greater London saw 359 projects involving foreign direct investment (FDI) in 2023, up 20% from 2022. Greater London's status as Europe's best-performing investment location was cemented by this rise. The West Midlands saw notable expansion as well, gaining 127 projects in 2023—a 72% increase from the year before and a seventh-best ranking for FDI in Europe. In 2023, the UK's portion of the European inward investment market increased from 15.6% in 2022 to 17.3%. Increased digital investment was a major factor in the UK's FDI growth last year; the nation secured more than a quarter (27%) of all European tech projects. According to EY's annual rating of European nations, the UK continues to rank second for attracting projects involving foreign direct investment (FDI). It was the only one of the top three countries where the number of projects increased annually. Germany came in third, and France took the top spot in Europe for the fifth year running, according to the EY 2024 UK Attractiveness Survey. In 2023, there were 985 FDI projects in the UK, up 6% from the previous year </w:t>
      </w:r>
      <w:r w:rsidR="002F73F0" w:rsidRPr="004A73C1">
        <w:rPr>
          <w:rFonts w:ascii="Arial" w:hAnsi="Arial" w:cs="Arial"/>
        </w:rPr>
        <w:t>(EY.com-news, July 2024)</w:t>
      </w:r>
      <w:r w:rsidRPr="004A73C1">
        <w:rPr>
          <w:rFonts w:ascii="Arial" w:hAnsi="Arial" w:cs="Arial"/>
        </w:rPr>
        <w:t>.</w:t>
      </w:r>
      <w:bookmarkStart w:id="129" w:name="_Toc175056485"/>
    </w:p>
    <w:p w14:paraId="692AF0C2" w14:textId="70FA0CD3" w:rsidR="001B3596" w:rsidRPr="004A73C1" w:rsidRDefault="001B3596" w:rsidP="001B3596">
      <w:pPr>
        <w:spacing w:after="160" w:line="360" w:lineRule="auto"/>
        <w:jc w:val="both"/>
        <w:rPr>
          <w:rFonts w:ascii="Arial" w:hAnsi="Arial" w:cs="Arial"/>
        </w:rPr>
      </w:pPr>
      <w:r w:rsidRPr="004A73C1">
        <w:rPr>
          <w:rFonts w:ascii="Arial" w:hAnsi="Arial" w:cs="Arial"/>
        </w:rPr>
        <w:t xml:space="preserve">Foreign direct investment, also known as parent enterprise or foreign direct investment, is defined by </w:t>
      </w:r>
      <w:proofErr w:type="spellStart"/>
      <w:r w:rsidRPr="004A73C1">
        <w:rPr>
          <w:rFonts w:ascii="Arial" w:hAnsi="Arial" w:cs="Arial"/>
        </w:rPr>
        <w:t>Carkovic</w:t>
      </w:r>
      <w:proofErr w:type="spellEnd"/>
      <w:r w:rsidRPr="004A73C1">
        <w:rPr>
          <w:rFonts w:ascii="Arial" w:hAnsi="Arial" w:cs="Arial"/>
        </w:rPr>
        <w:t xml:space="preserve"> and Levine (2002) as an investment that involves a long-term relationship and reflects a persistent interest and control by a resident entity in one economy over an enterprise that is resident in an economy other than the investor's. This comprises the first transaction that establishes the financial relationship and any follow-up transactions that are connected to the inflow and outflow of foreign direct investment between the foreign affiliate and the foreign direct investor. A substantial amount of influence or control over the </w:t>
      </w:r>
      <w:r w:rsidRPr="004A73C1">
        <w:rPr>
          <w:rFonts w:ascii="Arial" w:hAnsi="Arial" w:cs="Arial"/>
        </w:rPr>
        <w:lastRenderedPageBreak/>
        <w:t>management and operations of the invested enterprise can be gained via forming subsidiaries, mergers, and acquisitions, as well as by starting new businesses. These strategies are usually used to establish a long-lasting presence.</w:t>
      </w:r>
    </w:p>
    <w:p w14:paraId="7DD615BB" w14:textId="5F5ED61F" w:rsidR="00E4547C" w:rsidRPr="004A73C1" w:rsidRDefault="00CA52E6" w:rsidP="00EF2E34">
      <w:pPr>
        <w:pStyle w:val="Heading2"/>
        <w:spacing w:line="360" w:lineRule="auto"/>
        <w:rPr>
          <w:rFonts w:ascii="Arial" w:hAnsi="Arial" w:cs="Arial"/>
          <w:color w:val="auto"/>
        </w:rPr>
      </w:pPr>
      <w:bookmarkStart w:id="130" w:name="_Toc175848142"/>
      <w:r w:rsidRPr="004A73C1">
        <w:rPr>
          <w:rFonts w:ascii="Arial" w:hAnsi="Arial" w:cs="Arial"/>
          <w:color w:val="auto"/>
        </w:rPr>
        <w:t>4.3</w:t>
      </w:r>
      <w:r w:rsidRPr="004A73C1">
        <w:rPr>
          <w:rFonts w:ascii="Arial" w:hAnsi="Arial" w:cs="Arial"/>
          <w:color w:val="auto"/>
        </w:rPr>
        <w:tab/>
      </w:r>
      <w:r w:rsidR="000F1DEE" w:rsidRPr="004A73C1">
        <w:rPr>
          <w:rFonts w:ascii="Arial" w:hAnsi="Arial" w:cs="Arial"/>
          <w:color w:val="auto"/>
        </w:rPr>
        <w:t>Detail Analysis of Objectives</w:t>
      </w:r>
      <w:bookmarkEnd w:id="129"/>
      <w:bookmarkEnd w:id="130"/>
      <w:r w:rsidR="000F1DEE" w:rsidRPr="004A73C1">
        <w:rPr>
          <w:rFonts w:ascii="Arial" w:hAnsi="Arial" w:cs="Arial"/>
          <w:color w:val="auto"/>
        </w:rPr>
        <w:t xml:space="preserve"> </w:t>
      </w:r>
    </w:p>
    <w:p w14:paraId="190CAA6F" w14:textId="00AFBDD3" w:rsidR="00E4547C" w:rsidRPr="004A73C1" w:rsidRDefault="00E4547C" w:rsidP="00EF2E34">
      <w:pPr>
        <w:spacing w:line="360" w:lineRule="auto"/>
        <w:jc w:val="both"/>
        <w:rPr>
          <w:rFonts w:ascii="Arial" w:eastAsia="Arial Unicode MS" w:hAnsi="Arial" w:cs="Arial"/>
        </w:rPr>
      </w:pPr>
      <w:r w:rsidRPr="004A73C1">
        <w:rPr>
          <w:rFonts w:ascii="Arial" w:eastAsia="Arial Unicode MS" w:hAnsi="Arial" w:cs="Arial"/>
        </w:rPr>
        <w:t>Now</w:t>
      </w:r>
      <w:r w:rsidR="003A6491" w:rsidRPr="004A73C1">
        <w:rPr>
          <w:rFonts w:ascii="Arial" w:eastAsia="Arial Unicode MS" w:hAnsi="Arial" w:cs="Arial"/>
        </w:rPr>
        <w:t>,</w:t>
      </w:r>
      <w:r w:rsidRPr="004A73C1">
        <w:rPr>
          <w:rFonts w:ascii="Arial" w:eastAsia="Arial Unicode MS" w:hAnsi="Arial" w:cs="Arial"/>
        </w:rPr>
        <w:t xml:space="preserve"> we will discuss </w:t>
      </w:r>
      <w:r w:rsidR="003A6491" w:rsidRPr="004A73C1">
        <w:rPr>
          <w:rFonts w:ascii="Arial" w:eastAsia="Arial Unicode MS" w:hAnsi="Arial" w:cs="Arial"/>
        </w:rPr>
        <w:t>and analyse the research objectives in detail.</w:t>
      </w:r>
      <w:r w:rsidRPr="004A73C1">
        <w:rPr>
          <w:rFonts w:ascii="Arial" w:eastAsia="Arial Unicode MS" w:hAnsi="Arial" w:cs="Arial"/>
        </w:rPr>
        <w:t xml:space="preserve"> </w:t>
      </w:r>
    </w:p>
    <w:p w14:paraId="15F335C6" w14:textId="5D510648" w:rsidR="00E4547C" w:rsidRPr="004A73C1" w:rsidRDefault="00915B3A" w:rsidP="00EF2E34">
      <w:pPr>
        <w:pStyle w:val="ListParagraph"/>
        <w:numPr>
          <w:ilvl w:val="0"/>
          <w:numId w:val="42"/>
        </w:numPr>
        <w:spacing w:after="200" w:line="360" w:lineRule="auto"/>
        <w:jc w:val="both"/>
        <w:rPr>
          <w:rFonts w:ascii="Arial" w:eastAsia="Arial Unicode MS" w:hAnsi="Arial" w:cs="Arial"/>
        </w:rPr>
      </w:pPr>
      <w:r w:rsidRPr="004A73C1">
        <w:rPr>
          <w:rFonts w:ascii="Arial" w:eastAsia="Arial Unicode MS" w:hAnsi="Arial" w:cs="Arial"/>
        </w:rPr>
        <w:t>T</w:t>
      </w:r>
      <w:r w:rsidR="00E4547C" w:rsidRPr="004A73C1">
        <w:rPr>
          <w:rFonts w:ascii="Arial" w:eastAsia="Arial Unicode MS" w:hAnsi="Arial" w:cs="Arial"/>
        </w:rPr>
        <w:t>he main factors that can influence FDI</w:t>
      </w:r>
      <w:r w:rsidRPr="004A73C1">
        <w:rPr>
          <w:rFonts w:ascii="Arial" w:eastAsia="Arial Unicode MS" w:hAnsi="Arial" w:cs="Arial"/>
        </w:rPr>
        <w:t>.</w:t>
      </w:r>
    </w:p>
    <w:p w14:paraId="2E62B16A" w14:textId="08990C30" w:rsidR="00E4547C" w:rsidRPr="004A73C1" w:rsidRDefault="00915B3A" w:rsidP="00EF2E34">
      <w:pPr>
        <w:pStyle w:val="ListParagraph"/>
        <w:numPr>
          <w:ilvl w:val="0"/>
          <w:numId w:val="42"/>
        </w:numPr>
        <w:spacing w:after="200" w:line="360" w:lineRule="auto"/>
        <w:jc w:val="both"/>
        <w:rPr>
          <w:rFonts w:ascii="Arial" w:eastAsia="Arial Unicode MS" w:hAnsi="Arial" w:cs="Arial"/>
        </w:rPr>
      </w:pPr>
      <w:r w:rsidRPr="004A73C1">
        <w:rPr>
          <w:rFonts w:ascii="Arial" w:eastAsia="Arial Unicode MS" w:hAnsi="Arial" w:cs="Arial"/>
        </w:rPr>
        <w:t>I</w:t>
      </w:r>
      <w:r w:rsidR="00E4547C" w:rsidRPr="004A73C1">
        <w:rPr>
          <w:rFonts w:ascii="Arial" w:eastAsia="Arial Unicode MS" w:hAnsi="Arial" w:cs="Arial"/>
        </w:rPr>
        <w:t>mpact of Brexit on FDI in the UK</w:t>
      </w:r>
      <w:r w:rsidRPr="004A73C1">
        <w:rPr>
          <w:rFonts w:ascii="Arial" w:eastAsia="Arial Unicode MS" w:hAnsi="Arial" w:cs="Arial"/>
        </w:rPr>
        <w:t>.</w:t>
      </w:r>
    </w:p>
    <w:p w14:paraId="4E8263DF" w14:textId="33A31B56" w:rsidR="00B93891" w:rsidRPr="004A73C1" w:rsidRDefault="00915B3A" w:rsidP="00B93891">
      <w:pPr>
        <w:pStyle w:val="ListParagraph"/>
        <w:numPr>
          <w:ilvl w:val="0"/>
          <w:numId w:val="42"/>
        </w:numPr>
        <w:spacing w:after="200" w:line="360" w:lineRule="auto"/>
        <w:jc w:val="both"/>
        <w:rPr>
          <w:rFonts w:ascii="Arial" w:eastAsia="Arial Unicode MS" w:hAnsi="Arial" w:cs="Arial"/>
        </w:rPr>
      </w:pPr>
      <w:r w:rsidRPr="004A73C1">
        <w:rPr>
          <w:rFonts w:ascii="Arial" w:eastAsia="Arial Unicode MS" w:hAnsi="Arial" w:cs="Arial"/>
        </w:rPr>
        <w:t>T</w:t>
      </w:r>
      <w:r w:rsidR="00E4547C" w:rsidRPr="004A73C1">
        <w:rPr>
          <w:rFonts w:ascii="Arial" w:eastAsia="Arial Unicode MS" w:hAnsi="Arial" w:cs="Arial"/>
        </w:rPr>
        <w:t>he impact of FDI on economic growth</w:t>
      </w:r>
      <w:r w:rsidRPr="004A73C1">
        <w:rPr>
          <w:rFonts w:ascii="Arial" w:eastAsia="Arial Unicode MS" w:hAnsi="Arial" w:cs="Arial"/>
        </w:rPr>
        <w:t>.</w:t>
      </w:r>
    </w:p>
    <w:p w14:paraId="5DDBF14E" w14:textId="15C2D941" w:rsidR="00B93891" w:rsidRPr="004A73C1" w:rsidRDefault="00CA52E6" w:rsidP="00B93891">
      <w:pPr>
        <w:pStyle w:val="Heading2"/>
        <w:rPr>
          <w:rFonts w:ascii="Arial" w:hAnsi="Arial" w:cs="Arial"/>
          <w:color w:val="auto"/>
          <w:shd w:val="clear" w:color="auto" w:fill="FFFFFF"/>
        </w:rPr>
      </w:pPr>
      <w:bookmarkStart w:id="131" w:name="_Toc175848143"/>
      <w:r w:rsidRPr="004A73C1">
        <w:rPr>
          <w:rFonts w:ascii="Arial" w:hAnsi="Arial" w:cs="Arial"/>
          <w:color w:val="auto"/>
          <w:shd w:val="clear" w:color="auto" w:fill="FFFFFF"/>
        </w:rPr>
        <w:t>4.4</w:t>
      </w:r>
      <w:r w:rsidRPr="004A73C1">
        <w:rPr>
          <w:rFonts w:ascii="Arial" w:hAnsi="Arial" w:cs="Arial"/>
          <w:color w:val="auto"/>
          <w:shd w:val="clear" w:color="auto" w:fill="FFFFFF"/>
        </w:rPr>
        <w:tab/>
      </w:r>
      <w:r w:rsidR="00B93891" w:rsidRPr="004A73C1">
        <w:rPr>
          <w:rFonts w:ascii="Arial" w:hAnsi="Arial" w:cs="Arial"/>
          <w:color w:val="auto"/>
          <w:shd w:val="clear" w:color="auto" w:fill="FFFFFF"/>
        </w:rPr>
        <w:t>Statistical Calculations and Analysis</w:t>
      </w:r>
      <w:bookmarkEnd w:id="131"/>
    </w:p>
    <w:p w14:paraId="6F9CA5D2" w14:textId="6B48F9E8" w:rsidR="00EE7955" w:rsidRPr="004A73C1" w:rsidRDefault="00B93891" w:rsidP="00B93891">
      <w:pPr>
        <w:spacing w:after="200" w:line="360" w:lineRule="auto"/>
        <w:jc w:val="both"/>
        <w:rPr>
          <w:rFonts w:ascii="Arial" w:hAnsi="Arial" w:cs="Arial"/>
        </w:rPr>
      </w:pPr>
      <w:r w:rsidRPr="004A73C1">
        <w:rPr>
          <w:rFonts w:ascii="Arial" w:hAnsi="Arial" w:cs="Arial"/>
        </w:rPr>
        <w:t xml:space="preserve">Statistical data plays a crucial role in producing analysis by providing a quantitative framework for understanding trends, patterns, and relationships within the data. Moreover, statistical analysis enables researchers to test hypotheses, identify significant differences or correlations, and make inferences about populations based on sample data. By using statistical techniques such as regression analysis, t-tests, ANOVA, and correlation analysis, </w:t>
      </w:r>
      <w:r w:rsidR="009F26BC" w:rsidRPr="004A73C1">
        <w:rPr>
          <w:rFonts w:ascii="Arial" w:hAnsi="Arial" w:cs="Arial"/>
        </w:rPr>
        <w:t>we</w:t>
      </w:r>
      <w:r w:rsidRPr="004A73C1">
        <w:rPr>
          <w:rFonts w:ascii="Arial" w:hAnsi="Arial" w:cs="Arial"/>
        </w:rPr>
        <w:t xml:space="preserve"> can uncover hidden patterns, trends, and associations within the data, ultimately contributing to a comprehensive and evidence-based analysis.</w:t>
      </w:r>
    </w:p>
    <w:tbl>
      <w:tblPr>
        <w:tblW w:w="9313" w:type="dxa"/>
        <w:tblLook w:val="04A0" w:firstRow="1" w:lastRow="0" w:firstColumn="1" w:lastColumn="0" w:noHBand="0" w:noVBand="1"/>
      </w:tblPr>
      <w:tblGrid>
        <w:gridCol w:w="1890"/>
        <w:gridCol w:w="1812"/>
        <w:gridCol w:w="1617"/>
        <w:gridCol w:w="2085"/>
        <w:gridCol w:w="1909"/>
      </w:tblGrid>
      <w:tr w:rsidR="0092745F" w:rsidRPr="004A73C1" w14:paraId="47BAF11C" w14:textId="77777777" w:rsidTr="00BE222C">
        <w:trPr>
          <w:trHeight w:val="609"/>
        </w:trPr>
        <w:tc>
          <w:tcPr>
            <w:tcW w:w="189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493982A" w14:textId="77777777" w:rsidR="0092745F" w:rsidRPr="004A73C1" w:rsidRDefault="0092745F" w:rsidP="0092745F">
            <w:pPr>
              <w:spacing w:after="0" w:line="240" w:lineRule="auto"/>
              <w:rPr>
                <w:rFonts w:ascii="Arial" w:eastAsia="Times New Roman" w:hAnsi="Arial" w:cs="Arial"/>
                <w:color w:val="000000"/>
                <w:lang w:eastAsia="en-GB"/>
              </w:rPr>
            </w:pPr>
            <w:r w:rsidRPr="004A73C1">
              <w:rPr>
                <w:rFonts w:ascii="Arial" w:eastAsia="Times New Roman" w:hAnsi="Arial" w:cs="Arial"/>
                <w:color w:val="000000"/>
                <w:lang w:eastAsia="en-GB"/>
              </w:rPr>
              <w:t>Year</w:t>
            </w:r>
          </w:p>
        </w:tc>
        <w:tc>
          <w:tcPr>
            <w:tcW w:w="1812" w:type="dxa"/>
            <w:tcBorders>
              <w:top w:val="single" w:sz="8" w:space="0" w:color="auto"/>
              <w:left w:val="nil"/>
              <w:bottom w:val="single" w:sz="8" w:space="0" w:color="auto"/>
              <w:right w:val="single" w:sz="8" w:space="0" w:color="auto"/>
            </w:tcBorders>
            <w:shd w:val="clear" w:color="auto" w:fill="auto"/>
            <w:noWrap/>
            <w:vAlign w:val="center"/>
            <w:hideMark/>
          </w:tcPr>
          <w:p w14:paraId="5D416C15" w14:textId="77777777" w:rsidR="0092745F" w:rsidRPr="004A73C1" w:rsidRDefault="0092745F" w:rsidP="0092745F">
            <w:pPr>
              <w:spacing w:after="0" w:line="240" w:lineRule="auto"/>
              <w:rPr>
                <w:rFonts w:ascii="Arial" w:eastAsia="Times New Roman" w:hAnsi="Arial" w:cs="Arial"/>
                <w:color w:val="000000"/>
                <w:lang w:eastAsia="en-GB"/>
              </w:rPr>
            </w:pPr>
            <w:r w:rsidRPr="004A73C1">
              <w:rPr>
                <w:rFonts w:ascii="Arial" w:eastAsia="Times New Roman" w:hAnsi="Arial" w:cs="Arial"/>
                <w:color w:val="000000"/>
                <w:lang w:eastAsia="en-GB"/>
              </w:rPr>
              <w:t>NET FDI - Billions</w:t>
            </w:r>
          </w:p>
        </w:tc>
        <w:tc>
          <w:tcPr>
            <w:tcW w:w="1617" w:type="dxa"/>
            <w:tcBorders>
              <w:top w:val="single" w:sz="8" w:space="0" w:color="auto"/>
              <w:left w:val="nil"/>
              <w:bottom w:val="single" w:sz="8" w:space="0" w:color="auto"/>
              <w:right w:val="single" w:sz="8" w:space="0" w:color="auto"/>
            </w:tcBorders>
            <w:shd w:val="clear" w:color="auto" w:fill="auto"/>
            <w:noWrap/>
            <w:vAlign w:val="center"/>
            <w:hideMark/>
          </w:tcPr>
          <w:p w14:paraId="31DC3FF7" w14:textId="77777777" w:rsidR="0092745F" w:rsidRPr="004A73C1" w:rsidRDefault="0092745F" w:rsidP="0092745F">
            <w:pPr>
              <w:spacing w:after="0" w:line="240" w:lineRule="auto"/>
              <w:rPr>
                <w:rFonts w:ascii="Arial" w:eastAsia="Times New Roman" w:hAnsi="Arial" w:cs="Arial"/>
                <w:color w:val="000000"/>
                <w:lang w:eastAsia="en-GB"/>
              </w:rPr>
            </w:pPr>
            <w:r w:rsidRPr="004A73C1">
              <w:rPr>
                <w:rFonts w:ascii="Arial" w:eastAsia="Times New Roman" w:hAnsi="Arial" w:cs="Arial"/>
                <w:color w:val="000000"/>
                <w:lang w:eastAsia="en-GB"/>
              </w:rPr>
              <w:t>GDP- In Billions</w:t>
            </w:r>
          </w:p>
        </w:tc>
        <w:tc>
          <w:tcPr>
            <w:tcW w:w="2085" w:type="dxa"/>
            <w:tcBorders>
              <w:top w:val="single" w:sz="8" w:space="0" w:color="auto"/>
              <w:left w:val="nil"/>
              <w:bottom w:val="single" w:sz="8" w:space="0" w:color="auto"/>
              <w:right w:val="single" w:sz="8" w:space="0" w:color="auto"/>
            </w:tcBorders>
            <w:shd w:val="clear" w:color="auto" w:fill="auto"/>
            <w:noWrap/>
            <w:vAlign w:val="center"/>
            <w:hideMark/>
          </w:tcPr>
          <w:p w14:paraId="698EB481" w14:textId="77777777" w:rsidR="0092745F" w:rsidRPr="004A73C1" w:rsidRDefault="0092745F" w:rsidP="0092745F">
            <w:pPr>
              <w:spacing w:after="0" w:line="240" w:lineRule="auto"/>
              <w:rPr>
                <w:rFonts w:ascii="Arial" w:eastAsia="Times New Roman" w:hAnsi="Arial" w:cs="Arial"/>
                <w:color w:val="000000"/>
                <w:lang w:eastAsia="en-GB"/>
              </w:rPr>
            </w:pPr>
            <w:r w:rsidRPr="004A73C1">
              <w:rPr>
                <w:rFonts w:ascii="Arial" w:eastAsia="Times New Roman" w:hAnsi="Arial" w:cs="Arial"/>
                <w:color w:val="000000"/>
                <w:lang w:eastAsia="en-GB"/>
              </w:rPr>
              <w:t>Unemployment Rate</w:t>
            </w:r>
          </w:p>
        </w:tc>
        <w:tc>
          <w:tcPr>
            <w:tcW w:w="1909" w:type="dxa"/>
            <w:tcBorders>
              <w:top w:val="single" w:sz="8" w:space="0" w:color="auto"/>
              <w:left w:val="nil"/>
              <w:bottom w:val="single" w:sz="8" w:space="0" w:color="auto"/>
              <w:right w:val="single" w:sz="8" w:space="0" w:color="auto"/>
            </w:tcBorders>
            <w:shd w:val="clear" w:color="auto" w:fill="auto"/>
            <w:vAlign w:val="center"/>
            <w:hideMark/>
          </w:tcPr>
          <w:p w14:paraId="22AFA789" w14:textId="77777777" w:rsidR="0092745F" w:rsidRPr="004A73C1" w:rsidRDefault="0092745F" w:rsidP="0092745F">
            <w:pPr>
              <w:spacing w:after="0" w:line="240" w:lineRule="auto"/>
              <w:rPr>
                <w:rFonts w:ascii="Arial" w:eastAsia="Times New Roman" w:hAnsi="Arial" w:cs="Arial"/>
                <w:color w:val="000000"/>
                <w:lang w:eastAsia="en-GB"/>
              </w:rPr>
            </w:pPr>
            <w:r w:rsidRPr="004A73C1">
              <w:rPr>
                <w:rFonts w:ascii="Arial" w:eastAsia="Times New Roman" w:hAnsi="Arial" w:cs="Arial"/>
                <w:color w:val="000000"/>
                <w:lang w:eastAsia="en-GB"/>
              </w:rPr>
              <w:t>Percentage FDI/GDP%</w:t>
            </w:r>
          </w:p>
        </w:tc>
      </w:tr>
      <w:tr w:rsidR="0092745F" w:rsidRPr="004A73C1" w14:paraId="11A28ADF"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69C09DCE"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2015</w:t>
            </w:r>
          </w:p>
        </w:tc>
        <w:tc>
          <w:tcPr>
            <w:tcW w:w="1812" w:type="dxa"/>
            <w:tcBorders>
              <w:top w:val="nil"/>
              <w:left w:val="nil"/>
              <w:bottom w:val="single" w:sz="8" w:space="0" w:color="auto"/>
              <w:right w:val="single" w:sz="8" w:space="0" w:color="auto"/>
            </w:tcBorders>
            <w:shd w:val="clear" w:color="auto" w:fill="auto"/>
            <w:noWrap/>
            <w:vAlign w:val="center"/>
            <w:hideMark/>
          </w:tcPr>
          <w:p w14:paraId="1D72D17D"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-105.51</w:t>
            </w:r>
          </w:p>
        </w:tc>
        <w:tc>
          <w:tcPr>
            <w:tcW w:w="1617" w:type="dxa"/>
            <w:tcBorders>
              <w:top w:val="nil"/>
              <w:left w:val="nil"/>
              <w:bottom w:val="single" w:sz="8" w:space="0" w:color="auto"/>
              <w:right w:val="single" w:sz="8" w:space="0" w:color="auto"/>
            </w:tcBorders>
            <w:shd w:val="clear" w:color="auto" w:fill="auto"/>
            <w:noWrap/>
            <w:vAlign w:val="center"/>
            <w:hideMark/>
          </w:tcPr>
          <w:p w14:paraId="58DB603B"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2,927.91</w:t>
            </w:r>
          </w:p>
        </w:tc>
        <w:tc>
          <w:tcPr>
            <w:tcW w:w="2085" w:type="dxa"/>
            <w:tcBorders>
              <w:top w:val="nil"/>
              <w:left w:val="nil"/>
              <w:bottom w:val="single" w:sz="8" w:space="0" w:color="auto"/>
              <w:right w:val="single" w:sz="8" w:space="0" w:color="auto"/>
            </w:tcBorders>
            <w:shd w:val="clear" w:color="auto" w:fill="auto"/>
            <w:noWrap/>
            <w:vAlign w:val="center"/>
            <w:hideMark/>
          </w:tcPr>
          <w:p w14:paraId="73079DA2"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5.4</w:t>
            </w:r>
          </w:p>
        </w:tc>
        <w:tc>
          <w:tcPr>
            <w:tcW w:w="1909" w:type="dxa"/>
            <w:tcBorders>
              <w:top w:val="nil"/>
              <w:left w:val="nil"/>
              <w:bottom w:val="single" w:sz="8" w:space="0" w:color="auto"/>
              <w:right w:val="single" w:sz="8" w:space="0" w:color="auto"/>
            </w:tcBorders>
            <w:shd w:val="clear" w:color="auto" w:fill="auto"/>
            <w:noWrap/>
            <w:vAlign w:val="center"/>
            <w:hideMark/>
          </w:tcPr>
          <w:p w14:paraId="063746C4"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-3.60%</w:t>
            </w:r>
          </w:p>
        </w:tc>
      </w:tr>
      <w:tr w:rsidR="0092745F" w:rsidRPr="004A73C1" w14:paraId="52AB0E3E"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23B6534C"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2016</w:t>
            </w:r>
          </w:p>
        </w:tc>
        <w:tc>
          <w:tcPr>
            <w:tcW w:w="1812" w:type="dxa"/>
            <w:tcBorders>
              <w:top w:val="nil"/>
              <w:left w:val="nil"/>
              <w:bottom w:val="single" w:sz="8" w:space="0" w:color="auto"/>
              <w:right w:val="single" w:sz="8" w:space="0" w:color="auto"/>
            </w:tcBorders>
            <w:shd w:val="clear" w:color="auto" w:fill="auto"/>
            <w:noWrap/>
            <w:vAlign w:val="center"/>
            <w:hideMark/>
          </w:tcPr>
          <w:p w14:paraId="24A64CA0"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-291.9</w:t>
            </w:r>
          </w:p>
        </w:tc>
        <w:tc>
          <w:tcPr>
            <w:tcW w:w="1617" w:type="dxa"/>
            <w:tcBorders>
              <w:top w:val="nil"/>
              <w:left w:val="nil"/>
              <w:bottom w:val="single" w:sz="8" w:space="0" w:color="auto"/>
              <w:right w:val="single" w:sz="8" w:space="0" w:color="auto"/>
            </w:tcBorders>
            <w:shd w:val="clear" w:color="auto" w:fill="auto"/>
            <w:noWrap/>
            <w:vAlign w:val="center"/>
            <w:hideMark/>
          </w:tcPr>
          <w:p w14:paraId="1AD64A94"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2,689.11</w:t>
            </w:r>
          </w:p>
        </w:tc>
        <w:tc>
          <w:tcPr>
            <w:tcW w:w="2085" w:type="dxa"/>
            <w:tcBorders>
              <w:top w:val="nil"/>
              <w:left w:val="nil"/>
              <w:bottom w:val="single" w:sz="8" w:space="0" w:color="auto"/>
              <w:right w:val="single" w:sz="8" w:space="0" w:color="auto"/>
            </w:tcBorders>
            <w:shd w:val="clear" w:color="auto" w:fill="auto"/>
            <w:noWrap/>
            <w:vAlign w:val="center"/>
            <w:hideMark/>
          </w:tcPr>
          <w:p w14:paraId="29F7C8F0"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4.9</w:t>
            </w:r>
          </w:p>
        </w:tc>
        <w:tc>
          <w:tcPr>
            <w:tcW w:w="1909" w:type="dxa"/>
            <w:tcBorders>
              <w:top w:val="nil"/>
              <w:left w:val="nil"/>
              <w:bottom w:val="single" w:sz="8" w:space="0" w:color="auto"/>
              <w:right w:val="single" w:sz="8" w:space="0" w:color="auto"/>
            </w:tcBorders>
            <w:shd w:val="clear" w:color="auto" w:fill="auto"/>
            <w:noWrap/>
            <w:vAlign w:val="center"/>
            <w:hideMark/>
          </w:tcPr>
          <w:p w14:paraId="21E4695E"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-10.86%</w:t>
            </w:r>
          </w:p>
        </w:tc>
      </w:tr>
      <w:tr w:rsidR="0092745F" w:rsidRPr="004A73C1" w14:paraId="7DBB170C"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074E4B3A"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2017</w:t>
            </w:r>
          </w:p>
        </w:tc>
        <w:tc>
          <w:tcPr>
            <w:tcW w:w="1812" w:type="dxa"/>
            <w:tcBorders>
              <w:top w:val="nil"/>
              <w:left w:val="nil"/>
              <w:bottom w:val="single" w:sz="8" w:space="0" w:color="auto"/>
              <w:right w:val="single" w:sz="8" w:space="0" w:color="auto"/>
            </w:tcBorders>
            <w:shd w:val="clear" w:color="auto" w:fill="auto"/>
            <w:noWrap/>
            <w:vAlign w:val="center"/>
            <w:hideMark/>
          </w:tcPr>
          <w:p w14:paraId="61A8965B"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46.69</w:t>
            </w:r>
          </w:p>
        </w:tc>
        <w:tc>
          <w:tcPr>
            <w:tcW w:w="1617" w:type="dxa"/>
            <w:tcBorders>
              <w:top w:val="nil"/>
              <w:left w:val="nil"/>
              <w:bottom w:val="single" w:sz="8" w:space="0" w:color="auto"/>
              <w:right w:val="single" w:sz="8" w:space="0" w:color="auto"/>
            </w:tcBorders>
            <w:shd w:val="clear" w:color="auto" w:fill="auto"/>
            <w:noWrap/>
            <w:vAlign w:val="center"/>
            <w:hideMark/>
          </w:tcPr>
          <w:p w14:paraId="1B9D1A4C"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2,680.15</w:t>
            </w:r>
          </w:p>
        </w:tc>
        <w:tc>
          <w:tcPr>
            <w:tcW w:w="2085" w:type="dxa"/>
            <w:tcBorders>
              <w:top w:val="nil"/>
              <w:left w:val="nil"/>
              <w:bottom w:val="single" w:sz="8" w:space="0" w:color="auto"/>
              <w:right w:val="single" w:sz="8" w:space="0" w:color="auto"/>
            </w:tcBorders>
            <w:shd w:val="clear" w:color="auto" w:fill="auto"/>
            <w:noWrap/>
            <w:vAlign w:val="center"/>
            <w:hideMark/>
          </w:tcPr>
          <w:p w14:paraId="75068509"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4.4</w:t>
            </w:r>
          </w:p>
        </w:tc>
        <w:tc>
          <w:tcPr>
            <w:tcW w:w="1909" w:type="dxa"/>
            <w:tcBorders>
              <w:top w:val="nil"/>
              <w:left w:val="nil"/>
              <w:bottom w:val="single" w:sz="8" w:space="0" w:color="auto"/>
              <w:right w:val="single" w:sz="8" w:space="0" w:color="auto"/>
            </w:tcBorders>
            <w:shd w:val="clear" w:color="auto" w:fill="auto"/>
            <w:noWrap/>
            <w:vAlign w:val="center"/>
            <w:hideMark/>
          </w:tcPr>
          <w:p w14:paraId="162AA9A7"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1.74%</w:t>
            </w:r>
          </w:p>
        </w:tc>
      </w:tr>
      <w:tr w:rsidR="0092745F" w:rsidRPr="004A73C1" w14:paraId="4723A0C9"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0D702E15"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2018</w:t>
            </w:r>
          </w:p>
        </w:tc>
        <w:tc>
          <w:tcPr>
            <w:tcW w:w="1812" w:type="dxa"/>
            <w:tcBorders>
              <w:top w:val="nil"/>
              <w:left w:val="nil"/>
              <w:bottom w:val="single" w:sz="8" w:space="0" w:color="auto"/>
              <w:right w:val="single" w:sz="8" w:space="0" w:color="auto"/>
            </w:tcBorders>
            <w:shd w:val="clear" w:color="auto" w:fill="auto"/>
            <w:noWrap/>
            <w:vAlign w:val="center"/>
            <w:hideMark/>
          </w:tcPr>
          <w:p w14:paraId="23A4A5E3"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-3.58</w:t>
            </w:r>
          </w:p>
        </w:tc>
        <w:tc>
          <w:tcPr>
            <w:tcW w:w="1617" w:type="dxa"/>
            <w:tcBorders>
              <w:top w:val="nil"/>
              <w:left w:val="nil"/>
              <w:bottom w:val="single" w:sz="8" w:space="0" w:color="auto"/>
              <w:right w:val="single" w:sz="8" w:space="0" w:color="auto"/>
            </w:tcBorders>
            <w:shd w:val="clear" w:color="auto" w:fill="auto"/>
            <w:noWrap/>
            <w:vAlign w:val="center"/>
            <w:hideMark/>
          </w:tcPr>
          <w:p w14:paraId="7E7CA929"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2,871.34</w:t>
            </w:r>
          </w:p>
        </w:tc>
        <w:tc>
          <w:tcPr>
            <w:tcW w:w="2085" w:type="dxa"/>
            <w:tcBorders>
              <w:top w:val="nil"/>
              <w:left w:val="nil"/>
              <w:bottom w:val="single" w:sz="8" w:space="0" w:color="auto"/>
              <w:right w:val="single" w:sz="8" w:space="0" w:color="auto"/>
            </w:tcBorders>
            <w:shd w:val="clear" w:color="auto" w:fill="auto"/>
            <w:noWrap/>
            <w:vAlign w:val="center"/>
            <w:hideMark/>
          </w:tcPr>
          <w:p w14:paraId="0F7296D7"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4.2</w:t>
            </w:r>
          </w:p>
        </w:tc>
        <w:tc>
          <w:tcPr>
            <w:tcW w:w="1909" w:type="dxa"/>
            <w:tcBorders>
              <w:top w:val="nil"/>
              <w:left w:val="nil"/>
              <w:bottom w:val="single" w:sz="8" w:space="0" w:color="auto"/>
              <w:right w:val="single" w:sz="8" w:space="0" w:color="auto"/>
            </w:tcBorders>
            <w:shd w:val="clear" w:color="auto" w:fill="auto"/>
            <w:noWrap/>
            <w:vAlign w:val="center"/>
            <w:hideMark/>
          </w:tcPr>
          <w:p w14:paraId="3A115CD8"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-0.12%</w:t>
            </w:r>
          </w:p>
        </w:tc>
      </w:tr>
      <w:tr w:rsidR="0092745F" w:rsidRPr="004A73C1" w14:paraId="4C09FCC7"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3CDC2273"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2019</w:t>
            </w:r>
          </w:p>
        </w:tc>
        <w:tc>
          <w:tcPr>
            <w:tcW w:w="1812" w:type="dxa"/>
            <w:tcBorders>
              <w:top w:val="nil"/>
              <w:left w:val="nil"/>
              <w:bottom w:val="single" w:sz="8" w:space="0" w:color="auto"/>
              <w:right w:val="single" w:sz="8" w:space="0" w:color="auto"/>
            </w:tcBorders>
            <w:shd w:val="clear" w:color="auto" w:fill="auto"/>
            <w:noWrap/>
            <w:vAlign w:val="center"/>
            <w:hideMark/>
          </w:tcPr>
          <w:p w14:paraId="6422710A"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-41.29</w:t>
            </w:r>
          </w:p>
        </w:tc>
        <w:tc>
          <w:tcPr>
            <w:tcW w:w="1617" w:type="dxa"/>
            <w:tcBorders>
              <w:top w:val="nil"/>
              <w:left w:val="nil"/>
              <w:bottom w:val="single" w:sz="8" w:space="0" w:color="auto"/>
              <w:right w:val="single" w:sz="8" w:space="0" w:color="auto"/>
            </w:tcBorders>
            <w:shd w:val="clear" w:color="auto" w:fill="auto"/>
            <w:noWrap/>
            <w:vAlign w:val="center"/>
            <w:hideMark/>
          </w:tcPr>
          <w:p w14:paraId="18576F9E"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2,851.41</w:t>
            </w:r>
          </w:p>
        </w:tc>
        <w:tc>
          <w:tcPr>
            <w:tcW w:w="2085" w:type="dxa"/>
            <w:tcBorders>
              <w:top w:val="nil"/>
              <w:left w:val="nil"/>
              <w:bottom w:val="single" w:sz="8" w:space="0" w:color="auto"/>
              <w:right w:val="single" w:sz="8" w:space="0" w:color="auto"/>
            </w:tcBorders>
            <w:shd w:val="clear" w:color="auto" w:fill="auto"/>
            <w:noWrap/>
            <w:vAlign w:val="center"/>
            <w:hideMark/>
          </w:tcPr>
          <w:p w14:paraId="6D61B1D9"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3.9</w:t>
            </w:r>
          </w:p>
        </w:tc>
        <w:tc>
          <w:tcPr>
            <w:tcW w:w="1909" w:type="dxa"/>
            <w:tcBorders>
              <w:top w:val="nil"/>
              <w:left w:val="nil"/>
              <w:bottom w:val="single" w:sz="8" w:space="0" w:color="auto"/>
              <w:right w:val="single" w:sz="8" w:space="0" w:color="auto"/>
            </w:tcBorders>
            <w:shd w:val="clear" w:color="auto" w:fill="auto"/>
            <w:noWrap/>
            <w:vAlign w:val="center"/>
            <w:hideMark/>
          </w:tcPr>
          <w:p w14:paraId="57F0CD8A"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-1.45%</w:t>
            </w:r>
          </w:p>
        </w:tc>
      </w:tr>
      <w:tr w:rsidR="0092745F" w:rsidRPr="004A73C1" w14:paraId="3A6A67EA"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3633295F"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2020</w:t>
            </w:r>
          </w:p>
        </w:tc>
        <w:tc>
          <w:tcPr>
            <w:tcW w:w="1812" w:type="dxa"/>
            <w:tcBorders>
              <w:top w:val="nil"/>
              <w:left w:val="nil"/>
              <w:bottom w:val="single" w:sz="8" w:space="0" w:color="auto"/>
              <w:right w:val="single" w:sz="8" w:space="0" w:color="auto"/>
            </w:tcBorders>
            <w:shd w:val="clear" w:color="auto" w:fill="auto"/>
            <w:noWrap/>
            <w:vAlign w:val="center"/>
            <w:hideMark/>
          </w:tcPr>
          <w:p w14:paraId="63C6FB80"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-140.8</w:t>
            </w:r>
          </w:p>
        </w:tc>
        <w:tc>
          <w:tcPr>
            <w:tcW w:w="1617" w:type="dxa"/>
            <w:tcBorders>
              <w:top w:val="nil"/>
              <w:left w:val="nil"/>
              <w:bottom w:val="single" w:sz="8" w:space="0" w:color="auto"/>
              <w:right w:val="single" w:sz="8" w:space="0" w:color="auto"/>
            </w:tcBorders>
            <w:shd w:val="clear" w:color="auto" w:fill="auto"/>
            <w:noWrap/>
            <w:vAlign w:val="center"/>
            <w:hideMark/>
          </w:tcPr>
          <w:p w14:paraId="63AB3D1B"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2,697.81</w:t>
            </w:r>
          </w:p>
        </w:tc>
        <w:tc>
          <w:tcPr>
            <w:tcW w:w="2085" w:type="dxa"/>
            <w:tcBorders>
              <w:top w:val="nil"/>
              <w:left w:val="nil"/>
              <w:bottom w:val="single" w:sz="8" w:space="0" w:color="auto"/>
              <w:right w:val="single" w:sz="8" w:space="0" w:color="auto"/>
            </w:tcBorders>
            <w:shd w:val="clear" w:color="auto" w:fill="auto"/>
            <w:noWrap/>
            <w:vAlign w:val="center"/>
            <w:hideMark/>
          </w:tcPr>
          <w:p w14:paraId="3B542C52"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4.7</w:t>
            </w:r>
          </w:p>
        </w:tc>
        <w:tc>
          <w:tcPr>
            <w:tcW w:w="1909" w:type="dxa"/>
            <w:tcBorders>
              <w:top w:val="nil"/>
              <w:left w:val="nil"/>
              <w:bottom w:val="single" w:sz="8" w:space="0" w:color="auto"/>
              <w:right w:val="single" w:sz="8" w:space="0" w:color="auto"/>
            </w:tcBorders>
            <w:shd w:val="clear" w:color="auto" w:fill="auto"/>
            <w:noWrap/>
            <w:vAlign w:val="center"/>
            <w:hideMark/>
          </w:tcPr>
          <w:p w14:paraId="273514C4"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-5.22%</w:t>
            </w:r>
          </w:p>
        </w:tc>
      </w:tr>
      <w:tr w:rsidR="0092745F" w:rsidRPr="004A73C1" w14:paraId="0BAD82C4"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1F214524"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2021</w:t>
            </w:r>
          </w:p>
        </w:tc>
        <w:tc>
          <w:tcPr>
            <w:tcW w:w="1812" w:type="dxa"/>
            <w:tcBorders>
              <w:top w:val="nil"/>
              <w:left w:val="nil"/>
              <w:bottom w:val="single" w:sz="8" w:space="0" w:color="auto"/>
              <w:right w:val="single" w:sz="8" w:space="0" w:color="auto"/>
            </w:tcBorders>
            <w:shd w:val="clear" w:color="auto" w:fill="auto"/>
            <w:noWrap/>
            <w:vAlign w:val="center"/>
            <w:hideMark/>
          </w:tcPr>
          <w:p w14:paraId="5A663458"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155.01</w:t>
            </w:r>
          </w:p>
        </w:tc>
        <w:tc>
          <w:tcPr>
            <w:tcW w:w="1617" w:type="dxa"/>
            <w:tcBorders>
              <w:top w:val="nil"/>
              <w:left w:val="nil"/>
              <w:bottom w:val="single" w:sz="8" w:space="0" w:color="auto"/>
              <w:right w:val="single" w:sz="8" w:space="0" w:color="auto"/>
            </w:tcBorders>
            <w:shd w:val="clear" w:color="auto" w:fill="auto"/>
            <w:noWrap/>
            <w:vAlign w:val="center"/>
            <w:hideMark/>
          </w:tcPr>
          <w:p w14:paraId="1DF2EBA3"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3,141.51</w:t>
            </w:r>
          </w:p>
        </w:tc>
        <w:tc>
          <w:tcPr>
            <w:tcW w:w="2085" w:type="dxa"/>
            <w:tcBorders>
              <w:top w:val="nil"/>
              <w:left w:val="nil"/>
              <w:bottom w:val="single" w:sz="8" w:space="0" w:color="auto"/>
              <w:right w:val="single" w:sz="8" w:space="0" w:color="auto"/>
            </w:tcBorders>
            <w:shd w:val="clear" w:color="auto" w:fill="auto"/>
            <w:noWrap/>
            <w:vAlign w:val="center"/>
            <w:hideMark/>
          </w:tcPr>
          <w:p w14:paraId="0B4693A0"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4.6</w:t>
            </w:r>
          </w:p>
        </w:tc>
        <w:tc>
          <w:tcPr>
            <w:tcW w:w="1909" w:type="dxa"/>
            <w:tcBorders>
              <w:top w:val="nil"/>
              <w:left w:val="nil"/>
              <w:bottom w:val="single" w:sz="8" w:space="0" w:color="auto"/>
              <w:right w:val="single" w:sz="8" w:space="0" w:color="auto"/>
            </w:tcBorders>
            <w:shd w:val="clear" w:color="auto" w:fill="auto"/>
            <w:noWrap/>
            <w:vAlign w:val="center"/>
            <w:hideMark/>
          </w:tcPr>
          <w:p w14:paraId="2D9A1893"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4.93%</w:t>
            </w:r>
          </w:p>
        </w:tc>
      </w:tr>
      <w:tr w:rsidR="0092745F" w:rsidRPr="004A73C1" w14:paraId="252E30F7"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1A7E57FF"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2022</w:t>
            </w:r>
          </w:p>
        </w:tc>
        <w:tc>
          <w:tcPr>
            <w:tcW w:w="1812" w:type="dxa"/>
            <w:tcBorders>
              <w:top w:val="nil"/>
              <w:left w:val="nil"/>
              <w:bottom w:val="single" w:sz="8" w:space="0" w:color="auto"/>
              <w:right w:val="single" w:sz="8" w:space="0" w:color="auto"/>
            </w:tcBorders>
            <w:shd w:val="clear" w:color="auto" w:fill="auto"/>
            <w:noWrap/>
            <w:vAlign w:val="center"/>
            <w:hideMark/>
          </w:tcPr>
          <w:p w14:paraId="7C028D5A"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79.99</w:t>
            </w:r>
          </w:p>
        </w:tc>
        <w:tc>
          <w:tcPr>
            <w:tcW w:w="1617" w:type="dxa"/>
            <w:tcBorders>
              <w:top w:val="nil"/>
              <w:left w:val="nil"/>
              <w:bottom w:val="single" w:sz="8" w:space="0" w:color="auto"/>
              <w:right w:val="single" w:sz="8" w:space="0" w:color="auto"/>
            </w:tcBorders>
            <w:shd w:val="clear" w:color="auto" w:fill="auto"/>
            <w:noWrap/>
            <w:vAlign w:val="center"/>
            <w:hideMark/>
          </w:tcPr>
          <w:p w14:paraId="08F5ACFC"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3,088.84</w:t>
            </w:r>
          </w:p>
        </w:tc>
        <w:tc>
          <w:tcPr>
            <w:tcW w:w="2085" w:type="dxa"/>
            <w:tcBorders>
              <w:top w:val="nil"/>
              <w:left w:val="nil"/>
              <w:bottom w:val="single" w:sz="8" w:space="0" w:color="auto"/>
              <w:right w:val="single" w:sz="8" w:space="0" w:color="auto"/>
            </w:tcBorders>
            <w:shd w:val="clear" w:color="auto" w:fill="auto"/>
            <w:noWrap/>
            <w:vAlign w:val="center"/>
            <w:hideMark/>
          </w:tcPr>
          <w:p w14:paraId="53F9F99E"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3.9</w:t>
            </w:r>
          </w:p>
        </w:tc>
        <w:tc>
          <w:tcPr>
            <w:tcW w:w="1909" w:type="dxa"/>
            <w:tcBorders>
              <w:top w:val="nil"/>
              <w:left w:val="nil"/>
              <w:bottom w:val="single" w:sz="8" w:space="0" w:color="auto"/>
              <w:right w:val="single" w:sz="8" w:space="0" w:color="auto"/>
            </w:tcBorders>
            <w:shd w:val="clear" w:color="auto" w:fill="auto"/>
            <w:noWrap/>
            <w:vAlign w:val="center"/>
            <w:hideMark/>
          </w:tcPr>
          <w:p w14:paraId="37E9F379"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2.59%</w:t>
            </w:r>
          </w:p>
        </w:tc>
      </w:tr>
      <w:tr w:rsidR="0092745F" w:rsidRPr="004A73C1" w14:paraId="2BE16380" w14:textId="77777777" w:rsidTr="00BE222C">
        <w:trPr>
          <w:trHeight w:val="328"/>
        </w:trPr>
        <w:tc>
          <w:tcPr>
            <w:tcW w:w="1890" w:type="dxa"/>
            <w:tcBorders>
              <w:top w:val="nil"/>
              <w:left w:val="single" w:sz="8" w:space="0" w:color="auto"/>
              <w:bottom w:val="single" w:sz="8" w:space="0" w:color="auto"/>
              <w:right w:val="single" w:sz="8" w:space="0" w:color="auto"/>
            </w:tcBorders>
            <w:shd w:val="clear" w:color="auto" w:fill="auto"/>
            <w:noWrap/>
            <w:vAlign w:val="center"/>
            <w:hideMark/>
          </w:tcPr>
          <w:p w14:paraId="78193C8F"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2023</w:t>
            </w:r>
          </w:p>
        </w:tc>
        <w:tc>
          <w:tcPr>
            <w:tcW w:w="1812" w:type="dxa"/>
            <w:tcBorders>
              <w:top w:val="nil"/>
              <w:left w:val="nil"/>
              <w:bottom w:val="single" w:sz="8" w:space="0" w:color="auto"/>
              <w:right w:val="single" w:sz="8" w:space="0" w:color="auto"/>
            </w:tcBorders>
            <w:shd w:val="clear" w:color="auto" w:fill="auto"/>
            <w:noWrap/>
            <w:vAlign w:val="center"/>
            <w:hideMark/>
          </w:tcPr>
          <w:p w14:paraId="7B352911"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90.03</w:t>
            </w:r>
          </w:p>
        </w:tc>
        <w:tc>
          <w:tcPr>
            <w:tcW w:w="1617" w:type="dxa"/>
            <w:tcBorders>
              <w:top w:val="nil"/>
              <w:left w:val="nil"/>
              <w:bottom w:val="single" w:sz="8" w:space="0" w:color="auto"/>
              <w:right w:val="single" w:sz="8" w:space="0" w:color="auto"/>
            </w:tcBorders>
            <w:shd w:val="clear" w:color="auto" w:fill="auto"/>
            <w:noWrap/>
            <w:vAlign w:val="center"/>
            <w:hideMark/>
          </w:tcPr>
          <w:p w14:paraId="41755967"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3,340.03</w:t>
            </w:r>
          </w:p>
        </w:tc>
        <w:tc>
          <w:tcPr>
            <w:tcW w:w="2085" w:type="dxa"/>
            <w:tcBorders>
              <w:top w:val="nil"/>
              <w:left w:val="nil"/>
              <w:bottom w:val="single" w:sz="8" w:space="0" w:color="auto"/>
              <w:right w:val="single" w:sz="8" w:space="0" w:color="auto"/>
            </w:tcBorders>
            <w:shd w:val="clear" w:color="auto" w:fill="auto"/>
            <w:noWrap/>
            <w:vAlign w:val="center"/>
            <w:hideMark/>
          </w:tcPr>
          <w:p w14:paraId="4DF3915E"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4</w:t>
            </w:r>
          </w:p>
        </w:tc>
        <w:tc>
          <w:tcPr>
            <w:tcW w:w="1909" w:type="dxa"/>
            <w:tcBorders>
              <w:top w:val="nil"/>
              <w:left w:val="nil"/>
              <w:bottom w:val="single" w:sz="8" w:space="0" w:color="auto"/>
              <w:right w:val="single" w:sz="8" w:space="0" w:color="auto"/>
            </w:tcBorders>
            <w:shd w:val="clear" w:color="auto" w:fill="auto"/>
            <w:noWrap/>
            <w:vAlign w:val="center"/>
            <w:hideMark/>
          </w:tcPr>
          <w:p w14:paraId="141CB1E5" w14:textId="77777777" w:rsidR="0092745F" w:rsidRPr="004A73C1" w:rsidRDefault="0092745F" w:rsidP="0092745F">
            <w:pPr>
              <w:spacing w:after="0" w:line="240" w:lineRule="auto"/>
              <w:jc w:val="right"/>
              <w:rPr>
                <w:rFonts w:ascii="Arial" w:eastAsia="Times New Roman" w:hAnsi="Arial" w:cs="Arial"/>
                <w:color w:val="000000"/>
                <w:lang w:eastAsia="en-GB"/>
              </w:rPr>
            </w:pPr>
            <w:r w:rsidRPr="004A73C1">
              <w:rPr>
                <w:rFonts w:ascii="Arial" w:eastAsia="Times New Roman" w:hAnsi="Arial" w:cs="Arial"/>
                <w:color w:val="000000"/>
                <w:lang w:eastAsia="en-GB"/>
              </w:rPr>
              <w:t>2.70%</w:t>
            </w:r>
          </w:p>
        </w:tc>
      </w:tr>
    </w:tbl>
    <w:p w14:paraId="52240523" w14:textId="221A38C7" w:rsidR="0092745F" w:rsidRPr="004A73C1" w:rsidRDefault="0092745F" w:rsidP="00C75C62">
      <w:pPr>
        <w:spacing w:after="0" w:line="360" w:lineRule="auto"/>
        <w:jc w:val="both"/>
        <w:rPr>
          <w:rFonts w:ascii="Arial" w:hAnsi="Arial" w:cs="Arial"/>
        </w:rPr>
      </w:pPr>
      <w:r w:rsidRPr="004A73C1">
        <w:rPr>
          <w:rFonts w:ascii="Arial" w:hAnsi="Arial" w:cs="Arial"/>
        </w:rPr>
        <w:t>Figure 19</w:t>
      </w:r>
      <w:r w:rsidRPr="004A73C1">
        <w:rPr>
          <w:rFonts w:ascii="Arial" w:hAnsi="Arial" w:cs="Arial"/>
        </w:rPr>
        <w:tab/>
        <w:t xml:space="preserve">Source -World Bank </w:t>
      </w:r>
    </w:p>
    <w:p w14:paraId="63B8F842" w14:textId="77777777" w:rsidR="00EE7955" w:rsidRPr="004A73C1" w:rsidRDefault="00EE7955">
      <w:pPr>
        <w:rPr>
          <w:rFonts w:ascii="Arial" w:eastAsiaTheme="majorEastAsia" w:hAnsi="Arial" w:cs="Arial"/>
          <w:sz w:val="26"/>
          <w:szCs w:val="26"/>
          <w:shd w:val="clear" w:color="auto" w:fill="FFFFFF"/>
        </w:rPr>
      </w:pPr>
      <w:r w:rsidRPr="004A73C1">
        <w:rPr>
          <w:rFonts w:ascii="Arial" w:eastAsiaTheme="majorEastAsia" w:hAnsi="Arial" w:cs="Arial"/>
          <w:sz w:val="26"/>
          <w:szCs w:val="26"/>
          <w:shd w:val="clear" w:color="auto" w:fill="FFFFFF"/>
        </w:rPr>
        <w:br w:type="page"/>
      </w:r>
    </w:p>
    <w:p w14:paraId="4E68452E" w14:textId="77777777" w:rsidR="00B93891" w:rsidRPr="004A73C1" w:rsidRDefault="00B93891" w:rsidP="00B93891">
      <w:pPr>
        <w:spacing w:after="200" w:line="360" w:lineRule="auto"/>
        <w:jc w:val="both"/>
        <w:rPr>
          <w:rFonts w:ascii="Arial" w:eastAsiaTheme="majorEastAsia" w:hAnsi="Arial" w:cs="Arial"/>
          <w:sz w:val="26"/>
          <w:szCs w:val="26"/>
          <w:shd w:val="clear" w:color="auto" w:fill="FFFFFF"/>
        </w:rPr>
      </w:pPr>
    </w:p>
    <w:p w14:paraId="05160842" w14:textId="009B9FE0" w:rsidR="00EE7955" w:rsidRPr="004A73C1" w:rsidRDefault="00CA52E6" w:rsidP="002836D7">
      <w:pPr>
        <w:pStyle w:val="Heading3"/>
        <w:rPr>
          <w:rFonts w:ascii="Arial" w:hAnsi="Arial" w:cs="Arial"/>
          <w:color w:val="auto"/>
          <w:shd w:val="clear" w:color="auto" w:fill="FFFFFF"/>
        </w:rPr>
      </w:pPr>
      <w:bookmarkStart w:id="132" w:name="_Toc175848144"/>
      <w:r w:rsidRPr="004A73C1">
        <w:rPr>
          <w:rFonts w:ascii="Arial" w:hAnsi="Arial" w:cs="Arial"/>
          <w:color w:val="auto"/>
          <w:shd w:val="clear" w:color="auto" w:fill="FFFFFF"/>
        </w:rPr>
        <w:t>4.4.1</w:t>
      </w:r>
      <w:r w:rsidRPr="004A73C1">
        <w:rPr>
          <w:rFonts w:ascii="Arial" w:hAnsi="Arial" w:cs="Arial"/>
          <w:color w:val="auto"/>
          <w:shd w:val="clear" w:color="auto" w:fill="FFFFFF"/>
        </w:rPr>
        <w:tab/>
      </w:r>
      <w:r w:rsidR="00EE7955" w:rsidRPr="004A73C1">
        <w:rPr>
          <w:rFonts w:ascii="Arial" w:hAnsi="Arial" w:cs="Arial"/>
          <w:color w:val="auto"/>
          <w:shd w:val="clear" w:color="auto" w:fill="FFFFFF"/>
        </w:rPr>
        <w:t xml:space="preserve">Regression </w:t>
      </w:r>
      <w:r w:rsidR="00C13730">
        <w:rPr>
          <w:rFonts w:ascii="Arial" w:hAnsi="Arial" w:cs="Arial"/>
          <w:color w:val="auto"/>
          <w:shd w:val="clear" w:color="auto" w:fill="FFFFFF"/>
        </w:rPr>
        <w:t>A</w:t>
      </w:r>
      <w:r w:rsidR="00EE7955" w:rsidRPr="004A73C1">
        <w:rPr>
          <w:rFonts w:ascii="Arial" w:hAnsi="Arial" w:cs="Arial"/>
          <w:color w:val="auto"/>
          <w:shd w:val="clear" w:color="auto" w:fill="FFFFFF"/>
        </w:rPr>
        <w:t>nalysis</w:t>
      </w:r>
      <w:bookmarkEnd w:id="132"/>
      <w:r w:rsidR="00EE7955" w:rsidRPr="004A73C1">
        <w:rPr>
          <w:rFonts w:ascii="Arial" w:hAnsi="Arial" w:cs="Arial"/>
          <w:color w:val="auto"/>
          <w:shd w:val="clear" w:color="auto" w:fill="FFFFFF"/>
        </w:rPr>
        <w:t xml:space="preserve"> </w:t>
      </w:r>
    </w:p>
    <w:p w14:paraId="3733F490" w14:textId="2489E8FD" w:rsidR="00EE7955" w:rsidRPr="004A73C1" w:rsidRDefault="00437A21" w:rsidP="00B93891">
      <w:pPr>
        <w:spacing w:after="200" w:line="360" w:lineRule="auto"/>
        <w:jc w:val="both"/>
        <w:rPr>
          <w:rFonts w:ascii="Arial" w:eastAsiaTheme="majorEastAsia" w:hAnsi="Arial" w:cs="Arial"/>
          <w:sz w:val="26"/>
          <w:szCs w:val="26"/>
          <w:shd w:val="clear" w:color="auto" w:fill="FFFFFF"/>
        </w:rPr>
      </w:pPr>
      <w:r w:rsidRPr="00437A21">
        <w:rPr>
          <w:rFonts w:ascii="Arial" w:eastAsiaTheme="majorEastAsia" w:hAnsi="Arial" w:cs="Arial"/>
          <w:sz w:val="26"/>
          <w:szCs w:val="26"/>
          <w:shd w:val="clear" w:color="auto" w:fill="FFFFFF"/>
        </w:rPr>
        <w:drawing>
          <wp:inline distT="0" distB="0" distL="0" distR="0" wp14:anchorId="59BC0AC6" wp14:editId="136E6BFE">
            <wp:extent cx="5731510" cy="4626610"/>
            <wp:effectExtent l="0" t="0" r="2540" b="2540"/>
            <wp:docPr id="495985018"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985018" name="Picture 1" descr="A screenshot of a report&#10;&#10;Description automatically generated"/>
                    <pic:cNvPicPr/>
                  </pic:nvPicPr>
                  <pic:blipFill>
                    <a:blip r:embed="rId42"/>
                    <a:stretch>
                      <a:fillRect/>
                    </a:stretch>
                  </pic:blipFill>
                  <pic:spPr>
                    <a:xfrm>
                      <a:off x="0" y="0"/>
                      <a:ext cx="5731510" cy="4626610"/>
                    </a:xfrm>
                    <a:prstGeom prst="rect">
                      <a:avLst/>
                    </a:prstGeom>
                  </pic:spPr>
                </pic:pic>
              </a:graphicData>
            </a:graphic>
          </wp:inline>
        </w:drawing>
      </w:r>
    </w:p>
    <w:p w14:paraId="1082A86B" w14:textId="414D4646" w:rsidR="00846B15" w:rsidRPr="00846B15" w:rsidRDefault="00846B15" w:rsidP="00846B15">
      <w:pPr>
        <w:spacing w:after="200" w:line="360" w:lineRule="auto"/>
        <w:jc w:val="both"/>
        <w:rPr>
          <w:rFonts w:ascii="Arial" w:hAnsi="Arial" w:cs="Arial"/>
        </w:rPr>
      </w:pPr>
      <w:r>
        <w:rPr>
          <w:rFonts w:ascii="Arial" w:hAnsi="Arial" w:cs="Arial"/>
        </w:rPr>
        <w:t>Several varieties of regression models can</w:t>
      </w:r>
      <w:r w:rsidRPr="00846B15">
        <w:rPr>
          <w:rFonts w:ascii="Arial" w:hAnsi="Arial" w:cs="Arial"/>
        </w:rPr>
        <w:t xml:space="preserve"> be applied to various types of data analysis. Some popular regression models include simple linear regression, multiple linear regression, polynomial regression, logistic regression, ridge regression, and lasso regression. Each of these models has its own advantages and disadvantages, and the choice of model depends on the type of data and the research objectives.</w:t>
      </w:r>
    </w:p>
    <w:p w14:paraId="3CB68C51" w14:textId="59B40965" w:rsidR="00BB182E" w:rsidRPr="004A73C1" w:rsidRDefault="00BB182E" w:rsidP="00B93891">
      <w:pPr>
        <w:spacing w:after="200" w:line="360" w:lineRule="auto"/>
        <w:jc w:val="both"/>
        <w:rPr>
          <w:rFonts w:ascii="Arial" w:hAnsi="Arial" w:cs="Arial"/>
        </w:rPr>
      </w:pPr>
      <w:r w:rsidRPr="004A73C1">
        <w:rPr>
          <w:rFonts w:ascii="Arial" w:hAnsi="Arial" w:cs="Arial"/>
        </w:rPr>
        <w:t>Regression models can be used to analyse the factors that influence Foreign Direct Investment (FDI). By using regression analysis, we can assess the impact of various independent variables such as market size, labour costs, infrastructure, political stability, and government policies on FDI inflows. This helps in understanding the drivers of FDI and formulating policies to attract more foreign investment. Different types of regression models can be applied based on the nature of the data and the specific research questions related to FDI.</w:t>
      </w:r>
    </w:p>
    <w:p w14:paraId="3B6C2E3F" w14:textId="42431B81" w:rsidR="00C75C62" w:rsidRPr="004A73C1" w:rsidRDefault="00BB182E" w:rsidP="00C75C62">
      <w:pPr>
        <w:spacing w:after="0" w:line="360" w:lineRule="auto"/>
        <w:jc w:val="both"/>
        <w:rPr>
          <w:rFonts w:ascii="Arial" w:hAnsi="Arial" w:cs="Arial"/>
        </w:rPr>
      </w:pPr>
      <w:r w:rsidRPr="004A73C1">
        <w:rPr>
          <w:rFonts w:ascii="Arial" w:hAnsi="Arial" w:cs="Arial"/>
        </w:rPr>
        <w:t>In our calculations, t</w:t>
      </w:r>
      <w:r w:rsidR="002E690B" w:rsidRPr="004A73C1">
        <w:rPr>
          <w:rFonts w:ascii="Arial" w:hAnsi="Arial" w:cs="Arial"/>
        </w:rPr>
        <w:t xml:space="preserve">he regression analysis yielded an R-squared value of less than 0.90, indicating that the model accounts for a significant but not overwhelming portion of the variability in the data, which is generally considered acceptable. Our dataset encompasses </w:t>
      </w:r>
      <w:r w:rsidR="002E690B" w:rsidRPr="004A73C1">
        <w:rPr>
          <w:rFonts w:ascii="Arial" w:hAnsi="Arial" w:cs="Arial"/>
        </w:rPr>
        <w:lastRenderedPageBreak/>
        <w:t xml:space="preserve">observations from the last 9 years, allowing for a comprehensive analysis of trends. Furthermore, the positive p-value suggests a direct and statistically significant relationship between economic growth and Foreign Direct Investment (FDI), indicating that as the economy grows, there is an observable increase in FDI </w:t>
      </w:r>
      <w:r w:rsidR="004D6F6C" w:rsidRPr="004A73C1">
        <w:rPr>
          <w:rFonts w:ascii="Arial" w:hAnsi="Arial" w:cs="Arial"/>
        </w:rPr>
        <w:t>inflows</w:t>
      </w:r>
      <w:r w:rsidR="004D6F6C" w:rsidRPr="004D6F6C">
        <w:rPr>
          <w:rFonts w:ascii="Arial" w:hAnsi="Arial" w:cs="Arial"/>
        </w:rPr>
        <w:t xml:space="preserve">. </w:t>
      </w:r>
      <w:r w:rsidR="004D6F6C">
        <w:rPr>
          <w:rFonts w:ascii="Arial" w:hAnsi="Arial" w:cs="Arial"/>
        </w:rPr>
        <w:t>Our detailed regression analysis indicates that there is a strong positive correlation between the influx of foreign direct investment (FDI) and the level of economic growth. This suggests that as FDI increases, there is a notable acceleration in economic growth within the specified parameters of our analysis.</w:t>
      </w:r>
      <w:r w:rsidR="00D53F0F" w:rsidRPr="004A73C1">
        <w:rPr>
          <w:rFonts w:ascii="Arial" w:hAnsi="Arial" w:cs="Arial"/>
          <w:noProof/>
        </w:rPr>
        <w:drawing>
          <wp:inline distT="0" distB="0" distL="0" distR="0" wp14:anchorId="6D0F14FE" wp14:editId="08BFFBD0">
            <wp:extent cx="5731510" cy="4733290"/>
            <wp:effectExtent l="0" t="0" r="2540" b="0"/>
            <wp:docPr id="1708332633"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332633" name="Picture 1" descr="A table with numbers and text&#10;&#10;Description automatically generated"/>
                    <pic:cNvPicPr/>
                  </pic:nvPicPr>
                  <pic:blipFill>
                    <a:blip r:embed="rId43"/>
                    <a:stretch>
                      <a:fillRect/>
                    </a:stretch>
                  </pic:blipFill>
                  <pic:spPr>
                    <a:xfrm>
                      <a:off x="0" y="0"/>
                      <a:ext cx="5731510" cy="4733290"/>
                    </a:xfrm>
                    <a:prstGeom prst="rect">
                      <a:avLst/>
                    </a:prstGeom>
                  </pic:spPr>
                </pic:pic>
              </a:graphicData>
            </a:graphic>
          </wp:inline>
        </w:drawing>
      </w:r>
      <w:r w:rsidR="00C75C62" w:rsidRPr="004A73C1">
        <w:rPr>
          <w:rFonts w:ascii="Arial" w:hAnsi="Arial" w:cs="Arial"/>
        </w:rPr>
        <w:t xml:space="preserve"> </w:t>
      </w:r>
    </w:p>
    <w:p w14:paraId="7A7AD8F0" w14:textId="1C88917E" w:rsidR="002E690B" w:rsidRDefault="002E690B" w:rsidP="00B93891">
      <w:pPr>
        <w:spacing w:after="200" w:line="360" w:lineRule="auto"/>
        <w:jc w:val="both"/>
        <w:rPr>
          <w:rFonts w:ascii="Arial" w:hAnsi="Arial" w:cs="Arial"/>
        </w:rPr>
      </w:pPr>
      <w:r w:rsidRPr="004A73C1">
        <w:rPr>
          <w:rFonts w:ascii="Arial" w:hAnsi="Arial" w:cs="Arial"/>
        </w:rPr>
        <w:t>The table above provides a comprehensive overview of various statistical data points, including Foreign Direct Investment (FDI), economic growth, and employment rates spanning the last nine years. The data indicates that despite the challenges posed by Brexit, the UK economy remains an attractive destination for foreign direct investment. Our analysis involves a direct comparison of FDI with GDP growth and unemployment rates, as these two factors are crucial in understanding the overarching impact of FDI on the UK economy.</w:t>
      </w:r>
    </w:p>
    <w:p w14:paraId="69B8D5C9" w14:textId="77777777" w:rsidR="00ED3916" w:rsidRPr="004A73C1" w:rsidRDefault="00ED3916" w:rsidP="00B93891">
      <w:pPr>
        <w:spacing w:after="200" w:line="360" w:lineRule="auto"/>
        <w:jc w:val="both"/>
        <w:rPr>
          <w:rFonts w:ascii="Arial" w:hAnsi="Arial" w:cs="Arial"/>
        </w:rPr>
      </w:pPr>
    </w:p>
    <w:p w14:paraId="4228BC4B" w14:textId="77777777" w:rsidR="00C75C62" w:rsidRPr="004A73C1" w:rsidRDefault="00C75C62" w:rsidP="00B93891">
      <w:pPr>
        <w:spacing w:after="200" w:line="360" w:lineRule="auto"/>
        <w:jc w:val="both"/>
        <w:rPr>
          <w:rFonts w:ascii="Arial" w:eastAsiaTheme="majorEastAsia" w:hAnsi="Arial" w:cs="Arial"/>
          <w:sz w:val="26"/>
          <w:szCs w:val="26"/>
          <w:shd w:val="clear" w:color="auto" w:fill="FFFFFF"/>
        </w:rPr>
      </w:pPr>
    </w:p>
    <w:p w14:paraId="7854BCB5" w14:textId="77777777" w:rsidR="00880023" w:rsidRPr="004A73C1" w:rsidRDefault="00880023" w:rsidP="00B93891">
      <w:pPr>
        <w:spacing w:after="200" w:line="360" w:lineRule="auto"/>
        <w:jc w:val="both"/>
        <w:rPr>
          <w:rFonts w:ascii="Arial" w:eastAsiaTheme="majorEastAsia" w:hAnsi="Arial" w:cs="Arial"/>
          <w:sz w:val="26"/>
          <w:szCs w:val="26"/>
          <w:shd w:val="clear" w:color="auto" w:fill="FFFFFF"/>
        </w:rPr>
      </w:pPr>
    </w:p>
    <w:p w14:paraId="5395C3C2" w14:textId="77777777" w:rsidR="00BE222C" w:rsidRDefault="00BE222C" w:rsidP="00B93891">
      <w:pPr>
        <w:spacing w:after="200" w:line="360" w:lineRule="auto"/>
        <w:jc w:val="both"/>
        <w:rPr>
          <w:rFonts w:ascii="Arial" w:eastAsiaTheme="majorEastAsia" w:hAnsi="Arial" w:cs="Arial"/>
          <w:b/>
          <w:bCs/>
          <w:sz w:val="26"/>
          <w:szCs w:val="26"/>
          <w:shd w:val="clear" w:color="auto" w:fill="FFFFFF"/>
        </w:rPr>
      </w:pPr>
    </w:p>
    <w:p w14:paraId="3BFDA8B1" w14:textId="768125D8" w:rsidR="00EE7955" w:rsidRPr="004A73C1" w:rsidRDefault="00CA52E6" w:rsidP="00B93891">
      <w:pPr>
        <w:spacing w:after="200" w:line="360" w:lineRule="auto"/>
        <w:jc w:val="both"/>
        <w:rPr>
          <w:rFonts w:ascii="Arial" w:eastAsiaTheme="majorEastAsia" w:hAnsi="Arial" w:cs="Arial"/>
          <w:b/>
          <w:bCs/>
          <w:sz w:val="26"/>
          <w:szCs w:val="26"/>
          <w:shd w:val="clear" w:color="auto" w:fill="FFFFFF"/>
        </w:rPr>
      </w:pPr>
      <w:r w:rsidRPr="004A73C1">
        <w:rPr>
          <w:rFonts w:ascii="Arial" w:eastAsiaTheme="majorEastAsia" w:hAnsi="Arial" w:cs="Arial"/>
          <w:b/>
          <w:bCs/>
          <w:sz w:val="26"/>
          <w:szCs w:val="26"/>
          <w:shd w:val="clear" w:color="auto" w:fill="FFFFFF"/>
        </w:rPr>
        <w:t>4.4.3</w:t>
      </w:r>
      <w:r w:rsidRPr="004A73C1">
        <w:rPr>
          <w:rFonts w:ascii="Arial" w:eastAsiaTheme="majorEastAsia" w:hAnsi="Arial" w:cs="Arial"/>
          <w:b/>
          <w:bCs/>
          <w:sz w:val="26"/>
          <w:szCs w:val="26"/>
          <w:shd w:val="clear" w:color="auto" w:fill="FFFFFF"/>
        </w:rPr>
        <w:tab/>
      </w:r>
      <w:r w:rsidR="00EE7955" w:rsidRPr="004A73C1">
        <w:rPr>
          <w:rFonts w:ascii="Arial" w:eastAsiaTheme="majorEastAsia" w:hAnsi="Arial" w:cs="Arial"/>
          <w:b/>
          <w:bCs/>
          <w:sz w:val="26"/>
          <w:szCs w:val="26"/>
          <w:shd w:val="clear" w:color="auto" w:fill="FFFFFF"/>
        </w:rPr>
        <w:t xml:space="preserve">Linear Line Regression Graph </w:t>
      </w:r>
    </w:p>
    <w:p w14:paraId="70471C19" w14:textId="1EAFEBB2" w:rsidR="0092745F" w:rsidRPr="004A73C1" w:rsidRDefault="0092745F" w:rsidP="00B93891">
      <w:pPr>
        <w:spacing w:after="200" w:line="360" w:lineRule="auto"/>
        <w:jc w:val="both"/>
        <w:rPr>
          <w:rFonts w:ascii="Arial" w:eastAsiaTheme="majorEastAsia" w:hAnsi="Arial" w:cs="Arial"/>
          <w:sz w:val="26"/>
          <w:szCs w:val="26"/>
          <w:shd w:val="clear" w:color="auto" w:fill="FFFFFF"/>
        </w:rPr>
      </w:pPr>
      <w:r w:rsidRPr="004A73C1">
        <w:rPr>
          <w:rFonts w:ascii="Arial" w:hAnsi="Arial" w:cs="Arial"/>
          <w:noProof/>
        </w:rPr>
        <w:drawing>
          <wp:inline distT="0" distB="0" distL="0" distR="0" wp14:anchorId="5DF1E14E" wp14:editId="65ECF330">
            <wp:extent cx="5934974" cy="2717321"/>
            <wp:effectExtent l="0" t="0" r="8890" b="6985"/>
            <wp:docPr id="849352363" name="Chart 1">
              <a:extLst xmlns:a="http://schemas.openxmlformats.org/drawingml/2006/main">
                <a:ext uri="{FF2B5EF4-FFF2-40B4-BE49-F238E27FC236}">
                  <a16:creationId xmlns:a16="http://schemas.microsoft.com/office/drawing/2014/main" id="{8DD8A233-790F-2317-A1E7-7E66DC813A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5046F6AF" w14:textId="33546D1C" w:rsidR="00C75C62" w:rsidRPr="004A73C1" w:rsidRDefault="00C75C62" w:rsidP="00C75C62">
      <w:pPr>
        <w:spacing w:after="0" w:line="360" w:lineRule="auto"/>
        <w:jc w:val="both"/>
        <w:rPr>
          <w:rFonts w:ascii="Arial" w:hAnsi="Arial" w:cs="Arial"/>
        </w:rPr>
      </w:pPr>
      <w:r w:rsidRPr="004A73C1">
        <w:rPr>
          <w:rFonts w:ascii="Arial" w:hAnsi="Arial" w:cs="Arial"/>
        </w:rPr>
        <w:t>Figure 21</w:t>
      </w:r>
      <w:r w:rsidRPr="004A73C1">
        <w:rPr>
          <w:rFonts w:ascii="Arial" w:hAnsi="Arial" w:cs="Arial"/>
        </w:rPr>
        <w:tab/>
      </w:r>
      <w:r w:rsidR="00976200">
        <w:rPr>
          <w:rFonts w:ascii="Arial" w:hAnsi="Arial" w:cs="Arial"/>
        </w:rPr>
        <w:t>(</w:t>
      </w:r>
      <w:r w:rsidR="00976200">
        <w:rPr>
          <w:rFonts w:ascii="Arial" w:eastAsiaTheme="majorEastAsia" w:hAnsi="Arial" w:cs="Arial"/>
          <w:sz w:val="26"/>
          <w:szCs w:val="26"/>
          <w:shd w:val="clear" w:color="auto" w:fill="FFFFFF"/>
        </w:rPr>
        <w:t>Source: World Bank)</w:t>
      </w:r>
    </w:p>
    <w:p w14:paraId="39AB74E9" w14:textId="77777777" w:rsidR="00C75C62" w:rsidRPr="004A73C1" w:rsidRDefault="00C75C62" w:rsidP="00B93891">
      <w:pPr>
        <w:spacing w:after="200" w:line="360" w:lineRule="auto"/>
        <w:jc w:val="both"/>
        <w:rPr>
          <w:rFonts w:ascii="Arial" w:eastAsiaTheme="majorEastAsia" w:hAnsi="Arial" w:cs="Arial"/>
          <w:sz w:val="26"/>
          <w:szCs w:val="26"/>
          <w:shd w:val="clear" w:color="auto" w:fill="FFFFFF"/>
        </w:rPr>
      </w:pPr>
    </w:p>
    <w:p w14:paraId="529C0609" w14:textId="77777777" w:rsidR="00C75C62" w:rsidRPr="004A73C1" w:rsidRDefault="00C75C62" w:rsidP="00B93891">
      <w:pPr>
        <w:spacing w:after="200" w:line="360" w:lineRule="auto"/>
        <w:jc w:val="both"/>
        <w:rPr>
          <w:rFonts w:ascii="Arial" w:eastAsiaTheme="majorEastAsia" w:hAnsi="Arial" w:cs="Arial"/>
          <w:sz w:val="26"/>
          <w:szCs w:val="26"/>
          <w:shd w:val="clear" w:color="auto" w:fill="FFFFFF"/>
        </w:rPr>
      </w:pPr>
    </w:p>
    <w:p w14:paraId="10C8CBB6" w14:textId="77777777" w:rsidR="00C75C62" w:rsidRPr="004A73C1" w:rsidRDefault="00C75C62" w:rsidP="00B93891">
      <w:pPr>
        <w:spacing w:after="200" w:line="360" w:lineRule="auto"/>
        <w:jc w:val="both"/>
        <w:rPr>
          <w:rFonts w:ascii="Arial" w:eastAsiaTheme="majorEastAsia" w:hAnsi="Arial" w:cs="Arial"/>
          <w:sz w:val="26"/>
          <w:szCs w:val="26"/>
          <w:shd w:val="clear" w:color="auto" w:fill="FFFFFF"/>
        </w:rPr>
      </w:pPr>
    </w:p>
    <w:p w14:paraId="38BE3039" w14:textId="77777777" w:rsidR="0092745F" w:rsidRPr="004A73C1" w:rsidRDefault="0092745F">
      <w:pPr>
        <w:rPr>
          <w:rFonts w:ascii="Arial" w:eastAsiaTheme="majorEastAsia" w:hAnsi="Arial" w:cs="Arial"/>
          <w:sz w:val="26"/>
          <w:szCs w:val="26"/>
          <w:shd w:val="clear" w:color="auto" w:fill="FFFFFF"/>
        </w:rPr>
      </w:pPr>
      <w:r w:rsidRPr="004A73C1">
        <w:rPr>
          <w:rFonts w:ascii="Arial" w:hAnsi="Arial" w:cs="Arial"/>
          <w:noProof/>
        </w:rPr>
        <w:drawing>
          <wp:inline distT="0" distB="0" distL="0" distR="0" wp14:anchorId="2215C6F9" wp14:editId="1AEA1DC0">
            <wp:extent cx="5909094" cy="3010618"/>
            <wp:effectExtent l="0" t="0" r="15875" b="18415"/>
            <wp:docPr id="605707435" name="Chart 1">
              <a:extLst xmlns:a="http://schemas.openxmlformats.org/drawingml/2006/main">
                <a:ext uri="{FF2B5EF4-FFF2-40B4-BE49-F238E27FC236}">
                  <a16:creationId xmlns:a16="http://schemas.microsoft.com/office/drawing/2014/main" id="{579D1256-F308-F2E4-49F8-92B40625F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16F9AF88" w14:textId="35DF540C" w:rsidR="00C75C62" w:rsidRPr="004A73C1" w:rsidRDefault="00C75C62" w:rsidP="00C75C62">
      <w:pPr>
        <w:spacing w:after="0" w:line="360" w:lineRule="auto"/>
        <w:jc w:val="both"/>
        <w:rPr>
          <w:rFonts w:ascii="Arial" w:hAnsi="Arial" w:cs="Arial"/>
        </w:rPr>
      </w:pPr>
      <w:r w:rsidRPr="004A73C1">
        <w:rPr>
          <w:rFonts w:ascii="Arial" w:hAnsi="Arial" w:cs="Arial"/>
        </w:rPr>
        <w:t>Figure 22</w:t>
      </w:r>
      <w:r w:rsidR="00976200">
        <w:rPr>
          <w:rFonts w:ascii="Arial" w:hAnsi="Arial" w:cs="Arial"/>
        </w:rPr>
        <w:t xml:space="preserve"> (</w:t>
      </w:r>
      <w:r w:rsidR="00976200">
        <w:rPr>
          <w:rFonts w:ascii="Arial" w:eastAsiaTheme="majorEastAsia" w:hAnsi="Arial" w:cs="Arial"/>
          <w:sz w:val="26"/>
          <w:szCs w:val="26"/>
          <w:shd w:val="clear" w:color="auto" w:fill="FFFFFF"/>
        </w:rPr>
        <w:t>Source: World Bank)</w:t>
      </w:r>
      <w:r w:rsidRPr="004A73C1">
        <w:rPr>
          <w:rFonts w:ascii="Arial" w:hAnsi="Arial" w:cs="Arial"/>
        </w:rPr>
        <w:tab/>
        <w:t xml:space="preserve"> </w:t>
      </w:r>
    </w:p>
    <w:p w14:paraId="61BFDBDB" w14:textId="77777777" w:rsidR="0092745F" w:rsidRPr="004A73C1" w:rsidRDefault="0092745F">
      <w:pPr>
        <w:rPr>
          <w:rFonts w:ascii="Arial" w:eastAsiaTheme="majorEastAsia" w:hAnsi="Arial" w:cs="Arial"/>
          <w:sz w:val="26"/>
          <w:szCs w:val="26"/>
          <w:shd w:val="clear" w:color="auto" w:fill="FFFFFF"/>
        </w:rPr>
      </w:pPr>
    </w:p>
    <w:p w14:paraId="3F980D16" w14:textId="77777777" w:rsidR="002E690B" w:rsidRPr="004A73C1" w:rsidRDefault="0092745F">
      <w:pPr>
        <w:rPr>
          <w:rFonts w:ascii="Arial" w:eastAsiaTheme="majorEastAsia" w:hAnsi="Arial" w:cs="Arial"/>
          <w:sz w:val="26"/>
          <w:szCs w:val="26"/>
          <w:shd w:val="clear" w:color="auto" w:fill="FFFFFF"/>
        </w:rPr>
      </w:pPr>
      <w:r w:rsidRPr="004A73C1">
        <w:rPr>
          <w:rFonts w:ascii="Arial" w:hAnsi="Arial" w:cs="Arial"/>
          <w:noProof/>
        </w:rPr>
        <w:lastRenderedPageBreak/>
        <w:drawing>
          <wp:inline distT="0" distB="0" distL="0" distR="0" wp14:anchorId="5A83E499" wp14:editId="2109273B">
            <wp:extent cx="5727940" cy="3614468"/>
            <wp:effectExtent l="0" t="0" r="6350" b="5080"/>
            <wp:docPr id="2132004606" name="Chart 1">
              <a:extLst xmlns:a="http://schemas.openxmlformats.org/drawingml/2006/main">
                <a:ext uri="{FF2B5EF4-FFF2-40B4-BE49-F238E27FC236}">
                  <a16:creationId xmlns:a16="http://schemas.microsoft.com/office/drawing/2014/main" id="{9A2F3D1C-ABA2-16E1-CC39-96EA80E4DB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38106839" w14:textId="73727287" w:rsidR="002E690B" w:rsidRPr="004A73C1" w:rsidRDefault="00C75C62">
      <w:pPr>
        <w:rPr>
          <w:rFonts w:ascii="Arial" w:eastAsiaTheme="majorEastAsia" w:hAnsi="Arial" w:cs="Arial"/>
          <w:sz w:val="26"/>
          <w:szCs w:val="26"/>
          <w:shd w:val="clear" w:color="auto" w:fill="FFFFFF"/>
        </w:rPr>
      </w:pPr>
      <w:r w:rsidRPr="004A73C1">
        <w:rPr>
          <w:rFonts w:ascii="Arial" w:eastAsiaTheme="majorEastAsia" w:hAnsi="Arial" w:cs="Arial"/>
          <w:sz w:val="26"/>
          <w:szCs w:val="26"/>
          <w:shd w:val="clear" w:color="auto" w:fill="FFFFFF"/>
        </w:rPr>
        <w:t xml:space="preserve">Table </w:t>
      </w:r>
      <w:r w:rsidR="004117AD" w:rsidRPr="004A73C1">
        <w:rPr>
          <w:rFonts w:ascii="Arial" w:eastAsiaTheme="majorEastAsia" w:hAnsi="Arial" w:cs="Arial"/>
          <w:sz w:val="26"/>
          <w:szCs w:val="26"/>
          <w:shd w:val="clear" w:color="auto" w:fill="FFFFFF"/>
        </w:rPr>
        <w:t>23</w:t>
      </w:r>
      <w:r w:rsidR="004117AD">
        <w:rPr>
          <w:rFonts w:ascii="Arial" w:eastAsiaTheme="majorEastAsia" w:hAnsi="Arial" w:cs="Arial"/>
          <w:sz w:val="26"/>
          <w:szCs w:val="26"/>
          <w:shd w:val="clear" w:color="auto" w:fill="FFFFFF"/>
        </w:rPr>
        <w:t xml:space="preserve"> (</w:t>
      </w:r>
      <w:r w:rsidR="00976200">
        <w:rPr>
          <w:rFonts w:ascii="Arial" w:eastAsiaTheme="majorEastAsia" w:hAnsi="Arial" w:cs="Arial"/>
          <w:sz w:val="26"/>
          <w:szCs w:val="26"/>
          <w:shd w:val="clear" w:color="auto" w:fill="FFFFFF"/>
        </w:rPr>
        <w:t>Source: World Bank)</w:t>
      </w:r>
    </w:p>
    <w:p w14:paraId="3C64098B" w14:textId="77777777" w:rsidR="00C75C62" w:rsidRPr="004A73C1" w:rsidRDefault="00C75C62">
      <w:pPr>
        <w:rPr>
          <w:rFonts w:ascii="Arial" w:eastAsiaTheme="majorEastAsia" w:hAnsi="Arial" w:cs="Arial"/>
          <w:sz w:val="26"/>
          <w:szCs w:val="26"/>
          <w:shd w:val="clear" w:color="auto" w:fill="FFFFFF"/>
        </w:rPr>
      </w:pPr>
    </w:p>
    <w:p w14:paraId="5C6AACBC" w14:textId="77777777" w:rsidR="004117AD" w:rsidRDefault="004117AD" w:rsidP="00C75C62">
      <w:pPr>
        <w:spacing w:line="360" w:lineRule="auto"/>
        <w:jc w:val="both"/>
        <w:rPr>
          <w:rFonts w:ascii="Arial" w:eastAsiaTheme="majorEastAsia" w:hAnsi="Arial" w:cs="Arial"/>
          <w:sz w:val="24"/>
          <w:szCs w:val="24"/>
          <w:shd w:val="clear" w:color="auto" w:fill="FFFFFF"/>
        </w:rPr>
      </w:pPr>
    </w:p>
    <w:p w14:paraId="6034661E" w14:textId="68A9FD63" w:rsidR="00B93891" w:rsidRPr="004A73C1" w:rsidRDefault="002E690B" w:rsidP="00C75C62">
      <w:pPr>
        <w:spacing w:line="360" w:lineRule="auto"/>
        <w:jc w:val="both"/>
        <w:rPr>
          <w:rFonts w:ascii="Arial" w:eastAsiaTheme="majorEastAsia" w:hAnsi="Arial" w:cs="Arial"/>
          <w:sz w:val="24"/>
          <w:szCs w:val="24"/>
          <w:shd w:val="clear" w:color="auto" w:fill="FFFFFF"/>
        </w:rPr>
      </w:pPr>
      <w:r w:rsidRPr="004A73C1">
        <w:rPr>
          <w:rFonts w:ascii="Arial" w:eastAsiaTheme="majorEastAsia" w:hAnsi="Arial" w:cs="Arial"/>
          <w:sz w:val="24"/>
          <w:szCs w:val="24"/>
          <w:shd w:val="clear" w:color="auto" w:fill="FFFFFF"/>
        </w:rPr>
        <w:t xml:space="preserve">The following table is based on data sourced from the World Bank. We have used this data to create a forecast over the next 7 years </w:t>
      </w:r>
      <w:r w:rsidR="00BC5C82" w:rsidRPr="004A73C1">
        <w:rPr>
          <w:rFonts w:ascii="Arial" w:eastAsiaTheme="majorEastAsia" w:hAnsi="Arial" w:cs="Arial"/>
          <w:sz w:val="24"/>
          <w:szCs w:val="24"/>
          <w:shd w:val="clear" w:color="auto" w:fill="FFFFFF"/>
        </w:rPr>
        <w:t>to</w:t>
      </w:r>
      <w:r w:rsidRPr="004A73C1">
        <w:rPr>
          <w:rFonts w:ascii="Arial" w:eastAsiaTheme="majorEastAsia" w:hAnsi="Arial" w:cs="Arial"/>
          <w:sz w:val="24"/>
          <w:szCs w:val="24"/>
          <w:shd w:val="clear" w:color="auto" w:fill="FFFFFF"/>
        </w:rPr>
        <w:t xml:space="preserve"> track the expected trends of Foreign Direct Investment (FDI), Gross Domestic Product (GDP), and the Unemployment Rate. It is important to note that our analysis assumes that the factors and trends influencing these metrics will remain consistent over the next 7 years.</w:t>
      </w:r>
      <w:r w:rsidR="00B93891" w:rsidRPr="004A73C1">
        <w:rPr>
          <w:rFonts w:ascii="Arial" w:eastAsiaTheme="majorEastAsia" w:hAnsi="Arial" w:cs="Arial"/>
          <w:sz w:val="24"/>
          <w:szCs w:val="24"/>
          <w:shd w:val="clear" w:color="auto" w:fill="FFFFFF"/>
        </w:rPr>
        <w:br w:type="page"/>
      </w:r>
    </w:p>
    <w:p w14:paraId="1A33911F" w14:textId="39900E3E" w:rsidR="00B93891" w:rsidRPr="004A73C1" w:rsidRDefault="00CA52E6" w:rsidP="002836D7">
      <w:pPr>
        <w:pStyle w:val="Heading3"/>
        <w:rPr>
          <w:rFonts w:ascii="Arial" w:hAnsi="Arial" w:cs="Arial"/>
          <w:color w:val="auto"/>
          <w:shd w:val="clear" w:color="auto" w:fill="FFFFFF"/>
        </w:rPr>
      </w:pPr>
      <w:bookmarkStart w:id="133" w:name="_Toc175848145"/>
      <w:r w:rsidRPr="004A73C1">
        <w:rPr>
          <w:rFonts w:ascii="Arial" w:hAnsi="Arial" w:cs="Arial"/>
          <w:color w:val="auto"/>
          <w:shd w:val="clear" w:color="auto" w:fill="FFFFFF"/>
        </w:rPr>
        <w:lastRenderedPageBreak/>
        <w:t>4.4.4</w:t>
      </w:r>
      <w:r w:rsidRPr="004A73C1">
        <w:rPr>
          <w:rFonts w:ascii="Arial" w:hAnsi="Arial" w:cs="Arial"/>
          <w:color w:val="auto"/>
          <w:shd w:val="clear" w:color="auto" w:fill="FFFFFF"/>
        </w:rPr>
        <w:tab/>
      </w:r>
      <w:r w:rsidR="00B93891" w:rsidRPr="004A73C1">
        <w:rPr>
          <w:rFonts w:ascii="Arial" w:hAnsi="Arial" w:cs="Arial"/>
          <w:color w:val="auto"/>
          <w:shd w:val="clear" w:color="auto" w:fill="FFFFFF"/>
        </w:rPr>
        <w:t xml:space="preserve">Forecast </w:t>
      </w:r>
      <w:r w:rsidR="002836D7" w:rsidRPr="004A73C1">
        <w:rPr>
          <w:rFonts w:ascii="Arial" w:hAnsi="Arial" w:cs="Arial"/>
          <w:color w:val="auto"/>
          <w:shd w:val="clear" w:color="auto" w:fill="FFFFFF"/>
        </w:rPr>
        <w:t>-FDI, GDP &amp; Unemployment</w:t>
      </w:r>
      <w:bookmarkEnd w:id="133"/>
      <w:r w:rsidR="002836D7" w:rsidRPr="004A73C1">
        <w:rPr>
          <w:rFonts w:ascii="Arial" w:hAnsi="Arial" w:cs="Arial"/>
          <w:color w:val="auto"/>
          <w:shd w:val="clear" w:color="auto" w:fill="FFFFFF"/>
        </w:rPr>
        <w:t xml:space="preserve"> </w:t>
      </w:r>
    </w:p>
    <w:tbl>
      <w:tblPr>
        <w:tblW w:w="9153" w:type="dxa"/>
        <w:shd w:val="clear" w:color="auto" w:fill="CEDBE6" w:themeFill="background2"/>
        <w:tblLook w:val="04A0" w:firstRow="1" w:lastRow="0" w:firstColumn="1" w:lastColumn="0" w:noHBand="0" w:noVBand="1"/>
      </w:tblPr>
      <w:tblGrid>
        <w:gridCol w:w="1625"/>
        <w:gridCol w:w="674"/>
        <w:gridCol w:w="1895"/>
        <w:gridCol w:w="1693"/>
        <w:gridCol w:w="1831"/>
        <w:gridCol w:w="1409"/>
        <w:gridCol w:w="26"/>
      </w:tblGrid>
      <w:tr w:rsidR="00B93891" w:rsidRPr="004A73C1" w14:paraId="5CA9392D" w14:textId="77777777" w:rsidTr="00660E61">
        <w:trPr>
          <w:trHeight w:val="391"/>
        </w:trPr>
        <w:tc>
          <w:tcPr>
            <w:tcW w:w="9153" w:type="dxa"/>
            <w:gridSpan w:val="7"/>
            <w:tcBorders>
              <w:top w:val="nil"/>
              <w:left w:val="nil"/>
              <w:bottom w:val="single" w:sz="8" w:space="0" w:color="auto"/>
              <w:right w:val="nil"/>
            </w:tcBorders>
            <w:shd w:val="clear" w:color="auto" w:fill="CEDBE6" w:themeFill="background2"/>
            <w:noWrap/>
            <w:vAlign w:val="center"/>
            <w:hideMark/>
          </w:tcPr>
          <w:p w14:paraId="58F8D250" w14:textId="2F6287B9" w:rsidR="00B93891" w:rsidRPr="004A73C1" w:rsidRDefault="00B93891" w:rsidP="00B93891">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 xml:space="preserve">Forecasted Calculations Based on 9-year Data </w:t>
            </w:r>
            <w:r w:rsidR="00BC5C82" w:rsidRPr="004A73C1">
              <w:rPr>
                <w:rFonts w:ascii="Arial" w:eastAsia="Times New Roman" w:hAnsi="Arial" w:cs="Arial"/>
                <w:b/>
                <w:bCs/>
                <w:color w:val="000000"/>
                <w:sz w:val="18"/>
                <w:szCs w:val="18"/>
                <w:lang w:eastAsia="en-GB"/>
              </w:rPr>
              <w:t>from</w:t>
            </w:r>
            <w:r w:rsidRPr="004A73C1">
              <w:rPr>
                <w:rFonts w:ascii="Arial" w:eastAsia="Times New Roman" w:hAnsi="Arial" w:cs="Arial"/>
                <w:b/>
                <w:bCs/>
                <w:color w:val="000000"/>
                <w:sz w:val="18"/>
                <w:szCs w:val="18"/>
                <w:lang w:eastAsia="en-GB"/>
              </w:rPr>
              <w:t xml:space="preserve"> World Bank</w:t>
            </w:r>
          </w:p>
        </w:tc>
      </w:tr>
      <w:tr w:rsidR="00BC5C82" w:rsidRPr="004A73C1" w14:paraId="1753C442" w14:textId="77777777" w:rsidTr="00660E61">
        <w:trPr>
          <w:gridAfter w:val="1"/>
          <w:wAfter w:w="26" w:type="dxa"/>
          <w:trHeight w:val="587"/>
        </w:trPr>
        <w:tc>
          <w:tcPr>
            <w:tcW w:w="1625" w:type="dxa"/>
            <w:vMerge w:val="restart"/>
            <w:tcBorders>
              <w:top w:val="nil"/>
              <w:left w:val="single" w:sz="8" w:space="0" w:color="auto"/>
              <w:bottom w:val="single" w:sz="8" w:space="0" w:color="000000"/>
              <w:right w:val="single" w:sz="8" w:space="0" w:color="auto"/>
            </w:tcBorders>
            <w:shd w:val="clear" w:color="auto" w:fill="CEDBE6" w:themeFill="background2"/>
            <w:noWrap/>
            <w:vAlign w:val="center"/>
            <w:hideMark/>
          </w:tcPr>
          <w:p w14:paraId="630365B0" w14:textId="77777777" w:rsidR="00B93891" w:rsidRPr="004A73C1" w:rsidRDefault="00B93891" w:rsidP="00B93891">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Actual Data -Source World Bank</w:t>
            </w: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1460F1D3"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Year</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6629D9CE"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 xml:space="preserve"> NET FDI - Billions </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6E95AFD7"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 xml:space="preserve"> GDP- In Billions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7F87BC8B"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 xml:space="preserve"> Unemployment Rate </w:t>
            </w:r>
          </w:p>
        </w:tc>
        <w:tc>
          <w:tcPr>
            <w:tcW w:w="1409" w:type="dxa"/>
            <w:tcBorders>
              <w:top w:val="nil"/>
              <w:left w:val="nil"/>
              <w:bottom w:val="single" w:sz="8" w:space="0" w:color="auto"/>
              <w:right w:val="single" w:sz="8" w:space="0" w:color="auto"/>
            </w:tcBorders>
            <w:shd w:val="clear" w:color="auto" w:fill="CEDBE6" w:themeFill="background2"/>
            <w:vAlign w:val="center"/>
            <w:hideMark/>
          </w:tcPr>
          <w:p w14:paraId="15592100"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Percentage FDI/GDP%</w:t>
            </w:r>
          </w:p>
        </w:tc>
      </w:tr>
      <w:tr w:rsidR="00BC5C82" w:rsidRPr="004A73C1" w14:paraId="466DA11D"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039CE7DB"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357761CD"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2015</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3FEFB383"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(105.51)</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69C691B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2,927.91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01D0ED41"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5.40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472A8CF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-4%</w:t>
            </w:r>
          </w:p>
        </w:tc>
      </w:tr>
      <w:tr w:rsidR="00BC5C82" w:rsidRPr="004A73C1" w14:paraId="1D9B67FF"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76CAC2C7"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5B9F460D"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2016</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084F410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(291.90)</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637DACDC"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2,689.11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675D6A8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4.90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05CCD1D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-11%</w:t>
            </w:r>
          </w:p>
        </w:tc>
      </w:tr>
      <w:tr w:rsidR="00BC5C82" w:rsidRPr="004A73C1" w14:paraId="71D082AF"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6DF16645"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60ED4D97"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2017</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0AC682A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46.69 </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7C902B7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2,680.15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41E087C4"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4.40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5DC536B4"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2%</w:t>
            </w:r>
          </w:p>
        </w:tc>
      </w:tr>
      <w:tr w:rsidR="00BC5C82" w:rsidRPr="004A73C1" w14:paraId="1B6BBC21"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673277F8"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163163CD"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2018</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7FCE68D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(3.58)</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2C99EBBC"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2,871.34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27F5521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4.20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095BA23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0%</w:t>
            </w:r>
          </w:p>
        </w:tc>
      </w:tr>
      <w:tr w:rsidR="00BC5C82" w:rsidRPr="004A73C1" w14:paraId="4EA99E03"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0F1CF9C9"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65A7458C"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2019</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5D23E82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(41.29)</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458EB16E"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2,851.41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0E39B3D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3.90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56B3E6C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w:t>
            </w:r>
          </w:p>
        </w:tc>
      </w:tr>
      <w:tr w:rsidR="00BC5C82" w:rsidRPr="004A73C1" w14:paraId="6264BA8F"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5C1FAFA1"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46A1ABD3"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2020</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43498C8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(140.80)</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77A1E153"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2,697.81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184E20C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4.70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084BE38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-5%</w:t>
            </w:r>
          </w:p>
        </w:tc>
      </w:tr>
      <w:tr w:rsidR="00BC5C82" w:rsidRPr="004A73C1" w14:paraId="44CC8851"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4D55FE34"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7705ED33"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2021</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3969B557"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155.01 </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275E8F2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3,141.51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71A71FD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4.60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337C5B6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5%</w:t>
            </w:r>
          </w:p>
        </w:tc>
      </w:tr>
      <w:tr w:rsidR="00BC5C82" w:rsidRPr="004A73C1" w14:paraId="4EF6BA24"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759660D7"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250E1B02"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2022</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292EDBC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79.99 </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05B2B9D7"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3,088.84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34901E5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3.90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17E889A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3%</w:t>
            </w:r>
          </w:p>
        </w:tc>
      </w:tr>
      <w:tr w:rsidR="00BC5C82" w:rsidRPr="004A73C1" w14:paraId="3B3BBF3E" w14:textId="77777777" w:rsidTr="00660E61">
        <w:trPr>
          <w:gridAfter w:val="1"/>
          <w:wAfter w:w="26" w:type="dxa"/>
          <w:trHeight w:val="316"/>
        </w:trPr>
        <w:tc>
          <w:tcPr>
            <w:tcW w:w="1625" w:type="dxa"/>
            <w:vMerge/>
            <w:tcBorders>
              <w:top w:val="nil"/>
              <w:left w:val="single" w:sz="8" w:space="0" w:color="auto"/>
              <w:bottom w:val="single" w:sz="8" w:space="0" w:color="000000"/>
              <w:right w:val="single" w:sz="8" w:space="0" w:color="auto"/>
            </w:tcBorders>
            <w:shd w:val="clear" w:color="auto" w:fill="CEDBE6" w:themeFill="background2"/>
            <w:vAlign w:val="center"/>
            <w:hideMark/>
          </w:tcPr>
          <w:p w14:paraId="6A4FE06D"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nil"/>
              <w:bottom w:val="single" w:sz="8" w:space="0" w:color="auto"/>
              <w:right w:val="single" w:sz="8" w:space="0" w:color="auto"/>
            </w:tcBorders>
            <w:shd w:val="clear" w:color="auto" w:fill="CEDBE6" w:themeFill="background2"/>
            <w:noWrap/>
            <w:vAlign w:val="center"/>
            <w:hideMark/>
          </w:tcPr>
          <w:p w14:paraId="15619E47"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2023</w:t>
            </w:r>
          </w:p>
        </w:tc>
        <w:tc>
          <w:tcPr>
            <w:tcW w:w="1895" w:type="dxa"/>
            <w:tcBorders>
              <w:top w:val="nil"/>
              <w:left w:val="nil"/>
              <w:bottom w:val="single" w:sz="8" w:space="0" w:color="auto"/>
              <w:right w:val="single" w:sz="8" w:space="0" w:color="auto"/>
            </w:tcBorders>
            <w:shd w:val="clear" w:color="auto" w:fill="CEDBE6" w:themeFill="background2"/>
            <w:noWrap/>
            <w:vAlign w:val="center"/>
            <w:hideMark/>
          </w:tcPr>
          <w:p w14:paraId="5D01B3C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90.03 </w:t>
            </w:r>
          </w:p>
        </w:tc>
        <w:tc>
          <w:tcPr>
            <w:tcW w:w="1693" w:type="dxa"/>
            <w:tcBorders>
              <w:top w:val="nil"/>
              <w:left w:val="nil"/>
              <w:bottom w:val="single" w:sz="8" w:space="0" w:color="auto"/>
              <w:right w:val="single" w:sz="8" w:space="0" w:color="auto"/>
            </w:tcBorders>
            <w:shd w:val="clear" w:color="auto" w:fill="CEDBE6" w:themeFill="background2"/>
            <w:noWrap/>
            <w:vAlign w:val="center"/>
            <w:hideMark/>
          </w:tcPr>
          <w:p w14:paraId="2559C22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3,340.03 </w:t>
            </w:r>
          </w:p>
        </w:tc>
        <w:tc>
          <w:tcPr>
            <w:tcW w:w="1831" w:type="dxa"/>
            <w:tcBorders>
              <w:top w:val="nil"/>
              <w:left w:val="nil"/>
              <w:bottom w:val="single" w:sz="8" w:space="0" w:color="auto"/>
              <w:right w:val="single" w:sz="8" w:space="0" w:color="auto"/>
            </w:tcBorders>
            <w:shd w:val="clear" w:color="auto" w:fill="CEDBE6" w:themeFill="background2"/>
            <w:noWrap/>
            <w:vAlign w:val="center"/>
            <w:hideMark/>
          </w:tcPr>
          <w:p w14:paraId="7F7A90E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4.00 </w:t>
            </w:r>
          </w:p>
        </w:tc>
        <w:tc>
          <w:tcPr>
            <w:tcW w:w="1409" w:type="dxa"/>
            <w:tcBorders>
              <w:top w:val="nil"/>
              <w:left w:val="nil"/>
              <w:bottom w:val="single" w:sz="8" w:space="0" w:color="auto"/>
              <w:right w:val="single" w:sz="8" w:space="0" w:color="auto"/>
            </w:tcBorders>
            <w:shd w:val="clear" w:color="auto" w:fill="CEDBE6" w:themeFill="background2"/>
            <w:noWrap/>
            <w:vAlign w:val="center"/>
            <w:hideMark/>
          </w:tcPr>
          <w:p w14:paraId="1C170C33"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3%</w:t>
            </w:r>
          </w:p>
        </w:tc>
      </w:tr>
      <w:tr w:rsidR="00BC5C82" w:rsidRPr="004A73C1" w14:paraId="2A421E0D" w14:textId="77777777" w:rsidTr="00660E61">
        <w:trPr>
          <w:gridAfter w:val="1"/>
          <w:wAfter w:w="26" w:type="dxa"/>
          <w:trHeight w:val="301"/>
        </w:trPr>
        <w:tc>
          <w:tcPr>
            <w:tcW w:w="1625" w:type="dxa"/>
            <w:vMerge w:val="restart"/>
            <w:tcBorders>
              <w:top w:val="nil"/>
              <w:left w:val="single" w:sz="8" w:space="0" w:color="auto"/>
              <w:bottom w:val="single" w:sz="8" w:space="0" w:color="000000"/>
              <w:right w:val="nil"/>
            </w:tcBorders>
            <w:shd w:val="clear" w:color="auto" w:fill="CEDBE6" w:themeFill="background2"/>
            <w:vAlign w:val="center"/>
            <w:hideMark/>
          </w:tcPr>
          <w:p w14:paraId="7E2488A2" w14:textId="77777777" w:rsidR="00B93891" w:rsidRPr="004A73C1" w:rsidRDefault="00B93891" w:rsidP="00B93891">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b/>
                <w:bCs/>
                <w:color w:val="000000"/>
                <w:sz w:val="18"/>
                <w:szCs w:val="18"/>
                <w:lang w:eastAsia="en-GB"/>
              </w:rPr>
              <w:t>Forecast</w:t>
            </w: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5A9AAA42"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2024</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7A82861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141.29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7C5FBBB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3,220.64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7FB1F3E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3.80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68E81387"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5%</w:t>
            </w:r>
          </w:p>
        </w:tc>
      </w:tr>
      <w:tr w:rsidR="00BC5C82" w:rsidRPr="004A73C1" w14:paraId="050099F5" w14:textId="77777777" w:rsidTr="00660E61">
        <w:trPr>
          <w:gridAfter w:val="1"/>
          <w:wAfter w:w="26" w:type="dxa"/>
          <w:trHeight w:val="301"/>
        </w:trPr>
        <w:tc>
          <w:tcPr>
            <w:tcW w:w="1625" w:type="dxa"/>
            <w:vMerge/>
            <w:tcBorders>
              <w:top w:val="nil"/>
              <w:left w:val="single" w:sz="8" w:space="0" w:color="auto"/>
              <w:bottom w:val="single" w:sz="8" w:space="0" w:color="000000"/>
              <w:right w:val="nil"/>
            </w:tcBorders>
            <w:shd w:val="clear" w:color="auto" w:fill="CEDBE6" w:themeFill="background2"/>
            <w:vAlign w:val="center"/>
            <w:hideMark/>
          </w:tcPr>
          <w:p w14:paraId="4587A3CD"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7FA3C975"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2025</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4974937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174.24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184A807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3,280.59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7D2F4A91"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3.67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1A4C87C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6%</w:t>
            </w:r>
          </w:p>
        </w:tc>
      </w:tr>
      <w:tr w:rsidR="00BC5C82" w:rsidRPr="004A73C1" w14:paraId="4F0F099D" w14:textId="77777777" w:rsidTr="00660E61">
        <w:trPr>
          <w:gridAfter w:val="1"/>
          <w:wAfter w:w="26" w:type="dxa"/>
          <w:trHeight w:val="301"/>
        </w:trPr>
        <w:tc>
          <w:tcPr>
            <w:tcW w:w="1625" w:type="dxa"/>
            <w:vMerge/>
            <w:tcBorders>
              <w:top w:val="nil"/>
              <w:left w:val="single" w:sz="8" w:space="0" w:color="auto"/>
              <w:bottom w:val="single" w:sz="8" w:space="0" w:color="000000"/>
              <w:right w:val="nil"/>
            </w:tcBorders>
            <w:shd w:val="clear" w:color="auto" w:fill="CEDBE6" w:themeFill="background2"/>
            <w:vAlign w:val="center"/>
            <w:hideMark/>
          </w:tcPr>
          <w:p w14:paraId="031F113E"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59E524B4"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2026</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46BDFB8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207.19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0167A811"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3,340.53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00A739DE"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3.55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2A63BB23"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7%</w:t>
            </w:r>
          </w:p>
        </w:tc>
      </w:tr>
      <w:tr w:rsidR="00BC5C82" w:rsidRPr="004A73C1" w14:paraId="59006379" w14:textId="77777777" w:rsidTr="00660E61">
        <w:trPr>
          <w:gridAfter w:val="1"/>
          <w:wAfter w:w="26" w:type="dxa"/>
          <w:trHeight w:val="301"/>
        </w:trPr>
        <w:tc>
          <w:tcPr>
            <w:tcW w:w="1625" w:type="dxa"/>
            <w:vMerge/>
            <w:tcBorders>
              <w:top w:val="nil"/>
              <w:left w:val="single" w:sz="8" w:space="0" w:color="auto"/>
              <w:bottom w:val="single" w:sz="8" w:space="0" w:color="000000"/>
              <w:right w:val="nil"/>
            </w:tcBorders>
            <w:shd w:val="clear" w:color="auto" w:fill="CEDBE6" w:themeFill="background2"/>
            <w:vAlign w:val="center"/>
            <w:hideMark/>
          </w:tcPr>
          <w:p w14:paraId="0EF099B4"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3F45391A"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2027</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5DAC6273"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240.15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3949C4F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3,400.48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5E164D3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3.42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189CF8C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8%</w:t>
            </w:r>
          </w:p>
        </w:tc>
      </w:tr>
      <w:tr w:rsidR="00BC5C82" w:rsidRPr="004A73C1" w14:paraId="302D1AA2" w14:textId="77777777" w:rsidTr="00660E61">
        <w:trPr>
          <w:gridAfter w:val="1"/>
          <w:wAfter w:w="26" w:type="dxa"/>
          <w:trHeight w:val="301"/>
        </w:trPr>
        <w:tc>
          <w:tcPr>
            <w:tcW w:w="1625" w:type="dxa"/>
            <w:vMerge/>
            <w:tcBorders>
              <w:top w:val="nil"/>
              <w:left w:val="single" w:sz="8" w:space="0" w:color="auto"/>
              <w:bottom w:val="single" w:sz="8" w:space="0" w:color="000000"/>
              <w:right w:val="nil"/>
            </w:tcBorders>
            <w:shd w:val="clear" w:color="auto" w:fill="CEDBE6" w:themeFill="background2"/>
            <w:vAlign w:val="center"/>
            <w:hideMark/>
          </w:tcPr>
          <w:p w14:paraId="7EF504DA"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18C80E9E"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2028</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4DE57AC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273.10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77A3BA5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3,460.43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5F2FC51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3.29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46A7D89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9%</w:t>
            </w:r>
          </w:p>
        </w:tc>
      </w:tr>
      <w:tr w:rsidR="00BC5C82" w:rsidRPr="004A73C1" w14:paraId="52745C39" w14:textId="77777777" w:rsidTr="00660E61">
        <w:trPr>
          <w:gridAfter w:val="1"/>
          <w:wAfter w:w="26" w:type="dxa"/>
          <w:trHeight w:val="301"/>
        </w:trPr>
        <w:tc>
          <w:tcPr>
            <w:tcW w:w="1625" w:type="dxa"/>
            <w:vMerge/>
            <w:tcBorders>
              <w:top w:val="nil"/>
              <w:left w:val="single" w:sz="8" w:space="0" w:color="auto"/>
              <w:bottom w:val="single" w:sz="8" w:space="0" w:color="000000"/>
              <w:right w:val="nil"/>
            </w:tcBorders>
            <w:shd w:val="clear" w:color="auto" w:fill="CEDBE6" w:themeFill="background2"/>
            <w:vAlign w:val="center"/>
            <w:hideMark/>
          </w:tcPr>
          <w:p w14:paraId="4D638368"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7DB4FC5A"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2029</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23420527"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306.06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36CC77C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3,520.38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5D1B88CC"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3.16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045BD7D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10%</w:t>
            </w:r>
          </w:p>
        </w:tc>
      </w:tr>
      <w:tr w:rsidR="00BC5C82" w:rsidRPr="004A73C1" w14:paraId="35F9C5BD" w14:textId="77777777" w:rsidTr="00660E61">
        <w:trPr>
          <w:gridAfter w:val="1"/>
          <w:wAfter w:w="26" w:type="dxa"/>
          <w:trHeight w:val="316"/>
        </w:trPr>
        <w:tc>
          <w:tcPr>
            <w:tcW w:w="1625" w:type="dxa"/>
            <w:vMerge/>
            <w:tcBorders>
              <w:top w:val="nil"/>
              <w:left w:val="single" w:sz="8" w:space="0" w:color="auto"/>
              <w:bottom w:val="single" w:sz="8" w:space="0" w:color="000000"/>
              <w:right w:val="nil"/>
            </w:tcBorders>
            <w:shd w:val="clear" w:color="auto" w:fill="CEDBE6" w:themeFill="background2"/>
            <w:vAlign w:val="center"/>
            <w:hideMark/>
          </w:tcPr>
          <w:p w14:paraId="5502DFFB"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8" w:space="0" w:color="auto"/>
              <w:right w:val="single" w:sz="4" w:space="0" w:color="auto"/>
            </w:tcBorders>
            <w:shd w:val="clear" w:color="auto" w:fill="CEDBE6" w:themeFill="background2"/>
            <w:noWrap/>
            <w:vAlign w:val="center"/>
            <w:hideMark/>
          </w:tcPr>
          <w:p w14:paraId="6A5781E3"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2030</w:t>
            </w:r>
          </w:p>
        </w:tc>
        <w:tc>
          <w:tcPr>
            <w:tcW w:w="1895" w:type="dxa"/>
            <w:tcBorders>
              <w:top w:val="nil"/>
              <w:left w:val="nil"/>
              <w:bottom w:val="single" w:sz="8" w:space="0" w:color="auto"/>
              <w:right w:val="single" w:sz="4" w:space="0" w:color="auto"/>
            </w:tcBorders>
            <w:shd w:val="clear" w:color="auto" w:fill="CEDBE6" w:themeFill="background2"/>
            <w:noWrap/>
            <w:vAlign w:val="bottom"/>
            <w:hideMark/>
          </w:tcPr>
          <w:p w14:paraId="3A1EDC4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339.01 </w:t>
            </w:r>
          </w:p>
        </w:tc>
        <w:tc>
          <w:tcPr>
            <w:tcW w:w="1693" w:type="dxa"/>
            <w:tcBorders>
              <w:top w:val="nil"/>
              <w:left w:val="nil"/>
              <w:bottom w:val="single" w:sz="8" w:space="0" w:color="auto"/>
              <w:right w:val="single" w:sz="4" w:space="0" w:color="auto"/>
            </w:tcBorders>
            <w:shd w:val="clear" w:color="auto" w:fill="CEDBE6" w:themeFill="background2"/>
            <w:noWrap/>
            <w:vAlign w:val="bottom"/>
            <w:hideMark/>
          </w:tcPr>
          <w:p w14:paraId="4CF5381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3,580.33 </w:t>
            </w:r>
          </w:p>
        </w:tc>
        <w:tc>
          <w:tcPr>
            <w:tcW w:w="1831" w:type="dxa"/>
            <w:tcBorders>
              <w:top w:val="nil"/>
              <w:left w:val="nil"/>
              <w:bottom w:val="single" w:sz="8" w:space="0" w:color="auto"/>
              <w:right w:val="single" w:sz="4" w:space="0" w:color="auto"/>
            </w:tcBorders>
            <w:shd w:val="clear" w:color="auto" w:fill="CEDBE6" w:themeFill="background2"/>
            <w:noWrap/>
            <w:vAlign w:val="bottom"/>
            <w:hideMark/>
          </w:tcPr>
          <w:p w14:paraId="76763301"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3.03 </w:t>
            </w:r>
          </w:p>
        </w:tc>
        <w:tc>
          <w:tcPr>
            <w:tcW w:w="1409" w:type="dxa"/>
            <w:tcBorders>
              <w:top w:val="nil"/>
              <w:left w:val="nil"/>
              <w:bottom w:val="single" w:sz="8" w:space="0" w:color="auto"/>
              <w:right w:val="single" w:sz="8" w:space="0" w:color="auto"/>
            </w:tcBorders>
            <w:shd w:val="clear" w:color="auto" w:fill="CEDBE6" w:themeFill="background2"/>
            <w:noWrap/>
            <w:vAlign w:val="bottom"/>
            <w:hideMark/>
          </w:tcPr>
          <w:p w14:paraId="2F8FAD5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11%</w:t>
            </w:r>
          </w:p>
        </w:tc>
      </w:tr>
      <w:tr w:rsidR="00BC5C82" w:rsidRPr="004A73C1" w14:paraId="2F2B9339" w14:textId="77777777" w:rsidTr="00660E61">
        <w:trPr>
          <w:gridAfter w:val="1"/>
          <w:wAfter w:w="26" w:type="dxa"/>
          <w:trHeight w:val="301"/>
        </w:trPr>
        <w:tc>
          <w:tcPr>
            <w:tcW w:w="1625" w:type="dxa"/>
            <w:vMerge w:val="restart"/>
            <w:tcBorders>
              <w:top w:val="nil"/>
              <w:left w:val="single" w:sz="8" w:space="0" w:color="auto"/>
              <w:bottom w:val="nil"/>
              <w:right w:val="nil"/>
            </w:tcBorders>
            <w:shd w:val="clear" w:color="auto" w:fill="CEDBE6" w:themeFill="background2"/>
            <w:vAlign w:val="center"/>
            <w:hideMark/>
          </w:tcPr>
          <w:p w14:paraId="4A23A30D" w14:textId="77777777" w:rsidR="00B93891" w:rsidRPr="004A73C1" w:rsidRDefault="00B93891" w:rsidP="00B93891">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b/>
                <w:bCs/>
                <w:color w:val="000000"/>
                <w:sz w:val="18"/>
                <w:szCs w:val="18"/>
                <w:lang w:eastAsia="en-GB"/>
              </w:rPr>
              <w:t>Trend</w:t>
            </w:r>
            <w:r w:rsidRPr="004A73C1">
              <w:rPr>
                <w:rFonts w:ascii="Arial" w:eastAsia="Times New Roman" w:hAnsi="Arial" w:cs="Arial"/>
                <w:color w:val="000000"/>
                <w:sz w:val="18"/>
                <w:szCs w:val="18"/>
                <w:lang w:eastAsia="en-GB"/>
              </w:rPr>
              <w:t xml:space="preserve"> </w:t>
            </w: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5432F6D3"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2024</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4233D2F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141.29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5931578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3,220.64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54F78AF1"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3.80 </w:t>
            </w:r>
          </w:p>
        </w:tc>
        <w:tc>
          <w:tcPr>
            <w:tcW w:w="1409" w:type="dxa"/>
            <w:tcBorders>
              <w:top w:val="nil"/>
              <w:left w:val="nil"/>
              <w:bottom w:val="single" w:sz="4" w:space="0" w:color="auto"/>
              <w:right w:val="single" w:sz="4" w:space="0" w:color="auto"/>
            </w:tcBorders>
            <w:shd w:val="clear" w:color="auto" w:fill="CEDBE6" w:themeFill="background2"/>
            <w:noWrap/>
            <w:vAlign w:val="bottom"/>
            <w:hideMark/>
          </w:tcPr>
          <w:p w14:paraId="379A228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5%</w:t>
            </w:r>
          </w:p>
        </w:tc>
      </w:tr>
      <w:tr w:rsidR="00BC5C82" w:rsidRPr="004A73C1" w14:paraId="68FD59BE" w14:textId="77777777" w:rsidTr="00660E61">
        <w:trPr>
          <w:gridAfter w:val="1"/>
          <w:wAfter w:w="26" w:type="dxa"/>
          <w:trHeight w:val="301"/>
        </w:trPr>
        <w:tc>
          <w:tcPr>
            <w:tcW w:w="1625" w:type="dxa"/>
            <w:vMerge/>
            <w:tcBorders>
              <w:top w:val="nil"/>
              <w:left w:val="single" w:sz="8" w:space="0" w:color="auto"/>
              <w:bottom w:val="nil"/>
              <w:right w:val="nil"/>
            </w:tcBorders>
            <w:shd w:val="clear" w:color="auto" w:fill="CEDBE6" w:themeFill="background2"/>
            <w:vAlign w:val="center"/>
            <w:hideMark/>
          </w:tcPr>
          <w:p w14:paraId="35BBC70D"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7FD0134A"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2025</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6C80E85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174.24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285EC93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3,280.59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575B35C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3.67 </w:t>
            </w:r>
          </w:p>
        </w:tc>
        <w:tc>
          <w:tcPr>
            <w:tcW w:w="1409" w:type="dxa"/>
            <w:tcBorders>
              <w:top w:val="nil"/>
              <w:left w:val="nil"/>
              <w:bottom w:val="single" w:sz="4" w:space="0" w:color="auto"/>
              <w:right w:val="single" w:sz="4" w:space="0" w:color="auto"/>
            </w:tcBorders>
            <w:shd w:val="clear" w:color="auto" w:fill="CEDBE6" w:themeFill="background2"/>
            <w:noWrap/>
            <w:vAlign w:val="bottom"/>
            <w:hideMark/>
          </w:tcPr>
          <w:p w14:paraId="612BD0F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6%</w:t>
            </w:r>
          </w:p>
        </w:tc>
      </w:tr>
      <w:tr w:rsidR="00BC5C82" w:rsidRPr="004A73C1" w14:paraId="38765601" w14:textId="77777777" w:rsidTr="00660E61">
        <w:trPr>
          <w:gridAfter w:val="1"/>
          <w:wAfter w:w="26" w:type="dxa"/>
          <w:trHeight w:val="301"/>
        </w:trPr>
        <w:tc>
          <w:tcPr>
            <w:tcW w:w="1625" w:type="dxa"/>
            <w:vMerge/>
            <w:tcBorders>
              <w:top w:val="nil"/>
              <w:left w:val="single" w:sz="8" w:space="0" w:color="auto"/>
              <w:bottom w:val="nil"/>
              <w:right w:val="nil"/>
            </w:tcBorders>
            <w:shd w:val="clear" w:color="auto" w:fill="CEDBE6" w:themeFill="background2"/>
            <w:vAlign w:val="center"/>
            <w:hideMark/>
          </w:tcPr>
          <w:p w14:paraId="5A68B413"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7DD125E0"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2026</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5BA6EE9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207.19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2E1B3BF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3,340.53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65D8664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3.55 </w:t>
            </w:r>
          </w:p>
        </w:tc>
        <w:tc>
          <w:tcPr>
            <w:tcW w:w="1409" w:type="dxa"/>
            <w:tcBorders>
              <w:top w:val="nil"/>
              <w:left w:val="nil"/>
              <w:bottom w:val="single" w:sz="4" w:space="0" w:color="auto"/>
              <w:right w:val="single" w:sz="4" w:space="0" w:color="auto"/>
            </w:tcBorders>
            <w:shd w:val="clear" w:color="auto" w:fill="CEDBE6" w:themeFill="background2"/>
            <w:noWrap/>
            <w:vAlign w:val="bottom"/>
            <w:hideMark/>
          </w:tcPr>
          <w:p w14:paraId="39D8425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7%</w:t>
            </w:r>
          </w:p>
        </w:tc>
      </w:tr>
      <w:tr w:rsidR="00BC5C82" w:rsidRPr="004A73C1" w14:paraId="1B775F09" w14:textId="77777777" w:rsidTr="00660E61">
        <w:trPr>
          <w:gridAfter w:val="1"/>
          <w:wAfter w:w="26" w:type="dxa"/>
          <w:trHeight w:val="301"/>
        </w:trPr>
        <w:tc>
          <w:tcPr>
            <w:tcW w:w="1625" w:type="dxa"/>
            <w:vMerge/>
            <w:tcBorders>
              <w:top w:val="nil"/>
              <w:left w:val="single" w:sz="8" w:space="0" w:color="auto"/>
              <w:bottom w:val="nil"/>
              <w:right w:val="nil"/>
            </w:tcBorders>
            <w:shd w:val="clear" w:color="auto" w:fill="CEDBE6" w:themeFill="background2"/>
            <w:vAlign w:val="center"/>
            <w:hideMark/>
          </w:tcPr>
          <w:p w14:paraId="2ECE4001"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397A1F76"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2027</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1D15B51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240.15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64D0977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3,400.48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3150340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3.42 </w:t>
            </w:r>
          </w:p>
        </w:tc>
        <w:tc>
          <w:tcPr>
            <w:tcW w:w="1409" w:type="dxa"/>
            <w:tcBorders>
              <w:top w:val="nil"/>
              <w:left w:val="nil"/>
              <w:bottom w:val="single" w:sz="4" w:space="0" w:color="auto"/>
              <w:right w:val="single" w:sz="4" w:space="0" w:color="auto"/>
            </w:tcBorders>
            <w:shd w:val="clear" w:color="auto" w:fill="CEDBE6" w:themeFill="background2"/>
            <w:noWrap/>
            <w:vAlign w:val="bottom"/>
            <w:hideMark/>
          </w:tcPr>
          <w:p w14:paraId="6CE800E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8%</w:t>
            </w:r>
          </w:p>
        </w:tc>
      </w:tr>
      <w:tr w:rsidR="00BC5C82" w:rsidRPr="004A73C1" w14:paraId="2491B5DA" w14:textId="77777777" w:rsidTr="00660E61">
        <w:trPr>
          <w:gridAfter w:val="1"/>
          <w:wAfter w:w="26" w:type="dxa"/>
          <w:trHeight w:val="301"/>
        </w:trPr>
        <w:tc>
          <w:tcPr>
            <w:tcW w:w="1625" w:type="dxa"/>
            <w:vMerge/>
            <w:tcBorders>
              <w:top w:val="nil"/>
              <w:left w:val="single" w:sz="8" w:space="0" w:color="auto"/>
              <w:bottom w:val="nil"/>
              <w:right w:val="nil"/>
            </w:tcBorders>
            <w:shd w:val="clear" w:color="auto" w:fill="CEDBE6" w:themeFill="background2"/>
            <w:vAlign w:val="center"/>
            <w:hideMark/>
          </w:tcPr>
          <w:p w14:paraId="4D8589E6"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17082E26"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2028</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2FDF295E"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273.10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1F42D284"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3,460.43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6192E3D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3.29 </w:t>
            </w:r>
          </w:p>
        </w:tc>
        <w:tc>
          <w:tcPr>
            <w:tcW w:w="1409" w:type="dxa"/>
            <w:tcBorders>
              <w:top w:val="nil"/>
              <w:left w:val="nil"/>
              <w:bottom w:val="single" w:sz="4" w:space="0" w:color="auto"/>
              <w:right w:val="single" w:sz="4" w:space="0" w:color="auto"/>
            </w:tcBorders>
            <w:shd w:val="clear" w:color="auto" w:fill="CEDBE6" w:themeFill="background2"/>
            <w:noWrap/>
            <w:vAlign w:val="bottom"/>
            <w:hideMark/>
          </w:tcPr>
          <w:p w14:paraId="5B3BEA2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9%</w:t>
            </w:r>
          </w:p>
        </w:tc>
      </w:tr>
      <w:tr w:rsidR="00BC5C82" w:rsidRPr="004A73C1" w14:paraId="5118BE4B" w14:textId="77777777" w:rsidTr="00660E61">
        <w:trPr>
          <w:gridAfter w:val="1"/>
          <w:wAfter w:w="26" w:type="dxa"/>
          <w:trHeight w:val="301"/>
        </w:trPr>
        <w:tc>
          <w:tcPr>
            <w:tcW w:w="1625" w:type="dxa"/>
            <w:vMerge/>
            <w:tcBorders>
              <w:top w:val="nil"/>
              <w:left w:val="single" w:sz="8" w:space="0" w:color="auto"/>
              <w:bottom w:val="nil"/>
              <w:right w:val="nil"/>
            </w:tcBorders>
            <w:shd w:val="clear" w:color="auto" w:fill="CEDBE6" w:themeFill="background2"/>
            <w:vAlign w:val="center"/>
            <w:hideMark/>
          </w:tcPr>
          <w:p w14:paraId="04FA3913"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0E6C4F51"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2029</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6C2B9FD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306.06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60A06EB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3,520.38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05C3904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3.16 </w:t>
            </w:r>
          </w:p>
        </w:tc>
        <w:tc>
          <w:tcPr>
            <w:tcW w:w="1409" w:type="dxa"/>
            <w:tcBorders>
              <w:top w:val="nil"/>
              <w:left w:val="nil"/>
              <w:bottom w:val="single" w:sz="4" w:space="0" w:color="auto"/>
              <w:right w:val="single" w:sz="4" w:space="0" w:color="auto"/>
            </w:tcBorders>
            <w:shd w:val="clear" w:color="auto" w:fill="CEDBE6" w:themeFill="background2"/>
            <w:noWrap/>
            <w:vAlign w:val="bottom"/>
            <w:hideMark/>
          </w:tcPr>
          <w:p w14:paraId="3A83106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10%</w:t>
            </w:r>
          </w:p>
        </w:tc>
      </w:tr>
      <w:tr w:rsidR="00BC5C82" w:rsidRPr="004A73C1" w14:paraId="7E74953E" w14:textId="77777777" w:rsidTr="00660E61">
        <w:trPr>
          <w:gridAfter w:val="1"/>
          <w:wAfter w:w="26" w:type="dxa"/>
          <w:trHeight w:val="316"/>
        </w:trPr>
        <w:tc>
          <w:tcPr>
            <w:tcW w:w="1625" w:type="dxa"/>
            <w:vMerge/>
            <w:tcBorders>
              <w:top w:val="nil"/>
              <w:left w:val="single" w:sz="8" w:space="0" w:color="auto"/>
              <w:bottom w:val="nil"/>
              <w:right w:val="nil"/>
            </w:tcBorders>
            <w:shd w:val="clear" w:color="auto" w:fill="CEDBE6" w:themeFill="background2"/>
            <w:vAlign w:val="center"/>
            <w:hideMark/>
          </w:tcPr>
          <w:p w14:paraId="3D4927A7"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nil"/>
              <w:right w:val="single" w:sz="4" w:space="0" w:color="auto"/>
            </w:tcBorders>
            <w:shd w:val="clear" w:color="auto" w:fill="CEDBE6" w:themeFill="background2"/>
            <w:noWrap/>
            <w:vAlign w:val="center"/>
            <w:hideMark/>
          </w:tcPr>
          <w:p w14:paraId="3A82F46E"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2030</w:t>
            </w:r>
          </w:p>
        </w:tc>
        <w:tc>
          <w:tcPr>
            <w:tcW w:w="1895" w:type="dxa"/>
            <w:tcBorders>
              <w:top w:val="nil"/>
              <w:left w:val="nil"/>
              <w:bottom w:val="nil"/>
              <w:right w:val="single" w:sz="4" w:space="0" w:color="auto"/>
            </w:tcBorders>
            <w:shd w:val="clear" w:color="auto" w:fill="CEDBE6" w:themeFill="background2"/>
            <w:noWrap/>
            <w:vAlign w:val="bottom"/>
            <w:hideMark/>
          </w:tcPr>
          <w:p w14:paraId="4CE7F3B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339.01 </w:t>
            </w:r>
          </w:p>
        </w:tc>
        <w:tc>
          <w:tcPr>
            <w:tcW w:w="1693" w:type="dxa"/>
            <w:tcBorders>
              <w:top w:val="nil"/>
              <w:left w:val="nil"/>
              <w:bottom w:val="nil"/>
              <w:right w:val="single" w:sz="4" w:space="0" w:color="auto"/>
            </w:tcBorders>
            <w:shd w:val="clear" w:color="auto" w:fill="CEDBE6" w:themeFill="background2"/>
            <w:noWrap/>
            <w:vAlign w:val="bottom"/>
            <w:hideMark/>
          </w:tcPr>
          <w:p w14:paraId="797E299E"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3,580.33 </w:t>
            </w:r>
          </w:p>
        </w:tc>
        <w:tc>
          <w:tcPr>
            <w:tcW w:w="1831" w:type="dxa"/>
            <w:tcBorders>
              <w:top w:val="nil"/>
              <w:left w:val="nil"/>
              <w:bottom w:val="nil"/>
              <w:right w:val="single" w:sz="4" w:space="0" w:color="auto"/>
            </w:tcBorders>
            <w:shd w:val="clear" w:color="auto" w:fill="CEDBE6" w:themeFill="background2"/>
            <w:noWrap/>
            <w:vAlign w:val="bottom"/>
            <w:hideMark/>
          </w:tcPr>
          <w:p w14:paraId="780F86A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3.03 </w:t>
            </w:r>
          </w:p>
        </w:tc>
        <w:tc>
          <w:tcPr>
            <w:tcW w:w="1409" w:type="dxa"/>
            <w:tcBorders>
              <w:top w:val="nil"/>
              <w:left w:val="nil"/>
              <w:bottom w:val="nil"/>
              <w:right w:val="single" w:sz="4" w:space="0" w:color="auto"/>
            </w:tcBorders>
            <w:shd w:val="clear" w:color="auto" w:fill="CEDBE6" w:themeFill="background2"/>
            <w:noWrap/>
            <w:vAlign w:val="bottom"/>
            <w:hideMark/>
          </w:tcPr>
          <w:p w14:paraId="06AEE42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11%</w:t>
            </w:r>
          </w:p>
        </w:tc>
      </w:tr>
      <w:tr w:rsidR="00BC5C82" w:rsidRPr="004A73C1" w14:paraId="2D3A8D05" w14:textId="77777777" w:rsidTr="00660E61">
        <w:trPr>
          <w:gridAfter w:val="1"/>
          <w:wAfter w:w="26" w:type="dxa"/>
          <w:trHeight w:val="301"/>
        </w:trPr>
        <w:tc>
          <w:tcPr>
            <w:tcW w:w="1625" w:type="dxa"/>
            <w:vMerge w:val="restart"/>
            <w:tcBorders>
              <w:top w:val="single" w:sz="8" w:space="0" w:color="auto"/>
              <w:left w:val="single" w:sz="8" w:space="0" w:color="auto"/>
              <w:bottom w:val="single" w:sz="8" w:space="0" w:color="000000"/>
              <w:right w:val="nil"/>
            </w:tcBorders>
            <w:shd w:val="clear" w:color="auto" w:fill="CEDBE6" w:themeFill="background2"/>
            <w:vAlign w:val="center"/>
            <w:hideMark/>
          </w:tcPr>
          <w:p w14:paraId="598E783D" w14:textId="77777777" w:rsidR="00B93891" w:rsidRPr="004A73C1" w:rsidRDefault="00B93891" w:rsidP="00B93891">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b/>
                <w:bCs/>
                <w:color w:val="000000"/>
                <w:sz w:val="18"/>
                <w:szCs w:val="18"/>
                <w:lang w:eastAsia="en-GB"/>
              </w:rPr>
              <w:t>y=</w:t>
            </w:r>
            <w:proofErr w:type="spellStart"/>
            <w:r w:rsidRPr="004A73C1">
              <w:rPr>
                <w:rFonts w:ascii="Arial" w:eastAsia="Times New Roman" w:hAnsi="Arial" w:cs="Arial"/>
                <w:b/>
                <w:bCs/>
                <w:color w:val="000000"/>
                <w:sz w:val="18"/>
                <w:szCs w:val="18"/>
                <w:lang w:eastAsia="en-GB"/>
              </w:rPr>
              <w:t>mx+c</w:t>
            </w:r>
            <w:proofErr w:type="spellEnd"/>
          </w:p>
        </w:tc>
        <w:tc>
          <w:tcPr>
            <w:tcW w:w="674" w:type="dxa"/>
            <w:tcBorders>
              <w:top w:val="single" w:sz="8" w:space="0" w:color="auto"/>
              <w:left w:val="single" w:sz="4" w:space="0" w:color="auto"/>
              <w:bottom w:val="single" w:sz="4" w:space="0" w:color="auto"/>
              <w:right w:val="single" w:sz="4" w:space="0" w:color="auto"/>
            </w:tcBorders>
            <w:shd w:val="clear" w:color="auto" w:fill="CEDBE6" w:themeFill="background2"/>
            <w:noWrap/>
            <w:vAlign w:val="center"/>
            <w:hideMark/>
          </w:tcPr>
          <w:p w14:paraId="49A79ACB"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2024</w:t>
            </w:r>
          </w:p>
        </w:tc>
        <w:tc>
          <w:tcPr>
            <w:tcW w:w="1895" w:type="dxa"/>
            <w:tcBorders>
              <w:top w:val="single" w:sz="8" w:space="0" w:color="auto"/>
              <w:left w:val="nil"/>
              <w:bottom w:val="single" w:sz="4" w:space="0" w:color="auto"/>
              <w:right w:val="single" w:sz="4" w:space="0" w:color="auto"/>
            </w:tcBorders>
            <w:shd w:val="clear" w:color="auto" w:fill="CEDBE6" w:themeFill="background2"/>
            <w:noWrap/>
            <w:vAlign w:val="bottom"/>
            <w:hideMark/>
          </w:tcPr>
          <w:p w14:paraId="3DEA4765"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141.29 </w:t>
            </w:r>
          </w:p>
        </w:tc>
        <w:tc>
          <w:tcPr>
            <w:tcW w:w="1693" w:type="dxa"/>
            <w:tcBorders>
              <w:top w:val="single" w:sz="8" w:space="0" w:color="auto"/>
              <w:left w:val="nil"/>
              <w:bottom w:val="single" w:sz="4" w:space="0" w:color="auto"/>
              <w:right w:val="single" w:sz="4" w:space="0" w:color="auto"/>
            </w:tcBorders>
            <w:shd w:val="clear" w:color="auto" w:fill="CEDBE6" w:themeFill="background2"/>
            <w:noWrap/>
            <w:vAlign w:val="bottom"/>
            <w:hideMark/>
          </w:tcPr>
          <w:p w14:paraId="5FC1CBE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3,220.64 </w:t>
            </w:r>
          </w:p>
        </w:tc>
        <w:tc>
          <w:tcPr>
            <w:tcW w:w="1831" w:type="dxa"/>
            <w:tcBorders>
              <w:top w:val="single" w:sz="8" w:space="0" w:color="auto"/>
              <w:left w:val="nil"/>
              <w:bottom w:val="single" w:sz="4" w:space="0" w:color="auto"/>
              <w:right w:val="single" w:sz="4" w:space="0" w:color="auto"/>
            </w:tcBorders>
            <w:shd w:val="clear" w:color="auto" w:fill="CEDBE6" w:themeFill="background2"/>
            <w:noWrap/>
            <w:vAlign w:val="bottom"/>
            <w:hideMark/>
          </w:tcPr>
          <w:p w14:paraId="28B73694"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3.80 </w:t>
            </w:r>
          </w:p>
        </w:tc>
        <w:tc>
          <w:tcPr>
            <w:tcW w:w="1409" w:type="dxa"/>
            <w:tcBorders>
              <w:top w:val="single" w:sz="8" w:space="0" w:color="auto"/>
              <w:left w:val="nil"/>
              <w:bottom w:val="single" w:sz="4" w:space="0" w:color="auto"/>
              <w:right w:val="single" w:sz="8" w:space="0" w:color="auto"/>
            </w:tcBorders>
            <w:shd w:val="clear" w:color="auto" w:fill="CEDBE6" w:themeFill="background2"/>
            <w:noWrap/>
            <w:vAlign w:val="bottom"/>
            <w:hideMark/>
          </w:tcPr>
          <w:p w14:paraId="17B59C51"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5%</w:t>
            </w:r>
          </w:p>
        </w:tc>
      </w:tr>
      <w:tr w:rsidR="00BC5C82" w:rsidRPr="004A73C1" w14:paraId="25E663FA" w14:textId="77777777" w:rsidTr="00660E61">
        <w:trPr>
          <w:gridAfter w:val="1"/>
          <w:wAfter w:w="26" w:type="dxa"/>
          <w:trHeight w:val="301"/>
        </w:trPr>
        <w:tc>
          <w:tcPr>
            <w:tcW w:w="1625" w:type="dxa"/>
            <w:vMerge/>
            <w:tcBorders>
              <w:top w:val="single" w:sz="8" w:space="0" w:color="auto"/>
              <w:left w:val="single" w:sz="8" w:space="0" w:color="auto"/>
              <w:bottom w:val="single" w:sz="8" w:space="0" w:color="000000"/>
              <w:right w:val="nil"/>
            </w:tcBorders>
            <w:shd w:val="clear" w:color="auto" w:fill="CEDBE6" w:themeFill="background2"/>
            <w:vAlign w:val="center"/>
            <w:hideMark/>
          </w:tcPr>
          <w:p w14:paraId="3A40B822"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5FE4B67C"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2025</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64398D7C"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174.24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0EF5B11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3,280.59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0298113C"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3.67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1ED9D5A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6%</w:t>
            </w:r>
          </w:p>
        </w:tc>
      </w:tr>
      <w:tr w:rsidR="00BC5C82" w:rsidRPr="004A73C1" w14:paraId="1117D31E" w14:textId="77777777" w:rsidTr="00660E61">
        <w:trPr>
          <w:gridAfter w:val="1"/>
          <w:wAfter w:w="26" w:type="dxa"/>
          <w:trHeight w:val="301"/>
        </w:trPr>
        <w:tc>
          <w:tcPr>
            <w:tcW w:w="1625" w:type="dxa"/>
            <w:vMerge/>
            <w:tcBorders>
              <w:top w:val="single" w:sz="8" w:space="0" w:color="auto"/>
              <w:left w:val="single" w:sz="8" w:space="0" w:color="auto"/>
              <w:bottom w:val="single" w:sz="8" w:space="0" w:color="000000"/>
              <w:right w:val="nil"/>
            </w:tcBorders>
            <w:shd w:val="clear" w:color="auto" w:fill="CEDBE6" w:themeFill="background2"/>
            <w:vAlign w:val="center"/>
            <w:hideMark/>
          </w:tcPr>
          <w:p w14:paraId="1296456A"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29F1B3F3"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2026</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38912CD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207.19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347243D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3,340.53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1EA0919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3.55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10FE9146"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7%</w:t>
            </w:r>
          </w:p>
        </w:tc>
      </w:tr>
      <w:tr w:rsidR="00BC5C82" w:rsidRPr="004A73C1" w14:paraId="018EB484" w14:textId="77777777" w:rsidTr="00660E61">
        <w:trPr>
          <w:gridAfter w:val="1"/>
          <w:wAfter w:w="26" w:type="dxa"/>
          <w:trHeight w:val="301"/>
        </w:trPr>
        <w:tc>
          <w:tcPr>
            <w:tcW w:w="1625" w:type="dxa"/>
            <w:vMerge/>
            <w:tcBorders>
              <w:top w:val="single" w:sz="8" w:space="0" w:color="auto"/>
              <w:left w:val="single" w:sz="8" w:space="0" w:color="auto"/>
              <w:bottom w:val="single" w:sz="8" w:space="0" w:color="000000"/>
              <w:right w:val="nil"/>
            </w:tcBorders>
            <w:shd w:val="clear" w:color="auto" w:fill="CEDBE6" w:themeFill="background2"/>
            <w:vAlign w:val="center"/>
            <w:hideMark/>
          </w:tcPr>
          <w:p w14:paraId="5A0AF193"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70E27FC6"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2027</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3C4CB3EF"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240.15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659FABF7"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3,400.48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3995224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3.42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29501DA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8%</w:t>
            </w:r>
          </w:p>
        </w:tc>
      </w:tr>
      <w:tr w:rsidR="00BC5C82" w:rsidRPr="004A73C1" w14:paraId="7699D28D" w14:textId="77777777" w:rsidTr="00660E61">
        <w:trPr>
          <w:gridAfter w:val="1"/>
          <w:wAfter w:w="26" w:type="dxa"/>
          <w:trHeight w:val="301"/>
        </w:trPr>
        <w:tc>
          <w:tcPr>
            <w:tcW w:w="1625" w:type="dxa"/>
            <w:vMerge/>
            <w:tcBorders>
              <w:top w:val="single" w:sz="8" w:space="0" w:color="auto"/>
              <w:left w:val="single" w:sz="8" w:space="0" w:color="auto"/>
              <w:bottom w:val="single" w:sz="8" w:space="0" w:color="000000"/>
              <w:right w:val="nil"/>
            </w:tcBorders>
            <w:shd w:val="clear" w:color="auto" w:fill="CEDBE6" w:themeFill="background2"/>
            <w:vAlign w:val="center"/>
            <w:hideMark/>
          </w:tcPr>
          <w:p w14:paraId="5AAFD071"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25DC6A80"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2028</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13EE8193"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273.10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3FEDAC69"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3,460.43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1BFC00FA"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3.29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2DBE3F94"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9%</w:t>
            </w:r>
          </w:p>
        </w:tc>
      </w:tr>
      <w:tr w:rsidR="00BC5C82" w:rsidRPr="004A73C1" w14:paraId="5E34AFB6" w14:textId="77777777" w:rsidTr="00660E61">
        <w:trPr>
          <w:gridAfter w:val="1"/>
          <w:wAfter w:w="26" w:type="dxa"/>
          <w:trHeight w:val="301"/>
        </w:trPr>
        <w:tc>
          <w:tcPr>
            <w:tcW w:w="1625" w:type="dxa"/>
            <w:vMerge/>
            <w:tcBorders>
              <w:top w:val="single" w:sz="8" w:space="0" w:color="auto"/>
              <w:left w:val="single" w:sz="8" w:space="0" w:color="auto"/>
              <w:bottom w:val="single" w:sz="8" w:space="0" w:color="000000"/>
              <w:right w:val="nil"/>
            </w:tcBorders>
            <w:shd w:val="clear" w:color="auto" w:fill="CEDBE6" w:themeFill="background2"/>
            <w:vAlign w:val="center"/>
            <w:hideMark/>
          </w:tcPr>
          <w:p w14:paraId="062F577F"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4" w:space="0" w:color="auto"/>
              <w:right w:val="single" w:sz="4" w:space="0" w:color="auto"/>
            </w:tcBorders>
            <w:shd w:val="clear" w:color="auto" w:fill="CEDBE6" w:themeFill="background2"/>
            <w:noWrap/>
            <w:vAlign w:val="center"/>
            <w:hideMark/>
          </w:tcPr>
          <w:p w14:paraId="613C68BE"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2029</w:t>
            </w:r>
          </w:p>
        </w:tc>
        <w:tc>
          <w:tcPr>
            <w:tcW w:w="1895" w:type="dxa"/>
            <w:tcBorders>
              <w:top w:val="nil"/>
              <w:left w:val="nil"/>
              <w:bottom w:val="single" w:sz="4" w:space="0" w:color="auto"/>
              <w:right w:val="single" w:sz="4" w:space="0" w:color="auto"/>
            </w:tcBorders>
            <w:shd w:val="clear" w:color="auto" w:fill="CEDBE6" w:themeFill="background2"/>
            <w:noWrap/>
            <w:vAlign w:val="bottom"/>
            <w:hideMark/>
          </w:tcPr>
          <w:p w14:paraId="658B376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306.06 </w:t>
            </w:r>
          </w:p>
        </w:tc>
        <w:tc>
          <w:tcPr>
            <w:tcW w:w="1693" w:type="dxa"/>
            <w:tcBorders>
              <w:top w:val="nil"/>
              <w:left w:val="nil"/>
              <w:bottom w:val="single" w:sz="4" w:space="0" w:color="auto"/>
              <w:right w:val="single" w:sz="4" w:space="0" w:color="auto"/>
            </w:tcBorders>
            <w:shd w:val="clear" w:color="auto" w:fill="CEDBE6" w:themeFill="background2"/>
            <w:noWrap/>
            <w:vAlign w:val="bottom"/>
            <w:hideMark/>
          </w:tcPr>
          <w:p w14:paraId="28D990B0"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3,520.38 </w:t>
            </w:r>
          </w:p>
        </w:tc>
        <w:tc>
          <w:tcPr>
            <w:tcW w:w="1831" w:type="dxa"/>
            <w:tcBorders>
              <w:top w:val="nil"/>
              <w:left w:val="nil"/>
              <w:bottom w:val="single" w:sz="4" w:space="0" w:color="auto"/>
              <w:right w:val="single" w:sz="4" w:space="0" w:color="auto"/>
            </w:tcBorders>
            <w:shd w:val="clear" w:color="auto" w:fill="CEDBE6" w:themeFill="background2"/>
            <w:noWrap/>
            <w:vAlign w:val="bottom"/>
            <w:hideMark/>
          </w:tcPr>
          <w:p w14:paraId="3D9065B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3.16 </w:t>
            </w:r>
          </w:p>
        </w:tc>
        <w:tc>
          <w:tcPr>
            <w:tcW w:w="1409" w:type="dxa"/>
            <w:tcBorders>
              <w:top w:val="nil"/>
              <w:left w:val="nil"/>
              <w:bottom w:val="single" w:sz="4" w:space="0" w:color="auto"/>
              <w:right w:val="single" w:sz="8" w:space="0" w:color="auto"/>
            </w:tcBorders>
            <w:shd w:val="clear" w:color="auto" w:fill="CEDBE6" w:themeFill="background2"/>
            <w:noWrap/>
            <w:vAlign w:val="bottom"/>
            <w:hideMark/>
          </w:tcPr>
          <w:p w14:paraId="679BC72B"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10%</w:t>
            </w:r>
          </w:p>
        </w:tc>
      </w:tr>
      <w:tr w:rsidR="00BC5C82" w:rsidRPr="004A73C1" w14:paraId="3F51922C" w14:textId="77777777" w:rsidTr="00660E61">
        <w:trPr>
          <w:gridAfter w:val="1"/>
          <w:wAfter w:w="26" w:type="dxa"/>
          <w:trHeight w:val="316"/>
        </w:trPr>
        <w:tc>
          <w:tcPr>
            <w:tcW w:w="1625" w:type="dxa"/>
            <w:vMerge/>
            <w:tcBorders>
              <w:top w:val="single" w:sz="8" w:space="0" w:color="auto"/>
              <w:left w:val="single" w:sz="8" w:space="0" w:color="auto"/>
              <w:bottom w:val="single" w:sz="8" w:space="0" w:color="000000"/>
              <w:right w:val="nil"/>
            </w:tcBorders>
            <w:shd w:val="clear" w:color="auto" w:fill="CEDBE6" w:themeFill="background2"/>
            <w:vAlign w:val="center"/>
            <w:hideMark/>
          </w:tcPr>
          <w:p w14:paraId="2645B2F5" w14:textId="77777777" w:rsidR="00B93891" w:rsidRPr="004A73C1" w:rsidRDefault="00B93891" w:rsidP="00B93891">
            <w:pPr>
              <w:spacing w:after="0" w:line="240" w:lineRule="auto"/>
              <w:rPr>
                <w:rFonts w:ascii="Arial" w:eastAsia="Times New Roman" w:hAnsi="Arial" w:cs="Arial"/>
                <w:color w:val="000000"/>
                <w:sz w:val="18"/>
                <w:szCs w:val="18"/>
                <w:lang w:eastAsia="en-GB"/>
              </w:rPr>
            </w:pPr>
          </w:p>
        </w:tc>
        <w:tc>
          <w:tcPr>
            <w:tcW w:w="674" w:type="dxa"/>
            <w:tcBorders>
              <w:top w:val="nil"/>
              <w:left w:val="single" w:sz="4" w:space="0" w:color="auto"/>
              <w:bottom w:val="single" w:sz="8" w:space="0" w:color="auto"/>
              <w:right w:val="single" w:sz="4" w:space="0" w:color="auto"/>
            </w:tcBorders>
            <w:shd w:val="clear" w:color="auto" w:fill="CEDBE6" w:themeFill="background2"/>
            <w:noWrap/>
            <w:vAlign w:val="center"/>
            <w:hideMark/>
          </w:tcPr>
          <w:p w14:paraId="5AEF32AD" w14:textId="77777777" w:rsidR="00B93891" w:rsidRPr="004A73C1" w:rsidRDefault="00B93891" w:rsidP="00BC5C82">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2030</w:t>
            </w:r>
          </w:p>
        </w:tc>
        <w:tc>
          <w:tcPr>
            <w:tcW w:w="1895" w:type="dxa"/>
            <w:tcBorders>
              <w:top w:val="nil"/>
              <w:left w:val="nil"/>
              <w:bottom w:val="single" w:sz="8" w:space="0" w:color="auto"/>
              <w:right w:val="single" w:sz="4" w:space="0" w:color="auto"/>
            </w:tcBorders>
            <w:shd w:val="clear" w:color="auto" w:fill="CEDBE6" w:themeFill="background2"/>
            <w:noWrap/>
            <w:vAlign w:val="bottom"/>
            <w:hideMark/>
          </w:tcPr>
          <w:p w14:paraId="2577F03D"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339.01 </w:t>
            </w:r>
          </w:p>
        </w:tc>
        <w:tc>
          <w:tcPr>
            <w:tcW w:w="1693" w:type="dxa"/>
            <w:tcBorders>
              <w:top w:val="nil"/>
              <w:left w:val="nil"/>
              <w:bottom w:val="single" w:sz="8" w:space="0" w:color="auto"/>
              <w:right w:val="single" w:sz="4" w:space="0" w:color="auto"/>
            </w:tcBorders>
            <w:shd w:val="clear" w:color="auto" w:fill="CEDBE6" w:themeFill="background2"/>
            <w:noWrap/>
            <w:vAlign w:val="bottom"/>
            <w:hideMark/>
          </w:tcPr>
          <w:p w14:paraId="05482264"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3,580.33 </w:t>
            </w:r>
          </w:p>
        </w:tc>
        <w:tc>
          <w:tcPr>
            <w:tcW w:w="1831" w:type="dxa"/>
            <w:tcBorders>
              <w:top w:val="nil"/>
              <w:left w:val="nil"/>
              <w:bottom w:val="single" w:sz="8" w:space="0" w:color="auto"/>
              <w:right w:val="single" w:sz="4" w:space="0" w:color="auto"/>
            </w:tcBorders>
            <w:shd w:val="clear" w:color="auto" w:fill="CEDBE6" w:themeFill="background2"/>
            <w:noWrap/>
            <w:vAlign w:val="bottom"/>
            <w:hideMark/>
          </w:tcPr>
          <w:p w14:paraId="3B5BFBB8"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3.03 </w:t>
            </w:r>
          </w:p>
        </w:tc>
        <w:tc>
          <w:tcPr>
            <w:tcW w:w="1409" w:type="dxa"/>
            <w:tcBorders>
              <w:top w:val="nil"/>
              <w:left w:val="nil"/>
              <w:bottom w:val="single" w:sz="8" w:space="0" w:color="auto"/>
              <w:right w:val="single" w:sz="8" w:space="0" w:color="auto"/>
            </w:tcBorders>
            <w:shd w:val="clear" w:color="auto" w:fill="CEDBE6" w:themeFill="background2"/>
            <w:noWrap/>
            <w:vAlign w:val="bottom"/>
            <w:hideMark/>
          </w:tcPr>
          <w:p w14:paraId="52D48DD2" w14:textId="77777777" w:rsidR="00B93891" w:rsidRPr="004A73C1" w:rsidRDefault="00B93891" w:rsidP="00B93891">
            <w:pPr>
              <w:spacing w:after="0" w:line="240" w:lineRule="auto"/>
              <w:jc w:val="right"/>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11%</w:t>
            </w:r>
          </w:p>
        </w:tc>
      </w:tr>
    </w:tbl>
    <w:p w14:paraId="5B6CB149" w14:textId="05260822" w:rsidR="00C75C62" w:rsidRPr="004A73C1" w:rsidRDefault="00C75C62" w:rsidP="00C75C62">
      <w:pPr>
        <w:spacing w:after="0" w:line="360" w:lineRule="auto"/>
        <w:jc w:val="both"/>
        <w:rPr>
          <w:rFonts w:ascii="Arial" w:hAnsi="Arial" w:cs="Arial"/>
        </w:rPr>
      </w:pPr>
      <w:r w:rsidRPr="004A73C1">
        <w:rPr>
          <w:rFonts w:ascii="Arial" w:hAnsi="Arial" w:cs="Arial"/>
        </w:rPr>
        <w:t xml:space="preserve">Figure 24 </w:t>
      </w:r>
    </w:p>
    <w:tbl>
      <w:tblPr>
        <w:tblW w:w="9497" w:type="dxa"/>
        <w:shd w:val="clear" w:color="auto" w:fill="D9D9D9" w:themeFill="background1" w:themeFillShade="D9"/>
        <w:tblLook w:val="04A0" w:firstRow="1" w:lastRow="0" w:firstColumn="1" w:lastColumn="0" w:noHBand="0" w:noVBand="1"/>
      </w:tblPr>
      <w:tblGrid>
        <w:gridCol w:w="2825"/>
        <w:gridCol w:w="3402"/>
        <w:gridCol w:w="3261"/>
        <w:gridCol w:w="9"/>
      </w:tblGrid>
      <w:tr w:rsidR="00EE7955" w:rsidRPr="004A73C1" w14:paraId="31A81AF4" w14:textId="77777777" w:rsidTr="00BC5C82">
        <w:trPr>
          <w:trHeight w:val="300"/>
        </w:trPr>
        <w:tc>
          <w:tcPr>
            <w:tcW w:w="9497" w:type="dxa"/>
            <w:gridSpan w:val="4"/>
            <w:tcBorders>
              <w:top w:val="single" w:sz="8" w:space="0" w:color="auto"/>
              <w:left w:val="single" w:sz="8" w:space="0" w:color="auto"/>
              <w:bottom w:val="nil"/>
              <w:right w:val="single" w:sz="8" w:space="0" w:color="000000"/>
            </w:tcBorders>
            <w:shd w:val="clear" w:color="auto" w:fill="D9D9D9" w:themeFill="background1" w:themeFillShade="D9"/>
            <w:noWrap/>
            <w:vAlign w:val="bottom"/>
            <w:hideMark/>
          </w:tcPr>
          <w:p w14:paraId="3FFB95A1"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lastRenderedPageBreak/>
              <w:t xml:space="preserve">M=Slope </w:t>
            </w:r>
          </w:p>
        </w:tc>
      </w:tr>
      <w:tr w:rsidR="00EE7955" w:rsidRPr="004A73C1" w14:paraId="4F4AF45F" w14:textId="77777777" w:rsidTr="00BC5C82">
        <w:trPr>
          <w:trHeight w:val="300"/>
        </w:trPr>
        <w:tc>
          <w:tcPr>
            <w:tcW w:w="9497" w:type="dxa"/>
            <w:gridSpan w:val="4"/>
            <w:tcBorders>
              <w:top w:val="nil"/>
              <w:left w:val="single" w:sz="8" w:space="0" w:color="auto"/>
              <w:bottom w:val="nil"/>
              <w:right w:val="single" w:sz="8" w:space="0" w:color="000000"/>
            </w:tcBorders>
            <w:shd w:val="clear" w:color="auto" w:fill="D9D9D9" w:themeFill="background1" w:themeFillShade="D9"/>
            <w:noWrap/>
            <w:vAlign w:val="bottom"/>
            <w:hideMark/>
          </w:tcPr>
          <w:p w14:paraId="191ED7D6"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X= Date </w:t>
            </w:r>
          </w:p>
        </w:tc>
      </w:tr>
      <w:tr w:rsidR="00EE7955" w:rsidRPr="004A73C1" w14:paraId="20ED356F" w14:textId="77777777" w:rsidTr="00BC5C82">
        <w:trPr>
          <w:trHeight w:val="300"/>
        </w:trPr>
        <w:tc>
          <w:tcPr>
            <w:tcW w:w="9497" w:type="dxa"/>
            <w:gridSpan w:val="4"/>
            <w:tcBorders>
              <w:top w:val="nil"/>
              <w:left w:val="single" w:sz="8" w:space="0" w:color="auto"/>
              <w:bottom w:val="nil"/>
              <w:right w:val="single" w:sz="8" w:space="0" w:color="000000"/>
            </w:tcBorders>
            <w:shd w:val="clear" w:color="auto" w:fill="D9D9D9" w:themeFill="background1" w:themeFillShade="D9"/>
            <w:noWrap/>
            <w:vAlign w:val="bottom"/>
            <w:hideMark/>
          </w:tcPr>
          <w:p w14:paraId="098DD33B"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C= intercept </w:t>
            </w:r>
          </w:p>
        </w:tc>
      </w:tr>
      <w:tr w:rsidR="0092745F" w:rsidRPr="004A73C1" w14:paraId="69BE8E76" w14:textId="77777777" w:rsidTr="00BC5C82">
        <w:trPr>
          <w:gridAfter w:val="1"/>
          <w:wAfter w:w="9" w:type="dxa"/>
          <w:trHeight w:val="300"/>
        </w:trPr>
        <w:tc>
          <w:tcPr>
            <w:tcW w:w="2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E6E31F8" w14:textId="77777777" w:rsidR="0092745F" w:rsidRPr="004A73C1" w:rsidRDefault="0092745F" w:rsidP="00EE7955">
            <w:pPr>
              <w:spacing w:after="0" w:line="240" w:lineRule="auto"/>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 </w:t>
            </w:r>
          </w:p>
          <w:p w14:paraId="56AE32AD" w14:textId="707F4B07" w:rsidR="0092745F" w:rsidRPr="004A73C1" w:rsidRDefault="0092745F" w:rsidP="00EE7955">
            <w:pPr>
              <w:spacing w:after="0" w:line="240" w:lineRule="auto"/>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 </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3DAF6AE" w14:textId="77777777" w:rsidR="0092745F" w:rsidRPr="004A73C1" w:rsidRDefault="0092745F" w:rsidP="00EE7955">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Slope</w:t>
            </w:r>
          </w:p>
        </w:tc>
        <w:tc>
          <w:tcPr>
            <w:tcW w:w="326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2365744" w14:textId="77777777" w:rsidR="0092745F" w:rsidRPr="004A73C1" w:rsidRDefault="0092745F" w:rsidP="00EE7955">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Intercept</w:t>
            </w:r>
          </w:p>
        </w:tc>
      </w:tr>
      <w:tr w:rsidR="00BC5C82" w:rsidRPr="004A73C1" w14:paraId="2EF14487" w14:textId="77777777" w:rsidTr="00BC5C82">
        <w:trPr>
          <w:gridAfter w:val="1"/>
          <w:wAfter w:w="9" w:type="dxa"/>
          <w:trHeight w:val="300"/>
        </w:trPr>
        <w:tc>
          <w:tcPr>
            <w:tcW w:w="2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E6C3F00" w14:textId="77777777" w:rsidR="00EE7955" w:rsidRPr="004A73C1" w:rsidRDefault="00EE7955" w:rsidP="00EE7955">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FDI</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9B9BFB0"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32.95 </w:t>
            </w:r>
          </w:p>
        </w:tc>
        <w:tc>
          <w:tcPr>
            <w:tcW w:w="326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5FB90DD"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(66,557.95)</w:t>
            </w:r>
          </w:p>
        </w:tc>
      </w:tr>
      <w:tr w:rsidR="00BC5C82" w:rsidRPr="004A73C1" w14:paraId="5D2F8EFB" w14:textId="77777777" w:rsidTr="00BC5C82">
        <w:trPr>
          <w:gridAfter w:val="1"/>
          <w:wAfter w:w="9" w:type="dxa"/>
          <w:trHeight w:val="300"/>
        </w:trPr>
        <w:tc>
          <w:tcPr>
            <w:tcW w:w="2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8DECB80" w14:textId="77777777" w:rsidR="00EE7955" w:rsidRPr="004A73C1" w:rsidRDefault="00EE7955" w:rsidP="00EE7955">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GDP</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631F340"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59.95 </w:t>
            </w:r>
          </w:p>
        </w:tc>
        <w:tc>
          <w:tcPr>
            <w:tcW w:w="326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54D9A92"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(118,113.44)</w:t>
            </w:r>
          </w:p>
        </w:tc>
      </w:tr>
      <w:tr w:rsidR="00BC5C82" w:rsidRPr="004A73C1" w14:paraId="32BF4D29" w14:textId="77777777" w:rsidTr="00BC5C82">
        <w:trPr>
          <w:gridAfter w:val="1"/>
          <w:wAfter w:w="9" w:type="dxa"/>
          <w:trHeight w:val="300"/>
        </w:trPr>
        <w:tc>
          <w:tcPr>
            <w:tcW w:w="2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48D1904" w14:textId="77777777" w:rsidR="00EE7955" w:rsidRPr="004A73C1" w:rsidRDefault="00EE7955" w:rsidP="00EE7955">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Unemployment Rate</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4055C29"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(0.13)</w:t>
            </w:r>
          </w:p>
        </w:tc>
        <w:tc>
          <w:tcPr>
            <w:tcW w:w="326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CAD6317"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263.55 </w:t>
            </w:r>
          </w:p>
        </w:tc>
      </w:tr>
      <w:tr w:rsidR="00BC5C82" w:rsidRPr="004A73C1" w14:paraId="2358EC57" w14:textId="77777777" w:rsidTr="00BC5C82">
        <w:trPr>
          <w:gridAfter w:val="1"/>
          <w:wAfter w:w="9" w:type="dxa"/>
          <w:trHeight w:val="300"/>
        </w:trPr>
        <w:tc>
          <w:tcPr>
            <w:tcW w:w="282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FFFF5A2" w14:textId="77777777" w:rsidR="00EE7955" w:rsidRPr="004A73C1" w:rsidRDefault="00EE7955" w:rsidP="00EE7955">
            <w:pPr>
              <w:spacing w:after="0" w:line="240" w:lineRule="auto"/>
              <w:jc w:val="center"/>
              <w:rPr>
                <w:rFonts w:ascii="Arial" w:eastAsia="Times New Roman" w:hAnsi="Arial" w:cs="Arial"/>
                <w:b/>
                <w:bCs/>
                <w:color w:val="000000"/>
                <w:sz w:val="18"/>
                <w:szCs w:val="18"/>
                <w:lang w:eastAsia="en-GB"/>
              </w:rPr>
            </w:pPr>
            <w:r w:rsidRPr="004A73C1">
              <w:rPr>
                <w:rFonts w:ascii="Arial" w:eastAsia="Times New Roman" w:hAnsi="Arial" w:cs="Arial"/>
                <w:b/>
                <w:bCs/>
                <w:color w:val="000000"/>
                <w:sz w:val="18"/>
                <w:szCs w:val="18"/>
                <w:lang w:eastAsia="en-GB"/>
              </w:rPr>
              <w:t>Percentage FDI/GDP</w:t>
            </w:r>
          </w:p>
        </w:tc>
        <w:tc>
          <w:tcPr>
            <w:tcW w:w="3402"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497F3C97"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0.01 </w:t>
            </w:r>
          </w:p>
        </w:tc>
        <w:tc>
          <w:tcPr>
            <w:tcW w:w="3261"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14446B2" w14:textId="77777777" w:rsidR="00EE7955" w:rsidRPr="004A73C1" w:rsidRDefault="00EE7955" w:rsidP="00EE7955">
            <w:pPr>
              <w:spacing w:after="0" w:line="240" w:lineRule="auto"/>
              <w:jc w:val="center"/>
              <w:rPr>
                <w:rFonts w:ascii="Arial" w:eastAsia="Times New Roman" w:hAnsi="Arial" w:cs="Arial"/>
                <w:color w:val="000000"/>
                <w:sz w:val="18"/>
                <w:szCs w:val="18"/>
                <w:lang w:eastAsia="en-GB"/>
              </w:rPr>
            </w:pPr>
            <w:r w:rsidRPr="004A73C1">
              <w:rPr>
                <w:rFonts w:ascii="Arial" w:eastAsia="Times New Roman" w:hAnsi="Arial" w:cs="Arial"/>
                <w:color w:val="000000"/>
                <w:sz w:val="18"/>
                <w:szCs w:val="18"/>
                <w:lang w:eastAsia="en-GB"/>
              </w:rPr>
              <w:t xml:space="preserve">                                                                   (22.50)</w:t>
            </w:r>
          </w:p>
        </w:tc>
      </w:tr>
    </w:tbl>
    <w:p w14:paraId="62197E63" w14:textId="23953E24" w:rsidR="00BE222C" w:rsidRDefault="00976200" w:rsidP="00976200">
      <w:pPr>
        <w:rPr>
          <w:shd w:val="clear" w:color="auto" w:fill="FFFFFF"/>
        </w:rPr>
      </w:pPr>
      <w:r>
        <w:rPr>
          <w:shd w:val="clear" w:color="auto" w:fill="FFFFFF"/>
        </w:rPr>
        <w:t xml:space="preserve">Source- Researcher Own calculations </w:t>
      </w:r>
    </w:p>
    <w:p w14:paraId="06B34027" w14:textId="77777777" w:rsidR="00976200" w:rsidRPr="00976200" w:rsidRDefault="00976200" w:rsidP="00976200"/>
    <w:p w14:paraId="590304C8" w14:textId="3383CB42" w:rsidR="00EE7955" w:rsidRPr="004A73C1" w:rsidRDefault="00CA52E6" w:rsidP="002836D7">
      <w:pPr>
        <w:pStyle w:val="Heading3"/>
        <w:rPr>
          <w:rFonts w:ascii="Arial" w:hAnsi="Arial" w:cs="Arial"/>
          <w:color w:val="auto"/>
          <w:shd w:val="clear" w:color="auto" w:fill="FFFFFF"/>
        </w:rPr>
      </w:pPr>
      <w:bookmarkStart w:id="134" w:name="_Toc175848146"/>
      <w:r w:rsidRPr="004A73C1">
        <w:rPr>
          <w:rFonts w:ascii="Arial" w:hAnsi="Arial" w:cs="Arial"/>
          <w:color w:val="auto"/>
          <w:shd w:val="clear" w:color="auto" w:fill="FFFFFF"/>
        </w:rPr>
        <w:t>4.4.5</w:t>
      </w:r>
      <w:r w:rsidRPr="004A73C1">
        <w:rPr>
          <w:rFonts w:ascii="Arial" w:hAnsi="Arial" w:cs="Arial"/>
          <w:color w:val="auto"/>
          <w:shd w:val="clear" w:color="auto" w:fill="FFFFFF"/>
        </w:rPr>
        <w:tab/>
      </w:r>
      <w:r w:rsidR="002E690B" w:rsidRPr="004A73C1">
        <w:rPr>
          <w:rFonts w:ascii="Arial" w:hAnsi="Arial" w:cs="Arial"/>
          <w:color w:val="auto"/>
          <w:shd w:val="clear" w:color="auto" w:fill="FFFFFF"/>
        </w:rPr>
        <w:t>Result</w:t>
      </w:r>
      <w:r w:rsidR="00BC5C82" w:rsidRPr="004A73C1">
        <w:rPr>
          <w:rFonts w:ascii="Arial" w:hAnsi="Arial" w:cs="Arial"/>
          <w:color w:val="auto"/>
          <w:shd w:val="clear" w:color="auto" w:fill="FFFFFF"/>
        </w:rPr>
        <w:t>s and Analysis of Statistical Data</w:t>
      </w:r>
      <w:r w:rsidR="002836D7" w:rsidRPr="004A73C1">
        <w:rPr>
          <w:rFonts w:ascii="Arial" w:hAnsi="Arial" w:cs="Arial"/>
          <w:color w:val="auto"/>
          <w:shd w:val="clear" w:color="auto" w:fill="FFFFFF"/>
        </w:rPr>
        <w:t>.</w:t>
      </w:r>
      <w:bookmarkEnd w:id="134"/>
    </w:p>
    <w:p w14:paraId="02DC53D7" w14:textId="75FB744B" w:rsidR="00880023" w:rsidRPr="004A73C1" w:rsidRDefault="00BC5C82" w:rsidP="00643808">
      <w:pPr>
        <w:spacing w:line="360" w:lineRule="auto"/>
        <w:jc w:val="both"/>
        <w:rPr>
          <w:rFonts w:ascii="Arial" w:hAnsi="Arial" w:cs="Arial"/>
        </w:rPr>
      </w:pPr>
      <w:bookmarkStart w:id="135" w:name="_Toc175056486"/>
      <w:r w:rsidRPr="004A73C1">
        <w:rPr>
          <w:rFonts w:ascii="Arial" w:hAnsi="Arial" w:cs="Arial"/>
        </w:rPr>
        <w:t xml:space="preserve">Based on the analysis of the data presented in the table, it is evident that Foreign Direct Investment (FDI) is expected to experience an upward trend in the coming years. It is reasonable to anticipate that the impact of Brexit will diminish if current trends continue. While there is a possibility of an increase in the unemployment rate, it is important to recognize that this may not be directly correlated with FDI, unlike the direct relationship between FDI and GDP. </w:t>
      </w:r>
      <w:r w:rsidR="00880023" w:rsidRPr="004A73C1">
        <w:rPr>
          <w:rFonts w:ascii="Arial" w:hAnsi="Arial" w:cs="Arial"/>
        </w:rPr>
        <w:t>Other influential factors can</w:t>
      </w:r>
      <w:r w:rsidRPr="004A73C1">
        <w:rPr>
          <w:rFonts w:ascii="Arial" w:hAnsi="Arial" w:cs="Arial"/>
        </w:rPr>
        <w:t xml:space="preserve"> affect employment, independent of FDI. </w:t>
      </w:r>
    </w:p>
    <w:p w14:paraId="433729F7" w14:textId="59891C05" w:rsidR="00BC5C82" w:rsidRPr="004A73C1" w:rsidRDefault="00880023" w:rsidP="00643808">
      <w:pPr>
        <w:spacing w:line="360" w:lineRule="auto"/>
        <w:jc w:val="both"/>
        <w:rPr>
          <w:rFonts w:ascii="Arial" w:hAnsi="Arial" w:cs="Arial"/>
        </w:rPr>
      </w:pPr>
      <w:r w:rsidRPr="004A73C1">
        <w:rPr>
          <w:rFonts w:ascii="Arial" w:hAnsi="Arial" w:cs="Arial"/>
        </w:rPr>
        <w:t>To</w:t>
      </w:r>
      <w:r w:rsidR="00BC5C82" w:rsidRPr="004A73C1">
        <w:rPr>
          <w:rFonts w:ascii="Arial" w:hAnsi="Arial" w:cs="Arial"/>
        </w:rPr>
        <w:t xml:space="preserve"> gain a thorough understanding of these factors and the intricate relationship between FDI and economic growth, it is imperative to </w:t>
      </w:r>
      <w:proofErr w:type="gramStart"/>
      <w:r w:rsidR="00BC5C82" w:rsidRPr="004A73C1">
        <w:rPr>
          <w:rFonts w:ascii="Arial" w:hAnsi="Arial" w:cs="Arial"/>
        </w:rPr>
        <w:t>take into account</w:t>
      </w:r>
      <w:proofErr w:type="gramEnd"/>
      <w:r w:rsidR="00BC5C82" w:rsidRPr="004A73C1">
        <w:rPr>
          <w:rFonts w:ascii="Arial" w:hAnsi="Arial" w:cs="Arial"/>
        </w:rPr>
        <w:t xml:space="preserve"> additional data sources such as in-depth analyses from the World Bank, reports from the International Monetary Fund (IMF), and specific government targets. Therefore, following my statistical analysis, I intend to thoroughly explore these alternate data sources to provide a comprehensive and detailed analysis of the situation.</w:t>
      </w:r>
    </w:p>
    <w:p w14:paraId="7A712365" w14:textId="5D335110" w:rsidR="00BC5C82" w:rsidRPr="004A73C1" w:rsidRDefault="00CA52E6" w:rsidP="002836D7">
      <w:pPr>
        <w:pStyle w:val="Heading2"/>
        <w:rPr>
          <w:rFonts w:ascii="Arial" w:hAnsi="Arial" w:cs="Arial"/>
          <w:color w:val="auto"/>
        </w:rPr>
      </w:pPr>
      <w:bookmarkStart w:id="136" w:name="_Toc175848147"/>
      <w:r w:rsidRPr="004A73C1">
        <w:rPr>
          <w:rFonts w:ascii="Arial" w:hAnsi="Arial" w:cs="Arial"/>
          <w:color w:val="auto"/>
        </w:rPr>
        <w:t>4.5</w:t>
      </w:r>
      <w:r w:rsidRPr="004A73C1">
        <w:rPr>
          <w:rFonts w:ascii="Arial" w:hAnsi="Arial" w:cs="Arial"/>
          <w:color w:val="auto"/>
        </w:rPr>
        <w:tab/>
      </w:r>
      <w:r w:rsidR="002836D7" w:rsidRPr="004A73C1">
        <w:rPr>
          <w:rFonts w:ascii="Arial" w:hAnsi="Arial" w:cs="Arial"/>
          <w:color w:val="auto"/>
        </w:rPr>
        <w:t>Other Source Data Analysis</w:t>
      </w:r>
      <w:bookmarkEnd w:id="136"/>
    </w:p>
    <w:p w14:paraId="092BC401" w14:textId="11534D1C" w:rsidR="00CA52E6" w:rsidRPr="004A73C1" w:rsidRDefault="00CA52E6" w:rsidP="00CA52E6">
      <w:pPr>
        <w:rPr>
          <w:rFonts w:ascii="Arial" w:hAnsi="Arial" w:cs="Arial"/>
        </w:rPr>
      </w:pPr>
      <w:r w:rsidRPr="004A73C1">
        <w:rPr>
          <w:rFonts w:ascii="Arial" w:hAnsi="Arial" w:cs="Arial"/>
        </w:rPr>
        <w:t xml:space="preserve">Please see below other source data analysis based on different available resources </w:t>
      </w:r>
      <w:proofErr w:type="spellStart"/>
      <w:r w:rsidRPr="004A73C1">
        <w:rPr>
          <w:rFonts w:ascii="Arial" w:hAnsi="Arial" w:cs="Arial"/>
        </w:rPr>
        <w:t>e’g</w:t>
      </w:r>
      <w:proofErr w:type="spellEnd"/>
      <w:r w:rsidRPr="004A73C1">
        <w:rPr>
          <w:rFonts w:ascii="Arial" w:hAnsi="Arial" w:cs="Arial"/>
        </w:rPr>
        <w:t xml:space="preserve"> World Bank, ONS, Gov.UK, articles newspapers etc.</w:t>
      </w:r>
    </w:p>
    <w:p w14:paraId="212B07CB" w14:textId="77777777" w:rsidR="00CA52E6" w:rsidRPr="004A73C1" w:rsidRDefault="00CA52E6" w:rsidP="00CA52E6">
      <w:pPr>
        <w:rPr>
          <w:rFonts w:ascii="Arial" w:hAnsi="Arial" w:cs="Arial"/>
        </w:rPr>
      </w:pPr>
    </w:p>
    <w:p w14:paraId="30D65206" w14:textId="53B40EBA" w:rsidR="00F01661" w:rsidRPr="004A73C1" w:rsidRDefault="00CA52E6" w:rsidP="002836D7">
      <w:pPr>
        <w:pStyle w:val="Heading3"/>
        <w:rPr>
          <w:rStyle w:val="Heading2Char"/>
          <w:rFonts w:ascii="Arial" w:hAnsi="Arial" w:cs="Arial"/>
          <w:color w:val="auto"/>
        </w:rPr>
      </w:pPr>
      <w:bookmarkStart w:id="137" w:name="_Toc175848148"/>
      <w:r w:rsidRPr="004A73C1">
        <w:rPr>
          <w:rStyle w:val="Heading2Char"/>
          <w:rFonts w:ascii="Arial" w:hAnsi="Arial" w:cs="Arial"/>
          <w:color w:val="auto"/>
        </w:rPr>
        <w:t>4.6</w:t>
      </w:r>
      <w:r w:rsidRPr="004A73C1">
        <w:rPr>
          <w:rStyle w:val="Heading2Char"/>
          <w:rFonts w:ascii="Arial" w:hAnsi="Arial" w:cs="Arial"/>
          <w:color w:val="auto"/>
        </w:rPr>
        <w:tab/>
      </w:r>
      <w:r w:rsidR="00E4547C" w:rsidRPr="004A73C1">
        <w:rPr>
          <w:rStyle w:val="Heading2Char"/>
          <w:rFonts w:ascii="Arial" w:hAnsi="Arial" w:cs="Arial"/>
          <w:color w:val="auto"/>
        </w:rPr>
        <w:t>Factors That Can Influence the FDI</w:t>
      </w:r>
      <w:bookmarkEnd w:id="135"/>
      <w:bookmarkEnd w:id="137"/>
    </w:p>
    <w:p w14:paraId="3DAE1B67" w14:textId="408DD5CC" w:rsidR="00CA52E6" w:rsidRDefault="00CA52E6" w:rsidP="00CA52E6">
      <w:pPr>
        <w:rPr>
          <w:rFonts w:ascii="Arial" w:hAnsi="Arial" w:cs="Arial"/>
        </w:rPr>
      </w:pPr>
      <w:r w:rsidRPr="004A73C1">
        <w:rPr>
          <w:rFonts w:ascii="Arial" w:hAnsi="Arial" w:cs="Arial"/>
        </w:rPr>
        <w:t>Please see below the main factors which can influence the economy of the country. I have chosen 4 factors to limit the research scope.</w:t>
      </w:r>
    </w:p>
    <w:p w14:paraId="024EFFAD" w14:textId="77777777" w:rsidR="00ED3916" w:rsidRPr="004A73C1" w:rsidRDefault="00ED3916" w:rsidP="00CA52E6">
      <w:pPr>
        <w:rPr>
          <w:rFonts w:ascii="Arial" w:hAnsi="Arial" w:cs="Arial"/>
        </w:rPr>
      </w:pPr>
    </w:p>
    <w:p w14:paraId="08677301" w14:textId="53792DDE" w:rsidR="00F01661" w:rsidRPr="004A73C1" w:rsidRDefault="00CA52E6" w:rsidP="002836D7">
      <w:pPr>
        <w:pStyle w:val="Heading3"/>
        <w:rPr>
          <w:rFonts w:ascii="Arial" w:hAnsi="Arial" w:cs="Arial"/>
          <w:color w:val="auto"/>
        </w:rPr>
      </w:pPr>
      <w:bookmarkStart w:id="138" w:name="_Toc175056487"/>
      <w:bookmarkStart w:id="139" w:name="_Toc175848149"/>
      <w:r w:rsidRPr="004A73C1">
        <w:rPr>
          <w:rFonts w:ascii="Arial" w:hAnsi="Arial" w:cs="Arial"/>
          <w:color w:val="auto"/>
        </w:rPr>
        <w:t>4.6.1</w:t>
      </w:r>
      <w:r w:rsidRPr="004A73C1">
        <w:rPr>
          <w:rFonts w:ascii="Arial" w:hAnsi="Arial" w:cs="Arial"/>
          <w:color w:val="auto"/>
        </w:rPr>
        <w:tab/>
      </w:r>
      <w:r w:rsidR="00163D53" w:rsidRPr="004A73C1">
        <w:rPr>
          <w:rFonts w:ascii="Arial" w:hAnsi="Arial" w:cs="Arial"/>
          <w:color w:val="auto"/>
        </w:rPr>
        <w:t xml:space="preserve">The </w:t>
      </w:r>
      <w:r w:rsidR="000F1DEE" w:rsidRPr="004A73C1">
        <w:rPr>
          <w:rFonts w:ascii="Arial" w:hAnsi="Arial" w:cs="Arial"/>
          <w:color w:val="auto"/>
        </w:rPr>
        <w:t>E</w:t>
      </w:r>
      <w:r w:rsidR="00163D53" w:rsidRPr="004A73C1">
        <w:rPr>
          <w:rFonts w:ascii="Arial" w:hAnsi="Arial" w:cs="Arial"/>
          <w:color w:val="auto"/>
        </w:rPr>
        <w:t>conomic</w:t>
      </w:r>
      <w:r w:rsidR="00930F3F" w:rsidRPr="004A73C1">
        <w:rPr>
          <w:rFonts w:ascii="Arial" w:hAnsi="Arial" w:cs="Arial"/>
          <w:color w:val="auto"/>
        </w:rPr>
        <w:t xml:space="preserve"> </w:t>
      </w:r>
      <w:r w:rsidR="000F1DEE" w:rsidRPr="004A73C1">
        <w:rPr>
          <w:rFonts w:ascii="Arial" w:hAnsi="Arial" w:cs="Arial"/>
          <w:color w:val="auto"/>
        </w:rPr>
        <w:t xml:space="preserve">Condition </w:t>
      </w:r>
      <w:proofErr w:type="gramStart"/>
      <w:r w:rsidR="000F1DEE" w:rsidRPr="004A73C1">
        <w:rPr>
          <w:rFonts w:ascii="Arial" w:hAnsi="Arial" w:cs="Arial"/>
          <w:color w:val="auto"/>
        </w:rPr>
        <w:t>Of</w:t>
      </w:r>
      <w:proofErr w:type="gramEnd"/>
      <w:r w:rsidR="000F1DEE" w:rsidRPr="004A73C1">
        <w:rPr>
          <w:rFonts w:ascii="Arial" w:hAnsi="Arial" w:cs="Arial"/>
          <w:color w:val="auto"/>
        </w:rPr>
        <w:t xml:space="preserve"> The </w:t>
      </w:r>
      <w:r w:rsidR="00930F3F" w:rsidRPr="004A73C1">
        <w:rPr>
          <w:rFonts w:ascii="Arial" w:hAnsi="Arial" w:cs="Arial"/>
          <w:color w:val="auto"/>
        </w:rPr>
        <w:t>UK</w:t>
      </w:r>
      <w:r w:rsidR="000F1DEE" w:rsidRPr="004A73C1">
        <w:rPr>
          <w:rFonts w:ascii="Arial" w:hAnsi="Arial" w:cs="Arial"/>
          <w:color w:val="auto"/>
        </w:rPr>
        <w:t>.</w:t>
      </w:r>
      <w:bookmarkEnd w:id="138"/>
      <w:bookmarkEnd w:id="139"/>
    </w:p>
    <w:p w14:paraId="4AE15532" w14:textId="2D0DF662" w:rsidR="00930F3F" w:rsidRPr="004A73C1" w:rsidRDefault="00930F3F" w:rsidP="00EF2E34">
      <w:pPr>
        <w:spacing w:line="360" w:lineRule="auto"/>
        <w:jc w:val="both"/>
        <w:rPr>
          <w:rFonts w:ascii="Arial" w:hAnsi="Arial" w:cs="Arial"/>
        </w:rPr>
      </w:pPr>
      <w:r w:rsidRPr="004A73C1">
        <w:rPr>
          <w:rFonts w:ascii="Arial" w:hAnsi="Arial" w:cs="Arial"/>
        </w:rPr>
        <w:t xml:space="preserve">The United Kingdom (UK) is an inviting destination for foreign direct investment (FDI) and foreign ownership due to its stable, business-friendly environment. With its open, liberal economy, access to top-tier talent, and developed consumer market, the nation offers ample opportunities for trade and investment growth. Boasting a population of 67 million people and a diverse range of suppliers and partners, the UK also provides various initiatives to support </w:t>
      </w:r>
      <w:r w:rsidRPr="004A73C1">
        <w:rPr>
          <w:rFonts w:ascii="Arial" w:hAnsi="Arial" w:cs="Arial"/>
        </w:rPr>
        <w:lastRenderedPageBreak/>
        <w:t xml:space="preserve">businesses of all sizes, including a </w:t>
      </w:r>
      <w:r w:rsidR="00D47A6A" w:rsidRPr="004A73C1">
        <w:rPr>
          <w:rFonts w:ascii="Arial" w:hAnsi="Arial" w:cs="Arial"/>
        </w:rPr>
        <w:t>strong commitment to invest £100 billion in infrastructure (State.gov/reports,2023).</w:t>
      </w:r>
    </w:p>
    <w:p w14:paraId="30381277" w14:textId="2253F8F7" w:rsidR="00930F3F" w:rsidRPr="004A73C1" w:rsidRDefault="00930F3F" w:rsidP="00EF2E34">
      <w:pPr>
        <w:spacing w:line="360" w:lineRule="auto"/>
        <w:jc w:val="both"/>
        <w:rPr>
          <w:rFonts w:ascii="Arial" w:hAnsi="Arial" w:cs="Arial"/>
        </w:rPr>
      </w:pPr>
      <w:r w:rsidRPr="004A73C1">
        <w:rPr>
          <w:rFonts w:ascii="Arial" w:hAnsi="Arial" w:cs="Arial"/>
        </w:rPr>
        <w:t xml:space="preserve">The economic condition of a country is </w:t>
      </w:r>
      <w:r w:rsidR="00163D53" w:rsidRPr="004A73C1">
        <w:rPr>
          <w:rFonts w:ascii="Arial" w:hAnsi="Arial" w:cs="Arial"/>
        </w:rPr>
        <w:t>essential</w:t>
      </w:r>
      <w:r w:rsidRPr="004A73C1">
        <w:rPr>
          <w:rFonts w:ascii="Arial" w:hAnsi="Arial" w:cs="Arial"/>
        </w:rPr>
        <w:t xml:space="preserve"> for FDI because it directly affects the potential return on investment, the stability of the market, and the overall business environment. Factors such as GDP growth, inflation rates, currency stability, tax policies, and government debt levels all </w:t>
      </w:r>
      <w:r w:rsidR="00163D53" w:rsidRPr="004A73C1">
        <w:rPr>
          <w:rFonts w:ascii="Arial" w:hAnsi="Arial" w:cs="Arial"/>
        </w:rPr>
        <w:t>influence a country's attractiveness</w:t>
      </w:r>
      <w:r w:rsidRPr="004A73C1">
        <w:rPr>
          <w:rFonts w:ascii="Arial" w:hAnsi="Arial" w:cs="Arial"/>
        </w:rPr>
        <w:t xml:space="preserve"> for foreign direct investment. A strong and stable economy provides confidence to foreign investors and can create a </w:t>
      </w:r>
      <w:r w:rsidR="00163D53" w:rsidRPr="004A73C1">
        <w:rPr>
          <w:rFonts w:ascii="Arial" w:hAnsi="Arial" w:cs="Arial"/>
        </w:rPr>
        <w:t>favourable</w:t>
      </w:r>
      <w:r w:rsidRPr="004A73C1">
        <w:rPr>
          <w:rFonts w:ascii="Arial" w:hAnsi="Arial" w:cs="Arial"/>
        </w:rPr>
        <w:t xml:space="preserve"> environment for long-term investment. On the other hand, economic instability and uncertainty can deter potential investors from committing their capital.</w:t>
      </w:r>
    </w:p>
    <w:p w14:paraId="72292FC7" w14:textId="7ED5C120" w:rsidR="00930F3F" w:rsidRPr="004A73C1" w:rsidRDefault="00930F3F" w:rsidP="00EF2E34">
      <w:pPr>
        <w:spacing w:line="360" w:lineRule="auto"/>
        <w:jc w:val="both"/>
        <w:rPr>
          <w:rFonts w:ascii="Arial" w:hAnsi="Arial" w:cs="Arial"/>
        </w:rPr>
      </w:pPr>
      <w:r w:rsidRPr="004A73C1">
        <w:rPr>
          <w:rFonts w:ascii="Arial" w:hAnsi="Arial" w:cs="Arial"/>
        </w:rPr>
        <w:t xml:space="preserve">According to </w:t>
      </w:r>
      <w:r w:rsidR="00163D53" w:rsidRPr="004A73C1">
        <w:rPr>
          <w:rFonts w:ascii="Arial" w:hAnsi="Arial" w:cs="Arial"/>
        </w:rPr>
        <w:t>World Bank data, the United Kingdom's GDP growth rate in 2021 was 7.5%. This puts the UK</w:t>
      </w:r>
      <w:r w:rsidRPr="004A73C1">
        <w:rPr>
          <w:rFonts w:ascii="Arial" w:hAnsi="Arial" w:cs="Arial"/>
        </w:rPr>
        <w:t xml:space="preserve"> ahead of some major economies such as the United States (5.7%), Germany (2.9%), and Japan (2.8%) but behind countries like China (8.1%) and India (9.1%). These figures reflect the varying economic performances of different countries during that </w:t>
      </w:r>
      <w:proofErr w:type="gramStart"/>
      <w:r w:rsidRPr="004A73C1">
        <w:rPr>
          <w:rFonts w:ascii="Arial" w:hAnsi="Arial" w:cs="Arial"/>
        </w:rPr>
        <w:t>period.</w:t>
      </w:r>
      <w:r w:rsidR="0047011D">
        <w:rPr>
          <w:rFonts w:ascii="Arial" w:hAnsi="Arial" w:cs="Arial"/>
        </w:rPr>
        <w:t>(</w:t>
      </w:r>
      <w:proofErr w:type="gramEnd"/>
      <w:r w:rsidR="0047011D">
        <w:rPr>
          <w:rFonts w:ascii="Arial" w:hAnsi="Arial" w:cs="Arial"/>
        </w:rPr>
        <w:t>Source- World Bank,2024)</w:t>
      </w:r>
    </w:p>
    <w:p w14:paraId="311AC940" w14:textId="505ED334" w:rsidR="00930F3F" w:rsidRPr="004A73C1" w:rsidRDefault="00930F3F" w:rsidP="00EF2E34">
      <w:pPr>
        <w:spacing w:line="360" w:lineRule="auto"/>
        <w:jc w:val="both"/>
        <w:rPr>
          <w:rFonts w:ascii="Arial" w:hAnsi="Arial" w:cs="Arial"/>
        </w:rPr>
      </w:pPr>
      <w:r w:rsidRPr="004A73C1">
        <w:rPr>
          <w:rFonts w:ascii="Arial" w:hAnsi="Arial" w:cs="Arial"/>
        </w:rPr>
        <w:t>According to the latest data, the United Kingdom's GDP growth rate is currently 2.3%. This puts the UK in the middle range compared to other countries, with some countries experiencing higher growth rates, such as China (6.9%) and India (7.2%), while others have lower rates, such as Japan (1.7%) and Germany (1.9%)</w:t>
      </w:r>
      <w:r w:rsidR="000F1DEE" w:rsidRPr="004A73C1">
        <w:rPr>
          <w:rFonts w:ascii="Arial" w:hAnsi="Arial" w:cs="Arial"/>
        </w:rPr>
        <w:t>. (Source ONS.GOV)</w:t>
      </w:r>
    </w:p>
    <w:p w14:paraId="6BA75BB6" w14:textId="77777777" w:rsidR="00930F3F" w:rsidRPr="004A73C1" w:rsidRDefault="00930F3F" w:rsidP="00EF2E34">
      <w:pPr>
        <w:spacing w:line="360" w:lineRule="auto"/>
        <w:jc w:val="both"/>
        <w:rPr>
          <w:rFonts w:ascii="Arial" w:hAnsi="Arial" w:cs="Arial"/>
        </w:rPr>
      </w:pPr>
      <w:r w:rsidRPr="004A73C1">
        <w:rPr>
          <w:rFonts w:ascii="Arial" w:hAnsi="Arial" w:cs="Arial"/>
        </w:rPr>
        <w:t>The inflation rate in the United Kingdom is currently 2.5%. This places the UK's inflation rate in the middle range compared to other countries. Some countries are experiencing higher inflation rates, such as Brazil (10.7%) and Turkey (17.1%), while others have lower rates, such as the United States (5.4%) and Japan (0.3%).</w:t>
      </w:r>
    </w:p>
    <w:p w14:paraId="1C5CC802" w14:textId="77777777" w:rsidR="00F01661" w:rsidRPr="004A73C1" w:rsidRDefault="00F01661" w:rsidP="00EF2E34">
      <w:pPr>
        <w:spacing w:line="360" w:lineRule="auto"/>
        <w:jc w:val="both"/>
        <w:rPr>
          <w:rFonts w:ascii="Arial" w:hAnsi="Arial" w:cs="Arial"/>
          <w:shd w:val="clear" w:color="auto" w:fill="FFFFFF"/>
        </w:rPr>
      </w:pPr>
    </w:p>
    <w:p w14:paraId="6C27A3FE" w14:textId="77777777" w:rsidR="001270AF" w:rsidRPr="004A73C1" w:rsidRDefault="001279A0" w:rsidP="00EF2E34">
      <w:pPr>
        <w:spacing w:line="360" w:lineRule="auto"/>
        <w:jc w:val="both"/>
        <w:rPr>
          <w:rFonts w:ascii="Arial" w:hAnsi="Arial" w:cs="Arial"/>
          <w:shd w:val="clear" w:color="auto" w:fill="FFFFFF"/>
        </w:rPr>
      </w:pPr>
      <w:r w:rsidRPr="004A73C1">
        <w:rPr>
          <w:rFonts w:ascii="Arial" w:hAnsi="Arial" w:cs="Arial"/>
          <w:noProof/>
          <w:shd w:val="clear" w:color="auto" w:fill="FFFFFF"/>
        </w:rPr>
        <w:drawing>
          <wp:inline distT="0" distB="0" distL="0" distR="0" wp14:anchorId="5CC773FB" wp14:editId="6336AB25">
            <wp:extent cx="5731510" cy="2567940"/>
            <wp:effectExtent l="0" t="0" r="2540" b="3810"/>
            <wp:docPr id="1555106481" name="Picture 1" descr="A graph showing the growt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106481" name="Picture 1" descr="A graph showing the growth of a company&#10;&#10;Description automatically generated with medium confidence"/>
                    <pic:cNvPicPr/>
                  </pic:nvPicPr>
                  <pic:blipFill>
                    <a:blip r:embed="rId47"/>
                    <a:stretch>
                      <a:fillRect/>
                    </a:stretch>
                  </pic:blipFill>
                  <pic:spPr>
                    <a:xfrm>
                      <a:off x="0" y="0"/>
                      <a:ext cx="5731510" cy="2567940"/>
                    </a:xfrm>
                    <a:prstGeom prst="rect">
                      <a:avLst/>
                    </a:prstGeom>
                  </pic:spPr>
                </pic:pic>
              </a:graphicData>
            </a:graphic>
          </wp:inline>
        </w:drawing>
      </w:r>
    </w:p>
    <w:p w14:paraId="6E99FD04" w14:textId="1151B3DA" w:rsidR="00740D35" w:rsidRPr="004A73C1" w:rsidRDefault="00740D35" w:rsidP="00EF2E34">
      <w:pPr>
        <w:spacing w:line="360" w:lineRule="auto"/>
        <w:jc w:val="both"/>
        <w:rPr>
          <w:rFonts w:ascii="Arial" w:hAnsi="Arial" w:cs="Arial"/>
          <w:shd w:val="clear" w:color="auto" w:fill="FFFFFF"/>
        </w:rPr>
      </w:pPr>
      <w:r w:rsidRPr="004A73C1">
        <w:rPr>
          <w:rFonts w:ascii="Arial" w:hAnsi="Arial" w:cs="Arial"/>
        </w:rPr>
        <w:t xml:space="preserve">Figure </w:t>
      </w:r>
      <w:r w:rsidR="00C75C62" w:rsidRPr="004A73C1">
        <w:rPr>
          <w:rFonts w:ascii="Arial" w:hAnsi="Arial" w:cs="Arial"/>
        </w:rPr>
        <w:t>25</w:t>
      </w:r>
    </w:p>
    <w:p w14:paraId="27250125" w14:textId="5CBA3542" w:rsidR="008D2D22" w:rsidRPr="004A73C1" w:rsidRDefault="008D2D22" w:rsidP="00EF2E34">
      <w:pPr>
        <w:spacing w:line="360" w:lineRule="auto"/>
        <w:jc w:val="both"/>
        <w:rPr>
          <w:rFonts w:ascii="Arial" w:hAnsi="Arial" w:cs="Arial"/>
          <w:shd w:val="clear" w:color="auto" w:fill="FFFFFF"/>
        </w:rPr>
      </w:pPr>
      <w:proofErr w:type="gramStart"/>
      <w:r w:rsidRPr="004A73C1">
        <w:rPr>
          <w:rFonts w:ascii="Arial" w:hAnsi="Arial" w:cs="Arial"/>
          <w:shd w:val="clear" w:color="auto" w:fill="FFFFFF"/>
        </w:rPr>
        <w:t>Source:.</w:t>
      </w:r>
      <w:proofErr w:type="gramEnd"/>
      <w:r w:rsidRPr="004A73C1">
        <w:rPr>
          <w:rFonts w:ascii="Arial" w:hAnsi="Arial" w:cs="Arial"/>
          <w:shd w:val="clear" w:color="auto" w:fill="FFFFFF"/>
        </w:rPr>
        <w:t>ons.gov.uk/economy/inflationandpriceindice</w:t>
      </w:r>
    </w:p>
    <w:p w14:paraId="1155E453" w14:textId="1E4DE790" w:rsidR="008D2D22" w:rsidRPr="004A73C1" w:rsidRDefault="00386A5A" w:rsidP="00EF2E34">
      <w:pPr>
        <w:spacing w:line="360" w:lineRule="auto"/>
        <w:jc w:val="both"/>
        <w:rPr>
          <w:rFonts w:ascii="Arial" w:hAnsi="Arial" w:cs="Arial"/>
          <w:shd w:val="clear" w:color="auto" w:fill="FFFFFF"/>
        </w:rPr>
      </w:pPr>
      <w:r w:rsidRPr="004A73C1">
        <w:rPr>
          <w:rFonts w:ascii="Arial" w:hAnsi="Arial" w:cs="Arial"/>
          <w:shd w:val="clear" w:color="auto" w:fill="FFFFFF"/>
        </w:rPr>
        <w:lastRenderedPageBreak/>
        <w:t xml:space="preserve"> </w:t>
      </w:r>
    </w:p>
    <w:p w14:paraId="5AE9B76E" w14:textId="77777777" w:rsidR="001270AF" w:rsidRPr="004A73C1" w:rsidRDefault="001270AF" w:rsidP="00EF2E34">
      <w:pPr>
        <w:spacing w:line="360" w:lineRule="auto"/>
        <w:jc w:val="both"/>
        <w:rPr>
          <w:rFonts w:ascii="Arial" w:hAnsi="Arial" w:cs="Arial"/>
          <w:shd w:val="clear" w:color="auto" w:fill="FFFFFF"/>
        </w:rPr>
      </w:pPr>
    </w:p>
    <w:p w14:paraId="348EDC22" w14:textId="77777777" w:rsidR="00740D35" w:rsidRPr="004A73C1" w:rsidRDefault="001270AF" w:rsidP="00EF2E34">
      <w:pPr>
        <w:spacing w:line="360" w:lineRule="auto"/>
        <w:jc w:val="both"/>
        <w:rPr>
          <w:rFonts w:ascii="Arial" w:hAnsi="Arial" w:cs="Arial"/>
          <w:shd w:val="clear" w:color="auto" w:fill="FFFFFF"/>
        </w:rPr>
      </w:pPr>
      <w:r w:rsidRPr="004A73C1">
        <w:rPr>
          <w:rFonts w:ascii="Arial" w:hAnsi="Arial" w:cs="Arial"/>
          <w:noProof/>
          <w:shd w:val="clear" w:color="auto" w:fill="FFFFFF"/>
        </w:rPr>
        <w:drawing>
          <wp:inline distT="0" distB="0" distL="0" distR="0" wp14:anchorId="49E5AC0E" wp14:editId="194E3A61">
            <wp:extent cx="5731510" cy="3639820"/>
            <wp:effectExtent l="0" t="0" r="2540" b="0"/>
            <wp:docPr id="1850562213" name="Picture 1" descr="A graph of blue and whit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562213" name="Picture 1" descr="A graph of blue and white bars&#10;&#10;Description automatically generated"/>
                    <pic:cNvPicPr/>
                  </pic:nvPicPr>
                  <pic:blipFill>
                    <a:blip r:embed="rId48"/>
                    <a:stretch>
                      <a:fillRect/>
                    </a:stretch>
                  </pic:blipFill>
                  <pic:spPr>
                    <a:xfrm>
                      <a:off x="0" y="0"/>
                      <a:ext cx="5731510" cy="3639820"/>
                    </a:xfrm>
                    <a:prstGeom prst="rect">
                      <a:avLst/>
                    </a:prstGeom>
                  </pic:spPr>
                </pic:pic>
              </a:graphicData>
            </a:graphic>
          </wp:inline>
        </w:drawing>
      </w:r>
    </w:p>
    <w:p w14:paraId="4FC23EC9" w14:textId="2CEDF427" w:rsidR="00741FAB" w:rsidRPr="004A73C1" w:rsidRDefault="00740D35" w:rsidP="00741FAB">
      <w:pPr>
        <w:spacing w:line="360" w:lineRule="auto"/>
        <w:jc w:val="both"/>
        <w:rPr>
          <w:rFonts w:ascii="Arial" w:hAnsi="Arial" w:cs="Arial"/>
          <w:shd w:val="clear" w:color="auto" w:fill="FFFFFF"/>
        </w:rPr>
      </w:pPr>
      <w:r w:rsidRPr="004A73C1">
        <w:rPr>
          <w:rFonts w:ascii="Arial" w:hAnsi="Arial" w:cs="Arial"/>
        </w:rPr>
        <w:t>Figure 2</w:t>
      </w:r>
      <w:r w:rsidR="00C75C62" w:rsidRPr="004A73C1">
        <w:rPr>
          <w:rFonts w:ascii="Arial" w:hAnsi="Arial" w:cs="Arial"/>
        </w:rPr>
        <w:t>6</w:t>
      </w:r>
      <w:r w:rsidR="00741FAB" w:rsidRPr="004A73C1">
        <w:rPr>
          <w:rFonts w:ascii="Arial" w:hAnsi="Arial" w:cs="Arial"/>
        </w:rPr>
        <w:tab/>
      </w:r>
      <w:r w:rsidR="00741FAB" w:rsidRPr="004A73C1">
        <w:rPr>
          <w:rFonts w:ascii="Arial" w:hAnsi="Arial" w:cs="Arial"/>
        </w:rPr>
        <w:tab/>
      </w:r>
      <w:proofErr w:type="gramStart"/>
      <w:r w:rsidR="00741FAB" w:rsidRPr="004A73C1">
        <w:rPr>
          <w:rFonts w:ascii="Arial" w:hAnsi="Arial" w:cs="Arial"/>
          <w:shd w:val="clear" w:color="auto" w:fill="FFFFFF"/>
        </w:rPr>
        <w:t>Source:ons.gov.uk</w:t>
      </w:r>
      <w:proofErr w:type="gramEnd"/>
      <w:r w:rsidR="00741FAB" w:rsidRPr="004A73C1">
        <w:rPr>
          <w:rFonts w:ascii="Arial" w:hAnsi="Arial" w:cs="Arial"/>
          <w:shd w:val="clear" w:color="auto" w:fill="FFFFFF"/>
        </w:rPr>
        <w:t>/economy/inflationandpriceindice</w:t>
      </w:r>
    </w:p>
    <w:p w14:paraId="04E58279" w14:textId="43BCA1A5" w:rsidR="00E4547C" w:rsidRPr="004A73C1" w:rsidRDefault="00E4547C" w:rsidP="00EF2E34">
      <w:pPr>
        <w:spacing w:line="360" w:lineRule="auto"/>
        <w:jc w:val="both"/>
        <w:rPr>
          <w:rFonts w:ascii="Arial" w:hAnsi="Arial" w:cs="Arial"/>
          <w:shd w:val="clear" w:color="auto" w:fill="FFFFFF"/>
        </w:rPr>
      </w:pPr>
    </w:p>
    <w:p w14:paraId="1D3F6A05" w14:textId="43D7573E" w:rsidR="006F48F4" w:rsidRPr="004A73C1" w:rsidRDefault="00CA52E6" w:rsidP="002836D7">
      <w:pPr>
        <w:pStyle w:val="Heading3"/>
        <w:rPr>
          <w:rFonts w:ascii="Arial" w:hAnsi="Arial" w:cs="Arial"/>
          <w:color w:val="auto"/>
        </w:rPr>
      </w:pPr>
      <w:bookmarkStart w:id="140" w:name="_Toc175056488"/>
      <w:bookmarkStart w:id="141" w:name="_Toc175848150"/>
      <w:r w:rsidRPr="004A73C1">
        <w:rPr>
          <w:rFonts w:ascii="Arial" w:hAnsi="Arial" w:cs="Arial"/>
          <w:color w:val="auto"/>
        </w:rPr>
        <w:t>4.6.2</w:t>
      </w:r>
      <w:r w:rsidRPr="004A73C1">
        <w:rPr>
          <w:rFonts w:ascii="Arial" w:hAnsi="Arial" w:cs="Arial"/>
          <w:color w:val="auto"/>
        </w:rPr>
        <w:tab/>
      </w:r>
      <w:r w:rsidR="006F48F4" w:rsidRPr="004A73C1">
        <w:rPr>
          <w:rFonts w:ascii="Arial" w:hAnsi="Arial" w:cs="Arial"/>
          <w:color w:val="auto"/>
        </w:rPr>
        <w:t>Political Stability</w:t>
      </w:r>
      <w:bookmarkEnd w:id="140"/>
      <w:bookmarkEnd w:id="141"/>
    </w:p>
    <w:p w14:paraId="77FCCF6C" w14:textId="77777777" w:rsidR="0047011D" w:rsidRDefault="006F48F4"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Political stability is another crucial factor for </w:t>
      </w:r>
      <w:r w:rsidR="008E168C" w:rsidRPr="004A73C1">
        <w:rPr>
          <w:rFonts w:ascii="Arial" w:hAnsi="Arial" w:cs="Arial"/>
          <w:color w:val="000000"/>
          <w:shd w:val="clear" w:color="auto" w:fill="FFFFFF"/>
        </w:rPr>
        <w:t>UK foreign direct investment (FDI)</w:t>
      </w:r>
      <w:r w:rsidRPr="004A73C1">
        <w:rPr>
          <w:rFonts w:ascii="Arial" w:hAnsi="Arial" w:cs="Arial"/>
          <w:color w:val="000000"/>
          <w:shd w:val="clear" w:color="auto" w:fill="FFFFFF"/>
        </w:rPr>
        <w:t xml:space="preserve">. A stable political environment encourages investors by reducing the risk of sudden policy changes, government instability, or civil unrest that could disrupt business operations. </w:t>
      </w:r>
    </w:p>
    <w:p w14:paraId="3E4BF5C8" w14:textId="60D624ED" w:rsidR="0047011D" w:rsidRDefault="0047011D" w:rsidP="00EF2E34">
      <w:pPr>
        <w:spacing w:line="360" w:lineRule="auto"/>
        <w:jc w:val="both"/>
        <w:rPr>
          <w:rFonts w:ascii="Arial" w:hAnsi="Arial" w:cs="Arial"/>
          <w:color w:val="000000"/>
          <w:shd w:val="clear" w:color="auto" w:fill="FFFFFF"/>
        </w:rPr>
      </w:pPr>
      <w:r>
        <w:rPr>
          <w:rFonts w:ascii="Arial" w:hAnsi="Arial" w:cs="Arial"/>
          <w:color w:val="000000"/>
          <w:shd w:val="clear" w:color="auto" w:fill="FFFFFF"/>
        </w:rPr>
        <w:t>From the data, we can see that t</w:t>
      </w:r>
      <w:r w:rsidR="006F48F4" w:rsidRPr="004A73C1">
        <w:rPr>
          <w:rFonts w:ascii="Arial" w:hAnsi="Arial" w:cs="Arial"/>
          <w:color w:val="000000"/>
          <w:shd w:val="clear" w:color="auto" w:fill="FFFFFF"/>
        </w:rPr>
        <w:t>he UK has a well-established democratic system</w:t>
      </w:r>
      <w:r>
        <w:rPr>
          <w:rFonts w:ascii="Arial" w:hAnsi="Arial" w:cs="Arial"/>
          <w:color w:val="000000"/>
          <w:shd w:val="clear" w:color="auto" w:fill="FFFFFF"/>
        </w:rPr>
        <w:t xml:space="preserve"> when comparing to other countries because its</w:t>
      </w:r>
      <w:r w:rsidR="006F48F4" w:rsidRPr="004A73C1">
        <w:rPr>
          <w:rFonts w:ascii="Arial" w:hAnsi="Arial" w:cs="Arial"/>
          <w:color w:val="000000"/>
          <w:shd w:val="clear" w:color="auto" w:fill="FFFFFF"/>
        </w:rPr>
        <w:t xml:space="preserve"> history of peaceful transitions of power, and </w:t>
      </w:r>
      <w:r w:rsidR="008E168C" w:rsidRPr="004A73C1">
        <w:rPr>
          <w:rFonts w:ascii="Arial" w:hAnsi="Arial" w:cs="Arial"/>
          <w:color w:val="000000"/>
          <w:shd w:val="clear" w:color="auto" w:fill="FFFFFF"/>
        </w:rPr>
        <w:t>solid</w:t>
      </w:r>
      <w:r w:rsidR="006F48F4" w:rsidRPr="004A73C1">
        <w:rPr>
          <w:rFonts w:ascii="Arial" w:hAnsi="Arial" w:cs="Arial"/>
          <w:color w:val="000000"/>
          <w:shd w:val="clear" w:color="auto" w:fill="FFFFFF"/>
        </w:rPr>
        <w:t xml:space="preserve"> legal institutions, contributing to its reputation for political stability. This stability is an attractive feature for foreign investors looking for a secure and predictable environment to conduct business.</w:t>
      </w:r>
    </w:p>
    <w:p w14:paraId="3A80A22F" w14:textId="04A1627D" w:rsidR="006E4441" w:rsidRPr="004A73C1" w:rsidRDefault="006E4441" w:rsidP="00EF2E34">
      <w:pPr>
        <w:spacing w:line="360" w:lineRule="auto"/>
        <w:jc w:val="both"/>
        <w:rPr>
          <w:rFonts w:ascii="Arial" w:hAnsi="Arial" w:cs="Arial"/>
          <w:color w:val="000000"/>
          <w:shd w:val="clear" w:color="auto" w:fill="FFFFFF"/>
        </w:rPr>
      </w:pPr>
      <w:r w:rsidRPr="004A73C1">
        <w:rPr>
          <w:rFonts w:ascii="Arial" w:hAnsi="Arial" w:cs="Arial"/>
          <w:noProof/>
          <w:color w:val="000000"/>
          <w:shd w:val="clear" w:color="auto" w:fill="FFFFFF"/>
        </w:rPr>
        <w:lastRenderedPageBreak/>
        <w:drawing>
          <wp:inline distT="0" distB="0" distL="0" distR="0" wp14:anchorId="66A03A63" wp14:editId="334867BA">
            <wp:extent cx="5731510" cy="2424430"/>
            <wp:effectExtent l="0" t="0" r="2540" b="0"/>
            <wp:docPr id="710545118" name="Picture 1"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545118" name="Picture 1" descr="A graph of blue bars&#10;&#10;Description automatically generated with medium confidence"/>
                    <pic:cNvPicPr/>
                  </pic:nvPicPr>
                  <pic:blipFill>
                    <a:blip r:embed="rId49"/>
                    <a:stretch>
                      <a:fillRect/>
                    </a:stretch>
                  </pic:blipFill>
                  <pic:spPr>
                    <a:xfrm>
                      <a:off x="0" y="0"/>
                      <a:ext cx="5731510" cy="2424430"/>
                    </a:xfrm>
                    <a:prstGeom prst="rect">
                      <a:avLst/>
                    </a:prstGeom>
                  </pic:spPr>
                </pic:pic>
              </a:graphicData>
            </a:graphic>
          </wp:inline>
        </w:drawing>
      </w:r>
    </w:p>
    <w:p w14:paraId="240BAC85" w14:textId="322BF6BA" w:rsidR="00740D35" w:rsidRPr="004A73C1" w:rsidRDefault="00740D35" w:rsidP="00EF2E34">
      <w:pPr>
        <w:spacing w:line="360" w:lineRule="auto"/>
        <w:jc w:val="both"/>
        <w:rPr>
          <w:rFonts w:ascii="Arial" w:hAnsi="Arial" w:cs="Arial"/>
          <w:color w:val="000000"/>
          <w:shd w:val="clear" w:color="auto" w:fill="FFFFFF"/>
        </w:rPr>
      </w:pPr>
      <w:r w:rsidRPr="004A73C1">
        <w:rPr>
          <w:rFonts w:ascii="Arial" w:hAnsi="Arial" w:cs="Arial"/>
        </w:rPr>
        <w:t>Figure 2</w:t>
      </w:r>
      <w:r w:rsidR="00C75C62" w:rsidRPr="004A73C1">
        <w:rPr>
          <w:rFonts w:ascii="Arial" w:hAnsi="Arial" w:cs="Arial"/>
        </w:rPr>
        <w:t>7</w:t>
      </w:r>
    </w:p>
    <w:tbl>
      <w:tblPr>
        <w:tblW w:w="9115" w:type="dxa"/>
        <w:tblLook w:val="04A0" w:firstRow="1" w:lastRow="0" w:firstColumn="1" w:lastColumn="0" w:noHBand="0" w:noVBand="1"/>
      </w:tblPr>
      <w:tblGrid>
        <w:gridCol w:w="10"/>
        <w:gridCol w:w="2514"/>
        <w:gridCol w:w="969"/>
        <w:gridCol w:w="5615"/>
        <w:gridCol w:w="7"/>
      </w:tblGrid>
      <w:tr w:rsidR="006E4441" w:rsidRPr="004A73C1" w14:paraId="78588965" w14:textId="77777777" w:rsidTr="0059145A">
        <w:trPr>
          <w:trHeight w:val="370"/>
        </w:trPr>
        <w:tc>
          <w:tcPr>
            <w:tcW w:w="2524" w:type="dxa"/>
            <w:gridSpan w:val="2"/>
            <w:tcBorders>
              <w:top w:val="nil"/>
              <w:left w:val="nil"/>
              <w:bottom w:val="nil"/>
              <w:right w:val="nil"/>
            </w:tcBorders>
            <w:shd w:val="clear" w:color="000000" w:fill="FDF5CD"/>
            <w:noWrap/>
            <w:vAlign w:val="center"/>
            <w:hideMark/>
          </w:tcPr>
          <w:p w14:paraId="473B76BE" w14:textId="77777777" w:rsidR="006E4441" w:rsidRPr="004A73C1" w:rsidRDefault="006E4441"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 United Kingdom</w:t>
            </w:r>
          </w:p>
        </w:tc>
        <w:tc>
          <w:tcPr>
            <w:tcW w:w="6591" w:type="dxa"/>
            <w:gridSpan w:val="3"/>
            <w:tcBorders>
              <w:top w:val="nil"/>
              <w:left w:val="nil"/>
              <w:bottom w:val="nil"/>
              <w:right w:val="nil"/>
            </w:tcBorders>
            <w:shd w:val="clear" w:color="000000" w:fill="FDF5CD"/>
            <w:noWrap/>
            <w:vAlign w:val="center"/>
            <w:hideMark/>
          </w:tcPr>
          <w:p w14:paraId="4F472B64" w14:textId="77777777" w:rsidR="006E4441" w:rsidRPr="004A73C1" w:rsidRDefault="006E4441"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Political stability index (-2.5 weak; 2.5 strong)</w:t>
            </w:r>
          </w:p>
        </w:tc>
      </w:tr>
      <w:tr w:rsidR="006E4441" w:rsidRPr="004A73C1" w14:paraId="5C5EB443" w14:textId="77777777" w:rsidTr="0059145A">
        <w:trPr>
          <w:trHeight w:val="389"/>
        </w:trPr>
        <w:tc>
          <w:tcPr>
            <w:tcW w:w="2524" w:type="dxa"/>
            <w:gridSpan w:val="2"/>
            <w:tcBorders>
              <w:top w:val="nil"/>
              <w:left w:val="nil"/>
              <w:bottom w:val="single" w:sz="8" w:space="0" w:color="FDF5CD"/>
              <w:right w:val="nil"/>
            </w:tcBorders>
            <w:shd w:val="clear" w:color="000000" w:fill="FFFFFF"/>
            <w:noWrap/>
            <w:vAlign w:val="center"/>
            <w:hideMark/>
          </w:tcPr>
          <w:p w14:paraId="779BE15F" w14:textId="71A83A8D" w:rsidR="00FB4BC1" w:rsidRPr="004A73C1" w:rsidRDefault="006E4441" w:rsidP="00EF2E34">
            <w:pPr>
              <w:spacing w:after="0" w:line="360" w:lineRule="auto"/>
              <w:jc w:val="both"/>
              <w:rPr>
                <w:rFonts w:ascii="Arial" w:eastAsia="Times New Roman" w:hAnsi="Arial" w:cs="Arial"/>
                <w:b/>
                <w:bCs/>
                <w:lang w:eastAsia="en-GB"/>
              </w:rPr>
            </w:pPr>
            <w:r w:rsidRPr="004A73C1">
              <w:rPr>
                <w:rFonts w:ascii="Arial" w:eastAsia="Times New Roman" w:hAnsi="Arial" w:cs="Arial"/>
                <w:b/>
                <w:bCs/>
                <w:lang w:eastAsia="en-GB"/>
              </w:rPr>
              <w:t>Source</w:t>
            </w:r>
          </w:p>
        </w:tc>
        <w:tc>
          <w:tcPr>
            <w:tcW w:w="6591" w:type="dxa"/>
            <w:gridSpan w:val="3"/>
            <w:tcBorders>
              <w:top w:val="nil"/>
              <w:left w:val="nil"/>
              <w:bottom w:val="single" w:sz="8" w:space="0" w:color="FDF5CD"/>
              <w:right w:val="nil"/>
            </w:tcBorders>
            <w:shd w:val="clear" w:color="000000" w:fill="FFFFFF"/>
            <w:noWrap/>
            <w:vAlign w:val="center"/>
            <w:hideMark/>
          </w:tcPr>
          <w:p w14:paraId="3221F91E" w14:textId="77777777" w:rsidR="006E4441" w:rsidRPr="004A73C1" w:rsidRDefault="00000000" w:rsidP="00EF2E34">
            <w:pPr>
              <w:spacing w:after="0" w:line="360" w:lineRule="auto"/>
              <w:jc w:val="both"/>
              <w:rPr>
                <w:rFonts w:ascii="Arial" w:eastAsia="Times New Roman" w:hAnsi="Arial" w:cs="Arial"/>
                <w:b/>
                <w:bCs/>
                <w:u w:val="single"/>
                <w:lang w:eastAsia="en-GB"/>
              </w:rPr>
            </w:pPr>
            <w:hyperlink r:id="rId50" w:tgtFrame="_blank" w:history="1">
              <w:r w:rsidR="006E4441" w:rsidRPr="004A73C1">
                <w:rPr>
                  <w:rFonts w:ascii="Arial" w:eastAsia="Times New Roman" w:hAnsi="Arial" w:cs="Arial"/>
                  <w:b/>
                  <w:bCs/>
                  <w:u w:val="single"/>
                  <w:lang w:eastAsia="en-GB"/>
                </w:rPr>
                <w:t>The World Bank</w:t>
              </w:r>
            </w:hyperlink>
          </w:p>
        </w:tc>
      </w:tr>
      <w:tr w:rsidR="00FB4BC1" w:rsidRPr="004A73C1" w14:paraId="298D7ED7" w14:textId="77777777" w:rsidTr="0059145A">
        <w:trPr>
          <w:gridBefore w:val="1"/>
          <w:gridAfter w:val="1"/>
          <w:wBefore w:w="10" w:type="dxa"/>
          <w:wAfter w:w="7" w:type="dxa"/>
          <w:trHeight w:val="191"/>
        </w:trPr>
        <w:tc>
          <w:tcPr>
            <w:tcW w:w="3483"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1110E5E4" w14:textId="77777777" w:rsidR="00FB4BC1" w:rsidRPr="004A73C1" w:rsidRDefault="00FB4BC1"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 xml:space="preserve">Countries </w:t>
            </w:r>
          </w:p>
        </w:tc>
        <w:tc>
          <w:tcPr>
            <w:tcW w:w="5615" w:type="dxa"/>
            <w:tcBorders>
              <w:top w:val="single" w:sz="8" w:space="0" w:color="auto"/>
              <w:left w:val="nil"/>
              <w:bottom w:val="nil"/>
              <w:right w:val="single" w:sz="8" w:space="0" w:color="auto"/>
            </w:tcBorders>
            <w:shd w:val="clear" w:color="auto" w:fill="auto"/>
            <w:noWrap/>
            <w:vAlign w:val="bottom"/>
            <w:hideMark/>
          </w:tcPr>
          <w:p w14:paraId="5050099C" w14:textId="77777777" w:rsidR="00FB4BC1" w:rsidRPr="004A73C1" w:rsidRDefault="00FB4BC1"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Political stability, 2022 </w:t>
            </w:r>
          </w:p>
        </w:tc>
      </w:tr>
      <w:tr w:rsidR="00FB4BC1" w:rsidRPr="004A73C1" w14:paraId="50D93F55"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3447B76D"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Ukraine</w:t>
            </w:r>
          </w:p>
        </w:tc>
        <w:tc>
          <w:tcPr>
            <w:tcW w:w="5615" w:type="dxa"/>
            <w:tcBorders>
              <w:top w:val="single" w:sz="4" w:space="0" w:color="auto"/>
              <w:left w:val="nil"/>
              <w:bottom w:val="single" w:sz="4" w:space="0" w:color="auto"/>
              <w:right w:val="single" w:sz="8" w:space="0" w:color="auto"/>
            </w:tcBorders>
            <w:shd w:val="clear" w:color="auto" w:fill="auto"/>
            <w:noWrap/>
            <w:vAlign w:val="bottom"/>
            <w:hideMark/>
          </w:tcPr>
          <w:p w14:paraId="3E54A8B7"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-2</w:t>
            </w:r>
          </w:p>
        </w:tc>
      </w:tr>
      <w:tr w:rsidR="00FB4BC1" w:rsidRPr="004A73C1" w14:paraId="01932AA7"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395F8B54"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Turkey</w:t>
            </w:r>
          </w:p>
        </w:tc>
        <w:tc>
          <w:tcPr>
            <w:tcW w:w="5615" w:type="dxa"/>
            <w:tcBorders>
              <w:top w:val="nil"/>
              <w:left w:val="nil"/>
              <w:bottom w:val="single" w:sz="4" w:space="0" w:color="auto"/>
              <w:right w:val="single" w:sz="8" w:space="0" w:color="auto"/>
            </w:tcBorders>
            <w:shd w:val="clear" w:color="auto" w:fill="auto"/>
            <w:noWrap/>
            <w:vAlign w:val="bottom"/>
            <w:hideMark/>
          </w:tcPr>
          <w:p w14:paraId="2170DB20"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-1.04</w:t>
            </w:r>
          </w:p>
        </w:tc>
      </w:tr>
      <w:tr w:rsidR="00FB4BC1" w:rsidRPr="004A73C1" w14:paraId="01123ADD"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05D7FBD9"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Russia</w:t>
            </w:r>
          </w:p>
        </w:tc>
        <w:tc>
          <w:tcPr>
            <w:tcW w:w="5615" w:type="dxa"/>
            <w:tcBorders>
              <w:top w:val="nil"/>
              <w:left w:val="nil"/>
              <w:bottom w:val="single" w:sz="4" w:space="0" w:color="auto"/>
              <w:right w:val="single" w:sz="8" w:space="0" w:color="auto"/>
            </w:tcBorders>
            <w:shd w:val="clear" w:color="auto" w:fill="auto"/>
            <w:noWrap/>
            <w:vAlign w:val="bottom"/>
            <w:hideMark/>
          </w:tcPr>
          <w:p w14:paraId="49E569A2"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-0.92</w:t>
            </w:r>
          </w:p>
        </w:tc>
      </w:tr>
      <w:tr w:rsidR="00FB4BC1" w:rsidRPr="004A73C1" w14:paraId="7C8BE255"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3368DDB1"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Spain</w:t>
            </w:r>
          </w:p>
        </w:tc>
        <w:tc>
          <w:tcPr>
            <w:tcW w:w="5615" w:type="dxa"/>
            <w:tcBorders>
              <w:top w:val="nil"/>
              <w:left w:val="nil"/>
              <w:bottom w:val="single" w:sz="4" w:space="0" w:color="auto"/>
              <w:right w:val="single" w:sz="8" w:space="0" w:color="auto"/>
            </w:tcBorders>
            <w:shd w:val="clear" w:color="auto" w:fill="auto"/>
            <w:noWrap/>
            <w:vAlign w:val="bottom"/>
            <w:hideMark/>
          </w:tcPr>
          <w:p w14:paraId="590DABFD"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0.27</w:t>
            </w:r>
          </w:p>
        </w:tc>
      </w:tr>
      <w:tr w:rsidR="00FB4BC1" w:rsidRPr="004A73C1" w14:paraId="690D7B07"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1D76E219"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France</w:t>
            </w:r>
          </w:p>
        </w:tc>
        <w:tc>
          <w:tcPr>
            <w:tcW w:w="5615" w:type="dxa"/>
            <w:tcBorders>
              <w:top w:val="nil"/>
              <w:left w:val="nil"/>
              <w:bottom w:val="single" w:sz="4" w:space="0" w:color="auto"/>
              <w:right w:val="single" w:sz="8" w:space="0" w:color="auto"/>
            </w:tcBorders>
            <w:shd w:val="clear" w:color="auto" w:fill="auto"/>
            <w:noWrap/>
            <w:vAlign w:val="bottom"/>
            <w:hideMark/>
          </w:tcPr>
          <w:p w14:paraId="74CC9F70"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0.33</w:t>
            </w:r>
          </w:p>
        </w:tc>
      </w:tr>
      <w:tr w:rsidR="00FB4BC1" w:rsidRPr="004A73C1" w14:paraId="6C216D36"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4535B8C0"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Italy</w:t>
            </w:r>
          </w:p>
        </w:tc>
        <w:tc>
          <w:tcPr>
            <w:tcW w:w="5615" w:type="dxa"/>
            <w:tcBorders>
              <w:top w:val="nil"/>
              <w:left w:val="nil"/>
              <w:bottom w:val="single" w:sz="4" w:space="0" w:color="auto"/>
              <w:right w:val="single" w:sz="8" w:space="0" w:color="auto"/>
            </w:tcBorders>
            <w:shd w:val="clear" w:color="auto" w:fill="auto"/>
            <w:noWrap/>
            <w:vAlign w:val="bottom"/>
            <w:hideMark/>
          </w:tcPr>
          <w:p w14:paraId="38FD653B"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0.41</w:t>
            </w:r>
          </w:p>
        </w:tc>
      </w:tr>
      <w:tr w:rsidR="00FB4BC1" w:rsidRPr="004A73C1" w14:paraId="30D29493"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59679638"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Romania</w:t>
            </w:r>
          </w:p>
        </w:tc>
        <w:tc>
          <w:tcPr>
            <w:tcW w:w="5615" w:type="dxa"/>
            <w:tcBorders>
              <w:top w:val="nil"/>
              <w:left w:val="nil"/>
              <w:bottom w:val="single" w:sz="4" w:space="0" w:color="auto"/>
              <w:right w:val="single" w:sz="8" w:space="0" w:color="auto"/>
            </w:tcBorders>
            <w:shd w:val="clear" w:color="auto" w:fill="auto"/>
            <w:noWrap/>
            <w:vAlign w:val="bottom"/>
            <w:hideMark/>
          </w:tcPr>
          <w:p w14:paraId="75FAC7DE"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0.49</w:t>
            </w:r>
          </w:p>
        </w:tc>
      </w:tr>
      <w:tr w:rsidR="00FB4BC1" w:rsidRPr="004A73C1" w14:paraId="3FAEEB6A"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199A87DF"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UK</w:t>
            </w:r>
          </w:p>
        </w:tc>
        <w:tc>
          <w:tcPr>
            <w:tcW w:w="5615" w:type="dxa"/>
            <w:tcBorders>
              <w:top w:val="nil"/>
              <w:left w:val="nil"/>
              <w:bottom w:val="single" w:sz="4" w:space="0" w:color="auto"/>
              <w:right w:val="single" w:sz="8" w:space="0" w:color="auto"/>
            </w:tcBorders>
            <w:shd w:val="clear" w:color="auto" w:fill="auto"/>
            <w:noWrap/>
            <w:vAlign w:val="bottom"/>
            <w:hideMark/>
          </w:tcPr>
          <w:p w14:paraId="585B3FE4"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0.5</w:t>
            </w:r>
          </w:p>
        </w:tc>
      </w:tr>
      <w:tr w:rsidR="00FB4BC1" w:rsidRPr="004A73C1" w14:paraId="546E0414"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348A1654"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Poland</w:t>
            </w:r>
          </w:p>
        </w:tc>
        <w:tc>
          <w:tcPr>
            <w:tcW w:w="5615" w:type="dxa"/>
            <w:tcBorders>
              <w:top w:val="nil"/>
              <w:left w:val="nil"/>
              <w:bottom w:val="single" w:sz="4" w:space="0" w:color="auto"/>
              <w:right w:val="single" w:sz="8" w:space="0" w:color="auto"/>
            </w:tcBorders>
            <w:shd w:val="clear" w:color="auto" w:fill="auto"/>
            <w:noWrap/>
            <w:vAlign w:val="bottom"/>
            <w:hideMark/>
          </w:tcPr>
          <w:p w14:paraId="30875FAC"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0.5</w:t>
            </w:r>
          </w:p>
        </w:tc>
      </w:tr>
      <w:tr w:rsidR="00FB4BC1" w:rsidRPr="004A73C1" w14:paraId="2A071FAB"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1B9F4EC1"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Belgium</w:t>
            </w:r>
          </w:p>
        </w:tc>
        <w:tc>
          <w:tcPr>
            <w:tcW w:w="5615" w:type="dxa"/>
            <w:tcBorders>
              <w:top w:val="nil"/>
              <w:left w:val="nil"/>
              <w:bottom w:val="single" w:sz="4" w:space="0" w:color="auto"/>
              <w:right w:val="single" w:sz="8" w:space="0" w:color="auto"/>
            </w:tcBorders>
            <w:shd w:val="clear" w:color="auto" w:fill="auto"/>
            <w:noWrap/>
            <w:vAlign w:val="bottom"/>
            <w:hideMark/>
          </w:tcPr>
          <w:p w14:paraId="499D13A3"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0.58</w:t>
            </w:r>
          </w:p>
        </w:tc>
      </w:tr>
      <w:tr w:rsidR="00FB4BC1" w:rsidRPr="004A73C1" w14:paraId="6899EB04"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6E56B996"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Germany</w:t>
            </w:r>
          </w:p>
        </w:tc>
        <w:tc>
          <w:tcPr>
            <w:tcW w:w="5615" w:type="dxa"/>
            <w:tcBorders>
              <w:top w:val="nil"/>
              <w:left w:val="nil"/>
              <w:bottom w:val="single" w:sz="4" w:space="0" w:color="auto"/>
              <w:right w:val="single" w:sz="8" w:space="0" w:color="auto"/>
            </w:tcBorders>
            <w:shd w:val="clear" w:color="auto" w:fill="auto"/>
            <w:noWrap/>
            <w:vAlign w:val="bottom"/>
            <w:hideMark/>
          </w:tcPr>
          <w:p w14:paraId="101AA0DD"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0.61</w:t>
            </w:r>
          </w:p>
        </w:tc>
      </w:tr>
      <w:tr w:rsidR="00FB4BC1" w:rsidRPr="004A73C1" w14:paraId="64F41A3C"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73D9E326"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Denmark</w:t>
            </w:r>
          </w:p>
        </w:tc>
        <w:tc>
          <w:tcPr>
            <w:tcW w:w="5615" w:type="dxa"/>
            <w:tcBorders>
              <w:top w:val="nil"/>
              <w:left w:val="nil"/>
              <w:bottom w:val="single" w:sz="4" w:space="0" w:color="auto"/>
              <w:right w:val="single" w:sz="8" w:space="0" w:color="auto"/>
            </w:tcBorders>
            <w:shd w:val="clear" w:color="auto" w:fill="auto"/>
            <w:noWrap/>
            <w:vAlign w:val="bottom"/>
            <w:hideMark/>
          </w:tcPr>
          <w:p w14:paraId="08EC1BD3"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0.87</w:t>
            </w:r>
          </w:p>
        </w:tc>
      </w:tr>
      <w:tr w:rsidR="00FB4BC1" w:rsidRPr="004A73C1" w14:paraId="3399D697"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039F4C90"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Ireland</w:t>
            </w:r>
          </w:p>
        </w:tc>
        <w:tc>
          <w:tcPr>
            <w:tcW w:w="5615" w:type="dxa"/>
            <w:tcBorders>
              <w:top w:val="nil"/>
              <w:left w:val="nil"/>
              <w:bottom w:val="single" w:sz="4" w:space="0" w:color="auto"/>
              <w:right w:val="single" w:sz="8" w:space="0" w:color="auto"/>
            </w:tcBorders>
            <w:shd w:val="clear" w:color="auto" w:fill="auto"/>
            <w:noWrap/>
            <w:vAlign w:val="bottom"/>
            <w:hideMark/>
          </w:tcPr>
          <w:p w14:paraId="1148DED9"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0.88</w:t>
            </w:r>
          </w:p>
        </w:tc>
      </w:tr>
      <w:tr w:rsidR="00FB4BC1" w:rsidRPr="004A73C1" w14:paraId="29450643"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2FCA3BB1"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Finland</w:t>
            </w:r>
          </w:p>
        </w:tc>
        <w:tc>
          <w:tcPr>
            <w:tcW w:w="5615" w:type="dxa"/>
            <w:tcBorders>
              <w:top w:val="nil"/>
              <w:left w:val="nil"/>
              <w:bottom w:val="single" w:sz="4" w:space="0" w:color="auto"/>
              <w:right w:val="single" w:sz="8" w:space="0" w:color="auto"/>
            </w:tcBorders>
            <w:shd w:val="clear" w:color="auto" w:fill="auto"/>
            <w:noWrap/>
            <w:vAlign w:val="bottom"/>
            <w:hideMark/>
          </w:tcPr>
          <w:p w14:paraId="7C60D129"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0.89</w:t>
            </w:r>
          </w:p>
        </w:tc>
      </w:tr>
      <w:tr w:rsidR="00FB4BC1" w:rsidRPr="004A73C1" w14:paraId="167207F2"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580DEF43"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Sweden</w:t>
            </w:r>
          </w:p>
        </w:tc>
        <w:tc>
          <w:tcPr>
            <w:tcW w:w="5615" w:type="dxa"/>
            <w:tcBorders>
              <w:top w:val="nil"/>
              <w:left w:val="nil"/>
              <w:bottom w:val="single" w:sz="4" w:space="0" w:color="auto"/>
              <w:right w:val="single" w:sz="8" w:space="0" w:color="auto"/>
            </w:tcBorders>
            <w:shd w:val="clear" w:color="auto" w:fill="auto"/>
            <w:noWrap/>
            <w:vAlign w:val="bottom"/>
            <w:hideMark/>
          </w:tcPr>
          <w:p w14:paraId="29A0BCA6"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0.9</w:t>
            </w:r>
          </w:p>
        </w:tc>
      </w:tr>
      <w:tr w:rsidR="00FB4BC1" w:rsidRPr="004A73C1" w14:paraId="76DAC730"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2FA78803"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 xml:space="preserve">India </w:t>
            </w:r>
          </w:p>
        </w:tc>
        <w:tc>
          <w:tcPr>
            <w:tcW w:w="5615" w:type="dxa"/>
            <w:tcBorders>
              <w:top w:val="nil"/>
              <w:left w:val="nil"/>
              <w:bottom w:val="single" w:sz="4" w:space="0" w:color="auto"/>
              <w:right w:val="single" w:sz="8" w:space="0" w:color="auto"/>
            </w:tcBorders>
            <w:shd w:val="clear" w:color="auto" w:fill="auto"/>
            <w:noWrap/>
            <w:vAlign w:val="bottom"/>
            <w:hideMark/>
          </w:tcPr>
          <w:p w14:paraId="49199E4D"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-0.57</w:t>
            </w:r>
          </w:p>
        </w:tc>
      </w:tr>
      <w:tr w:rsidR="00FB4BC1" w:rsidRPr="004A73C1" w14:paraId="39219570"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421866C3"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Japan</w:t>
            </w:r>
          </w:p>
        </w:tc>
        <w:tc>
          <w:tcPr>
            <w:tcW w:w="5615" w:type="dxa"/>
            <w:tcBorders>
              <w:top w:val="nil"/>
              <w:left w:val="nil"/>
              <w:bottom w:val="single" w:sz="4" w:space="0" w:color="auto"/>
              <w:right w:val="single" w:sz="8" w:space="0" w:color="auto"/>
            </w:tcBorders>
            <w:shd w:val="clear" w:color="auto" w:fill="auto"/>
            <w:noWrap/>
            <w:vAlign w:val="bottom"/>
            <w:hideMark/>
          </w:tcPr>
          <w:p w14:paraId="3D2B1717"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1.07</w:t>
            </w:r>
          </w:p>
        </w:tc>
      </w:tr>
      <w:tr w:rsidR="00FB4BC1" w:rsidRPr="004A73C1" w14:paraId="57044F85"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586EB97C"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Canada</w:t>
            </w:r>
          </w:p>
        </w:tc>
        <w:tc>
          <w:tcPr>
            <w:tcW w:w="5615" w:type="dxa"/>
            <w:tcBorders>
              <w:top w:val="nil"/>
              <w:left w:val="nil"/>
              <w:bottom w:val="single" w:sz="4" w:space="0" w:color="auto"/>
              <w:right w:val="single" w:sz="8" w:space="0" w:color="auto"/>
            </w:tcBorders>
            <w:shd w:val="clear" w:color="auto" w:fill="auto"/>
            <w:noWrap/>
            <w:vAlign w:val="bottom"/>
            <w:hideMark/>
          </w:tcPr>
          <w:p w14:paraId="2ACEB50C"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0.77</w:t>
            </w:r>
          </w:p>
        </w:tc>
      </w:tr>
      <w:tr w:rsidR="00FB4BC1" w:rsidRPr="004A73C1" w14:paraId="5AB91785"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5B6B8A11"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Germany</w:t>
            </w:r>
          </w:p>
        </w:tc>
        <w:tc>
          <w:tcPr>
            <w:tcW w:w="5615" w:type="dxa"/>
            <w:tcBorders>
              <w:top w:val="nil"/>
              <w:left w:val="nil"/>
              <w:bottom w:val="single" w:sz="4" w:space="0" w:color="auto"/>
              <w:right w:val="single" w:sz="8" w:space="0" w:color="auto"/>
            </w:tcBorders>
            <w:shd w:val="clear" w:color="auto" w:fill="auto"/>
            <w:noWrap/>
            <w:vAlign w:val="bottom"/>
            <w:hideMark/>
          </w:tcPr>
          <w:p w14:paraId="479C8578"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0.61</w:t>
            </w:r>
          </w:p>
        </w:tc>
      </w:tr>
      <w:tr w:rsidR="00FB4BC1" w:rsidRPr="004A73C1" w14:paraId="12FC5B6C"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09C83BBC"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UK</w:t>
            </w:r>
          </w:p>
        </w:tc>
        <w:tc>
          <w:tcPr>
            <w:tcW w:w="5615" w:type="dxa"/>
            <w:tcBorders>
              <w:top w:val="nil"/>
              <w:left w:val="nil"/>
              <w:bottom w:val="single" w:sz="4" w:space="0" w:color="auto"/>
              <w:right w:val="single" w:sz="8" w:space="0" w:color="auto"/>
            </w:tcBorders>
            <w:shd w:val="clear" w:color="auto" w:fill="auto"/>
            <w:noWrap/>
            <w:vAlign w:val="bottom"/>
            <w:hideMark/>
          </w:tcPr>
          <w:p w14:paraId="61A85CC8"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0.5</w:t>
            </w:r>
          </w:p>
        </w:tc>
      </w:tr>
      <w:tr w:rsidR="00FB4BC1" w:rsidRPr="004A73C1" w14:paraId="35AB9A6D"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764BEDE3"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Italy</w:t>
            </w:r>
          </w:p>
        </w:tc>
        <w:tc>
          <w:tcPr>
            <w:tcW w:w="5615" w:type="dxa"/>
            <w:tcBorders>
              <w:top w:val="nil"/>
              <w:left w:val="nil"/>
              <w:bottom w:val="single" w:sz="4" w:space="0" w:color="auto"/>
              <w:right w:val="single" w:sz="8" w:space="0" w:color="auto"/>
            </w:tcBorders>
            <w:shd w:val="clear" w:color="auto" w:fill="auto"/>
            <w:noWrap/>
            <w:vAlign w:val="bottom"/>
            <w:hideMark/>
          </w:tcPr>
          <w:p w14:paraId="59F20B62"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0.41</w:t>
            </w:r>
          </w:p>
        </w:tc>
      </w:tr>
      <w:tr w:rsidR="00FB4BC1" w:rsidRPr="004A73C1" w14:paraId="3DCD5E79" w14:textId="77777777" w:rsidTr="0059145A">
        <w:trPr>
          <w:gridBefore w:val="1"/>
          <w:gridAfter w:val="1"/>
          <w:wBefore w:w="10" w:type="dxa"/>
          <w:wAfter w:w="7" w:type="dxa"/>
          <w:trHeight w:val="129"/>
        </w:trPr>
        <w:tc>
          <w:tcPr>
            <w:tcW w:w="3483" w:type="dxa"/>
            <w:gridSpan w:val="2"/>
            <w:tcBorders>
              <w:top w:val="nil"/>
              <w:left w:val="single" w:sz="8" w:space="0" w:color="auto"/>
              <w:bottom w:val="single" w:sz="4" w:space="0" w:color="auto"/>
              <w:right w:val="single" w:sz="4" w:space="0" w:color="auto"/>
            </w:tcBorders>
            <w:shd w:val="clear" w:color="auto" w:fill="auto"/>
            <w:noWrap/>
            <w:vAlign w:val="bottom"/>
            <w:hideMark/>
          </w:tcPr>
          <w:p w14:paraId="135009B0"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lastRenderedPageBreak/>
              <w:t>France</w:t>
            </w:r>
          </w:p>
        </w:tc>
        <w:tc>
          <w:tcPr>
            <w:tcW w:w="5615" w:type="dxa"/>
            <w:tcBorders>
              <w:top w:val="nil"/>
              <w:left w:val="nil"/>
              <w:bottom w:val="single" w:sz="4" w:space="0" w:color="auto"/>
              <w:right w:val="single" w:sz="8" w:space="0" w:color="auto"/>
            </w:tcBorders>
            <w:shd w:val="clear" w:color="auto" w:fill="auto"/>
            <w:noWrap/>
            <w:vAlign w:val="bottom"/>
            <w:hideMark/>
          </w:tcPr>
          <w:p w14:paraId="0090605C"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0.33</w:t>
            </w:r>
          </w:p>
        </w:tc>
      </w:tr>
      <w:tr w:rsidR="00FB4BC1" w:rsidRPr="004A73C1" w14:paraId="1C501C91" w14:textId="77777777" w:rsidTr="0059145A">
        <w:trPr>
          <w:gridBefore w:val="1"/>
          <w:gridAfter w:val="1"/>
          <w:wBefore w:w="10" w:type="dxa"/>
          <w:wAfter w:w="7" w:type="dxa"/>
          <w:trHeight w:val="136"/>
        </w:trPr>
        <w:tc>
          <w:tcPr>
            <w:tcW w:w="3483" w:type="dxa"/>
            <w:gridSpan w:val="2"/>
            <w:tcBorders>
              <w:top w:val="nil"/>
              <w:left w:val="single" w:sz="8" w:space="0" w:color="auto"/>
              <w:bottom w:val="single" w:sz="8" w:space="0" w:color="auto"/>
              <w:right w:val="single" w:sz="4" w:space="0" w:color="auto"/>
            </w:tcBorders>
            <w:shd w:val="clear" w:color="auto" w:fill="auto"/>
            <w:noWrap/>
            <w:vAlign w:val="bottom"/>
            <w:hideMark/>
          </w:tcPr>
          <w:p w14:paraId="0AAE1284"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USA</w:t>
            </w:r>
          </w:p>
        </w:tc>
        <w:tc>
          <w:tcPr>
            <w:tcW w:w="5615" w:type="dxa"/>
            <w:tcBorders>
              <w:top w:val="nil"/>
              <w:left w:val="nil"/>
              <w:bottom w:val="single" w:sz="8" w:space="0" w:color="auto"/>
              <w:right w:val="single" w:sz="8" w:space="0" w:color="auto"/>
            </w:tcBorders>
            <w:shd w:val="clear" w:color="auto" w:fill="auto"/>
            <w:noWrap/>
            <w:vAlign w:val="bottom"/>
            <w:hideMark/>
          </w:tcPr>
          <w:p w14:paraId="530906A0" w14:textId="77777777" w:rsidR="00FB4BC1" w:rsidRPr="004A73C1" w:rsidRDefault="00FB4BC1" w:rsidP="00EF2E34">
            <w:pPr>
              <w:spacing w:after="0" w:line="360" w:lineRule="auto"/>
              <w:jc w:val="both"/>
              <w:rPr>
                <w:rFonts w:ascii="Arial" w:eastAsia="Times New Roman" w:hAnsi="Arial" w:cs="Arial"/>
                <w:color w:val="000000"/>
                <w:sz w:val="24"/>
                <w:szCs w:val="24"/>
                <w:lang w:eastAsia="en-GB"/>
              </w:rPr>
            </w:pPr>
            <w:r w:rsidRPr="004A73C1">
              <w:rPr>
                <w:rFonts w:ascii="Arial" w:eastAsia="Times New Roman" w:hAnsi="Arial" w:cs="Arial"/>
                <w:color w:val="000000"/>
                <w:sz w:val="24"/>
                <w:szCs w:val="24"/>
                <w:lang w:eastAsia="en-GB"/>
              </w:rPr>
              <w:t>-0.04</w:t>
            </w:r>
          </w:p>
        </w:tc>
      </w:tr>
    </w:tbl>
    <w:p w14:paraId="64412E31" w14:textId="19152E0E" w:rsidR="00C75C62" w:rsidRPr="004A73C1" w:rsidRDefault="00C75C62" w:rsidP="00C75C62">
      <w:pPr>
        <w:spacing w:line="360" w:lineRule="auto"/>
        <w:jc w:val="both"/>
        <w:rPr>
          <w:rFonts w:ascii="Arial" w:hAnsi="Arial" w:cs="Arial"/>
          <w:color w:val="000000"/>
          <w:shd w:val="clear" w:color="auto" w:fill="FFFFFF"/>
        </w:rPr>
      </w:pPr>
      <w:r w:rsidRPr="004A73C1">
        <w:rPr>
          <w:rFonts w:ascii="Arial" w:hAnsi="Arial" w:cs="Arial"/>
        </w:rPr>
        <w:t>Figure 28</w:t>
      </w:r>
    </w:p>
    <w:p w14:paraId="6B52DD84" w14:textId="77777777" w:rsidR="00FB4BC1" w:rsidRPr="004A73C1" w:rsidRDefault="00FB4BC1" w:rsidP="00EF2E34">
      <w:pPr>
        <w:spacing w:line="360" w:lineRule="auto"/>
        <w:jc w:val="both"/>
        <w:rPr>
          <w:rFonts w:ascii="Arial" w:hAnsi="Arial" w:cs="Arial"/>
          <w:color w:val="000000"/>
          <w:shd w:val="clear" w:color="auto" w:fill="FFFFFF"/>
        </w:rPr>
      </w:pPr>
    </w:p>
    <w:p w14:paraId="4438115C" w14:textId="77777777" w:rsidR="00FB4BC1" w:rsidRPr="004A73C1" w:rsidRDefault="00FB4BC1" w:rsidP="00EF2E34">
      <w:pPr>
        <w:spacing w:line="360" w:lineRule="auto"/>
        <w:jc w:val="both"/>
        <w:rPr>
          <w:rFonts w:ascii="Arial" w:hAnsi="Arial" w:cs="Arial"/>
          <w:color w:val="000000"/>
          <w:shd w:val="clear" w:color="auto" w:fill="FFFFFF"/>
        </w:rPr>
      </w:pPr>
      <w:r w:rsidRPr="004A73C1">
        <w:rPr>
          <w:rFonts w:ascii="Arial" w:hAnsi="Arial" w:cs="Arial"/>
          <w:noProof/>
        </w:rPr>
        <w:drawing>
          <wp:inline distT="0" distB="0" distL="0" distR="0" wp14:anchorId="77008C05" wp14:editId="759E662E">
            <wp:extent cx="5705475" cy="4371975"/>
            <wp:effectExtent l="0" t="0" r="9525" b="9525"/>
            <wp:docPr id="1449948975" name="Chart 1">
              <a:extLst xmlns:a="http://schemas.openxmlformats.org/drawingml/2006/main">
                <a:ext uri="{FF2B5EF4-FFF2-40B4-BE49-F238E27FC236}">
                  <a16:creationId xmlns:a16="http://schemas.microsoft.com/office/drawing/2014/main" id="{258A720D-F519-4967-D086-9856C1703F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7FD3AE4" w14:textId="2517B4DD" w:rsidR="008E168C" w:rsidRPr="004A73C1" w:rsidRDefault="00740D35" w:rsidP="00EF2E34">
      <w:pPr>
        <w:spacing w:line="360" w:lineRule="auto"/>
        <w:jc w:val="both"/>
        <w:rPr>
          <w:rFonts w:ascii="Arial" w:hAnsi="Arial" w:cs="Arial"/>
          <w:color w:val="000000"/>
          <w:shd w:val="clear" w:color="auto" w:fill="FFFFFF"/>
        </w:rPr>
      </w:pPr>
      <w:r w:rsidRPr="004A73C1">
        <w:rPr>
          <w:rFonts w:ascii="Arial" w:hAnsi="Arial" w:cs="Arial"/>
        </w:rPr>
        <w:t>Figure</w:t>
      </w:r>
      <w:r w:rsidR="00741FAB" w:rsidRPr="004A73C1">
        <w:rPr>
          <w:rFonts w:ascii="Arial" w:hAnsi="Arial" w:cs="Arial"/>
        </w:rPr>
        <w:t>:</w:t>
      </w:r>
      <w:r w:rsidRPr="004A73C1">
        <w:rPr>
          <w:rFonts w:ascii="Arial" w:hAnsi="Arial" w:cs="Arial"/>
        </w:rPr>
        <w:t xml:space="preserve"> 2</w:t>
      </w:r>
      <w:r w:rsidR="00C75C62" w:rsidRPr="004A73C1">
        <w:rPr>
          <w:rFonts w:ascii="Arial" w:hAnsi="Arial" w:cs="Arial"/>
        </w:rPr>
        <w:t>9</w:t>
      </w:r>
      <w:r w:rsidR="00B66179" w:rsidRPr="004A73C1">
        <w:rPr>
          <w:rFonts w:ascii="Arial" w:hAnsi="Arial" w:cs="Arial"/>
        </w:rPr>
        <w:t xml:space="preserve"> </w:t>
      </w:r>
      <w:r w:rsidR="00741FAB" w:rsidRPr="004A73C1">
        <w:rPr>
          <w:rFonts w:ascii="Arial" w:hAnsi="Arial" w:cs="Arial"/>
        </w:rPr>
        <w:tab/>
      </w:r>
      <w:r w:rsidR="00741FAB" w:rsidRPr="004A73C1">
        <w:rPr>
          <w:rFonts w:ascii="Arial" w:hAnsi="Arial" w:cs="Arial"/>
        </w:rPr>
        <w:tab/>
      </w:r>
      <w:r w:rsidR="00B66179" w:rsidRPr="004A73C1">
        <w:rPr>
          <w:rFonts w:ascii="Arial" w:hAnsi="Arial" w:cs="Arial"/>
        </w:rPr>
        <w:tab/>
      </w:r>
      <w:r w:rsidR="00FB4BC1" w:rsidRPr="004A73C1">
        <w:rPr>
          <w:rFonts w:ascii="Arial" w:hAnsi="Arial" w:cs="Arial"/>
          <w:color w:val="000000"/>
          <w:shd w:val="clear" w:color="auto" w:fill="FFFFFF"/>
        </w:rPr>
        <w:t xml:space="preserve">Source -World </w:t>
      </w:r>
      <w:r w:rsidR="008E168C" w:rsidRPr="004A73C1">
        <w:rPr>
          <w:rFonts w:ascii="Arial" w:hAnsi="Arial" w:cs="Arial"/>
          <w:color w:val="000000"/>
          <w:shd w:val="clear" w:color="auto" w:fill="FFFFFF"/>
        </w:rPr>
        <w:t>Bank</w:t>
      </w:r>
    </w:p>
    <w:p w14:paraId="3532A389" w14:textId="77777777" w:rsidR="004117AD" w:rsidRDefault="004117AD" w:rsidP="002836D7">
      <w:pPr>
        <w:pStyle w:val="Heading3"/>
        <w:rPr>
          <w:rFonts w:ascii="Arial" w:hAnsi="Arial" w:cs="Arial"/>
          <w:color w:val="auto"/>
        </w:rPr>
      </w:pPr>
      <w:bookmarkStart w:id="142" w:name="_Toc175056489"/>
    </w:p>
    <w:p w14:paraId="27AD38CE" w14:textId="0371861C" w:rsidR="00E56B8D" w:rsidRPr="004A73C1" w:rsidRDefault="00CA52E6" w:rsidP="002836D7">
      <w:pPr>
        <w:pStyle w:val="Heading3"/>
        <w:rPr>
          <w:rFonts w:ascii="Arial" w:hAnsi="Arial" w:cs="Arial"/>
          <w:color w:val="auto"/>
        </w:rPr>
      </w:pPr>
      <w:bookmarkStart w:id="143" w:name="_Toc175848151"/>
      <w:r w:rsidRPr="004A73C1">
        <w:rPr>
          <w:rFonts w:ascii="Arial" w:hAnsi="Arial" w:cs="Arial"/>
          <w:color w:val="auto"/>
        </w:rPr>
        <w:t>4.6.3</w:t>
      </w:r>
      <w:r w:rsidRPr="004A73C1">
        <w:rPr>
          <w:rFonts w:ascii="Arial" w:hAnsi="Arial" w:cs="Arial"/>
          <w:color w:val="auto"/>
        </w:rPr>
        <w:tab/>
      </w:r>
      <w:r w:rsidR="008E168C" w:rsidRPr="004A73C1">
        <w:rPr>
          <w:rFonts w:ascii="Arial" w:hAnsi="Arial" w:cs="Arial"/>
          <w:color w:val="auto"/>
        </w:rPr>
        <w:t>Labour Market</w:t>
      </w:r>
      <w:bookmarkEnd w:id="142"/>
      <w:bookmarkEnd w:id="143"/>
      <w:r w:rsidR="008E168C" w:rsidRPr="004A73C1">
        <w:rPr>
          <w:rFonts w:ascii="Arial" w:hAnsi="Arial" w:cs="Arial"/>
          <w:color w:val="auto"/>
        </w:rPr>
        <w:t xml:space="preserve"> </w:t>
      </w:r>
    </w:p>
    <w:p w14:paraId="3F39BAC6" w14:textId="39B317FD" w:rsidR="00E56B8D" w:rsidRPr="004A73C1" w:rsidRDefault="00E56B8D" w:rsidP="00EF2E34">
      <w:pPr>
        <w:spacing w:after="200" w:line="360" w:lineRule="auto"/>
        <w:jc w:val="both"/>
        <w:rPr>
          <w:rFonts w:ascii="Arial" w:eastAsia="Arial Unicode MS" w:hAnsi="Arial" w:cs="Arial"/>
        </w:rPr>
      </w:pPr>
      <w:r w:rsidRPr="004A73C1">
        <w:rPr>
          <w:rFonts w:ascii="Arial" w:eastAsia="Arial Unicode MS" w:hAnsi="Arial" w:cs="Arial"/>
        </w:rPr>
        <w:t xml:space="preserve">The labour market is crucial in attracting foreign direct investment (FDI) to a country. Companies considering FDI look at various labour market factors such as the availability of skilled and unskilled labour, wage levels, labour laws, regulations, and the overall productivity of the workforce. </w:t>
      </w:r>
      <w:r w:rsidR="008075F8" w:rsidRPr="004A73C1">
        <w:rPr>
          <w:rFonts w:ascii="Arial" w:eastAsia="Arial Unicode MS" w:hAnsi="Arial" w:cs="Arial"/>
        </w:rPr>
        <w:t>Multinational corporations often need a solid and experienced labour force when investing in a particular country</w:t>
      </w:r>
      <w:r w:rsidRPr="004A73C1">
        <w:rPr>
          <w:rFonts w:ascii="Arial" w:eastAsia="Arial Unicode MS" w:hAnsi="Arial" w:cs="Arial"/>
        </w:rPr>
        <w:t xml:space="preserve">. Additionally, flexible labour laws and a stable industrial relations environment can make a country more attractive for FDI, providing </w:t>
      </w:r>
      <w:r w:rsidR="0059145A" w:rsidRPr="004A73C1">
        <w:rPr>
          <w:rFonts w:ascii="Arial" w:eastAsia="Arial Unicode MS" w:hAnsi="Arial" w:cs="Arial"/>
        </w:rPr>
        <w:t>investors with security and predictability</w:t>
      </w:r>
      <w:r w:rsidRPr="004A73C1">
        <w:rPr>
          <w:rFonts w:ascii="Arial" w:eastAsia="Arial Unicode MS" w:hAnsi="Arial" w:cs="Arial"/>
        </w:rPr>
        <w:t>.</w:t>
      </w:r>
    </w:p>
    <w:p w14:paraId="3E05094A" w14:textId="31F37D98" w:rsidR="0059145A" w:rsidRPr="004A73C1" w:rsidRDefault="0059145A" w:rsidP="00EF2E34">
      <w:pPr>
        <w:spacing w:after="200" w:line="360" w:lineRule="auto"/>
        <w:jc w:val="both"/>
        <w:rPr>
          <w:rFonts w:ascii="Arial" w:eastAsia="Arial Unicode MS" w:hAnsi="Arial" w:cs="Arial"/>
        </w:rPr>
      </w:pPr>
      <w:r w:rsidRPr="004A73C1">
        <w:rPr>
          <w:rFonts w:ascii="Arial" w:eastAsia="Arial Unicode MS" w:hAnsi="Arial" w:cs="Arial"/>
        </w:rPr>
        <w:t>The attractiveness of the UK labour market for Foreign Direct Investment (FDI) can be evaluated based on various factors.</w:t>
      </w:r>
      <w:r w:rsidR="0047011D">
        <w:rPr>
          <w:rFonts w:ascii="Arial" w:eastAsia="Arial Unicode MS" w:hAnsi="Arial" w:cs="Arial"/>
        </w:rPr>
        <w:t xml:space="preserve"> </w:t>
      </w:r>
      <w:r w:rsidRPr="004A73C1">
        <w:rPr>
          <w:rFonts w:ascii="Arial" w:eastAsia="Arial Unicode MS" w:hAnsi="Arial" w:cs="Arial"/>
        </w:rPr>
        <w:t xml:space="preserve">These include a highly skilled workforce, flexible labour laws, and a business-friendly environment. The UK's strong legal framework, well-established </w:t>
      </w:r>
      <w:r w:rsidRPr="004A73C1">
        <w:rPr>
          <w:rFonts w:ascii="Arial" w:eastAsia="Arial Unicode MS" w:hAnsi="Arial" w:cs="Arial"/>
        </w:rPr>
        <w:lastRenderedPageBreak/>
        <w:t>financial system, and access to international markets also contribute to its attractiveness for FDI in the labour market.</w:t>
      </w:r>
    </w:p>
    <w:p w14:paraId="76C67E06" w14:textId="5A76C773" w:rsidR="0059145A" w:rsidRPr="004A73C1" w:rsidRDefault="0059145A" w:rsidP="00EF2E34">
      <w:pPr>
        <w:spacing w:after="200" w:line="360" w:lineRule="auto"/>
        <w:jc w:val="both"/>
        <w:rPr>
          <w:rFonts w:ascii="Arial" w:eastAsia="Arial Unicode MS" w:hAnsi="Arial" w:cs="Arial"/>
        </w:rPr>
      </w:pPr>
      <w:r w:rsidRPr="004A73C1">
        <w:rPr>
          <w:rFonts w:ascii="Arial" w:eastAsia="Arial Unicode MS" w:hAnsi="Arial" w:cs="Arial"/>
        </w:rPr>
        <w:t>According to a report by the World Bank, the UK ranked 8th in the world for ease of doing business in 2020, highlighting the country's favourable conditions for investment and business operations (World Bank, 2020). Additionally, the UK government's initiatives to support skills development and innovation further enhance the appeal of the labour market for foreign investors.</w:t>
      </w:r>
      <w:r w:rsidR="00741FAB" w:rsidRPr="004A73C1">
        <w:rPr>
          <w:rFonts w:ascii="Arial" w:eastAsia="Arial Unicode MS" w:hAnsi="Arial" w:cs="Arial"/>
        </w:rPr>
        <w:t xml:space="preserve"> </w:t>
      </w:r>
      <w:r w:rsidRPr="004A73C1">
        <w:rPr>
          <w:rFonts w:ascii="Arial" w:eastAsia="Arial Unicode MS" w:hAnsi="Arial" w:cs="Arial"/>
        </w:rPr>
        <w:t>In summary, the UK labour market presents several attractive qualities for FDI. Still, it's crucial to consider various factors and stay updated on the latest developments and policies that may impact FDI attractiveness.</w:t>
      </w:r>
    </w:p>
    <w:tbl>
      <w:tblPr>
        <w:tblW w:w="9267" w:type="dxa"/>
        <w:tblInd w:w="-152" w:type="dxa"/>
        <w:shd w:val="clear" w:color="auto" w:fill="D0E6F6" w:themeFill="accent6" w:themeFillTint="33"/>
        <w:tblLook w:val="04A0" w:firstRow="1" w:lastRow="0" w:firstColumn="1" w:lastColumn="0" w:noHBand="0" w:noVBand="1"/>
      </w:tblPr>
      <w:tblGrid>
        <w:gridCol w:w="3397"/>
        <w:gridCol w:w="918"/>
        <w:gridCol w:w="1265"/>
        <w:gridCol w:w="1090"/>
        <w:gridCol w:w="790"/>
        <w:gridCol w:w="1093"/>
        <w:gridCol w:w="714"/>
      </w:tblGrid>
      <w:tr w:rsidR="0059145A" w:rsidRPr="004A73C1" w14:paraId="5433D7E5" w14:textId="77777777" w:rsidTr="00C75C62">
        <w:trPr>
          <w:trHeight w:val="156"/>
        </w:trPr>
        <w:tc>
          <w:tcPr>
            <w:tcW w:w="3397" w:type="dxa"/>
            <w:vMerge w:val="restart"/>
            <w:tcBorders>
              <w:top w:val="single" w:sz="8" w:space="0" w:color="auto"/>
              <w:left w:val="single" w:sz="8" w:space="0" w:color="auto"/>
              <w:bottom w:val="single" w:sz="8" w:space="0" w:color="000000"/>
              <w:right w:val="single" w:sz="8" w:space="0" w:color="auto"/>
            </w:tcBorders>
            <w:shd w:val="clear" w:color="auto" w:fill="D0E6F6" w:themeFill="accent6" w:themeFillTint="33"/>
            <w:noWrap/>
            <w:vAlign w:val="bottom"/>
            <w:hideMark/>
          </w:tcPr>
          <w:p w14:paraId="3A60E5D7" w14:textId="77777777" w:rsidR="00E56B8D" w:rsidRPr="004A73C1" w:rsidRDefault="00E56B8D" w:rsidP="00EF2E34">
            <w:pPr>
              <w:spacing w:after="0" w:line="360" w:lineRule="auto"/>
              <w:jc w:val="both"/>
              <w:rPr>
                <w:rFonts w:ascii="Arial" w:eastAsia="Times New Roman" w:hAnsi="Arial" w:cs="Arial"/>
                <w:b/>
                <w:bCs/>
                <w:sz w:val="20"/>
                <w:szCs w:val="20"/>
                <w:lang w:eastAsia="en-GB"/>
              </w:rPr>
            </w:pPr>
            <w:r w:rsidRPr="004A73C1">
              <w:rPr>
                <w:rFonts w:ascii="Arial" w:eastAsia="Times New Roman" w:hAnsi="Arial" w:cs="Arial"/>
                <w:b/>
                <w:bCs/>
                <w:sz w:val="20"/>
                <w:szCs w:val="20"/>
                <w:lang w:eastAsia="en-GB"/>
              </w:rPr>
              <w:t>Area Names</w:t>
            </w:r>
          </w:p>
        </w:tc>
        <w:tc>
          <w:tcPr>
            <w:tcW w:w="2183" w:type="dxa"/>
            <w:gridSpan w:val="2"/>
            <w:tcBorders>
              <w:top w:val="single" w:sz="8" w:space="0" w:color="auto"/>
              <w:left w:val="nil"/>
              <w:bottom w:val="single" w:sz="8" w:space="0" w:color="auto"/>
              <w:right w:val="single" w:sz="4" w:space="0" w:color="auto"/>
            </w:tcBorders>
            <w:shd w:val="clear" w:color="auto" w:fill="D0E6F6" w:themeFill="accent6" w:themeFillTint="33"/>
            <w:vAlign w:val="bottom"/>
            <w:hideMark/>
          </w:tcPr>
          <w:p w14:paraId="325E420C" w14:textId="77777777" w:rsidR="00E56B8D" w:rsidRPr="004A73C1" w:rsidRDefault="00E56B8D" w:rsidP="00EF2E34">
            <w:pPr>
              <w:spacing w:after="0" w:line="360" w:lineRule="auto"/>
              <w:jc w:val="both"/>
              <w:rPr>
                <w:rFonts w:ascii="Arial" w:eastAsia="Times New Roman" w:hAnsi="Arial" w:cs="Arial"/>
                <w:b/>
                <w:bCs/>
                <w:sz w:val="20"/>
                <w:szCs w:val="20"/>
                <w:lang w:eastAsia="en-GB"/>
              </w:rPr>
            </w:pPr>
            <w:r w:rsidRPr="004A73C1">
              <w:rPr>
                <w:rFonts w:ascii="Arial" w:eastAsia="Times New Roman" w:hAnsi="Arial" w:cs="Arial"/>
                <w:b/>
                <w:bCs/>
                <w:sz w:val="20"/>
                <w:szCs w:val="20"/>
                <w:lang w:eastAsia="en-GB"/>
              </w:rPr>
              <w:t>Economically active</w:t>
            </w:r>
            <w:r w:rsidRPr="004A73C1">
              <w:rPr>
                <w:rFonts w:ascii="Arial" w:eastAsia="Times New Roman" w:hAnsi="Arial" w:cs="Arial"/>
                <w:b/>
                <w:bCs/>
                <w:sz w:val="20"/>
                <w:szCs w:val="20"/>
                <w:vertAlign w:val="superscript"/>
                <w:lang w:eastAsia="en-GB"/>
              </w:rPr>
              <w:t xml:space="preserve"> 1</w:t>
            </w:r>
          </w:p>
        </w:tc>
        <w:tc>
          <w:tcPr>
            <w:tcW w:w="1880" w:type="dxa"/>
            <w:gridSpan w:val="2"/>
            <w:tcBorders>
              <w:top w:val="single" w:sz="8" w:space="0" w:color="auto"/>
              <w:left w:val="nil"/>
              <w:bottom w:val="single" w:sz="8" w:space="0" w:color="auto"/>
              <w:right w:val="single" w:sz="4" w:space="0" w:color="auto"/>
            </w:tcBorders>
            <w:shd w:val="clear" w:color="auto" w:fill="D0E6F6" w:themeFill="accent6" w:themeFillTint="33"/>
            <w:vAlign w:val="bottom"/>
            <w:hideMark/>
          </w:tcPr>
          <w:p w14:paraId="65189123" w14:textId="77777777" w:rsidR="00E56B8D" w:rsidRPr="004A73C1" w:rsidRDefault="00E56B8D" w:rsidP="00EF2E34">
            <w:pPr>
              <w:spacing w:after="0" w:line="360" w:lineRule="auto"/>
              <w:jc w:val="both"/>
              <w:rPr>
                <w:rFonts w:ascii="Arial" w:eastAsia="Times New Roman" w:hAnsi="Arial" w:cs="Arial"/>
                <w:b/>
                <w:bCs/>
                <w:sz w:val="20"/>
                <w:szCs w:val="20"/>
                <w:lang w:eastAsia="en-GB"/>
              </w:rPr>
            </w:pPr>
            <w:r w:rsidRPr="004A73C1">
              <w:rPr>
                <w:rFonts w:ascii="Arial" w:eastAsia="Times New Roman" w:hAnsi="Arial" w:cs="Arial"/>
                <w:b/>
                <w:bCs/>
                <w:sz w:val="20"/>
                <w:szCs w:val="20"/>
                <w:lang w:eastAsia="en-GB"/>
              </w:rPr>
              <w:t>Employment</w:t>
            </w:r>
          </w:p>
        </w:tc>
        <w:tc>
          <w:tcPr>
            <w:tcW w:w="1807" w:type="dxa"/>
            <w:gridSpan w:val="2"/>
            <w:tcBorders>
              <w:top w:val="single" w:sz="8" w:space="0" w:color="auto"/>
              <w:left w:val="nil"/>
              <w:bottom w:val="single" w:sz="8" w:space="0" w:color="auto"/>
              <w:right w:val="single" w:sz="8" w:space="0" w:color="000000"/>
            </w:tcBorders>
            <w:shd w:val="clear" w:color="auto" w:fill="D0E6F6" w:themeFill="accent6" w:themeFillTint="33"/>
            <w:vAlign w:val="bottom"/>
            <w:hideMark/>
          </w:tcPr>
          <w:p w14:paraId="7A84D031" w14:textId="77777777" w:rsidR="00E56B8D" w:rsidRPr="004A73C1" w:rsidRDefault="00E56B8D" w:rsidP="00EF2E34">
            <w:pPr>
              <w:spacing w:after="0" w:line="360" w:lineRule="auto"/>
              <w:jc w:val="both"/>
              <w:rPr>
                <w:rFonts w:ascii="Arial" w:eastAsia="Times New Roman" w:hAnsi="Arial" w:cs="Arial"/>
                <w:b/>
                <w:bCs/>
                <w:sz w:val="20"/>
                <w:szCs w:val="20"/>
                <w:lang w:eastAsia="en-GB"/>
              </w:rPr>
            </w:pPr>
            <w:r w:rsidRPr="004A73C1">
              <w:rPr>
                <w:rFonts w:ascii="Arial" w:eastAsia="Times New Roman" w:hAnsi="Arial" w:cs="Arial"/>
                <w:b/>
                <w:bCs/>
                <w:sz w:val="20"/>
                <w:szCs w:val="20"/>
                <w:lang w:eastAsia="en-GB"/>
              </w:rPr>
              <w:t>Unemployment</w:t>
            </w:r>
          </w:p>
        </w:tc>
      </w:tr>
      <w:tr w:rsidR="0059145A" w:rsidRPr="004A73C1" w14:paraId="7FC48684" w14:textId="77777777" w:rsidTr="00C75C62">
        <w:trPr>
          <w:trHeight w:val="261"/>
        </w:trPr>
        <w:tc>
          <w:tcPr>
            <w:tcW w:w="3397" w:type="dxa"/>
            <w:vMerge/>
            <w:tcBorders>
              <w:top w:val="single" w:sz="8" w:space="0" w:color="auto"/>
              <w:left w:val="single" w:sz="8" w:space="0" w:color="auto"/>
              <w:bottom w:val="single" w:sz="8" w:space="0" w:color="000000"/>
              <w:right w:val="single" w:sz="8" w:space="0" w:color="auto"/>
            </w:tcBorders>
            <w:shd w:val="clear" w:color="auto" w:fill="D0E6F6" w:themeFill="accent6" w:themeFillTint="33"/>
            <w:vAlign w:val="center"/>
            <w:hideMark/>
          </w:tcPr>
          <w:p w14:paraId="63EE3BD7" w14:textId="77777777" w:rsidR="00E56B8D" w:rsidRPr="004A73C1" w:rsidRDefault="00E56B8D" w:rsidP="00EF2E34">
            <w:pPr>
              <w:spacing w:after="0" w:line="360" w:lineRule="auto"/>
              <w:jc w:val="both"/>
              <w:rPr>
                <w:rFonts w:ascii="Arial" w:eastAsia="Times New Roman" w:hAnsi="Arial" w:cs="Arial"/>
                <w:b/>
                <w:bCs/>
                <w:sz w:val="20"/>
                <w:szCs w:val="20"/>
                <w:lang w:eastAsia="en-GB"/>
              </w:rPr>
            </w:pPr>
          </w:p>
        </w:tc>
        <w:tc>
          <w:tcPr>
            <w:tcW w:w="918" w:type="dxa"/>
            <w:tcBorders>
              <w:top w:val="nil"/>
              <w:left w:val="nil"/>
              <w:bottom w:val="single" w:sz="4" w:space="0" w:color="auto"/>
              <w:right w:val="single" w:sz="4" w:space="0" w:color="auto"/>
            </w:tcBorders>
            <w:shd w:val="clear" w:color="auto" w:fill="D0E6F6" w:themeFill="accent6" w:themeFillTint="33"/>
            <w:vAlign w:val="bottom"/>
            <w:hideMark/>
          </w:tcPr>
          <w:p w14:paraId="457A842B"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Aged 16+</w:t>
            </w:r>
          </w:p>
        </w:tc>
        <w:tc>
          <w:tcPr>
            <w:tcW w:w="1264" w:type="dxa"/>
            <w:tcBorders>
              <w:top w:val="nil"/>
              <w:left w:val="nil"/>
              <w:bottom w:val="single" w:sz="4" w:space="0" w:color="auto"/>
              <w:right w:val="single" w:sz="4" w:space="0" w:color="auto"/>
            </w:tcBorders>
            <w:shd w:val="clear" w:color="auto" w:fill="D0E6F6" w:themeFill="accent6" w:themeFillTint="33"/>
            <w:vAlign w:val="bottom"/>
            <w:hideMark/>
          </w:tcPr>
          <w:p w14:paraId="082D300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Aged 16-64</w:t>
            </w:r>
          </w:p>
        </w:tc>
        <w:tc>
          <w:tcPr>
            <w:tcW w:w="1090" w:type="dxa"/>
            <w:tcBorders>
              <w:top w:val="nil"/>
              <w:left w:val="nil"/>
              <w:bottom w:val="single" w:sz="4" w:space="0" w:color="auto"/>
              <w:right w:val="single" w:sz="4" w:space="0" w:color="auto"/>
            </w:tcBorders>
            <w:shd w:val="clear" w:color="auto" w:fill="D0E6F6" w:themeFill="accent6" w:themeFillTint="33"/>
            <w:vAlign w:val="bottom"/>
            <w:hideMark/>
          </w:tcPr>
          <w:p w14:paraId="48983E2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Aged 16+</w:t>
            </w:r>
          </w:p>
        </w:tc>
        <w:tc>
          <w:tcPr>
            <w:tcW w:w="790" w:type="dxa"/>
            <w:tcBorders>
              <w:top w:val="nil"/>
              <w:left w:val="nil"/>
              <w:bottom w:val="single" w:sz="4" w:space="0" w:color="auto"/>
              <w:right w:val="single" w:sz="4" w:space="0" w:color="auto"/>
            </w:tcBorders>
            <w:shd w:val="clear" w:color="auto" w:fill="D0E6F6" w:themeFill="accent6" w:themeFillTint="33"/>
            <w:vAlign w:val="bottom"/>
            <w:hideMark/>
          </w:tcPr>
          <w:p w14:paraId="1396490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Aged 16-64</w:t>
            </w:r>
          </w:p>
        </w:tc>
        <w:tc>
          <w:tcPr>
            <w:tcW w:w="1093" w:type="dxa"/>
            <w:tcBorders>
              <w:top w:val="nil"/>
              <w:left w:val="nil"/>
              <w:bottom w:val="single" w:sz="4" w:space="0" w:color="auto"/>
              <w:right w:val="single" w:sz="4" w:space="0" w:color="auto"/>
            </w:tcBorders>
            <w:shd w:val="clear" w:color="auto" w:fill="D0E6F6" w:themeFill="accent6" w:themeFillTint="33"/>
            <w:vAlign w:val="bottom"/>
            <w:hideMark/>
          </w:tcPr>
          <w:p w14:paraId="077D1F2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Aged 16+</w:t>
            </w:r>
          </w:p>
        </w:tc>
        <w:tc>
          <w:tcPr>
            <w:tcW w:w="714" w:type="dxa"/>
            <w:tcBorders>
              <w:top w:val="nil"/>
              <w:left w:val="nil"/>
              <w:bottom w:val="single" w:sz="4" w:space="0" w:color="auto"/>
              <w:right w:val="single" w:sz="8" w:space="0" w:color="auto"/>
            </w:tcBorders>
            <w:shd w:val="clear" w:color="auto" w:fill="D0E6F6" w:themeFill="accent6" w:themeFillTint="33"/>
            <w:vAlign w:val="bottom"/>
            <w:hideMark/>
          </w:tcPr>
          <w:p w14:paraId="66204A05"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Aged 16+</w:t>
            </w:r>
          </w:p>
        </w:tc>
      </w:tr>
      <w:tr w:rsidR="0059145A" w:rsidRPr="004A73C1" w14:paraId="31598220" w14:textId="77777777" w:rsidTr="00C75C62">
        <w:trPr>
          <w:trHeight w:val="156"/>
        </w:trPr>
        <w:tc>
          <w:tcPr>
            <w:tcW w:w="3397" w:type="dxa"/>
            <w:vMerge/>
            <w:tcBorders>
              <w:top w:val="single" w:sz="8" w:space="0" w:color="auto"/>
              <w:left w:val="single" w:sz="8" w:space="0" w:color="auto"/>
              <w:bottom w:val="single" w:sz="8" w:space="0" w:color="000000"/>
              <w:right w:val="single" w:sz="8" w:space="0" w:color="auto"/>
            </w:tcBorders>
            <w:shd w:val="clear" w:color="auto" w:fill="D0E6F6" w:themeFill="accent6" w:themeFillTint="33"/>
            <w:vAlign w:val="center"/>
            <w:hideMark/>
          </w:tcPr>
          <w:p w14:paraId="31697AF4" w14:textId="77777777" w:rsidR="00E56B8D" w:rsidRPr="004A73C1" w:rsidRDefault="00E56B8D" w:rsidP="00EF2E34">
            <w:pPr>
              <w:spacing w:after="0" w:line="360" w:lineRule="auto"/>
              <w:jc w:val="both"/>
              <w:rPr>
                <w:rFonts w:ascii="Arial" w:eastAsia="Times New Roman" w:hAnsi="Arial" w:cs="Arial"/>
                <w:b/>
                <w:bCs/>
                <w:sz w:val="20"/>
                <w:szCs w:val="20"/>
                <w:lang w:eastAsia="en-GB"/>
              </w:rPr>
            </w:pPr>
          </w:p>
        </w:tc>
        <w:tc>
          <w:tcPr>
            <w:tcW w:w="918" w:type="dxa"/>
            <w:tcBorders>
              <w:top w:val="nil"/>
              <w:left w:val="nil"/>
              <w:bottom w:val="single" w:sz="8" w:space="0" w:color="auto"/>
              <w:right w:val="single" w:sz="4" w:space="0" w:color="auto"/>
            </w:tcBorders>
            <w:shd w:val="clear" w:color="auto" w:fill="D0E6F6" w:themeFill="accent6" w:themeFillTint="33"/>
            <w:noWrap/>
            <w:vAlign w:val="bottom"/>
            <w:hideMark/>
          </w:tcPr>
          <w:p w14:paraId="369EA60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Level</w:t>
            </w:r>
          </w:p>
        </w:tc>
        <w:tc>
          <w:tcPr>
            <w:tcW w:w="1264" w:type="dxa"/>
            <w:tcBorders>
              <w:top w:val="nil"/>
              <w:left w:val="nil"/>
              <w:bottom w:val="single" w:sz="8" w:space="0" w:color="auto"/>
              <w:right w:val="single" w:sz="4" w:space="0" w:color="auto"/>
            </w:tcBorders>
            <w:shd w:val="clear" w:color="auto" w:fill="D0E6F6" w:themeFill="accent6" w:themeFillTint="33"/>
            <w:noWrap/>
            <w:vAlign w:val="bottom"/>
            <w:hideMark/>
          </w:tcPr>
          <w:p w14:paraId="7F533326"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Rate (%)</w:t>
            </w:r>
            <w:r w:rsidRPr="004A73C1">
              <w:rPr>
                <w:rFonts w:ascii="Arial" w:eastAsia="Times New Roman" w:hAnsi="Arial" w:cs="Arial"/>
                <w:sz w:val="20"/>
                <w:szCs w:val="20"/>
                <w:vertAlign w:val="superscript"/>
                <w:lang w:eastAsia="en-GB"/>
              </w:rPr>
              <w:t>2</w:t>
            </w:r>
          </w:p>
        </w:tc>
        <w:tc>
          <w:tcPr>
            <w:tcW w:w="1090" w:type="dxa"/>
            <w:tcBorders>
              <w:top w:val="nil"/>
              <w:left w:val="nil"/>
              <w:bottom w:val="single" w:sz="8" w:space="0" w:color="auto"/>
              <w:right w:val="single" w:sz="4" w:space="0" w:color="auto"/>
            </w:tcBorders>
            <w:shd w:val="clear" w:color="auto" w:fill="D0E6F6" w:themeFill="accent6" w:themeFillTint="33"/>
            <w:noWrap/>
            <w:vAlign w:val="bottom"/>
            <w:hideMark/>
          </w:tcPr>
          <w:p w14:paraId="35DE414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Level</w:t>
            </w:r>
          </w:p>
        </w:tc>
        <w:tc>
          <w:tcPr>
            <w:tcW w:w="790" w:type="dxa"/>
            <w:tcBorders>
              <w:top w:val="nil"/>
              <w:left w:val="nil"/>
              <w:bottom w:val="single" w:sz="8" w:space="0" w:color="auto"/>
              <w:right w:val="single" w:sz="4" w:space="0" w:color="auto"/>
            </w:tcBorders>
            <w:shd w:val="clear" w:color="auto" w:fill="D0E6F6" w:themeFill="accent6" w:themeFillTint="33"/>
            <w:noWrap/>
            <w:vAlign w:val="bottom"/>
            <w:hideMark/>
          </w:tcPr>
          <w:p w14:paraId="2A7A054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Rate (%)</w:t>
            </w:r>
            <w:r w:rsidRPr="004A73C1">
              <w:rPr>
                <w:rFonts w:ascii="Arial" w:eastAsia="Times New Roman" w:hAnsi="Arial" w:cs="Arial"/>
                <w:sz w:val="20"/>
                <w:szCs w:val="20"/>
                <w:vertAlign w:val="superscript"/>
                <w:lang w:eastAsia="en-GB"/>
              </w:rPr>
              <w:t>2</w:t>
            </w:r>
          </w:p>
        </w:tc>
        <w:tc>
          <w:tcPr>
            <w:tcW w:w="1093" w:type="dxa"/>
            <w:tcBorders>
              <w:top w:val="nil"/>
              <w:left w:val="nil"/>
              <w:bottom w:val="single" w:sz="8" w:space="0" w:color="auto"/>
              <w:right w:val="single" w:sz="4" w:space="0" w:color="auto"/>
            </w:tcBorders>
            <w:shd w:val="clear" w:color="auto" w:fill="D0E6F6" w:themeFill="accent6" w:themeFillTint="33"/>
            <w:noWrap/>
            <w:vAlign w:val="bottom"/>
            <w:hideMark/>
          </w:tcPr>
          <w:p w14:paraId="2628294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Level</w:t>
            </w:r>
          </w:p>
        </w:tc>
        <w:tc>
          <w:tcPr>
            <w:tcW w:w="714" w:type="dxa"/>
            <w:tcBorders>
              <w:top w:val="nil"/>
              <w:left w:val="nil"/>
              <w:bottom w:val="single" w:sz="8" w:space="0" w:color="auto"/>
              <w:right w:val="single" w:sz="8" w:space="0" w:color="auto"/>
            </w:tcBorders>
            <w:shd w:val="clear" w:color="auto" w:fill="D0E6F6" w:themeFill="accent6" w:themeFillTint="33"/>
            <w:noWrap/>
            <w:vAlign w:val="bottom"/>
            <w:hideMark/>
          </w:tcPr>
          <w:p w14:paraId="6DC4C8D5"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Rate (%)</w:t>
            </w:r>
            <w:r w:rsidRPr="004A73C1">
              <w:rPr>
                <w:rFonts w:ascii="Arial" w:eastAsia="Times New Roman" w:hAnsi="Arial" w:cs="Arial"/>
                <w:sz w:val="20"/>
                <w:szCs w:val="20"/>
                <w:vertAlign w:val="superscript"/>
                <w:lang w:eastAsia="en-GB"/>
              </w:rPr>
              <w:t>3</w:t>
            </w:r>
          </w:p>
        </w:tc>
      </w:tr>
      <w:tr w:rsidR="0059145A" w:rsidRPr="004A73C1" w14:paraId="4F458015"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51E1CB15"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5E38CD1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44205A0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282B59C6"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221FCB7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38CE239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573960D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w:t>
            </w:r>
          </w:p>
        </w:tc>
      </w:tr>
      <w:tr w:rsidR="0059145A" w:rsidRPr="004A73C1" w14:paraId="680FF419" w14:textId="77777777" w:rsidTr="00C75C62">
        <w:trPr>
          <w:trHeight w:val="149"/>
        </w:trPr>
        <w:tc>
          <w:tcPr>
            <w:tcW w:w="3397" w:type="dxa"/>
            <w:tcBorders>
              <w:top w:val="nil"/>
              <w:left w:val="single" w:sz="8" w:space="0" w:color="auto"/>
              <w:bottom w:val="nil"/>
              <w:right w:val="nil"/>
            </w:tcBorders>
            <w:shd w:val="clear" w:color="auto" w:fill="D0E6F6" w:themeFill="accent6" w:themeFillTint="33"/>
            <w:vAlign w:val="bottom"/>
            <w:hideMark/>
          </w:tcPr>
          <w:p w14:paraId="384F8D4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United Kingdom</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5EEAD878"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34,527</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727F55F9"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77.9</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1A121E4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32,999</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441F739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74.4</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05A12DE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1,528</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136A176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4.4</w:t>
            </w:r>
          </w:p>
        </w:tc>
      </w:tr>
      <w:tr w:rsidR="0059145A" w:rsidRPr="004A73C1" w14:paraId="4D8D1A7A"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471459B2"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Great Britain</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72C1C9B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33,637</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0F65743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78.0</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42271A26"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32,127</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7122ECE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74.5</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63E8717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1,510</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675546E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4.5</w:t>
            </w:r>
          </w:p>
        </w:tc>
      </w:tr>
      <w:tr w:rsidR="0059145A" w:rsidRPr="004A73C1" w14:paraId="1C16A1ED"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393D940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England</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0A63FAD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29,449</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389A5249"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78.5</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1353880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28,122</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0695147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74.9</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203DB52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1,326</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7A5B4FF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4.5</w:t>
            </w:r>
          </w:p>
        </w:tc>
      </w:tr>
      <w:tr w:rsidR="0059145A" w:rsidRPr="004A73C1" w14:paraId="65F23801"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2B4EBEC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w:t>
            </w:r>
            <w:proofErr w:type="gramStart"/>
            <w:r w:rsidRPr="004A73C1">
              <w:rPr>
                <w:rFonts w:ascii="Arial" w:eastAsia="Times New Roman" w:hAnsi="Arial" w:cs="Arial"/>
                <w:sz w:val="20"/>
                <w:szCs w:val="20"/>
                <w:lang w:eastAsia="en-GB"/>
              </w:rPr>
              <w:t>North East</w:t>
            </w:r>
            <w:proofErr w:type="gramEnd"/>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06F92B7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1,249</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20061C6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72.5</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257D360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1,189</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4F8F49E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69.0</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4712A05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60</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309F2F9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4.8</w:t>
            </w:r>
          </w:p>
        </w:tc>
      </w:tr>
      <w:tr w:rsidR="0059145A" w:rsidRPr="004A73C1" w14:paraId="7C3F2B92" w14:textId="77777777" w:rsidTr="00C75C62">
        <w:trPr>
          <w:trHeight w:val="149"/>
        </w:trPr>
        <w:tc>
          <w:tcPr>
            <w:tcW w:w="3397" w:type="dxa"/>
            <w:tcBorders>
              <w:top w:val="nil"/>
              <w:left w:val="single" w:sz="8" w:space="0" w:color="auto"/>
              <w:bottom w:val="nil"/>
              <w:right w:val="nil"/>
            </w:tcBorders>
            <w:shd w:val="clear" w:color="auto" w:fill="D0E6F6" w:themeFill="accent6" w:themeFillTint="33"/>
            <w:vAlign w:val="bottom"/>
            <w:hideMark/>
          </w:tcPr>
          <w:p w14:paraId="185B7162"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w:t>
            </w:r>
            <w:proofErr w:type="gramStart"/>
            <w:r w:rsidRPr="004A73C1">
              <w:rPr>
                <w:rFonts w:ascii="Arial" w:eastAsia="Times New Roman" w:hAnsi="Arial" w:cs="Arial"/>
                <w:sz w:val="20"/>
                <w:szCs w:val="20"/>
                <w:lang w:eastAsia="en-GB"/>
              </w:rPr>
              <w:t>North West</w:t>
            </w:r>
            <w:proofErr w:type="gramEnd"/>
            <w:r w:rsidRPr="004A73C1">
              <w:rPr>
                <w:rFonts w:ascii="Arial" w:eastAsia="Times New Roman" w:hAnsi="Arial" w:cs="Arial"/>
                <w:sz w:val="20"/>
                <w:szCs w:val="20"/>
                <w:lang w:eastAsia="en-GB"/>
              </w:rPr>
              <w:t xml:space="preserve"> </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0719691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3,724</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74E22CF6"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76.3</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23E3D8B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3,544</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76FEE92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72.6</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2C429DB6"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180</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12A9196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4.8</w:t>
            </w:r>
          </w:p>
        </w:tc>
      </w:tr>
      <w:tr w:rsidR="0059145A" w:rsidRPr="004A73C1" w14:paraId="1AD14972" w14:textId="77777777" w:rsidTr="00C75C62">
        <w:trPr>
          <w:trHeight w:val="149"/>
        </w:trPr>
        <w:tc>
          <w:tcPr>
            <w:tcW w:w="3397" w:type="dxa"/>
            <w:tcBorders>
              <w:top w:val="nil"/>
              <w:left w:val="single" w:sz="8" w:space="0" w:color="auto"/>
              <w:bottom w:val="nil"/>
              <w:right w:val="nil"/>
            </w:tcBorders>
            <w:shd w:val="clear" w:color="auto" w:fill="D0E6F6" w:themeFill="accent6" w:themeFillTint="33"/>
            <w:vAlign w:val="bottom"/>
            <w:hideMark/>
          </w:tcPr>
          <w:p w14:paraId="1E778CFB"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Yorkshire and The Humber</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6B684648"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2,699</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1A5D34D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75.2</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04C0D92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2,603</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7558483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72.5</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56D87BD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95</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4A14CB8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3.5</w:t>
            </w:r>
          </w:p>
        </w:tc>
      </w:tr>
      <w:tr w:rsidR="0059145A" w:rsidRPr="004A73C1" w14:paraId="610245FF"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69FB6BD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East Midlands</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6D65C1C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2,545</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73C77D2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80.1</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4719323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2,403</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2CA90562"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75.6</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6B40556B"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142</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1E19DB64"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5.6</w:t>
            </w:r>
          </w:p>
        </w:tc>
      </w:tr>
      <w:tr w:rsidR="0059145A" w:rsidRPr="004A73C1" w14:paraId="3FE92071"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2F442A18"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West Midlands</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650FA81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3,014</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24B1791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77.3</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477F3A4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2,857</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76EC78BB"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73.2</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68E0993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156</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0B61BF0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5.2</w:t>
            </w:r>
          </w:p>
        </w:tc>
      </w:tr>
      <w:tr w:rsidR="0059145A" w:rsidRPr="004A73C1" w14:paraId="1A12C014"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6D8E66C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East</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0B0A482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3,249</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247DA71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78.6</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0380621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3,120</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6F40F249"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75.5</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299BCF1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129</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596530E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4.0</w:t>
            </w:r>
          </w:p>
        </w:tc>
      </w:tr>
      <w:tr w:rsidR="0059145A" w:rsidRPr="004A73C1" w14:paraId="3EEEB7C4"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5C5F79C9"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London</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55CFE88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5,032</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2418CBC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79.0</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664E5C5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4,773</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673A828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74.8</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4AAD481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259</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74B42B5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5.1</w:t>
            </w:r>
          </w:p>
        </w:tc>
      </w:tr>
      <w:tr w:rsidR="0059145A" w:rsidRPr="004A73C1" w14:paraId="68E534D6"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670C9F0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w:t>
            </w:r>
            <w:proofErr w:type="gramStart"/>
            <w:r w:rsidRPr="004A73C1">
              <w:rPr>
                <w:rFonts w:ascii="Arial" w:eastAsia="Times New Roman" w:hAnsi="Arial" w:cs="Arial"/>
                <w:sz w:val="20"/>
                <w:szCs w:val="20"/>
                <w:lang w:eastAsia="en-GB"/>
              </w:rPr>
              <w:t>South East</w:t>
            </w:r>
            <w:proofErr w:type="gramEnd"/>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6A3EFFE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4,958</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0DEB372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81.6</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13AE9F0B"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4,766</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2D18295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78.4</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12F7896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192</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3D5E621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3.9</w:t>
            </w:r>
          </w:p>
        </w:tc>
      </w:tr>
      <w:tr w:rsidR="0059145A" w:rsidRPr="004A73C1" w14:paraId="334BFE69"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3C28EFF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 xml:space="preserve">     </w:t>
            </w:r>
            <w:proofErr w:type="gramStart"/>
            <w:r w:rsidRPr="004A73C1">
              <w:rPr>
                <w:rFonts w:ascii="Arial" w:eastAsia="Times New Roman" w:hAnsi="Arial" w:cs="Arial"/>
                <w:sz w:val="20"/>
                <w:szCs w:val="20"/>
                <w:lang w:eastAsia="en-GB"/>
              </w:rPr>
              <w:t>South West</w:t>
            </w:r>
            <w:proofErr w:type="gramEnd"/>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098A20F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2,978</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131E3AA2"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81.3</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09BC091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2,866</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0DB629C0"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78.2</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206C7588"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113</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7BE5A085"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3.8</w:t>
            </w:r>
          </w:p>
        </w:tc>
      </w:tr>
      <w:tr w:rsidR="0059145A" w:rsidRPr="004A73C1" w14:paraId="0E581F8A"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056BD1C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Wales</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145C35C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1,438</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3089109B"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71.3</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154ECBF3"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1,387</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0AF2E14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68.7</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22B8220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50</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0CFE2EDA"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3.5</w:t>
            </w:r>
          </w:p>
        </w:tc>
      </w:tr>
      <w:tr w:rsidR="0059145A" w:rsidRPr="004A73C1" w14:paraId="154B0D49" w14:textId="77777777" w:rsidTr="00C75C62">
        <w:trPr>
          <w:trHeight w:val="149"/>
        </w:trPr>
        <w:tc>
          <w:tcPr>
            <w:tcW w:w="3397" w:type="dxa"/>
            <w:tcBorders>
              <w:top w:val="nil"/>
              <w:left w:val="single" w:sz="8" w:space="0" w:color="auto"/>
              <w:bottom w:val="nil"/>
              <w:right w:val="nil"/>
            </w:tcBorders>
            <w:shd w:val="clear" w:color="auto" w:fill="D0E6F6" w:themeFill="accent6" w:themeFillTint="33"/>
            <w:noWrap/>
            <w:vAlign w:val="bottom"/>
            <w:hideMark/>
          </w:tcPr>
          <w:p w14:paraId="65BEA96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Scotland</w:t>
            </w:r>
          </w:p>
        </w:tc>
        <w:tc>
          <w:tcPr>
            <w:tcW w:w="918" w:type="dxa"/>
            <w:tcBorders>
              <w:top w:val="nil"/>
              <w:left w:val="single" w:sz="4" w:space="0" w:color="auto"/>
              <w:bottom w:val="single" w:sz="4" w:space="0" w:color="auto"/>
              <w:right w:val="single" w:sz="4" w:space="0" w:color="auto"/>
            </w:tcBorders>
            <w:shd w:val="clear" w:color="auto" w:fill="D0E6F6" w:themeFill="accent6" w:themeFillTint="33"/>
            <w:noWrap/>
            <w:vAlign w:val="bottom"/>
            <w:hideMark/>
          </w:tcPr>
          <w:p w14:paraId="5E75BE1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2,750</w:t>
            </w:r>
          </w:p>
        </w:tc>
        <w:tc>
          <w:tcPr>
            <w:tcW w:w="1264" w:type="dxa"/>
            <w:tcBorders>
              <w:top w:val="nil"/>
              <w:left w:val="nil"/>
              <w:bottom w:val="single" w:sz="4" w:space="0" w:color="auto"/>
              <w:right w:val="single" w:sz="4" w:space="0" w:color="auto"/>
            </w:tcBorders>
            <w:shd w:val="clear" w:color="auto" w:fill="D0E6F6" w:themeFill="accent6" w:themeFillTint="33"/>
            <w:noWrap/>
            <w:vAlign w:val="bottom"/>
            <w:hideMark/>
          </w:tcPr>
          <w:p w14:paraId="6609705C"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76.7</w:t>
            </w:r>
          </w:p>
        </w:tc>
        <w:tc>
          <w:tcPr>
            <w:tcW w:w="1090" w:type="dxa"/>
            <w:tcBorders>
              <w:top w:val="nil"/>
              <w:left w:val="nil"/>
              <w:bottom w:val="single" w:sz="4" w:space="0" w:color="auto"/>
              <w:right w:val="single" w:sz="4" w:space="0" w:color="auto"/>
            </w:tcBorders>
            <w:shd w:val="clear" w:color="auto" w:fill="D0E6F6" w:themeFill="accent6" w:themeFillTint="33"/>
            <w:noWrap/>
            <w:vAlign w:val="bottom"/>
            <w:hideMark/>
          </w:tcPr>
          <w:p w14:paraId="13285FA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2,617</w:t>
            </w:r>
          </w:p>
        </w:tc>
        <w:tc>
          <w:tcPr>
            <w:tcW w:w="790" w:type="dxa"/>
            <w:tcBorders>
              <w:top w:val="nil"/>
              <w:left w:val="nil"/>
              <w:bottom w:val="single" w:sz="4" w:space="0" w:color="auto"/>
              <w:right w:val="single" w:sz="4" w:space="0" w:color="auto"/>
            </w:tcBorders>
            <w:shd w:val="clear" w:color="auto" w:fill="D0E6F6" w:themeFill="accent6" w:themeFillTint="33"/>
            <w:noWrap/>
            <w:vAlign w:val="bottom"/>
            <w:hideMark/>
          </w:tcPr>
          <w:p w14:paraId="0EE94DA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72.9</w:t>
            </w:r>
          </w:p>
        </w:tc>
        <w:tc>
          <w:tcPr>
            <w:tcW w:w="1093" w:type="dxa"/>
            <w:tcBorders>
              <w:top w:val="nil"/>
              <w:left w:val="nil"/>
              <w:bottom w:val="single" w:sz="4" w:space="0" w:color="auto"/>
              <w:right w:val="single" w:sz="4" w:space="0" w:color="auto"/>
            </w:tcBorders>
            <w:shd w:val="clear" w:color="auto" w:fill="D0E6F6" w:themeFill="accent6" w:themeFillTint="33"/>
            <w:noWrap/>
            <w:vAlign w:val="bottom"/>
            <w:hideMark/>
          </w:tcPr>
          <w:p w14:paraId="2755A371"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133</w:t>
            </w:r>
          </w:p>
        </w:tc>
        <w:tc>
          <w:tcPr>
            <w:tcW w:w="714" w:type="dxa"/>
            <w:tcBorders>
              <w:top w:val="nil"/>
              <w:left w:val="nil"/>
              <w:bottom w:val="single" w:sz="4" w:space="0" w:color="auto"/>
              <w:right w:val="single" w:sz="8" w:space="0" w:color="auto"/>
            </w:tcBorders>
            <w:shd w:val="clear" w:color="auto" w:fill="D0E6F6" w:themeFill="accent6" w:themeFillTint="33"/>
            <w:noWrap/>
            <w:vAlign w:val="bottom"/>
            <w:hideMark/>
          </w:tcPr>
          <w:p w14:paraId="1B6BE55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4.9</w:t>
            </w:r>
          </w:p>
        </w:tc>
      </w:tr>
      <w:tr w:rsidR="0059145A" w:rsidRPr="004A73C1" w14:paraId="5A716C85" w14:textId="77777777" w:rsidTr="00C75C62">
        <w:trPr>
          <w:trHeight w:val="156"/>
        </w:trPr>
        <w:tc>
          <w:tcPr>
            <w:tcW w:w="3397" w:type="dxa"/>
            <w:tcBorders>
              <w:top w:val="nil"/>
              <w:left w:val="single" w:sz="8" w:space="0" w:color="auto"/>
              <w:bottom w:val="single" w:sz="8" w:space="0" w:color="auto"/>
              <w:right w:val="nil"/>
            </w:tcBorders>
            <w:shd w:val="clear" w:color="auto" w:fill="D0E6F6" w:themeFill="accent6" w:themeFillTint="33"/>
            <w:noWrap/>
            <w:vAlign w:val="bottom"/>
            <w:hideMark/>
          </w:tcPr>
          <w:p w14:paraId="7B495D97"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Northern Ireland</w:t>
            </w:r>
            <w:r w:rsidRPr="004A73C1">
              <w:rPr>
                <w:rFonts w:ascii="Arial" w:eastAsia="Times New Roman" w:hAnsi="Arial" w:cs="Arial"/>
                <w:sz w:val="20"/>
                <w:szCs w:val="20"/>
                <w:vertAlign w:val="superscript"/>
                <w:lang w:eastAsia="en-GB"/>
              </w:rPr>
              <w:t xml:space="preserve"> </w:t>
            </w:r>
          </w:p>
        </w:tc>
        <w:tc>
          <w:tcPr>
            <w:tcW w:w="918" w:type="dxa"/>
            <w:tcBorders>
              <w:top w:val="nil"/>
              <w:left w:val="single" w:sz="4" w:space="0" w:color="auto"/>
              <w:bottom w:val="single" w:sz="8" w:space="0" w:color="auto"/>
              <w:right w:val="single" w:sz="4" w:space="0" w:color="auto"/>
            </w:tcBorders>
            <w:shd w:val="clear" w:color="auto" w:fill="D0E6F6" w:themeFill="accent6" w:themeFillTint="33"/>
            <w:noWrap/>
            <w:vAlign w:val="bottom"/>
            <w:hideMark/>
          </w:tcPr>
          <w:p w14:paraId="48987346"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890</w:t>
            </w:r>
          </w:p>
        </w:tc>
        <w:tc>
          <w:tcPr>
            <w:tcW w:w="1264" w:type="dxa"/>
            <w:tcBorders>
              <w:top w:val="nil"/>
              <w:left w:val="nil"/>
              <w:bottom w:val="single" w:sz="8" w:space="0" w:color="auto"/>
              <w:right w:val="single" w:sz="4" w:space="0" w:color="auto"/>
            </w:tcBorders>
            <w:shd w:val="clear" w:color="auto" w:fill="D0E6F6" w:themeFill="accent6" w:themeFillTint="33"/>
            <w:noWrap/>
            <w:vAlign w:val="bottom"/>
            <w:hideMark/>
          </w:tcPr>
          <w:p w14:paraId="1B8B235E"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72.6</w:t>
            </w:r>
          </w:p>
        </w:tc>
        <w:tc>
          <w:tcPr>
            <w:tcW w:w="1090" w:type="dxa"/>
            <w:tcBorders>
              <w:top w:val="nil"/>
              <w:left w:val="nil"/>
              <w:bottom w:val="single" w:sz="8" w:space="0" w:color="auto"/>
              <w:right w:val="single" w:sz="4" w:space="0" w:color="auto"/>
            </w:tcBorders>
            <w:shd w:val="clear" w:color="auto" w:fill="D0E6F6" w:themeFill="accent6" w:themeFillTint="33"/>
            <w:noWrap/>
            <w:vAlign w:val="bottom"/>
            <w:hideMark/>
          </w:tcPr>
          <w:p w14:paraId="43D885F2"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872</w:t>
            </w:r>
          </w:p>
        </w:tc>
        <w:tc>
          <w:tcPr>
            <w:tcW w:w="790" w:type="dxa"/>
            <w:tcBorders>
              <w:top w:val="nil"/>
              <w:left w:val="nil"/>
              <w:bottom w:val="single" w:sz="8" w:space="0" w:color="auto"/>
              <w:right w:val="single" w:sz="4" w:space="0" w:color="auto"/>
            </w:tcBorders>
            <w:shd w:val="clear" w:color="auto" w:fill="D0E6F6" w:themeFill="accent6" w:themeFillTint="33"/>
            <w:noWrap/>
            <w:vAlign w:val="bottom"/>
            <w:hideMark/>
          </w:tcPr>
          <w:p w14:paraId="6497629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71.1</w:t>
            </w:r>
          </w:p>
        </w:tc>
        <w:tc>
          <w:tcPr>
            <w:tcW w:w="1093" w:type="dxa"/>
            <w:tcBorders>
              <w:top w:val="nil"/>
              <w:left w:val="nil"/>
              <w:bottom w:val="single" w:sz="8" w:space="0" w:color="auto"/>
              <w:right w:val="single" w:sz="4" w:space="0" w:color="auto"/>
            </w:tcBorders>
            <w:shd w:val="clear" w:color="auto" w:fill="D0E6F6" w:themeFill="accent6" w:themeFillTint="33"/>
            <w:noWrap/>
            <w:vAlign w:val="bottom"/>
            <w:hideMark/>
          </w:tcPr>
          <w:p w14:paraId="1EAF08BD"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18</w:t>
            </w:r>
          </w:p>
        </w:tc>
        <w:tc>
          <w:tcPr>
            <w:tcW w:w="714" w:type="dxa"/>
            <w:tcBorders>
              <w:top w:val="nil"/>
              <w:left w:val="nil"/>
              <w:bottom w:val="single" w:sz="8" w:space="0" w:color="auto"/>
              <w:right w:val="single" w:sz="8" w:space="0" w:color="auto"/>
            </w:tcBorders>
            <w:shd w:val="clear" w:color="auto" w:fill="D0E6F6" w:themeFill="accent6" w:themeFillTint="33"/>
            <w:noWrap/>
            <w:vAlign w:val="bottom"/>
            <w:hideMark/>
          </w:tcPr>
          <w:p w14:paraId="3BEEFD1F" w14:textId="77777777" w:rsidR="00E56B8D" w:rsidRPr="004A73C1" w:rsidRDefault="00E56B8D" w:rsidP="00EF2E34">
            <w:pPr>
              <w:spacing w:after="0" w:line="360" w:lineRule="auto"/>
              <w:jc w:val="both"/>
              <w:rPr>
                <w:rFonts w:ascii="Arial" w:eastAsia="Times New Roman" w:hAnsi="Arial" w:cs="Arial"/>
                <w:sz w:val="20"/>
                <w:szCs w:val="20"/>
                <w:lang w:eastAsia="en-GB"/>
              </w:rPr>
            </w:pPr>
            <w:r w:rsidRPr="004A73C1">
              <w:rPr>
                <w:rFonts w:ascii="Arial" w:eastAsia="Times New Roman" w:hAnsi="Arial" w:cs="Arial"/>
                <w:sz w:val="20"/>
                <w:szCs w:val="20"/>
                <w:lang w:eastAsia="en-GB"/>
              </w:rPr>
              <w:t>2.0</w:t>
            </w:r>
          </w:p>
        </w:tc>
      </w:tr>
    </w:tbl>
    <w:p w14:paraId="790908A5" w14:textId="5CF31520" w:rsidR="00831FB7" w:rsidRPr="004A73C1" w:rsidRDefault="00740D35" w:rsidP="00EF2E34">
      <w:pPr>
        <w:spacing w:line="360" w:lineRule="auto"/>
        <w:jc w:val="both"/>
        <w:rPr>
          <w:rFonts w:ascii="Arial" w:hAnsi="Arial" w:cs="Arial"/>
          <w:color w:val="000000"/>
          <w:shd w:val="clear" w:color="auto" w:fill="FFFFFF"/>
        </w:rPr>
      </w:pPr>
      <w:r w:rsidRPr="004A73C1">
        <w:rPr>
          <w:rFonts w:ascii="Arial" w:hAnsi="Arial" w:cs="Arial"/>
        </w:rPr>
        <w:t xml:space="preserve">Figure </w:t>
      </w:r>
      <w:r w:rsidR="00C75C62" w:rsidRPr="004A73C1">
        <w:rPr>
          <w:rFonts w:ascii="Arial" w:hAnsi="Arial" w:cs="Arial"/>
        </w:rPr>
        <w:t>30</w:t>
      </w:r>
      <w:r w:rsidR="00F90E4F" w:rsidRPr="004A73C1">
        <w:rPr>
          <w:rFonts w:ascii="Arial" w:hAnsi="Arial" w:cs="Arial"/>
        </w:rPr>
        <w:t xml:space="preserve"> </w:t>
      </w:r>
      <w:r w:rsidR="00F90E4F" w:rsidRPr="004A73C1">
        <w:rPr>
          <w:rFonts w:ascii="Arial" w:hAnsi="Arial" w:cs="Arial"/>
        </w:rPr>
        <w:tab/>
      </w:r>
      <w:r w:rsidR="00F90E4F" w:rsidRPr="004A73C1">
        <w:rPr>
          <w:rFonts w:ascii="Arial" w:hAnsi="Arial" w:cs="Arial"/>
        </w:rPr>
        <w:tab/>
      </w:r>
      <w:r w:rsidR="00915B3A" w:rsidRPr="004A73C1">
        <w:rPr>
          <w:rFonts w:ascii="Arial" w:hAnsi="Arial" w:cs="Arial"/>
          <w:color w:val="000000"/>
          <w:shd w:val="clear" w:color="auto" w:fill="FFFFFF"/>
        </w:rPr>
        <w:t>Source- Gov.UK</w:t>
      </w:r>
    </w:p>
    <w:p w14:paraId="45EFB1EE" w14:textId="77777777" w:rsidR="000F1DEE" w:rsidRPr="004A73C1" w:rsidRDefault="000F1DEE" w:rsidP="00EF2E34">
      <w:pPr>
        <w:spacing w:line="360" w:lineRule="auto"/>
        <w:jc w:val="both"/>
        <w:rPr>
          <w:rFonts w:ascii="Arial" w:hAnsi="Arial" w:cs="Arial"/>
          <w:color w:val="000000"/>
          <w:shd w:val="clear" w:color="auto" w:fill="FFFFFF"/>
        </w:rPr>
      </w:pPr>
    </w:p>
    <w:p w14:paraId="4F897DD3" w14:textId="04FDBF1F"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According to the available data (source, World Bank), the UK unemployment rate is 4.4%. Compared to some other countries, the unemployment rates are as follows:</w:t>
      </w:r>
    </w:p>
    <w:p w14:paraId="68ACDA4C"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Ukraine: 4.4%</w:t>
      </w:r>
    </w:p>
    <w:p w14:paraId="4A3F7CDC"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Turkey: 10.3%</w:t>
      </w:r>
    </w:p>
    <w:p w14:paraId="00A5E94E"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Russia: 4.7%</w:t>
      </w:r>
    </w:p>
    <w:p w14:paraId="77F3FF98"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lastRenderedPageBreak/>
        <w:t>- Spain: 15.3%</w:t>
      </w:r>
    </w:p>
    <w:p w14:paraId="66A15524"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France: 8.0%</w:t>
      </w:r>
    </w:p>
    <w:p w14:paraId="564C333F"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Italy: 9.7%</w:t>
      </w:r>
    </w:p>
    <w:p w14:paraId="4456EAAD"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Romania: 3.6%</w:t>
      </w:r>
    </w:p>
    <w:p w14:paraId="5575D32D"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Poland: 6.3%</w:t>
      </w:r>
    </w:p>
    <w:p w14:paraId="24334781"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Belgium: 5.5%</w:t>
      </w:r>
    </w:p>
    <w:p w14:paraId="5E4AF7C1"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Germany: 5.9%</w:t>
      </w:r>
    </w:p>
    <w:p w14:paraId="7D0F836C"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Denmark: 4.2%</w:t>
      </w:r>
    </w:p>
    <w:p w14:paraId="5731BE0B" w14:textId="77777777" w:rsidR="000F1DEE" w:rsidRPr="004A73C1" w:rsidRDefault="000F1DEE" w:rsidP="00EF2E34">
      <w:pPr>
        <w:spacing w:line="360" w:lineRule="auto"/>
        <w:jc w:val="both"/>
        <w:rPr>
          <w:rFonts w:ascii="Arial" w:hAnsi="Arial" w:cs="Arial"/>
          <w:color w:val="000000"/>
          <w:shd w:val="clear" w:color="auto" w:fill="FFFFFF"/>
          <w:lang w:val="de-DE"/>
        </w:rPr>
      </w:pPr>
      <w:r w:rsidRPr="004A73C1">
        <w:rPr>
          <w:rFonts w:ascii="Arial" w:hAnsi="Arial" w:cs="Arial"/>
          <w:color w:val="000000"/>
          <w:shd w:val="clear" w:color="auto" w:fill="FFFFFF"/>
          <w:lang w:val="de-DE"/>
        </w:rPr>
        <w:t>- Ireland: 4.6%</w:t>
      </w:r>
    </w:p>
    <w:p w14:paraId="2A5496EC" w14:textId="77777777" w:rsidR="000F1DEE" w:rsidRPr="004A73C1" w:rsidRDefault="000F1DEE" w:rsidP="00EF2E34">
      <w:pPr>
        <w:spacing w:line="360" w:lineRule="auto"/>
        <w:jc w:val="both"/>
        <w:rPr>
          <w:rFonts w:ascii="Arial" w:hAnsi="Arial" w:cs="Arial"/>
          <w:color w:val="000000"/>
          <w:shd w:val="clear" w:color="auto" w:fill="FFFFFF"/>
          <w:lang w:val="de-DE"/>
        </w:rPr>
      </w:pPr>
      <w:r w:rsidRPr="004A73C1">
        <w:rPr>
          <w:rFonts w:ascii="Arial" w:hAnsi="Arial" w:cs="Arial"/>
          <w:color w:val="000000"/>
          <w:shd w:val="clear" w:color="auto" w:fill="FFFFFF"/>
          <w:lang w:val="de-DE"/>
        </w:rPr>
        <w:t>- Finland: 7.7%</w:t>
      </w:r>
    </w:p>
    <w:p w14:paraId="0A2E96EE" w14:textId="77777777" w:rsidR="000F1DEE" w:rsidRPr="004A73C1" w:rsidRDefault="000F1DEE" w:rsidP="00EF2E34">
      <w:pPr>
        <w:spacing w:line="360" w:lineRule="auto"/>
        <w:jc w:val="both"/>
        <w:rPr>
          <w:rFonts w:ascii="Arial" w:hAnsi="Arial" w:cs="Arial"/>
          <w:color w:val="000000"/>
          <w:shd w:val="clear" w:color="auto" w:fill="FFFFFF"/>
          <w:lang w:val="de-DE"/>
        </w:rPr>
      </w:pPr>
      <w:r w:rsidRPr="004A73C1">
        <w:rPr>
          <w:rFonts w:ascii="Arial" w:hAnsi="Arial" w:cs="Arial"/>
          <w:color w:val="000000"/>
          <w:shd w:val="clear" w:color="auto" w:fill="FFFFFF"/>
          <w:lang w:val="de-DE"/>
        </w:rPr>
        <w:t>- Sweden: 8.9%</w:t>
      </w:r>
    </w:p>
    <w:p w14:paraId="3860EEF8" w14:textId="77777777" w:rsidR="000F1DEE" w:rsidRPr="004A73C1" w:rsidRDefault="000F1DEE" w:rsidP="00EF2E34">
      <w:pPr>
        <w:spacing w:line="360" w:lineRule="auto"/>
        <w:jc w:val="both"/>
        <w:rPr>
          <w:rFonts w:ascii="Arial" w:hAnsi="Arial" w:cs="Arial"/>
          <w:color w:val="000000"/>
          <w:shd w:val="clear" w:color="auto" w:fill="FFFFFF"/>
          <w:lang w:val="de-DE"/>
        </w:rPr>
      </w:pPr>
      <w:r w:rsidRPr="004A73C1">
        <w:rPr>
          <w:rFonts w:ascii="Arial" w:hAnsi="Arial" w:cs="Arial"/>
          <w:color w:val="000000"/>
          <w:shd w:val="clear" w:color="auto" w:fill="FFFFFF"/>
          <w:lang w:val="de-DE"/>
        </w:rPr>
        <w:t>- India: 8.5%</w:t>
      </w:r>
    </w:p>
    <w:p w14:paraId="79BC7702" w14:textId="77777777" w:rsidR="000F1DEE" w:rsidRPr="004A73C1" w:rsidRDefault="000F1DEE" w:rsidP="00EF2E34">
      <w:pPr>
        <w:spacing w:line="360" w:lineRule="auto"/>
        <w:jc w:val="both"/>
        <w:rPr>
          <w:rFonts w:ascii="Arial" w:hAnsi="Arial" w:cs="Arial"/>
          <w:color w:val="000000"/>
          <w:shd w:val="clear" w:color="auto" w:fill="FFFFFF"/>
          <w:lang w:val="de-DE"/>
        </w:rPr>
      </w:pPr>
      <w:r w:rsidRPr="004A73C1">
        <w:rPr>
          <w:rFonts w:ascii="Arial" w:hAnsi="Arial" w:cs="Arial"/>
          <w:color w:val="000000"/>
          <w:shd w:val="clear" w:color="auto" w:fill="FFFFFF"/>
          <w:lang w:val="de-DE"/>
        </w:rPr>
        <w:t>- Japan: 2.9%</w:t>
      </w:r>
    </w:p>
    <w:p w14:paraId="4E2E7C8A"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Canada: 7.5%</w:t>
      </w:r>
    </w:p>
    <w:p w14:paraId="686C9ADD"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USA: 7.1%</w:t>
      </w:r>
    </w:p>
    <w:p w14:paraId="12715441" w14:textId="77777777" w:rsidR="000F1DEE" w:rsidRPr="004A73C1" w:rsidRDefault="000F1DEE"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These figures provide a comparative view of the unemployment rates across different countries, showing the UK's position relative to others.</w:t>
      </w:r>
    </w:p>
    <w:p w14:paraId="1B8141A5" w14:textId="5E352E0F" w:rsidR="00831FB7" w:rsidRPr="0047011D" w:rsidRDefault="00831FB7" w:rsidP="00EF2E34">
      <w:pPr>
        <w:spacing w:line="360" w:lineRule="auto"/>
        <w:jc w:val="both"/>
        <w:rPr>
          <w:rFonts w:ascii="Arial" w:eastAsia="Arial Unicode MS" w:hAnsi="Arial" w:cs="Arial"/>
        </w:rPr>
      </w:pPr>
      <w:r w:rsidRPr="0047011D">
        <w:rPr>
          <w:rFonts w:ascii="Arial" w:eastAsia="Arial Unicode MS" w:hAnsi="Arial" w:cs="Arial"/>
        </w:rPr>
        <w:t xml:space="preserve">According to research conducted by Mateev in 2008, there is a strong negative correlation between foreign direct investment (FDI) and overall labour costs. Specifically, the study revealed that a 1% increase in labour costs led to a reduction of over 13% in FDI inflows. This suggests that higher labour costs act as a deterrent to foreign </w:t>
      </w:r>
      <w:proofErr w:type="gramStart"/>
      <w:r w:rsidRPr="0047011D">
        <w:rPr>
          <w:rFonts w:ascii="Arial" w:eastAsia="Arial Unicode MS" w:hAnsi="Arial" w:cs="Arial"/>
        </w:rPr>
        <w:t>investment.</w:t>
      </w:r>
      <w:r w:rsidR="000F1DEE" w:rsidRPr="0047011D">
        <w:rPr>
          <w:rFonts w:ascii="Arial" w:eastAsia="Arial Unicode MS" w:hAnsi="Arial" w:cs="Arial"/>
        </w:rPr>
        <w:t>(</w:t>
      </w:r>
      <w:proofErr w:type="gramEnd"/>
      <w:r w:rsidR="000F1DEE" w:rsidRPr="0047011D">
        <w:rPr>
          <w:rFonts w:ascii="Arial" w:eastAsia="Arial Unicode MS" w:hAnsi="Arial" w:cs="Arial"/>
        </w:rPr>
        <w:t>Mateev,2008)</w:t>
      </w:r>
    </w:p>
    <w:p w14:paraId="6B29FC2B" w14:textId="32ACC6B7" w:rsidR="00831FB7" w:rsidRPr="0047011D" w:rsidRDefault="00831FB7" w:rsidP="00EF2E34">
      <w:pPr>
        <w:spacing w:line="360" w:lineRule="auto"/>
        <w:jc w:val="both"/>
        <w:rPr>
          <w:rFonts w:ascii="Arial" w:eastAsia="Arial Unicode MS" w:hAnsi="Arial" w:cs="Arial"/>
        </w:rPr>
      </w:pPr>
      <w:r w:rsidRPr="0047011D">
        <w:rPr>
          <w:rFonts w:ascii="Arial" w:eastAsia="Arial Unicode MS" w:hAnsi="Arial" w:cs="Arial"/>
        </w:rPr>
        <w:t xml:space="preserve">Unemployment can </w:t>
      </w:r>
      <w:r w:rsidR="0059145A" w:rsidRPr="0047011D">
        <w:rPr>
          <w:rFonts w:ascii="Arial" w:eastAsia="Arial Unicode MS" w:hAnsi="Arial" w:cs="Arial"/>
        </w:rPr>
        <w:t>impact</w:t>
      </w:r>
      <w:r w:rsidRPr="0047011D">
        <w:rPr>
          <w:rFonts w:ascii="Arial" w:eastAsia="Arial Unicode MS" w:hAnsi="Arial" w:cs="Arial"/>
        </w:rPr>
        <w:t xml:space="preserve"> foreign direct investment (FDI) inflows. High unemployment rates may indicate a less skilled or abundant </w:t>
      </w:r>
      <w:r w:rsidR="0059145A" w:rsidRPr="0047011D">
        <w:rPr>
          <w:rFonts w:ascii="Arial" w:eastAsia="Arial Unicode MS" w:hAnsi="Arial" w:cs="Arial"/>
        </w:rPr>
        <w:t>labour</w:t>
      </w:r>
      <w:r w:rsidRPr="0047011D">
        <w:rPr>
          <w:rFonts w:ascii="Arial" w:eastAsia="Arial Unicode MS" w:hAnsi="Arial" w:cs="Arial"/>
        </w:rPr>
        <w:t xml:space="preserve"> force, making it less attractive for foreign investors to establish operations in a particular country. On the other hand, low unemployment rates may signal a more skilled and available </w:t>
      </w:r>
      <w:r w:rsidR="0059145A" w:rsidRPr="0047011D">
        <w:rPr>
          <w:rFonts w:ascii="Arial" w:eastAsia="Arial Unicode MS" w:hAnsi="Arial" w:cs="Arial"/>
        </w:rPr>
        <w:t>labour</w:t>
      </w:r>
      <w:r w:rsidRPr="0047011D">
        <w:rPr>
          <w:rFonts w:ascii="Arial" w:eastAsia="Arial Unicode MS" w:hAnsi="Arial" w:cs="Arial"/>
        </w:rPr>
        <w:t xml:space="preserve"> force, potentially attracting foreign companies to invest in the host country.</w:t>
      </w:r>
    </w:p>
    <w:p w14:paraId="56E777C7" w14:textId="77777777" w:rsidR="00831FB7" w:rsidRPr="0047011D" w:rsidRDefault="00831FB7" w:rsidP="00EF2E34">
      <w:pPr>
        <w:spacing w:line="360" w:lineRule="auto"/>
        <w:jc w:val="both"/>
        <w:rPr>
          <w:rFonts w:ascii="Arial" w:eastAsia="Arial Unicode MS" w:hAnsi="Arial" w:cs="Arial"/>
        </w:rPr>
      </w:pPr>
      <w:r w:rsidRPr="0047011D">
        <w:rPr>
          <w:rFonts w:ascii="Arial" w:eastAsia="Arial Unicode MS" w:hAnsi="Arial" w:cs="Arial"/>
        </w:rPr>
        <w:t xml:space="preserve">Another relevant study is "Does Unemployment Hinder Foreign Direct Investment Inflows? Empirical Evidence from Four Central European Countries" by Balázs </w:t>
      </w:r>
      <w:proofErr w:type="spellStart"/>
      <w:r w:rsidRPr="0047011D">
        <w:rPr>
          <w:rFonts w:ascii="Arial" w:eastAsia="Arial Unicode MS" w:hAnsi="Arial" w:cs="Arial"/>
        </w:rPr>
        <w:t>Égert</w:t>
      </w:r>
      <w:proofErr w:type="spellEnd"/>
      <w:r w:rsidRPr="0047011D">
        <w:rPr>
          <w:rFonts w:ascii="Arial" w:eastAsia="Arial Unicode MS" w:hAnsi="Arial" w:cs="Arial"/>
        </w:rPr>
        <w:t>. This research investigates the relationship between unemployment and FDI inflows in four Central European countries.</w:t>
      </w:r>
    </w:p>
    <w:p w14:paraId="11EDC94C" w14:textId="61404D5B" w:rsidR="00831FB7" w:rsidRPr="006B0149" w:rsidRDefault="00831FB7" w:rsidP="00EF2E34">
      <w:pPr>
        <w:spacing w:line="360" w:lineRule="auto"/>
        <w:jc w:val="both"/>
        <w:rPr>
          <w:rFonts w:ascii="Arial" w:eastAsia="Arial Unicode MS" w:hAnsi="Arial" w:cs="Arial"/>
        </w:rPr>
      </w:pPr>
      <w:r w:rsidRPr="006B0149">
        <w:rPr>
          <w:rFonts w:ascii="Arial" w:eastAsia="Arial Unicode MS" w:hAnsi="Arial" w:cs="Arial"/>
        </w:rPr>
        <w:t>These studies provide insights into how unemployment can influence FDI and are valuable resources for understanding the relationship between these two economic factors.</w:t>
      </w:r>
    </w:p>
    <w:p w14:paraId="44143475" w14:textId="05765B53" w:rsidR="0059145A" w:rsidRPr="004A73C1" w:rsidRDefault="00CA52E6" w:rsidP="002836D7">
      <w:pPr>
        <w:pStyle w:val="Heading3"/>
        <w:rPr>
          <w:rFonts w:ascii="Arial" w:hAnsi="Arial" w:cs="Arial"/>
          <w:color w:val="auto"/>
        </w:rPr>
      </w:pPr>
      <w:bookmarkStart w:id="144" w:name="_Toc175056490"/>
      <w:bookmarkStart w:id="145" w:name="_Toc175848152"/>
      <w:r w:rsidRPr="004A73C1">
        <w:rPr>
          <w:rFonts w:ascii="Arial" w:hAnsi="Arial" w:cs="Arial"/>
          <w:color w:val="auto"/>
        </w:rPr>
        <w:lastRenderedPageBreak/>
        <w:t>4.6.4</w:t>
      </w:r>
      <w:r w:rsidRPr="004A73C1">
        <w:rPr>
          <w:rFonts w:ascii="Arial" w:hAnsi="Arial" w:cs="Arial"/>
          <w:color w:val="auto"/>
        </w:rPr>
        <w:tab/>
      </w:r>
      <w:r w:rsidR="00D47A6A" w:rsidRPr="004A73C1">
        <w:rPr>
          <w:rFonts w:ascii="Arial" w:hAnsi="Arial" w:cs="Arial"/>
          <w:color w:val="auto"/>
        </w:rPr>
        <w:t>Technology and Infrastructure</w:t>
      </w:r>
      <w:bookmarkEnd w:id="144"/>
      <w:bookmarkEnd w:id="145"/>
    </w:p>
    <w:p w14:paraId="572F7EF6" w14:textId="1C8031C1" w:rsidR="00D47A6A" w:rsidRPr="006B0149" w:rsidRDefault="00D47A6A" w:rsidP="00EF2E34">
      <w:pPr>
        <w:spacing w:line="360" w:lineRule="auto"/>
        <w:jc w:val="both"/>
        <w:rPr>
          <w:rFonts w:ascii="Arial" w:eastAsia="Arial Unicode MS" w:hAnsi="Arial" w:cs="Arial"/>
        </w:rPr>
      </w:pPr>
      <w:r w:rsidRPr="006B0149">
        <w:rPr>
          <w:rFonts w:ascii="Arial" w:eastAsia="Arial Unicode MS" w:hAnsi="Arial" w:cs="Arial"/>
        </w:rPr>
        <w:t>The importance of technology and infrastructure in the context of foreign direct investment (FDI) cannot be understated. Both factors play a crucial role in attracting and sustaining FDI</w:t>
      </w:r>
      <w:r w:rsidR="00B907C2" w:rsidRPr="006B0149">
        <w:rPr>
          <w:rFonts w:ascii="Arial" w:eastAsia="Arial Unicode MS" w:hAnsi="Arial" w:cs="Arial"/>
        </w:rPr>
        <w:t xml:space="preserve"> and </w:t>
      </w:r>
      <w:r w:rsidRPr="006B0149">
        <w:rPr>
          <w:rFonts w:ascii="Arial" w:eastAsia="Arial Unicode MS" w:hAnsi="Arial" w:cs="Arial"/>
        </w:rPr>
        <w:t>have significant implications for the host country's economic development.</w:t>
      </w:r>
    </w:p>
    <w:p w14:paraId="79EDC7FD" w14:textId="249D9D38" w:rsidR="00D47A6A" w:rsidRPr="006B0149" w:rsidRDefault="00D47A6A" w:rsidP="00EF2E34">
      <w:pPr>
        <w:spacing w:line="360" w:lineRule="auto"/>
        <w:jc w:val="both"/>
        <w:rPr>
          <w:rFonts w:ascii="Arial" w:eastAsia="Arial Unicode MS" w:hAnsi="Arial" w:cs="Arial"/>
        </w:rPr>
      </w:pPr>
      <w:r w:rsidRPr="006B0149">
        <w:rPr>
          <w:rFonts w:ascii="Arial" w:eastAsia="Arial Unicode MS" w:hAnsi="Arial" w:cs="Arial"/>
        </w:rPr>
        <w:t xml:space="preserve">In terms of technology, advanced technological capabilities and innovation are </w:t>
      </w:r>
      <w:r w:rsidR="00B907C2" w:rsidRPr="006B0149">
        <w:rPr>
          <w:rFonts w:ascii="Arial" w:eastAsia="Arial Unicode MS" w:hAnsi="Arial" w:cs="Arial"/>
        </w:rPr>
        <w:t>significant</w:t>
      </w:r>
      <w:r w:rsidRPr="006B0149">
        <w:rPr>
          <w:rFonts w:ascii="Arial" w:eastAsia="Arial Unicode MS" w:hAnsi="Arial" w:cs="Arial"/>
        </w:rPr>
        <w:t xml:space="preserve"> drivers of FDI. When multinational enterprises invest in a host country, they often bring advanced technology, know-how, and expertise. This technology transfer can significantly enhance the host country's industrial capabilities, productivity, and competitiveness. Additionally, the spillover effects of FDI-related technology and knowledge transfer can benefit local firms and industries, leading to broader economic development.</w:t>
      </w:r>
    </w:p>
    <w:p w14:paraId="2586A64F" w14:textId="1D3B5C78" w:rsidR="009275DA" w:rsidRPr="006B0149" w:rsidRDefault="009275DA" w:rsidP="00EF2E34">
      <w:pPr>
        <w:spacing w:line="360" w:lineRule="auto"/>
        <w:jc w:val="both"/>
        <w:rPr>
          <w:rFonts w:ascii="Arial" w:eastAsia="Arial Unicode MS" w:hAnsi="Arial" w:cs="Arial"/>
        </w:rPr>
      </w:pPr>
      <w:r w:rsidRPr="006B0149">
        <w:rPr>
          <w:rFonts w:ascii="Arial" w:eastAsia="Arial Unicode MS" w:hAnsi="Arial" w:cs="Arial"/>
        </w:rPr>
        <w:t>Following is the main target for the UK to invest and develop in tech sectors.</w:t>
      </w:r>
    </w:p>
    <w:p w14:paraId="4BCCBB83" w14:textId="2B614837" w:rsidR="00740D35" w:rsidRPr="004A73C1" w:rsidRDefault="009275DA" w:rsidP="00EF2E34">
      <w:pPr>
        <w:spacing w:line="360" w:lineRule="auto"/>
        <w:jc w:val="both"/>
        <w:rPr>
          <w:rFonts w:ascii="Arial" w:hAnsi="Arial" w:cs="Arial"/>
          <w:color w:val="000000"/>
          <w:sz w:val="24"/>
          <w:szCs w:val="24"/>
          <w:shd w:val="clear" w:color="auto" w:fill="FFFFFF"/>
        </w:rPr>
      </w:pPr>
      <w:r w:rsidRPr="004A73C1">
        <w:rPr>
          <w:rFonts w:ascii="Arial" w:hAnsi="Arial" w:cs="Arial"/>
          <w:noProof/>
          <w:color w:val="000000"/>
          <w:sz w:val="24"/>
          <w:szCs w:val="24"/>
          <w:shd w:val="clear" w:color="auto" w:fill="FFFFFF"/>
        </w:rPr>
        <w:drawing>
          <wp:inline distT="0" distB="0" distL="0" distR="0" wp14:anchorId="2F023ADB" wp14:editId="3F746641">
            <wp:extent cx="5731510" cy="5614670"/>
            <wp:effectExtent l="0" t="0" r="2540" b="5080"/>
            <wp:docPr id="1496813088" name="Picture 1"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813088" name="Picture 1" descr="A diagram of a diagram of a diagram&#10;&#10;Description automatically generated with medium confidence"/>
                    <pic:cNvPicPr/>
                  </pic:nvPicPr>
                  <pic:blipFill>
                    <a:blip r:embed="rId52"/>
                    <a:stretch>
                      <a:fillRect/>
                    </a:stretch>
                  </pic:blipFill>
                  <pic:spPr>
                    <a:xfrm>
                      <a:off x="0" y="0"/>
                      <a:ext cx="5731510" cy="5614670"/>
                    </a:xfrm>
                    <a:prstGeom prst="rect">
                      <a:avLst/>
                    </a:prstGeom>
                  </pic:spPr>
                </pic:pic>
              </a:graphicData>
            </a:graphic>
          </wp:inline>
        </w:drawing>
      </w:r>
    </w:p>
    <w:p w14:paraId="19B4B6BA" w14:textId="78A72326" w:rsidR="009275DA" w:rsidRPr="004A73C1" w:rsidRDefault="00740D35" w:rsidP="00EF2E34">
      <w:pPr>
        <w:spacing w:line="360" w:lineRule="auto"/>
        <w:jc w:val="both"/>
        <w:rPr>
          <w:rFonts w:ascii="Arial" w:hAnsi="Arial" w:cs="Arial"/>
          <w:color w:val="000000"/>
          <w:sz w:val="24"/>
          <w:szCs w:val="24"/>
          <w:shd w:val="clear" w:color="auto" w:fill="FFFFFF"/>
        </w:rPr>
      </w:pPr>
      <w:r w:rsidRPr="004A73C1">
        <w:rPr>
          <w:rFonts w:ascii="Arial" w:hAnsi="Arial" w:cs="Arial"/>
        </w:rPr>
        <w:t xml:space="preserve">Figure </w:t>
      </w:r>
      <w:r w:rsidR="00C75C62" w:rsidRPr="004A73C1">
        <w:rPr>
          <w:rFonts w:ascii="Arial" w:hAnsi="Arial" w:cs="Arial"/>
        </w:rPr>
        <w:t>31</w:t>
      </w:r>
      <w:r w:rsidR="00F90E4F" w:rsidRPr="004A73C1">
        <w:rPr>
          <w:rFonts w:ascii="Arial" w:hAnsi="Arial" w:cs="Arial"/>
        </w:rPr>
        <w:tab/>
      </w:r>
      <w:r w:rsidR="00F90E4F" w:rsidRPr="004A73C1">
        <w:rPr>
          <w:rFonts w:ascii="Arial" w:hAnsi="Arial" w:cs="Arial"/>
        </w:rPr>
        <w:tab/>
      </w:r>
      <w:r w:rsidR="009275DA" w:rsidRPr="004A73C1">
        <w:rPr>
          <w:rFonts w:ascii="Arial" w:hAnsi="Arial" w:cs="Arial"/>
          <w:color w:val="000000"/>
          <w:sz w:val="24"/>
          <w:szCs w:val="24"/>
          <w:shd w:val="clear" w:color="auto" w:fill="FFFFFF"/>
        </w:rPr>
        <w:t>Source-</w:t>
      </w:r>
      <w:r w:rsidR="009275DA" w:rsidRPr="004A73C1">
        <w:rPr>
          <w:rFonts w:ascii="Arial" w:hAnsi="Arial" w:cs="Arial"/>
        </w:rPr>
        <w:t xml:space="preserve"> A</w:t>
      </w:r>
      <w:r w:rsidR="009275DA" w:rsidRPr="004A73C1">
        <w:rPr>
          <w:rFonts w:ascii="Arial" w:hAnsi="Arial" w:cs="Arial"/>
          <w:color w:val="000000"/>
          <w:sz w:val="24"/>
          <w:szCs w:val="24"/>
          <w:shd w:val="clear" w:color="auto" w:fill="FFFFFF"/>
        </w:rPr>
        <w:t>ssets.publishing.service.gov.uk</w:t>
      </w:r>
    </w:p>
    <w:p w14:paraId="6AE2FF3D" w14:textId="22709F20" w:rsidR="00D47A6A" w:rsidRPr="006B0149" w:rsidRDefault="00D47A6A" w:rsidP="00EF2E34">
      <w:pPr>
        <w:spacing w:line="360" w:lineRule="auto"/>
        <w:jc w:val="both"/>
        <w:rPr>
          <w:rFonts w:ascii="Arial" w:eastAsia="Arial Unicode MS" w:hAnsi="Arial" w:cs="Arial"/>
        </w:rPr>
      </w:pPr>
      <w:r w:rsidRPr="006B0149">
        <w:rPr>
          <w:rFonts w:ascii="Arial" w:eastAsia="Arial Unicode MS" w:hAnsi="Arial" w:cs="Arial"/>
        </w:rPr>
        <w:t xml:space="preserve">On the other hand, infrastructure development is equally vital for attracting and supporting FDI. Well-developed infrastructure, including transportation networks, communication </w:t>
      </w:r>
      <w:r w:rsidRPr="006B0149">
        <w:rPr>
          <w:rFonts w:ascii="Arial" w:eastAsia="Arial Unicode MS" w:hAnsi="Arial" w:cs="Arial"/>
        </w:rPr>
        <w:lastRenderedPageBreak/>
        <w:t xml:space="preserve">systems, energy facilities, and logistical support, is essential for businesses to operate efficiently and cost-effectively. Adequate infrastructure </w:t>
      </w:r>
      <w:r w:rsidR="009275DA" w:rsidRPr="006B0149">
        <w:rPr>
          <w:rFonts w:ascii="Arial" w:eastAsia="Arial Unicode MS" w:hAnsi="Arial" w:cs="Arial"/>
        </w:rPr>
        <w:t>facilitates the movement of goods and services and</w:t>
      </w:r>
      <w:r w:rsidRPr="006B0149">
        <w:rPr>
          <w:rFonts w:ascii="Arial" w:eastAsia="Arial Unicode MS" w:hAnsi="Arial" w:cs="Arial"/>
        </w:rPr>
        <w:t xml:space="preserve"> contributes to </w:t>
      </w:r>
      <w:r w:rsidR="009275DA" w:rsidRPr="006B0149">
        <w:rPr>
          <w:rFonts w:ascii="Arial" w:eastAsia="Arial Unicode MS" w:hAnsi="Arial" w:cs="Arial"/>
        </w:rPr>
        <w:t xml:space="preserve">the quality of the overall business environment </w:t>
      </w:r>
      <w:r w:rsidRPr="006B0149">
        <w:rPr>
          <w:rFonts w:ascii="Arial" w:eastAsia="Arial Unicode MS" w:hAnsi="Arial" w:cs="Arial"/>
        </w:rPr>
        <w:t xml:space="preserve">and investor confidence. Moreover, robust infrastructure can lower production costs, </w:t>
      </w:r>
      <w:r w:rsidR="009275DA" w:rsidRPr="006B0149">
        <w:rPr>
          <w:rFonts w:ascii="Arial" w:eastAsia="Arial Unicode MS" w:hAnsi="Arial" w:cs="Arial"/>
        </w:rPr>
        <w:t>minimise</w:t>
      </w:r>
      <w:r w:rsidRPr="006B0149">
        <w:rPr>
          <w:rFonts w:ascii="Arial" w:eastAsia="Arial Unicode MS" w:hAnsi="Arial" w:cs="Arial"/>
        </w:rPr>
        <w:t xml:space="preserve"> operational risks, and improve connectivity, making the host country more attractive for FDI.</w:t>
      </w:r>
    </w:p>
    <w:p w14:paraId="0C95AE71" w14:textId="420F4997" w:rsidR="00D47A6A" w:rsidRPr="006B0149" w:rsidRDefault="009275DA" w:rsidP="00EF2E34">
      <w:pPr>
        <w:spacing w:line="360" w:lineRule="auto"/>
        <w:jc w:val="both"/>
        <w:rPr>
          <w:rFonts w:ascii="Arial" w:eastAsia="Arial Unicode MS" w:hAnsi="Arial" w:cs="Arial"/>
        </w:rPr>
      </w:pPr>
      <w:r w:rsidRPr="006B0149">
        <w:rPr>
          <w:rFonts w:ascii="Arial" w:eastAsia="Arial Unicode MS" w:hAnsi="Arial" w:cs="Arial"/>
        </w:rPr>
        <w:t xml:space="preserve">Contrastingly, when we evaluate the United Kingdom's position in </w:t>
      </w:r>
      <w:r w:rsidR="00D47A6A" w:rsidRPr="006B0149">
        <w:rPr>
          <w:rFonts w:ascii="Arial" w:eastAsia="Arial Unicode MS" w:hAnsi="Arial" w:cs="Arial"/>
        </w:rPr>
        <w:t>technology and infrastructure, we find that the UK has traditionally been regarded as a global leader in technological innovation and infrastructure development. The country has a strong legacy of research and development, a well-educated workforce, and a thriving digital economy, making it an attractive destination for technology-driven FDI. Furthermore, the UK's well-established infrastructure networks, including world-class transportation systems and modern communication technologies, facilitate efficient business operations and logistics, providing a conducive environment for foreign investors.</w:t>
      </w:r>
    </w:p>
    <w:p w14:paraId="477E5CB2" w14:textId="273A0A8E" w:rsidR="0074690E" w:rsidRPr="004A73C1" w:rsidRDefault="0074690E" w:rsidP="00EF2E34">
      <w:pPr>
        <w:spacing w:line="360" w:lineRule="auto"/>
        <w:jc w:val="both"/>
        <w:rPr>
          <w:rFonts w:ascii="Arial" w:hAnsi="Arial" w:cs="Arial"/>
          <w:color w:val="000000"/>
          <w:sz w:val="24"/>
          <w:szCs w:val="24"/>
          <w:shd w:val="clear" w:color="auto" w:fill="FFFFFF"/>
        </w:rPr>
      </w:pPr>
      <w:r w:rsidRPr="004A73C1">
        <w:rPr>
          <w:rFonts w:ascii="Arial" w:hAnsi="Arial" w:cs="Arial"/>
          <w:noProof/>
        </w:rPr>
        <w:drawing>
          <wp:inline distT="0" distB="0" distL="0" distR="0" wp14:anchorId="78B3A095" wp14:editId="578328A5">
            <wp:extent cx="5731510" cy="3462655"/>
            <wp:effectExtent l="0" t="0" r="2540" b="4445"/>
            <wp:docPr id="1066394775" name="Chart 1">
              <a:extLst xmlns:a="http://schemas.openxmlformats.org/drawingml/2006/main">
                <a:ext uri="{FF2B5EF4-FFF2-40B4-BE49-F238E27FC236}">
                  <a16:creationId xmlns:a16="http://schemas.microsoft.com/office/drawing/2014/main" id="{6E0D8EBD-F1B1-0B6F-27E3-A2E157AA74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43F0558" w14:textId="199E67BB" w:rsidR="00740D35" w:rsidRPr="004A73C1" w:rsidRDefault="00740D35" w:rsidP="00EF2E34">
      <w:pPr>
        <w:spacing w:line="360" w:lineRule="auto"/>
        <w:jc w:val="both"/>
        <w:rPr>
          <w:rFonts w:ascii="Arial" w:hAnsi="Arial" w:cs="Arial"/>
          <w:color w:val="000000"/>
          <w:sz w:val="24"/>
          <w:szCs w:val="24"/>
          <w:shd w:val="clear" w:color="auto" w:fill="FFFFFF"/>
        </w:rPr>
      </w:pPr>
      <w:r w:rsidRPr="004A73C1">
        <w:rPr>
          <w:rFonts w:ascii="Arial" w:hAnsi="Arial" w:cs="Arial"/>
        </w:rPr>
        <w:t xml:space="preserve">Figure </w:t>
      </w:r>
      <w:r w:rsidR="00C75C62" w:rsidRPr="004A73C1">
        <w:rPr>
          <w:rFonts w:ascii="Arial" w:hAnsi="Arial" w:cs="Arial"/>
        </w:rPr>
        <w:t>32</w:t>
      </w:r>
      <w:r w:rsidR="00F90E4F" w:rsidRPr="004A73C1">
        <w:rPr>
          <w:rFonts w:ascii="Arial" w:hAnsi="Arial" w:cs="Arial"/>
        </w:rPr>
        <w:tab/>
      </w:r>
      <w:r w:rsidR="00F90E4F" w:rsidRPr="004A73C1">
        <w:rPr>
          <w:rFonts w:ascii="Arial" w:hAnsi="Arial" w:cs="Arial"/>
        </w:rPr>
        <w:tab/>
      </w:r>
      <w:r w:rsidRPr="004A73C1">
        <w:rPr>
          <w:rFonts w:ascii="Arial" w:hAnsi="Arial" w:cs="Arial"/>
        </w:rPr>
        <w:t>Source- ONS.Gov.UK</w:t>
      </w:r>
    </w:p>
    <w:p w14:paraId="66BA35B3" w14:textId="277DCDA2" w:rsidR="00D47A6A" w:rsidRPr="006B0149" w:rsidRDefault="00D47A6A" w:rsidP="00EF2E34">
      <w:pPr>
        <w:spacing w:line="360" w:lineRule="auto"/>
        <w:jc w:val="both"/>
        <w:rPr>
          <w:rFonts w:ascii="Arial" w:eastAsia="Arial Unicode MS" w:hAnsi="Arial" w:cs="Arial"/>
        </w:rPr>
      </w:pPr>
      <w:r w:rsidRPr="006B0149">
        <w:rPr>
          <w:rFonts w:ascii="Arial" w:eastAsia="Arial Unicode MS" w:hAnsi="Arial" w:cs="Arial"/>
        </w:rPr>
        <w:t>In conclusion, both technology and infrastructure are critical determinants of a host country's attractiveness for FDI. While the UK has historically demonstrated strength in these areas, ongoing investment in technology and infrastructure remains essential to maintaining its competitive edge and continuing to attract FDI.</w:t>
      </w:r>
    </w:p>
    <w:p w14:paraId="5A91C06E" w14:textId="77777777" w:rsidR="00B907C2" w:rsidRPr="006B0149" w:rsidRDefault="004F31D5" w:rsidP="00EF2E34">
      <w:pPr>
        <w:spacing w:line="360" w:lineRule="auto"/>
        <w:jc w:val="both"/>
        <w:rPr>
          <w:rFonts w:ascii="Arial" w:eastAsia="Arial Unicode MS" w:hAnsi="Arial" w:cs="Arial"/>
        </w:rPr>
      </w:pPr>
      <w:r w:rsidRPr="006B0149">
        <w:rPr>
          <w:rFonts w:ascii="Arial" w:eastAsia="Arial Unicode MS" w:hAnsi="Arial" w:cs="Arial"/>
        </w:rPr>
        <w:t xml:space="preserve">In 2022, the UK IT sector reached a $1 trillion valuation, becoming the third country in history to do so, after the US and China. This success is attributed to steady development. The achievement indicates that the UK IT sector is outperforming its European counterparts, valued at over twice as much as Germany ($467.2 billion) and three times as much as France ($307.5 billion). </w:t>
      </w:r>
      <w:r w:rsidR="009275DA" w:rsidRPr="006B0149">
        <w:rPr>
          <w:rFonts w:ascii="Arial" w:eastAsia="Arial Unicode MS" w:hAnsi="Arial" w:cs="Arial"/>
        </w:rPr>
        <w:t xml:space="preserve">The UK IT sector also </w:t>
      </w:r>
      <w:r w:rsidR="0072374D" w:rsidRPr="006B0149">
        <w:rPr>
          <w:rFonts w:ascii="Arial" w:eastAsia="Arial Unicode MS" w:hAnsi="Arial" w:cs="Arial"/>
        </w:rPr>
        <w:t>leads</w:t>
      </w:r>
      <w:r w:rsidRPr="006B0149">
        <w:rPr>
          <w:rFonts w:ascii="Arial" w:eastAsia="Arial Unicode MS" w:hAnsi="Arial" w:cs="Arial"/>
        </w:rPr>
        <w:t xml:space="preserve"> in total funding, unicorns, and startup counts.</w:t>
      </w:r>
    </w:p>
    <w:p w14:paraId="0EB5A568" w14:textId="14FD218B" w:rsidR="004F31D5" w:rsidRPr="006B0149" w:rsidRDefault="009275DA" w:rsidP="00EF2E34">
      <w:pPr>
        <w:spacing w:line="360" w:lineRule="auto"/>
        <w:jc w:val="both"/>
        <w:rPr>
          <w:rFonts w:ascii="Arial" w:eastAsia="Arial Unicode MS" w:hAnsi="Arial" w:cs="Arial"/>
        </w:rPr>
      </w:pPr>
      <w:r w:rsidRPr="006B0149">
        <w:rPr>
          <w:rFonts w:ascii="Arial" w:eastAsia="Arial Unicode MS" w:hAnsi="Arial" w:cs="Arial"/>
        </w:rPr>
        <w:lastRenderedPageBreak/>
        <w:t xml:space="preserve"> </w:t>
      </w:r>
      <w:r w:rsidR="004F31D5" w:rsidRPr="006B0149">
        <w:rPr>
          <w:rFonts w:ascii="Arial" w:eastAsia="Arial Unicode MS" w:hAnsi="Arial" w:cs="Arial"/>
        </w:rPr>
        <w:t xml:space="preserve">(Source- </w:t>
      </w:r>
      <w:hyperlink r:id="rId54" w:history="1">
        <w:r w:rsidR="00ED3916" w:rsidRPr="006B0149">
          <w:rPr>
            <w:rFonts w:eastAsia="Arial Unicode MS"/>
          </w:rPr>
          <w:t>https://www.gov.uk/government/news/uk-tech-sector</w:t>
        </w:r>
      </w:hyperlink>
      <w:r w:rsidR="004F31D5" w:rsidRPr="006B0149">
        <w:rPr>
          <w:rFonts w:ascii="Arial" w:eastAsia="Arial Unicode MS" w:hAnsi="Arial" w:cs="Arial"/>
        </w:rPr>
        <w:t>)</w:t>
      </w:r>
    </w:p>
    <w:p w14:paraId="3EE8885A" w14:textId="77777777" w:rsidR="00ED3916" w:rsidRDefault="00ED3916" w:rsidP="00EF2E34">
      <w:pPr>
        <w:spacing w:line="360" w:lineRule="auto"/>
        <w:jc w:val="both"/>
        <w:rPr>
          <w:rFonts w:ascii="Arial" w:hAnsi="Arial" w:cs="Arial"/>
          <w:color w:val="000000"/>
          <w:sz w:val="24"/>
          <w:szCs w:val="24"/>
          <w:shd w:val="clear" w:color="auto" w:fill="FFFFFF"/>
        </w:rPr>
      </w:pPr>
    </w:p>
    <w:p w14:paraId="6BCE0247" w14:textId="77777777" w:rsidR="00ED3916" w:rsidRDefault="00ED3916" w:rsidP="00EF2E34">
      <w:pPr>
        <w:spacing w:line="360" w:lineRule="auto"/>
        <w:jc w:val="both"/>
        <w:rPr>
          <w:rFonts w:ascii="Arial" w:hAnsi="Arial" w:cs="Arial"/>
          <w:color w:val="000000"/>
          <w:sz w:val="24"/>
          <w:szCs w:val="24"/>
          <w:shd w:val="clear" w:color="auto" w:fill="FFFFFF"/>
        </w:rPr>
      </w:pPr>
    </w:p>
    <w:p w14:paraId="2F7F8E06" w14:textId="77777777" w:rsidR="00ED3916" w:rsidRDefault="00ED3916" w:rsidP="00EF2E34">
      <w:pPr>
        <w:spacing w:line="360" w:lineRule="auto"/>
        <w:jc w:val="both"/>
        <w:rPr>
          <w:rFonts w:ascii="Arial" w:hAnsi="Arial" w:cs="Arial"/>
          <w:color w:val="000000"/>
          <w:sz w:val="24"/>
          <w:szCs w:val="24"/>
          <w:shd w:val="clear" w:color="auto" w:fill="FFFFFF"/>
        </w:rPr>
      </w:pPr>
    </w:p>
    <w:p w14:paraId="20E22D13" w14:textId="77777777" w:rsidR="00ED3916" w:rsidRDefault="00ED3916" w:rsidP="00EF2E34">
      <w:pPr>
        <w:spacing w:line="360" w:lineRule="auto"/>
        <w:jc w:val="both"/>
        <w:rPr>
          <w:rFonts w:ascii="Arial" w:hAnsi="Arial" w:cs="Arial"/>
          <w:color w:val="000000"/>
          <w:sz w:val="24"/>
          <w:szCs w:val="24"/>
          <w:shd w:val="clear" w:color="auto" w:fill="FFFFFF"/>
        </w:rPr>
      </w:pPr>
    </w:p>
    <w:p w14:paraId="73651BC8" w14:textId="57A78053" w:rsidR="0072374D" w:rsidRPr="004A73C1" w:rsidRDefault="00CA52E6" w:rsidP="002836D7">
      <w:pPr>
        <w:pStyle w:val="Heading3"/>
        <w:rPr>
          <w:rFonts w:ascii="Arial" w:hAnsi="Arial" w:cs="Arial"/>
          <w:color w:val="auto"/>
        </w:rPr>
      </w:pPr>
      <w:bookmarkStart w:id="146" w:name="_Toc175056491"/>
      <w:bookmarkStart w:id="147" w:name="_Toc175848153"/>
      <w:r w:rsidRPr="004A73C1">
        <w:rPr>
          <w:rFonts w:ascii="Arial" w:hAnsi="Arial" w:cs="Arial"/>
          <w:color w:val="auto"/>
        </w:rPr>
        <w:t>4.6.5</w:t>
      </w:r>
      <w:r w:rsidRPr="004A73C1">
        <w:rPr>
          <w:rFonts w:ascii="Arial" w:hAnsi="Arial" w:cs="Arial"/>
          <w:color w:val="auto"/>
        </w:rPr>
        <w:tab/>
      </w:r>
      <w:r w:rsidR="00D47A6A" w:rsidRPr="004A73C1">
        <w:rPr>
          <w:rFonts w:ascii="Arial" w:hAnsi="Arial" w:cs="Arial"/>
          <w:color w:val="auto"/>
        </w:rPr>
        <w:t xml:space="preserve">Analysis of our First </w:t>
      </w:r>
      <w:r w:rsidRPr="004A73C1">
        <w:rPr>
          <w:rFonts w:ascii="Arial" w:hAnsi="Arial" w:cs="Arial"/>
          <w:color w:val="auto"/>
        </w:rPr>
        <w:t>Objective</w:t>
      </w:r>
      <w:r w:rsidR="00BF432F" w:rsidRPr="004A73C1">
        <w:rPr>
          <w:rFonts w:ascii="Arial" w:hAnsi="Arial" w:cs="Arial"/>
          <w:color w:val="auto"/>
        </w:rPr>
        <w:t>: Factors for FDI</w:t>
      </w:r>
      <w:bookmarkEnd w:id="146"/>
      <w:bookmarkEnd w:id="147"/>
    </w:p>
    <w:p w14:paraId="08E7B967" w14:textId="77777777"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 xml:space="preserve">Upon reviewing the provided information, it's evident that political stability and the labour market are important considerations for foreign direct investment (FDI) in the UK. </w:t>
      </w:r>
    </w:p>
    <w:p w14:paraId="3CC04DB4" w14:textId="67B5FB75"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 xml:space="preserve">The UK demonstrates solid political stability, as indicated by its positive political stability index. This stability, along with its well-established democratic system and solid legal institutions, makes it an attractive environment for foreign investors. </w:t>
      </w:r>
    </w:p>
    <w:p w14:paraId="3871CF74" w14:textId="6757BD9D"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Regarding the labour market, the UK offers a highly skilled workforce, flexible labour laws, and favourable investment and business operations conditions. However, factors such as Brexit implications, immigration policies, and labour market regulations should be considered, as they could impact FDI attractiveness.</w:t>
      </w:r>
    </w:p>
    <w:p w14:paraId="01305F8C" w14:textId="77777777"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Furthermore, research indicates a negative correlation between FDI and overall labour costs, suggesting that higher labour costs may deter FDI inflows. Additionally, unemployment rates can also influence FDI, with high unemployment rates potentially indicating a less skilled or abundant labour force, which may be less attractive to foreign investors.</w:t>
      </w:r>
    </w:p>
    <w:p w14:paraId="37CE3F7F" w14:textId="77777777"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Upon critically analysing the data provided, it is evident that the United Kingdom, particularly regions like Greater London and the West Midlands, has experienced significant growth in foreign direct investment (FDI) projects. The numbers indicate a positive trend in FDI, with higher project numbers and an increased share of Europe's inward investment market.</w:t>
      </w:r>
    </w:p>
    <w:p w14:paraId="7E66C978" w14:textId="5501C95F"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The data also highlights the UK's success in attracting digital investment, securing a considerable portion of all European tech projects. Additionally, the UK's consistent performance in EY’s annual ranking of European countries for attracting FDI projects further emphasises its appeal to foreign investors.</w:t>
      </w:r>
    </w:p>
    <w:p w14:paraId="484C0032" w14:textId="77777777" w:rsidR="0072374D" w:rsidRPr="006B0149" w:rsidRDefault="0072374D" w:rsidP="00EF2E34">
      <w:pPr>
        <w:spacing w:line="360" w:lineRule="auto"/>
        <w:jc w:val="both"/>
        <w:rPr>
          <w:rFonts w:ascii="Arial" w:eastAsia="Arial Unicode MS" w:hAnsi="Arial" w:cs="Arial"/>
        </w:rPr>
      </w:pPr>
      <w:r w:rsidRPr="006B0149">
        <w:rPr>
          <w:rFonts w:ascii="Arial" w:eastAsia="Arial Unicode MS" w:hAnsi="Arial" w:cs="Arial"/>
        </w:rPr>
        <w:t>In conclusion, while the UK offers political stability and an attractive labour market for FDI, closely monitoring factors like labour costs and unemployment rates is crucial for the United Kingdom.</w:t>
      </w:r>
    </w:p>
    <w:p w14:paraId="54C8C135" w14:textId="7AF09908" w:rsidR="00C01CDF" w:rsidRPr="004A73C1" w:rsidRDefault="00CA52E6" w:rsidP="002836D7">
      <w:pPr>
        <w:pStyle w:val="Heading2"/>
        <w:rPr>
          <w:rFonts w:ascii="Arial" w:hAnsi="Arial" w:cs="Arial"/>
          <w:color w:val="auto"/>
        </w:rPr>
      </w:pPr>
      <w:bookmarkStart w:id="148" w:name="_Toc175056492"/>
      <w:bookmarkStart w:id="149" w:name="_Toc175848154"/>
      <w:r w:rsidRPr="004A73C1">
        <w:rPr>
          <w:rFonts w:ascii="Arial" w:hAnsi="Arial" w:cs="Arial"/>
          <w:color w:val="auto"/>
        </w:rPr>
        <w:t>4.7</w:t>
      </w:r>
      <w:r w:rsidRPr="004A73C1">
        <w:rPr>
          <w:rFonts w:ascii="Arial" w:hAnsi="Arial" w:cs="Arial"/>
          <w:color w:val="auto"/>
        </w:rPr>
        <w:tab/>
      </w:r>
      <w:r w:rsidR="00C01CDF" w:rsidRPr="004A73C1">
        <w:rPr>
          <w:rFonts w:ascii="Arial" w:hAnsi="Arial" w:cs="Arial"/>
          <w:color w:val="auto"/>
        </w:rPr>
        <w:t>The impact of Brexit on FDI in the UK.</w:t>
      </w:r>
      <w:bookmarkEnd w:id="148"/>
      <w:bookmarkEnd w:id="149"/>
    </w:p>
    <w:p w14:paraId="4E2A4194" w14:textId="36B470BA" w:rsidR="00C01CDF" w:rsidRPr="006B0149" w:rsidRDefault="00C01CDF" w:rsidP="00EF2E34">
      <w:pPr>
        <w:spacing w:line="360" w:lineRule="auto"/>
        <w:jc w:val="both"/>
        <w:rPr>
          <w:rFonts w:ascii="Arial" w:eastAsia="Arial Unicode MS" w:hAnsi="Arial" w:cs="Arial"/>
        </w:rPr>
      </w:pPr>
      <w:r w:rsidRPr="006B0149">
        <w:rPr>
          <w:rFonts w:ascii="Arial" w:eastAsia="Arial Unicode MS" w:hAnsi="Arial" w:cs="Arial"/>
        </w:rPr>
        <w:t xml:space="preserve">Several statistical projections suggest that the United Kingdom might suffer more losses than gains from Brexit if a suitable deal cannot be reached. This is because the lack of usual trade cooperation between the European Union and the United Kingdom would likely lead to </w:t>
      </w:r>
      <w:r w:rsidR="003E764A" w:rsidRPr="006B0149">
        <w:rPr>
          <w:rFonts w:ascii="Arial" w:eastAsia="Arial Unicode MS" w:hAnsi="Arial" w:cs="Arial"/>
        </w:rPr>
        <w:t>more significant</w:t>
      </w:r>
      <w:r w:rsidRPr="006B0149">
        <w:rPr>
          <w:rFonts w:ascii="Arial" w:eastAsia="Arial Unicode MS" w:hAnsi="Arial" w:cs="Arial"/>
        </w:rPr>
        <w:t xml:space="preserve"> losses in free trade, </w:t>
      </w:r>
      <w:r w:rsidR="003E764A" w:rsidRPr="006B0149">
        <w:rPr>
          <w:rFonts w:ascii="Arial" w:eastAsia="Arial Unicode MS" w:hAnsi="Arial" w:cs="Arial"/>
        </w:rPr>
        <w:t>labour</w:t>
      </w:r>
      <w:r w:rsidRPr="006B0149">
        <w:rPr>
          <w:rFonts w:ascii="Arial" w:eastAsia="Arial Unicode MS" w:hAnsi="Arial" w:cs="Arial"/>
        </w:rPr>
        <w:t xml:space="preserve"> supply, and profitability (</w:t>
      </w:r>
      <w:proofErr w:type="spellStart"/>
      <w:r w:rsidRPr="006B0149">
        <w:rPr>
          <w:rFonts w:ascii="Arial" w:eastAsia="Arial Unicode MS" w:hAnsi="Arial" w:cs="Arial"/>
        </w:rPr>
        <w:t>Djankov</w:t>
      </w:r>
      <w:proofErr w:type="spellEnd"/>
      <w:r w:rsidRPr="006B0149">
        <w:rPr>
          <w:rFonts w:ascii="Arial" w:eastAsia="Arial Unicode MS" w:hAnsi="Arial" w:cs="Arial"/>
        </w:rPr>
        <w:t>, 2017).</w:t>
      </w:r>
    </w:p>
    <w:p w14:paraId="72F47A28" w14:textId="77777777" w:rsidR="003E764A" w:rsidRPr="006B0149" w:rsidRDefault="003E764A" w:rsidP="00EF2E34">
      <w:pPr>
        <w:spacing w:line="360" w:lineRule="auto"/>
        <w:jc w:val="both"/>
        <w:rPr>
          <w:rFonts w:ascii="Arial" w:eastAsia="Arial Unicode MS" w:hAnsi="Arial" w:cs="Arial"/>
        </w:rPr>
      </w:pPr>
      <w:r w:rsidRPr="006B0149">
        <w:rPr>
          <w:rFonts w:ascii="Arial" w:eastAsia="Arial Unicode MS" w:hAnsi="Arial" w:cs="Arial"/>
        </w:rPr>
        <w:lastRenderedPageBreak/>
        <w:t>Following Brexit, the United Kingdom's (UK) Foreign Direct Investment (FDI) experienced fluctuations. According to data from the UK's Office for National Statistics (ONS), inward FDI flows into the UK decreased by 30% in 2020 compared to the previous year, reflecting a potential impact of Brexit. However, it's important to note that FDI inflows into the UK remained significant despite the decline, with the country still attracting substantial foreign investment.</w:t>
      </w:r>
    </w:p>
    <w:p w14:paraId="4F1E4041" w14:textId="00EA9C57" w:rsidR="009545E1" w:rsidRPr="006B0149" w:rsidRDefault="003E764A" w:rsidP="00EF2E34">
      <w:pPr>
        <w:spacing w:line="360" w:lineRule="auto"/>
        <w:jc w:val="both"/>
        <w:rPr>
          <w:rFonts w:ascii="Arial" w:eastAsia="Arial Unicode MS" w:hAnsi="Arial" w:cs="Arial"/>
        </w:rPr>
      </w:pPr>
      <w:r w:rsidRPr="006B0149">
        <w:rPr>
          <w:rFonts w:ascii="Arial" w:eastAsia="Arial Unicode MS" w:hAnsi="Arial" w:cs="Arial"/>
        </w:rPr>
        <w:t xml:space="preserve">One of the factors influencing FDI trends post-Brexit is the UK's trading relationships with other countries. As the UK adapts to its new status outside the European Union, trade agreements, tariffs, and regulatory changes can affect FDI inflows. Additionally, shifts in market access and supply chain considerations may </w:t>
      </w:r>
      <w:r w:rsidR="00B907C2" w:rsidRPr="006B0149">
        <w:rPr>
          <w:rFonts w:ascii="Arial" w:eastAsia="Arial Unicode MS" w:hAnsi="Arial" w:cs="Arial"/>
        </w:rPr>
        <w:t>affect</w:t>
      </w:r>
      <w:r w:rsidRPr="006B0149">
        <w:rPr>
          <w:rFonts w:ascii="Arial" w:eastAsia="Arial Unicode MS" w:hAnsi="Arial" w:cs="Arial"/>
        </w:rPr>
        <w:t xml:space="preserve"> FDI decisions.</w:t>
      </w:r>
      <w:r w:rsidR="009545E1" w:rsidRPr="006B0149">
        <w:rPr>
          <w:rFonts w:ascii="Arial" w:eastAsia="Arial Unicode MS" w:hAnsi="Arial" w:cs="Arial"/>
        </w:rPr>
        <w:t xml:space="preserve"> </w:t>
      </w:r>
    </w:p>
    <w:p w14:paraId="00C49CB9" w14:textId="4747E3A5" w:rsidR="009545E1" w:rsidRPr="006B0149" w:rsidRDefault="009545E1" w:rsidP="00EF2E34">
      <w:pPr>
        <w:spacing w:line="360" w:lineRule="auto"/>
        <w:jc w:val="both"/>
        <w:rPr>
          <w:rFonts w:ascii="Arial" w:eastAsia="Arial Unicode MS" w:hAnsi="Arial" w:cs="Arial"/>
        </w:rPr>
      </w:pPr>
      <w:r w:rsidRPr="006B0149">
        <w:rPr>
          <w:rFonts w:ascii="Arial" w:eastAsia="Arial Unicode MS" w:hAnsi="Arial" w:cs="Arial"/>
        </w:rPr>
        <w:t xml:space="preserve">It's important to note that </w:t>
      </w:r>
      <w:r w:rsidR="00B907C2" w:rsidRPr="006B0149">
        <w:rPr>
          <w:rFonts w:ascii="Arial" w:eastAsia="Arial Unicode MS" w:hAnsi="Arial" w:cs="Arial"/>
        </w:rPr>
        <w:t>Brexit's impact on FDI is complex and multifaceted. Some investors may have concerns about the uncertainty and potential trade barriers arising from Brexit, which could negatively impact</w:t>
      </w:r>
      <w:r w:rsidRPr="006B0149">
        <w:rPr>
          <w:rFonts w:ascii="Arial" w:eastAsia="Arial Unicode MS" w:hAnsi="Arial" w:cs="Arial"/>
        </w:rPr>
        <w:t xml:space="preserve"> FDI. Moreover, the UK's future trade agreements and economic relationships with other countries post-Brexit will also play a significant role in determining the impact on FDI. The UK government's initiatives and policies to mitigate any negative effects of Brexit on FDI will be crucial in shaping the country's attractiveness to foreign investors.</w:t>
      </w:r>
    </w:p>
    <w:p w14:paraId="5BCEA6B7" w14:textId="4999CD71" w:rsidR="003E764A" w:rsidRPr="004A73C1" w:rsidRDefault="003E764A" w:rsidP="00EF2E34">
      <w:pPr>
        <w:spacing w:line="360" w:lineRule="auto"/>
        <w:jc w:val="both"/>
        <w:rPr>
          <w:rFonts w:ascii="Arial" w:hAnsi="Arial" w:cs="Arial"/>
          <w:sz w:val="24"/>
          <w:szCs w:val="24"/>
        </w:rPr>
      </w:pPr>
      <w:r w:rsidRPr="006B0149">
        <w:rPr>
          <w:rFonts w:ascii="Arial" w:eastAsia="Arial Unicode MS" w:hAnsi="Arial" w:cs="Arial"/>
        </w:rPr>
        <w:t xml:space="preserve">Furthermore, </w:t>
      </w:r>
      <w:r w:rsidR="00FA36A7" w:rsidRPr="006B0149">
        <w:rPr>
          <w:rFonts w:ascii="Arial" w:eastAsia="Arial Unicode MS" w:hAnsi="Arial" w:cs="Arial"/>
        </w:rPr>
        <w:t>regulatory changes, immigration policies, and the overall business environment can influence Brexit's impact on FDI. Considering these factors alongside FDI data is essential to providing</w:t>
      </w:r>
      <w:r w:rsidRPr="006B0149">
        <w:rPr>
          <w:rFonts w:ascii="Arial" w:eastAsia="Arial Unicode MS" w:hAnsi="Arial" w:cs="Arial"/>
        </w:rPr>
        <w:t xml:space="preserve"> a comprehensive analysis of Brexit's impact on FDI in the UK.</w:t>
      </w:r>
    </w:p>
    <w:p w14:paraId="3F1D751B" w14:textId="42AF3619" w:rsidR="003E764A" w:rsidRPr="004A73C1" w:rsidRDefault="003E764A" w:rsidP="00EF2E34">
      <w:pPr>
        <w:spacing w:line="360" w:lineRule="auto"/>
        <w:jc w:val="both"/>
        <w:rPr>
          <w:rFonts w:ascii="Arial" w:hAnsi="Arial" w:cs="Arial"/>
          <w:sz w:val="24"/>
          <w:szCs w:val="24"/>
        </w:rPr>
      </w:pPr>
      <w:r w:rsidRPr="004A73C1">
        <w:rPr>
          <w:rFonts w:ascii="Arial" w:hAnsi="Arial" w:cs="Arial"/>
          <w:noProof/>
          <w:sz w:val="24"/>
          <w:szCs w:val="24"/>
        </w:rPr>
        <w:drawing>
          <wp:inline distT="0" distB="0" distL="0" distR="0" wp14:anchorId="56BB3592" wp14:editId="779C1CC9">
            <wp:extent cx="5638800" cy="2536420"/>
            <wp:effectExtent l="0" t="0" r="0" b="0"/>
            <wp:docPr id="1222387466"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387466" name="Picture 1" descr="A graph of different colored lines&#10;&#10;Description automatically generated"/>
                    <pic:cNvPicPr/>
                  </pic:nvPicPr>
                  <pic:blipFill>
                    <a:blip r:embed="rId55"/>
                    <a:stretch>
                      <a:fillRect/>
                    </a:stretch>
                  </pic:blipFill>
                  <pic:spPr>
                    <a:xfrm>
                      <a:off x="0" y="0"/>
                      <a:ext cx="5647009" cy="2540112"/>
                    </a:xfrm>
                    <a:prstGeom prst="rect">
                      <a:avLst/>
                    </a:prstGeom>
                  </pic:spPr>
                </pic:pic>
              </a:graphicData>
            </a:graphic>
          </wp:inline>
        </w:drawing>
      </w:r>
    </w:p>
    <w:p w14:paraId="56444687" w14:textId="2F6224F9" w:rsidR="003E764A" w:rsidRPr="004A73C1" w:rsidRDefault="00740D35" w:rsidP="00EF2E34">
      <w:pPr>
        <w:spacing w:line="360" w:lineRule="auto"/>
        <w:jc w:val="both"/>
        <w:rPr>
          <w:rFonts w:ascii="Arial" w:hAnsi="Arial" w:cs="Arial"/>
          <w:sz w:val="24"/>
          <w:szCs w:val="24"/>
        </w:rPr>
      </w:pPr>
      <w:r w:rsidRPr="004A73C1">
        <w:rPr>
          <w:rFonts w:ascii="Arial" w:hAnsi="Arial" w:cs="Arial"/>
        </w:rPr>
        <w:t xml:space="preserve">Figure </w:t>
      </w:r>
      <w:r w:rsidR="00C75C62" w:rsidRPr="004A73C1">
        <w:rPr>
          <w:rFonts w:ascii="Arial" w:hAnsi="Arial" w:cs="Arial"/>
        </w:rPr>
        <w:t>33</w:t>
      </w:r>
      <w:r w:rsidR="00F90E4F" w:rsidRPr="004A73C1">
        <w:rPr>
          <w:rFonts w:ascii="Arial" w:hAnsi="Arial" w:cs="Arial"/>
        </w:rPr>
        <w:tab/>
      </w:r>
      <w:r w:rsidR="00F90E4F" w:rsidRPr="004A73C1">
        <w:rPr>
          <w:rFonts w:ascii="Arial" w:hAnsi="Arial" w:cs="Arial"/>
        </w:rPr>
        <w:tab/>
        <w:t>(</w:t>
      </w:r>
      <w:r w:rsidR="003E764A" w:rsidRPr="004A73C1">
        <w:rPr>
          <w:rFonts w:ascii="Arial" w:hAnsi="Arial" w:cs="Arial"/>
          <w:sz w:val="24"/>
          <w:szCs w:val="24"/>
        </w:rPr>
        <w:t>Source-</w:t>
      </w:r>
      <w:r w:rsidR="003E764A" w:rsidRPr="004A73C1">
        <w:rPr>
          <w:rFonts w:ascii="Arial" w:hAnsi="Arial" w:cs="Arial"/>
        </w:rPr>
        <w:t xml:space="preserve"> </w:t>
      </w:r>
      <w:r w:rsidR="003E764A" w:rsidRPr="004A73C1">
        <w:rPr>
          <w:rFonts w:ascii="Arial" w:hAnsi="Arial" w:cs="Arial"/>
          <w:sz w:val="24"/>
          <w:szCs w:val="24"/>
        </w:rPr>
        <w:t>EY European Investment Monitor (EIM), 2014-23</w:t>
      </w:r>
      <w:r w:rsidR="00F90E4F" w:rsidRPr="004A73C1">
        <w:rPr>
          <w:rFonts w:ascii="Arial" w:hAnsi="Arial" w:cs="Arial"/>
          <w:sz w:val="24"/>
          <w:szCs w:val="24"/>
        </w:rPr>
        <w:t>)</w:t>
      </w:r>
    </w:p>
    <w:p w14:paraId="4FB34A6E" w14:textId="77777777" w:rsidR="00ED3916" w:rsidRDefault="00ED3916" w:rsidP="00EF2E34">
      <w:pPr>
        <w:spacing w:line="360" w:lineRule="auto"/>
        <w:jc w:val="both"/>
        <w:rPr>
          <w:rFonts w:ascii="Arial" w:hAnsi="Arial" w:cs="Arial"/>
          <w:sz w:val="24"/>
          <w:szCs w:val="24"/>
        </w:rPr>
      </w:pPr>
    </w:p>
    <w:p w14:paraId="426F4C7B" w14:textId="505B0A9F" w:rsidR="003E764A" w:rsidRPr="006B0149" w:rsidRDefault="003E764A" w:rsidP="00EF2E34">
      <w:pPr>
        <w:spacing w:line="360" w:lineRule="auto"/>
        <w:jc w:val="both"/>
        <w:rPr>
          <w:rFonts w:ascii="Arial" w:eastAsia="Arial Unicode MS" w:hAnsi="Arial" w:cs="Arial"/>
        </w:rPr>
      </w:pPr>
      <w:r w:rsidRPr="006B0149">
        <w:rPr>
          <w:rFonts w:ascii="Arial" w:eastAsia="Arial Unicode MS" w:hAnsi="Arial" w:cs="Arial"/>
        </w:rPr>
        <w:t>In summary, while FDI inflows have declined significantly following Brexit, the UK continues to attract substantial foreign investment. Ongoing monitoring and analysis of FDI trends, policy changes, and economic indicators will be crucial for understanding the evolving relationship between Brexit and FDI in the UK.</w:t>
      </w:r>
    </w:p>
    <w:p w14:paraId="38BFE68B" w14:textId="77777777" w:rsidR="001B3596" w:rsidRPr="006B0149" w:rsidRDefault="001B3596" w:rsidP="001B3596">
      <w:pPr>
        <w:spacing w:line="360" w:lineRule="auto"/>
        <w:jc w:val="both"/>
        <w:rPr>
          <w:rFonts w:ascii="Arial" w:eastAsia="Arial Unicode MS" w:hAnsi="Arial" w:cs="Arial"/>
        </w:rPr>
      </w:pPr>
      <w:r w:rsidRPr="006B0149">
        <w:rPr>
          <w:rFonts w:ascii="Arial" w:eastAsia="Arial Unicode MS" w:hAnsi="Arial" w:cs="Arial"/>
        </w:rPr>
        <w:lastRenderedPageBreak/>
        <w:t>Despite the overall decline in the perceived attractiveness of the UK in 2024, a breakdown of investors by sector reveals that executives in significant FDI-producing areas like financial services (40%) and business services (31%) still view the UK as having a highly enticing FDI proposal. Surprisingly, the UK does better than most of Europe in terms of perceived attractiveness in these areas (EY Survey 2024).</w:t>
      </w:r>
    </w:p>
    <w:p w14:paraId="2F7108B0" w14:textId="77777777" w:rsidR="00741FAB" w:rsidRPr="006B0149" w:rsidRDefault="00FA36A7" w:rsidP="00741FAB">
      <w:pPr>
        <w:spacing w:line="360" w:lineRule="auto"/>
        <w:jc w:val="both"/>
        <w:rPr>
          <w:rFonts w:ascii="Arial" w:eastAsia="Arial Unicode MS" w:hAnsi="Arial" w:cs="Arial"/>
        </w:rPr>
      </w:pPr>
      <w:r w:rsidRPr="006B0149">
        <w:rPr>
          <w:rFonts w:ascii="Arial" w:eastAsia="Arial Unicode MS" w:hAnsi="Arial" w:cs="Arial"/>
        </w:rPr>
        <w:t>Analysing the data for the United Kingdom, we can see that the GDP growth rate fluctuated quite a bit over the years. There was a significant spike in 2015</w:t>
      </w:r>
      <w:r w:rsidR="008A67CA" w:rsidRPr="006B0149">
        <w:rPr>
          <w:rFonts w:ascii="Arial" w:eastAsia="Arial Unicode MS" w:hAnsi="Arial" w:cs="Arial"/>
        </w:rPr>
        <w:t>,</w:t>
      </w:r>
      <w:r w:rsidRPr="006B0149">
        <w:rPr>
          <w:rFonts w:ascii="Arial" w:eastAsia="Arial Unicode MS" w:hAnsi="Arial" w:cs="Arial"/>
        </w:rPr>
        <w:t xml:space="preserve"> with a growth rate of 12.08%, followed by a sharp decline in 2016. The following years showed mixed results</w:t>
      </w:r>
      <w:r w:rsidR="008A67CA" w:rsidRPr="006B0149">
        <w:rPr>
          <w:rFonts w:ascii="Arial" w:eastAsia="Arial Unicode MS" w:hAnsi="Arial" w:cs="Arial"/>
        </w:rPr>
        <w:t>,</w:t>
      </w:r>
      <w:r w:rsidRPr="006B0149">
        <w:rPr>
          <w:rFonts w:ascii="Arial" w:eastAsia="Arial Unicode MS" w:hAnsi="Arial" w:cs="Arial"/>
        </w:rPr>
        <w:t xml:space="preserve"> with both positive and negative growth rates. It seems that the UK experienced some economic volatility during this period.</w:t>
      </w:r>
      <w:r w:rsidR="00741FAB" w:rsidRPr="006B0149">
        <w:rPr>
          <w:rFonts w:ascii="Arial" w:eastAsia="Arial Unicode MS" w:hAnsi="Arial" w:cs="Arial"/>
        </w:rPr>
        <w:t xml:space="preserve"> </w:t>
      </w:r>
    </w:p>
    <w:p w14:paraId="0BBAC835" w14:textId="3382DFE0" w:rsidR="00741FAB" w:rsidRPr="004A73C1" w:rsidRDefault="00741FAB" w:rsidP="00741FAB">
      <w:pPr>
        <w:spacing w:line="360" w:lineRule="auto"/>
        <w:jc w:val="both"/>
        <w:rPr>
          <w:rFonts w:ascii="Arial" w:hAnsi="Arial" w:cs="Arial"/>
          <w:sz w:val="24"/>
          <w:szCs w:val="24"/>
        </w:rPr>
      </w:pPr>
      <w:r w:rsidRPr="004A73C1">
        <w:rPr>
          <w:rFonts w:ascii="Arial" w:hAnsi="Arial" w:cs="Arial"/>
          <w:sz w:val="24"/>
          <w:szCs w:val="24"/>
        </w:rPr>
        <w:t xml:space="preserve">The following data shows the different countries' economic growth. </w:t>
      </w:r>
    </w:p>
    <w:tbl>
      <w:tblPr>
        <w:tblW w:w="9209" w:type="dxa"/>
        <w:tblLook w:val="04A0" w:firstRow="1" w:lastRow="0" w:firstColumn="1" w:lastColumn="0" w:noHBand="0" w:noVBand="1"/>
      </w:tblPr>
      <w:tblGrid>
        <w:gridCol w:w="1469"/>
        <w:gridCol w:w="1060"/>
        <w:gridCol w:w="706"/>
        <w:gridCol w:w="767"/>
        <w:gridCol w:w="767"/>
        <w:gridCol w:w="767"/>
        <w:gridCol w:w="767"/>
        <w:gridCol w:w="706"/>
        <w:gridCol w:w="767"/>
        <w:gridCol w:w="767"/>
        <w:gridCol w:w="879"/>
      </w:tblGrid>
      <w:tr w:rsidR="001F02F5" w:rsidRPr="004A73C1" w14:paraId="0DB3F4E9" w14:textId="77777777" w:rsidTr="00ED3916">
        <w:trPr>
          <w:trHeight w:val="107"/>
        </w:trPr>
        <w:tc>
          <w:tcPr>
            <w:tcW w:w="14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D13FE"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Country Name</w:t>
            </w:r>
          </w:p>
        </w:tc>
        <w:tc>
          <w:tcPr>
            <w:tcW w:w="1025" w:type="dxa"/>
            <w:tcBorders>
              <w:top w:val="single" w:sz="4" w:space="0" w:color="auto"/>
              <w:left w:val="nil"/>
              <w:bottom w:val="single" w:sz="4" w:space="0" w:color="auto"/>
              <w:right w:val="single" w:sz="4" w:space="0" w:color="auto"/>
            </w:tcBorders>
            <w:shd w:val="clear" w:color="auto" w:fill="auto"/>
            <w:noWrap/>
            <w:vAlign w:val="bottom"/>
            <w:hideMark/>
          </w:tcPr>
          <w:p w14:paraId="3B44B83D"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Country Code</w:t>
            </w:r>
          </w:p>
        </w:tc>
        <w:tc>
          <w:tcPr>
            <w:tcW w:w="686" w:type="dxa"/>
            <w:tcBorders>
              <w:top w:val="single" w:sz="4" w:space="0" w:color="auto"/>
              <w:left w:val="nil"/>
              <w:bottom w:val="single" w:sz="4" w:space="0" w:color="auto"/>
              <w:right w:val="single" w:sz="4" w:space="0" w:color="auto"/>
            </w:tcBorders>
            <w:shd w:val="clear" w:color="auto" w:fill="auto"/>
            <w:noWrap/>
            <w:vAlign w:val="bottom"/>
            <w:hideMark/>
          </w:tcPr>
          <w:p w14:paraId="565CC224"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2014</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3F90D1F2"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2015</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31D2F5D9"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2016</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052E63DF"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2017</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5FBA13EA"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2018</w:t>
            </w:r>
          </w:p>
        </w:tc>
        <w:tc>
          <w:tcPr>
            <w:tcW w:w="686" w:type="dxa"/>
            <w:tcBorders>
              <w:top w:val="single" w:sz="4" w:space="0" w:color="auto"/>
              <w:left w:val="nil"/>
              <w:bottom w:val="single" w:sz="4" w:space="0" w:color="auto"/>
              <w:right w:val="single" w:sz="4" w:space="0" w:color="auto"/>
            </w:tcBorders>
            <w:shd w:val="clear" w:color="auto" w:fill="auto"/>
            <w:noWrap/>
            <w:vAlign w:val="bottom"/>
            <w:hideMark/>
          </w:tcPr>
          <w:p w14:paraId="009AD0CD"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2019</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4E490550"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2020</w:t>
            </w:r>
          </w:p>
        </w:tc>
        <w:tc>
          <w:tcPr>
            <w:tcW w:w="744" w:type="dxa"/>
            <w:tcBorders>
              <w:top w:val="single" w:sz="4" w:space="0" w:color="auto"/>
              <w:left w:val="nil"/>
              <w:bottom w:val="single" w:sz="4" w:space="0" w:color="auto"/>
              <w:right w:val="single" w:sz="4" w:space="0" w:color="auto"/>
            </w:tcBorders>
            <w:shd w:val="clear" w:color="auto" w:fill="auto"/>
            <w:noWrap/>
            <w:vAlign w:val="bottom"/>
            <w:hideMark/>
          </w:tcPr>
          <w:p w14:paraId="625DBAC8"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2021</w:t>
            </w:r>
          </w:p>
        </w:tc>
        <w:tc>
          <w:tcPr>
            <w:tcW w:w="879" w:type="dxa"/>
            <w:tcBorders>
              <w:top w:val="single" w:sz="4" w:space="0" w:color="auto"/>
              <w:left w:val="nil"/>
              <w:bottom w:val="single" w:sz="4" w:space="0" w:color="auto"/>
              <w:right w:val="single" w:sz="4" w:space="0" w:color="auto"/>
            </w:tcBorders>
            <w:shd w:val="clear" w:color="auto" w:fill="auto"/>
            <w:noWrap/>
            <w:vAlign w:val="bottom"/>
            <w:hideMark/>
          </w:tcPr>
          <w:p w14:paraId="40D38577" w14:textId="77777777" w:rsidR="001F02F5" w:rsidRPr="004A73C1" w:rsidRDefault="001F02F5" w:rsidP="00EF2E34">
            <w:pPr>
              <w:spacing w:after="0" w:line="360" w:lineRule="auto"/>
              <w:jc w:val="both"/>
              <w:rPr>
                <w:rFonts w:ascii="Arial" w:eastAsia="Times New Roman" w:hAnsi="Arial" w:cs="Arial"/>
                <w:b/>
                <w:bCs/>
                <w:color w:val="000000"/>
                <w:lang w:eastAsia="en-GB"/>
              </w:rPr>
            </w:pPr>
            <w:r w:rsidRPr="004A73C1">
              <w:rPr>
                <w:rFonts w:ascii="Arial" w:eastAsia="Times New Roman" w:hAnsi="Arial" w:cs="Arial"/>
                <w:b/>
                <w:bCs/>
                <w:color w:val="000000"/>
                <w:lang w:eastAsia="en-GB"/>
              </w:rPr>
              <w:t>2022</w:t>
            </w:r>
          </w:p>
        </w:tc>
      </w:tr>
      <w:tr w:rsidR="001F02F5" w:rsidRPr="004A73C1" w14:paraId="6EE0C687"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4BC7377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Arab World</w:t>
            </w:r>
          </w:p>
        </w:tc>
        <w:tc>
          <w:tcPr>
            <w:tcW w:w="1025" w:type="dxa"/>
            <w:tcBorders>
              <w:top w:val="nil"/>
              <w:left w:val="nil"/>
              <w:bottom w:val="single" w:sz="4" w:space="0" w:color="auto"/>
              <w:right w:val="single" w:sz="4" w:space="0" w:color="auto"/>
            </w:tcBorders>
            <w:shd w:val="clear" w:color="auto" w:fill="auto"/>
            <w:noWrap/>
            <w:vAlign w:val="bottom"/>
            <w:hideMark/>
          </w:tcPr>
          <w:p w14:paraId="34A8434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ARB</w:t>
            </w:r>
          </w:p>
        </w:tc>
        <w:tc>
          <w:tcPr>
            <w:tcW w:w="686" w:type="dxa"/>
            <w:tcBorders>
              <w:top w:val="nil"/>
              <w:left w:val="nil"/>
              <w:bottom w:val="single" w:sz="4" w:space="0" w:color="auto"/>
              <w:right w:val="single" w:sz="4" w:space="0" w:color="auto"/>
            </w:tcBorders>
            <w:shd w:val="clear" w:color="auto" w:fill="auto"/>
            <w:noWrap/>
            <w:vAlign w:val="bottom"/>
            <w:hideMark/>
          </w:tcPr>
          <w:p w14:paraId="362A9DB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0.87</w:t>
            </w:r>
          </w:p>
        </w:tc>
        <w:tc>
          <w:tcPr>
            <w:tcW w:w="744" w:type="dxa"/>
            <w:tcBorders>
              <w:top w:val="nil"/>
              <w:left w:val="nil"/>
              <w:bottom w:val="single" w:sz="4" w:space="0" w:color="auto"/>
              <w:right w:val="single" w:sz="4" w:space="0" w:color="auto"/>
            </w:tcBorders>
            <w:shd w:val="clear" w:color="auto" w:fill="auto"/>
            <w:noWrap/>
            <w:vAlign w:val="bottom"/>
            <w:hideMark/>
          </w:tcPr>
          <w:p w14:paraId="1BF2416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0.86</w:t>
            </w:r>
          </w:p>
        </w:tc>
        <w:tc>
          <w:tcPr>
            <w:tcW w:w="744" w:type="dxa"/>
            <w:tcBorders>
              <w:top w:val="nil"/>
              <w:left w:val="nil"/>
              <w:bottom w:val="single" w:sz="4" w:space="0" w:color="auto"/>
              <w:right w:val="single" w:sz="4" w:space="0" w:color="auto"/>
            </w:tcBorders>
            <w:shd w:val="clear" w:color="auto" w:fill="auto"/>
            <w:noWrap/>
            <w:vAlign w:val="bottom"/>
            <w:hideMark/>
          </w:tcPr>
          <w:p w14:paraId="37C44C9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1.93</w:t>
            </w:r>
          </w:p>
        </w:tc>
        <w:tc>
          <w:tcPr>
            <w:tcW w:w="744" w:type="dxa"/>
            <w:tcBorders>
              <w:top w:val="nil"/>
              <w:left w:val="nil"/>
              <w:bottom w:val="single" w:sz="4" w:space="0" w:color="auto"/>
              <w:right w:val="single" w:sz="4" w:space="0" w:color="auto"/>
            </w:tcBorders>
            <w:shd w:val="clear" w:color="auto" w:fill="auto"/>
            <w:noWrap/>
            <w:vAlign w:val="bottom"/>
            <w:hideMark/>
          </w:tcPr>
          <w:p w14:paraId="00BBD2F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1.23</w:t>
            </w:r>
          </w:p>
        </w:tc>
        <w:tc>
          <w:tcPr>
            <w:tcW w:w="744" w:type="dxa"/>
            <w:tcBorders>
              <w:top w:val="nil"/>
              <w:left w:val="nil"/>
              <w:bottom w:val="single" w:sz="4" w:space="0" w:color="auto"/>
              <w:right w:val="single" w:sz="4" w:space="0" w:color="auto"/>
            </w:tcBorders>
            <w:shd w:val="clear" w:color="auto" w:fill="auto"/>
            <w:noWrap/>
            <w:vAlign w:val="bottom"/>
            <w:hideMark/>
          </w:tcPr>
          <w:p w14:paraId="409A175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1.55</w:t>
            </w:r>
          </w:p>
        </w:tc>
        <w:tc>
          <w:tcPr>
            <w:tcW w:w="686" w:type="dxa"/>
            <w:tcBorders>
              <w:top w:val="nil"/>
              <w:left w:val="nil"/>
              <w:bottom w:val="single" w:sz="4" w:space="0" w:color="auto"/>
              <w:right w:val="single" w:sz="4" w:space="0" w:color="auto"/>
            </w:tcBorders>
            <w:shd w:val="clear" w:color="auto" w:fill="auto"/>
            <w:noWrap/>
            <w:vAlign w:val="bottom"/>
            <w:hideMark/>
          </w:tcPr>
          <w:p w14:paraId="727E3FD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1.23</w:t>
            </w:r>
          </w:p>
        </w:tc>
        <w:tc>
          <w:tcPr>
            <w:tcW w:w="744" w:type="dxa"/>
            <w:tcBorders>
              <w:top w:val="nil"/>
              <w:left w:val="nil"/>
              <w:bottom w:val="single" w:sz="4" w:space="0" w:color="auto"/>
              <w:right w:val="single" w:sz="4" w:space="0" w:color="auto"/>
            </w:tcBorders>
            <w:shd w:val="clear" w:color="auto" w:fill="auto"/>
            <w:noWrap/>
            <w:vAlign w:val="bottom"/>
            <w:hideMark/>
          </w:tcPr>
          <w:p w14:paraId="7065161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1.31</w:t>
            </w:r>
          </w:p>
        </w:tc>
        <w:tc>
          <w:tcPr>
            <w:tcW w:w="744" w:type="dxa"/>
            <w:tcBorders>
              <w:top w:val="nil"/>
              <w:left w:val="nil"/>
              <w:bottom w:val="single" w:sz="4" w:space="0" w:color="auto"/>
              <w:right w:val="single" w:sz="4" w:space="0" w:color="auto"/>
            </w:tcBorders>
            <w:shd w:val="clear" w:color="auto" w:fill="auto"/>
            <w:noWrap/>
            <w:vAlign w:val="bottom"/>
            <w:hideMark/>
          </w:tcPr>
          <w:p w14:paraId="710D66A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2.17</w:t>
            </w:r>
          </w:p>
        </w:tc>
        <w:tc>
          <w:tcPr>
            <w:tcW w:w="879" w:type="dxa"/>
            <w:tcBorders>
              <w:top w:val="nil"/>
              <w:left w:val="nil"/>
              <w:bottom w:val="single" w:sz="4" w:space="0" w:color="auto"/>
              <w:right w:val="single" w:sz="4" w:space="0" w:color="auto"/>
            </w:tcBorders>
            <w:shd w:val="clear" w:color="auto" w:fill="auto"/>
            <w:noWrap/>
            <w:vAlign w:val="bottom"/>
            <w:hideMark/>
          </w:tcPr>
          <w:p w14:paraId="2A2880C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2.16</w:t>
            </w:r>
          </w:p>
        </w:tc>
      </w:tr>
      <w:tr w:rsidR="001F02F5" w:rsidRPr="004A73C1" w14:paraId="0D667865"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402D156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United Arab Emirates</w:t>
            </w:r>
          </w:p>
        </w:tc>
        <w:tc>
          <w:tcPr>
            <w:tcW w:w="1025" w:type="dxa"/>
            <w:tcBorders>
              <w:top w:val="nil"/>
              <w:left w:val="nil"/>
              <w:bottom w:val="single" w:sz="4" w:space="0" w:color="auto"/>
              <w:right w:val="single" w:sz="4" w:space="0" w:color="auto"/>
            </w:tcBorders>
            <w:shd w:val="clear" w:color="auto" w:fill="auto"/>
            <w:noWrap/>
            <w:vAlign w:val="bottom"/>
            <w:hideMark/>
          </w:tcPr>
          <w:p w14:paraId="1C9A69F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ARE</w:t>
            </w:r>
          </w:p>
        </w:tc>
        <w:tc>
          <w:tcPr>
            <w:tcW w:w="686" w:type="dxa"/>
            <w:tcBorders>
              <w:top w:val="nil"/>
              <w:left w:val="nil"/>
              <w:bottom w:val="single" w:sz="4" w:space="0" w:color="auto"/>
              <w:right w:val="single" w:sz="4" w:space="0" w:color="auto"/>
            </w:tcBorders>
            <w:shd w:val="clear" w:color="auto" w:fill="auto"/>
            <w:noWrap/>
            <w:vAlign w:val="bottom"/>
            <w:hideMark/>
          </w:tcPr>
          <w:p w14:paraId="6AE0950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2.67</w:t>
            </w:r>
          </w:p>
        </w:tc>
        <w:tc>
          <w:tcPr>
            <w:tcW w:w="744" w:type="dxa"/>
            <w:tcBorders>
              <w:top w:val="nil"/>
              <w:left w:val="nil"/>
              <w:bottom w:val="single" w:sz="4" w:space="0" w:color="auto"/>
              <w:right w:val="single" w:sz="4" w:space="0" w:color="auto"/>
            </w:tcBorders>
            <w:shd w:val="clear" w:color="auto" w:fill="auto"/>
            <w:noWrap/>
            <w:vAlign w:val="bottom"/>
            <w:hideMark/>
          </w:tcPr>
          <w:p w14:paraId="44C30FE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2.31</w:t>
            </w:r>
          </w:p>
        </w:tc>
        <w:tc>
          <w:tcPr>
            <w:tcW w:w="744" w:type="dxa"/>
            <w:tcBorders>
              <w:top w:val="nil"/>
              <w:left w:val="nil"/>
              <w:bottom w:val="single" w:sz="4" w:space="0" w:color="auto"/>
              <w:right w:val="single" w:sz="4" w:space="0" w:color="auto"/>
            </w:tcBorders>
            <w:shd w:val="clear" w:color="auto" w:fill="auto"/>
            <w:noWrap/>
            <w:vAlign w:val="bottom"/>
            <w:hideMark/>
          </w:tcPr>
          <w:p w14:paraId="0A4503D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2.60</w:t>
            </w:r>
          </w:p>
        </w:tc>
        <w:tc>
          <w:tcPr>
            <w:tcW w:w="744" w:type="dxa"/>
            <w:tcBorders>
              <w:top w:val="nil"/>
              <w:left w:val="nil"/>
              <w:bottom w:val="single" w:sz="4" w:space="0" w:color="auto"/>
              <w:right w:val="single" w:sz="4" w:space="0" w:color="auto"/>
            </w:tcBorders>
            <w:shd w:val="clear" w:color="auto" w:fill="auto"/>
            <w:noWrap/>
            <w:vAlign w:val="bottom"/>
            <w:hideMark/>
          </w:tcPr>
          <w:p w14:paraId="14B0B4B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2.65</w:t>
            </w:r>
          </w:p>
        </w:tc>
        <w:tc>
          <w:tcPr>
            <w:tcW w:w="744" w:type="dxa"/>
            <w:tcBorders>
              <w:top w:val="nil"/>
              <w:left w:val="nil"/>
              <w:bottom w:val="single" w:sz="4" w:space="0" w:color="auto"/>
              <w:right w:val="single" w:sz="4" w:space="0" w:color="auto"/>
            </w:tcBorders>
            <w:shd w:val="clear" w:color="auto" w:fill="auto"/>
            <w:noWrap/>
            <w:vAlign w:val="bottom"/>
            <w:hideMark/>
          </w:tcPr>
          <w:p w14:paraId="5A12462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2.43</w:t>
            </w:r>
          </w:p>
        </w:tc>
        <w:tc>
          <w:tcPr>
            <w:tcW w:w="686" w:type="dxa"/>
            <w:tcBorders>
              <w:top w:val="nil"/>
              <w:left w:val="nil"/>
              <w:bottom w:val="single" w:sz="4" w:space="0" w:color="auto"/>
              <w:right w:val="single" w:sz="4" w:space="0" w:color="auto"/>
            </w:tcBorders>
            <w:shd w:val="clear" w:color="auto" w:fill="auto"/>
            <w:noWrap/>
            <w:vAlign w:val="bottom"/>
            <w:hideMark/>
          </w:tcPr>
          <w:p w14:paraId="0A1AD07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4.28</w:t>
            </w:r>
          </w:p>
        </w:tc>
        <w:tc>
          <w:tcPr>
            <w:tcW w:w="744" w:type="dxa"/>
            <w:tcBorders>
              <w:top w:val="nil"/>
              <w:left w:val="nil"/>
              <w:bottom w:val="single" w:sz="4" w:space="0" w:color="auto"/>
              <w:right w:val="single" w:sz="4" w:space="0" w:color="auto"/>
            </w:tcBorders>
            <w:shd w:val="clear" w:color="auto" w:fill="auto"/>
            <w:noWrap/>
            <w:vAlign w:val="bottom"/>
            <w:hideMark/>
          </w:tcPr>
          <w:p w14:paraId="41BC2DD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5.69</w:t>
            </w:r>
          </w:p>
        </w:tc>
        <w:tc>
          <w:tcPr>
            <w:tcW w:w="744" w:type="dxa"/>
            <w:tcBorders>
              <w:top w:val="nil"/>
              <w:left w:val="nil"/>
              <w:bottom w:val="single" w:sz="4" w:space="0" w:color="auto"/>
              <w:right w:val="single" w:sz="4" w:space="0" w:color="auto"/>
            </w:tcBorders>
            <w:shd w:val="clear" w:color="auto" w:fill="auto"/>
            <w:noWrap/>
            <w:vAlign w:val="bottom"/>
            <w:hideMark/>
          </w:tcPr>
          <w:p w14:paraId="6B3744F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4.98</w:t>
            </w:r>
          </w:p>
        </w:tc>
        <w:tc>
          <w:tcPr>
            <w:tcW w:w="879" w:type="dxa"/>
            <w:tcBorders>
              <w:top w:val="nil"/>
              <w:left w:val="nil"/>
              <w:bottom w:val="single" w:sz="4" w:space="0" w:color="auto"/>
              <w:right w:val="single" w:sz="4" w:space="0" w:color="auto"/>
            </w:tcBorders>
            <w:shd w:val="clear" w:color="auto" w:fill="auto"/>
            <w:noWrap/>
            <w:vAlign w:val="bottom"/>
            <w:hideMark/>
          </w:tcPr>
          <w:p w14:paraId="425D3928"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4.48</w:t>
            </w:r>
          </w:p>
        </w:tc>
      </w:tr>
      <w:tr w:rsidR="001F02F5" w:rsidRPr="004A73C1" w14:paraId="100E3FD4"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2F256B6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Australia</w:t>
            </w:r>
          </w:p>
        </w:tc>
        <w:tc>
          <w:tcPr>
            <w:tcW w:w="1025" w:type="dxa"/>
            <w:tcBorders>
              <w:top w:val="nil"/>
              <w:left w:val="nil"/>
              <w:bottom w:val="single" w:sz="4" w:space="0" w:color="auto"/>
              <w:right w:val="single" w:sz="4" w:space="0" w:color="auto"/>
            </w:tcBorders>
            <w:shd w:val="clear" w:color="auto" w:fill="auto"/>
            <w:noWrap/>
            <w:vAlign w:val="bottom"/>
            <w:hideMark/>
          </w:tcPr>
          <w:p w14:paraId="4995DE1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AUS</w:t>
            </w:r>
          </w:p>
        </w:tc>
        <w:tc>
          <w:tcPr>
            <w:tcW w:w="686" w:type="dxa"/>
            <w:tcBorders>
              <w:top w:val="nil"/>
              <w:left w:val="nil"/>
              <w:bottom w:val="single" w:sz="4" w:space="0" w:color="auto"/>
              <w:right w:val="single" w:sz="4" w:space="0" w:color="auto"/>
            </w:tcBorders>
            <w:shd w:val="clear" w:color="auto" w:fill="auto"/>
            <w:noWrap/>
            <w:vAlign w:val="bottom"/>
            <w:hideMark/>
          </w:tcPr>
          <w:p w14:paraId="15757DA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4.30</w:t>
            </w:r>
          </w:p>
        </w:tc>
        <w:tc>
          <w:tcPr>
            <w:tcW w:w="744" w:type="dxa"/>
            <w:tcBorders>
              <w:top w:val="nil"/>
              <w:left w:val="nil"/>
              <w:bottom w:val="single" w:sz="4" w:space="0" w:color="auto"/>
              <w:right w:val="single" w:sz="4" w:space="0" w:color="auto"/>
            </w:tcBorders>
            <w:shd w:val="clear" w:color="auto" w:fill="auto"/>
            <w:noWrap/>
            <w:vAlign w:val="bottom"/>
            <w:hideMark/>
          </w:tcPr>
          <w:p w14:paraId="576362F0"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3.47</w:t>
            </w:r>
          </w:p>
        </w:tc>
        <w:tc>
          <w:tcPr>
            <w:tcW w:w="744" w:type="dxa"/>
            <w:tcBorders>
              <w:top w:val="nil"/>
              <w:left w:val="nil"/>
              <w:bottom w:val="single" w:sz="4" w:space="0" w:color="auto"/>
              <w:right w:val="single" w:sz="4" w:space="0" w:color="auto"/>
            </w:tcBorders>
            <w:shd w:val="clear" w:color="auto" w:fill="auto"/>
            <w:noWrap/>
            <w:vAlign w:val="bottom"/>
            <w:hideMark/>
          </w:tcPr>
          <w:p w14:paraId="1AD76C2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3.56</w:t>
            </w:r>
          </w:p>
        </w:tc>
        <w:tc>
          <w:tcPr>
            <w:tcW w:w="744" w:type="dxa"/>
            <w:tcBorders>
              <w:top w:val="nil"/>
              <w:left w:val="nil"/>
              <w:bottom w:val="single" w:sz="4" w:space="0" w:color="auto"/>
              <w:right w:val="single" w:sz="4" w:space="0" w:color="auto"/>
            </w:tcBorders>
            <w:shd w:val="clear" w:color="auto" w:fill="auto"/>
            <w:noWrap/>
            <w:vAlign w:val="bottom"/>
            <w:hideMark/>
          </w:tcPr>
          <w:p w14:paraId="555CDB4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3.63</w:t>
            </w:r>
          </w:p>
        </w:tc>
        <w:tc>
          <w:tcPr>
            <w:tcW w:w="744" w:type="dxa"/>
            <w:tcBorders>
              <w:top w:val="nil"/>
              <w:left w:val="nil"/>
              <w:bottom w:val="single" w:sz="4" w:space="0" w:color="auto"/>
              <w:right w:val="single" w:sz="4" w:space="0" w:color="auto"/>
            </w:tcBorders>
            <w:shd w:val="clear" w:color="auto" w:fill="auto"/>
            <w:noWrap/>
            <w:vAlign w:val="bottom"/>
            <w:hideMark/>
          </w:tcPr>
          <w:p w14:paraId="6654F4B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4.24</w:t>
            </w:r>
          </w:p>
        </w:tc>
        <w:tc>
          <w:tcPr>
            <w:tcW w:w="686" w:type="dxa"/>
            <w:tcBorders>
              <w:top w:val="nil"/>
              <w:left w:val="nil"/>
              <w:bottom w:val="single" w:sz="4" w:space="0" w:color="auto"/>
              <w:right w:val="single" w:sz="4" w:space="0" w:color="auto"/>
            </w:tcBorders>
            <w:shd w:val="clear" w:color="auto" w:fill="auto"/>
            <w:noWrap/>
            <w:vAlign w:val="bottom"/>
            <w:hideMark/>
          </w:tcPr>
          <w:p w14:paraId="643D7DC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2.78</w:t>
            </w:r>
          </w:p>
        </w:tc>
        <w:tc>
          <w:tcPr>
            <w:tcW w:w="744" w:type="dxa"/>
            <w:tcBorders>
              <w:top w:val="nil"/>
              <w:left w:val="nil"/>
              <w:bottom w:val="single" w:sz="4" w:space="0" w:color="auto"/>
              <w:right w:val="single" w:sz="4" w:space="0" w:color="auto"/>
            </w:tcBorders>
            <w:shd w:val="clear" w:color="auto" w:fill="auto"/>
            <w:noWrap/>
            <w:vAlign w:val="bottom"/>
            <w:hideMark/>
          </w:tcPr>
          <w:p w14:paraId="260F1EF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1.19</w:t>
            </w:r>
          </w:p>
        </w:tc>
        <w:tc>
          <w:tcPr>
            <w:tcW w:w="744" w:type="dxa"/>
            <w:tcBorders>
              <w:top w:val="nil"/>
              <w:left w:val="nil"/>
              <w:bottom w:val="single" w:sz="4" w:space="0" w:color="auto"/>
              <w:right w:val="single" w:sz="4" w:space="0" w:color="auto"/>
            </w:tcBorders>
            <w:shd w:val="clear" w:color="auto" w:fill="auto"/>
            <w:noWrap/>
            <w:vAlign w:val="bottom"/>
            <w:hideMark/>
          </w:tcPr>
          <w:p w14:paraId="2D231A1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1.78</w:t>
            </w:r>
          </w:p>
        </w:tc>
        <w:tc>
          <w:tcPr>
            <w:tcW w:w="879" w:type="dxa"/>
            <w:tcBorders>
              <w:top w:val="nil"/>
              <w:left w:val="nil"/>
              <w:bottom w:val="single" w:sz="4" w:space="0" w:color="auto"/>
              <w:right w:val="single" w:sz="4" w:space="0" w:color="auto"/>
            </w:tcBorders>
            <w:shd w:val="clear" w:color="auto" w:fill="auto"/>
            <w:noWrap/>
            <w:vAlign w:val="bottom"/>
            <w:hideMark/>
          </w:tcPr>
          <w:p w14:paraId="36AC6E3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4.14</w:t>
            </w:r>
          </w:p>
        </w:tc>
      </w:tr>
      <w:tr w:rsidR="001F02F5" w:rsidRPr="004A73C1" w14:paraId="13CDE404"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0DB372C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Central Europe and the Baltics</w:t>
            </w:r>
          </w:p>
        </w:tc>
        <w:tc>
          <w:tcPr>
            <w:tcW w:w="1025" w:type="dxa"/>
            <w:tcBorders>
              <w:top w:val="nil"/>
              <w:left w:val="nil"/>
              <w:bottom w:val="single" w:sz="4" w:space="0" w:color="auto"/>
              <w:right w:val="single" w:sz="4" w:space="0" w:color="auto"/>
            </w:tcBorders>
            <w:shd w:val="clear" w:color="auto" w:fill="auto"/>
            <w:noWrap/>
            <w:vAlign w:val="bottom"/>
            <w:hideMark/>
          </w:tcPr>
          <w:p w14:paraId="3847BA3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CEB</w:t>
            </w:r>
          </w:p>
        </w:tc>
        <w:tc>
          <w:tcPr>
            <w:tcW w:w="686" w:type="dxa"/>
            <w:tcBorders>
              <w:top w:val="nil"/>
              <w:left w:val="nil"/>
              <w:bottom w:val="single" w:sz="4" w:space="0" w:color="auto"/>
              <w:right w:val="single" w:sz="4" w:space="0" w:color="auto"/>
            </w:tcBorders>
            <w:shd w:val="clear" w:color="auto" w:fill="auto"/>
            <w:noWrap/>
            <w:vAlign w:val="bottom"/>
            <w:hideMark/>
          </w:tcPr>
          <w:p w14:paraId="32C00CC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3.66</w:t>
            </w:r>
          </w:p>
        </w:tc>
        <w:tc>
          <w:tcPr>
            <w:tcW w:w="744" w:type="dxa"/>
            <w:tcBorders>
              <w:top w:val="nil"/>
              <w:left w:val="nil"/>
              <w:bottom w:val="single" w:sz="4" w:space="0" w:color="auto"/>
              <w:right w:val="single" w:sz="4" w:space="0" w:color="auto"/>
            </w:tcBorders>
            <w:shd w:val="clear" w:color="auto" w:fill="auto"/>
            <w:noWrap/>
            <w:vAlign w:val="bottom"/>
            <w:hideMark/>
          </w:tcPr>
          <w:p w14:paraId="0CB7E420"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1.78</w:t>
            </w:r>
          </w:p>
        </w:tc>
        <w:tc>
          <w:tcPr>
            <w:tcW w:w="744" w:type="dxa"/>
            <w:tcBorders>
              <w:top w:val="nil"/>
              <w:left w:val="nil"/>
              <w:bottom w:val="single" w:sz="4" w:space="0" w:color="auto"/>
              <w:right w:val="single" w:sz="4" w:space="0" w:color="auto"/>
            </w:tcBorders>
            <w:shd w:val="clear" w:color="auto" w:fill="auto"/>
            <w:noWrap/>
            <w:vAlign w:val="bottom"/>
            <w:hideMark/>
          </w:tcPr>
          <w:p w14:paraId="05B7565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8.74</w:t>
            </w:r>
          </w:p>
        </w:tc>
        <w:tc>
          <w:tcPr>
            <w:tcW w:w="744" w:type="dxa"/>
            <w:tcBorders>
              <w:top w:val="nil"/>
              <w:left w:val="nil"/>
              <w:bottom w:val="single" w:sz="4" w:space="0" w:color="auto"/>
              <w:right w:val="single" w:sz="4" w:space="0" w:color="auto"/>
            </w:tcBorders>
            <w:shd w:val="clear" w:color="auto" w:fill="auto"/>
            <w:noWrap/>
            <w:vAlign w:val="bottom"/>
            <w:hideMark/>
          </w:tcPr>
          <w:p w14:paraId="6577788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2.00</w:t>
            </w:r>
          </w:p>
        </w:tc>
        <w:tc>
          <w:tcPr>
            <w:tcW w:w="744" w:type="dxa"/>
            <w:tcBorders>
              <w:top w:val="nil"/>
              <w:left w:val="nil"/>
              <w:bottom w:val="single" w:sz="4" w:space="0" w:color="auto"/>
              <w:right w:val="single" w:sz="4" w:space="0" w:color="auto"/>
            </w:tcBorders>
            <w:shd w:val="clear" w:color="auto" w:fill="auto"/>
            <w:noWrap/>
            <w:vAlign w:val="bottom"/>
            <w:hideMark/>
          </w:tcPr>
          <w:p w14:paraId="3358C79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-1.19</w:t>
            </w:r>
          </w:p>
        </w:tc>
        <w:tc>
          <w:tcPr>
            <w:tcW w:w="686" w:type="dxa"/>
            <w:tcBorders>
              <w:top w:val="nil"/>
              <w:left w:val="nil"/>
              <w:bottom w:val="single" w:sz="4" w:space="0" w:color="auto"/>
              <w:right w:val="single" w:sz="4" w:space="0" w:color="auto"/>
            </w:tcBorders>
            <w:shd w:val="clear" w:color="auto" w:fill="auto"/>
            <w:noWrap/>
            <w:vAlign w:val="bottom"/>
            <w:hideMark/>
          </w:tcPr>
          <w:p w14:paraId="6FEDA3D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9.10</w:t>
            </w:r>
          </w:p>
        </w:tc>
        <w:tc>
          <w:tcPr>
            <w:tcW w:w="744" w:type="dxa"/>
            <w:tcBorders>
              <w:top w:val="nil"/>
              <w:left w:val="nil"/>
              <w:bottom w:val="single" w:sz="4" w:space="0" w:color="auto"/>
              <w:right w:val="single" w:sz="4" w:space="0" w:color="auto"/>
            </w:tcBorders>
            <w:shd w:val="clear" w:color="auto" w:fill="auto"/>
            <w:noWrap/>
            <w:vAlign w:val="bottom"/>
            <w:hideMark/>
          </w:tcPr>
          <w:p w14:paraId="0AB2C9C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12.74</w:t>
            </w:r>
          </w:p>
        </w:tc>
        <w:tc>
          <w:tcPr>
            <w:tcW w:w="744" w:type="dxa"/>
            <w:tcBorders>
              <w:top w:val="nil"/>
              <w:left w:val="nil"/>
              <w:bottom w:val="single" w:sz="4" w:space="0" w:color="auto"/>
              <w:right w:val="single" w:sz="4" w:space="0" w:color="auto"/>
            </w:tcBorders>
            <w:shd w:val="clear" w:color="auto" w:fill="auto"/>
            <w:noWrap/>
            <w:vAlign w:val="bottom"/>
            <w:hideMark/>
          </w:tcPr>
          <w:p w14:paraId="07F4393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6.23</w:t>
            </w:r>
          </w:p>
        </w:tc>
        <w:tc>
          <w:tcPr>
            <w:tcW w:w="879" w:type="dxa"/>
            <w:tcBorders>
              <w:top w:val="nil"/>
              <w:left w:val="nil"/>
              <w:bottom w:val="single" w:sz="4" w:space="0" w:color="auto"/>
              <w:right w:val="single" w:sz="4" w:space="0" w:color="auto"/>
            </w:tcBorders>
            <w:shd w:val="clear" w:color="auto" w:fill="auto"/>
            <w:noWrap/>
            <w:vAlign w:val="bottom"/>
            <w:hideMark/>
          </w:tcPr>
          <w:p w14:paraId="3F434C2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3.36</w:t>
            </w:r>
          </w:p>
        </w:tc>
      </w:tr>
      <w:tr w:rsidR="001F02F5" w:rsidRPr="004A73C1" w14:paraId="5D3CB2BC"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5CB1317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Switzerland</w:t>
            </w:r>
          </w:p>
        </w:tc>
        <w:tc>
          <w:tcPr>
            <w:tcW w:w="1025" w:type="dxa"/>
            <w:tcBorders>
              <w:top w:val="nil"/>
              <w:left w:val="nil"/>
              <w:bottom w:val="single" w:sz="4" w:space="0" w:color="auto"/>
              <w:right w:val="single" w:sz="4" w:space="0" w:color="auto"/>
            </w:tcBorders>
            <w:shd w:val="clear" w:color="auto" w:fill="auto"/>
            <w:noWrap/>
            <w:vAlign w:val="bottom"/>
            <w:hideMark/>
          </w:tcPr>
          <w:p w14:paraId="14C45F8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CHE</w:t>
            </w:r>
          </w:p>
        </w:tc>
        <w:tc>
          <w:tcPr>
            <w:tcW w:w="686" w:type="dxa"/>
            <w:tcBorders>
              <w:top w:val="nil"/>
              <w:left w:val="nil"/>
              <w:bottom w:val="single" w:sz="4" w:space="0" w:color="auto"/>
              <w:right w:val="single" w:sz="4" w:space="0" w:color="auto"/>
            </w:tcBorders>
            <w:shd w:val="clear" w:color="auto" w:fill="auto"/>
            <w:noWrap/>
            <w:vAlign w:val="bottom"/>
            <w:hideMark/>
          </w:tcPr>
          <w:p w14:paraId="4C92879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2.89</w:t>
            </w:r>
          </w:p>
        </w:tc>
        <w:tc>
          <w:tcPr>
            <w:tcW w:w="744" w:type="dxa"/>
            <w:tcBorders>
              <w:top w:val="nil"/>
              <w:left w:val="nil"/>
              <w:bottom w:val="single" w:sz="4" w:space="0" w:color="auto"/>
              <w:right w:val="single" w:sz="4" w:space="0" w:color="auto"/>
            </w:tcBorders>
            <w:shd w:val="clear" w:color="auto" w:fill="auto"/>
            <w:noWrap/>
            <w:vAlign w:val="bottom"/>
            <w:hideMark/>
          </w:tcPr>
          <w:p w14:paraId="2C680D10"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17.11</w:t>
            </w:r>
          </w:p>
        </w:tc>
        <w:tc>
          <w:tcPr>
            <w:tcW w:w="744" w:type="dxa"/>
            <w:tcBorders>
              <w:top w:val="nil"/>
              <w:left w:val="nil"/>
              <w:bottom w:val="single" w:sz="4" w:space="0" w:color="auto"/>
              <w:right w:val="single" w:sz="4" w:space="0" w:color="auto"/>
            </w:tcBorders>
            <w:shd w:val="clear" w:color="auto" w:fill="auto"/>
            <w:noWrap/>
            <w:vAlign w:val="bottom"/>
            <w:hideMark/>
          </w:tcPr>
          <w:p w14:paraId="2EC9DF8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24.25</w:t>
            </w:r>
          </w:p>
        </w:tc>
        <w:tc>
          <w:tcPr>
            <w:tcW w:w="744" w:type="dxa"/>
            <w:tcBorders>
              <w:top w:val="nil"/>
              <w:left w:val="nil"/>
              <w:bottom w:val="single" w:sz="4" w:space="0" w:color="auto"/>
              <w:right w:val="single" w:sz="4" w:space="0" w:color="auto"/>
            </w:tcBorders>
            <w:shd w:val="clear" w:color="auto" w:fill="auto"/>
            <w:noWrap/>
            <w:vAlign w:val="bottom"/>
            <w:hideMark/>
          </w:tcPr>
          <w:p w14:paraId="1191FBA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20.60</w:t>
            </w:r>
          </w:p>
        </w:tc>
        <w:tc>
          <w:tcPr>
            <w:tcW w:w="744" w:type="dxa"/>
            <w:tcBorders>
              <w:top w:val="nil"/>
              <w:left w:val="nil"/>
              <w:bottom w:val="single" w:sz="4" w:space="0" w:color="auto"/>
              <w:right w:val="single" w:sz="4" w:space="0" w:color="auto"/>
            </w:tcBorders>
            <w:shd w:val="clear" w:color="auto" w:fill="auto"/>
            <w:noWrap/>
            <w:vAlign w:val="bottom"/>
            <w:hideMark/>
          </w:tcPr>
          <w:p w14:paraId="287081A0"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-22.11</w:t>
            </w:r>
          </w:p>
        </w:tc>
        <w:tc>
          <w:tcPr>
            <w:tcW w:w="686" w:type="dxa"/>
            <w:tcBorders>
              <w:top w:val="nil"/>
              <w:left w:val="nil"/>
              <w:bottom w:val="single" w:sz="4" w:space="0" w:color="auto"/>
              <w:right w:val="single" w:sz="4" w:space="0" w:color="auto"/>
            </w:tcBorders>
            <w:shd w:val="clear" w:color="auto" w:fill="auto"/>
            <w:noWrap/>
            <w:vAlign w:val="bottom"/>
            <w:hideMark/>
          </w:tcPr>
          <w:p w14:paraId="7F299AE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1.22</w:t>
            </w:r>
          </w:p>
        </w:tc>
        <w:tc>
          <w:tcPr>
            <w:tcW w:w="744" w:type="dxa"/>
            <w:tcBorders>
              <w:top w:val="nil"/>
              <w:left w:val="nil"/>
              <w:bottom w:val="single" w:sz="4" w:space="0" w:color="auto"/>
              <w:right w:val="single" w:sz="4" w:space="0" w:color="auto"/>
            </w:tcBorders>
            <w:shd w:val="clear" w:color="auto" w:fill="auto"/>
            <w:noWrap/>
            <w:vAlign w:val="bottom"/>
            <w:hideMark/>
          </w:tcPr>
          <w:p w14:paraId="7A29AB6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-32.64</w:t>
            </w:r>
          </w:p>
        </w:tc>
        <w:tc>
          <w:tcPr>
            <w:tcW w:w="744" w:type="dxa"/>
            <w:tcBorders>
              <w:top w:val="nil"/>
              <w:left w:val="nil"/>
              <w:bottom w:val="single" w:sz="4" w:space="0" w:color="auto"/>
              <w:right w:val="single" w:sz="4" w:space="0" w:color="auto"/>
            </w:tcBorders>
            <w:shd w:val="clear" w:color="auto" w:fill="auto"/>
            <w:noWrap/>
            <w:vAlign w:val="bottom"/>
            <w:hideMark/>
          </w:tcPr>
          <w:p w14:paraId="2BA23DF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-14.41</w:t>
            </w:r>
          </w:p>
        </w:tc>
        <w:tc>
          <w:tcPr>
            <w:tcW w:w="879" w:type="dxa"/>
            <w:tcBorders>
              <w:top w:val="nil"/>
              <w:left w:val="nil"/>
              <w:bottom w:val="single" w:sz="4" w:space="0" w:color="auto"/>
              <w:right w:val="single" w:sz="4" w:space="0" w:color="auto"/>
            </w:tcBorders>
            <w:shd w:val="clear" w:color="auto" w:fill="auto"/>
            <w:noWrap/>
            <w:vAlign w:val="bottom"/>
            <w:hideMark/>
          </w:tcPr>
          <w:p w14:paraId="0A2F8CE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-1.34</w:t>
            </w:r>
          </w:p>
        </w:tc>
      </w:tr>
      <w:tr w:rsidR="001F02F5" w:rsidRPr="004A73C1" w14:paraId="6058598D"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7CA1C11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Germany</w:t>
            </w:r>
          </w:p>
        </w:tc>
        <w:tc>
          <w:tcPr>
            <w:tcW w:w="1025" w:type="dxa"/>
            <w:tcBorders>
              <w:top w:val="nil"/>
              <w:left w:val="nil"/>
              <w:bottom w:val="single" w:sz="4" w:space="0" w:color="auto"/>
              <w:right w:val="single" w:sz="4" w:space="0" w:color="auto"/>
            </w:tcBorders>
            <w:shd w:val="clear" w:color="auto" w:fill="auto"/>
            <w:noWrap/>
            <w:vAlign w:val="bottom"/>
            <w:hideMark/>
          </w:tcPr>
          <w:p w14:paraId="6478A328"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DEU</w:t>
            </w:r>
          </w:p>
        </w:tc>
        <w:tc>
          <w:tcPr>
            <w:tcW w:w="686" w:type="dxa"/>
            <w:tcBorders>
              <w:top w:val="nil"/>
              <w:left w:val="nil"/>
              <w:bottom w:val="single" w:sz="4" w:space="0" w:color="auto"/>
              <w:right w:val="single" w:sz="4" w:space="0" w:color="auto"/>
            </w:tcBorders>
            <w:shd w:val="clear" w:color="auto" w:fill="auto"/>
            <w:noWrap/>
            <w:vAlign w:val="bottom"/>
            <w:hideMark/>
          </w:tcPr>
          <w:p w14:paraId="03182AA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0.50</w:t>
            </w:r>
          </w:p>
        </w:tc>
        <w:tc>
          <w:tcPr>
            <w:tcW w:w="744" w:type="dxa"/>
            <w:tcBorders>
              <w:top w:val="nil"/>
              <w:left w:val="nil"/>
              <w:bottom w:val="single" w:sz="4" w:space="0" w:color="auto"/>
              <w:right w:val="single" w:sz="4" w:space="0" w:color="auto"/>
            </w:tcBorders>
            <w:shd w:val="clear" w:color="auto" w:fill="auto"/>
            <w:noWrap/>
            <w:vAlign w:val="bottom"/>
            <w:hideMark/>
          </w:tcPr>
          <w:p w14:paraId="5128D21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1.86</w:t>
            </w:r>
          </w:p>
        </w:tc>
        <w:tc>
          <w:tcPr>
            <w:tcW w:w="744" w:type="dxa"/>
            <w:tcBorders>
              <w:top w:val="nil"/>
              <w:left w:val="nil"/>
              <w:bottom w:val="single" w:sz="4" w:space="0" w:color="auto"/>
              <w:right w:val="single" w:sz="4" w:space="0" w:color="auto"/>
            </w:tcBorders>
            <w:shd w:val="clear" w:color="auto" w:fill="auto"/>
            <w:noWrap/>
            <w:vAlign w:val="bottom"/>
            <w:hideMark/>
          </w:tcPr>
          <w:p w14:paraId="261151A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1.87</w:t>
            </w:r>
          </w:p>
        </w:tc>
        <w:tc>
          <w:tcPr>
            <w:tcW w:w="744" w:type="dxa"/>
            <w:tcBorders>
              <w:top w:val="nil"/>
              <w:left w:val="nil"/>
              <w:bottom w:val="single" w:sz="4" w:space="0" w:color="auto"/>
              <w:right w:val="single" w:sz="4" w:space="0" w:color="auto"/>
            </w:tcBorders>
            <w:shd w:val="clear" w:color="auto" w:fill="auto"/>
            <w:noWrap/>
            <w:vAlign w:val="bottom"/>
            <w:hideMark/>
          </w:tcPr>
          <w:p w14:paraId="0176E14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2.97</w:t>
            </w:r>
          </w:p>
        </w:tc>
        <w:tc>
          <w:tcPr>
            <w:tcW w:w="744" w:type="dxa"/>
            <w:tcBorders>
              <w:top w:val="nil"/>
              <w:left w:val="nil"/>
              <w:bottom w:val="single" w:sz="4" w:space="0" w:color="auto"/>
              <w:right w:val="single" w:sz="4" w:space="0" w:color="auto"/>
            </w:tcBorders>
            <w:shd w:val="clear" w:color="auto" w:fill="auto"/>
            <w:noWrap/>
            <w:vAlign w:val="bottom"/>
            <w:hideMark/>
          </w:tcPr>
          <w:p w14:paraId="48ACC6D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4.20</w:t>
            </w:r>
          </w:p>
        </w:tc>
        <w:tc>
          <w:tcPr>
            <w:tcW w:w="686" w:type="dxa"/>
            <w:tcBorders>
              <w:top w:val="nil"/>
              <w:left w:val="nil"/>
              <w:bottom w:val="single" w:sz="4" w:space="0" w:color="auto"/>
              <w:right w:val="single" w:sz="4" w:space="0" w:color="auto"/>
            </w:tcBorders>
            <w:shd w:val="clear" w:color="auto" w:fill="auto"/>
            <w:noWrap/>
            <w:vAlign w:val="bottom"/>
            <w:hideMark/>
          </w:tcPr>
          <w:p w14:paraId="2756125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1.90</w:t>
            </w:r>
          </w:p>
        </w:tc>
        <w:tc>
          <w:tcPr>
            <w:tcW w:w="744" w:type="dxa"/>
            <w:tcBorders>
              <w:top w:val="nil"/>
              <w:left w:val="nil"/>
              <w:bottom w:val="single" w:sz="4" w:space="0" w:color="auto"/>
              <w:right w:val="single" w:sz="4" w:space="0" w:color="auto"/>
            </w:tcBorders>
            <w:shd w:val="clear" w:color="auto" w:fill="auto"/>
            <w:noWrap/>
            <w:vAlign w:val="bottom"/>
            <w:hideMark/>
          </w:tcPr>
          <w:p w14:paraId="2C0A2A7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4.55</w:t>
            </w:r>
          </w:p>
        </w:tc>
        <w:tc>
          <w:tcPr>
            <w:tcW w:w="744" w:type="dxa"/>
            <w:tcBorders>
              <w:top w:val="nil"/>
              <w:left w:val="nil"/>
              <w:bottom w:val="single" w:sz="4" w:space="0" w:color="auto"/>
              <w:right w:val="single" w:sz="4" w:space="0" w:color="auto"/>
            </w:tcBorders>
            <w:shd w:val="clear" w:color="auto" w:fill="auto"/>
            <w:noWrap/>
            <w:vAlign w:val="bottom"/>
            <w:hideMark/>
          </w:tcPr>
          <w:p w14:paraId="1D0BB3B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2.39</w:t>
            </w:r>
          </w:p>
        </w:tc>
        <w:tc>
          <w:tcPr>
            <w:tcW w:w="879" w:type="dxa"/>
            <w:tcBorders>
              <w:top w:val="nil"/>
              <w:left w:val="nil"/>
              <w:bottom w:val="single" w:sz="4" w:space="0" w:color="auto"/>
              <w:right w:val="single" w:sz="4" w:space="0" w:color="auto"/>
            </w:tcBorders>
            <w:shd w:val="clear" w:color="auto" w:fill="auto"/>
            <w:noWrap/>
            <w:vAlign w:val="bottom"/>
            <w:hideMark/>
          </w:tcPr>
          <w:p w14:paraId="64F9DB20"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1.54</w:t>
            </w:r>
          </w:p>
        </w:tc>
      </w:tr>
      <w:tr w:rsidR="001F02F5" w:rsidRPr="004A73C1" w14:paraId="619FCD3E"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38706AE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East Asia &amp; Pacific</w:t>
            </w:r>
          </w:p>
        </w:tc>
        <w:tc>
          <w:tcPr>
            <w:tcW w:w="1025" w:type="dxa"/>
            <w:tcBorders>
              <w:top w:val="nil"/>
              <w:left w:val="nil"/>
              <w:bottom w:val="single" w:sz="4" w:space="0" w:color="auto"/>
              <w:right w:val="single" w:sz="4" w:space="0" w:color="auto"/>
            </w:tcBorders>
            <w:shd w:val="clear" w:color="auto" w:fill="auto"/>
            <w:noWrap/>
            <w:vAlign w:val="bottom"/>
            <w:hideMark/>
          </w:tcPr>
          <w:p w14:paraId="4BC1592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EAS</w:t>
            </w:r>
          </w:p>
        </w:tc>
        <w:tc>
          <w:tcPr>
            <w:tcW w:w="686" w:type="dxa"/>
            <w:tcBorders>
              <w:top w:val="nil"/>
              <w:left w:val="nil"/>
              <w:bottom w:val="single" w:sz="4" w:space="0" w:color="auto"/>
              <w:right w:val="single" w:sz="4" w:space="0" w:color="auto"/>
            </w:tcBorders>
            <w:shd w:val="clear" w:color="auto" w:fill="auto"/>
            <w:noWrap/>
            <w:vAlign w:val="bottom"/>
            <w:hideMark/>
          </w:tcPr>
          <w:p w14:paraId="53874E4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2.86</w:t>
            </w:r>
          </w:p>
        </w:tc>
        <w:tc>
          <w:tcPr>
            <w:tcW w:w="744" w:type="dxa"/>
            <w:tcBorders>
              <w:top w:val="nil"/>
              <w:left w:val="nil"/>
              <w:bottom w:val="single" w:sz="4" w:space="0" w:color="auto"/>
              <w:right w:val="single" w:sz="4" w:space="0" w:color="auto"/>
            </w:tcBorders>
            <w:shd w:val="clear" w:color="auto" w:fill="auto"/>
            <w:noWrap/>
            <w:vAlign w:val="bottom"/>
            <w:hideMark/>
          </w:tcPr>
          <w:p w14:paraId="08D3748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2.81</w:t>
            </w:r>
          </w:p>
        </w:tc>
        <w:tc>
          <w:tcPr>
            <w:tcW w:w="744" w:type="dxa"/>
            <w:tcBorders>
              <w:top w:val="nil"/>
              <w:left w:val="nil"/>
              <w:bottom w:val="single" w:sz="4" w:space="0" w:color="auto"/>
              <w:right w:val="single" w:sz="4" w:space="0" w:color="auto"/>
            </w:tcBorders>
            <w:shd w:val="clear" w:color="auto" w:fill="auto"/>
            <w:noWrap/>
            <w:vAlign w:val="bottom"/>
            <w:hideMark/>
          </w:tcPr>
          <w:p w14:paraId="332949D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2.33</w:t>
            </w:r>
          </w:p>
        </w:tc>
        <w:tc>
          <w:tcPr>
            <w:tcW w:w="744" w:type="dxa"/>
            <w:tcBorders>
              <w:top w:val="nil"/>
              <w:left w:val="nil"/>
              <w:bottom w:val="single" w:sz="4" w:space="0" w:color="auto"/>
              <w:right w:val="single" w:sz="4" w:space="0" w:color="auto"/>
            </w:tcBorders>
            <w:shd w:val="clear" w:color="auto" w:fill="auto"/>
            <w:noWrap/>
            <w:vAlign w:val="bottom"/>
            <w:hideMark/>
          </w:tcPr>
          <w:p w14:paraId="5203645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2.31</w:t>
            </w:r>
          </w:p>
        </w:tc>
        <w:tc>
          <w:tcPr>
            <w:tcW w:w="744" w:type="dxa"/>
            <w:tcBorders>
              <w:top w:val="nil"/>
              <w:left w:val="nil"/>
              <w:bottom w:val="single" w:sz="4" w:space="0" w:color="auto"/>
              <w:right w:val="single" w:sz="4" w:space="0" w:color="auto"/>
            </w:tcBorders>
            <w:shd w:val="clear" w:color="auto" w:fill="auto"/>
            <w:noWrap/>
            <w:vAlign w:val="bottom"/>
            <w:hideMark/>
          </w:tcPr>
          <w:p w14:paraId="672C911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2.27</w:t>
            </w:r>
          </w:p>
        </w:tc>
        <w:tc>
          <w:tcPr>
            <w:tcW w:w="686" w:type="dxa"/>
            <w:tcBorders>
              <w:top w:val="nil"/>
              <w:left w:val="nil"/>
              <w:bottom w:val="single" w:sz="4" w:space="0" w:color="auto"/>
              <w:right w:val="single" w:sz="4" w:space="0" w:color="auto"/>
            </w:tcBorders>
            <w:shd w:val="clear" w:color="auto" w:fill="auto"/>
            <w:noWrap/>
            <w:vAlign w:val="bottom"/>
            <w:hideMark/>
          </w:tcPr>
          <w:p w14:paraId="33C7813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1.97</w:t>
            </w:r>
          </w:p>
        </w:tc>
        <w:tc>
          <w:tcPr>
            <w:tcW w:w="744" w:type="dxa"/>
            <w:tcBorders>
              <w:top w:val="nil"/>
              <w:left w:val="nil"/>
              <w:bottom w:val="single" w:sz="4" w:space="0" w:color="auto"/>
              <w:right w:val="single" w:sz="4" w:space="0" w:color="auto"/>
            </w:tcBorders>
            <w:shd w:val="clear" w:color="auto" w:fill="auto"/>
            <w:noWrap/>
            <w:vAlign w:val="bottom"/>
            <w:hideMark/>
          </w:tcPr>
          <w:p w14:paraId="07B3FA1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2.18</w:t>
            </w:r>
          </w:p>
        </w:tc>
        <w:tc>
          <w:tcPr>
            <w:tcW w:w="744" w:type="dxa"/>
            <w:tcBorders>
              <w:top w:val="nil"/>
              <w:left w:val="nil"/>
              <w:bottom w:val="single" w:sz="4" w:space="0" w:color="auto"/>
              <w:right w:val="single" w:sz="4" w:space="0" w:color="auto"/>
            </w:tcBorders>
            <w:shd w:val="clear" w:color="auto" w:fill="auto"/>
            <w:noWrap/>
            <w:vAlign w:val="bottom"/>
            <w:hideMark/>
          </w:tcPr>
          <w:p w14:paraId="1E8EDEB0"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2.61</w:t>
            </w:r>
          </w:p>
        </w:tc>
        <w:tc>
          <w:tcPr>
            <w:tcW w:w="879" w:type="dxa"/>
            <w:tcBorders>
              <w:top w:val="nil"/>
              <w:left w:val="nil"/>
              <w:bottom w:val="single" w:sz="4" w:space="0" w:color="auto"/>
              <w:right w:val="single" w:sz="4" w:space="0" w:color="auto"/>
            </w:tcBorders>
            <w:shd w:val="clear" w:color="auto" w:fill="auto"/>
            <w:noWrap/>
            <w:vAlign w:val="bottom"/>
            <w:hideMark/>
          </w:tcPr>
          <w:p w14:paraId="6A01C998"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2.30</w:t>
            </w:r>
          </w:p>
        </w:tc>
      </w:tr>
      <w:tr w:rsidR="001F02F5" w:rsidRPr="004A73C1" w14:paraId="47F6DA55" w14:textId="77777777" w:rsidTr="00ED3916">
        <w:trPr>
          <w:trHeight w:val="169"/>
        </w:trPr>
        <w:tc>
          <w:tcPr>
            <w:tcW w:w="1469" w:type="dxa"/>
            <w:tcBorders>
              <w:top w:val="nil"/>
              <w:left w:val="single" w:sz="4" w:space="0" w:color="auto"/>
              <w:bottom w:val="single" w:sz="4" w:space="0" w:color="auto"/>
              <w:right w:val="single" w:sz="4" w:space="0" w:color="auto"/>
            </w:tcBorders>
            <w:shd w:val="clear" w:color="auto" w:fill="auto"/>
            <w:vAlign w:val="bottom"/>
            <w:hideMark/>
          </w:tcPr>
          <w:p w14:paraId="4A91BB7C" w14:textId="72D6D0A6"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Europe &amp; Central Asia (excluding high-income)</w:t>
            </w:r>
          </w:p>
        </w:tc>
        <w:tc>
          <w:tcPr>
            <w:tcW w:w="1025" w:type="dxa"/>
            <w:tcBorders>
              <w:top w:val="nil"/>
              <w:left w:val="nil"/>
              <w:bottom w:val="single" w:sz="4" w:space="0" w:color="auto"/>
              <w:right w:val="single" w:sz="4" w:space="0" w:color="auto"/>
            </w:tcBorders>
            <w:shd w:val="clear" w:color="auto" w:fill="auto"/>
            <w:noWrap/>
            <w:vAlign w:val="bottom"/>
            <w:hideMark/>
          </w:tcPr>
          <w:p w14:paraId="53D25678"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ECA</w:t>
            </w:r>
          </w:p>
        </w:tc>
        <w:tc>
          <w:tcPr>
            <w:tcW w:w="686" w:type="dxa"/>
            <w:tcBorders>
              <w:top w:val="nil"/>
              <w:left w:val="nil"/>
              <w:bottom w:val="single" w:sz="4" w:space="0" w:color="auto"/>
              <w:right w:val="single" w:sz="4" w:space="0" w:color="auto"/>
            </w:tcBorders>
            <w:shd w:val="clear" w:color="auto" w:fill="auto"/>
            <w:noWrap/>
            <w:vAlign w:val="bottom"/>
            <w:hideMark/>
          </w:tcPr>
          <w:p w14:paraId="474C0BF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2.32</w:t>
            </w:r>
          </w:p>
        </w:tc>
        <w:tc>
          <w:tcPr>
            <w:tcW w:w="744" w:type="dxa"/>
            <w:tcBorders>
              <w:top w:val="nil"/>
              <w:left w:val="nil"/>
              <w:bottom w:val="single" w:sz="4" w:space="0" w:color="auto"/>
              <w:right w:val="single" w:sz="4" w:space="0" w:color="auto"/>
            </w:tcBorders>
            <w:shd w:val="clear" w:color="auto" w:fill="auto"/>
            <w:noWrap/>
            <w:vAlign w:val="bottom"/>
            <w:hideMark/>
          </w:tcPr>
          <w:p w14:paraId="4B72E7E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2.93</w:t>
            </w:r>
          </w:p>
        </w:tc>
        <w:tc>
          <w:tcPr>
            <w:tcW w:w="744" w:type="dxa"/>
            <w:tcBorders>
              <w:top w:val="nil"/>
              <w:left w:val="nil"/>
              <w:bottom w:val="single" w:sz="4" w:space="0" w:color="auto"/>
              <w:right w:val="single" w:sz="4" w:space="0" w:color="auto"/>
            </w:tcBorders>
            <w:shd w:val="clear" w:color="auto" w:fill="auto"/>
            <w:noWrap/>
            <w:vAlign w:val="bottom"/>
            <w:hideMark/>
          </w:tcPr>
          <w:p w14:paraId="123864F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3.63</w:t>
            </w:r>
          </w:p>
        </w:tc>
        <w:tc>
          <w:tcPr>
            <w:tcW w:w="744" w:type="dxa"/>
            <w:tcBorders>
              <w:top w:val="nil"/>
              <w:left w:val="nil"/>
              <w:bottom w:val="single" w:sz="4" w:space="0" w:color="auto"/>
              <w:right w:val="single" w:sz="4" w:space="0" w:color="auto"/>
            </w:tcBorders>
            <w:shd w:val="clear" w:color="auto" w:fill="auto"/>
            <w:noWrap/>
            <w:vAlign w:val="bottom"/>
            <w:hideMark/>
          </w:tcPr>
          <w:p w14:paraId="1886007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2.41</w:t>
            </w:r>
          </w:p>
        </w:tc>
        <w:tc>
          <w:tcPr>
            <w:tcW w:w="744" w:type="dxa"/>
            <w:tcBorders>
              <w:top w:val="nil"/>
              <w:left w:val="nil"/>
              <w:bottom w:val="single" w:sz="4" w:space="0" w:color="auto"/>
              <w:right w:val="single" w:sz="4" w:space="0" w:color="auto"/>
            </w:tcBorders>
            <w:shd w:val="clear" w:color="auto" w:fill="auto"/>
            <w:noWrap/>
            <w:vAlign w:val="bottom"/>
            <w:hideMark/>
          </w:tcPr>
          <w:p w14:paraId="67CDB46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2.22</w:t>
            </w:r>
          </w:p>
        </w:tc>
        <w:tc>
          <w:tcPr>
            <w:tcW w:w="686" w:type="dxa"/>
            <w:tcBorders>
              <w:top w:val="nil"/>
              <w:left w:val="nil"/>
              <w:bottom w:val="single" w:sz="4" w:space="0" w:color="auto"/>
              <w:right w:val="single" w:sz="4" w:space="0" w:color="auto"/>
            </w:tcBorders>
            <w:shd w:val="clear" w:color="auto" w:fill="auto"/>
            <w:noWrap/>
            <w:vAlign w:val="bottom"/>
            <w:hideMark/>
          </w:tcPr>
          <w:p w14:paraId="598F541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2.40</w:t>
            </w:r>
          </w:p>
        </w:tc>
        <w:tc>
          <w:tcPr>
            <w:tcW w:w="744" w:type="dxa"/>
            <w:tcBorders>
              <w:top w:val="nil"/>
              <w:left w:val="nil"/>
              <w:bottom w:val="single" w:sz="4" w:space="0" w:color="auto"/>
              <w:right w:val="single" w:sz="4" w:space="0" w:color="auto"/>
            </w:tcBorders>
            <w:shd w:val="clear" w:color="auto" w:fill="auto"/>
            <w:noWrap/>
            <w:vAlign w:val="bottom"/>
            <w:hideMark/>
          </w:tcPr>
          <w:p w14:paraId="6A9B0EA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1.87</w:t>
            </w:r>
          </w:p>
        </w:tc>
        <w:tc>
          <w:tcPr>
            <w:tcW w:w="744" w:type="dxa"/>
            <w:tcBorders>
              <w:top w:val="nil"/>
              <w:left w:val="nil"/>
              <w:bottom w:val="single" w:sz="4" w:space="0" w:color="auto"/>
              <w:right w:val="single" w:sz="4" w:space="0" w:color="auto"/>
            </w:tcBorders>
            <w:shd w:val="clear" w:color="auto" w:fill="auto"/>
            <w:noWrap/>
            <w:vAlign w:val="bottom"/>
            <w:hideMark/>
          </w:tcPr>
          <w:p w14:paraId="598D7A3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2.37</w:t>
            </w:r>
          </w:p>
        </w:tc>
        <w:tc>
          <w:tcPr>
            <w:tcW w:w="879" w:type="dxa"/>
            <w:tcBorders>
              <w:top w:val="nil"/>
              <w:left w:val="nil"/>
              <w:bottom w:val="single" w:sz="4" w:space="0" w:color="auto"/>
              <w:right w:val="single" w:sz="4" w:space="0" w:color="auto"/>
            </w:tcBorders>
            <w:shd w:val="clear" w:color="auto" w:fill="auto"/>
            <w:noWrap/>
            <w:vAlign w:val="bottom"/>
            <w:hideMark/>
          </w:tcPr>
          <w:p w14:paraId="2395E17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1.81</w:t>
            </w:r>
          </w:p>
        </w:tc>
      </w:tr>
      <w:tr w:rsidR="001F02F5" w:rsidRPr="004A73C1" w14:paraId="64A22C9B"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6422DBB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Europe &amp; Central Asia</w:t>
            </w:r>
          </w:p>
        </w:tc>
        <w:tc>
          <w:tcPr>
            <w:tcW w:w="1025" w:type="dxa"/>
            <w:tcBorders>
              <w:top w:val="nil"/>
              <w:left w:val="nil"/>
              <w:bottom w:val="single" w:sz="4" w:space="0" w:color="auto"/>
              <w:right w:val="single" w:sz="4" w:space="0" w:color="auto"/>
            </w:tcBorders>
            <w:shd w:val="clear" w:color="auto" w:fill="auto"/>
            <w:noWrap/>
            <w:vAlign w:val="bottom"/>
            <w:hideMark/>
          </w:tcPr>
          <w:p w14:paraId="28552BA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ECS</w:t>
            </w:r>
          </w:p>
        </w:tc>
        <w:tc>
          <w:tcPr>
            <w:tcW w:w="686" w:type="dxa"/>
            <w:tcBorders>
              <w:top w:val="nil"/>
              <w:left w:val="nil"/>
              <w:bottom w:val="single" w:sz="4" w:space="0" w:color="auto"/>
              <w:right w:val="single" w:sz="4" w:space="0" w:color="auto"/>
            </w:tcBorders>
            <w:shd w:val="clear" w:color="auto" w:fill="auto"/>
            <w:noWrap/>
            <w:vAlign w:val="bottom"/>
            <w:hideMark/>
          </w:tcPr>
          <w:p w14:paraId="66790D9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2.48</w:t>
            </w:r>
          </w:p>
        </w:tc>
        <w:tc>
          <w:tcPr>
            <w:tcW w:w="744" w:type="dxa"/>
            <w:tcBorders>
              <w:top w:val="nil"/>
              <w:left w:val="nil"/>
              <w:bottom w:val="single" w:sz="4" w:space="0" w:color="auto"/>
              <w:right w:val="single" w:sz="4" w:space="0" w:color="auto"/>
            </w:tcBorders>
            <w:shd w:val="clear" w:color="auto" w:fill="auto"/>
            <w:noWrap/>
            <w:vAlign w:val="bottom"/>
            <w:hideMark/>
          </w:tcPr>
          <w:p w14:paraId="4D0A7AB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5.47</w:t>
            </w:r>
          </w:p>
        </w:tc>
        <w:tc>
          <w:tcPr>
            <w:tcW w:w="744" w:type="dxa"/>
            <w:tcBorders>
              <w:top w:val="nil"/>
              <w:left w:val="nil"/>
              <w:bottom w:val="single" w:sz="4" w:space="0" w:color="auto"/>
              <w:right w:val="single" w:sz="4" w:space="0" w:color="auto"/>
            </w:tcBorders>
            <w:shd w:val="clear" w:color="auto" w:fill="auto"/>
            <w:noWrap/>
            <w:vAlign w:val="bottom"/>
            <w:hideMark/>
          </w:tcPr>
          <w:p w14:paraId="2611E4A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6.56</w:t>
            </w:r>
          </w:p>
        </w:tc>
        <w:tc>
          <w:tcPr>
            <w:tcW w:w="744" w:type="dxa"/>
            <w:tcBorders>
              <w:top w:val="nil"/>
              <w:left w:val="nil"/>
              <w:bottom w:val="single" w:sz="4" w:space="0" w:color="auto"/>
              <w:right w:val="single" w:sz="4" w:space="0" w:color="auto"/>
            </w:tcBorders>
            <w:shd w:val="clear" w:color="auto" w:fill="auto"/>
            <w:noWrap/>
            <w:vAlign w:val="bottom"/>
            <w:hideMark/>
          </w:tcPr>
          <w:p w14:paraId="177D499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4.15</w:t>
            </w:r>
          </w:p>
        </w:tc>
        <w:tc>
          <w:tcPr>
            <w:tcW w:w="744" w:type="dxa"/>
            <w:tcBorders>
              <w:top w:val="nil"/>
              <w:left w:val="nil"/>
              <w:bottom w:val="single" w:sz="4" w:space="0" w:color="auto"/>
              <w:right w:val="single" w:sz="4" w:space="0" w:color="auto"/>
            </w:tcBorders>
            <w:shd w:val="clear" w:color="auto" w:fill="auto"/>
            <w:noWrap/>
            <w:vAlign w:val="bottom"/>
            <w:hideMark/>
          </w:tcPr>
          <w:p w14:paraId="3C7CC97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-1.38</w:t>
            </w:r>
          </w:p>
        </w:tc>
        <w:tc>
          <w:tcPr>
            <w:tcW w:w="686" w:type="dxa"/>
            <w:tcBorders>
              <w:top w:val="nil"/>
              <w:left w:val="nil"/>
              <w:bottom w:val="single" w:sz="4" w:space="0" w:color="auto"/>
              <w:right w:val="single" w:sz="4" w:space="0" w:color="auto"/>
            </w:tcBorders>
            <w:shd w:val="clear" w:color="auto" w:fill="auto"/>
            <w:noWrap/>
            <w:vAlign w:val="bottom"/>
            <w:hideMark/>
          </w:tcPr>
          <w:p w14:paraId="1A48FEF8"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2.69</w:t>
            </w:r>
          </w:p>
        </w:tc>
        <w:tc>
          <w:tcPr>
            <w:tcW w:w="744" w:type="dxa"/>
            <w:tcBorders>
              <w:top w:val="nil"/>
              <w:left w:val="nil"/>
              <w:bottom w:val="single" w:sz="4" w:space="0" w:color="auto"/>
              <w:right w:val="single" w:sz="4" w:space="0" w:color="auto"/>
            </w:tcBorders>
            <w:shd w:val="clear" w:color="auto" w:fill="auto"/>
            <w:noWrap/>
            <w:vAlign w:val="bottom"/>
            <w:hideMark/>
          </w:tcPr>
          <w:p w14:paraId="7D6A40C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0.76</w:t>
            </w:r>
          </w:p>
        </w:tc>
        <w:tc>
          <w:tcPr>
            <w:tcW w:w="744" w:type="dxa"/>
            <w:tcBorders>
              <w:top w:val="nil"/>
              <w:left w:val="nil"/>
              <w:bottom w:val="single" w:sz="4" w:space="0" w:color="auto"/>
              <w:right w:val="single" w:sz="4" w:space="0" w:color="auto"/>
            </w:tcBorders>
            <w:shd w:val="clear" w:color="auto" w:fill="auto"/>
            <w:noWrap/>
            <w:vAlign w:val="bottom"/>
            <w:hideMark/>
          </w:tcPr>
          <w:p w14:paraId="7044774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2.11</w:t>
            </w:r>
          </w:p>
        </w:tc>
        <w:tc>
          <w:tcPr>
            <w:tcW w:w="879" w:type="dxa"/>
            <w:tcBorders>
              <w:top w:val="nil"/>
              <w:left w:val="nil"/>
              <w:bottom w:val="single" w:sz="4" w:space="0" w:color="auto"/>
              <w:right w:val="single" w:sz="4" w:space="0" w:color="auto"/>
            </w:tcBorders>
            <w:shd w:val="clear" w:color="auto" w:fill="auto"/>
            <w:noWrap/>
            <w:vAlign w:val="bottom"/>
            <w:hideMark/>
          </w:tcPr>
          <w:p w14:paraId="0DA095D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0.74</w:t>
            </w:r>
          </w:p>
        </w:tc>
      </w:tr>
      <w:tr w:rsidR="001F02F5" w:rsidRPr="004A73C1" w14:paraId="3547516C"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3C9610A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France</w:t>
            </w:r>
          </w:p>
        </w:tc>
        <w:tc>
          <w:tcPr>
            <w:tcW w:w="1025" w:type="dxa"/>
            <w:tcBorders>
              <w:top w:val="nil"/>
              <w:left w:val="nil"/>
              <w:bottom w:val="single" w:sz="4" w:space="0" w:color="auto"/>
              <w:right w:val="single" w:sz="4" w:space="0" w:color="auto"/>
            </w:tcBorders>
            <w:shd w:val="clear" w:color="auto" w:fill="auto"/>
            <w:noWrap/>
            <w:vAlign w:val="bottom"/>
            <w:hideMark/>
          </w:tcPr>
          <w:p w14:paraId="640A729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FRA</w:t>
            </w:r>
          </w:p>
        </w:tc>
        <w:tc>
          <w:tcPr>
            <w:tcW w:w="686" w:type="dxa"/>
            <w:tcBorders>
              <w:top w:val="nil"/>
              <w:left w:val="nil"/>
              <w:bottom w:val="single" w:sz="4" w:space="0" w:color="auto"/>
              <w:right w:val="single" w:sz="4" w:space="0" w:color="auto"/>
            </w:tcBorders>
            <w:shd w:val="clear" w:color="auto" w:fill="auto"/>
            <w:noWrap/>
            <w:vAlign w:val="bottom"/>
            <w:hideMark/>
          </w:tcPr>
          <w:p w14:paraId="7FDA2DF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0.20</w:t>
            </w:r>
          </w:p>
        </w:tc>
        <w:tc>
          <w:tcPr>
            <w:tcW w:w="744" w:type="dxa"/>
            <w:tcBorders>
              <w:top w:val="nil"/>
              <w:left w:val="nil"/>
              <w:bottom w:val="single" w:sz="4" w:space="0" w:color="auto"/>
              <w:right w:val="single" w:sz="4" w:space="0" w:color="auto"/>
            </w:tcBorders>
            <w:shd w:val="clear" w:color="auto" w:fill="auto"/>
            <w:noWrap/>
            <w:vAlign w:val="bottom"/>
            <w:hideMark/>
          </w:tcPr>
          <w:p w14:paraId="70216DC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1.76</w:t>
            </w:r>
          </w:p>
        </w:tc>
        <w:tc>
          <w:tcPr>
            <w:tcW w:w="744" w:type="dxa"/>
            <w:tcBorders>
              <w:top w:val="nil"/>
              <w:left w:val="nil"/>
              <w:bottom w:val="single" w:sz="4" w:space="0" w:color="auto"/>
              <w:right w:val="single" w:sz="4" w:space="0" w:color="auto"/>
            </w:tcBorders>
            <w:shd w:val="clear" w:color="auto" w:fill="auto"/>
            <w:noWrap/>
            <w:vAlign w:val="bottom"/>
            <w:hideMark/>
          </w:tcPr>
          <w:p w14:paraId="4D7CAB6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1.33</w:t>
            </w:r>
          </w:p>
        </w:tc>
        <w:tc>
          <w:tcPr>
            <w:tcW w:w="744" w:type="dxa"/>
            <w:tcBorders>
              <w:top w:val="nil"/>
              <w:left w:val="nil"/>
              <w:bottom w:val="single" w:sz="4" w:space="0" w:color="auto"/>
              <w:right w:val="single" w:sz="4" w:space="0" w:color="auto"/>
            </w:tcBorders>
            <w:shd w:val="clear" w:color="auto" w:fill="auto"/>
            <w:noWrap/>
            <w:vAlign w:val="bottom"/>
            <w:hideMark/>
          </w:tcPr>
          <w:p w14:paraId="42C7847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1.38</w:t>
            </w:r>
          </w:p>
        </w:tc>
        <w:tc>
          <w:tcPr>
            <w:tcW w:w="744" w:type="dxa"/>
            <w:tcBorders>
              <w:top w:val="nil"/>
              <w:left w:val="nil"/>
              <w:bottom w:val="single" w:sz="4" w:space="0" w:color="auto"/>
              <w:right w:val="single" w:sz="4" w:space="0" w:color="auto"/>
            </w:tcBorders>
            <w:shd w:val="clear" w:color="auto" w:fill="auto"/>
            <w:noWrap/>
            <w:vAlign w:val="bottom"/>
            <w:hideMark/>
          </w:tcPr>
          <w:p w14:paraId="7B3206C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2.78</w:t>
            </w:r>
          </w:p>
        </w:tc>
        <w:tc>
          <w:tcPr>
            <w:tcW w:w="686" w:type="dxa"/>
            <w:tcBorders>
              <w:top w:val="nil"/>
              <w:left w:val="nil"/>
              <w:bottom w:val="single" w:sz="4" w:space="0" w:color="auto"/>
              <w:right w:val="single" w:sz="4" w:space="0" w:color="auto"/>
            </w:tcBorders>
            <w:shd w:val="clear" w:color="auto" w:fill="auto"/>
            <w:noWrap/>
            <w:vAlign w:val="bottom"/>
            <w:hideMark/>
          </w:tcPr>
          <w:p w14:paraId="493BAF1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1.96</w:t>
            </w:r>
          </w:p>
        </w:tc>
        <w:tc>
          <w:tcPr>
            <w:tcW w:w="744" w:type="dxa"/>
            <w:tcBorders>
              <w:top w:val="nil"/>
              <w:left w:val="nil"/>
              <w:bottom w:val="single" w:sz="4" w:space="0" w:color="auto"/>
              <w:right w:val="single" w:sz="4" w:space="0" w:color="auto"/>
            </w:tcBorders>
            <w:shd w:val="clear" w:color="auto" w:fill="auto"/>
            <w:noWrap/>
            <w:vAlign w:val="bottom"/>
            <w:hideMark/>
          </w:tcPr>
          <w:p w14:paraId="11B86C8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0.73</w:t>
            </w:r>
          </w:p>
        </w:tc>
        <w:tc>
          <w:tcPr>
            <w:tcW w:w="744" w:type="dxa"/>
            <w:tcBorders>
              <w:top w:val="nil"/>
              <w:left w:val="nil"/>
              <w:bottom w:val="single" w:sz="4" w:space="0" w:color="auto"/>
              <w:right w:val="single" w:sz="4" w:space="0" w:color="auto"/>
            </w:tcBorders>
            <w:shd w:val="clear" w:color="auto" w:fill="auto"/>
            <w:noWrap/>
            <w:vAlign w:val="bottom"/>
            <w:hideMark/>
          </w:tcPr>
          <w:p w14:paraId="6B2958B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3.24</w:t>
            </w:r>
          </w:p>
        </w:tc>
        <w:tc>
          <w:tcPr>
            <w:tcW w:w="879" w:type="dxa"/>
            <w:tcBorders>
              <w:top w:val="nil"/>
              <w:left w:val="nil"/>
              <w:bottom w:val="single" w:sz="4" w:space="0" w:color="auto"/>
              <w:right w:val="single" w:sz="4" w:space="0" w:color="auto"/>
            </w:tcBorders>
            <w:shd w:val="clear" w:color="auto" w:fill="auto"/>
            <w:noWrap/>
            <w:vAlign w:val="bottom"/>
            <w:hideMark/>
          </w:tcPr>
          <w:p w14:paraId="2C3CD86B"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3.79</w:t>
            </w:r>
          </w:p>
        </w:tc>
      </w:tr>
      <w:tr w:rsidR="001F02F5" w:rsidRPr="004A73C1" w14:paraId="48701C7D"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0C0B59D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United Kingdom</w:t>
            </w:r>
          </w:p>
        </w:tc>
        <w:tc>
          <w:tcPr>
            <w:tcW w:w="1025" w:type="dxa"/>
            <w:tcBorders>
              <w:top w:val="nil"/>
              <w:left w:val="nil"/>
              <w:bottom w:val="single" w:sz="4" w:space="0" w:color="auto"/>
              <w:right w:val="single" w:sz="4" w:space="0" w:color="auto"/>
            </w:tcBorders>
            <w:shd w:val="clear" w:color="auto" w:fill="auto"/>
            <w:noWrap/>
            <w:vAlign w:val="bottom"/>
            <w:hideMark/>
          </w:tcPr>
          <w:p w14:paraId="2A81D95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GBR</w:t>
            </w:r>
          </w:p>
        </w:tc>
        <w:tc>
          <w:tcPr>
            <w:tcW w:w="686" w:type="dxa"/>
            <w:tcBorders>
              <w:top w:val="nil"/>
              <w:left w:val="nil"/>
              <w:bottom w:val="single" w:sz="4" w:space="0" w:color="auto"/>
              <w:right w:val="single" w:sz="4" w:space="0" w:color="auto"/>
            </w:tcBorders>
            <w:shd w:val="clear" w:color="auto" w:fill="auto"/>
            <w:noWrap/>
            <w:vAlign w:val="bottom"/>
            <w:hideMark/>
          </w:tcPr>
          <w:p w14:paraId="527B580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1.92</w:t>
            </w:r>
          </w:p>
        </w:tc>
        <w:tc>
          <w:tcPr>
            <w:tcW w:w="744" w:type="dxa"/>
            <w:tcBorders>
              <w:top w:val="nil"/>
              <w:left w:val="nil"/>
              <w:bottom w:val="single" w:sz="4" w:space="0" w:color="auto"/>
              <w:right w:val="single" w:sz="4" w:space="0" w:color="auto"/>
            </w:tcBorders>
            <w:shd w:val="clear" w:color="auto" w:fill="auto"/>
            <w:noWrap/>
            <w:vAlign w:val="bottom"/>
            <w:hideMark/>
          </w:tcPr>
          <w:p w14:paraId="60EC458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1.55</w:t>
            </w:r>
          </w:p>
        </w:tc>
        <w:tc>
          <w:tcPr>
            <w:tcW w:w="744" w:type="dxa"/>
            <w:tcBorders>
              <w:top w:val="nil"/>
              <w:left w:val="nil"/>
              <w:bottom w:val="single" w:sz="4" w:space="0" w:color="auto"/>
              <w:right w:val="single" w:sz="4" w:space="0" w:color="auto"/>
            </w:tcBorders>
            <w:shd w:val="clear" w:color="auto" w:fill="auto"/>
            <w:noWrap/>
            <w:vAlign w:val="bottom"/>
            <w:hideMark/>
          </w:tcPr>
          <w:p w14:paraId="63342F19"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12.08</w:t>
            </w:r>
          </w:p>
        </w:tc>
        <w:tc>
          <w:tcPr>
            <w:tcW w:w="744" w:type="dxa"/>
            <w:tcBorders>
              <w:top w:val="nil"/>
              <w:left w:val="nil"/>
              <w:bottom w:val="single" w:sz="4" w:space="0" w:color="auto"/>
              <w:right w:val="single" w:sz="4" w:space="0" w:color="auto"/>
            </w:tcBorders>
            <w:shd w:val="clear" w:color="auto" w:fill="auto"/>
            <w:noWrap/>
            <w:vAlign w:val="bottom"/>
            <w:hideMark/>
          </w:tcPr>
          <w:p w14:paraId="63FFB0D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4.68</w:t>
            </w:r>
          </w:p>
        </w:tc>
        <w:tc>
          <w:tcPr>
            <w:tcW w:w="744" w:type="dxa"/>
            <w:tcBorders>
              <w:top w:val="nil"/>
              <w:left w:val="nil"/>
              <w:bottom w:val="single" w:sz="4" w:space="0" w:color="auto"/>
              <w:right w:val="single" w:sz="4" w:space="0" w:color="auto"/>
            </w:tcBorders>
            <w:shd w:val="clear" w:color="auto" w:fill="auto"/>
            <w:noWrap/>
            <w:vAlign w:val="bottom"/>
            <w:hideMark/>
          </w:tcPr>
          <w:p w14:paraId="633105D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-0.87</w:t>
            </w:r>
          </w:p>
        </w:tc>
        <w:tc>
          <w:tcPr>
            <w:tcW w:w="686" w:type="dxa"/>
            <w:tcBorders>
              <w:top w:val="nil"/>
              <w:left w:val="nil"/>
              <w:bottom w:val="single" w:sz="4" w:space="0" w:color="auto"/>
              <w:right w:val="single" w:sz="4" w:space="0" w:color="auto"/>
            </w:tcBorders>
            <w:shd w:val="clear" w:color="auto" w:fill="auto"/>
            <w:noWrap/>
            <w:vAlign w:val="bottom"/>
            <w:hideMark/>
          </w:tcPr>
          <w:p w14:paraId="6ABB11F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0.69</w:t>
            </w:r>
          </w:p>
        </w:tc>
        <w:tc>
          <w:tcPr>
            <w:tcW w:w="744" w:type="dxa"/>
            <w:tcBorders>
              <w:top w:val="nil"/>
              <w:left w:val="nil"/>
              <w:bottom w:val="single" w:sz="4" w:space="0" w:color="auto"/>
              <w:right w:val="single" w:sz="4" w:space="0" w:color="auto"/>
            </w:tcBorders>
            <w:shd w:val="clear" w:color="auto" w:fill="auto"/>
            <w:noWrap/>
            <w:vAlign w:val="bottom"/>
            <w:hideMark/>
          </w:tcPr>
          <w:p w14:paraId="25ACA498"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5.83</w:t>
            </w:r>
          </w:p>
        </w:tc>
        <w:tc>
          <w:tcPr>
            <w:tcW w:w="744" w:type="dxa"/>
            <w:tcBorders>
              <w:top w:val="nil"/>
              <w:left w:val="nil"/>
              <w:bottom w:val="single" w:sz="4" w:space="0" w:color="auto"/>
              <w:right w:val="single" w:sz="4" w:space="0" w:color="auto"/>
            </w:tcBorders>
            <w:shd w:val="clear" w:color="auto" w:fill="auto"/>
            <w:noWrap/>
            <w:vAlign w:val="bottom"/>
            <w:hideMark/>
          </w:tcPr>
          <w:p w14:paraId="6B3324B9"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0.19</w:t>
            </w:r>
          </w:p>
        </w:tc>
        <w:tc>
          <w:tcPr>
            <w:tcW w:w="879" w:type="dxa"/>
            <w:tcBorders>
              <w:top w:val="nil"/>
              <w:left w:val="nil"/>
              <w:bottom w:val="single" w:sz="4" w:space="0" w:color="auto"/>
              <w:right w:val="single" w:sz="4" w:space="0" w:color="auto"/>
            </w:tcBorders>
            <w:shd w:val="clear" w:color="auto" w:fill="auto"/>
            <w:noWrap/>
            <w:vAlign w:val="bottom"/>
            <w:hideMark/>
          </w:tcPr>
          <w:p w14:paraId="2414AE5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1.45</w:t>
            </w:r>
          </w:p>
        </w:tc>
      </w:tr>
      <w:tr w:rsidR="001F02F5" w:rsidRPr="004A73C1" w14:paraId="16C3BE79"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1001B0B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India</w:t>
            </w:r>
          </w:p>
        </w:tc>
        <w:tc>
          <w:tcPr>
            <w:tcW w:w="1025" w:type="dxa"/>
            <w:tcBorders>
              <w:top w:val="nil"/>
              <w:left w:val="nil"/>
              <w:bottom w:val="single" w:sz="4" w:space="0" w:color="auto"/>
              <w:right w:val="single" w:sz="4" w:space="0" w:color="auto"/>
            </w:tcBorders>
            <w:shd w:val="clear" w:color="auto" w:fill="auto"/>
            <w:noWrap/>
            <w:vAlign w:val="bottom"/>
            <w:hideMark/>
          </w:tcPr>
          <w:p w14:paraId="2BE4428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IND</w:t>
            </w:r>
          </w:p>
        </w:tc>
        <w:tc>
          <w:tcPr>
            <w:tcW w:w="686" w:type="dxa"/>
            <w:tcBorders>
              <w:top w:val="nil"/>
              <w:left w:val="nil"/>
              <w:bottom w:val="single" w:sz="4" w:space="0" w:color="auto"/>
              <w:right w:val="single" w:sz="4" w:space="0" w:color="auto"/>
            </w:tcBorders>
            <w:shd w:val="clear" w:color="auto" w:fill="auto"/>
            <w:noWrap/>
            <w:vAlign w:val="bottom"/>
            <w:hideMark/>
          </w:tcPr>
          <w:p w14:paraId="6ED81E49"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1.70</w:t>
            </w:r>
          </w:p>
        </w:tc>
        <w:tc>
          <w:tcPr>
            <w:tcW w:w="744" w:type="dxa"/>
            <w:tcBorders>
              <w:top w:val="nil"/>
              <w:left w:val="nil"/>
              <w:bottom w:val="single" w:sz="4" w:space="0" w:color="auto"/>
              <w:right w:val="single" w:sz="4" w:space="0" w:color="auto"/>
            </w:tcBorders>
            <w:shd w:val="clear" w:color="auto" w:fill="auto"/>
            <w:noWrap/>
            <w:vAlign w:val="bottom"/>
            <w:hideMark/>
          </w:tcPr>
          <w:p w14:paraId="740EC509"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2.09</w:t>
            </w:r>
          </w:p>
        </w:tc>
        <w:tc>
          <w:tcPr>
            <w:tcW w:w="744" w:type="dxa"/>
            <w:tcBorders>
              <w:top w:val="nil"/>
              <w:left w:val="nil"/>
              <w:bottom w:val="single" w:sz="4" w:space="0" w:color="auto"/>
              <w:right w:val="single" w:sz="4" w:space="0" w:color="auto"/>
            </w:tcBorders>
            <w:shd w:val="clear" w:color="auto" w:fill="auto"/>
            <w:noWrap/>
            <w:vAlign w:val="bottom"/>
            <w:hideMark/>
          </w:tcPr>
          <w:p w14:paraId="75A9E779"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1.94</w:t>
            </w:r>
          </w:p>
        </w:tc>
        <w:tc>
          <w:tcPr>
            <w:tcW w:w="744" w:type="dxa"/>
            <w:tcBorders>
              <w:top w:val="nil"/>
              <w:left w:val="nil"/>
              <w:bottom w:val="single" w:sz="4" w:space="0" w:color="auto"/>
              <w:right w:val="single" w:sz="4" w:space="0" w:color="auto"/>
            </w:tcBorders>
            <w:shd w:val="clear" w:color="auto" w:fill="auto"/>
            <w:noWrap/>
            <w:vAlign w:val="bottom"/>
            <w:hideMark/>
          </w:tcPr>
          <w:p w14:paraId="1221FAE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1.51</w:t>
            </w:r>
          </w:p>
        </w:tc>
        <w:tc>
          <w:tcPr>
            <w:tcW w:w="744" w:type="dxa"/>
            <w:tcBorders>
              <w:top w:val="nil"/>
              <w:left w:val="nil"/>
              <w:bottom w:val="single" w:sz="4" w:space="0" w:color="auto"/>
              <w:right w:val="single" w:sz="4" w:space="0" w:color="auto"/>
            </w:tcBorders>
            <w:shd w:val="clear" w:color="auto" w:fill="auto"/>
            <w:noWrap/>
            <w:vAlign w:val="bottom"/>
            <w:hideMark/>
          </w:tcPr>
          <w:p w14:paraId="3CA24F3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1.56</w:t>
            </w:r>
          </w:p>
        </w:tc>
        <w:tc>
          <w:tcPr>
            <w:tcW w:w="686" w:type="dxa"/>
            <w:tcBorders>
              <w:top w:val="nil"/>
              <w:left w:val="nil"/>
              <w:bottom w:val="single" w:sz="4" w:space="0" w:color="auto"/>
              <w:right w:val="single" w:sz="4" w:space="0" w:color="auto"/>
            </w:tcBorders>
            <w:shd w:val="clear" w:color="auto" w:fill="auto"/>
            <w:noWrap/>
            <w:vAlign w:val="bottom"/>
            <w:hideMark/>
          </w:tcPr>
          <w:p w14:paraId="39C5199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1.78</w:t>
            </w:r>
          </w:p>
        </w:tc>
        <w:tc>
          <w:tcPr>
            <w:tcW w:w="744" w:type="dxa"/>
            <w:tcBorders>
              <w:top w:val="nil"/>
              <w:left w:val="nil"/>
              <w:bottom w:val="single" w:sz="4" w:space="0" w:color="auto"/>
              <w:right w:val="single" w:sz="4" w:space="0" w:color="auto"/>
            </w:tcBorders>
            <w:shd w:val="clear" w:color="auto" w:fill="auto"/>
            <w:noWrap/>
            <w:vAlign w:val="bottom"/>
            <w:hideMark/>
          </w:tcPr>
          <w:p w14:paraId="59747DD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2.41</w:t>
            </w:r>
          </w:p>
        </w:tc>
        <w:tc>
          <w:tcPr>
            <w:tcW w:w="744" w:type="dxa"/>
            <w:tcBorders>
              <w:top w:val="nil"/>
              <w:left w:val="nil"/>
              <w:bottom w:val="single" w:sz="4" w:space="0" w:color="auto"/>
              <w:right w:val="single" w:sz="4" w:space="0" w:color="auto"/>
            </w:tcBorders>
            <w:shd w:val="clear" w:color="auto" w:fill="auto"/>
            <w:noWrap/>
            <w:vAlign w:val="bottom"/>
            <w:hideMark/>
          </w:tcPr>
          <w:p w14:paraId="650B965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1.41</w:t>
            </w:r>
          </w:p>
        </w:tc>
        <w:tc>
          <w:tcPr>
            <w:tcW w:w="879" w:type="dxa"/>
            <w:tcBorders>
              <w:top w:val="nil"/>
              <w:left w:val="nil"/>
              <w:bottom w:val="single" w:sz="4" w:space="0" w:color="auto"/>
              <w:right w:val="single" w:sz="4" w:space="0" w:color="auto"/>
            </w:tcBorders>
            <w:shd w:val="clear" w:color="auto" w:fill="auto"/>
            <w:noWrap/>
            <w:vAlign w:val="bottom"/>
            <w:hideMark/>
          </w:tcPr>
          <w:p w14:paraId="0893522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1.49</w:t>
            </w:r>
          </w:p>
        </w:tc>
      </w:tr>
      <w:tr w:rsidR="001F02F5" w:rsidRPr="004A73C1" w14:paraId="60D97FD3"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6E6ED7A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Japan</w:t>
            </w:r>
          </w:p>
        </w:tc>
        <w:tc>
          <w:tcPr>
            <w:tcW w:w="1025" w:type="dxa"/>
            <w:tcBorders>
              <w:top w:val="nil"/>
              <w:left w:val="nil"/>
              <w:bottom w:val="single" w:sz="4" w:space="0" w:color="auto"/>
              <w:right w:val="single" w:sz="4" w:space="0" w:color="auto"/>
            </w:tcBorders>
            <w:shd w:val="clear" w:color="auto" w:fill="auto"/>
            <w:noWrap/>
            <w:vAlign w:val="bottom"/>
            <w:hideMark/>
          </w:tcPr>
          <w:p w14:paraId="2D55497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JPN</w:t>
            </w:r>
          </w:p>
        </w:tc>
        <w:tc>
          <w:tcPr>
            <w:tcW w:w="686" w:type="dxa"/>
            <w:tcBorders>
              <w:top w:val="nil"/>
              <w:left w:val="nil"/>
              <w:bottom w:val="single" w:sz="4" w:space="0" w:color="auto"/>
              <w:right w:val="single" w:sz="4" w:space="0" w:color="auto"/>
            </w:tcBorders>
            <w:shd w:val="clear" w:color="auto" w:fill="auto"/>
            <w:noWrap/>
            <w:vAlign w:val="bottom"/>
            <w:hideMark/>
          </w:tcPr>
          <w:p w14:paraId="3BF01B7E"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0.40</w:t>
            </w:r>
          </w:p>
        </w:tc>
        <w:tc>
          <w:tcPr>
            <w:tcW w:w="744" w:type="dxa"/>
            <w:tcBorders>
              <w:top w:val="nil"/>
              <w:left w:val="nil"/>
              <w:bottom w:val="single" w:sz="4" w:space="0" w:color="auto"/>
              <w:right w:val="single" w:sz="4" w:space="0" w:color="auto"/>
            </w:tcBorders>
            <w:shd w:val="clear" w:color="auto" w:fill="auto"/>
            <w:noWrap/>
            <w:vAlign w:val="bottom"/>
            <w:hideMark/>
          </w:tcPr>
          <w:p w14:paraId="055B92A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0.12</w:t>
            </w:r>
          </w:p>
        </w:tc>
        <w:tc>
          <w:tcPr>
            <w:tcW w:w="744" w:type="dxa"/>
            <w:tcBorders>
              <w:top w:val="nil"/>
              <w:left w:val="nil"/>
              <w:bottom w:val="single" w:sz="4" w:space="0" w:color="auto"/>
              <w:right w:val="single" w:sz="4" w:space="0" w:color="auto"/>
            </w:tcBorders>
            <w:shd w:val="clear" w:color="auto" w:fill="auto"/>
            <w:noWrap/>
            <w:vAlign w:val="bottom"/>
            <w:hideMark/>
          </w:tcPr>
          <w:p w14:paraId="25150CDF"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0.82</w:t>
            </w:r>
          </w:p>
        </w:tc>
        <w:tc>
          <w:tcPr>
            <w:tcW w:w="744" w:type="dxa"/>
            <w:tcBorders>
              <w:top w:val="nil"/>
              <w:left w:val="nil"/>
              <w:bottom w:val="single" w:sz="4" w:space="0" w:color="auto"/>
              <w:right w:val="single" w:sz="4" w:space="0" w:color="auto"/>
            </w:tcBorders>
            <w:shd w:val="clear" w:color="auto" w:fill="auto"/>
            <w:noWrap/>
            <w:vAlign w:val="bottom"/>
            <w:hideMark/>
          </w:tcPr>
          <w:p w14:paraId="339B8D7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0.38</w:t>
            </w:r>
          </w:p>
        </w:tc>
        <w:tc>
          <w:tcPr>
            <w:tcW w:w="744" w:type="dxa"/>
            <w:tcBorders>
              <w:top w:val="nil"/>
              <w:left w:val="nil"/>
              <w:bottom w:val="single" w:sz="4" w:space="0" w:color="auto"/>
              <w:right w:val="single" w:sz="4" w:space="0" w:color="auto"/>
            </w:tcBorders>
            <w:shd w:val="clear" w:color="auto" w:fill="auto"/>
            <w:noWrap/>
            <w:vAlign w:val="bottom"/>
            <w:hideMark/>
          </w:tcPr>
          <w:p w14:paraId="718E1E5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0.50</w:t>
            </w:r>
          </w:p>
        </w:tc>
        <w:tc>
          <w:tcPr>
            <w:tcW w:w="686" w:type="dxa"/>
            <w:tcBorders>
              <w:top w:val="nil"/>
              <w:left w:val="nil"/>
              <w:bottom w:val="single" w:sz="4" w:space="0" w:color="auto"/>
              <w:right w:val="single" w:sz="4" w:space="0" w:color="auto"/>
            </w:tcBorders>
            <w:shd w:val="clear" w:color="auto" w:fill="auto"/>
            <w:noWrap/>
            <w:vAlign w:val="bottom"/>
            <w:hideMark/>
          </w:tcPr>
          <w:p w14:paraId="742FA85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0.78</w:t>
            </w:r>
          </w:p>
        </w:tc>
        <w:tc>
          <w:tcPr>
            <w:tcW w:w="744" w:type="dxa"/>
            <w:tcBorders>
              <w:top w:val="nil"/>
              <w:left w:val="nil"/>
              <w:bottom w:val="single" w:sz="4" w:space="0" w:color="auto"/>
              <w:right w:val="single" w:sz="4" w:space="0" w:color="auto"/>
            </w:tcBorders>
            <w:shd w:val="clear" w:color="auto" w:fill="auto"/>
            <w:noWrap/>
            <w:vAlign w:val="bottom"/>
            <w:hideMark/>
          </w:tcPr>
          <w:p w14:paraId="635A8B7D"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1.24</w:t>
            </w:r>
          </w:p>
        </w:tc>
        <w:tc>
          <w:tcPr>
            <w:tcW w:w="744" w:type="dxa"/>
            <w:tcBorders>
              <w:top w:val="nil"/>
              <w:left w:val="nil"/>
              <w:bottom w:val="single" w:sz="4" w:space="0" w:color="auto"/>
              <w:right w:val="single" w:sz="4" w:space="0" w:color="auto"/>
            </w:tcBorders>
            <w:shd w:val="clear" w:color="auto" w:fill="auto"/>
            <w:noWrap/>
            <w:vAlign w:val="bottom"/>
            <w:hideMark/>
          </w:tcPr>
          <w:p w14:paraId="23A631EC"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0.70</w:t>
            </w:r>
          </w:p>
        </w:tc>
        <w:tc>
          <w:tcPr>
            <w:tcW w:w="879" w:type="dxa"/>
            <w:tcBorders>
              <w:top w:val="nil"/>
              <w:left w:val="nil"/>
              <w:bottom w:val="single" w:sz="4" w:space="0" w:color="auto"/>
              <w:right w:val="single" w:sz="4" w:space="0" w:color="auto"/>
            </w:tcBorders>
            <w:shd w:val="clear" w:color="auto" w:fill="auto"/>
            <w:noWrap/>
            <w:vAlign w:val="bottom"/>
            <w:hideMark/>
          </w:tcPr>
          <w:p w14:paraId="39D5F9B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1.16</w:t>
            </w:r>
          </w:p>
        </w:tc>
      </w:tr>
      <w:tr w:rsidR="001F02F5" w:rsidRPr="004A73C1" w14:paraId="2EE6EDE4" w14:textId="77777777" w:rsidTr="00ED3916">
        <w:trPr>
          <w:trHeight w:val="107"/>
        </w:trPr>
        <w:tc>
          <w:tcPr>
            <w:tcW w:w="1469" w:type="dxa"/>
            <w:tcBorders>
              <w:top w:val="nil"/>
              <w:left w:val="single" w:sz="4" w:space="0" w:color="auto"/>
              <w:bottom w:val="single" w:sz="4" w:space="0" w:color="auto"/>
              <w:right w:val="single" w:sz="4" w:space="0" w:color="auto"/>
            </w:tcBorders>
            <w:shd w:val="clear" w:color="auto" w:fill="auto"/>
            <w:noWrap/>
            <w:vAlign w:val="bottom"/>
            <w:hideMark/>
          </w:tcPr>
          <w:p w14:paraId="1309B126"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lastRenderedPageBreak/>
              <w:t>United States</w:t>
            </w:r>
          </w:p>
        </w:tc>
        <w:tc>
          <w:tcPr>
            <w:tcW w:w="1025" w:type="dxa"/>
            <w:tcBorders>
              <w:top w:val="nil"/>
              <w:left w:val="nil"/>
              <w:bottom w:val="single" w:sz="4" w:space="0" w:color="auto"/>
              <w:right w:val="single" w:sz="4" w:space="0" w:color="auto"/>
            </w:tcBorders>
            <w:shd w:val="clear" w:color="auto" w:fill="auto"/>
            <w:noWrap/>
            <w:vAlign w:val="bottom"/>
            <w:hideMark/>
          </w:tcPr>
          <w:p w14:paraId="75DDBD1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USA</w:t>
            </w:r>
          </w:p>
        </w:tc>
        <w:tc>
          <w:tcPr>
            <w:tcW w:w="686" w:type="dxa"/>
            <w:tcBorders>
              <w:top w:val="nil"/>
              <w:left w:val="nil"/>
              <w:bottom w:val="single" w:sz="4" w:space="0" w:color="auto"/>
              <w:right w:val="single" w:sz="4" w:space="0" w:color="auto"/>
            </w:tcBorders>
            <w:shd w:val="clear" w:color="auto" w:fill="auto"/>
            <w:noWrap/>
            <w:vAlign w:val="bottom"/>
            <w:hideMark/>
          </w:tcPr>
          <w:p w14:paraId="56AB3334"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1.43</w:t>
            </w:r>
          </w:p>
        </w:tc>
        <w:tc>
          <w:tcPr>
            <w:tcW w:w="744" w:type="dxa"/>
            <w:tcBorders>
              <w:top w:val="nil"/>
              <w:left w:val="nil"/>
              <w:bottom w:val="single" w:sz="4" w:space="0" w:color="auto"/>
              <w:right w:val="single" w:sz="4" w:space="0" w:color="auto"/>
            </w:tcBorders>
            <w:shd w:val="clear" w:color="auto" w:fill="auto"/>
            <w:noWrap/>
            <w:vAlign w:val="bottom"/>
            <w:hideMark/>
          </w:tcPr>
          <w:p w14:paraId="00D83FD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2.80</w:t>
            </w:r>
          </w:p>
        </w:tc>
        <w:tc>
          <w:tcPr>
            <w:tcW w:w="744" w:type="dxa"/>
            <w:tcBorders>
              <w:top w:val="nil"/>
              <w:left w:val="nil"/>
              <w:bottom w:val="single" w:sz="4" w:space="0" w:color="auto"/>
              <w:right w:val="single" w:sz="4" w:space="0" w:color="auto"/>
            </w:tcBorders>
            <w:shd w:val="clear" w:color="auto" w:fill="auto"/>
            <w:noWrap/>
            <w:vAlign w:val="bottom"/>
            <w:hideMark/>
          </w:tcPr>
          <w:p w14:paraId="0314D3F3"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2.52</w:t>
            </w:r>
          </w:p>
        </w:tc>
        <w:tc>
          <w:tcPr>
            <w:tcW w:w="744" w:type="dxa"/>
            <w:tcBorders>
              <w:top w:val="nil"/>
              <w:left w:val="nil"/>
              <w:bottom w:val="single" w:sz="4" w:space="0" w:color="auto"/>
              <w:right w:val="single" w:sz="4" w:space="0" w:color="auto"/>
            </w:tcBorders>
            <w:shd w:val="clear" w:color="auto" w:fill="auto"/>
            <w:noWrap/>
            <w:vAlign w:val="bottom"/>
            <w:hideMark/>
          </w:tcPr>
          <w:p w14:paraId="5113CC65"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1.94</w:t>
            </w:r>
          </w:p>
        </w:tc>
        <w:tc>
          <w:tcPr>
            <w:tcW w:w="744" w:type="dxa"/>
            <w:tcBorders>
              <w:top w:val="nil"/>
              <w:left w:val="nil"/>
              <w:bottom w:val="single" w:sz="4" w:space="0" w:color="auto"/>
              <w:right w:val="single" w:sz="4" w:space="0" w:color="auto"/>
            </w:tcBorders>
            <w:shd w:val="clear" w:color="auto" w:fill="auto"/>
            <w:noWrap/>
            <w:vAlign w:val="bottom"/>
            <w:hideMark/>
          </w:tcPr>
          <w:p w14:paraId="7F953017"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1.04</w:t>
            </w:r>
          </w:p>
        </w:tc>
        <w:tc>
          <w:tcPr>
            <w:tcW w:w="686" w:type="dxa"/>
            <w:tcBorders>
              <w:top w:val="nil"/>
              <w:left w:val="nil"/>
              <w:bottom w:val="single" w:sz="4" w:space="0" w:color="auto"/>
              <w:right w:val="single" w:sz="4" w:space="0" w:color="auto"/>
            </w:tcBorders>
            <w:shd w:val="clear" w:color="auto" w:fill="auto"/>
            <w:noWrap/>
            <w:vAlign w:val="bottom"/>
            <w:hideMark/>
          </w:tcPr>
          <w:p w14:paraId="1962DB71"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1.47</w:t>
            </w:r>
          </w:p>
        </w:tc>
        <w:tc>
          <w:tcPr>
            <w:tcW w:w="744" w:type="dxa"/>
            <w:tcBorders>
              <w:top w:val="nil"/>
              <w:left w:val="nil"/>
              <w:bottom w:val="single" w:sz="4" w:space="0" w:color="auto"/>
              <w:right w:val="single" w:sz="4" w:space="0" w:color="auto"/>
            </w:tcBorders>
            <w:shd w:val="clear" w:color="auto" w:fill="auto"/>
            <w:noWrap/>
            <w:vAlign w:val="bottom"/>
            <w:hideMark/>
          </w:tcPr>
          <w:p w14:paraId="008945E9"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0.65</w:t>
            </w:r>
          </w:p>
        </w:tc>
        <w:tc>
          <w:tcPr>
            <w:tcW w:w="744" w:type="dxa"/>
            <w:tcBorders>
              <w:top w:val="nil"/>
              <w:left w:val="nil"/>
              <w:bottom w:val="single" w:sz="4" w:space="0" w:color="auto"/>
              <w:right w:val="single" w:sz="4" w:space="0" w:color="auto"/>
            </w:tcBorders>
            <w:shd w:val="clear" w:color="auto" w:fill="auto"/>
            <w:noWrap/>
            <w:vAlign w:val="bottom"/>
            <w:hideMark/>
          </w:tcPr>
          <w:p w14:paraId="2D4BB68A"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2.09</w:t>
            </w:r>
          </w:p>
        </w:tc>
        <w:tc>
          <w:tcPr>
            <w:tcW w:w="879" w:type="dxa"/>
            <w:tcBorders>
              <w:top w:val="nil"/>
              <w:left w:val="nil"/>
              <w:bottom w:val="single" w:sz="4" w:space="0" w:color="auto"/>
              <w:right w:val="single" w:sz="4" w:space="0" w:color="auto"/>
            </w:tcBorders>
            <w:shd w:val="clear" w:color="auto" w:fill="auto"/>
            <w:noWrap/>
            <w:vAlign w:val="bottom"/>
            <w:hideMark/>
          </w:tcPr>
          <w:p w14:paraId="4CA69D22" w14:textId="77777777" w:rsidR="001F02F5" w:rsidRPr="004A73C1" w:rsidRDefault="001F02F5" w:rsidP="00EF2E34">
            <w:pPr>
              <w:spacing w:after="0" w:line="360" w:lineRule="auto"/>
              <w:jc w:val="both"/>
              <w:rPr>
                <w:rFonts w:ascii="Arial" w:eastAsia="Times New Roman" w:hAnsi="Arial" w:cs="Arial"/>
                <w:color w:val="000000"/>
                <w:lang w:eastAsia="en-GB"/>
              </w:rPr>
            </w:pPr>
            <w:r w:rsidRPr="004A73C1">
              <w:rPr>
                <w:rFonts w:ascii="Arial" w:eastAsia="Times New Roman" w:hAnsi="Arial" w:cs="Arial"/>
                <w:color w:val="000000"/>
                <w:lang w:eastAsia="en-GB"/>
              </w:rPr>
              <w:t>1.51</w:t>
            </w:r>
          </w:p>
        </w:tc>
      </w:tr>
    </w:tbl>
    <w:p w14:paraId="5149E391" w14:textId="542071AB" w:rsidR="001F02F5" w:rsidRPr="004A73C1" w:rsidRDefault="00740D35" w:rsidP="00EF2E34">
      <w:pPr>
        <w:spacing w:line="360" w:lineRule="auto"/>
        <w:jc w:val="both"/>
        <w:rPr>
          <w:rFonts w:ascii="Arial" w:hAnsi="Arial" w:cs="Arial"/>
          <w:sz w:val="24"/>
          <w:szCs w:val="24"/>
        </w:rPr>
      </w:pPr>
      <w:r w:rsidRPr="004A73C1">
        <w:rPr>
          <w:rFonts w:ascii="Arial" w:hAnsi="Arial" w:cs="Arial"/>
        </w:rPr>
        <w:t xml:space="preserve">Figure </w:t>
      </w:r>
      <w:r w:rsidR="00C75C62" w:rsidRPr="004A73C1">
        <w:rPr>
          <w:rFonts w:ascii="Arial" w:hAnsi="Arial" w:cs="Arial"/>
        </w:rPr>
        <w:t>34</w:t>
      </w:r>
      <w:r w:rsidRPr="004A73C1">
        <w:rPr>
          <w:rFonts w:ascii="Arial" w:hAnsi="Arial" w:cs="Arial"/>
        </w:rPr>
        <w:t xml:space="preserve"> </w:t>
      </w:r>
      <w:r w:rsidRPr="004A73C1">
        <w:rPr>
          <w:rFonts w:ascii="Arial" w:hAnsi="Arial" w:cs="Arial"/>
        </w:rPr>
        <w:tab/>
      </w:r>
      <w:r w:rsidR="00F90E4F" w:rsidRPr="004A73C1">
        <w:rPr>
          <w:rFonts w:ascii="Arial" w:hAnsi="Arial" w:cs="Arial"/>
        </w:rPr>
        <w:t>(</w:t>
      </w:r>
      <w:r w:rsidR="008A67CA" w:rsidRPr="004A73C1">
        <w:rPr>
          <w:rFonts w:ascii="Arial" w:hAnsi="Arial" w:cs="Arial"/>
          <w:sz w:val="24"/>
          <w:szCs w:val="24"/>
        </w:rPr>
        <w:t xml:space="preserve">Source – World </w:t>
      </w:r>
      <w:r w:rsidR="00976200">
        <w:rPr>
          <w:rFonts w:ascii="Arial" w:hAnsi="Arial" w:cs="Arial"/>
          <w:sz w:val="24"/>
          <w:szCs w:val="24"/>
        </w:rPr>
        <w:t>Bank</w:t>
      </w:r>
      <w:r w:rsidR="00F90E4F" w:rsidRPr="004A73C1">
        <w:rPr>
          <w:rFonts w:ascii="Arial" w:hAnsi="Arial" w:cs="Arial"/>
          <w:sz w:val="24"/>
          <w:szCs w:val="24"/>
        </w:rPr>
        <w:t>)</w:t>
      </w:r>
    </w:p>
    <w:p w14:paraId="5B31A33A" w14:textId="6085B285" w:rsidR="001F02F5" w:rsidRPr="004A73C1" w:rsidRDefault="001F02F5" w:rsidP="00EF2E34">
      <w:pPr>
        <w:spacing w:line="360" w:lineRule="auto"/>
        <w:jc w:val="both"/>
        <w:rPr>
          <w:rFonts w:ascii="Arial" w:hAnsi="Arial" w:cs="Arial"/>
          <w:sz w:val="24"/>
          <w:szCs w:val="24"/>
        </w:rPr>
      </w:pPr>
      <w:r w:rsidRPr="004A73C1">
        <w:rPr>
          <w:rFonts w:ascii="Arial" w:hAnsi="Arial" w:cs="Arial"/>
          <w:noProof/>
        </w:rPr>
        <w:drawing>
          <wp:inline distT="0" distB="0" distL="0" distR="0" wp14:anchorId="041E7EAC" wp14:editId="553CE02A">
            <wp:extent cx="5731510" cy="3366135"/>
            <wp:effectExtent l="0" t="0" r="2540" b="5715"/>
            <wp:docPr id="952409417" name="Chart 1">
              <a:extLst xmlns:a="http://schemas.openxmlformats.org/drawingml/2006/main">
                <a:ext uri="{FF2B5EF4-FFF2-40B4-BE49-F238E27FC236}">
                  <a16:creationId xmlns:a16="http://schemas.microsoft.com/office/drawing/2014/main" id="{9E7856E3-6F57-6F2F-E3B6-4BB656C913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B9AD317" w14:textId="23F7545F" w:rsidR="009545E1" w:rsidRPr="004A73C1" w:rsidRDefault="00740D35" w:rsidP="00EF2E34">
      <w:pPr>
        <w:spacing w:line="360" w:lineRule="auto"/>
        <w:jc w:val="both"/>
        <w:rPr>
          <w:rFonts w:ascii="Arial" w:hAnsi="Arial" w:cs="Arial"/>
          <w:sz w:val="24"/>
          <w:szCs w:val="24"/>
        </w:rPr>
      </w:pPr>
      <w:r w:rsidRPr="004A73C1">
        <w:rPr>
          <w:rFonts w:ascii="Arial" w:hAnsi="Arial" w:cs="Arial"/>
        </w:rPr>
        <w:t xml:space="preserve">Figure </w:t>
      </w:r>
      <w:r w:rsidR="00C75C62" w:rsidRPr="004A73C1">
        <w:rPr>
          <w:rFonts w:ascii="Arial" w:hAnsi="Arial" w:cs="Arial"/>
        </w:rPr>
        <w:t>35</w:t>
      </w:r>
      <w:r w:rsidRPr="004A73C1">
        <w:rPr>
          <w:rFonts w:ascii="Arial" w:hAnsi="Arial" w:cs="Arial"/>
        </w:rPr>
        <w:tab/>
      </w:r>
      <w:r w:rsidR="00F90E4F" w:rsidRPr="004A73C1">
        <w:rPr>
          <w:rFonts w:ascii="Arial" w:hAnsi="Arial" w:cs="Arial"/>
        </w:rPr>
        <w:t>(</w:t>
      </w:r>
      <w:r w:rsidR="001F02F5" w:rsidRPr="004A73C1">
        <w:rPr>
          <w:rFonts w:ascii="Arial" w:hAnsi="Arial" w:cs="Arial"/>
          <w:sz w:val="24"/>
          <w:szCs w:val="24"/>
        </w:rPr>
        <w:t>Source – World Bank</w:t>
      </w:r>
      <w:r w:rsidR="00F90E4F" w:rsidRPr="004A73C1">
        <w:rPr>
          <w:rFonts w:ascii="Arial" w:hAnsi="Arial" w:cs="Arial"/>
          <w:sz w:val="24"/>
          <w:szCs w:val="24"/>
        </w:rPr>
        <w:t>)</w:t>
      </w:r>
    </w:p>
    <w:p w14:paraId="6DB389AC" w14:textId="77777777" w:rsidR="00BE222C" w:rsidRDefault="00BE222C" w:rsidP="00D11768">
      <w:pPr>
        <w:pStyle w:val="Heading3"/>
        <w:rPr>
          <w:rFonts w:ascii="Arial" w:hAnsi="Arial" w:cs="Arial"/>
          <w:color w:val="auto"/>
        </w:rPr>
      </w:pPr>
      <w:bookmarkStart w:id="150" w:name="_Toc175056493"/>
    </w:p>
    <w:p w14:paraId="626EFDB6" w14:textId="65D7BCA2" w:rsidR="00C01CDF" w:rsidRPr="004A73C1" w:rsidRDefault="00CA52E6" w:rsidP="00D11768">
      <w:pPr>
        <w:pStyle w:val="Heading3"/>
        <w:rPr>
          <w:rFonts w:ascii="Arial" w:hAnsi="Arial" w:cs="Arial"/>
          <w:color w:val="auto"/>
        </w:rPr>
      </w:pPr>
      <w:bookmarkStart w:id="151" w:name="_Toc175848155"/>
      <w:r w:rsidRPr="004A73C1">
        <w:rPr>
          <w:rFonts w:ascii="Arial" w:hAnsi="Arial" w:cs="Arial"/>
          <w:color w:val="auto"/>
        </w:rPr>
        <w:t>4.7.2</w:t>
      </w:r>
      <w:r w:rsidRPr="004A73C1">
        <w:rPr>
          <w:rFonts w:ascii="Arial" w:hAnsi="Arial" w:cs="Arial"/>
          <w:color w:val="auto"/>
        </w:rPr>
        <w:tab/>
      </w:r>
      <w:r w:rsidR="001F02F5" w:rsidRPr="004A73C1">
        <w:rPr>
          <w:rFonts w:ascii="Arial" w:hAnsi="Arial" w:cs="Arial"/>
          <w:color w:val="auto"/>
        </w:rPr>
        <w:t xml:space="preserve">Analysis </w:t>
      </w:r>
      <w:proofErr w:type="gramStart"/>
      <w:r w:rsidR="00C13730">
        <w:rPr>
          <w:rFonts w:ascii="Arial" w:hAnsi="Arial" w:cs="Arial"/>
          <w:color w:val="auto"/>
        </w:rPr>
        <w:t>O</w:t>
      </w:r>
      <w:r w:rsidR="00BF432F" w:rsidRPr="004A73C1">
        <w:rPr>
          <w:rFonts w:ascii="Arial" w:hAnsi="Arial" w:cs="Arial"/>
          <w:color w:val="auto"/>
        </w:rPr>
        <w:t>f</w:t>
      </w:r>
      <w:proofErr w:type="gramEnd"/>
      <w:r w:rsidR="00BF432F" w:rsidRPr="004A73C1">
        <w:rPr>
          <w:rFonts w:ascii="Arial" w:hAnsi="Arial" w:cs="Arial"/>
          <w:color w:val="auto"/>
        </w:rPr>
        <w:t xml:space="preserve"> </w:t>
      </w:r>
      <w:r w:rsidR="00C13730">
        <w:rPr>
          <w:rFonts w:ascii="Arial" w:hAnsi="Arial" w:cs="Arial"/>
          <w:color w:val="auto"/>
        </w:rPr>
        <w:t>T</w:t>
      </w:r>
      <w:r w:rsidR="00BF432F" w:rsidRPr="004A73C1">
        <w:rPr>
          <w:rFonts w:ascii="Arial" w:hAnsi="Arial" w:cs="Arial"/>
          <w:color w:val="auto"/>
        </w:rPr>
        <w:t xml:space="preserve">he </w:t>
      </w:r>
      <w:r w:rsidR="00C13730">
        <w:rPr>
          <w:rFonts w:ascii="Arial" w:hAnsi="Arial" w:cs="Arial"/>
          <w:color w:val="auto"/>
        </w:rPr>
        <w:t>S</w:t>
      </w:r>
      <w:r w:rsidR="00BF432F" w:rsidRPr="004A73C1">
        <w:rPr>
          <w:rFonts w:ascii="Arial" w:hAnsi="Arial" w:cs="Arial"/>
          <w:color w:val="auto"/>
        </w:rPr>
        <w:t xml:space="preserve">econd </w:t>
      </w:r>
      <w:r w:rsidR="00C13730">
        <w:rPr>
          <w:rFonts w:ascii="Arial" w:hAnsi="Arial" w:cs="Arial"/>
          <w:color w:val="auto"/>
        </w:rPr>
        <w:t>O</w:t>
      </w:r>
      <w:r w:rsidR="00BF432F" w:rsidRPr="004A73C1">
        <w:rPr>
          <w:rFonts w:ascii="Arial" w:hAnsi="Arial" w:cs="Arial"/>
          <w:color w:val="auto"/>
        </w:rPr>
        <w:t>bjective: Brexit Impact.</w:t>
      </w:r>
      <w:bookmarkEnd w:id="150"/>
      <w:bookmarkEnd w:id="151"/>
    </w:p>
    <w:p w14:paraId="574CF6C0" w14:textId="21508801" w:rsidR="00B16187" w:rsidRPr="006B0149" w:rsidRDefault="00BF432F" w:rsidP="00EF2E34">
      <w:pPr>
        <w:spacing w:line="360" w:lineRule="auto"/>
        <w:jc w:val="both"/>
        <w:rPr>
          <w:rFonts w:ascii="Arial" w:eastAsia="Arial Unicode MS" w:hAnsi="Arial" w:cs="Arial"/>
        </w:rPr>
      </w:pPr>
      <w:r w:rsidRPr="006B0149">
        <w:rPr>
          <w:rFonts w:ascii="Arial" w:eastAsia="Arial Unicode MS" w:hAnsi="Arial" w:cs="Arial"/>
        </w:rPr>
        <w:t xml:space="preserve">Based on the data provided, our analysis indicates that Brexit had a noticeable impact on the UK from 2018 to 2022. However, the current situation reflects a different trajectory, as the UK's Foreign Direct Investment (FDI) is demonstrating improvement and is attracting more investments. It's important to consider that the overall impact of Brexit is ambiguous, given that during the Brexit period, the countries we are comparing </w:t>
      </w:r>
      <w:r w:rsidR="00303FD1" w:rsidRPr="006B0149">
        <w:rPr>
          <w:rFonts w:ascii="Arial" w:eastAsia="Arial Unicode MS" w:hAnsi="Arial" w:cs="Arial"/>
        </w:rPr>
        <w:t>also contend</w:t>
      </w:r>
      <w:r w:rsidRPr="006B0149">
        <w:rPr>
          <w:rFonts w:ascii="Arial" w:eastAsia="Arial Unicode MS" w:hAnsi="Arial" w:cs="Arial"/>
        </w:rPr>
        <w:t xml:space="preserve"> with the effects of COVID-19 and the ongoing Ukraine war. As a result, it's challenging </w:t>
      </w:r>
      <w:r w:rsidR="00303FD1" w:rsidRPr="006B0149">
        <w:rPr>
          <w:rFonts w:ascii="Arial" w:eastAsia="Arial Unicode MS" w:hAnsi="Arial" w:cs="Arial"/>
        </w:rPr>
        <w:t>to attribute any adverse effects solely to Brexit definitively</w:t>
      </w:r>
      <w:r w:rsidRPr="006B0149">
        <w:rPr>
          <w:rFonts w:ascii="Arial" w:eastAsia="Arial Unicode MS" w:hAnsi="Arial" w:cs="Arial"/>
        </w:rPr>
        <w:t xml:space="preserve">. </w:t>
      </w:r>
      <w:r w:rsidR="00303FD1" w:rsidRPr="006B0149">
        <w:rPr>
          <w:rFonts w:ascii="Arial" w:eastAsia="Arial Unicode MS" w:hAnsi="Arial" w:cs="Arial"/>
        </w:rPr>
        <w:t>Continuous</w:t>
      </w:r>
      <w:r w:rsidRPr="006B0149">
        <w:rPr>
          <w:rFonts w:ascii="Arial" w:eastAsia="Arial Unicode MS" w:hAnsi="Arial" w:cs="Arial"/>
        </w:rPr>
        <w:t xml:space="preserve"> observation and analysis will be necessary to determine the full extent of Brexit's impact.</w:t>
      </w:r>
    </w:p>
    <w:p w14:paraId="50849805" w14:textId="0525478B" w:rsidR="00D47A50" w:rsidRPr="006B0149" w:rsidRDefault="00D47A50" w:rsidP="00EF2E34">
      <w:pPr>
        <w:spacing w:line="360" w:lineRule="auto"/>
        <w:jc w:val="both"/>
        <w:rPr>
          <w:rFonts w:ascii="Arial" w:eastAsia="Arial Unicode MS" w:hAnsi="Arial" w:cs="Arial"/>
        </w:rPr>
      </w:pPr>
      <w:r w:rsidRPr="006B0149">
        <w:rPr>
          <w:rFonts w:ascii="Arial" w:eastAsia="Arial Unicode MS" w:hAnsi="Arial" w:cs="Arial"/>
        </w:rPr>
        <w:t>Analysing the data from the UK's Office for National Statistics (ONS), it is evident that inward FDI flows into the UK decreased by 30% in 2020 compared to the previous year, reflecting a potential impact of Brexit. This decline in FDI inflows suggests that the lack of usual trade cooperation between the European Union and the United Kingdom has led to losses in free trade, labour supply, and profitability.</w:t>
      </w:r>
    </w:p>
    <w:p w14:paraId="77C10FF8" w14:textId="36347C94" w:rsidR="00D47A50" w:rsidRPr="006B0149" w:rsidRDefault="00D47A50" w:rsidP="00EF2E34">
      <w:pPr>
        <w:spacing w:line="360" w:lineRule="auto"/>
        <w:jc w:val="both"/>
        <w:rPr>
          <w:rFonts w:ascii="Arial" w:eastAsia="Arial Unicode MS" w:hAnsi="Arial" w:cs="Arial"/>
        </w:rPr>
      </w:pPr>
      <w:r w:rsidRPr="006B0149">
        <w:rPr>
          <w:rFonts w:ascii="Arial" w:eastAsia="Arial Unicode MS" w:hAnsi="Arial" w:cs="Arial"/>
        </w:rPr>
        <w:t>Furthermore, the UK's GDP growth rate fluctuated over the years, with a significant spike in 2015 followed by a sharp decline in 2016. Although the following years produced mixed results, overall economic volatility was observed during this period.</w:t>
      </w:r>
    </w:p>
    <w:p w14:paraId="448E8B63" w14:textId="77777777" w:rsidR="00D47A50" w:rsidRPr="006B0149" w:rsidRDefault="00D47A50" w:rsidP="00EF2E34">
      <w:pPr>
        <w:spacing w:line="360" w:lineRule="auto"/>
        <w:jc w:val="both"/>
        <w:rPr>
          <w:rFonts w:ascii="Arial" w:eastAsia="Arial Unicode MS" w:hAnsi="Arial" w:cs="Arial"/>
        </w:rPr>
      </w:pPr>
    </w:p>
    <w:p w14:paraId="2B863D31" w14:textId="77777777" w:rsidR="00D47A50" w:rsidRPr="006B0149" w:rsidRDefault="00D47A50" w:rsidP="00EF2E34">
      <w:pPr>
        <w:spacing w:line="360" w:lineRule="auto"/>
        <w:jc w:val="both"/>
        <w:rPr>
          <w:rFonts w:ascii="Arial" w:eastAsia="Arial Unicode MS" w:hAnsi="Arial" w:cs="Arial"/>
        </w:rPr>
      </w:pPr>
      <w:r w:rsidRPr="006B0149">
        <w:rPr>
          <w:rFonts w:ascii="Arial" w:eastAsia="Arial Unicode MS" w:hAnsi="Arial" w:cs="Arial"/>
        </w:rPr>
        <w:lastRenderedPageBreak/>
        <w:t>On the positive side, the UK continues to attract substantial foreign investment despite the decline in FDI inflows. According to the EY European Investment Monitor (EIM), key FDI-producing industries such as financial services and business services still consider the UK to have a highly appealing FDI proposition. This suggests that certain sectors remain optimistic about investing in the UK.</w:t>
      </w:r>
    </w:p>
    <w:p w14:paraId="05D47AF3" w14:textId="66E122DA" w:rsidR="00D47A50" w:rsidRPr="006B0149" w:rsidRDefault="00D47A50" w:rsidP="00EF2E34">
      <w:pPr>
        <w:spacing w:line="360" w:lineRule="auto"/>
        <w:jc w:val="both"/>
        <w:rPr>
          <w:rFonts w:ascii="Arial" w:eastAsia="Arial Unicode MS" w:hAnsi="Arial" w:cs="Arial"/>
        </w:rPr>
      </w:pPr>
      <w:r w:rsidRPr="006B0149">
        <w:rPr>
          <w:rFonts w:ascii="Arial" w:eastAsia="Arial Unicode MS" w:hAnsi="Arial" w:cs="Arial"/>
        </w:rPr>
        <w:t>In summary, Brexit's impact on the UK economy, particularly in terms of FDI and economic growth, has been noticeable. However, ongoing monitoring and analysis of FDI trends, policy changes, and economic indicators will be crucial in understanding the evolving relationship between Brexit and FDI in the UK.</w:t>
      </w:r>
    </w:p>
    <w:p w14:paraId="6A327636" w14:textId="29522174" w:rsidR="00BF432F" w:rsidRPr="004A73C1" w:rsidRDefault="00CA52E6" w:rsidP="00EF2E34">
      <w:pPr>
        <w:pStyle w:val="Heading2"/>
        <w:spacing w:line="360" w:lineRule="auto"/>
        <w:rPr>
          <w:rFonts w:ascii="Arial" w:hAnsi="Arial" w:cs="Arial"/>
          <w:color w:val="auto"/>
        </w:rPr>
      </w:pPr>
      <w:bookmarkStart w:id="152" w:name="_Toc175056494"/>
      <w:bookmarkStart w:id="153" w:name="_Toc175848156"/>
      <w:r w:rsidRPr="004A73C1">
        <w:rPr>
          <w:rFonts w:ascii="Arial" w:hAnsi="Arial" w:cs="Arial"/>
          <w:color w:val="auto"/>
        </w:rPr>
        <w:t>4.8</w:t>
      </w:r>
      <w:r w:rsidRPr="004A73C1">
        <w:rPr>
          <w:rFonts w:ascii="Arial" w:hAnsi="Arial" w:cs="Arial"/>
          <w:color w:val="auto"/>
        </w:rPr>
        <w:tab/>
      </w:r>
      <w:r w:rsidR="00BF432F" w:rsidRPr="004A73C1">
        <w:rPr>
          <w:rFonts w:ascii="Arial" w:hAnsi="Arial" w:cs="Arial"/>
          <w:color w:val="auto"/>
        </w:rPr>
        <w:t xml:space="preserve">Impact of FDI on </w:t>
      </w:r>
      <w:r w:rsidR="00C13730">
        <w:rPr>
          <w:rFonts w:ascii="Arial" w:hAnsi="Arial" w:cs="Arial"/>
          <w:color w:val="auto"/>
        </w:rPr>
        <w:t>E</w:t>
      </w:r>
      <w:r w:rsidR="00BF432F" w:rsidRPr="004A73C1">
        <w:rPr>
          <w:rFonts w:ascii="Arial" w:hAnsi="Arial" w:cs="Arial"/>
          <w:color w:val="auto"/>
        </w:rPr>
        <w:t xml:space="preserve">conomic </w:t>
      </w:r>
      <w:r w:rsidR="00C13730">
        <w:rPr>
          <w:rFonts w:ascii="Arial" w:hAnsi="Arial" w:cs="Arial"/>
          <w:color w:val="auto"/>
        </w:rPr>
        <w:t>G</w:t>
      </w:r>
      <w:r w:rsidR="00BF432F" w:rsidRPr="004A73C1">
        <w:rPr>
          <w:rFonts w:ascii="Arial" w:hAnsi="Arial" w:cs="Arial"/>
          <w:color w:val="auto"/>
        </w:rPr>
        <w:t>rowth</w:t>
      </w:r>
      <w:bookmarkEnd w:id="152"/>
      <w:bookmarkEnd w:id="153"/>
      <w:r w:rsidR="00BF432F" w:rsidRPr="004A73C1">
        <w:rPr>
          <w:rFonts w:ascii="Arial" w:hAnsi="Arial" w:cs="Arial"/>
          <w:color w:val="auto"/>
        </w:rPr>
        <w:t xml:space="preserve"> </w:t>
      </w:r>
    </w:p>
    <w:p w14:paraId="5A942A45" w14:textId="360F6B93" w:rsidR="00BF432F" w:rsidRPr="006B0149" w:rsidRDefault="00BF432F" w:rsidP="00EF2E34">
      <w:pPr>
        <w:spacing w:line="360" w:lineRule="auto"/>
        <w:jc w:val="both"/>
        <w:rPr>
          <w:rFonts w:ascii="Arial" w:eastAsia="Arial Unicode MS" w:hAnsi="Arial" w:cs="Arial"/>
        </w:rPr>
      </w:pPr>
      <w:r w:rsidRPr="006B0149">
        <w:rPr>
          <w:rFonts w:ascii="Arial" w:eastAsia="Arial Unicode MS" w:hAnsi="Arial" w:cs="Arial"/>
        </w:rPr>
        <w:t>The impact of Foreign Direct Investment (FDI) on economic growth is very interrelated.</w:t>
      </w:r>
    </w:p>
    <w:p w14:paraId="49C44F85" w14:textId="785ED4CD" w:rsidR="00BF432F" w:rsidRPr="006B0149" w:rsidRDefault="00BF432F" w:rsidP="00EF2E34">
      <w:pPr>
        <w:spacing w:line="360" w:lineRule="auto"/>
        <w:jc w:val="both"/>
        <w:rPr>
          <w:rFonts w:ascii="Arial" w:eastAsia="Arial Unicode MS" w:hAnsi="Arial" w:cs="Arial"/>
        </w:rPr>
      </w:pPr>
      <w:r w:rsidRPr="006B0149">
        <w:rPr>
          <w:rFonts w:ascii="Arial" w:eastAsia="Arial Unicode MS" w:hAnsi="Arial" w:cs="Arial"/>
        </w:rPr>
        <w:t xml:space="preserve">One notable study is by </w:t>
      </w:r>
      <w:proofErr w:type="spellStart"/>
      <w:r w:rsidRPr="006B0149">
        <w:rPr>
          <w:rFonts w:ascii="Arial" w:eastAsia="Arial Unicode MS" w:hAnsi="Arial" w:cs="Arial"/>
        </w:rPr>
        <w:t>Borensztein</w:t>
      </w:r>
      <w:proofErr w:type="spellEnd"/>
      <w:r w:rsidRPr="006B0149">
        <w:rPr>
          <w:rFonts w:ascii="Arial" w:eastAsia="Arial Unicode MS" w:hAnsi="Arial" w:cs="Arial"/>
        </w:rPr>
        <w:t xml:space="preserve">, E., De Gregorio, J., &amp; Lee, J. W. (1998). "How does foreign direct investment affect economic growth?" The authors found evidence that FDI contributes to economic growth by facilitating technology transfer, </w:t>
      </w:r>
      <w:r w:rsidR="00B6380F" w:rsidRPr="006B0149">
        <w:rPr>
          <w:rFonts w:ascii="Arial" w:eastAsia="Arial Unicode MS" w:hAnsi="Arial" w:cs="Arial"/>
        </w:rPr>
        <w:t>developing human capital, and enhancing the host country's productivity</w:t>
      </w:r>
      <w:r w:rsidRPr="006B0149">
        <w:rPr>
          <w:rFonts w:ascii="Arial" w:eastAsia="Arial Unicode MS" w:hAnsi="Arial" w:cs="Arial"/>
        </w:rPr>
        <w:t>. This study is widely cited in the field of international economics.</w:t>
      </w:r>
    </w:p>
    <w:p w14:paraId="653D16C3" w14:textId="77777777" w:rsidR="00BF432F" w:rsidRPr="006B0149" w:rsidRDefault="00BF432F" w:rsidP="00EF2E34">
      <w:pPr>
        <w:spacing w:line="360" w:lineRule="auto"/>
        <w:jc w:val="both"/>
        <w:rPr>
          <w:rFonts w:ascii="Arial" w:eastAsia="Arial Unicode MS" w:hAnsi="Arial" w:cs="Arial"/>
        </w:rPr>
      </w:pPr>
      <w:r w:rsidRPr="006B0149">
        <w:rPr>
          <w:rFonts w:ascii="Arial" w:eastAsia="Arial Unicode MS" w:hAnsi="Arial" w:cs="Arial"/>
        </w:rPr>
        <w:t xml:space="preserve">Another influential research paper is by </w:t>
      </w:r>
      <w:proofErr w:type="spellStart"/>
      <w:r w:rsidRPr="006B0149">
        <w:rPr>
          <w:rFonts w:ascii="Arial" w:eastAsia="Arial Unicode MS" w:hAnsi="Arial" w:cs="Arial"/>
        </w:rPr>
        <w:t>Carkovic</w:t>
      </w:r>
      <w:proofErr w:type="spellEnd"/>
      <w:r w:rsidRPr="006B0149">
        <w:rPr>
          <w:rFonts w:ascii="Arial" w:eastAsia="Arial Unicode MS" w:hAnsi="Arial" w:cs="Arial"/>
        </w:rPr>
        <w:t>, M., &amp; Levine, R. (2005). "Does foreign direct investment accelerate economic growth?" This study provides empirical evidence that FDI has a positive impact on economic growth, particularly in developing countries.</w:t>
      </w:r>
    </w:p>
    <w:p w14:paraId="4F5A9FBA" w14:textId="7DB19E50" w:rsidR="00A072DF" w:rsidRPr="004A73C1" w:rsidRDefault="00A072DF" w:rsidP="00EF2E34">
      <w:pPr>
        <w:spacing w:line="360" w:lineRule="auto"/>
        <w:jc w:val="both"/>
        <w:rPr>
          <w:rFonts w:ascii="Arial" w:hAnsi="Arial" w:cs="Arial"/>
        </w:rPr>
      </w:pPr>
      <w:r w:rsidRPr="004A73C1">
        <w:rPr>
          <w:rFonts w:ascii="Arial" w:hAnsi="Arial" w:cs="Arial"/>
        </w:rPr>
        <w:t xml:space="preserve">Economic growth and Foreign Direct Investment (FDI) </w:t>
      </w:r>
      <w:r w:rsidR="00B6380F" w:rsidRPr="004A73C1">
        <w:rPr>
          <w:rFonts w:ascii="Arial" w:hAnsi="Arial" w:cs="Arial"/>
        </w:rPr>
        <w:t>are complex and interdependent</w:t>
      </w:r>
      <w:r w:rsidRPr="004A73C1">
        <w:rPr>
          <w:rFonts w:ascii="Arial" w:hAnsi="Arial" w:cs="Arial"/>
        </w:rPr>
        <w:t>.</w:t>
      </w:r>
      <w:r w:rsidR="008C1362" w:rsidRPr="004A73C1">
        <w:rPr>
          <w:rFonts w:ascii="Arial" w:eastAsia="Times New Roman" w:hAnsi="Arial" w:cs="Arial"/>
          <w:sz w:val="24"/>
          <w:szCs w:val="24"/>
          <w:lang w:eastAsia="en-GB"/>
        </w:rPr>
        <w:t xml:space="preserve"> </w:t>
      </w:r>
      <w:r w:rsidR="008C1362" w:rsidRPr="004A73C1">
        <w:rPr>
          <w:rFonts w:ascii="Arial" w:hAnsi="Arial" w:cs="Arial"/>
        </w:rPr>
        <w:t xml:space="preserve">Because FDI brings in capital, technology, and managerial experience that can boost productivity and overall economic development, it can be a major engine of economic progress. When foreign businesses invest in a host nation, they frequently provide specialized expertise and skills that can improve the capacities of local industries in addition to financial </w:t>
      </w:r>
      <w:proofErr w:type="spellStart"/>
      <w:proofErr w:type="gramStart"/>
      <w:r w:rsidR="008C1362" w:rsidRPr="004A73C1">
        <w:rPr>
          <w:rFonts w:ascii="Arial" w:hAnsi="Arial" w:cs="Arial"/>
        </w:rPr>
        <w:t>resources.</w:t>
      </w:r>
      <w:r w:rsidRPr="004A73C1">
        <w:rPr>
          <w:rFonts w:ascii="Arial" w:hAnsi="Arial" w:cs="Arial"/>
        </w:rPr>
        <w:t>This</w:t>
      </w:r>
      <w:proofErr w:type="spellEnd"/>
      <w:proofErr w:type="gramEnd"/>
      <w:r w:rsidRPr="004A73C1">
        <w:rPr>
          <w:rFonts w:ascii="Arial" w:hAnsi="Arial" w:cs="Arial"/>
        </w:rPr>
        <w:t xml:space="preserve"> transfer of technology and know-how can </w:t>
      </w:r>
      <w:r w:rsidR="00B6380F" w:rsidRPr="004A73C1">
        <w:rPr>
          <w:rFonts w:ascii="Arial" w:hAnsi="Arial" w:cs="Arial"/>
        </w:rPr>
        <w:t>improve</w:t>
      </w:r>
      <w:r w:rsidRPr="004A73C1">
        <w:rPr>
          <w:rFonts w:ascii="Arial" w:hAnsi="Arial" w:cs="Arial"/>
        </w:rPr>
        <w:t xml:space="preserve"> productivity, product quality, and overall competitiveness, ultimately contributing to economic growth.</w:t>
      </w:r>
    </w:p>
    <w:p w14:paraId="36EBD1CF" w14:textId="6092C528" w:rsidR="00A072DF" w:rsidRPr="004A73C1" w:rsidRDefault="00035D15" w:rsidP="00EF2E34">
      <w:pPr>
        <w:spacing w:line="360" w:lineRule="auto"/>
        <w:jc w:val="both"/>
        <w:rPr>
          <w:rFonts w:ascii="Arial" w:hAnsi="Arial" w:cs="Arial"/>
        </w:rPr>
      </w:pPr>
      <w:r w:rsidRPr="004A73C1">
        <w:rPr>
          <w:rFonts w:ascii="Arial" w:hAnsi="Arial" w:cs="Arial"/>
        </w:rPr>
        <w:t>T</w:t>
      </w:r>
      <w:r w:rsidR="00A072DF" w:rsidRPr="004A73C1">
        <w:rPr>
          <w:rFonts w:ascii="Arial" w:hAnsi="Arial" w:cs="Arial"/>
        </w:rPr>
        <w:t>he relationship between economic growth and FDI is mutually reinforcing. FDI can stimulate economic growth, and in turn, a growing economy can attract more FDI, leading to a cycle of development and prosperity.</w:t>
      </w:r>
    </w:p>
    <w:p w14:paraId="3F0EE7C1" w14:textId="68D97D00" w:rsidR="00A072DF" w:rsidRPr="004A73C1" w:rsidRDefault="00A072DF" w:rsidP="00EF2E34">
      <w:pPr>
        <w:spacing w:line="360" w:lineRule="auto"/>
        <w:jc w:val="both"/>
        <w:rPr>
          <w:rFonts w:ascii="Arial" w:hAnsi="Arial" w:cs="Arial"/>
        </w:rPr>
      </w:pPr>
      <w:r w:rsidRPr="004A73C1">
        <w:rPr>
          <w:rFonts w:ascii="Arial" w:hAnsi="Arial" w:cs="Arial"/>
        </w:rPr>
        <w:t>According to Culey and Rios (2017), FDI can lead to a decline in domestic investment and productivity growth, which may ultimately hinder overall economic growth. Similarly, Aitken and Harrison (1999) found that FDI can displace domestic firms and reduce their market share, leading to a negative impact on economic growth.</w:t>
      </w:r>
    </w:p>
    <w:p w14:paraId="7ECCD131" w14:textId="0B083559" w:rsidR="00A072DF" w:rsidRPr="004A73C1" w:rsidRDefault="00A072DF" w:rsidP="00EF2E34">
      <w:pPr>
        <w:spacing w:line="360" w:lineRule="auto"/>
        <w:jc w:val="both"/>
        <w:rPr>
          <w:rFonts w:ascii="Arial" w:hAnsi="Arial" w:cs="Arial"/>
        </w:rPr>
      </w:pPr>
      <w:r w:rsidRPr="004A73C1">
        <w:rPr>
          <w:rFonts w:ascii="Arial" w:hAnsi="Arial" w:cs="Arial"/>
        </w:rPr>
        <w:t xml:space="preserve">The negative effects of foreign direct investment (FDI) on economic growth can include issues such as crowding out domestic investment, transfer pricing and profit repatriation, and adverse effects on local industries and unemployment. These effects have been discussed in various </w:t>
      </w:r>
      <w:r w:rsidRPr="004A73C1">
        <w:rPr>
          <w:rFonts w:ascii="Arial" w:hAnsi="Arial" w:cs="Arial"/>
        </w:rPr>
        <w:lastRenderedPageBreak/>
        <w:t xml:space="preserve">academic studies, including those by </w:t>
      </w:r>
      <w:proofErr w:type="spellStart"/>
      <w:r w:rsidRPr="004A73C1">
        <w:rPr>
          <w:rFonts w:ascii="Arial" w:hAnsi="Arial" w:cs="Arial"/>
        </w:rPr>
        <w:t>Aisbett</w:t>
      </w:r>
      <w:proofErr w:type="spellEnd"/>
      <w:r w:rsidRPr="004A73C1">
        <w:rPr>
          <w:rFonts w:ascii="Arial" w:hAnsi="Arial" w:cs="Arial"/>
        </w:rPr>
        <w:t xml:space="preserve"> (2007), Alfaro and Charlton (2009), and </w:t>
      </w:r>
      <w:proofErr w:type="spellStart"/>
      <w:r w:rsidRPr="004A73C1">
        <w:rPr>
          <w:rFonts w:ascii="Arial" w:hAnsi="Arial" w:cs="Arial"/>
        </w:rPr>
        <w:t>Carkovic</w:t>
      </w:r>
      <w:proofErr w:type="spellEnd"/>
      <w:r w:rsidRPr="004A73C1">
        <w:rPr>
          <w:rFonts w:ascii="Arial" w:hAnsi="Arial" w:cs="Arial"/>
        </w:rPr>
        <w:t xml:space="preserve"> and Levine (2005).</w:t>
      </w:r>
    </w:p>
    <w:p w14:paraId="698FD2D6" w14:textId="1CE8B23E" w:rsidR="00A072DF" w:rsidRPr="004A73C1" w:rsidRDefault="0047070F" w:rsidP="00EF2E34">
      <w:pPr>
        <w:spacing w:line="360" w:lineRule="auto"/>
        <w:jc w:val="both"/>
        <w:rPr>
          <w:rFonts w:ascii="Arial" w:hAnsi="Arial" w:cs="Arial"/>
        </w:rPr>
      </w:pPr>
      <w:r w:rsidRPr="004A73C1">
        <w:rPr>
          <w:rFonts w:ascii="Arial" w:hAnsi="Arial" w:cs="Arial"/>
        </w:rPr>
        <w:t>Some of the growth sectors in the UK due to Foreign Direct Investment (FDI) include technology and innovation, renewable energy, financial services, pharmaceuticals, and advanced manufacturing. These sectors have attracted significant FDI due to the UK's skilled workforce, strong research and development capabilities, and supportive business environment. The UK government has also implemented policies to encourage investment in these sectors, further contributing to their growth.</w:t>
      </w:r>
    </w:p>
    <w:p w14:paraId="26AF5A69" w14:textId="6D3F6E2F" w:rsidR="004519CD" w:rsidRPr="004A73C1" w:rsidRDefault="004519CD" w:rsidP="00EF2E34">
      <w:pPr>
        <w:spacing w:line="360" w:lineRule="auto"/>
        <w:jc w:val="both"/>
        <w:rPr>
          <w:rFonts w:ascii="Arial" w:hAnsi="Arial" w:cs="Arial"/>
        </w:rPr>
      </w:pPr>
      <w:r w:rsidRPr="004A73C1">
        <w:rPr>
          <w:rFonts w:ascii="Arial" w:hAnsi="Arial" w:cs="Arial"/>
          <w:noProof/>
        </w:rPr>
        <w:drawing>
          <wp:inline distT="0" distB="0" distL="0" distR="0" wp14:anchorId="3572EEEC" wp14:editId="48F6A1E9">
            <wp:extent cx="5734050" cy="2905125"/>
            <wp:effectExtent l="0" t="0" r="0" b="9525"/>
            <wp:docPr id="900021991" name="Chart 1">
              <a:extLst xmlns:a="http://schemas.openxmlformats.org/drawingml/2006/main">
                <a:ext uri="{FF2B5EF4-FFF2-40B4-BE49-F238E27FC236}">
                  <a16:creationId xmlns:a16="http://schemas.microsoft.com/office/drawing/2014/main" id="{7E5BB2A8-4E8D-38FD-04FC-F60D18E6C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594B26C0" w14:textId="5F1B4591" w:rsidR="00740D35" w:rsidRPr="004A73C1" w:rsidRDefault="00740D35" w:rsidP="00EF2E34">
      <w:pPr>
        <w:spacing w:line="360" w:lineRule="auto"/>
        <w:jc w:val="both"/>
        <w:rPr>
          <w:rFonts w:ascii="Arial" w:hAnsi="Arial" w:cs="Arial"/>
        </w:rPr>
      </w:pPr>
      <w:r w:rsidRPr="004A73C1">
        <w:rPr>
          <w:rFonts w:ascii="Arial" w:hAnsi="Arial" w:cs="Arial"/>
        </w:rPr>
        <w:t xml:space="preserve">Figure </w:t>
      </w:r>
      <w:r w:rsidR="00C75C62" w:rsidRPr="004A73C1">
        <w:rPr>
          <w:rFonts w:ascii="Arial" w:hAnsi="Arial" w:cs="Arial"/>
        </w:rPr>
        <w:t>36</w:t>
      </w:r>
      <w:r w:rsidRPr="004A73C1">
        <w:rPr>
          <w:rFonts w:ascii="Arial" w:hAnsi="Arial" w:cs="Arial"/>
        </w:rPr>
        <w:tab/>
      </w:r>
    </w:p>
    <w:p w14:paraId="666B82D9" w14:textId="6B1545A8" w:rsidR="00A072DF" w:rsidRPr="004A73C1" w:rsidRDefault="00F90E4F" w:rsidP="00EF2E34">
      <w:pPr>
        <w:spacing w:line="360" w:lineRule="auto"/>
        <w:jc w:val="both"/>
        <w:rPr>
          <w:rFonts w:ascii="Arial" w:hAnsi="Arial" w:cs="Arial"/>
        </w:rPr>
      </w:pPr>
      <w:r w:rsidRPr="004A73C1">
        <w:rPr>
          <w:rFonts w:ascii="Arial" w:hAnsi="Arial" w:cs="Arial"/>
        </w:rPr>
        <w:t>(</w:t>
      </w:r>
      <w:r w:rsidR="004519CD" w:rsidRPr="004A73C1">
        <w:rPr>
          <w:rFonts w:ascii="Arial" w:hAnsi="Arial" w:cs="Arial"/>
        </w:rPr>
        <w:t>Source: Gov.uk/government/statistics/dbt-inward-investment-results-2022-to-2023)</w:t>
      </w:r>
    </w:p>
    <w:p w14:paraId="311D1067" w14:textId="2930642B" w:rsidR="00D47A50" w:rsidRPr="004A73C1" w:rsidRDefault="00CA52E6" w:rsidP="00D11768">
      <w:pPr>
        <w:pStyle w:val="Heading3"/>
        <w:rPr>
          <w:rFonts w:ascii="Arial" w:hAnsi="Arial" w:cs="Arial"/>
          <w:color w:val="auto"/>
        </w:rPr>
      </w:pPr>
      <w:bookmarkStart w:id="154" w:name="_Toc175056495"/>
      <w:bookmarkStart w:id="155" w:name="_Toc175848157"/>
      <w:r w:rsidRPr="004A73C1">
        <w:rPr>
          <w:rFonts w:ascii="Arial" w:hAnsi="Arial" w:cs="Arial"/>
          <w:color w:val="auto"/>
        </w:rPr>
        <w:t>4.8.1</w:t>
      </w:r>
      <w:r w:rsidRPr="004A73C1">
        <w:rPr>
          <w:rFonts w:ascii="Arial" w:hAnsi="Arial" w:cs="Arial"/>
          <w:color w:val="auto"/>
        </w:rPr>
        <w:tab/>
      </w:r>
      <w:r w:rsidR="00303FD1" w:rsidRPr="004A73C1">
        <w:rPr>
          <w:rFonts w:ascii="Arial" w:hAnsi="Arial" w:cs="Arial"/>
          <w:color w:val="auto"/>
        </w:rPr>
        <w:t>GDP Growth</w:t>
      </w:r>
      <w:bookmarkEnd w:id="154"/>
      <w:bookmarkEnd w:id="155"/>
    </w:p>
    <w:p w14:paraId="681D8C08" w14:textId="18538611" w:rsidR="00D47A50" w:rsidRPr="004A73C1" w:rsidRDefault="00D47A50" w:rsidP="00EF2E34">
      <w:pPr>
        <w:pStyle w:val="ListParagraph"/>
        <w:spacing w:line="360" w:lineRule="auto"/>
        <w:ind w:left="0"/>
        <w:jc w:val="both"/>
        <w:rPr>
          <w:rFonts w:ascii="Arial" w:hAnsi="Arial" w:cs="Arial"/>
          <w:color w:val="000000"/>
          <w:shd w:val="clear" w:color="auto" w:fill="FFFFFF"/>
        </w:rPr>
      </w:pPr>
      <w:r w:rsidRPr="004A73C1">
        <w:rPr>
          <w:rFonts w:ascii="Arial" w:hAnsi="Arial" w:cs="Arial"/>
          <w:color w:val="000000"/>
          <w:shd w:val="clear" w:color="auto" w:fill="FFFFFF"/>
        </w:rPr>
        <w:t>The GDP growth rate for the United Kingdom has shown significant fluctuations over the years. 2014 the growth rate was 1.92%, followed by a slight decrease to 1.55% in 2015. However, there was a remarkable spike in 2016, with a growth rate of 12.08%. After that, the growth rate declined to -0.87% in 2017. In the following years, the growth rates were 0.69% in 2018, 5.83% in 2019, 0.19% in 2020, and 1.45% in 2021. The data indicates that the UK experienced significant economic volatility during this period, with both positive and negative growth rates.</w:t>
      </w:r>
    </w:p>
    <w:p w14:paraId="6EE871C7" w14:textId="21B80A2A" w:rsidR="00303FD1" w:rsidRPr="004A73C1" w:rsidRDefault="00CA52E6" w:rsidP="00D11768">
      <w:pPr>
        <w:pStyle w:val="Heading3"/>
        <w:rPr>
          <w:rFonts w:ascii="Arial" w:hAnsi="Arial" w:cs="Arial"/>
          <w:color w:val="auto"/>
        </w:rPr>
      </w:pPr>
      <w:bookmarkStart w:id="156" w:name="_Toc175848158"/>
      <w:r w:rsidRPr="004A73C1">
        <w:rPr>
          <w:rFonts w:ascii="Arial" w:hAnsi="Arial" w:cs="Arial"/>
          <w:color w:val="auto"/>
        </w:rPr>
        <w:t>4.8.2</w:t>
      </w:r>
      <w:r w:rsidRPr="004A73C1">
        <w:rPr>
          <w:rFonts w:ascii="Arial" w:hAnsi="Arial" w:cs="Arial"/>
          <w:color w:val="auto"/>
        </w:rPr>
        <w:tab/>
      </w:r>
      <w:r w:rsidR="00303FD1" w:rsidRPr="004A73C1">
        <w:rPr>
          <w:rFonts w:ascii="Arial" w:hAnsi="Arial" w:cs="Arial"/>
          <w:color w:val="auto"/>
        </w:rPr>
        <w:t xml:space="preserve">Employment </w:t>
      </w:r>
      <w:r w:rsidR="00C13730">
        <w:rPr>
          <w:rFonts w:ascii="Arial" w:hAnsi="Arial" w:cs="Arial"/>
          <w:color w:val="auto"/>
        </w:rPr>
        <w:t>R</w:t>
      </w:r>
      <w:r w:rsidR="00303FD1" w:rsidRPr="004A73C1">
        <w:rPr>
          <w:rFonts w:ascii="Arial" w:hAnsi="Arial" w:cs="Arial"/>
          <w:color w:val="auto"/>
        </w:rPr>
        <w:t>ate</w:t>
      </w:r>
      <w:bookmarkEnd w:id="156"/>
    </w:p>
    <w:p w14:paraId="35A1FD8E" w14:textId="3A511028" w:rsidR="00D47A50" w:rsidRPr="004A73C1" w:rsidRDefault="00D47A50" w:rsidP="00EF2E34">
      <w:pPr>
        <w:spacing w:line="360" w:lineRule="auto"/>
        <w:jc w:val="both"/>
        <w:rPr>
          <w:rFonts w:ascii="Arial" w:hAnsi="Arial" w:cs="Arial"/>
          <w:color w:val="000000"/>
          <w:shd w:val="clear" w:color="auto" w:fill="FFFFFF"/>
        </w:rPr>
      </w:pPr>
      <w:r w:rsidRPr="006B0149">
        <w:rPr>
          <w:rFonts w:ascii="Arial" w:eastAsia="Arial Unicode MS" w:hAnsi="Arial" w:cs="Arial"/>
        </w:rPr>
        <w:t xml:space="preserve">The UK employment data from 2017 to 2024 shows fluctuations in the labour market. 2017 the employment rate was relatively stable, but it experienced a noticeable decline in 2018. However, there was an improvement in 2019, with a positive trend in employment. In 2020, the employment rate faced challenges, likely due to the impact of the COVID-19 pandemic. Subsequently, in 2021 and 2022, there was a gradual recovery and improvement in the employment rate. As of 2024, the UK's employment situation seems </w:t>
      </w:r>
      <w:r w:rsidR="00FF7800" w:rsidRPr="006B0149">
        <w:rPr>
          <w:rFonts w:ascii="Arial" w:eastAsia="Arial Unicode MS" w:hAnsi="Arial" w:cs="Arial"/>
        </w:rPr>
        <w:t>upward</w:t>
      </w:r>
      <w:r w:rsidRPr="006B0149">
        <w:rPr>
          <w:rFonts w:ascii="Arial" w:eastAsia="Arial Unicode MS" w:hAnsi="Arial" w:cs="Arial"/>
        </w:rPr>
        <w:t xml:space="preserve">, showing signs of </w:t>
      </w:r>
      <w:r w:rsidR="00035D15" w:rsidRPr="006B0149">
        <w:rPr>
          <w:rFonts w:ascii="Arial" w:eastAsia="Arial Unicode MS" w:hAnsi="Arial" w:cs="Arial"/>
        </w:rPr>
        <w:t>growth</w:t>
      </w:r>
      <w:r w:rsidRPr="006B0149">
        <w:rPr>
          <w:rFonts w:ascii="Arial" w:eastAsia="Arial Unicode MS" w:hAnsi="Arial" w:cs="Arial"/>
        </w:rPr>
        <w:t xml:space="preserve"> and stability</w:t>
      </w:r>
      <w:r w:rsidRPr="004A73C1">
        <w:rPr>
          <w:rFonts w:ascii="Arial" w:hAnsi="Arial" w:cs="Arial"/>
          <w:color w:val="000000"/>
          <w:shd w:val="clear" w:color="auto" w:fill="FFFFFF"/>
        </w:rPr>
        <w:t>.</w:t>
      </w:r>
    </w:p>
    <w:p w14:paraId="3F0713A3" w14:textId="77777777" w:rsidR="00FF7800" w:rsidRPr="004A73C1" w:rsidRDefault="00FF7800" w:rsidP="00EF2E34">
      <w:pPr>
        <w:spacing w:line="360" w:lineRule="auto"/>
        <w:jc w:val="both"/>
        <w:rPr>
          <w:rFonts w:ascii="Arial" w:hAnsi="Arial" w:cs="Arial"/>
          <w:color w:val="000000"/>
          <w:shd w:val="clear" w:color="auto" w:fill="FFFFFF"/>
        </w:rPr>
      </w:pPr>
    </w:p>
    <w:p w14:paraId="6259C506" w14:textId="092FBD6B" w:rsidR="00FF7800" w:rsidRPr="004A73C1" w:rsidRDefault="00FF7800"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The following table shows </w:t>
      </w:r>
      <w:r w:rsidR="006662A2" w:rsidRPr="004A73C1">
        <w:rPr>
          <w:rFonts w:ascii="Arial" w:hAnsi="Arial" w:cs="Arial"/>
          <w:color w:val="000000"/>
          <w:shd w:val="clear" w:color="auto" w:fill="FFFFFF"/>
        </w:rPr>
        <w:t>a comparison of different</w:t>
      </w:r>
      <w:r w:rsidRPr="004A73C1">
        <w:rPr>
          <w:rFonts w:ascii="Arial" w:hAnsi="Arial" w:cs="Arial"/>
          <w:color w:val="000000"/>
          <w:shd w:val="clear" w:color="auto" w:fill="FFFFFF"/>
        </w:rPr>
        <w:t xml:space="preserve"> projects from 2022 to 2023. </w:t>
      </w:r>
    </w:p>
    <w:p w14:paraId="392BD2F8" w14:textId="669755DC" w:rsidR="008C1362" w:rsidRPr="004A73C1" w:rsidRDefault="008C1362" w:rsidP="008C1362">
      <w:pPr>
        <w:spacing w:line="360" w:lineRule="auto"/>
        <w:jc w:val="both"/>
        <w:rPr>
          <w:rFonts w:ascii="Arial" w:hAnsi="Arial" w:cs="Arial"/>
        </w:rPr>
      </w:pPr>
      <w:r w:rsidRPr="004A73C1">
        <w:rPr>
          <w:rFonts w:ascii="Arial" w:hAnsi="Arial" w:cs="Arial"/>
        </w:rPr>
        <w:t>Figure 3</w:t>
      </w:r>
      <w:r w:rsidR="00C75C62" w:rsidRPr="004A73C1">
        <w:rPr>
          <w:rFonts w:ascii="Arial" w:hAnsi="Arial" w:cs="Arial"/>
        </w:rPr>
        <w:t>7</w:t>
      </w:r>
    </w:p>
    <w:p w14:paraId="2F41AA4F" w14:textId="3C0D69F4" w:rsidR="008C1362" w:rsidRPr="004A73C1" w:rsidRDefault="008C1362" w:rsidP="008C1362">
      <w:pPr>
        <w:spacing w:line="360" w:lineRule="auto"/>
        <w:jc w:val="both"/>
        <w:rPr>
          <w:rFonts w:ascii="Arial" w:hAnsi="Arial" w:cs="Arial"/>
          <w:color w:val="000000"/>
          <w:shd w:val="clear" w:color="auto" w:fill="FFFFFF"/>
        </w:rPr>
      </w:pPr>
      <w:r w:rsidRPr="004A73C1">
        <w:rPr>
          <w:rFonts w:ascii="Arial" w:hAnsi="Arial" w:cs="Arial"/>
          <w:noProof/>
          <w:color w:val="000000"/>
          <w:shd w:val="clear" w:color="auto" w:fill="FFFFFF"/>
        </w:rPr>
        <w:drawing>
          <wp:inline distT="0" distB="0" distL="0" distR="0" wp14:anchorId="69A6813E" wp14:editId="4FA8B24E">
            <wp:extent cx="5926347" cy="5942762"/>
            <wp:effectExtent l="0" t="0" r="0" b="1270"/>
            <wp:docPr id="158972868"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72868" name="Picture 1" descr="A table with numbers and text&#10;&#10;Description automatically generated"/>
                    <pic:cNvPicPr/>
                  </pic:nvPicPr>
                  <pic:blipFill>
                    <a:blip r:embed="rId58"/>
                    <a:stretch>
                      <a:fillRect/>
                    </a:stretch>
                  </pic:blipFill>
                  <pic:spPr>
                    <a:xfrm>
                      <a:off x="0" y="0"/>
                      <a:ext cx="5927541" cy="5943959"/>
                    </a:xfrm>
                    <a:prstGeom prst="rect">
                      <a:avLst/>
                    </a:prstGeom>
                  </pic:spPr>
                </pic:pic>
              </a:graphicData>
            </a:graphic>
          </wp:inline>
        </w:drawing>
      </w:r>
    </w:p>
    <w:p w14:paraId="6E2B2F62" w14:textId="3CD6A69A" w:rsidR="00D47A50" w:rsidRPr="004A73C1" w:rsidRDefault="00CA52E6" w:rsidP="00D11768">
      <w:pPr>
        <w:pStyle w:val="Heading3"/>
        <w:rPr>
          <w:rFonts w:ascii="Arial" w:hAnsi="Arial" w:cs="Arial"/>
          <w:color w:val="auto"/>
        </w:rPr>
      </w:pPr>
      <w:bookmarkStart w:id="157" w:name="_Toc175056496"/>
      <w:bookmarkStart w:id="158" w:name="_Toc175848159"/>
      <w:r w:rsidRPr="004A73C1">
        <w:rPr>
          <w:rFonts w:ascii="Arial" w:hAnsi="Arial" w:cs="Arial"/>
          <w:color w:val="auto"/>
        </w:rPr>
        <w:t>4.8.3</w:t>
      </w:r>
      <w:r w:rsidRPr="004A73C1">
        <w:rPr>
          <w:rFonts w:ascii="Arial" w:hAnsi="Arial" w:cs="Arial"/>
          <w:color w:val="auto"/>
        </w:rPr>
        <w:tab/>
      </w:r>
      <w:r w:rsidR="00F90E4F" w:rsidRPr="004A73C1">
        <w:rPr>
          <w:rFonts w:ascii="Arial" w:hAnsi="Arial" w:cs="Arial"/>
          <w:color w:val="auto"/>
        </w:rPr>
        <w:t>I</w:t>
      </w:r>
      <w:r w:rsidR="00303FD1" w:rsidRPr="004A73C1">
        <w:rPr>
          <w:rFonts w:ascii="Arial" w:hAnsi="Arial" w:cs="Arial"/>
          <w:color w:val="auto"/>
        </w:rPr>
        <w:t xml:space="preserve">mpact of FDI on the </w:t>
      </w:r>
      <w:r w:rsidR="00C13730">
        <w:rPr>
          <w:rFonts w:ascii="Arial" w:hAnsi="Arial" w:cs="Arial"/>
          <w:color w:val="auto"/>
        </w:rPr>
        <w:t>L</w:t>
      </w:r>
      <w:r w:rsidR="00303FD1" w:rsidRPr="004A73C1">
        <w:rPr>
          <w:rFonts w:ascii="Arial" w:hAnsi="Arial" w:cs="Arial"/>
          <w:color w:val="auto"/>
        </w:rPr>
        <w:t xml:space="preserve">ocal </w:t>
      </w:r>
      <w:r w:rsidR="00C13730">
        <w:rPr>
          <w:rFonts w:ascii="Arial" w:hAnsi="Arial" w:cs="Arial"/>
          <w:color w:val="auto"/>
        </w:rPr>
        <w:t>C</w:t>
      </w:r>
      <w:r w:rsidR="00303FD1" w:rsidRPr="004A73C1">
        <w:rPr>
          <w:rFonts w:ascii="Arial" w:hAnsi="Arial" w:cs="Arial"/>
          <w:color w:val="auto"/>
        </w:rPr>
        <w:t>ommunity</w:t>
      </w:r>
      <w:bookmarkEnd w:id="157"/>
      <w:bookmarkEnd w:id="158"/>
      <w:r w:rsidR="00303FD1" w:rsidRPr="004A73C1">
        <w:rPr>
          <w:rFonts w:ascii="Arial" w:hAnsi="Arial" w:cs="Arial"/>
          <w:color w:val="auto"/>
        </w:rPr>
        <w:t xml:space="preserve"> </w:t>
      </w:r>
    </w:p>
    <w:p w14:paraId="0F1EE2F5" w14:textId="081AD194" w:rsidR="00D47A50" w:rsidRPr="004A73C1" w:rsidRDefault="00D47A50" w:rsidP="00EF2E34">
      <w:pPr>
        <w:pStyle w:val="ListParagraph"/>
        <w:spacing w:line="360" w:lineRule="auto"/>
        <w:ind w:left="0"/>
        <w:jc w:val="both"/>
        <w:rPr>
          <w:rFonts w:ascii="Arial" w:hAnsi="Arial" w:cs="Arial"/>
          <w:color w:val="000000"/>
          <w:shd w:val="clear" w:color="auto" w:fill="FFFFFF"/>
        </w:rPr>
      </w:pPr>
      <w:r w:rsidRPr="004A73C1">
        <w:rPr>
          <w:rFonts w:ascii="Arial" w:hAnsi="Arial" w:cs="Arial"/>
          <w:color w:val="000000"/>
          <w:shd w:val="clear" w:color="auto" w:fill="FFFFFF"/>
        </w:rPr>
        <w:t>The impact of Foreign Direct Investment (FDI) on the local community in the UK over the last five years has been significant. Despite fluctuations in FDI inflows following Brexit, the UK has continued attracting substantial foreign investment, contributing to the local economy and job creation. FDI has played a vital role in fostering innovation, creating employment opportunities, and stimulating economic growth in various sectors. Additionally, FDI has often led to the transfer of new technologies and management practices, benefiting the local workforce and businesses. It's essential to monitor and analyse FDI trends to understand their evolving impact on the UK's local community and the broader economy.</w:t>
      </w:r>
    </w:p>
    <w:p w14:paraId="5586DD67" w14:textId="1373E926" w:rsidR="00303FD1" w:rsidRPr="004A73C1" w:rsidRDefault="00CA52E6" w:rsidP="00D11768">
      <w:pPr>
        <w:pStyle w:val="Heading3"/>
        <w:rPr>
          <w:rFonts w:ascii="Arial" w:hAnsi="Arial" w:cs="Arial"/>
          <w:color w:val="auto"/>
        </w:rPr>
      </w:pPr>
      <w:bookmarkStart w:id="159" w:name="_Toc175056497"/>
      <w:bookmarkStart w:id="160" w:name="_Toc175848160"/>
      <w:r w:rsidRPr="004A73C1">
        <w:rPr>
          <w:rFonts w:ascii="Arial" w:hAnsi="Arial" w:cs="Arial"/>
          <w:color w:val="auto"/>
        </w:rPr>
        <w:lastRenderedPageBreak/>
        <w:t>4.8.4</w:t>
      </w:r>
      <w:r w:rsidRPr="004A73C1">
        <w:rPr>
          <w:rFonts w:ascii="Arial" w:hAnsi="Arial" w:cs="Arial"/>
          <w:color w:val="auto"/>
        </w:rPr>
        <w:tab/>
      </w:r>
      <w:r w:rsidR="00303FD1" w:rsidRPr="004A73C1">
        <w:rPr>
          <w:rFonts w:ascii="Arial" w:hAnsi="Arial" w:cs="Arial"/>
          <w:color w:val="auto"/>
        </w:rPr>
        <w:t xml:space="preserve">Future FDI </w:t>
      </w:r>
      <w:r w:rsidR="00C13730">
        <w:rPr>
          <w:rFonts w:ascii="Arial" w:hAnsi="Arial" w:cs="Arial"/>
          <w:color w:val="auto"/>
        </w:rPr>
        <w:t>P</w:t>
      </w:r>
      <w:r w:rsidR="00303FD1" w:rsidRPr="004A73C1">
        <w:rPr>
          <w:rFonts w:ascii="Arial" w:hAnsi="Arial" w:cs="Arial"/>
          <w:color w:val="auto"/>
        </w:rPr>
        <w:t>rojects.</w:t>
      </w:r>
      <w:bookmarkEnd w:id="159"/>
      <w:bookmarkEnd w:id="160"/>
    </w:p>
    <w:p w14:paraId="7B7E822E" w14:textId="43358F00" w:rsidR="00D47A50" w:rsidRDefault="00D47A50" w:rsidP="00EF2E34">
      <w:pPr>
        <w:pStyle w:val="ListParagraph"/>
        <w:spacing w:line="360" w:lineRule="auto"/>
        <w:ind w:left="0"/>
        <w:jc w:val="both"/>
        <w:rPr>
          <w:rFonts w:ascii="Arial" w:hAnsi="Arial" w:cs="Arial"/>
          <w:color w:val="000000"/>
          <w:shd w:val="clear" w:color="auto" w:fill="FFFFFF"/>
        </w:rPr>
      </w:pPr>
      <w:r w:rsidRPr="004A73C1">
        <w:rPr>
          <w:rFonts w:ascii="Arial" w:hAnsi="Arial" w:cs="Arial"/>
          <w:color w:val="000000"/>
          <w:shd w:val="clear" w:color="auto" w:fill="FFFFFF"/>
        </w:rPr>
        <w:t xml:space="preserve">According to the EY European Investment Monitor (EIM) data from 2014-2023, the United Kingdom has experienced fluctuations in Foreign Direct Investment (FDI) following Brexit. While inward FDI flows into the UK decreased by 30% in 2020 compared to the previous year, the country </w:t>
      </w:r>
      <w:proofErr w:type="gramStart"/>
      <w:r w:rsidRPr="004A73C1">
        <w:rPr>
          <w:rFonts w:ascii="Arial" w:hAnsi="Arial" w:cs="Arial"/>
          <w:color w:val="000000"/>
          <w:shd w:val="clear" w:color="auto" w:fill="FFFFFF"/>
        </w:rPr>
        <w:t>still remains</w:t>
      </w:r>
      <w:proofErr w:type="gramEnd"/>
      <w:r w:rsidRPr="004A73C1">
        <w:rPr>
          <w:rFonts w:ascii="Arial" w:hAnsi="Arial" w:cs="Arial"/>
          <w:color w:val="000000"/>
          <w:shd w:val="clear" w:color="auto" w:fill="FFFFFF"/>
        </w:rPr>
        <w:t xml:space="preserve"> a significant recipient of foreign investment. The UK's FDI proposition continues to be highly appealing to executives in key FDI-producing industries such as financial services and business services, despite the overall decrease in the country's perceived attractiveness. Furthermore, ongoing monitoring and analysis of FDI trends, policy changes, and economic indicators will be crucial for understanding the evolving relationship between Brexit and FDI in the </w:t>
      </w:r>
      <w:proofErr w:type="gramStart"/>
      <w:r w:rsidRPr="004A73C1">
        <w:rPr>
          <w:rFonts w:ascii="Arial" w:hAnsi="Arial" w:cs="Arial"/>
          <w:color w:val="000000"/>
          <w:shd w:val="clear" w:color="auto" w:fill="FFFFFF"/>
        </w:rPr>
        <w:t>UK(</w:t>
      </w:r>
      <w:proofErr w:type="gramEnd"/>
      <w:r w:rsidRPr="004A73C1">
        <w:rPr>
          <w:rFonts w:ascii="Arial" w:hAnsi="Arial" w:cs="Arial"/>
          <w:color w:val="000000"/>
          <w:shd w:val="clear" w:color="auto" w:fill="FFFFFF"/>
        </w:rPr>
        <w:t>Source: EY European Investment Monitor (EIM), 2014-23)</w:t>
      </w:r>
      <w:r w:rsidR="004117AD">
        <w:rPr>
          <w:rFonts w:ascii="Arial" w:hAnsi="Arial" w:cs="Arial"/>
          <w:color w:val="000000"/>
          <w:shd w:val="clear" w:color="auto" w:fill="FFFFFF"/>
        </w:rPr>
        <w:t>.</w:t>
      </w:r>
    </w:p>
    <w:p w14:paraId="575AC987" w14:textId="77777777" w:rsidR="004117AD" w:rsidRPr="004A73C1" w:rsidRDefault="004117AD" w:rsidP="00EF2E34">
      <w:pPr>
        <w:pStyle w:val="ListParagraph"/>
        <w:spacing w:line="360" w:lineRule="auto"/>
        <w:ind w:left="0"/>
        <w:jc w:val="both"/>
        <w:rPr>
          <w:rFonts w:ascii="Arial" w:hAnsi="Arial" w:cs="Arial"/>
          <w:color w:val="000000"/>
          <w:shd w:val="clear" w:color="auto" w:fill="FFFFFF"/>
        </w:rPr>
      </w:pPr>
    </w:p>
    <w:p w14:paraId="6B99E5EF" w14:textId="6195AC00" w:rsidR="00D47A50" w:rsidRPr="004A73C1" w:rsidRDefault="00CA52E6" w:rsidP="00D11768">
      <w:pPr>
        <w:pStyle w:val="Heading3"/>
        <w:rPr>
          <w:rFonts w:ascii="Arial" w:hAnsi="Arial" w:cs="Arial"/>
          <w:color w:val="auto"/>
        </w:rPr>
      </w:pPr>
      <w:bookmarkStart w:id="161" w:name="_Toc175056498"/>
      <w:bookmarkStart w:id="162" w:name="_Toc175848161"/>
      <w:r w:rsidRPr="004A73C1">
        <w:rPr>
          <w:rFonts w:ascii="Arial" w:hAnsi="Arial" w:cs="Arial"/>
          <w:color w:val="auto"/>
        </w:rPr>
        <w:t>4.8.5</w:t>
      </w:r>
      <w:r w:rsidRPr="004A73C1">
        <w:rPr>
          <w:rFonts w:ascii="Arial" w:hAnsi="Arial" w:cs="Arial"/>
          <w:color w:val="auto"/>
        </w:rPr>
        <w:tab/>
      </w:r>
      <w:r w:rsidR="00303FD1" w:rsidRPr="004A73C1">
        <w:rPr>
          <w:rFonts w:ascii="Arial" w:hAnsi="Arial" w:cs="Arial"/>
          <w:color w:val="auto"/>
        </w:rPr>
        <w:t xml:space="preserve">FDI </w:t>
      </w:r>
      <w:r w:rsidR="00C13730">
        <w:rPr>
          <w:rFonts w:ascii="Arial" w:hAnsi="Arial" w:cs="Arial"/>
          <w:color w:val="auto"/>
        </w:rPr>
        <w:t>I</w:t>
      </w:r>
      <w:r w:rsidR="00303FD1" w:rsidRPr="004A73C1">
        <w:rPr>
          <w:rFonts w:ascii="Arial" w:hAnsi="Arial" w:cs="Arial"/>
          <w:color w:val="auto"/>
        </w:rPr>
        <w:t xml:space="preserve">mpact </w:t>
      </w:r>
      <w:proofErr w:type="gramStart"/>
      <w:r w:rsidR="00C13730">
        <w:rPr>
          <w:rFonts w:ascii="Arial" w:hAnsi="Arial" w:cs="Arial"/>
          <w:color w:val="auto"/>
        </w:rPr>
        <w:t>O</w:t>
      </w:r>
      <w:r w:rsidR="00303FD1" w:rsidRPr="004A73C1">
        <w:rPr>
          <w:rFonts w:ascii="Arial" w:hAnsi="Arial" w:cs="Arial"/>
          <w:color w:val="auto"/>
        </w:rPr>
        <w:t>n</w:t>
      </w:r>
      <w:proofErr w:type="gramEnd"/>
      <w:r w:rsidR="00303FD1" w:rsidRPr="004A73C1">
        <w:rPr>
          <w:rFonts w:ascii="Arial" w:hAnsi="Arial" w:cs="Arial"/>
          <w:color w:val="auto"/>
        </w:rPr>
        <w:t xml:space="preserve"> </w:t>
      </w:r>
      <w:r w:rsidR="00C13730">
        <w:rPr>
          <w:rFonts w:ascii="Arial" w:hAnsi="Arial" w:cs="Arial"/>
          <w:color w:val="auto"/>
        </w:rPr>
        <w:t>T</w:t>
      </w:r>
      <w:r w:rsidR="00303FD1" w:rsidRPr="004A73C1">
        <w:rPr>
          <w:rFonts w:ascii="Arial" w:hAnsi="Arial" w:cs="Arial"/>
          <w:color w:val="auto"/>
        </w:rPr>
        <w:t xml:space="preserve">he Environment - Green </w:t>
      </w:r>
      <w:r w:rsidR="004117AD">
        <w:rPr>
          <w:rFonts w:ascii="Arial" w:hAnsi="Arial" w:cs="Arial"/>
          <w:color w:val="auto"/>
        </w:rPr>
        <w:t>Investment</w:t>
      </w:r>
      <w:r w:rsidR="00303FD1" w:rsidRPr="004A73C1">
        <w:rPr>
          <w:rFonts w:ascii="Arial" w:hAnsi="Arial" w:cs="Arial"/>
          <w:color w:val="auto"/>
        </w:rPr>
        <w:t>.</w:t>
      </w:r>
      <w:bookmarkEnd w:id="161"/>
      <w:bookmarkEnd w:id="162"/>
    </w:p>
    <w:p w14:paraId="593A46F3" w14:textId="2A422720" w:rsidR="00D47A50" w:rsidRPr="004A73C1" w:rsidRDefault="00D47A50" w:rsidP="00EF2E34">
      <w:pPr>
        <w:pStyle w:val="ListParagraph"/>
        <w:spacing w:line="360" w:lineRule="auto"/>
        <w:ind w:left="0"/>
        <w:jc w:val="both"/>
        <w:rPr>
          <w:rFonts w:ascii="Arial" w:hAnsi="Arial" w:cs="Arial"/>
          <w:color w:val="000000"/>
          <w:shd w:val="clear" w:color="auto" w:fill="FFFFFF"/>
        </w:rPr>
      </w:pPr>
      <w:r w:rsidRPr="004A73C1">
        <w:rPr>
          <w:rFonts w:ascii="Arial" w:hAnsi="Arial" w:cs="Arial"/>
          <w:color w:val="000000"/>
          <w:shd w:val="clear" w:color="auto" w:fill="FFFFFF"/>
        </w:rPr>
        <w:t>The impact of foreign direct investment (FDI) on the environment is a critical issue that requires careful analysis. Several factors come into play when examining the impact of FDI on the environment in the UK context. FDI can have both positive and negative effects on the environment, depending on various circumstances.</w:t>
      </w:r>
    </w:p>
    <w:p w14:paraId="5F3FA763" w14:textId="5C376719" w:rsidR="00035D15" w:rsidRPr="004A73C1" w:rsidRDefault="00035D15"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The UK has attracted significant Foreign Direct Investment (FDI) in environmentally friendly projects in recent years. One notable example is the investment made by a multinational renewable energy company in offshore wind farms off the UK coast. This FDI has been directed towards expanding the capacity for renewable energy production, contributing to the UK's goal of reducing carbon emissions and transitioning towards a greener </w:t>
      </w:r>
      <w:proofErr w:type="gramStart"/>
      <w:r w:rsidRPr="004A73C1">
        <w:rPr>
          <w:rFonts w:ascii="Arial" w:hAnsi="Arial" w:cs="Arial"/>
          <w:color w:val="000000"/>
          <w:shd w:val="clear" w:color="auto" w:fill="FFFFFF"/>
        </w:rPr>
        <w:t>economy(</w:t>
      </w:r>
      <w:proofErr w:type="gramEnd"/>
      <w:r w:rsidRPr="004A73C1">
        <w:rPr>
          <w:rFonts w:ascii="Arial" w:hAnsi="Arial" w:cs="Arial"/>
          <w:color w:val="000000"/>
          <w:shd w:val="clear" w:color="auto" w:fill="FFFFFF"/>
        </w:rPr>
        <w:t xml:space="preserve">Source </w:t>
      </w:r>
      <w:r w:rsidRPr="004A73C1">
        <w:rPr>
          <w:rFonts w:ascii="Arial" w:hAnsi="Arial" w:cs="Arial"/>
        </w:rPr>
        <w:t>assets.publishing.service.gov.uk)</w:t>
      </w:r>
      <w:r w:rsidRPr="004A73C1">
        <w:rPr>
          <w:rFonts w:ascii="Arial" w:hAnsi="Arial" w:cs="Arial"/>
          <w:color w:val="000000"/>
          <w:shd w:val="clear" w:color="auto" w:fill="FFFFFF"/>
        </w:rPr>
        <w:t>.</w:t>
      </w:r>
    </w:p>
    <w:p w14:paraId="73D4DBD6" w14:textId="78C028AD" w:rsidR="00035D15" w:rsidRPr="004A73C1" w:rsidRDefault="00035D15"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Additionally, another example of FDI in environmentally friendly projects in the UK is the investment in sustainable infrastructure development, such as eco-friendly urban transportation systems and green building initiatives. These investments aim to improve energy efficiency, reduce environmental impact, and promote sustainable urban development. (Assets.publishing.service.gov.uk/media)</w:t>
      </w:r>
    </w:p>
    <w:p w14:paraId="27249E41" w14:textId="77777777" w:rsidR="00035D15" w:rsidRPr="004A73C1" w:rsidRDefault="00035D15"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These examples demonstrate how FDI has played a crucial role in supporting the UK's efforts to advance environmentally friendly projects and transition towards a more sustainable economy.</w:t>
      </w:r>
    </w:p>
    <w:p w14:paraId="76E0AE9C" w14:textId="6E15B8D0" w:rsidR="00D47A50" w:rsidRPr="004A73C1" w:rsidRDefault="00D47A50"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It's essential to critically </w:t>
      </w:r>
      <w:r w:rsidR="005B2149" w:rsidRPr="004A73C1">
        <w:rPr>
          <w:rFonts w:ascii="Arial" w:hAnsi="Arial" w:cs="Arial"/>
          <w:color w:val="000000"/>
          <w:shd w:val="clear" w:color="auto" w:fill="FFFFFF"/>
        </w:rPr>
        <w:t>analyse</w:t>
      </w:r>
      <w:r w:rsidRPr="004A73C1">
        <w:rPr>
          <w:rFonts w:ascii="Arial" w:hAnsi="Arial" w:cs="Arial"/>
          <w:color w:val="000000"/>
          <w:shd w:val="clear" w:color="auto" w:fill="FFFFFF"/>
        </w:rPr>
        <w:t xml:space="preserve"> the environmental implications of FDI by considering specific investment projects and sectors. For instance, investments in renewable energy and green technology may have a positive influence on the environment, while investments in industries with high carbon emissions and intensive resource consumption may have detrimental effects.</w:t>
      </w:r>
    </w:p>
    <w:p w14:paraId="36E822FB" w14:textId="77777777" w:rsidR="00D47A50" w:rsidRPr="004A73C1" w:rsidRDefault="00D47A50"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Furthermore, the regulatory framework and enforcement of environmental standards play a crucial role in mitigating the potential negative impact of FDI on the environment. The UK's </w:t>
      </w:r>
      <w:r w:rsidRPr="004A73C1">
        <w:rPr>
          <w:rFonts w:ascii="Arial" w:hAnsi="Arial" w:cs="Arial"/>
          <w:color w:val="000000"/>
          <w:shd w:val="clear" w:color="auto" w:fill="FFFFFF"/>
        </w:rPr>
        <w:lastRenderedPageBreak/>
        <w:t>approach to regulating and monitoring environmental practices in FDI projects can significantly influence the overall environmental impact.</w:t>
      </w:r>
    </w:p>
    <w:p w14:paraId="444A524D" w14:textId="77777777" w:rsidR="00382A74" w:rsidRPr="004A73C1" w:rsidRDefault="00D47A50"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In conclusion, the impact of FDI on the environment in the UK necessitates a critical and comprehensive analysis, </w:t>
      </w:r>
      <w:r w:rsidR="00B438E3" w:rsidRPr="004A73C1">
        <w:rPr>
          <w:rFonts w:ascii="Arial" w:hAnsi="Arial" w:cs="Arial"/>
          <w:color w:val="000000"/>
          <w:shd w:val="clear" w:color="auto" w:fill="FFFFFF"/>
        </w:rPr>
        <w:t>considering</w:t>
      </w:r>
      <w:r w:rsidRPr="004A73C1">
        <w:rPr>
          <w:rFonts w:ascii="Arial" w:hAnsi="Arial" w:cs="Arial"/>
          <w:color w:val="000000"/>
          <w:shd w:val="clear" w:color="auto" w:fill="FFFFFF"/>
        </w:rPr>
        <w:t xml:space="preserve"> the nature of investments, technological advancements, regulatory mechanisms, and the balance between economic growth and environmental sustainability. By carefully evaluating these factors, it is possible to understand and address the </w:t>
      </w:r>
      <w:r w:rsidR="00B438E3" w:rsidRPr="004A73C1">
        <w:rPr>
          <w:rFonts w:ascii="Arial" w:hAnsi="Arial" w:cs="Arial"/>
          <w:color w:val="000000"/>
          <w:shd w:val="clear" w:color="auto" w:fill="FFFFFF"/>
        </w:rPr>
        <w:t>ecological</w:t>
      </w:r>
      <w:r w:rsidRPr="004A73C1">
        <w:rPr>
          <w:rFonts w:ascii="Arial" w:hAnsi="Arial" w:cs="Arial"/>
          <w:color w:val="000000"/>
          <w:shd w:val="clear" w:color="auto" w:fill="FFFFFF"/>
        </w:rPr>
        <w:t xml:space="preserve"> implications of FDI in the UK.</w:t>
      </w:r>
    </w:p>
    <w:p w14:paraId="11FA5010" w14:textId="57A29949" w:rsidR="000C59D1" w:rsidRPr="004A73C1" w:rsidRDefault="00CA52E6" w:rsidP="00EF2E34">
      <w:pPr>
        <w:pStyle w:val="Heading2"/>
        <w:spacing w:line="360" w:lineRule="auto"/>
        <w:rPr>
          <w:rFonts w:ascii="Arial" w:hAnsi="Arial" w:cs="Arial"/>
          <w:color w:val="auto"/>
          <w:shd w:val="clear" w:color="auto" w:fill="FFFFFF"/>
        </w:rPr>
      </w:pPr>
      <w:bookmarkStart w:id="163" w:name="_Toc175056499"/>
      <w:bookmarkStart w:id="164" w:name="_Toc175848162"/>
      <w:r w:rsidRPr="004A73C1">
        <w:rPr>
          <w:rFonts w:ascii="Arial" w:hAnsi="Arial" w:cs="Arial"/>
          <w:color w:val="auto"/>
          <w:shd w:val="clear" w:color="auto" w:fill="FFFFFF"/>
        </w:rPr>
        <w:t>4.9</w:t>
      </w:r>
      <w:r w:rsidRPr="004A73C1">
        <w:rPr>
          <w:rFonts w:ascii="Arial" w:hAnsi="Arial" w:cs="Arial"/>
          <w:color w:val="auto"/>
          <w:shd w:val="clear" w:color="auto" w:fill="FFFFFF"/>
        </w:rPr>
        <w:tab/>
      </w:r>
      <w:r w:rsidR="000C59D1" w:rsidRPr="004A73C1">
        <w:rPr>
          <w:rFonts w:ascii="Arial" w:hAnsi="Arial" w:cs="Arial"/>
          <w:color w:val="auto"/>
          <w:shd w:val="clear" w:color="auto" w:fill="FFFFFF"/>
        </w:rPr>
        <w:t>Chapter Summary:</w:t>
      </w:r>
      <w:bookmarkEnd w:id="163"/>
      <w:bookmarkEnd w:id="164"/>
    </w:p>
    <w:p w14:paraId="329C8D79" w14:textId="5181A114" w:rsidR="000C59D1" w:rsidRPr="004A73C1" w:rsidRDefault="000C59D1" w:rsidP="00EF2E34">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This chapter provides a detailed analysis and discusses the impact of Foreign Direct Investment (FDI) on economic growth, GDP growth, employment rate, and local community in the UK. It addresses the fluctuations in the GDP growth rate, employment rate, and FDI projects from 2014 to 2023. The sectors experiencing growth due to FDI, such as technology, innovation, renewable energy, financial services, pharmaceuticals, and advanced manufacturing, are highlighted. The impact of FDI on the local community and the importance of monitoring FDI trends are also emphasized. Furthermore, it mentions the future of FDI projects and the impact of FDI on the environment with a focus on green investment.</w:t>
      </w:r>
    </w:p>
    <w:p w14:paraId="3F2F3D18" w14:textId="77777777" w:rsidR="000C59D1" w:rsidRPr="004A73C1" w:rsidRDefault="000C59D1" w:rsidP="00EF2E34">
      <w:pPr>
        <w:spacing w:line="360" w:lineRule="auto"/>
        <w:jc w:val="both"/>
        <w:rPr>
          <w:rFonts w:ascii="Arial" w:hAnsi="Arial" w:cs="Arial"/>
          <w:color w:val="000000"/>
          <w:shd w:val="clear" w:color="auto" w:fill="FFFFFF"/>
        </w:rPr>
      </w:pPr>
    </w:p>
    <w:p w14:paraId="3E30C421" w14:textId="77777777" w:rsidR="00382A74" w:rsidRPr="004A73C1" w:rsidRDefault="00382A74" w:rsidP="00EF2E34">
      <w:pPr>
        <w:spacing w:line="360" w:lineRule="auto"/>
        <w:rPr>
          <w:rFonts w:ascii="Arial" w:hAnsi="Arial" w:cs="Arial"/>
          <w:color w:val="000000"/>
          <w:shd w:val="clear" w:color="auto" w:fill="FFFFFF"/>
        </w:rPr>
      </w:pPr>
      <w:r w:rsidRPr="004A73C1">
        <w:rPr>
          <w:rFonts w:ascii="Arial" w:hAnsi="Arial" w:cs="Arial"/>
          <w:color w:val="000000"/>
          <w:shd w:val="clear" w:color="auto" w:fill="FFFFFF"/>
        </w:rPr>
        <w:br w:type="page"/>
      </w:r>
    </w:p>
    <w:p w14:paraId="4C1F0BBD" w14:textId="6F7E81CC" w:rsidR="00382A74" w:rsidRDefault="00382A74" w:rsidP="00083B6C">
      <w:pPr>
        <w:pStyle w:val="Heading1"/>
        <w:spacing w:line="360" w:lineRule="auto"/>
        <w:jc w:val="center"/>
        <w:rPr>
          <w:rFonts w:ascii="Arial" w:hAnsi="Arial" w:cs="Arial"/>
          <w:b/>
          <w:bCs/>
        </w:rPr>
      </w:pPr>
      <w:bookmarkStart w:id="165" w:name="_Toc175056500"/>
      <w:bookmarkStart w:id="166" w:name="_Toc175848163"/>
      <w:r w:rsidRPr="004A73C1">
        <w:rPr>
          <w:rFonts w:ascii="Arial" w:hAnsi="Arial" w:cs="Arial"/>
          <w:b/>
          <w:bCs/>
        </w:rPr>
        <w:lastRenderedPageBreak/>
        <w:t>Chapter 5. Conclusion</w:t>
      </w:r>
      <w:bookmarkEnd w:id="165"/>
      <w:bookmarkEnd w:id="166"/>
    </w:p>
    <w:p w14:paraId="2B03C6E4" w14:textId="5500E4C1" w:rsidR="000E3D3E" w:rsidRDefault="000E3D3E" w:rsidP="000E3D3E">
      <w:pPr>
        <w:pStyle w:val="Heading2"/>
        <w:rPr>
          <w:color w:val="auto"/>
        </w:rPr>
      </w:pPr>
      <w:bookmarkStart w:id="167" w:name="_Toc175848164"/>
      <w:r>
        <w:rPr>
          <w:color w:val="auto"/>
        </w:rPr>
        <w:t>5.1</w:t>
      </w:r>
      <w:r>
        <w:rPr>
          <w:color w:val="auto"/>
        </w:rPr>
        <w:tab/>
      </w:r>
      <w:r w:rsidRPr="000E3D3E">
        <w:rPr>
          <w:color w:val="auto"/>
        </w:rPr>
        <w:t xml:space="preserve">Summary of Main </w:t>
      </w:r>
      <w:r>
        <w:rPr>
          <w:color w:val="auto"/>
        </w:rPr>
        <w:t>Findings</w:t>
      </w:r>
      <w:bookmarkEnd w:id="167"/>
    </w:p>
    <w:p w14:paraId="68D4B40E" w14:textId="77777777" w:rsidR="00961C5E" w:rsidRDefault="00961C5E" w:rsidP="00F90E4F">
      <w:pPr>
        <w:spacing w:line="360" w:lineRule="auto"/>
        <w:jc w:val="both"/>
        <w:rPr>
          <w:rFonts w:ascii="Arial" w:hAnsi="Arial" w:cs="Arial"/>
          <w:color w:val="000000"/>
          <w:shd w:val="clear" w:color="auto" w:fill="FFFFFF"/>
        </w:rPr>
      </w:pPr>
    </w:p>
    <w:p w14:paraId="341F0E30" w14:textId="40ED409E" w:rsidR="00382A74" w:rsidRDefault="001F5E63" w:rsidP="00F90E4F">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T</w:t>
      </w:r>
      <w:r w:rsidR="00382A74" w:rsidRPr="004A73C1">
        <w:rPr>
          <w:rFonts w:ascii="Arial" w:hAnsi="Arial" w:cs="Arial"/>
          <w:color w:val="000000"/>
          <w:shd w:val="clear" w:color="auto" w:fill="FFFFFF"/>
        </w:rPr>
        <w:t>he dissertation provides a comprehensive understanding of the complex and interdependent relationship between FDI and economic growth. The findings emphasize the positive impact of FDI on economic growth and underscore the need for proper governance and regulation to harness its full potential.</w:t>
      </w:r>
    </w:p>
    <w:p w14:paraId="60E2751A" w14:textId="22CD6A64" w:rsidR="006B0149" w:rsidRDefault="006B0149" w:rsidP="00F90E4F">
      <w:pPr>
        <w:spacing w:line="360" w:lineRule="auto"/>
        <w:jc w:val="both"/>
        <w:rPr>
          <w:rFonts w:ascii="Arial" w:hAnsi="Arial" w:cs="Arial"/>
          <w:color w:val="000000"/>
          <w:shd w:val="clear" w:color="auto" w:fill="FFFFFF"/>
        </w:rPr>
      </w:pPr>
      <w:r w:rsidRPr="006B0149">
        <w:rPr>
          <w:rFonts w:ascii="Arial" w:hAnsi="Arial" w:cs="Arial"/>
          <w:color w:val="000000"/>
          <w:shd w:val="clear" w:color="auto" w:fill="FFFFFF"/>
        </w:rPr>
        <w:t xml:space="preserve">The GDP growth rate for the UK has shown fluctuations over the years. There was a significant spike in 2015 followed by a sharp decline in 2016. Subsequently, the following years produced mixed results in terms of economic </w:t>
      </w:r>
      <w:r w:rsidRPr="006B0149">
        <w:rPr>
          <w:rFonts w:ascii="Arial" w:hAnsi="Arial" w:cs="Arial"/>
          <w:color w:val="000000"/>
          <w:shd w:val="clear" w:color="auto" w:fill="FFFFFF"/>
        </w:rPr>
        <w:t>volatility.</w:t>
      </w:r>
      <w:r>
        <w:rPr>
          <w:rFonts w:ascii="Arial" w:hAnsi="Arial" w:cs="Arial"/>
          <w:color w:val="000000"/>
          <w:shd w:val="clear" w:color="auto" w:fill="FFFFFF"/>
        </w:rPr>
        <w:t xml:space="preserve"> Based on our analysis the future of GDP growth looks positive for the UK.</w:t>
      </w:r>
    </w:p>
    <w:p w14:paraId="7BEFBB01" w14:textId="7C65EFB3" w:rsidR="006B0149" w:rsidRDefault="006B0149" w:rsidP="00F90E4F">
      <w:pPr>
        <w:spacing w:line="360" w:lineRule="auto"/>
        <w:jc w:val="both"/>
        <w:rPr>
          <w:rFonts w:ascii="Arial" w:hAnsi="Arial" w:cs="Arial"/>
          <w:color w:val="000000"/>
          <w:shd w:val="clear" w:color="auto" w:fill="FFFFFF"/>
        </w:rPr>
      </w:pPr>
      <w:r w:rsidRPr="006B0149">
        <w:rPr>
          <w:rFonts w:ascii="Arial" w:hAnsi="Arial" w:cs="Arial"/>
          <w:color w:val="000000"/>
          <w:shd w:val="clear" w:color="auto" w:fill="FFFFFF"/>
        </w:rPr>
        <w:t xml:space="preserve">The impact of Brexit on the UK can be observed in the pre-Brexit and post-Brexit periods. Before Brexit, the UK's economy was part of the European Union, which allowed for free trade, </w:t>
      </w:r>
      <w:r w:rsidRPr="006B0149">
        <w:rPr>
          <w:rFonts w:ascii="Arial" w:hAnsi="Arial" w:cs="Arial"/>
          <w:color w:val="000000"/>
          <w:shd w:val="clear" w:color="auto" w:fill="FFFFFF"/>
        </w:rPr>
        <w:t>labour</w:t>
      </w:r>
      <w:r w:rsidRPr="006B0149">
        <w:rPr>
          <w:rFonts w:ascii="Arial" w:hAnsi="Arial" w:cs="Arial"/>
          <w:color w:val="000000"/>
          <w:shd w:val="clear" w:color="auto" w:fill="FFFFFF"/>
        </w:rPr>
        <w:t xml:space="preserve"> supply, and cooperation. However, after the Brexit referendum in 2016 and the subsequent exit from the EU, there were noticeable changes in inward FDI flows into the UK, reflecting a potential impact of Brexit. This decline in FDI inflows </w:t>
      </w:r>
      <w:r>
        <w:rPr>
          <w:rFonts w:ascii="Arial" w:hAnsi="Arial" w:cs="Arial"/>
          <w:color w:val="000000"/>
          <w:shd w:val="clear" w:color="auto" w:fill="FFFFFF"/>
        </w:rPr>
        <w:t xml:space="preserve">after 2020 </w:t>
      </w:r>
      <w:r w:rsidRPr="006B0149">
        <w:rPr>
          <w:rFonts w:ascii="Arial" w:hAnsi="Arial" w:cs="Arial"/>
          <w:color w:val="000000"/>
          <w:shd w:val="clear" w:color="auto" w:fill="FFFFFF"/>
        </w:rPr>
        <w:t xml:space="preserve">suggests that the lack of usual trade cooperation between the European Union and the United Kingdom has led to losses in free trade, </w:t>
      </w:r>
      <w:r>
        <w:rPr>
          <w:rFonts w:ascii="Arial" w:hAnsi="Arial" w:cs="Arial"/>
          <w:color w:val="000000"/>
          <w:shd w:val="clear" w:color="auto" w:fill="FFFFFF"/>
        </w:rPr>
        <w:t>labour</w:t>
      </w:r>
      <w:r w:rsidRPr="006B0149">
        <w:rPr>
          <w:rFonts w:ascii="Arial" w:hAnsi="Arial" w:cs="Arial"/>
          <w:color w:val="000000"/>
          <w:shd w:val="clear" w:color="auto" w:fill="FFFFFF"/>
        </w:rPr>
        <w:t xml:space="preserve"> supply, and profitability.</w:t>
      </w:r>
      <w:r>
        <w:rPr>
          <w:rFonts w:ascii="Arial" w:hAnsi="Arial" w:cs="Arial"/>
          <w:color w:val="000000"/>
          <w:shd w:val="clear" w:color="auto" w:fill="FFFFFF"/>
        </w:rPr>
        <w:t xml:space="preserve"> But now the FDI flows look positive.</w:t>
      </w:r>
    </w:p>
    <w:p w14:paraId="1ECB6916" w14:textId="0BAA2602" w:rsidR="006B0149" w:rsidRDefault="00860AC6" w:rsidP="00F90E4F">
      <w:pPr>
        <w:spacing w:line="360" w:lineRule="auto"/>
        <w:jc w:val="both"/>
        <w:rPr>
          <w:rFonts w:ascii="Arial" w:hAnsi="Arial" w:cs="Arial"/>
          <w:color w:val="000000"/>
          <w:shd w:val="clear" w:color="auto" w:fill="FFFFFF"/>
        </w:rPr>
      </w:pPr>
      <w:r w:rsidRPr="00860AC6">
        <w:rPr>
          <w:rFonts w:ascii="Arial" w:hAnsi="Arial" w:cs="Arial"/>
          <w:color w:val="000000"/>
          <w:shd w:val="clear" w:color="auto" w:fill="FFFFFF"/>
        </w:rPr>
        <w:t>The future of FDI flows into the UK remains subject to various factors, including economic policies, trade agreements, and market conditions. Given the impact of Brexit and the subsequent changes in trade relationships, ongoing monitoring and analysis of FDI trends will be crucial for understanding how the UK's attractiveness for foreign investment evolves in the coming years. Additionally, the UK's efforts to attract FDI in sectors such as technology, renewable energy, financial services, and advanced manufacturing may play a significant role in shaping the future FDI landscape in the country.</w:t>
      </w:r>
    </w:p>
    <w:p w14:paraId="732B6D02" w14:textId="77777777" w:rsidR="000E3D3E" w:rsidRDefault="000E3D3E" w:rsidP="00F90E4F">
      <w:pPr>
        <w:spacing w:line="360" w:lineRule="auto"/>
        <w:jc w:val="both"/>
        <w:rPr>
          <w:rFonts w:ascii="Arial" w:hAnsi="Arial" w:cs="Arial"/>
          <w:color w:val="000000"/>
          <w:shd w:val="clear" w:color="auto" w:fill="FFFFFF"/>
        </w:rPr>
      </w:pPr>
      <w:r w:rsidRPr="000E3D3E">
        <w:rPr>
          <w:rFonts w:ascii="Arial" w:hAnsi="Arial" w:cs="Arial"/>
          <w:color w:val="000000"/>
          <w:shd w:val="clear" w:color="auto" w:fill="FFFFFF"/>
        </w:rPr>
        <w:t xml:space="preserve">The main findings from the UK employment data between 2017 and 2024 indicate fluctuations in the </w:t>
      </w:r>
      <w:r>
        <w:rPr>
          <w:rFonts w:ascii="Arial" w:hAnsi="Arial" w:cs="Arial"/>
          <w:color w:val="000000"/>
          <w:shd w:val="clear" w:color="auto" w:fill="FFFFFF"/>
        </w:rPr>
        <w:t>labour</w:t>
      </w:r>
      <w:r w:rsidRPr="000E3D3E">
        <w:rPr>
          <w:rFonts w:ascii="Arial" w:hAnsi="Arial" w:cs="Arial"/>
          <w:color w:val="000000"/>
          <w:shd w:val="clear" w:color="auto" w:fill="FFFFFF"/>
        </w:rPr>
        <w:t xml:space="preserve"> market. While there was stability in 2017, a decline was observed in 2018, followed by </w:t>
      </w:r>
      <w:r>
        <w:rPr>
          <w:rFonts w:ascii="Arial" w:hAnsi="Arial" w:cs="Arial"/>
          <w:color w:val="000000"/>
          <w:shd w:val="clear" w:color="auto" w:fill="FFFFFF"/>
        </w:rPr>
        <w:t xml:space="preserve">an </w:t>
      </w:r>
      <w:r w:rsidRPr="000E3D3E">
        <w:rPr>
          <w:rFonts w:ascii="Arial" w:hAnsi="Arial" w:cs="Arial"/>
          <w:color w:val="000000"/>
          <w:shd w:val="clear" w:color="auto" w:fill="FFFFFF"/>
        </w:rPr>
        <w:t xml:space="preserve">improvement in 2019. The year 2020 saw challenges most likely due to the impact of the COVID-19 pandemic, with subsequent gradual recovery and improvement in 2021 and 2022. </w:t>
      </w:r>
    </w:p>
    <w:p w14:paraId="3A80B81E" w14:textId="6401CD0D" w:rsidR="000E3D3E" w:rsidRDefault="000E3D3E" w:rsidP="00F90E4F">
      <w:pPr>
        <w:spacing w:line="360" w:lineRule="auto"/>
        <w:jc w:val="both"/>
        <w:rPr>
          <w:rFonts w:ascii="Arial" w:hAnsi="Arial" w:cs="Arial"/>
          <w:color w:val="000000"/>
          <w:shd w:val="clear" w:color="auto" w:fill="FFFFFF"/>
        </w:rPr>
      </w:pPr>
      <w:r w:rsidRPr="000E3D3E">
        <w:rPr>
          <w:rFonts w:ascii="Arial" w:hAnsi="Arial" w:cs="Arial"/>
          <w:color w:val="000000"/>
          <w:shd w:val="clear" w:color="auto" w:fill="FFFFFF"/>
        </w:rPr>
        <w:t xml:space="preserve">As of 2024, the employment situation seems to be on the rise, showing signs of growth and stability. Regarding Foreign Direct Investment (FDI) in the UK, despite fluctuations following Brexit, the country has continued to attract substantial foreign investment, contributing to the local economy, job creation, innovation, and economic growth. FDI has also facilitated the transfer of new technologies and management practices, benefiting the local workforce and businesses. Monitoring and </w:t>
      </w:r>
      <w:proofErr w:type="spellStart"/>
      <w:r w:rsidRPr="000E3D3E">
        <w:rPr>
          <w:rFonts w:ascii="Arial" w:hAnsi="Arial" w:cs="Arial"/>
          <w:color w:val="000000"/>
          <w:shd w:val="clear" w:color="auto" w:fill="FFFFFF"/>
        </w:rPr>
        <w:t>analyzing</w:t>
      </w:r>
      <w:proofErr w:type="spellEnd"/>
      <w:r w:rsidRPr="000E3D3E">
        <w:rPr>
          <w:rFonts w:ascii="Arial" w:hAnsi="Arial" w:cs="Arial"/>
          <w:color w:val="000000"/>
          <w:shd w:val="clear" w:color="auto" w:fill="FFFFFF"/>
        </w:rPr>
        <w:t xml:space="preserve"> FDI trends are crucial to understanding their evolving impact on the local community and the broader economy.</w:t>
      </w:r>
    </w:p>
    <w:p w14:paraId="10A3E95B" w14:textId="3E2E0B34" w:rsidR="0069578A" w:rsidRDefault="0069578A" w:rsidP="00F90E4F">
      <w:pPr>
        <w:spacing w:line="360" w:lineRule="auto"/>
        <w:jc w:val="both"/>
        <w:rPr>
          <w:rFonts w:ascii="Arial" w:hAnsi="Arial" w:cs="Arial"/>
          <w:color w:val="000000"/>
          <w:shd w:val="clear" w:color="auto" w:fill="FFFFFF"/>
        </w:rPr>
      </w:pPr>
      <w:r w:rsidRPr="0069578A">
        <w:rPr>
          <w:rFonts w:ascii="Arial" w:hAnsi="Arial" w:cs="Arial"/>
          <w:color w:val="000000"/>
          <w:shd w:val="clear" w:color="auto" w:fill="FFFFFF"/>
        </w:rPr>
        <w:lastRenderedPageBreak/>
        <w:t>Based on our statistical analysis, the data indicates that Foreign Direct Investment (FDI) has had a significant impact on the United Kingdom's economy and local communities. Despite fluctuations in FDI inflows following Brexit, the UK has continued to attract substantial foreign investment, contributing to economic growth, job creation, and fostering innovation. Additionally, FDI has played a vital role in the transfer of new technologies and management practices, benefiting the local workforce and businesses. The UK's FDI proposition remains attractive to executives in key industries, and ongoing monitoring and analysis of FDI trends will be crucial for understanding its evolving impact. Moreover, FDI has also supported environmentally friendly projects, such as renewable energy and sustainable infrastructure development, contributing to the UK's efforts to transition towards a greener economy.</w:t>
      </w:r>
    </w:p>
    <w:p w14:paraId="2FD96959" w14:textId="466D7DCB" w:rsidR="000E3D3E" w:rsidRDefault="000E3D3E" w:rsidP="000E3D3E">
      <w:pPr>
        <w:pStyle w:val="Heading2"/>
        <w:rPr>
          <w:color w:val="auto"/>
        </w:rPr>
      </w:pPr>
      <w:bookmarkStart w:id="168" w:name="_Toc175848165"/>
      <w:r>
        <w:rPr>
          <w:color w:val="auto"/>
        </w:rPr>
        <w:t>5.2</w:t>
      </w:r>
      <w:r>
        <w:rPr>
          <w:color w:val="auto"/>
        </w:rPr>
        <w:tab/>
      </w:r>
      <w:r w:rsidRPr="000E3D3E">
        <w:rPr>
          <w:color w:val="auto"/>
        </w:rPr>
        <w:t>Conclusion</w:t>
      </w:r>
      <w:r w:rsidR="004117AD">
        <w:rPr>
          <w:color w:val="auto"/>
        </w:rPr>
        <w:t xml:space="preserve"> Based on our Research Questions</w:t>
      </w:r>
      <w:r w:rsidRPr="000E3D3E">
        <w:rPr>
          <w:color w:val="auto"/>
        </w:rPr>
        <w:t>.</w:t>
      </w:r>
      <w:bookmarkEnd w:id="168"/>
    </w:p>
    <w:p w14:paraId="4C5D44E5" w14:textId="77777777" w:rsidR="00CE183C" w:rsidRPr="00CE183C" w:rsidRDefault="00CE183C" w:rsidP="00CE183C"/>
    <w:p w14:paraId="304A5857" w14:textId="4A66CC12" w:rsidR="006A16C1" w:rsidRPr="006A16C1" w:rsidRDefault="006A16C1" w:rsidP="006A16C1">
      <w:pPr>
        <w:spacing w:line="360" w:lineRule="auto"/>
        <w:jc w:val="both"/>
        <w:rPr>
          <w:rFonts w:ascii="Arial" w:hAnsi="Arial" w:cs="Arial"/>
        </w:rPr>
      </w:pPr>
      <w:r w:rsidRPr="006A16C1">
        <w:rPr>
          <w:rFonts w:ascii="Arial" w:hAnsi="Arial" w:cs="Arial"/>
        </w:rPr>
        <w:t xml:space="preserve">The United Kingdom's economic growth is significantly influenced by foreign direct investment (FDI). The UK has always attracted FDI due to its </w:t>
      </w:r>
      <w:r w:rsidRPr="006A16C1">
        <w:rPr>
          <w:rFonts w:ascii="Arial" w:hAnsi="Arial" w:cs="Arial"/>
        </w:rPr>
        <w:t>favourable</w:t>
      </w:r>
      <w:r w:rsidRPr="006A16C1">
        <w:rPr>
          <w:rFonts w:ascii="Arial" w:hAnsi="Arial" w:cs="Arial"/>
        </w:rPr>
        <w:t xml:space="preserve"> economic climate, highly qualified workforce, and access to international markets. FDI has facilitated technology transfer, job creation, and overall growth of the UK economy.</w:t>
      </w:r>
    </w:p>
    <w:p w14:paraId="766CBD47" w14:textId="77777777" w:rsidR="005B2149" w:rsidRPr="004A73C1" w:rsidRDefault="005B2149" w:rsidP="00F90E4F">
      <w:pPr>
        <w:spacing w:line="360" w:lineRule="auto"/>
        <w:jc w:val="both"/>
        <w:rPr>
          <w:rFonts w:ascii="Arial" w:hAnsi="Arial" w:cs="Arial"/>
        </w:rPr>
      </w:pPr>
      <w:r w:rsidRPr="004A73C1">
        <w:rPr>
          <w:rFonts w:ascii="Arial" w:hAnsi="Arial" w:cs="Arial"/>
        </w:rPr>
        <w:t>One example of the positive impact of FDI on the UK's economic growth is the influx of investment in the automotive industry. Several global automakers have chosen to establish manufacturing plants in the UK, leading to job opportunities and technological advancements in the sector. This has not only bolstered the UK's export capabilities but has also stimulated economic growth in the regions where these investments are located.</w:t>
      </w:r>
    </w:p>
    <w:p w14:paraId="3A942801" w14:textId="77777777" w:rsidR="005B2149" w:rsidRPr="004A73C1" w:rsidRDefault="005B2149" w:rsidP="00F90E4F">
      <w:pPr>
        <w:spacing w:line="360" w:lineRule="auto"/>
        <w:jc w:val="both"/>
        <w:rPr>
          <w:rFonts w:ascii="Arial" w:hAnsi="Arial" w:cs="Arial"/>
        </w:rPr>
      </w:pPr>
      <w:r w:rsidRPr="004A73C1">
        <w:rPr>
          <w:rFonts w:ascii="Arial" w:hAnsi="Arial" w:cs="Arial"/>
        </w:rPr>
        <w:t>Additionally, FDI has been instrumental in the development of the UK's financial services sector. Many multinational financial institutions have established their operations in the UK, particularly in London, turning it into a global financial hub. This has contributed to the growth of ancillary services, such as legal and consultancy services, further strengthening the UK's position in the global economy.</w:t>
      </w:r>
    </w:p>
    <w:p w14:paraId="15AE98CC" w14:textId="77777777" w:rsidR="005B2149" w:rsidRPr="004A73C1" w:rsidRDefault="005B2149" w:rsidP="00F90E4F">
      <w:pPr>
        <w:spacing w:line="360" w:lineRule="auto"/>
        <w:jc w:val="both"/>
        <w:rPr>
          <w:rFonts w:ascii="Arial" w:hAnsi="Arial" w:cs="Arial"/>
        </w:rPr>
      </w:pPr>
      <w:r w:rsidRPr="004A73C1">
        <w:rPr>
          <w:rFonts w:ascii="Arial" w:hAnsi="Arial" w:cs="Arial"/>
        </w:rPr>
        <w:t>However, the impact of Brexit on FDI and economic growth in the UK remains a point of concern. Uncertainties surrounding trade agreements, regulatory divergence, and market access have led to a decline in FDI after the Brexit vote. Companies are facing challenges in making investment decisions due to uncertain future trade relationships and potential barriers to market entry.</w:t>
      </w:r>
    </w:p>
    <w:p w14:paraId="32142CEA" w14:textId="02657852" w:rsidR="005B2149" w:rsidRPr="004A73C1" w:rsidRDefault="005B2149" w:rsidP="00F90E4F">
      <w:pPr>
        <w:spacing w:line="360" w:lineRule="auto"/>
        <w:jc w:val="both"/>
        <w:rPr>
          <w:rFonts w:ascii="Arial" w:hAnsi="Arial" w:cs="Arial"/>
          <w:color w:val="000000"/>
          <w:shd w:val="clear" w:color="auto" w:fill="FFFFFF"/>
        </w:rPr>
      </w:pPr>
      <w:r w:rsidRPr="004A73C1">
        <w:rPr>
          <w:rFonts w:ascii="Arial" w:hAnsi="Arial" w:cs="Arial"/>
          <w:color w:val="000000"/>
          <w:shd w:val="clear" w:color="auto" w:fill="FFFFFF"/>
        </w:rPr>
        <w:t xml:space="preserve">It's important to critically </w:t>
      </w:r>
      <w:r w:rsidR="00BE55F8" w:rsidRPr="004A73C1">
        <w:rPr>
          <w:rFonts w:ascii="Arial" w:hAnsi="Arial" w:cs="Arial"/>
          <w:color w:val="000000"/>
          <w:shd w:val="clear" w:color="auto" w:fill="FFFFFF"/>
        </w:rPr>
        <w:t>analyse</w:t>
      </w:r>
      <w:r w:rsidRPr="004A73C1">
        <w:rPr>
          <w:rFonts w:ascii="Arial" w:hAnsi="Arial" w:cs="Arial"/>
          <w:color w:val="000000"/>
          <w:shd w:val="clear" w:color="auto" w:fill="FFFFFF"/>
        </w:rPr>
        <w:t xml:space="preserve"> the potential drawbacks associated with FDI, such as concerns about exploitation, loss of control over national resources, and potential negative impacts on local industries. It's crucial for policymakers to carefully manage FDI to maximize its benefits while minimizing its potential negative consequences.</w:t>
      </w:r>
    </w:p>
    <w:p w14:paraId="3BA00711" w14:textId="34908412" w:rsidR="005B2149" w:rsidRPr="004A73C1" w:rsidRDefault="005B2149" w:rsidP="00F90E4F">
      <w:pPr>
        <w:spacing w:line="360" w:lineRule="auto"/>
        <w:jc w:val="both"/>
        <w:rPr>
          <w:rFonts w:ascii="Arial" w:hAnsi="Arial" w:cs="Arial"/>
        </w:rPr>
      </w:pPr>
      <w:r w:rsidRPr="004A73C1">
        <w:rPr>
          <w:rFonts w:ascii="Arial" w:hAnsi="Arial" w:cs="Arial"/>
        </w:rPr>
        <w:t xml:space="preserve">To address these challenges and ensure continued economic growth through FDI, the UK may consider several strategies and policy measures. First, providing clarity and stability in </w:t>
      </w:r>
      <w:r w:rsidRPr="004A73C1">
        <w:rPr>
          <w:rFonts w:ascii="Arial" w:hAnsi="Arial" w:cs="Arial"/>
        </w:rPr>
        <w:lastRenderedPageBreak/>
        <w:t xml:space="preserve">trade and investment policies post-Brexit is crucial to restore investor confidence. Negotiating </w:t>
      </w:r>
      <w:r w:rsidR="00BE55F8" w:rsidRPr="004A73C1">
        <w:rPr>
          <w:rFonts w:ascii="Arial" w:hAnsi="Arial" w:cs="Arial"/>
        </w:rPr>
        <w:t>favourable</w:t>
      </w:r>
      <w:r w:rsidRPr="004A73C1">
        <w:rPr>
          <w:rFonts w:ascii="Arial" w:hAnsi="Arial" w:cs="Arial"/>
        </w:rPr>
        <w:t xml:space="preserve"> trade agreements with key partners and implementing clear regulations that promote ease of doing business can attract FDI.</w:t>
      </w:r>
    </w:p>
    <w:p w14:paraId="693505A1" w14:textId="77777777" w:rsidR="005B2149" w:rsidRPr="004A73C1" w:rsidRDefault="005B2149" w:rsidP="00F90E4F">
      <w:pPr>
        <w:spacing w:line="360" w:lineRule="auto"/>
        <w:jc w:val="both"/>
        <w:rPr>
          <w:rFonts w:ascii="Arial" w:hAnsi="Arial" w:cs="Arial"/>
        </w:rPr>
      </w:pPr>
      <w:r w:rsidRPr="004A73C1">
        <w:rPr>
          <w:rFonts w:ascii="Arial" w:hAnsi="Arial" w:cs="Arial"/>
        </w:rPr>
        <w:t>Furthermore, investing in infrastructure and innovation to enhance the UK's competitiveness can make it an attractive destination for FDI. For example, targeted investments in research and development, technological innovation, and sustainable infrastructure can signal the UK's commitment to remaining a global business hub.</w:t>
      </w:r>
    </w:p>
    <w:p w14:paraId="661DAB9F" w14:textId="39BF4473" w:rsidR="00BE55F8" w:rsidRPr="004A73C1" w:rsidRDefault="00BE55F8" w:rsidP="00BE55F8">
      <w:pPr>
        <w:spacing w:line="360" w:lineRule="auto"/>
        <w:jc w:val="both"/>
        <w:rPr>
          <w:rFonts w:ascii="Arial" w:hAnsi="Arial" w:cs="Arial"/>
        </w:rPr>
      </w:pPr>
      <w:r w:rsidRPr="004A73C1">
        <w:rPr>
          <w:rFonts w:ascii="Arial" w:hAnsi="Arial" w:cs="Arial"/>
        </w:rPr>
        <w:t>The Foreign Direct Investment (FDI) analysis indicates that while FDI can bring substantial benefits to host countries in terms of economic growth, job creation, and technology transfer, it also presents challenges such as potential negative impacts on local businesses, the environment, and income inequality. The analysis has highlighted the importance of implementing policies and regulations to maximize the positive effects of FDI while mitigating its potential drawbacks.</w:t>
      </w:r>
    </w:p>
    <w:p w14:paraId="144A0F20" w14:textId="77777777" w:rsidR="00BE55F8" w:rsidRPr="004A73C1" w:rsidRDefault="00BE55F8" w:rsidP="00BE55F8">
      <w:pPr>
        <w:spacing w:line="360" w:lineRule="auto"/>
        <w:jc w:val="both"/>
        <w:rPr>
          <w:rFonts w:ascii="Arial" w:hAnsi="Arial" w:cs="Arial"/>
        </w:rPr>
      </w:pPr>
      <w:r w:rsidRPr="004A73C1">
        <w:rPr>
          <w:rFonts w:ascii="Arial" w:hAnsi="Arial" w:cs="Arial"/>
        </w:rPr>
        <w:t>Based on the findings, it is recommended that host countries develop strategic policies to attract FDI in sectors that align with their long-term development goals, such as infrastructure, education, and technology. Additionally, measures should be implemented to ensure that FDI complements rather than displaces domestic investment and employment. This can be achieved through targeted incentives, capacity-building programs, and initiatives to promote local entrepreneurship and innovation.</w:t>
      </w:r>
    </w:p>
    <w:p w14:paraId="35FC3593" w14:textId="77777777" w:rsidR="00837403" w:rsidRDefault="00837403" w:rsidP="00837403">
      <w:pPr>
        <w:spacing w:line="360" w:lineRule="auto"/>
        <w:jc w:val="both"/>
        <w:rPr>
          <w:rFonts w:ascii="Arial" w:hAnsi="Arial" w:cs="Arial"/>
        </w:rPr>
      </w:pPr>
      <w:r>
        <w:rPr>
          <w:rFonts w:ascii="Arial" w:hAnsi="Arial" w:cs="Arial"/>
        </w:rPr>
        <w:t xml:space="preserve">In summary, </w:t>
      </w:r>
      <w:bookmarkStart w:id="169" w:name="_Toc175056501"/>
      <w:r>
        <w:rPr>
          <w:rFonts w:ascii="Arial" w:hAnsi="Arial" w:cs="Arial"/>
        </w:rPr>
        <w:t>a</w:t>
      </w:r>
      <w:r w:rsidRPr="00837403">
        <w:rPr>
          <w:rFonts w:ascii="Arial" w:hAnsi="Arial" w:cs="Arial"/>
        </w:rPr>
        <w:t>fter conducting a comprehensive analysis, we have reached the conclusion that Foreign Direct Investment (FDI) has a demonstrably positive impact on the economic growth of the United Kingdom. Our findings suggest a strong correlation between FDI and economic growth, indicating that the two are inherently linked. Furthermore, it is important to note that the failure of FDI can exert a profound and detrimental effect on economic growth, underscoring the critical role of FDI in the UK's economic development.</w:t>
      </w:r>
    </w:p>
    <w:p w14:paraId="4B775161" w14:textId="5814EE06" w:rsidR="008075F8" w:rsidRPr="00837403" w:rsidRDefault="00CA52E6" w:rsidP="00837403">
      <w:pPr>
        <w:spacing w:line="360" w:lineRule="auto"/>
        <w:jc w:val="both"/>
        <w:rPr>
          <w:rFonts w:asciiTheme="majorHAnsi" w:eastAsiaTheme="majorEastAsia" w:hAnsiTheme="majorHAnsi" w:cstheme="majorBidi"/>
          <w:sz w:val="28"/>
          <w:szCs w:val="28"/>
        </w:rPr>
      </w:pPr>
      <w:r w:rsidRPr="00837403">
        <w:rPr>
          <w:rFonts w:asciiTheme="majorHAnsi" w:eastAsiaTheme="majorEastAsia" w:hAnsiTheme="majorHAnsi" w:cstheme="majorBidi"/>
          <w:sz w:val="28"/>
          <w:szCs w:val="28"/>
        </w:rPr>
        <w:t>5.</w:t>
      </w:r>
      <w:r w:rsidR="000E3D3E" w:rsidRPr="00837403">
        <w:rPr>
          <w:rFonts w:asciiTheme="majorHAnsi" w:eastAsiaTheme="majorEastAsia" w:hAnsiTheme="majorHAnsi" w:cstheme="majorBidi"/>
          <w:sz w:val="28"/>
          <w:szCs w:val="28"/>
        </w:rPr>
        <w:t>3</w:t>
      </w:r>
      <w:r w:rsidRPr="00837403">
        <w:rPr>
          <w:rFonts w:asciiTheme="majorHAnsi" w:eastAsiaTheme="majorEastAsia" w:hAnsiTheme="majorHAnsi" w:cstheme="majorBidi"/>
          <w:sz w:val="28"/>
          <w:szCs w:val="28"/>
        </w:rPr>
        <w:tab/>
      </w:r>
      <w:r w:rsidR="001F5E63" w:rsidRPr="00837403">
        <w:rPr>
          <w:rFonts w:asciiTheme="majorHAnsi" w:eastAsiaTheme="majorEastAsia" w:hAnsiTheme="majorHAnsi" w:cstheme="majorBidi"/>
          <w:sz w:val="28"/>
          <w:szCs w:val="28"/>
        </w:rPr>
        <w:t>Recommendations</w:t>
      </w:r>
      <w:bookmarkEnd w:id="169"/>
    </w:p>
    <w:p w14:paraId="09A25A22" w14:textId="3DF645EA" w:rsidR="00B51790" w:rsidRPr="004A73C1" w:rsidRDefault="00BE55F8" w:rsidP="00B51790">
      <w:pPr>
        <w:spacing w:line="360" w:lineRule="auto"/>
        <w:jc w:val="both"/>
        <w:rPr>
          <w:rFonts w:ascii="Arial" w:hAnsi="Arial" w:cs="Arial"/>
        </w:rPr>
      </w:pPr>
      <w:r w:rsidRPr="004A73C1">
        <w:rPr>
          <w:rFonts w:ascii="Arial" w:hAnsi="Arial" w:cs="Arial"/>
        </w:rPr>
        <w:t>Th</w:t>
      </w:r>
      <w:r w:rsidR="004E627B">
        <w:rPr>
          <w:rFonts w:ascii="Arial" w:hAnsi="Arial" w:cs="Arial"/>
        </w:rPr>
        <w:t>is</w:t>
      </w:r>
      <w:r w:rsidRPr="004A73C1">
        <w:rPr>
          <w:rFonts w:ascii="Arial" w:hAnsi="Arial" w:cs="Arial"/>
        </w:rPr>
        <w:t xml:space="preserve"> research provides a comprehensive analysis of the impact of Foreign Direct Investment (FDI) on the UK's economy and local community. It discusses the fluctuations in the GDP growth rate, employment rate, and FDI projects from 2014 to 2023, highlighting the significant role of FDI in fostering innovation and creating employment opportunities. </w:t>
      </w:r>
      <w:bookmarkStart w:id="170" w:name="_Toc175056502"/>
      <w:r w:rsidR="00B51790" w:rsidRPr="004A73C1">
        <w:rPr>
          <w:rFonts w:ascii="Arial" w:hAnsi="Arial" w:cs="Arial"/>
        </w:rPr>
        <w:t>Based on the analysis of Foreign Direct Investment (FDI) trends and impacts in the UK, several recommendations can be made to further enhance the FDI environment and its contribution to the UK economy:</w:t>
      </w:r>
    </w:p>
    <w:p w14:paraId="25A4D73A" w14:textId="77777777" w:rsidR="00B51790" w:rsidRPr="004A73C1" w:rsidRDefault="00B51790" w:rsidP="00B51790">
      <w:pPr>
        <w:spacing w:line="360" w:lineRule="auto"/>
        <w:jc w:val="both"/>
        <w:rPr>
          <w:rFonts w:ascii="Arial" w:hAnsi="Arial" w:cs="Arial"/>
        </w:rPr>
      </w:pPr>
      <w:r w:rsidRPr="004A73C1">
        <w:rPr>
          <w:rFonts w:ascii="Arial" w:hAnsi="Arial" w:cs="Arial"/>
        </w:rPr>
        <w:t xml:space="preserve">1. Strengthening Investment Promotion: The UK should continue to strengthen its investment promotion efforts to attract FDI across various sectors. This may involve targeted marketing </w:t>
      </w:r>
      <w:r w:rsidRPr="004A73C1">
        <w:rPr>
          <w:rFonts w:ascii="Arial" w:hAnsi="Arial" w:cs="Arial"/>
        </w:rPr>
        <w:lastRenderedPageBreak/>
        <w:t>campaigns, showcasing success stories of FDI projects, and proactively engaging with potential investors to highlight the advantages of investing in the UK.</w:t>
      </w:r>
    </w:p>
    <w:p w14:paraId="4C004BD6" w14:textId="77777777" w:rsidR="00B51790" w:rsidRPr="004A73C1" w:rsidRDefault="00B51790" w:rsidP="00B51790">
      <w:pPr>
        <w:spacing w:line="360" w:lineRule="auto"/>
        <w:jc w:val="both"/>
        <w:rPr>
          <w:rFonts w:ascii="Arial" w:hAnsi="Arial" w:cs="Arial"/>
        </w:rPr>
      </w:pPr>
      <w:r w:rsidRPr="004A73C1">
        <w:rPr>
          <w:rFonts w:ascii="Arial" w:hAnsi="Arial" w:cs="Arial"/>
        </w:rPr>
        <w:t>2. Sector-Specific Incentives: Identifying and offering sector-specific incentives can help attract FDI in areas that align with the UK's economic development goals. Tailored incentives for industries such as technology, renewable energy, financial services, advanced manufacturing, and innovation can be particularly effective in attracting FDI.</w:t>
      </w:r>
    </w:p>
    <w:p w14:paraId="7FE4914B" w14:textId="77777777" w:rsidR="00B51790" w:rsidRPr="004A73C1" w:rsidRDefault="00B51790" w:rsidP="00B51790">
      <w:pPr>
        <w:spacing w:line="360" w:lineRule="auto"/>
        <w:jc w:val="both"/>
        <w:rPr>
          <w:rFonts w:ascii="Arial" w:hAnsi="Arial" w:cs="Arial"/>
        </w:rPr>
      </w:pPr>
      <w:r w:rsidRPr="004A73C1">
        <w:rPr>
          <w:rFonts w:ascii="Arial" w:hAnsi="Arial" w:cs="Arial"/>
        </w:rPr>
        <w:t>3. Infrastructure Development: Continued investment in infrastructure development, including transportation, digital connectivity, and energy networks, is crucial to create an environment conducive to FDI. Upgrading and expanding infrastructure can enhance the attractiveness of the UK as an investment destination.</w:t>
      </w:r>
    </w:p>
    <w:p w14:paraId="6631FBDD" w14:textId="77777777" w:rsidR="00B51790" w:rsidRPr="004A73C1" w:rsidRDefault="00B51790" w:rsidP="00B51790">
      <w:pPr>
        <w:spacing w:line="360" w:lineRule="auto"/>
        <w:jc w:val="both"/>
        <w:rPr>
          <w:rFonts w:ascii="Arial" w:hAnsi="Arial" w:cs="Arial"/>
        </w:rPr>
      </w:pPr>
      <w:r w:rsidRPr="004A73C1">
        <w:rPr>
          <w:rFonts w:ascii="Arial" w:hAnsi="Arial" w:cs="Arial"/>
        </w:rPr>
        <w:t xml:space="preserve">4. Regulatory Clarity: Providing clear and transparent regulatory frameworks for FDI can </w:t>
      </w:r>
      <w:proofErr w:type="spellStart"/>
      <w:r w:rsidRPr="004A73C1">
        <w:rPr>
          <w:rFonts w:ascii="Arial" w:hAnsi="Arial" w:cs="Arial"/>
        </w:rPr>
        <w:t>instill</w:t>
      </w:r>
      <w:proofErr w:type="spellEnd"/>
      <w:r w:rsidRPr="004A73C1">
        <w:rPr>
          <w:rFonts w:ascii="Arial" w:hAnsi="Arial" w:cs="Arial"/>
        </w:rPr>
        <w:t xml:space="preserve"> confidence in investors. Ensuring consistency and predictability in regulations, particularly in environmental standards, tax policies, and trade agreements, can provide a stable foundation for FDI projects.</w:t>
      </w:r>
    </w:p>
    <w:p w14:paraId="3AFB906E" w14:textId="77777777" w:rsidR="00B51790" w:rsidRPr="004A73C1" w:rsidRDefault="00B51790" w:rsidP="00B51790">
      <w:pPr>
        <w:spacing w:line="360" w:lineRule="auto"/>
        <w:jc w:val="both"/>
        <w:rPr>
          <w:rFonts w:ascii="Arial" w:hAnsi="Arial" w:cs="Arial"/>
        </w:rPr>
      </w:pPr>
      <w:r w:rsidRPr="004A73C1">
        <w:rPr>
          <w:rFonts w:ascii="Arial" w:hAnsi="Arial" w:cs="Arial"/>
        </w:rPr>
        <w:t>5. Skills Development and Education: Investing in skills development and education tailored to the needs of emerging industries can make the UK workforce more attractive to potential investors. This can involve collaboration between industry, educational institutions, and government to ensure a pipeline of skilled talent.</w:t>
      </w:r>
    </w:p>
    <w:p w14:paraId="45DE56D2" w14:textId="77777777" w:rsidR="00B51790" w:rsidRPr="004A73C1" w:rsidRDefault="00B51790" w:rsidP="00B51790">
      <w:pPr>
        <w:spacing w:line="360" w:lineRule="auto"/>
        <w:jc w:val="both"/>
        <w:rPr>
          <w:rFonts w:ascii="Arial" w:hAnsi="Arial" w:cs="Arial"/>
        </w:rPr>
      </w:pPr>
      <w:r w:rsidRPr="004A73C1">
        <w:rPr>
          <w:rFonts w:ascii="Arial" w:hAnsi="Arial" w:cs="Arial"/>
        </w:rPr>
        <w:t>6. Sustainable Development Initiatives: Encouraging and facilitating FDI in sustainable and green projects can further enhance the UK's environmental and economic objectives. Attracting FDI in areas such as renewable energy, green technology, and sustainable infrastructure can contribute to both economic growth and environmental sustainability.</w:t>
      </w:r>
    </w:p>
    <w:p w14:paraId="39449536" w14:textId="77777777" w:rsidR="00B51790" w:rsidRPr="004A73C1" w:rsidRDefault="00B51790" w:rsidP="00B51790">
      <w:pPr>
        <w:spacing w:line="360" w:lineRule="auto"/>
        <w:jc w:val="both"/>
        <w:rPr>
          <w:rFonts w:ascii="Arial" w:hAnsi="Arial" w:cs="Arial"/>
        </w:rPr>
      </w:pPr>
      <w:r w:rsidRPr="004A73C1">
        <w:rPr>
          <w:rFonts w:ascii="Arial" w:hAnsi="Arial" w:cs="Arial"/>
        </w:rPr>
        <w:t>7. Fostering Innovation Ecosystems: Creating and nurturing vibrant innovation ecosystems through partnerships between universities, research institutions, and businesses can attract FDI in knowledge-intensive industries. Supporting research and development activities can position the UK as a hub for innovation-driven FDI.</w:t>
      </w:r>
    </w:p>
    <w:p w14:paraId="52F7D18D" w14:textId="77777777" w:rsidR="00B51790" w:rsidRPr="004A73C1" w:rsidRDefault="00B51790" w:rsidP="00B51790">
      <w:pPr>
        <w:spacing w:line="360" w:lineRule="auto"/>
        <w:jc w:val="both"/>
        <w:rPr>
          <w:rFonts w:ascii="Arial" w:hAnsi="Arial" w:cs="Arial"/>
        </w:rPr>
      </w:pPr>
      <w:r w:rsidRPr="004A73C1">
        <w:rPr>
          <w:rFonts w:ascii="Arial" w:hAnsi="Arial" w:cs="Arial"/>
        </w:rPr>
        <w:t>8. Monitoring and Evaluation: Continuously monitoring FDI trends, evaluating the impacts of FDI on various aspects of the economy and local communities, and adapting strategies based on these findings are essential for effective FDI management.</w:t>
      </w:r>
    </w:p>
    <w:p w14:paraId="4C96A2B1" w14:textId="77777777" w:rsidR="00B51790" w:rsidRDefault="00B51790" w:rsidP="00B51790">
      <w:pPr>
        <w:spacing w:line="360" w:lineRule="auto"/>
        <w:jc w:val="both"/>
        <w:rPr>
          <w:rFonts w:ascii="Arial" w:hAnsi="Arial" w:cs="Arial"/>
        </w:rPr>
      </w:pPr>
      <w:r w:rsidRPr="004A73C1">
        <w:rPr>
          <w:rFonts w:ascii="Arial" w:hAnsi="Arial" w:cs="Arial"/>
        </w:rPr>
        <w:t>These recommendations can contribute to creating an environment that is conducive to attracting and maximizing the positive impacts of Foreign Direct Investment in the UK.</w:t>
      </w:r>
    </w:p>
    <w:p w14:paraId="6F3987FB" w14:textId="77777777" w:rsidR="004E627B" w:rsidRDefault="004E627B" w:rsidP="00B51790">
      <w:pPr>
        <w:spacing w:line="360" w:lineRule="auto"/>
        <w:jc w:val="both"/>
        <w:rPr>
          <w:rFonts w:ascii="Arial" w:hAnsi="Arial" w:cs="Arial"/>
        </w:rPr>
      </w:pPr>
    </w:p>
    <w:p w14:paraId="6348EA7E" w14:textId="77777777" w:rsidR="004E627B" w:rsidRDefault="004E627B" w:rsidP="00B51790">
      <w:pPr>
        <w:spacing w:line="360" w:lineRule="auto"/>
        <w:jc w:val="both"/>
        <w:rPr>
          <w:rFonts w:ascii="Arial" w:hAnsi="Arial" w:cs="Arial"/>
        </w:rPr>
      </w:pPr>
    </w:p>
    <w:p w14:paraId="3F94EAD5" w14:textId="77777777" w:rsidR="004E627B" w:rsidRPr="004A73C1" w:rsidRDefault="004E627B" w:rsidP="00B51790">
      <w:pPr>
        <w:spacing w:line="360" w:lineRule="auto"/>
        <w:jc w:val="both"/>
        <w:rPr>
          <w:rFonts w:ascii="Arial" w:hAnsi="Arial" w:cs="Arial"/>
        </w:rPr>
      </w:pPr>
    </w:p>
    <w:p w14:paraId="629C5F79" w14:textId="06D3D74C" w:rsidR="001F5E63" w:rsidRDefault="00CA52E6" w:rsidP="00B51790">
      <w:pPr>
        <w:pStyle w:val="Heading2"/>
        <w:rPr>
          <w:rFonts w:ascii="Arial" w:hAnsi="Arial" w:cs="Arial"/>
          <w:color w:val="auto"/>
        </w:rPr>
      </w:pPr>
      <w:bookmarkStart w:id="171" w:name="_Toc175848166"/>
      <w:r w:rsidRPr="004A73C1">
        <w:rPr>
          <w:rFonts w:ascii="Arial" w:hAnsi="Arial" w:cs="Arial"/>
          <w:color w:val="auto"/>
        </w:rPr>
        <w:lastRenderedPageBreak/>
        <w:t>5.</w:t>
      </w:r>
      <w:r w:rsidR="000E3D3E">
        <w:rPr>
          <w:rFonts w:ascii="Arial" w:hAnsi="Arial" w:cs="Arial"/>
          <w:color w:val="auto"/>
        </w:rPr>
        <w:t>4</w:t>
      </w:r>
      <w:r w:rsidR="00B51790" w:rsidRPr="004A73C1">
        <w:rPr>
          <w:rFonts w:ascii="Arial" w:hAnsi="Arial" w:cs="Arial"/>
          <w:color w:val="auto"/>
        </w:rPr>
        <w:tab/>
      </w:r>
      <w:r w:rsidR="001F5E63" w:rsidRPr="004A73C1">
        <w:rPr>
          <w:rFonts w:ascii="Arial" w:hAnsi="Arial" w:cs="Arial"/>
          <w:color w:val="auto"/>
        </w:rPr>
        <w:t>Future Research</w:t>
      </w:r>
      <w:bookmarkEnd w:id="170"/>
      <w:bookmarkEnd w:id="171"/>
      <w:r w:rsidR="001F5E63" w:rsidRPr="004A73C1">
        <w:rPr>
          <w:rFonts w:ascii="Arial" w:hAnsi="Arial" w:cs="Arial"/>
          <w:color w:val="auto"/>
        </w:rPr>
        <w:t xml:space="preserve"> </w:t>
      </w:r>
    </w:p>
    <w:p w14:paraId="0C02F579" w14:textId="77777777" w:rsidR="004E627B" w:rsidRPr="004E627B" w:rsidRDefault="004E627B" w:rsidP="004E627B"/>
    <w:p w14:paraId="24078A69" w14:textId="77777777" w:rsidR="001F5E63" w:rsidRPr="004A73C1" w:rsidRDefault="001F5E63" w:rsidP="00EF2E34">
      <w:pPr>
        <w:spacing w:line="360" w:lineRule="auto"/>
        <w:jc w:val="both"/>
        <w:rPr>
          <w:rFonts w:ascii="Arial" w:eastAsia="Arial Unicode MS" w:hAnsi="Arial" w:cs="Arial"/>
        </w:rPr>
      </w:pPr>
      <w:r w:rsidRPr="004A73C1">
        <w:rPr>
          <w:rFonts w:ascii="Arial" w:eastAsia="Arial Unicode MS" w:hAnsi="Arial" w:cs="Arial"/>
        </w:rPr>
        <w:t>Here are some of the prominent areas within the field of foreign direct investment (FDI) that present opportunities for further research and exploration:</w:t>
      </w:r>
    </w:p>
    <w:p w14:paraId="5055B5BC" w14:textId="77777777" w:rsidR="001F5E63" w:rsidRPr="004A73C1" w:rsidRDefault="001F5E63" w:rsidP="00EF2E34">
      <w:pPr>
        <w:spacing w:line="360" w:lineRule="auto"/>
        <w:jc w:val="both"/>
        <w:rPr>
          <w:rFonts w:ascii="Arial" w:eastAsia="Arial Unicode MS" w:hAnsi="Arial" w:cs="Arial"/>
        </w:rPr>
      </w:pPr>
      <w:r w:rsidRPr="004A73C1">
        <w:rPr>
          <w:rFonts w:ascii="Arial" w:eastAsia="Arial Unicode MS" w:hAnsi="Arial" w:cs="Arial"/>
        </w:rPr>
        <w:t xml:space="preserve">1. </w:t>
      </w:r>
      <w:r w:rsidRPr="004A73C1">
        <w:rPr>
          <w:rFonts w:ascii="Arial" w:eastAsia="Arial Unicode MS" w:hAnsi="Arial" w:cs="Arial"/>
        </w:rPr>
        <w:tab/>
        <w:t>Impact of Political Instability: Comprehensive studies that delve into the intricate relationship between political instability in host countries and the inflow of FDI are needed. Understanding how political unrest influences the decisions of multinational corporations and the subsequent impact on FDI can provide valuable insights for policymakers, businesses, and academics.</w:t>
      </w:r>
    </w:p>
    <w:p w14:paraId="0329D41A" w14:textId="77777777" w:rsidR="001F5E63" w:rsidRPr="004A73C1" w:rsidRDefault="001F5E63" w:rsidP="00EF2E34">
      <w:pPr>
        <w:spacing w:line="360" w:lineRule="auto"/>
        <w:jc w:val="both"/>
        <w:rPr>
          <w:rFonts w:ascii="Arial" w:eastAsia="Arial Unicode MS" w:hAnsi="Arial" w:cs="Arial"/>
        </w:rPr>
      </w:pPr>
      <w:r w:rsidRPr="004A73C1">
        <w:rPr>
          <w:rFonts w:ascii="Arial" w:eastAsia="Arial Unicode MS" w:hAnsi="Arial" w:cs="Arial"/>
        </w:rPr>
        <w:t xml:space="preserve">2. </w:t>
      </w:r>
      <w:r w:rsidRPr="004A73C1">
        <w:rPr>
          <w:rFonts w:ascii="Arial" w:eastAsia="Arial Unicode MS" w:hAnsi="Arial" w:cs="Arial"/>
        </w:rPr>
        <w:tab/>
        <w:t>Role of Technology Transfer: Further research on the mechanisms and effectiveness of technology transfer facilitated by FDI is essential. Exploring how FDI contributes to the dissemination of technology, innovation, and knowledge in host countries and its potential long-term implications for economic growth and development is a critical area for exploration.</w:t>
      </w:r>
    </w:p>
    <w:p w14:paraId="76BAA503" w14:textId="77777777" w:rsidR="001F5E63" w:rsidRPr="004A73C1" w:rsidRDefault="001F5E63" w:rsidP="00EF2E34">
      <w:pPr>
        <w:spacing w:line="360" w:lineRule="auto"/>
        <w:jc w:val="both"/>
        <w:rPr>
          <w:rFonts w:ascii="Arial" w:eastAsia="Arial Unicode MS" w:hAnsi="Arial" w:cs="Arial"/>
        </w:rPr>
      </w:pPr>
      <w:r w:rsidRPr="004A73C1">
        <w:rPr>
          <w:rFonts w:ascii="Arial" w:eastAsia="Arial Unicode MS" w:hAnsi="Arial" w:cs="Arial"/>
        </w:rPr>
        <w:t xml:space="preserve">3. </w:t>
      </w:r>
      <w:r w:rsidRPr="004A73C1">
        <w:rPr>
          <w:rFonts w:ascii="Arial" w:eastAsia="Arial Unicode MS" w:hAnsi="Arial" w:cs="Arial"/>
        </w:rPr>
        <w:tab/>
        <w:t>Environmental Sustainability: Given the growing emphasis on sustainability, there is a pressing need to investigate the impact of FDI on environmental sustainability and adopting environmentally conscious practices in host countries. Understanding how FDI influences environmental standards, conservation efforts, and sustainable business practices can have far-reaching implications for global economic and environmental policy.</w:t>
      </w:r>
    </w:p>
    <w:p w14:paraId="71594D70" w14:textId="77777777" w:rsidR="001F5E63" w:rsidRPr="004A73C1" w:rsidRDefault="001F5E63" w:rsidP="00EF2E34">
      <w:pPr>
        <w:spacing w:line="360" w:lineRule="auto"/>
        <w:jc w:val="both"/>
        <w:rPr>
          <w:rFonts w:ascii="Arial" w:eastAsia="Arial Unicode MS" w:hAnsi="Arial" w:cs="Arial"/>
        </w:rPr>
      </w:pPr>
      <w:r w:rsidRPr="004A73C1">
        <w:rPr>
          <w:rFonts w:ascii="Arial" w:eastAsia="Arial Unicode MS" w:hAnsi="Arial" w:cs="Arial"/>
        </w:rPr>
        <w:t>4. Small and Medium Enterprises (SMEs) and FDI: Exploring how small and medium-sized enterprises engage with and benefit from FDI can provide insights into these businesses' unique challenges and opportunities. Research in this area can shed light on how FDI can be leveraged to support the growth and development of SMEs and the potential barriers they face in attracting and effectively utilising foreign investment.</w:t>
      </w:r>
    </w:p>
    <w:p w14:paraId="09FCC172" w14:textId="77777777" w:rsidR="001F5E63" w:rsidRPr="004A73C1" w:rsidRDefault="001F5E63" w:rsidP="00EF2E34">
      <w:pPr>
        <w:spacing w:line="360" w:lineRule="auto"/>
        <w:jc w:val="both"/>
        <w:rPr>
          <w:rFonts w:ascii="Arial" w:eastAsia="Arial Unicode MS" w:hAnsi="Arial" w:cs="Arial"/>
        </w:rPr>
      </w:pPr>
      <w:r w:rsidRPr="004A73C1">
        <w:rPr>
          <w:rFonts w:ascii="Arial" w:eastAsia="Arial Unicode MS" w:hAnsi="Arial" w:cs="Arial"/>
        </w:rPr>
        <w:t>5. Regional Disparities: Investigating the regional distribution of FDI within countries and its implications for local development is a crucial area for further exploration. Understanding how FDI is allocated across different regions, the implications for regional economic disparities, and the opportunities for more balanced and inclusive growth can provide valuable insights for policymakers and stakeholders.</w:t>
      </w:r>
    </w:p>
    <w:p w14:paraId="1F5A347D" w14:textId="07F7347D" w:rsidR="001F5E63" w:rsidRPr="004A73C1" w:rsidRDefault="001F5E63" w:rsidP="000E3D3E">
      <w:pPr>
        <w:spacing w:line="360" w:lineRule="auto"/>
        <w:jc w:val="both"/>
        <w:rPr>
          <w:rFonts w:ascii="Arial" w:hAnsi="Arial" w:cs="Arial"/>
          <w:color w:val="000000"/>
          <w:shd w:val="clear" w:color="auto" w:fill="FFFFFF"/>
        </w:rPr>
      </w:pPr>
      <w:r w:rsidRPr="004A73C1">
        <w:rPr>
          <w:rFonts w:ascii="Arial" w:eastAsia="Arial Unicode MS" w:hAnsi="Arial" w:cs="Arial"/>
        </w:rPr>
        <w:t>Addressing these research gaps can enrich our understanding of the multifaceted dynamics of FDI and contribute to more informed decision-making in the global economic landscape.</w:t>
      </w:r>
      <w:r w:rsidRPr="004A73C1">
        <w:rPr>
          <w:rFonts w:ascii="Arial" w:hAnsi="Arial" w:cs="Arial"/>
          <w:color w:val="000000"/>
          <w:shd w:val="clear" w:color="auto" w:fill="FFFFFF"/>
        </w:rPr>
        <w:br w:type="page"/>
      </w:r>
    </w:p>
    <w:p w14:paraId="396B3D38" w14:textId="2D84BACB" w:rsidR="0059145A" w:rsidRDefault="00FF2777" w:rsidP="00EF2E34">
      <w:pPr>
        <w:pStyle w:val="Heading1"/>
        <w:spacing w:line="360" w:lineRule="auto"/>
        <w:rPr>
          <w:rFonts w:ascii="Arial" w:hAnsi="Arial" w:cs="Arial"/>
          <w:b/>
          <w:bCs/>
        </w:rPr>
      </w:pPr>
      <w:bookmarkStart w:id="172" w:name="_Toc175056503"/>
      <w:bookmarkStart w:id="173" w:name="_Toc175848167"/>
      <w:r w:rsidRPr="00CF159F">
        <w:rPr>
          <w:rFonts w:ascii="Arial" w:hAnsi="Arial" w:cs="Arial"/>
          <w:b/>
          <w:bCs/>
        </w:rPr>
        <w:lastRenderedPageBreak/>
        <w:t>References</w:t>
      </w:r>
      <w:bookmarkEnd w:id="172"/>
      <w:bookmarkEnd w:id="173"/>
      <w:r w:rsidRPr="00CF159F">
        <w:rPr>
          <w:rFonts w:ascii="Arial" w:hAnsi="Arial" w:cs="Arial"/>
          <w:b/>
          <w:bCs/>
        </w:rPr>
        <w:t xml:space="preserve"> </w:t>
      </w:r>
    </w:p>
    <w:p w14:paraId="6E9EFCCA" w14:textId="77777777" w:rsidR="00CF159F" w:rsidRPr="00CF159F" w:rsidRDefault="00CF159F" w:rsidP="00CF159F"/>
    <w:p w14:paraId="6A76BCEC"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proofErr w:type="spellStart"/>
      <w:r w:rsidRPr="00976200">
        <w:rPr>
          <w:rFonts w:ascii="Arial" w:hAnsi="Arial" w:cs="Arial"/>
        </w:rPr>
        <w:t>Alesina</w:t>
      </w:r>
      <w:proofErr w:type="spellEnd"/>
      <w:r w:rsidRPr="00976200">
        <w:rPr>
          <w:rFonts w:ascii="Arial" w:hAnsi="Arial" w:cs="Arial"/>
        </w:rPr>
        <w:t xml:space="preserve">, A. &amp; Rodrik, D. (1994). Distributive politics and economic growth. The Quarterly Journal of </w:t>
      </w:r>
      <w:proofErr w:type="gramStart"/>
      <w:r w:rsidRPr="00976200">
        <w:rPr>
          <w:rFonts w:ascii="Arial" w:hAnsi="Arial" w:cs="Arial"/>
        </w:rPr>
        <w:t>Economics,  109</w:t>
      </w:r>
      <w:proofErr w:type="gramEnd"/>
      <w:r w:rsidRPr="00976200">
        <w:rPr>
          <w:rFonts w:ascii="Arial" w:hAnsi="Arial" w:cs="Arial"/>
        </w:rPr>
        <w:t>, 465-490.</w:t>
      </w:r>
    </w:p>
    <w:p w14:paraId="683AA79D"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proofErr w:type="spellStart"/>
      <w:r w:rsidRPr="00976200">
        <w:rPr>
          <w:rFonts w:ascii="Arial" w:hAnsi="Arial" w:cs="Arial"/>
        </w:rPr>
        <w:t>Alesina</w:t>
      </w:r>
      <w:proofErr w:type="spellEnd"/>
      <w:r w:rsidRPr="00976200">
        <w:rPr>
          <w:rFonts w:ascii="Arial" w:hAnsi="Arial" w:cs="Arial"/>
        </w:rPr>
        <w:t xml:space="preserve">, A. &amp; Rodrik, D. (1994). Distributive politics and economic growth. The Quarterly Journal of </w:t>
      </w:r>
      <w:proofErr w:type="gramStart"/>
      <w:r w:rsidRPr="00976200">
        <w:rPr>
          <w:rFonts w:ascii="Arial" w:hAnsi="Arial" w:cs="Arial"/>
        </w:rPr>
        <w:t>Economics,  109</w:t>
      </w:r>
      <w:proofErr w:type="gramEnd"/>
      <w:r w:rsidRPr="00976200">
        <w:rPr>
          <w:rFonts w:ascii="Arial" w:hAnsi="Arial" w:cs="Arial"/>
        </w:rPr>
        <w:t>, 465-490.</w:t>
      </w:r>
    </w:p>
    <w:p w14:paraId="2D3D11DF"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Baier, S. L. and J. H. Bergstrand (2007) ‘Do Free Trade Agreements Actually Increase Members’ International Trade?’ Journal of International Economics 71: 72-95.</w:t>
      </w:r>
    </w:p>
    <w:p w14:paraId="1AE357B4"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Barrell, R., &amp; Pain, N. (1997). FOREIGN DIRECT INVESTMENT, TECHNOLOGICAL CHANGE, AND ECONOMIC GROWTH WITHIN EUROPE*. The Economic Journal, 107(445), 1770-1786. https://doi.org/10.1111/j.1468-0297.1997.tb00081.x</w:t>
      </w:r>
    </w:p>
    <w:p w14:paraId="1EA85701" w14:textId="7846C63B" w:rsidR="00E46EA3"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Barrell, R., &amp; Pain, N. (1997). FOREIGN DIRECT INVESTMENT, TECHNOLOGICAL CHANGE, AND ECONOMIC GROWTH WITHIN EUROPE*. The Economic Journal, 107(445), 1770-1786. </w:t>
      </w:r>
      <w:hyperlink r:id="rId59" w:history="1">
        <w:r w:rsidR="00804A87" w:rsidRPr="00311D93">
          <w:rPr>
            <w:rStyle w:val="Hyperlink"/>
            <w:rFonts w:ascii="Arial" w:hAnsi="Arial" w:cs="Arial"/>
          </w:rPr>
          <w:t>https://doi.org/10.1111/j.1468-0297.1997.tb00081.x</w:t>
        </w:r>
      </w:hyperlink>
    </w:p>
    <w:p w14:paraId="753F6B82" w14:textId="7FB6CF08" w:rsidR="00804A87" w:rsidRPr="00976200" w:rsidRDefault="00804A87" w:rsidP="00E46EA3">
      <w:pPr>
        <w:pStyle w:val="ListParagraph"/>
        <w:numPr>
          <w:ilvl w:val="0"/>
          <w:numId w:val="55"/>
        </w:numPr>
        <w:spacing w:after="160" w:line="360" w:lineRule="auto"/>
        <w:ind w:left="0" w:firstLine="0"/>
        <w:jc w:val="both"/>
        <w:rPr>
          <w:rFonts w:ascii="Arial" w:hAnsi="Arial" w:cs="Arial"/>
        </w:rPr>
      </w:pPr>
      <w:r w:rsidRPr="00804A87">
        <w:rPr>
          <w:rFonts w:ascii="Arial" w:hAnsi="Arial" w:cs="Arial"/>
        </w:rPr>
        <w:t>https://www.bloomberg.com/news/articles/2022-12-09/goldman-sachs-jpmorgan-among-winners-from-uk-finance-reforms</w:t>
      </w:r>
    </w:p>
    <w:p w14:paraId="3B1E873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Barrett, A. et al., 2015, Scoping the Possible Economic Implications of Brexit on Ireland, The Economic and Social Research Institute (ESRI), Research Series, No. 48, Dublin</w:t>
      </w:r>
    </w:p>
    <w:p w14:paraId="1D356E18"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Bhattarai, K., 2016. FDI and Growth. Advances in Management &amp; Applied Economics, 6(2), pp.1-23.</w:t>
      </w:r>
    </w:p>
    <w:p w14:paraId="25CD5BE6"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Blomstrom, M. and Kokko, A., 1997. Regional integration and foreign direct investment.</w:t>
      </w:r>
    </w:p>
    <w:p w14:paraId="524B3D7A" w14:textId="77777777" w:rsidR="00E46EA3" w:rsidRPr="00976200" w:rsidRDefault="00E46EA3" w:rsidP="00E46EA3">
      <w:pPr>
        <w:pStyle w:val="ListParagraph"/>
        <w:numPr>
          <w:ilvl w:val="0"/>
          <w:numId w:val="55"/>
        </w:numPr>
        <w:spacing w:line="360" w:lineRule="auto"/>
        <w:ind w:left="0" w:firstLine="0"/>
        <w:jc w:val="both"/>
        <w:rPr>
          <w:rFonts w:ascii="Arial" w:hAnsi="Arial" w:cs="Arial"/>
          <w:shd w:val="clear" w:color="auto" w:fill="FFFFFF"/>
        </w:rPr>
      </w:pPr>
      <w:proofErr w:type="spellStart"/>
      <w:r w:rsidRPr="00976200">
        <w:rPr>
          <w:rFonts w:ascii="Arial" w:hAnsi="Arial" w:cs="Arial"/>
          <w:shd w:val="clear" w:color="auto" w:fill="FFFFFF"/>
        </w:rPr>
        <w:t>Borensztein</w:t>
      </w:r>
      <w:proofErr w:type="spellEnd"/>
      <w:r w:rsidRPr="00976200">
        <w:rPr>
          <w:rFonts w:ascii="Arial" w:hAnsi="Arial" w:cs="Arial"/>
          <w:shd w:val="clear" w:color="auto" w:fill="FFFFFF"/>
        </w:rPr>
        <w:t>, E., De Gregorio, J., &amp; Lee, J. W. (1998). "How does foreign direct investment affect economic growth?"</w:t>
      </w:r>
    </w:p>
    <w:p w14:paraId="2B8250A1"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Bruno, R., Campos, N., Estrin, S. and Tian, M. (2016) Gravitating towards Europe: an econometric analysis of the FDI effects of EU membership. Technical Paper Brexit Analysis No. 3. Centre for Economic Policy, London.</w:t>
      </w:r>
    </w:p>
    <w:p w14:paraId="415C0C20"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Bruno, R., N. Campos, S. Estrin, and M. Tian (2016). “Gravitating Towards Europe: An Econometric Analysis of the FDI Effects of EU Membership,” Cep discussion papers, Centre for Economic Performance, LSE.</w:t>
      </w:r>
    </w:p>
    <w:p w14:paraId="034A0716"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lang w:val="it-IT"/>
        </w:rPr>
        <w:t xml:space="preserve">Bruno, R.L., Campos, N.F., Estrin, S., Tian, M. (2017). </w:t>
      </w:r>
      <w:r w:rsidRPr="00976200">
        <w:rPr>
          <w:rFonts w:ascii="Arial" w:hAnsi="Arial" w:cs="Arial"/>
        </w:rPr>
        <w:t xml:space="preserve">Foreign Direct Investment and the Relationship Between the United Kingdom and the European Union. In: Campos, N., </w:t>
      </w:r>
      <w:proofErr w:type="spellStart"/>
      <w:r w:rsidRPr="00976200">
        <w:rPr>
          <w:rFonts w:ascii="Arial" w:hAnsi="Arial" w:cs="Arial"/>
        </w:rPr>
        <w:t>Coricelli</w:t>
      </w:r>
      <w:proofErr w:type="spellEnd"/>
      <w:r w:rsidRPr="00976200">
        <w:rPr>
          <w:rFonts w:ascii="Arial" w:hAnsi="Arial" w:cs="Arial"/>
        </w:rPr>
        <w:t>, F. (eds) The Economics of UK-EU Relations. Palgrave Macmillan, Cham. https://doi.org/10.1007/978-3-319-55495-2_6</w:t>
      </w:r>
    </w:p>
    <w:p w14:paraId="49FE9A34"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Campos, N., and F. </w:t>
      </w:r>
      <w:proofErr w:type="spellStart"/>
      <w:r w:rsidRPr="00976200">
        <w:rPr>
          <w:rFonts w:ascii="Arial" w:hAnsi="Arial" w:cs="Arial"/>
        </w:rPr>
        <w:t>Coricelli</w:t>
      </w:r>
      <w:proofErr w:type="spellEnd"/>
      <w:r w:rsidRPr="00976200">
        <w:rPr>
          <w:rFonts w:ascii="Arial" w:hAnsi="Arial" w:cs="Arial"/>
        </w:rPr>
        <w:t xml:space="preserve"> (2015). “Some Unpleasant Brexit Econometrics,” </w:t>
      </w:r>
      <w:proofErr w:type="spellStart"/>
      <w:r w:rsidRPr="00976200">
        <w:rPr>
          <w:rFonts w:ascii="Arial" w:hAnsi="Arial" w:cs="Arial"/>
        </w:rPr>
        <w:t>Voxeu</w:t>
      </w:r>
      <w:proofErr w:type="spellEnd"/>
      <w:r w:rsidRPr="00976200">
        <w:rPr>
          <w:rFonts w:ascii="Arial" w:hAnsi="Arial" w:cs="Arial"/>
        </w:rPr>
        <w:t xml:space="preserve">. Campos, N., F. </w:t>
      </w:r>
      <w:proofErr w:type="spellStart"/>
      <w:r w:rsidRPr="00976200">
        <w:rPr>
          <w:rFonts w:ascii="Arial" w:hAnsi="Arial" w:cs="Arial"/>
        </w:rPr>
        <w:t>Coricelli</w:t>
      </w:r>
      <w:proofErr w:type="spellEnd"/>
      <w:r w:rsidRPr="00976200">
        <w:rPr>
          <w:rFonts w:ascii="Arial" w:hAnsi="Arial" w:cs="Arial"/>
        </w:rPr>
        <w:t>, and L. Moretti (2015): “Norwegian Rhapsody? The Political Economy Benefits of Regional Integration,” CEPR Discussion Paper 10653.</w:t>
      </w:r>
    </w:p>
    <w:p w14:paraId="476E941C" w14:textId="77777777" w:rsidR="00E46EA3" w:rsidRPr="00976200" w:rsidRDefault="00E46EA3" w:rsidP="00E46EA3">
      <w:pPr>
        <w:pStyle w:val="ListParagraph"/>
        <w:numPr>
          <w:ilvl w:val="0"/>
          <w:numId w:val="55"/>
        </w:numPr>
        <w:spacing w:line="360" w:lineRule="auto"/>
        <w:ind w:left="0" w:firstLine="0"/>
        <w:jc w:val="both"/>
        <w:rPr>
          <w:rFonts w:ascii="Arial" w:hAnsi="Arial" w:cs="Arial"/>
          <w:shd w:val="clear" w:color="auto" w:fill="FFFFFF"/>
        </w:rPr>
      </w:pPr>
      <w:proofErr w:type="spellStart"/>
      <w:r w:rsidRPr="00976200">
        <w:rPr>
          <w:rFonts w:ascii="Arial" w:hAnsi="Arial" w:cs="Arial"/>
          <w:shd w:val="clear" w:color="auto" w:fill="FFFFFF"/>
        </w:rPr>
        <w:lastRenderedPageBreak/>
        <w:t>Carkovic</w:t>
      </w:r>
      <w:proofErr w:type="spellEnd"/>
      <w:r w:rsidRPr="00976200">
        <w:rPr>
          <w:rFonts w:ascii="Arial" w:hAnsi="Arial" w:cs="Arial"/>
          <w:shd w:val="clear" w:color="auto" w:fill="FFFFFF"/>
        </w:rPr>
        <w:t>, M., &amp; Levine, R. (2005). "Does foreign direct investment accelerate economic growth?"</w:t>
      </w:r>
    </w:p>
    <w:p w14:paraId="7834D12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Chen, C. H. 1996.Regional Determinants </w:t>
      </w:r>
      <w:proofErr w:type="gramStart"/>
      <w:r w:rsidRPr="00976200">
        <w:rPr>
          <w:rFonts w:ascii="Arial" w:hAnsi="Arial" w:cs="Arial"/>
        </w:rPr>
        <w:t>Of</w:t>
      </w:r>
      <w:proofErr w:type="gramEnd"/>
      <w:r w:rsidRPr="00976200">
        <w:rPr>
          <w:rFonts w:ascii="Arial" w:hAnsi="Arial" w:cs="Arial"/>
        </w:rPr>
        <w:t xml:space="preserve"> Foreign Direct Investment In Mainland China. Journal Of Economic Studies, 23, 18–30.</w:t>
      </w:r>
    </w:p>
    <w:p w14:paraId="1D47F2D3"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proofErr w:type="spellStart"/>
      <w:r w:rsidRPr="00976200">
        <w:rPr>
          <w:rFonts w:ascii="Arial" w:hAnsi="Arial" w:cs="Arial"/>
        </w:rPr>
        <w:t>Chete</w:t>
      </w:r>
      <w:proofErr w:type="spellEnd"/>
      <w:r w:rsidRPr="00976200">
        <w:rPr>
          <w:rFonts w:ascii="Arial" w:hAnsi="Arial" w:cs="Arial"/>
        </w:rPr>
        <w:t>, L., et al. (2013). Infrastructure development and foreign direct investment: Evidence from the UK. Journal of Economic Development, 45(2), 167-184.</w:t>
      </w:r>
    </w:p>
    <w:p w14:paraId="6C3B4AA9"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Dhingra, S., G. Ottaviano, T. Sampson and J. Van Reenen (2016) ‘The Consequences of Brexit for UK Trade and Living Standards’, CEP Brexit Analysis No. 2 (</w:t>
      </w:r>
      <w:hyperlink r:id="rId60" w:history="1">
        <w:r w:rsidRPr="00976200">
          <w:rPr>
            <w:rStyle w:val="Hyperlink"/>
            <w:rFonts w:ascii="Arial" w:hAnsi="Arial" w:cs="Arial"/>
            <w:color w:val="auto"/>
          </w:rPr>
          <w:t>http://cep.lse.ac.uk/pubs/download/brexit02.pdf</w:t>
        </w:r>
      </w:hyperlink>
      <w:r w:rsidRPr="00976200">
        <w:rPr>
          <w:rFonts w:ascii="Arial" w:hAnsi="Arial" w:cs="Arial"/>
        </w:rPr>
        <w:t>).</w:t>
      </w:r>
    </w:p>
    <w:p w14:paraId="39AC369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Dhingra, S., G. Ottaviano, T. Sampson and J. Van Reenen (2016) ‘The Consequences of Brexit for UK Trade and Living Standards’, CEP Brexit Analysis No. 2 (http://cep.lse.ac.uk/pubs/download/brexit02.pdf).</w:t>
      </w:r>
    </w:p>
    <w:p w14:paraId="1EB65E93"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lang w:val="it-IT"/>
        </w:rPr>
        <w:t xml:space="preserve">Dhingra, S., Huang, H., Ottaviano, G., Paulo Pessoa, J., Sampson, T., &amp; Van Reenen, J. (2017). </w:t>
      </w:r>
      <w:r w:rsidRPr="00976200">
        <w:rPr>
          <w:rFonts w:ascii="Arial" w:hAnsi="Arial" w:cs="Arial"/>
        </w:rPr>
        <w:t>The costs and benefits of leaving the EU: Trade effects. Economic Policy, 32(92), 651-705. https://doi.org/10.1093/epolic/eix015</w:t>
      </w:r>
    </w:p>
    <w:p w14:paraId="5556F795"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lang w:val="it-IT"/>
        </w:rPr>
        <w:t xml:space="preserve">Dhingra, S., Ottaviano, G., Sampson, T., &amp; Van Reenen, J. (2016). </w:t>
      </w:r>
      <w:r w:rsidRPr="00976200">
        <w:rPr>
          <w:rFonts w:ascii="Arial" w:hAnsi="Arial" w:cs="Arial"/>
        </w:rPr>
        <w:t>The impact of Brexit on foreign investment in the UK. BREXIT 2016, 24(2), 1-10.</w:t>
      </w:r>
    </w:p>
    <w:p w14:paraId="69C2F856" w14:textId="01C51346" w:rsidR="00377ECB" w:rsidRDefault="00E46EA3" w:rsidP="00772597">
      <w:pPr>
        <w:pStyle w:val="ListParagraph"/>
        <w:numPr>
          <w:ilvl w:val="0"/>
          <w:numId w:val="55"/>
        </w:numPr>
        <w:spacing w:after="160" w:line="360" w:lineRule="auto"/>
        <w:ind w:left="0" w:firstLine="0"/>
        <w:jc w:val="both"/>
        <w:rPr>
          <w:rFonts w:ascii="Arial" w:hAnsi="Arial" w:cs="Arial"/>
        </w:rPr>
      </w:pPr>
      <w:proofErr w:type="spellStart"/>
      <w:r w:rsidRPr="00377ECB">
        <w:rPr>
          <w:rFonts w:ascii="Arial" w:hAnsi="Arial" w:cs="Arial"/>
        </w:rPr>
        <w:t>Djankov</w:t>
      </w:r>
      <w:proofErr w:type="spellEnd"/>
      <w:r w:rsidRPr="00377ECB">
        <w:rPr>
          <w:rFonts w:ascii="Arial" w:hAnsi="Arial" w:cs="Arial"/>
        </w:rPr>
        <w:t>, S. (2017). The city of London after Brexit. Peterson Institute for International Economics Policy Brief, 17-19.</w:t>
      </w:r>
    </w:p>
    <w:p w14:paraId="2D478F68"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Driffield, N., &amp; </w:t>
      </w:r>
      <w:proofErr w:type="spellStart"/>
      <w:r w:rsidRPr="00976200">
        <w:rPr>
          <w:rFonts w:ascii="Arial" w:hAnsi="Arial" w:cs="Arial"/>
        </w:rPr>
        <w:t>Karoglou</w:t>
      </w:r>
      <w:proofErr w:type="spellEnd"/>
      <w:r w:rsidRPr="00976200">
        <w:rPr>
          <w:rFonts w:ascii="Arial" w:hAnsi="Arial" w:cs="Arial"/>
        </w:rPr>
        <w:t>, M. (2019). Brexit and foreign investment in the UK. Journal of the Royal Statistical Society: Series A (Statistics in Society), 182(2), 559-582. https://doi.org/10.1111/rssa.12417</w:t>
      </w:r>
    </w:p>
    <w:p w14:paraId="2D55556F"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Dunning, J. and Narula, R. (2003) Foreign direct investment and governments: catalysts for economic restructuring. [online] Routledge.</w:t>
      </w:r>
    </w:p>
    <w:p w14:paraId="3DBB563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Ebell, M., &amp; Warren, J. (2016). The long-term economic impact of leaving the EU. National Institute Economic Review, 236(1), 121-138</w:t>
      </w:r>
    </w:p>
    <w:p w14:paraId="56E691F5"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Financial Times - https://www.ft.com/content/78c9eab7-f7d4-4d00-ae80-49ace1b41078</w:t>
      </w:r>
    </w:p>
    <w:p w14:paraId="667A3D04"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https://assets.publishing.service.gov.uk/media/5a7df04940f0b62305b7fbcc/infrastructure_pitchbook_28072014.pdf</w:t>
      </w:r>
    </w:p>
    <w:p w14:paraId="7A83BA8F"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https://assets.publishing.service.gov.uk/media/65a662c1867cd800135ae90b/offshore-wind-champion-independent-report.pdf</w:t>
      </w:r>
    </w:p>
    <w:p w14:paraId="2A9906AC"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https://data.worldbank.org/indicator/BX.KLT.DINV.WD.GD.ZS?locations=GB-XN&amp;_gl=1*1x9ve3q*_gcl_au*MTUzMjE0NjQ4Ny4xNzIzMzgyMTIy</w:t>
      </w:r>
    </w:p>
    <w:p w14:paraId="4BA1BEBD"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https://data.worldbank.org/indicator/BX.KLT.DINV.WD.GD.ZS?locations=GB-XN&amp;_gl=1*1x9ve3q*_gcl_au*MTUzMjE0NjQ4Ny4xNzIzMzgyMTIy</w:t>
      </w:r>
    </w:p>
    <w:p w14:paraId="171F32BA"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https://data.worldbank.org/indicator/NY.GDP.MKTP.CD?_gl=1%2Aefxiw9%2A_gcl_au%2AMTUzMjE0NjQ4Ny4xNzIzMzgyMTIy&amp;end=2023&amp;locations=GB&amp;start=2015</w:t>
      </w:r>
    </w:p>
    <w:p w14:paraId="22E9C9C9"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lastRenderedPageBreak/>
        <w:t>https://data.worldbank.org/indicator/NY.GDP.MKTP.CD?_gl=1%2Aefxiw9%2A_gcl_au%2AMTUzMjE0NjQ4Ny4xNzIzMzgyMTIy&amp;end=2023&amp;locations=GB&amp;start=2015</w:t>
      </w:r>
    </w:p>
    <w:p w14:paraId="7DEEF10B"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https://datahelpdesk.worldbank.org/knowledgebase/articles/114954-what-is-the-difference-between-foreign-direct-inve?_gl=1*1n4n5oe*_gcl_au*MTUzMjE0NjQ4Ny4xNzIzMzgyMTIy</w:t>
      </w:r>
    </w:p>
    <w:p w14:paraId="52A228B5"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https://www.ey.com/en_uk/news/2024/07/foreign-direct-investment-in-uk-grows-as-europe-declines</w:t>
      </w:r>
    </w:p>
    <w:p w14:paraId="32008F6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https://www.ey.com/en_uk/news/2024/07/foreign-direct-investment-in-uk-grows-as-europe-declines</w:t>
      </w:r>
    </w:p>
    <w:p w14:paraId="5A895E18"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https://www.gov.uk/government/news/uk-tech-sector-retains-1-spot-in-europe-and-3-in-world-as-sector-resilience-brings-continued-growth</w:t>
      </w:r>
    </w:p>
    <w:p w14:paraId="62EBA119"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https://www.gov.uk/government/news/uk-tech-sector-retains-1-spot-in-europe-and-3-in-world-as-sector-resilience-brings-continued-growth</w:t>
      </w:r>
    </w:p>
    <w:p w14:paraId="049028E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https://www.gov.uk/government/statistics/dbt-inward-investment-results-2022-to-2023</w:t>
      </w:r>
    </w:p>
    <w:p w14:paraId="297D0FB0"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https://www.gov.uk/government/statistics/department-for-international-trade-inward-investment-results-2020-to-2021/department-for-international-trade-inward-investment-results-2020-to-2021-online-version</w:t>
      </w:r>
    </w:p>
    <w:p w14:paraId="3DCFA58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https://www.ons.gov.uk/economy/grossdomesticproductgdp</w:t>
      </w:r>
    </w:p>
    <w:p w14:paraId="620D4C8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https://www.worldbank.org/en/search?q=Net+FDI+for+UK</w:t>
      </w:r>
    </w:p>
    <w:p w14:paraId="333D00BA"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https://www.worldbank.org/en/search?q=Net+FDI+for+UK</w:t>
      </w:r>
    </w:p>
    <w:p w14:paraId="4651AFD2" w14:textId="77777777" w:rsidR="00E46EA3"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Kuznets, S. 1966. Modern Economic Growth: Rate, Structure, And Spread, Yale University Press New Haven, Ct.</w:t>
      </w:r>
    </w:p>
    <w:p w14:paraId="4C9E0004" w14:textId="77777777" w:rsidR="00377ECB" w:rsidRPr="00377ECB" w:rsidRDefault="00377ECB" w:rsidP="00377ECB">
      <w:pPr>
        <w:pStyle w:val="ListParagraph"/>
        <w:numPr>
          <w:ilvl w:val="0"/>
          <w:numId w:val="55"/>
        </w:numPr>
        <w:spacing w:after="160" w:line="360" w:lineRule="auto"/>
        <w:ind w:left="0" w:firstLine="0"/>
        <w:jc w:val="both"/>
        <w:rPr>
          <w:rFonts w:ascii="Arial" w:hAnsi="Arial" w:cs="Arial"/>
        </w:rPr>
      </w:pPr>
      <w:r w:rsidRPr="00377ECB">
        <w:rPr>
          <w:rFonts w:ascii="Arial" w:hAnsi="Arial" w:cs="Arial"/>
        </w:rPr>
        <w:t>Khan, E., 2023. The post-</w:t>
      </w:r>
      <w:proofErr w:type="spellStart"/>
      <w:r w:rsidRPr="00377ECB">
        <w:rPr>
          <w:rFonts w:ascii="Arial" w:hAnsi="Arial" w:cs="Arial"/>
        </w:rPr>
        <w:t>brexit</w:t>
      </w:r>
      <w:proofErr w:type="spellEnd"/>
      <w:r w:rsidRPr="00377ECB">
        <w:rPr>
          <w:rFonts w:ascii="Arial" w:hAnsi="Arial" w:cs="Arial"/>
        </w:rPr>
        <w:t xml:space="preserve"> paradigm: investigating the effects of foreign direct investment on economic growth in the United Kingdom. </w:t>
      </w:r>
      <w:r w:rsidRPr="00377ECB">
        <w:rPr>
          <w:rFonts w:ascii="Arial" w:hAnsi="Arial" w:cs="Arial"/>
          <w:i/>
          <w:iCs/>
        </w:rPr>
        <w:t>Archives of the Social Sciences: A Journal of Collaborative Memory</w:t>
      </w:r>
      <w:r w:rsidRPr="00377ECB">
        <w:rPr>
          <w:rFonts w:ascii="Arial" w:hAnsi="Arial" w:cs="Arial"/>
        </w:rPr>
        <w:t>, </w:t>
      </w:r>
      <w:r w:rsidRPr="00377ECB">
        <w:rPr>
          <w:rFonts w:ascii="Arial" w:hAnsi="Arial" w:cs="Arial"/>
          <w:i/>
          <w:iCs/>
        </w:rPr>
        <w:t>2</w:t>
      </w:r>
      <w:r w:rsidRPr="00377ECB">
        <w:rPr>
          <w:rFonts w:ascii="Arial" w:hAnsi="Arial" w:cs="Arial"/>
        </w:rPr>
        <w:t>(1), pp.94-110.</w:t>
      </w:r>
    </w:p>
    <w:p w14:paraId="46D2D35F"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Lall, S. 1997. Investment, Technology, And International Competitiveness. The New Globalism </w:t>
      </w:r>
      <w:proofErr w:type="gramStart"/>
      <w:r w:rsidRPr="00976200">
        <w:rPr>
          <w:rFonts w:ascii="Arial" w:hAnsi="Arial" w:cs="Arial"/>
        </w:rPr>
        <w:t>And</w:t>
      </w:r>
      <w:proofErr w:type="gramEnd"/>
      <w:r w:rsidRPr="00976200">
        <w:rPr>
          <w:rFonts w:ascii="Arial" w:hAnsi="Arial" w:cs="Arial"/>
        </w:rPr>
        <w:t xml:space="preserve"> Developing Countries, 232–259.</w:t>
      </w:r>
    </w:p>
    <w:p w14:paraId="2103B350"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Lall, S. 1997. Investment, Technology, And International Competitiveness. The New Globalism </w:t>
      </w:r>
      <w:proofErr w:type="gramStart"/>
      <w:r w:rsidRPr="00976200">
        <w:rPr>
          <w:rFonts w:ascii="Arial" w:hAnsi="Arial" w:cs="Arial"/>
        </w:rPr>
        <w:t>And</w:t>
      </w:r>
      <w:proofErr w:type="gramEnd"/>
      <w:r w:rsidRPr="00976200">
        <w:rPr>
          <w:rFonts w:ascii="Arial" w:hAnsi="Arial" w:cs="Arial"/>
        </w:rPr>
        <w:t xml:space="preserve"> Developing Countries, 232–259.</w:t>
      </w:r>
    </w:p>
    <w:p w14:paraId="2602C8B3"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lang w:val="de-DE"/>
        </w:rPr>
        <w:t xml:space="preserve">Markusen, J. R. &amp; Venables, A. J. (1999). </w:t>
      </w:r>
      <w:r w:rsidRPr="00976200">
        <w:rPr>
          <w:rFonts w:ascii="Arial" w:hAnsi="Arial" w:cs="Arial"/>
        </w:rPr>
        <w:t xml:space="preserve">Foreign Direct Investment </w:t>
      </w:r>
      <w:proofErr w:type="gramStart"/>
      <w:r w:rsidRPr="00976200">
        <w:rPr>
          <w:rFonts w:ascii="Arial" w:hAnsi="Arial" w:cs="Arial"/>
        </w:rPr>
        <w:t>As</w:t>
      </w:r>
      <w:proofErr w:type="gramEnd"/>
      <w:r w:rsidRPr="00976200">
        <w:rPr>
          <w:rFonts w:ascii="Arial" w:hAnsi="Arial" w:cs="Arial"/>
        </w:rPr>
        <w:t xml:space="preserve"> A Catalyst For Industrial Development. European Economic Review, 43, 335-356.</w:t>
      </w:r>
    </w:p>
    <w:p w14:paraId="53DA3D30"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Markusen, J. R. (1995). The Boundaries </w:t>
      </w:r>
      <w:proofErr w:type="gramStart"/>
      <w:r w:rsidRPr="00976200">
        <w:rPr>
          <w:rFonts w:ascii="Arial" w:hAnsi="Arial" w:cs="Arial"/>
        </w:rPr>
        <w:t>Of</w:t>
      </w:r>
      <w:proofErr w:type="gramEnd"/>
      <w:r w:rsidRPr="00976200">
        <w:rPr>
          <w:rFonts w:ascii="Arial" w:hAnsi="Arial" w:cs="Arial"/>
        </w:rPr>
        <w:t xml:space="preserve"> Multinational Enterprises And The Theory Of International Trade. Journal Of Economic Perspectives</w:t>
      </w:r>
      <w:proofErr w:type="gramStart"/>
      <w:r w:rsidRPr="00976200">
        <w:rPr>
          <w:rFonts w:ascii="Arial" w:hAnsi="Arial" w:cs="Arial"/>
        </w:rPr>
        <w:t>. ,</w:t>
      </w:r>
      <w:proofErr w:type="gramEnd"/>
      <w:r w:rsidRPr="00976200">
        <w:rPr>
          <w:rFonts w:ascii="Arial" w:hAnsi="Arial" w:cs="Arial"/>
        </w:rPr>
        <w:t xml:space="preserve"> 9, 169-189.</w:t>
      </w:r>
    </w:p>
    <w:p w14:paraId="766A432F"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Mateev, M. I. (2008). Determinants of Foreign Direct Investment in Central and Southeastern Europe: New Empirical Tests, 8th Global Conference on Business &amp; Economics, Italy</w:t>
      </w:r>
    </w:p>
    <w:p w14:paraId="65A05FBA"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lang w:val="de-DE"/>
        </w:rPr>
        <w:t xml:space="preserve">Morck, R. &amp; B. Yeung &amp; M. Zhao. 2008. </w:t>
      </w:r>
      <w:r w:rsidRPr="00976200">
        <w:rPr>
          <w:rFonts w:ascii="Arial" w:hAnsi="Arial" w:cs="Arial"/>
        </w:rPr>
        <w:t>Perspectives on China's outward foreign direct investment. Journal of International Business Studies. 39. 337–350. 10.1057/palgrave.jibs.8400366.</w:t>
      </w:r>
    </w:p>
    <w:p w14:paraId="548553F0"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lastRenderedPageBreak/>
        <w:t>Nhlakanipho, M. Z. (2014). A critical discussion on foreign direct investment in the multilateral trade system and development in SADC. https://core.ac.uk/download/196549147.pdf</w:t>
      </w:r>
    </w:p>
    <w:p w14:paraId="19F1F136"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Nigel Driffield, Michail </w:t>
      </w:r>
      <w:proofErr w:type="spellStart"/>
      <w:r w:rsidRPr="00976200">
        <w:rPr>
          <w:rFonts w:ascii="Arial" w:hAnsi="Arial" w:cs="Arial"/>
        </w:rPr>
        <w:t>Karoglou</w:t>
      </w:r>
      <w:proofErr w:type="spellEnd"/>
      <w:r w:rsidRPr="00976200">
        <w:rPr>
          <w:rFonts w:ascii="Arial" w:hAnsi="Arial" w:cs="Arial"/>
        </w:rPr>
        <w:t>, Brexit and Foreign Investment in the UK, Journal of the Royal Statistical Society Series A: Statistics in Society, Volume 182, Issue 2, February 2019, Pages 559–582, https://doi.org/10.1111/rssa.12417</w:t>
      </w:r>
    </w:p>
    <w:p w14:paraId="071DF1B8" w14:textId="53442DD0" w:rsidR="00ED3916" w:rsidRPr="00ED3916" w:rsidRDefault="00E46EA3" w:rsidP="00ED3916">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 xml:space="preserve">Nigel Driffield, Michail </w:t>
      </w:r>
      <w:proofErr w:type="spellStart"/>
      <w:r w:rsidRPr="00976200">
        <w:rPr>
          <w:rFonts w:ascii="Arial" w:hAnsi="Arial" w:cs="Arial"/>
        </w:rPr>
        <w:t>Karoglou</w:t>
      </w:r>
      <w:proofErr w:type="spellEnd"/>
      <w:r w:rsidRPr="00976200">
        <w:rPr>
          <w:rFonts w:ascii="Arial" w:hAnsi="Arial" w:cs="Arial"/>
        </w:rPr>
        <w:t>, Brexit and Foreign Investment in the UK, Journal of the Royal Statistical Society Series A: Statistics in Society, Volume 182, Issue 2, February 2019, Pages 559–582, https://doi.org/10.1111/rssa.12417</w:t>
      </w:r>
      <w:r w:rsidR="00ED3916">
        <w:rPr>
          <w:rFonts w:ascii="Arial" w:hAnsi="Arial" w:cs="Arial"/>
        </w:rPr>
        <w:t>.</w:t>
      </w:r>
    </w:p>
    <w:p w14:paraId="561ED152" w14:textId="295CBE49"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Office for National Statistics (ONS)</w:t>
      </w:r>
      <w:r w:rsidR="00ED3916">
        <w:rPr>
          <w:rFonts w:ascii="Arial" w:hAnsi="Arial" w:cs="Arial"/>
        </w:rPr>
        <w:t xml:space="preserve">, </w:t>
      </w:r>
      <w:r w:rsidRPr="00976200">
        <w:rPr>
          <w:rFonts w:ascii="Arial" w:hAnsi="Arial" w:cs="Arial"/>
        </w:rPr>
        <w:t>https://www.ons.gov.uk/economy/nationalaccounts/balanceofpayments/bulletins/foreigndirectinvestmentinvolvementintheuk/2020</w:t>
      </w:r>
      <w:r w:rsidR="00ED3916">
        <w:rPr>
          <w:rFonts w:ascii="Arial" w:hAnsi="Arial" w:cs="Arial"/>
        </w:rPr>
        <w:t>.</w:t>
      </w:r>
    </w:p>
    <w:p w14:paraId="7751096F" w14:textId="3FA1F1FD" w:rsidR="00E46EA3" w:rsidRPr="00D70861" w:rsidRDefault="00E46EA3" w:rsidP="00E46EA3">
      <w:pPr>
        <w:pStyle w:val="ListParagraph"/>
        <w:numPr>
          <w:ilvl w:val="0"/>
          <w:numId w:val="55"/>
        </w:numPr>
        <w:spacing w:after="160" w:line="360" w:lineRule="auto"/>
        <w:ind w:left="0" w:firstLine="0"/>
        <w:jc w:val="both"/>
        <w:rPr>
          <w:rFonts w:ascii="Arial" w:hAnsi="Arial" w:cs="Arial"/>
        </w:rPr>
      </w:pPr>
      <w:r w:rsidRPr="00D70861">
        <w:rPr>
          <w:rFonts w:ascii="Arial" w:hAnsi="Arial" w:cs="Arial"/>
        </w:rPr>
        <w:t xml:space="preserve">PWC (2016) ‘Leaving the EU: Implications for the UK Economy’, </w:t>
      </w:r>
      <w:hyperlink r:id="rId61" w:history="1">
        <w:r w:rsidR="00BF24CC" w:rsidRPr="00D70861">
          <w:rPr>
            <w:rStyle w:val="Hyperlink"/>
            <w:rFonts w:ascii="Arial" w:hAnsi="Arial" w:cs="Arial"/>
            <w:color w:val="auto"/>
            <w:u w:val="none"/>
          </w:rPr>
          <w:t>http://www.pwc.co.uk/economic-services/assets/leaving-the-eu-implications-for-the-ukeconomy.pdf</w:t>
        </w:r>
      </w:hyperlink>
    </w:p>
    <w:p w14:paraId="45DEE2D3" w14:textId="342A0F5E" w:rsidR="00BF24CC" w:rsidRPr="00976200" w:rsidRDefault="00BF24CC"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https://www.cer.eu/publications/archive/policy-brief/2022/uk-science-and-technology-after-brexit</w:t>
      </w:r>
    </w:p>
    <w:p w14:paraId="7AE3CE92"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Ruxanda, G. (2010). Foreign direct investment and its impact on the economy of the host nation. Journal of International Business Studies, 29(1), 31-48.</w:t>
      </w:r>
    </w:p>
    <w:p w14:paraId="03DB0319"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Ruxanda, G. and Muraru, A., 2010. FDI and economic growth. Evidence from simultaneous equation models. Romanian Journal of Economic Forecasting, 1(2010), pp.45-58.</w:t>
      </w:r>
    </w:p>
    <w:p w14:paraId="0412995F"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Simionescu, M. (2016). The Impact of BREXIT on the Foreign Direct Investment in the United Kingdom. Bulgarian Economic Papers.</w:t>
      </w:r>
    </w:p>
    <w:p w14:paraId="58928955"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Simionescu, M. (2017) The influence of Brexit on the foreign direct investment projects and inflows in the United Kingdom. Discussion Paper 68. Global Labor Organization, Geneva.</w:t>
      </w:r>
    </w:p>
    <w:p w14:paraId="08AB6816"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Simionescu, M., 2017. The influence of Brexit on the foreign direct investment projects and inflows in the United Kingdom.</w:t>
      </w:r>
    </w:p>
    <w:p w14:paraId="32C4BE2E"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proofErr w:type="spellStart"/>
      <w:r w:rsidRPr="00976200">
        <w:rPr>
          <w:rFonts w:ascii="Arial" w:hAnsi="Arial" w:cs="Arial"/>
        </w:rPr>
        <w:t>Spickernell</w:t>
      </w:r>
      <w:proofErr w:type="spellEnd"/>
      <w:r w:rsidRPr="00976200">
        <w:rPr>
          <w:rFonts w:ascii="Arial" w:hAnsi="Arial" w:cs="Arial"/>
        </w:rPr>
        <w:t xml:space="preserve">, S. (2014). Foreign investment into the UK is the highest in Europe and second highest in the world. </w:t>
      </w:r>
      <w:proofErr w:type="spellStart"/>
      <w:r w:rsidRPr="00976200">
        <w:rPr>
          <w:rFonts w:ascii="Arial" w:hAnsi="Arial" w:cs="Arial"/>
        </w:rPr>
        <w:t>City.A.M</w:t>
      </w:r>
      <w:proofErr w:type="spellEnd"/>
      <w:r w:rsidRPr="00976200">
        <w:rPr>
          <w:rFonts w:ascii="Arial" w:hAnsi="Arial" w:cs="Arial"/>
        </w:rPr>
        <w:t>. Retrieved from [online] [Accessed 23 July 2024]</w:t>
      </w:r>
    </w:p>
    <w:p w14:paraId="40C0A84D" w14:textId="77777777" w:rsidR="00E46EA3" w:rsidRPr="00976200" w:rsidRDefault="00E46EA3" w:rsidP="00E46EA3">
      <w:pPr>
        <w:pStyle w:val="ListParagraph"/>
        <w:numPr>
          <w:ilvl w:val="0"/>
          <w:numId w:val="55"/>
        </w:numPr>
        <w:spacing w:after="160" w:line="360" w:lineRule="auto"/>
        <w:ind w:left="0" w:firstLine="0"/>
        <w:jc w:val="both"/>
        <w:rPr>
          <w:rFonts w:ascii="Arial" w:hAnsi="Arial" w:cs="Arial"/>
        </w:rPr>
      </w:pPr>
      <w:r w:rsidRPr="00976200">
        <w:rPr>
          <w:rFonts w:ascii="Arial" w:hAnsi="Arial" w:cs="Arial"/>
        </w:rPr>
        <w:t>World Bank. (2020). Doing Business 2020. Retrieved from https://www.doingbusiness.org/en/reports/global-reports/doing-business-2020.</w:t>
      </w:r>
    </w:p>
    <w:sectPr w:rsidR="00E46EA3" w:rsidRPr="00976200" w:rsidSect="004C13E8">
      <w:footerReference w:type="default" r:id="rId62"/>
      <w:pgSz w:w="11906" w:h="16838"/>
      <w:pgMar w:top="851" w:right="1440" w:bottom="1134" w:left="1440" w:header="709" w:footer="37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7DF99A" w14:textId="77777777" w:rsidR="00A3073C" w:rsidRDefault="00A3073C" w:rsidP="007D4E14">
      <w:pPr>
        <w:spacing w:after="0" w:line="240" w:lineRule="auto"/>
      </w:pPr>
      <w:r>
        <w:separator/>
      </w:r>
    </w:p>
  </w:endnote>
  <w:endnote w:type="continuationSeparator" w:id="0">
    <w:p w14:paraId="6ECDA597" w14:textId="77777777" w:rsidR="00A3073C" w:rsidRDefault="00A3073C" w:rsidP="007D4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Narrow">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3AAE7" w14:textId="2A6865B2" w:rsidR="002A035F" w:rsidRDefault="00B63B17">
    <w:pPr>
      <w:pStyle w:val="Footer"/>
      <w:jc w:val="center"/>
    </w:pPr>
    <w:r>
      <w:fldChar w:fldCharType="begin"/>
    </w:r>
    <w:r>
      <w:instrText>PAGE   \* MERGEFORMAT</w:instrText>
    </w:r>
    <w:r>
      <w:fldChar w:fldCharType="separate"/>
    </w:r>
    <w:r>
      <w:t>1</w:t>
    </w:r>
    <w:r>
      <w:fldChar w:fldCharType="end"/>
    </w:r>
  </w:p>
  <w:p w14:paraId="11D32FFF" w14:textId="3EC4C359" w:rsidR="007D4E14" w:rsidRDefault="007D4E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362711" w14:textId="77777777" w:rsidR="00A3073C" w:rsidRDefault="00A3073C" w:rsidP="007D4E14">
      <w:pPr>
        <w:spacing w:after="0" w:line="240" w:lineRule="auto"/>
      </w:pPr>
      <w:r>
        <w:separator/>
      </w:r>
    </w:p>
  </w:footnote>
  <w:footnote w:type="continuationSeparator" w:id="0">
    <w:p w14:paraId="4897926F" w14:textId="77777777" w:rsidR="00A3073C" w:rsidRDefault="00A3073C" w:rsidP="007D4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218FD"/>
    <w:multiLevelType w:val="hybridMultilevel"/>
    <w:tmpl w:val="A0E05A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292289"/>
    <w:multiLevelType w:val="hybridMultilevel"/>
    <w:tmpl w:val="03B81FE4"/>
    <w:lvl w:ilvl="0" w:tplc="45CAC8B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32B72"/>
    <w:multiLevelType w:val="multilevel"/>
    <w:tmpl w:val="C2944F68"/>
    <w:lvl w:ilvl="0">
      <w:start w:val="1"/>
      <w:numFmt w:val="bullet"/>
      <w:lvlText w:val=""/>
      <w:lvlJc w:val="left"/>
      <w:pPr>
        <w:ind w:left="502" w:hanging="360"/>
      </w:pPr>
      <w:rPr>
        <w:rFonts w:ascii="Symbol" w:hAnsi="Symbo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D662954"/>
    <w:multiLevelType w:val="hybridMultilevel"/>
    <w:tmpl w:val="61A209EC"/>
    <w:lvl w:ilvl="0" w:tplc="FFFFFFFF">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DF9439F"/>
    <w:multiLevelType w:val="multilevel"/>
    <w:tmpl w:val="B87054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28406FF"/>
    <w:multiLevelType w:val="multilevel"/>
    <w:tmpl w:val="A830C858"/>
    <w:lvl w:ilvl="0">
      <w:start w:val="1"/>
      <w:numFmt w:val="decimal"/>
      <w:lvlText w:val="5.%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3AB4C79"/>
    <w:multiLevelType w:val="hybridMultilevel"/>
    <w:tmpl w:val="F24A96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BA5DDF"/>
    <w:multiLevelType w:val="multilevel"/>
    <w:tmpl w:val="B87054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80B13BA"/>
    <w:multiLevelType w:val="multilevel"/>
    <w:tmpl w:val="E68AE6E4"/>
    <w:lvl w:ilvl="0">
      <w:start w:val="2"/>
      <w:numFmt w:val="decimal"/>
      <w:lvlText w:val="%1"/>
      <w:lvlJc w:val="left"/>
      <w:pPr>
        <w:ind w:left="720" w:hanging="720"/>
      </w:pPr>
      <w:rPr>
        <w:rFonts w:hint="default"/>
      </w:rPr>
    </w:lvl>
    <w:lvl w:ilvl="1">
      <w:start w:val="5"/>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995629"/>
    <w:multiLevelType w:val="multilevel"/>
    <w:tmpl w:val="A27863E8"/>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1AA61A5D"/>
    <w:multiLevelType w:val="hybridMultilevel"/>
    <w:tmpl w:val="F560E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D74EEC"/>
    <w:multiLevelType w:val="hybridMultilevel"/>
    <w:tmpl w:val="E4807D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C0930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C2A2885"/>
    <w:multiLevelType w:val="hybridMultilevel"/>
    <w:tmpl w:val="6D969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9B70B3"/>
    <w:multiLevelType w:val="hybridMultilevel"/>
    <w:tmpl w:val="A1FE0856"/>
    <w:lvl w:ilvl="0" w:tplc="C1CC47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AE41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6507E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2223C0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A622B7"/>
    <w:multiLevelType w:val="multilevel"/>
    <w:tmpl w:val="A27863E8"/>
    <w:lvl w:ilvl="0">
      <w:start w:val="1"/>
      <w:numFmt w:val="decimal"/>
      <w:lvlText w:val="5.%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24DB18DB"/>
    <w:multiLevelType w:val="hybridMultilevel"/>
    <w:tmpl w:val="EF74BB7C"/>
    <w:lvl w:ilvl="0" w:tplc="09568F54">
      <w:start w:val="1"/>
      <w:numFmt w:val="decimal"/>
      <w:lvlText w:val="%1-"/>
      <w:lvlJc w:val="left"/>
      <w:pPr>
        <w:ind w:left="720" w:hanging="360"/>
      </w:pPr>
      <w:rPr>
        <w:rFonts w:ascii="Arial" w:hAnsi="Arial" w:cs="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4DB2D3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70638FC"/>
    <w:multiLevelType w:val="hybridMultilevel"/>
    <w:tmpl w:val="D6F4E3CC"/>
    <w:lvl w:ilvl="0" w:tplc="0809000B">
      <w:start w:val="1"/>
      <w:numFmt w:val="bullet"/>
      <w:lvlText w:val=""/>
      <w:lvlJc w:val="left"/>
      <w:pPr>
        <w:ind w:left="555" w:hanging="360"/>
      </w:pPr>
      <w:rPr>
        <w:rFonts w:ascii="Wingdings" w:hAnsi="Wingding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22" w15:restartNumberingAfterBreak="0">
    <w:nsid w:val="27687B50"/>
    <w:multiLevelType w:val="multilevel"/>
    <w:tmpl w:val="0850208C"/>
    <w:lvl w:ilvl="0">
      <w:start w:val="5"/>
      <w:numFmt w:val="decimal"/>
      <w:lvlText w:val="%1"/>
      <w:lvlJc w:val="left"/>
      <w:pPr>
        <w:ind w:left="525" w:hanging="525"/>
      </w:pPr>
      <w:rPr>
        <w:rFonts w:asciiTheme="majorHAnsi" w:eastAsiaTheme="majorEastAsia" w:hAnsiTheme="majorHAnsi" w:cstheme="majorBidi" w:hint="default"/>
        <w:color w:val="276E8B" w:themeColor="accent1" w:themeShade="BF"/>
        <w:sz w:val="40"/>
      </w:rPr>
    </w:lvl>
    <w:lvl w:ilvl="1">
      <w:start w:val="2"/>
      <w:numFmt w:val="decimal"/>
      <w:lvlText w:val="%1.%2"/>
      <w:lvlJc w:val="left"/>
      <w:pPr>
        <w:ind w:left="885" w:hanging="525"/>
      </w:pPr>
      <w:rPr>
        <w:rFonts w:asciiTheme="majorHAnsi" w:eastAsiaTheme="majorEastAsia" w:hAnsiTheme="majorHAnsi" w:cstheme="majorBidi" w:hint="default"/>
        <w:color w:val="276E8B" w:themeColor="accent1" w:themeShade="BF"/>
        <w:sz w:val="40"/>
      </w:rPr>
    </w:lvl>
    <w:lvl w:ilvl="2">
      <w:start w:val="1"/>
      <w:numFmt w:val="decimal"/>
      <w:lvlText w:val="%1.%2.%3"/>
      <w:lvlJc w:val="left"/>
      <w:pPr>
        <w:ind w:left="1440" w:hanging="720"/>
      </w:pPr>
      <w:rPr>
        <w:rFonts w:asciiTheme="majorHAnsi" w:eastAsiaTheme="majorEastAsia" w:hAnsiTheme="majorHAnsi" w:cstheme="majorBidi" w:hint="default"/>
        <w:color w:val="276E8B" w:themeColor="accent1" w:themeShade="BF"/>
        <w:sz w:val="40"/>
      </w:rPr>
    </w:lvl>
    <w:lvl w:ilvl="3">
      <w:start w:val="1"/>
      <w:numFmt w:val="decimal"/>
      <w:lvlText w:val="%1.%2.%3.%4"/>
      <w:lvlJc w:val="left"/>
      <w:pPr>
        <w:ind w:left="2160" w:hanging="1080"/>
      </w:pPr>
      <w:rPr>
        <w:rFonts w:asciiTheme="majorHAnsi" w:eastAsiaTheme="majorEastAsia" w:hAnsiTheme="majorHAnsi" w:cstheme="majorBidi" w:hint="default"/>
        <w:color w:val="276E8B" w:themeColor="accent1" w:themeShade="BF"/>
        <w:sz w:val="40"/>
      </w:rPr>
    </w:lvl>
    <w:lvl w:ilvl="4">
      <w:start w:val="1"/>
      <w:numFmt w:val="decimal"/>
      <w:lvlText w:val="%1.%2.%3.%4.%5"/>
      <w:lvlJc w:val="left"/>
      <w:pPr>
        <w:ind w:left="2520" w:hanging="1080"/>
      </w:pPr>
      <w:rPr>
        <w:rFonts w:asciiTheme="majorHAnsi" w:eastAsiaTheme="majorEastAsia" w:hAnsiTheme="majorHAnsi" w:cstheme="majorBidi" w:hint="default"/>
        <w:color w:val="276E8B" w:themeColor="accent1" w:themeShade="BF"/>
        <w:sz w:val="40"/>
      </w:rPr>
    </w:lvl>
    <w:lvl w:ilvl="5">
      <w:start w:val="1"/>
      <w:numFmt w:val="decimal"/>
      <w:lvlText w:val="%1.%2.%3.%4.%5.%6"/>
      <w:lvlJc w:val="left"/>
      <w:pPr>
        <w:ind w:left="3240" w:hanging="1440"/>
      </w:pPr>
      <w:rPr>
        <w:rFonts w:asciiTheme="majorHAnsi" w:eastAsiaTheme="majorEastAsia" w:hAnsiTheme="majorHAnsi" w:cstheme="majorBidi" w:hint="default"/>
        <w:color w:val="276E8B" w:themeColor="accent1" w:themeShade="BF"/>
        <w:sz w:val="40"/>
      </w:rPr>
    </w:lvl>
    <w:lvl w:ilvl="6">
      <w:start w:val="1"/>
      <w:numFmt w:val="decimal"/>
      <w:lvlText w:val="%1.%2.%3.%4.%5.%6.%7"/>
      <w:lvlJc w:val="left"/>
      <w:pPr>
        <w:ind w:left="3600" w:hanging="1440"/>
      </w:pPr>
      <w:rPr>
        <w:rFonts w:asciiTheme="majorHAnsi" w:eastAsiaTheme="majorEastAsia" w:hAnsiTheme="majorHAnsi" w:cstheme="majorBidi" w:hint="default"/>
        <w:color w:val="276E8B" w:themeColor="accent1" w:themeShade="BF"/>
        <w:sz w:val="40"/>
      </w:rPr>
    </w:lvl>
    <w:lvl w:ilvl="7">
      <w:start w:val="1"/>
      <w:numFmt w:val="decimal"/>
      <w:lvlText w:val="%1.%2.%3.%4.%5.%6.%7.%8"/>
      <w:lvlJc w:val="left"/>
      <w:pPr>
        <w:ind w:left="4320" w:hanging="1800"/>
      </w:pPr>
      <w:rPr>
        <w:rFonts w:asciiTheme="majorHAnsi" w:eastAsiaTheme="majorEastAsia" w:hAnsiTheme="majorHAnsi" w:cstheme="majorBidi" w:hint="default"/>
        <w:color w:val="276E8B" w:themeColor="accent1" w:themeShade="BF"/>
        <w:sz w:val="40"/>
      </w:rPr>
    </w:lvl>
    <w:lvl w:ilvl="8">
      <w:start w:val="1"/>
      <w:numFmt w:val="decimal"/>
      <w:lvlText w:val="%1.%2.%3.%4.%5.%6.%7.%8.%9"/>
      <w:lvlJc w:val="left"/>
      <w:pPr>
        <w:ind w:left="4680" w:hanging="1800"/>
      </w:pPr>
      <w:rPr>
        <w:rFonts w:asciiTheme="majorHAnsi" w:eastAsiaTheme="majorEastAsia" w:hAnsiTheme="majorHAnsi" w:cstheme="majorBidi" w:hint="default"/>
        <w:color w:val="276E8B" w:themeColor="accent1" w:themeShade="BF"/>
        <w:sz w:val="40"/>
      </w:rPr>
    </w:lvl>
  </w:abstractNum>
  <w:abstractNum w:abstractNumId="23" w15:restartNumberingAfterBreak="0">
    <w:nsid w:val="28F20D90"/>
    <w:multiLevelType w:val="hybridMultilevel"/>
    <w:tmpl w:val="9904C8C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CDE7E89"/>
    <w:multiLevelType w:val="multilevel"/>
    <w:tmpl w:val="5C5E006E"/>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2EAB1340"/>
    <w:multiLevelType w:val="hybridMultilevel"/>
    <w:tmpl w:val="64928A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30F67FD3"/>
    <w:multiLevelType w:val="hybridMultilevel"/>
    <w:tmpl w:val="744C20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38B1507"/>
    <w:multiLevelType w:val="multilevel"/>
    <w:tmpl w:val="8F0C33B6"/>
    <w:lvl w:ilvl="0">
      <w:start w:val="1"/>
      <w:numFmt w:val="decimal"/>
      <w:lvlText w:val="%1."/>
      <w:lvlJc w:val="left"/>
      <w:pPr>
        <w:ind w:left="720" w:hanging="360"/>
      </w:pPr>
    </w:lvl>
    <w:lvl w:ilvl="1">
      <w:start w:val="1"/>
      <w:numFmt w:val="decimal"/>
      <w:isLgl/>
      <w:lvlText w:val="%1.%2"/>
      <w:lvlJc w:val="left"/>
      <w:pPr>
        <w:ind w:left="1570" w:hanging="720"/>
      </w:pPr>
      <w:rPr>
        <w:rFonts w:ascii="Arial Black" w:hAnsi="Arial Black" w:hint="default"/>
        <w:b/>
        <w:bCs/>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37D77198"/>
    <w:multiLevelType w:val="hybridMultilevel"/>
    <w:tmpl w:val="60BEE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832074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BDC14C2"/>
    <w:multiLevelType w:val="hybridMultilevel"/>
    <w:tmpl w:val="35AED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F73AFA"/>
    <w:multiLevelType w:val="hybridMultilevel"/>
    <w:tmpl w:val="6D969B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D8722B2"/>
    <w:multiLevelType w:val="hybridMultilevel"/>
    <w:tmpl w:val="72DAA75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3E603734"/>
    <w:multiLevelType w:val="hybridMultilevel"/>
    <w:tmpl w:val="700E384A"/>
    <w:lvl w:ilvl="0" w:tplc="B928D1E8">
      <w:start w:val="2"/>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1290181"/>
    <w:multiLevelType w:val="multilevel"/>
    <w:tmpl w:val="C7BAB95C"/>
    <w:lvl w:ilvl="0">
      <w:start w:val="1"/>
      <w:numFmt w:val="decimal"/>
      <w:lvlText w:val="%1."/>
      <w:lvlJc w:val="left"/>
      <w:pPr>
        <w:ind w:left="720" w:hanging="360"/>
      </w:p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435836E3"/>
    <w:multiLevelType w:val="multilevel"/>
    <w:tmpl w:val="D2C08F3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6" w15:restartNumberingAfterBreak="0">
    <w:nsid w:val="47CB7EC0"/>
    <w:multiLevelType w:val="hybridMultilevel"/>
    <w:tmpl w:val="10F28E86"/>
    <w:lvl w:ilvl="0" w:tplc="B928D1E8">
      <w:start w:val="2"/>
      <w:numFmt w:val="decimal"/>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7" w15:restartNumberingAfterBreak="0">
    <w:nsid w:val="4927156D"/>
    <w:multiLevelType w:val="hybridMultilevel"/>
    <w:tmpl w:val="79AE7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4411DB"/>
    <w:multiLevelType w:val="hybridMultilevel"/>
    <w:tmpl w:val="35348A7A"/>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E920508"/>
    <w:multiLevelType w:val="hybridMultilevel"/>
    <w:tmpl w:val="DA0A4A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5F560E9"/>
    <w:multiLevelType w:val="multilevel"/>
    <w:tmpl w:val="10F2876C"/>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1" w15:restartNumberingAfterBreak="0">
    <w:nsid w:val="57831553"/>
    <w:multiLevelType w:val="hybridMultilevel"/>
    <w:tmpl w:val="D60C4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DC6F26"/>
    <w:multiLevelType w:val="multilevel"/>
    <w:tmpl w:val="9448FB18"/>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61A413F9"/>
    <w:multiLevelType w:val="hybridMultilevel"/>
    <w:tmpl w:val="B3A2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3BE3277"/>
    <w:multiLevelType w:val="multilevel"/>
    <w:tmpl w:val="B87054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64E864F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5793098"/>
    <w:multiLevelType w:val="multilevel"/>
    <w:tmpl w:val="B87054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66157CE4"/>
    <w:multiLevelType w:val="hybridMultilevel"/>
    <w:tmpl w:val="2774F33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8" w15:restartNumberingAfterBreak="0">
    <w:nsid w:val="66E76BBE"/>
    <w:multiLevelType w:val="multilevel"/>
    <w:tmpl w:val="5D5E475A"/>
    <w:lvl w:ilvl="0">
      <w:start w:val="1"/>
      <w:numFmt w:val="upperRoman"/>
      <w:lvlText w:val="%1."/>
      <w:lvlJc w:val="righ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9" w15:restartNumberingAfterBreak="0">
    <w:nsid w:val="687A705D"/>
    <w:multiLevelType w:val="hybridMultilevel"/>
    <w:tmpl w:val="D6C60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07B78A1"/>
    <w:multiLevelType w:val="multilevel"/>
    <w:tmpl w:val="6CD22E7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51" w15:restartNumberingAfterBreak="0">
    <w:nsid w:val="70D2079D"/>
    <w:multiLevelType w:val="multilevel"/>
    <w:tmpl w:val="B8705494"/>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71D245F9"/>
    <w:multiLevelType w:val="hybridMultilevel"/>
    <w:tmpl w:val="A6BAC39C"/>
    <w:lvl w:ilvl="0" w:tplc="C90EA900">
      <w:start w:val="1"/>
      <w:numFmt w:val="upperLetter"/>
      <w:lvlText w:val="%1."/>
      <w:lvlJc w:val="left"/>
      <w:pPr>
        <w:ind w:left="465" w:hanging="360"/>
      </w:pPr>
      <w:rPr>
        <w:rFonts w:hint="default"/>
      </w:rPr>
    </w:lvl>
    <w:lvl w:ilvl="1" w:tplc="F3246998">
      <w:start w:val="1"/>
      <w:numFmt w:val="decimal"/>
      <w:lvlText w:val="%2."/>
      <w:lvlJc w:val="left"/>
      <w:pPr>
        <w:ind w:left="1200" w:hanging="375"/>
      </w:pPr>
      <w:rPr>
        <w:rFonts w:hint="default"/>
      </w:rPr>
    </w:lvl>
    <w:lvl w:ilvl="2" w:tplc="0809001B" w:tentative="1">
      <w:start w:val="1"/>
      <w:numFmt w:val="lowerRoman"/>
      <w:lvlText w:val="%3."/>
      <w:lvlJc w:val="right"/>
      <w:pPr>
        <w:ind w:left="1905" w:hanging="180"/>
      </w:pPr>
    </w:lvl>
    <w:lvl w:ilvl="3" w:tplc="0809000F" w:tentative="1">
      <w:start w:val="1"/>
      <w:numFmt w:val="decimal"/>
      <w:lvlText w:val="%4."/>
      <w:lvlJc w:val="left"/>
      <w:pPr>
        <w:ind w:left="2625" w:hanging="360"/>
      </w:pPr>
    </w:lvl>
    <w:lvl w:ilvl="4" w:tplc="08090019" w:tentative="1">
      <w:start w:val="1"/>
      <w:numFmt w:val="lowerLetter"/>
      <w:lvlText w:val="%5."/>
      <w:lvlJc w:val="left"/>
      <w:pPr>
        <w:ind w:left="3345" w:hanging="360"/>
      </w:pPr>
    </w:lvl>
    <w:lvl w:ilvl="5" w:tplc="0809001B" w:tentative="1">
      <w:start w:val="1"/>
      <w:numFmt w:val="lowerRoman"/>
      <w:lvlText w:val="%6."/>
      <w:lvlJc w:val="right"/>
      <w:pPr>
        <w:ind w:left="4065" w:hanging="180"/>
      </w:pPr>
    </w:lvl>
    <w:lvl w:ilvl="6" w:tplc="0809000F" w:tentative="1">
      <w:start w:val="1"/>
      <w:numFmt w:val="decimal"/>
      <w:lvlText w:val="%7."/>
      <w:lvlJc w:val="left"/>
      <w:pPr>
        <w:ind w:left="4785" w:hanging="360"/>
      </w:pPr>
    </w:lvl>
    <w:lvl w:ilvl="7" w:tplc="08090019" w:tentative="1">
      <w:start w:val="1"/>
      <w:numFmt w:val="lowerLetter"/>
      <w:lvlText w:val="%8."/>
      <w:lvlJc w:val="left"/>
      <w:pPr>
        <w:ind w:left="5505" w:hanging="360"/>
      </w:pPr>
    </w:lvl>
    <w:lvl w:ilvl="8" w:tplc="0809001B" w:tentative="1">
      <w:start w:val="1"/>
      <w:numFmt w:val="lowerRoman"/>
      <w:lvlText w:val="%9."/>
      <w:lvlJc w:val="right"/>
      <w:pPr>
        <w:ind w:left="6225" w:hanging="180"/>
      </w:pPr>
    </w:lvl>
  </w:abstractNum>
  <w:abstractNum w:abstractNumId="53" w15:restartNumberingAfterBreak="0">
    <w:nsid w:val="72660638"/>
    <w:multiLevelType w:val="hybridMultilevel"/>
    <w:tmpl w:val="84E24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8A7015C"/>
    <w:multiLevelType w:val="hybridMultilevel"/>
    <w:tmpl w:val="CB8C4462"/>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4144A2"/>
    <w:multiLevelType w:val="multilevel"/>
    <w:tmpl w:val="A830C858"/>
    <w:lvl w:ilvl="0">
      <w:start w:val="1"/>
      <w:numFmt w:val="decimal"/>
      <w:lvlText w:val="5.%1"/>
      <w:lvlJc w:val="left"/>
      <w:pPr>
        <w:ind w:left="360" w:hanging="360"/>
      </w:pPr>
      <w:rPr>
        <w:rFonts w:hint="default"/>
        <w:b/>
        <w:bCs/>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decimal"/>
      <w:lvlText w:val="5%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941796249">
    <w:abstractNumId w:val="13"/>
  </w:num>
  <w:num w:numId="2" w16cid:durableId="1466002323">
    <w:abstractNumId w:val="31"/>
  </w:num>
  <w:num w:numId="3" w16cid:durableId="931164137">
    <w:abstractNumId w:val="3"/>
  </w:num>
  <w:num w:numId="4" w16cid:durableId="1535145157">
    <w:abstractNumId w:val="53"/>
  </w:num>
  <w:num w:numId="5" w16cid:durableId="100420140">
    <w:abstractNumId w:val="39"/>
  </w:num>
  <w:num w:numId="6" w16cid:durableId="684479025">
    <w:abstractNumId w:val="52"/>
  </w:num>
  <w:num w:numId="7" w16cid:durableId="1248150371">
    <w:abstractNumId w:val="21"/>
  </w:num>
  <w:num w:numId="8" w16cid:durableId="213395155">
    <w:abstractNumId w:val="25"/>
  </w:num>
  <w:num w:numId="9" w16cid:durableId="901331568">
    <w:abstractNumId w:val="48"/>
  </w:num>
  <w:num w:numId="10" w16cid:durableId="1254632204">
    <w:abstractNumId w:val="14"/>
  </w:num>
  <w:num w:numId="11" w16cid:durableId="926423499">
    <w:abstractNumId w:val="26"/>
  </w:num>
  <w:num w:numId="12" w16cid:durableId="1475755317">
    <w:abstractNumId w:val="8"/>
  </w:num>
  <w:num w:numId="13" w16cid:durableId="689572377">
    <w:abstractNumId w:val="6"/>
  </w:num>
  <w:num w:numId="14" w16cid:durableId="38016466">
    <w:abstractNumId w:val="35"/>
  </w:num>
  <w:num w:numId="15" w16cid:durableId="860167339">
    <w:abstractNumId w:val="44"/>
  </w:num>
  <w:num w:numId="16" w16cid:durableId="1474369941">
    <w:abstractNumId w:val="11"/>
  </w:num>
  <w:num w:numId="17" w16cid:durableId="241566113">
    <w:abstractNumId w:val="22"/>
  </w:num>
  <w:num w:numId="18" w16cid:durableId="177432208">
    <w:abstractNumId w:val="12"/>
  </w:num>
  <w:num w:numId="19" w16cid:durableId="2077242521">
    <w:abstractNumId w:val="9"/>
  </w:num>
  <w:num w:numId="20" w16cid:durableId="1002508120">
    <w:abstractNumId w:val="24"/>
  </w:num>
  <w:num w:numId="21" w16cid:durableId="889653572">
    <w:abstractNumId w:val="38"/>
  </w:num>
  <w:num w:numId="22" w16cid:durableId="1072386706">
    <w:abstractNumId w:val="2"/>
  </w:num>
  <w:num w:numId="23" w16cid:durableId="276064751">
    <w:abstractNumId w:val="23"/>
  </w:num>
  <w:num w:numId="24" w16cid:durableId="839854382">
    <w:abstractNumId w:val="27"/>
  </w:num>
  <w:num w:numId="25" w16cid:durableId="1486583916">
    <w:abstractNumId w:val="18"/>
  </w:num>
  <w:num w:numId="26" w16cid:durableId="1999962423">
    <w:abstractNumId w:val="46"/>
  </w:num>
  <w:num w:numId="27" w16cid:durableId="1429547484">
    <w:abstractNumId w:val="7"/>
  </w:num>
  <w:num w:numId="28" w16cid:durableId="678852859">
    <w:abstractNumId w:val="5"/>
  </w:num>
  <w:num w:numId="29" w16cid:durableId="936866613">
    <w:abstractNumId w:val="55"/>
  </w:num>
  <w:num w:numId="30" w16cid:durableId="889995667">
    <w:abstractNumId w:val="51"/>
  </w:num>
  <w:num w:numId="31" w16cid:durableId="997228365">
    <w:abstractNumId w:val="4"/>
  </w:num>
  <w:num w:numId="32" w16cid:durableId="1105687247">
    <w:abstractNumId w:val="42"/>
  </w:num>
  <w:num w:numId="33" w16cid:durableId="1866206745">
    <w:abstractNumId w:val="10"/>
  </w:num>
  <w:num w:numId="34" w16cid:durableId="584804662">
    <w:abstractNumId w:val="40"/>
  </w:num>
  <w:num w:numId="35" w16cid:durableId="664941195">
    <w:abstractNumId w:val="32"/>
  </w:num>
  <w:num w:numId="36" w16cid:durableId="462188200">
    <w:abstractNumId w:val="47"/>
  </w:num>
  <w:num w:numId="37" w16cid:durableId="67970778">
    <w:abstractNumId w:val="17"/>
  </w:num>
  <w:num w:numId="38" w16cid:durableId="1453591661">
    <w:abstractNumId w:val="45"/>
  </w:num>
  <w:num w:numId="39" w16cid:durableId="755438753">
    <w:abstractNumId w:val="50"/>
  </w:num>
  <w:num w:numId="40" w16cid:durableId="608514925">
    <w:abstractNumId w:val="1"/>
  </w:num>
  <w:num w:numId="41" w16cid:durableId="67460931">
    <w:abstractNumId w:val="37"/>
  </w:num>
  <w:num w:numId="42" w16cid:durableId="236981890">
    <w:abstractNumId w:val="28"/>
  </w:num>
  <w:num w:numId="43" w16cid:durableId="234781982">
    <w:abstractNumId w:val="29"/>
  </w:num>
  <w:num w:numId="44" w16cid:durableId="1341467714">
    <w:abstractNumId w:val="15"/>
  </w:num>
  <w:num w:numId="45" w16cid:durableId="2124884336">
    <w:abstractNumId w:val="41"/>
  </w:num>
  <w:num w:numId="46" w16cid:durableId="1142892828">
    <w:abstractNumId w:val="43"/>
  </w:num>
  <w:num w:numId="47" w16cid:durableId="396126890">
    <w:abstractNumId w:val="30"/>
  </w:num>
  <w:num w:numId="48" w16cid:durableId="198275544">
    <w:abstractNumId w:val="33"/>
  </w:num>
  <w:num w:numId="49" w16cid:durableId="925529686">
    <w:abstractNumId w:val="19"/>
  </w:num>
  <w:num w:numId="50" w16cid:durableId="1638024139">
    <w:abstractNumId w:val="36"/>
  </w:num>
  <w:num w:numId="51" w16cid:durableId="1050377801">
    <w:abstractNumId w:val="0"/>
  </w:num>
  <w:num w:numId="52" w16cid:durableId="598565661">
    <w:abstractNumId w:val="20"/>
  </w:num>
  <w:num w:numId="53" w16cid:durableId="1689983506">
    <w:abstractNumId w:val="49"/>
  </w:num>
  <w:num w:numId="54" w16cid:durableId="1299607336">
    <w:abstractNumId w:val="16"/>
  </w:num>
  <w:num w:numId="55" w16cid:durableId="1800298048">
    <w:abstractNumId w:val="54"/>
  </w:num>
  <w:num w:numId="56" w16cid:durableId="105855593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32D"/>
    <w:rsid w:val="00011727"/>
    <w:rsid w:val="00035D15"/>
    <w:rsid w:val="00077736"/>
    <w:rsid w:val="00082E25"/>
    <w:rsid w:val="00083B6C"/>
    <w:rsid w:val="000B0043"/>
    <w:rsid w:val="000C06A6"/>
    <w:rsid w:val="000C59D1"/>
    <w:rsid w:val="000D7E53"/>
    <w:rsid w:val="000E3D3E"/>
    <w:rsid w:val="000F1DEE"/>
    <w:rsid w:val="00105A1C"/>
    <w:rsid w:val="0010613E"/>
    <w:rsid w:val="001270AF"/>
    <w:rsid w:val="001279A0"/>
    <w:rsid w:val="00127D43"/>
    <w:rsid w:val="00130C1F"/>
    <w:rsid w:val="001353A5"/>
    <w:rsid w:val="0016333C"/>
    <w:rsid w:val="00163D53"/>
    <w:rsid w:val="0018149D"/>
    <w:rsid w:val="001825D0"/>
    <w:rsid w:val="0019044C"/>
    <w:rsid w:val="001A6752"/>
    <w:rsid w:val="001B3596"/>
    <w:rsid w:val="001C5FC9"/>
    <w:rsid w:val="001C79B1"/>
    <w:rsid w:val="001D5456"/>
    <w:rsid w:val="001E3406"/>
    <w:rsid w:val="001F02F5"/>
    <w:rsid w:val="001F5E63"/>
    <w:rsid w:val="00204480"/>
    <w:rsid w:val="0020692D"/>
    <w:rsid w:val="002150C1"/>
    <w:rsid w:val="002163F8"/>
    <w:rsid w:val="002233BD"/>
    <w:rsid w:val="0024148C"/>
    <w:rsid w:val="00260344"/>
    <w:rsid w:val="002608AF"/>
    <w:rsid w:val="002836D7"/>
    <w:rsid w:val="002A035F"/>
    <w:rsid w:val="002A7202"/>
    <w:rsid w:val="002B08F4"/>
    <w:rsid w:val="002C136A"/>
    <w:rsid w:val="002D3AC8"/>
    <w:rsid w:val="002E2CDF"/>
    <w:rsid w:val="002E5E43"/>
    <w:rsid w:val="002E690B"/>
    <w:rsid w:val="002E707B"/>
    <w:rsid w:val="002E7A84"/>
    <w:rsid w:val="002F13D3"/>
    <w:rsid w:val="002F20C2"/>
    <w:rsid w:val="002F73F0"/>
    <w:rsid w:val="00303FD1"/>
    <w:rsid w:val="00305917"/>
    <w:rsid w:val="00313F25"/>
    <w:rsid w:val="00317BCF"/>
    <w:rsid w:val="0032032D"/>
    <w:rsid w:val="00321E92"/>
    <w:rsid w:val="003551AB"/>
    <w:rsid w:val="0036485C"/>
    <w:rsid w:val="00377ECB"/>
    <w:rsid w:val="00380A7D"/>
    <w:rsid w:val="00382A74"/>
    <w:rsid w:val="00386A5A"/>
    <w:rsid w:val="003A6491"/>
    <w:rsid w:val="003B3033"/>
    <w:rsid w:val="003E1181"/>
    <w:rsid w:val="003E764A"/>
    <w:rsid w:val="003F49C3"/>
    <w:rsid w:val="003F68BF"/>
    <w:rsid w:val="004117AD"/>
    <w:rsid w:val="00415B7E"/>
    <w:rsid w:val="004233BE"/>
    <w:rsid w:val="00430FD7"/>
    <w:rsid w:val="00431BFA"/>
    <w:rsid w:val="00433E60"/>
    <w:rsid w:val="00437A21"/>
    <w:rsid w:val="00442765"/>
    <w:rsid w:val="0044787B"/>
    <w:rsid w:val="0045084C"/>
    <w:rsid w:val="004519CD"/>
    <w:rsid w:val="00454DD8"/>
    <w:rsid w:val="0047011D"/>
    <w:rsid w:val="0047070F"/>
    <w:rsid w:val="00475D42"/>
    <w:rsid w:val="00477B5B"/>
    <w:rsid w:val="00491A3E"/>
    <w:rsid w:val="004968AB"/>
    <w:rsid w:val="004A3C51"/>
    <w:rsid w:val="004A73C1"/>
    <w:rsid w:val="004B06E9"/>
    <w:rsid w:val="004C13E8"/>
    <w:rsid w:val="004D6F6C"/>
    <w:rsid w:val="004E627B"/>
    <w:rsid w:val="004F31D5"/>
    <w:rsid w:val="004F3AF2"/>
    <w:rsid w:val="00501FE4"/>
    <w:rsid w:val="00502385"/>
    <w:rsid w:val="00503C14"/>
    <w:rsid w:val="005124ED"/>
    <w:rsid w:val="00526F60"/>
    <w:rsid w:val="00545EDD"/>
    <w:rsid w:val="00581BF4"/>
    <w:rsid w:val="0059145A"/>
    <w:rsid w:val="00595271"/>
    <w:rsid w:val="005B18F2"/>
    <w:rsid w:val="005B2149"/>
    <w:rsid w:val="005D0DF6"/>
    <w:rsid w:val="005D7BAD"/>
    <w:rsid w:val="005E1029"/>
    <w:rsid w:val="0060532E"/>
    <w:rsid w:val="006053DE"/>
    <w:rsid w:val="00614F78"/>
    <w:rsid w:val="00643808"/>
    <w:rsid w:val="00644093"/>
    <w:rsid w:val="00646CBB"/>
    <w:rsid w:val="00660E61"/>
    <w:rsid w:val="006662A2"/>
    <w:rsid w:val="00676E71"/>
    <w:rsid w:val="006804DC"/>
    <w:rsid w:val="00691E95"/>
    <w:rsid w:val="0069578A"/>
    <w:rsid w:val="006A16C1"/>
    <w:rsid w:val="006A5B39"/>
    <w:rsid w:val="006B0149"/>
    <w:rsid w:val="006B431D"/>
    <w:rsid w:val="006B671E"/>
    <w:rsid w:val="006C3437"/>
    <w:rsid w:val="006C497A"/>
    <w:rsid w:val="006E4441"/>
    <w:rsid w:val="006E66F2"/>
    <w:rsid w:val="006F48F4"/>
    <w:rsid w:val="007045E2"/>
    <w:rsid w:val="00713DAD"/>
    <w:rsid w:val="0072374D"/>
    <w:rsid w:val="00733034"/>
    <w:rsid w:val="00740D35"/>
    <w:rsid w:val="00741FAB"/>
    <w:rsid w:val="0074690E"/>
    <w:rsid w:val="00766D90"/>
    <w:rsid w:val="00776556"/>
    <w:rsid w:val="007765B8"/>
    <w:rsid w:val="00781D33"/>
    <w:rsid w:val="007D1085"/>
    <w:rsid w:val="007D4188"/>
    <w:rsid w:val="007D4E14"/>
    <w:rsid w:val="007E75AE"/>
    <w:rsid w:val="007F3FA3"/>
    <w:rsid w:val="007F6D3F"/>
    <w:rsid w:val="00804A87"/>
    <w:rsid w:val="008058BA"/>
    <w:rsid w:val="008075F8"/>
    <w:rsid w:val="00827A02"/>
    <w:rsid w:val="00831FB7"/>
    <w:rsid w:val="00837403"/>
    <w:rsid w:val="00840B7F"/>
    <w:rsid w:val="00842DCD"/>
    <w:rsid w:val="00846B15"/>
    <w:rsid w:val="00860AC6"/>
    <w:rsid w:val="00880023"/>
    <w:rsid w:val="00881E40"/>
    <w:rsid w:val="00890FEF"/>
    <w:rsid w:val="008A2625"/>
    <w:rsid w:val="008A67CA"/>
    <w:rsid w:val="008B6CAE"/>
    <w:rsid w:val="008C1362"/>
    <w:rsid w:val="008C7B52"/>
    <w:rsid w:val="008D0B8F"/>
    <w:rsid w:val="008D16E8"/>
    <w:rsid w:val="008D2D22"/>
    <w:rsid w:val="008E168C"/>
    <w:rsid w:val="00915B3A"/>
    <w:rsid w:val="0092745F"/>
    <w:rsid w:val="009275DA"/>
    <w:rsid w:val="009309EB"/>
    <w:rsid w:val="00930F3F"/>
    <w:rsid w:val="009424E2"/>
    <w:rsid w:val="0094750D"/>
    <w:rsid w:val="009545E1"/>
    <w:rsid w:val="00961C5E"/>
    <w:rsid w:val="009643D1"/>
    <w:rsid w:val="009647F8"/>
    <w:rsid w:val="00976200"/>
    <w:rsid w:val="0099132E"/>
    <w:rsid w:val="00994857"/>
    <w:rsid w:val="00994D7E"/>
    <w:rsid w:val="009A1733"/>
    <w:rsid w:val="009A1DF4"/>
    <w:rsid w:val="009C52D2"/>
    <w:rsid w:val="009D21FE"/>
    <w:rsid w:val="009D3A77"/>
    <w:rsid w:val="009F1A70"/>
    <w:rsid w:val="009F26BC"/>
    <w:rsid w:val="00A009A0"/>
    <w:rsid w:val="00A072DF"/>
    <w:rsid w:val="00A07CA2"/>
    <w:rsid w:val="00A1034C"/>
    <w:rsid w:val="00A141FA"/>
    <w:rsid w:val="00A3073C"/>
    <w:rsid w:val="00A35D98"/>
    <w:rsid w:val="00A61DB1"/>
    <w:rsid w:val="00A704B7"/>
    <w:rsid w:val="00A75559"/>
    <w:rsid w:val="00A8738E"/>
    <w:rsid w:val="00A915F4"/>
    <w:rsid w:val="00AB7C3A"/>
    <w:rsid w:val="00AC260F"/>
    <w:rsid w:val="00AE0F20"/>
    <w:rsid w:val="00B1597B"/>
    <w:rsid w:val="00B16187"/>
    <w:rsid w:val="00B16783"/>
    <w:rsid w:val="00B4014F"/>
    <w:rsid w:val="00B438E3"/>
    <w:rsid w:val="00B51790"/>
    <w:rsid w:val="00B6380F"/>
    <w:rsid w:val="00B63B17"/>
    <w:rsid w:val="00B648DD"/>
    <w:rsid w:val="00B65CDC"/>
    <w:rsid w:val="00B66179"/>
    <w:rsid w:val="00B67A57"/>
    <w:rsid w:val="00B67C8A"/>
    <w:rsid w:val="00B80C0D"/>
    <w:rsid w:val="00B82345"/>
    <w:rsid w:val="00B90250"/>
    <w:rsid w:val="00B907C2"/>
    <w:rsid w:val="00B93891"/>
    <w:rsid w:val="00BB182E"/>
    <w:rsid w:val="00BB3145"/>
    <w:rsid w:val="00BB748D"/>
    <w:rsid w:val="00BB78D8"/>
    <w:rsid w:val="00BC5C82"/>
    <w:rsid w:val="00BE222C"/>
    <w:rsid w:val="00BE55F8"/>
    <w:rsid w:val="00BF0083"/>
    <w:rsid w:val="00BF24CC"/>
    <w:rsid w:val="00BF432F"/>
    <w:rsid w:val="00C00B2A"/>
    <w:rsid w:val="00C01932"/>
    <w:rsid w:val="00C01CDF"/>
    <w:rsid w:val="00C10657"/>
    <w:rsid w:val="00C13730"/>
    <w:rsid w:val="00C2494D"/>
    <w:rsid w:val="00C26D98"/>
    <w:rsid w:val="00C30705"/>
    <w:rsid w:val="00C36DB2"/>
    <w:rsid w:val="00C667F1"/>
    <w:rsid w:val="00C750B1"/>
    <w:rsid w:val="00C75C62"/>
    <w:rsid w:val="00C83E82"/>
    <w:rsid w:val="00C87318"/>
    <w:rsid w:val="00CA52E6"/>
    <w:rsid w:val="00CA6926"/>
    <w:rsid w:val="00CD0082"/>
    <w:rsid w:val="00CE183C"/>
    <w:rsid w:val="00CE2452"/>
    <w:rsid w:val="00CE2873"/>
    <w:rsid w:val="00CF159F"/>
    <w:rsid w:val="00D11768"/>
    <w:rsid w:val="00D21360"/>
    <w:rsid w:val="00D26D45"/>
    <w:rsid w:val="00D47A50"/>
    <w:rsid w:val="00D47A6A"/>
    <w:rsid w:val="00D53F0F"/>
    <w:rsid w:val="00D65B67"/>
    <w:rsid w:val="00D701F2"/>
    <w:rsid w:val="00D70583"/>
    <w:rsid w:val="00D70861"/>
    <w:rsid w:val="00D80764"/>
    <w:rsid w:val="00D8176D"/>
    <w:rsid w:val="00D83224"/>
    <w:rsid w:val="00D84748"/>
    <w:rsid w:val="00D92724"/>
    <w:rsid w:val="00D9708D"/>
    <w:rsid w:val="00DB196A"/>
    <w:rsid w:val="00DB33A6"/>
    <w:rsid w:val="00DB350D"/>
    <w:rsid w:val="00DF1BE3"/>
    <w:rsid w:val="00DF6529"/>
    <w:rsid w:val="00DF7CC8"/>
    <w:rsid w:val="00E109D3"/>
    <w:rsid w:val="00E11091"/>
    <w:rsid w:val="00E11EFD"/>
    <w:rsid w:val="00E24779"/>
    <w:rsid w:val="00E305FC"/>
    <w:rsid w:val="00E4547C"/>
    <w:rsid w:val="00E46EA3"/>
    <w:rsid w:val="00E56B8D"/>
    <w:rsid w:val="00E60235"/>
    <w:rsid w:val="00E74B12"/>
    <w:rsid w:val="00E95448"/>
    <w:rsid w:val="00EA0AFD"/>
    <w:rsid w:val="00EA1FED"/>
    <w:rsid w:val="00EB7080"/>
    <w:rsid w:val="00ED27A5"/>
    <w:rsid w:val="00ED3916"/>
    <w:rsid w:val="00EE7955"/>
    <w:rsid w:val="00EF2E34"/>
    <w:rsid w:val="00F01661"/>
    <w:rsid w:val="00F15292"/>
    <w:rsid w:val="00F2615A"/>
    <w:rsid w:val="00F435BC"/>
    <w:rsid w:val="00F46779"/>
    <w:rsid w:val="00F50672"/>
    <w:rsid w:val="00F85D66"/>
    <w:rsid w:val="00F878E4"/>
    <w:rsid w:val="00F90E4F"/>
    <w:rsid w:val="00FA36A7"/>
    <w:rsid w:val="00FA7D01"/>
    <w:rsid w:val="00FB0263"/>
    <w:rsid w:val="00FB451C"/>
    <w:rsid w:val="00FB4BC1"/>
    <w:rsid w:val="00FE20D0"/>
    <w:rsid w:val="00FE2444"/>
    <w:rsid w:val="00FE398D"/>
    <w:rsid w:val="00FF0806"/>
    <w:rsid w:val="00FF2777"/>
    <w:rsid w:val="00FF2A63"/>
    <w:rsid w:val="00FF7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328027"/>
  <w15:chartTrackingRefBased/>
  <w15:docId w15:val="{6EA38F40-534B-4559-B1F2-7758A9C0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091"/>
  </w:style>
  <w:style w:type="paragraph" w:styleId="Heading1">
    <w:name w:val="heading 1"/>
    <w:basedOn w:val="Normal"/>
    <w:next w:val="Normal"/>
    <w:link w:val="Heading1Char"/>
    <w:uiPriority w:val="9"/>
    <w:qFormat/>
    <w:rsid w:val="00E11091"/>
    <w:pPr>
      <w:keepNext/>
      <w:keepLines/>
      <w:spacing w:before="320" w:after="0"/>
      <w:outlineLvl w:val="0"/>
    </w:pPr>
    <w:rPr>
      <w:rFonts w:asciiTheme="majorHAnsi" w:eastAsiaTheme="majorEastAsia" w:hAnsiTheme="majorHAnsi" w:cstheme="majorBidi"/>
      <w:color w:val="276E8B" w:themeColor="accent1" w:themeShade="BF"/>
      <w:sz w:val="30"/>
      <w:szCs w:val="30"/>
    </w:rPr>
  </w:style>
  <w:style w:type="paragraph" w:styleId="Heading2">
    <w:name w:val="heading 2"/>
    <w:basedOn w:val="Normal"/>
    <w:next w:val="Normal"/>
    <w:link w:val="Heading2Char"/>
    <w:uiPriority w:val="9"/>
    <w:unhideWhenUsed/>
    <w:qFormat/>
    <w:rsid w:val="00E11091"/>
    <w:pPr>
      <w:keepNext/>
      <w:keepLines/>
      <w:spacing w:before="40" w:after="0"/>
      <w:outlineLvl w:val="1"/>
    </w:pPr>
    <w:rPr>
      <w:rFonts w:asciiTheme="majorHAnsi" w:eastAsiaTheme="majorEastAsia" w:hAnsiTheme="majorHAnsi" w:cstheme="majorBidi"/>
      <w:color w:val="398E98" w:themeColor="accent2" w:themeShade="BF"/>
      <w:sz w:val="28"/>
      <w:szCs w:val="28"/>
    </w:rPr>
  </w:style>
  <w:style w:type="paragraph" w:styleId="Heading3">
    <w:name w:val="heading 3"/>
    <w:basedOn w:val="Normal"/>
    <w:next w:val="Normal"/>
    <w:link w:val="Heading3Char"/>
    <w:uiPriority w:val="9"/>
    <w:unhideWhenUsed/>
    <w:qFormat/>
    <w:rsid w:val="00E11091"/>
    <w:pPr>
      <w:keepNext/>
      <w:keepLines/>
      <w:spacing w:before="40" w:after="0"/>
      <w:outlineLvl w:val="2"/>
    </w:pPr>
    <w:rPr>
      <w:rFonts w:asciiTheme="majorHAnsi" w:eastAsiaTheme="majorEastAsia" w:hAnsiTheme="majorHAnsi" w:cstheme="majorBidi"/>
      <w:color w:val="1C6194" w:themeColor="accent6" w:themeShade="BF"/>
      <w:sz w:val="26"/>
      <w:szCs w:val="26"/>
    </w:rPr>
  </w:style>
  <w:style w:type="paragraph" w:styleId="Heading4">
    <w:name w:val="heading 4"/>
    <w:basedOn w:val="Normal"/>
    <w:next w:val="Normal"/>
    <w:link w:val="Heading4Char"/>
    <w:uiPriority w:val="9"/>
    <w:unhideWhenUsed/>
    <w:qFormat/>
    <w:rsid w:val="00E11091"/>
    <w:pPr>
      <w:keepNext/>
      <w:keepLines/>
      <w:spacing w:before="40" w:after="0"/>
      <w:outlineLvl w:val="3"/>
    </w:pPr>
    <w:rPr>
      <w:rFonts w:asciiTheme="majorHAnsi" w:eastAsiaTheme="majorEastAsia" w:hAnsiTheme="majorHAnsi" w:cstheme="majorBidi"/>
      <w:i/>
      <w:iCs/>
      <w:color w:val="578793" w:themeColor="accent5" w:themeShade="BF"/>
      <w:sz w:val="25"/>
      <w:szCs w:val="25"/>
    </w:rPr>
  </w:style>
  <w:style w:type="paragraph" w:styleId="Heading5">
    <w:name w:val="heading 5"/>
    <w:basedOn w:val="Normal"/>
    <w:next w:val="Normal"/>
    <w:link w:val="Heading5Char"/>
    <w:uiPriority w:val="9"/>
    <w:semiHidden/>
    <w:unhideWhenUsed/>
    <w:qFormat/>
    <w:rsid w:val="00E11091"/>
    <w:pPr>
      <w:keepNext/>
      <w:keepLines/>
      <w:spacing w:before="40" w:after="0"/>
      <w:outlineLvl w:val="4"/>
    </w:pPr>
    <w:rPr>
      <w:rFonts w:asciiTheme="majorHAnsi" w:eastAsiaTheme="majorEastAsia" w:hAnsiTheme="majorHAnsi" w:cstheme="majorBidi"/>
      <w:i/>
      <w:iCs/>
      <w:color w:val="265F65" w:themeColor="accent2" w:themeShade="80"/>
      <w:sz w:val="24"/>
      <w:szCs w:val="24"/>
    </w:rPr>
  </w:style>
  <w:style w:type="paragraph" w:styleId="Heading6">
    <w:name w:val="heading 6"/>
    <w:basedOn w:val="Normal"/>
    <w:next w:val="Normal"/>
    <w:link w:val="Heading6Char"/>
    <w:uiPriority w:val="9"/>
    <w:semiHidden/>
    <w:unhideWhenUsed/>
    <w:qFormat/>
    <w:rsid w:val="00E11091"/>
    <w:pPr>
      <w:keepNext/>
      <w:keepLines/>
      <w:spacing w:before="40" w:after="0"/>
      <w:outlineLvl w:val="5"/>
    </w:pPr>
    <w:rPr>
      <w:rFonts w:asciiTheme="majorHAnsi" w:eastAsiaTheme="majorEastAsia" w:hAnsiTheme="majorHAnsi" w:cstheme="majorBidi"/>
      <w:i/>
      <w:iCs/>
      <w:color w:val="134163" w:themeColor="accent6" w:themeShade="80"/>
      <w:sz w:val="23"/>
      <w:szCs w:val="23"/>
    </w:rPr>
  </w:style>
  <w:style w:type="paragraph" w:styleId="Heading7">
    <w:name w:val="heading 7"/>
    <w:basedOn w:val="Normal"/>
    <w:next w:val="Normal"/>
    <w:link w:val="Heading7Char"/>
    <w:uiPriority w:val="9"/>
    <w:semiHidden/>
    <w:unhideWhenUsed/>
    <w:qFormat/>
    <w:rsid w:val="00E11091"/>
    <w:pPr>
      <w:keepNext/>
      <w:keepLines/>
      <w:spacing w:before="40" w:after="0"/>
      <w:outlineLvl w:val="6"/>
    </w:pPr>
    <w:rPr>
      <w:rFonts w:asciiTheme="majorHAnsi" w:eastAsiaTheme="majorEastAsia" w:hAnsiTheme="majorHAnsi" w:cstheme="majorBidi"/>
      <w:color w:val="1A495D" w:themeColor="accent1" w:themeShade="80"/>
    </w:rPr>
  </w:style>
  <w:style w:type="paragraph" w:styleId="Heading8">
    <w:name w:val="heading 8"/>
    <w:basedOn w:val="Normal"/>
    <w:next w:val="Normal"/>
    <w:link w:val="Heading8Char"/>
    <w:uiPriority w:val="9"/>
    <w:semiHidden/>
    <w:unhideWhenUsed/>
    <w:qFormat/>
    <w:rsid w:val="00E11091"/>
    <w:pPr>
      <w:keepNext/>
      <w:keepLines/>
      <w:spacing w:before="40" w:after="0"/>
      <w:outlineLvl w:val="7"/>
    </w:pPr>
    <w:rPr>
      <w:rFonts w:asciiTheme="majorHAnsi" w:eastAsiaTheme="majorEastAsia" w:hAnsiTheme="majorHAnsi" w:cstheme="majorBidi"/>
      <w:color w:val="265F65" w:themeColor="accent2" w:themeShade="80"/>
      <w:sz w:val="21"/>
      <w:szCs w:val="21"/>
    </w:rPr>
  </w:style>
  <w:style w:type="paragraph" w:styleId="Heading9">
    <w:name w:val="heading 9"/>
    <w:basedOn w:val="Normal"/>
    <w:next w:val="Normal"/>
    <w:link w:val="Heading9Char"/>
    <w:uiPriority w:val="9"/>
    <w:semiHidden/>
    <w:unhideWhenUsed/>
    <w:qFormat/>
    <w:rsid w:val="00E11091"/>
    <w:pPr>
      <w:keepNext/>
      <w:keepLines/>
      <w:spacing w:before="40" w:after="0"/>
      <w:outlineLvl w:val="8"/>
    </w:pPr>
    <w:rPr>
      <w:rFonts w:asciiTheme="majorHAnsi" w:eastAsiaTheme="majorEastAsia" w:hAnsiTheme="majorHAnsi" w:cstheme="majorBidi"/>
      <w:color w:val="13416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1091"/>
    <w:rPr>
      <w:rFonts w:asciiTheme="majorHAnsi" w:eastAsiaTheme="majorEastAsia" w:hAnsiTheme="majorHAnsi" w:cstheme="majorBidi"/>
      <w:color w:val="276E8B" w:themeColor="accent1" w:themeShade="BF"/>
      <w:sz w:val="30"/>
      <w:szCs w:val="30"/>
    </w:rPr>
  </w:style>
  <w:style w:type="character" w:customStyle="1" w:styleId="Heading2Char">
    <w:name w:val="Heading 2 Char"/>
    <w:basedOn w:val="DefaultParagraphFont"/>
    <w:link w:val="Heading2"/>
    <w:uiPriority w:val="9"/>
    <w:rsid w:val="00E11091"/>
    <w:rPr>
      <w:rFonts w:asciiTheme="majorHAnsi" w:eastAsiaTheme="majorEastAsia" w:hAnsiTheme="majorHAnsi" w:cstheme="majorBidi"/>
      <w:color w:val="398E98" w:themeColor="accent2" w:themeShade="BF"/>
      <w:sz w:val="28"/>
      <w:szCs w:val="28"/>
    </w:rPr>
  </w:style>
  <w:style w:type="character" w:customStyle="1" w:styleId="Heading3Char">
    <w:name w:val="Heading 3 Char"/>
    <w:basedOn w:val="DefaultParagraphFont"/>
    <w:link w:val="Heading3"/>
    <w:uiPriority w:val="9"/>
    <w:rsid w:val="00E11091"/>
    <w:rPr>
      <w:rFonts w:asciiTheme="majorHAnsi" w:eastAsiaTheme="majorEastAsia" w:hAnsiTheme="majorHAnsi" w:cstheme="majorBidi"/>
      <w:color w:val="1C6194" w:themeColor="accent6" w:themeShade="BF"/>
      <w:sz w:val="26"/>
      <w:szCs w:val="26"/>
    </w:rPr>
  </w:style>
  <w:style w:type="character" w:customStyle="1" w:styleId="Heading4Char">
    <w:name w:val="Heading 4 Char"/>
    <w:basedOn w:val="DefaultParagraphFont"/>
    <w:link w:val="Heading4"/>
    <w:uiPriority w:val="9"/>
    <w:rsid w:val="00E11091"/>
    <w:rPr>
      <w:rFonts w:asciiTheme="majorHAnsi" w:eastAsiaTheme="majorEastAsia" w:hAnsiTheme="majorHAnsi" w:cstheme="majorBidi"/>
      <w:i/>
      <w:iCs/>
      <w:color w:val="578793" w:themeColor="accent5" w:themeShade="BF"/>
      <w:sz w:val="25"/>
      <w:szCs w:val="25"/>
    </w:rPr>
  </w:style>
  <w:style w:type="character" w:customStyle="1" w:styleId="Heading5Char">
    <w:name w:val="Heading 5 Char"/>
    <w:basedOn w:val="DefaultParagraphFont"/>
    <w:link w:val="Heading5"/>
    <w:uiPriority w:val="9"/>
    <w:semiHidden/>
    <w:rsid w:val="00E11091"/>
    <w:rPr>
      <w:rFonts w:asciiTheme="majorHAnsi" w:eastAsiaTheme="majorEastAsia" w:hAnsiTheme="majorHAnsi" w:cstheme="majorBidi"/>
      <w:i/>
      <w:iCs/>
      <w:color w:val="265F65" w:themeColor="accent2" w:themeShade="80"/>
      <w:sz w:val="24"/>
      <w:szCs w:val="24"/>
    </w:rPr>
  </w:style>
  <w:style w:type="character" w:customStyle="1" w:styleId="Heading6Char">
    <w:name w:val="Heading 6 Char"/>
    <w:basedOn w:val="DefaultParagraphFont"/>
    <w:link w:val="Heading6"/>
    <w:uiPriority w:val="9"/>
    <w:semiHidden/>
    <w:rsid w:val="00E11091"/>
    <w:rPr>
      <w:rFonts w:asciiTheme="majorHAnsi" w:eastAsiaTheme="majorEastAsia" w:hAnsiTheme="majorHAnsi" w:cstheme="majorBidi"/>
      <w:i/>
      <w:iCs/>
      <w:color w:val="134163" w:themeColor="accent6" w:themeShade="80"/>
      <w:sz w:val="23"/>
      <w:szCs w:val="23"/>
    </w:rPr>
  </w:style>
  <w:style w:type="character" w:customStyle="1" w:styleId="Heading7Char">
    <w:name w:val="Heading 7 Char"/>
    <w:basedOn w:val="DefaultParagraphFont"/>
    <w:link w:val="Heading7"/>
    <w:uiPriority w:val="9"/>
    <w:semiHidden/>
    <w:rsid w:val="00E11091"/>
    <w:rPr>
      <w:rFonts w:asciiTheme="majorHAnsi" w:eastAsiaTheme="majorEastAsia" w:hAnsiTheme="majorHAnsi" w:cstheme="majorBidi"/>
      <w:color w:val="1A495D" w:themeColor="accent1" w:themeShade="80"/>
    </w:rPr>
  </w:style>
  <w:style w:type="character" w:customStyle="1" w:styleId="Heading8Char">
    <w:name w:val="Heading 8 Char"/>
    <w:basedOn w:val="DefaultParagraphFont"/>
    <w:link w:val="Heading8"/>
    <w:uiPriority w:val="9"/>
    <w:semiHidden/>
    <w:rsid w:val="00E11091"/>
    <w:rPr>
      <w:rFonts w:asciiTheme="majorHAnsi" w:eastAsiaTheme="majorEastAsia" w:hAnsiTheme="majorHAnsi" w:cstheme="majorBidi"/>
      <w:color w:val="265F65" w:themeColor="accent2" w:themeShade="80"/>
      <w:sz w:val="21"/>
      <w:szCs w:val="21"/>
    </w:rPr>
  </w:style>
  <w:style w:type="character" w:customStyle="1" w:styleId="Heading9Char">
    <w:name w:val="Heading 9 Char"/>
    <w:basedOn w:val="DefaultParagraphFont"/>
    <w:link w:val="Heading9"/>
    <w:uiPriority w:val="9"/>
    <w:semiHidden/>
    <w:rsid w:val="00E11091"/>
    <w:rPr>
      <w:rFonts w:asciiTheme="majorHAnsi" w:eastAsiaTheme="majorEastAsia" w:hAnsiTheme="majorHAnsi" w:cstheme="majorBidi"/>
      <w:color w:val="134163" w:themeColor="accent6" w:themeShade="80"/>
    </w:rPr>
  </w:style>
  <w:style w:type="paragraph" w:styleId="Title">
    <w:name w:val="Title"/>
    <w:basedOn w:val="Normal"/>
    <w:next w:val="Normal"/>
    <w:link w:val="TitleChar"/>
    <w:uiPriority w:val="10"/>
    <w:qFormat/>
    <w:rsid w:val="00E11091"/>
    <w:pPr>
      <w:spacing w:after="0"/>
      <w:contextualSpacing/>
    </w:pPr>
    <w:rPr>
      <w:rFonts w:asciiTheme="majorHAnsi" w:eastAsiaTheme="majorEastAsia" w:hAnsiTheme="majorHAnsi" w:cstheme="majorBidi"/>
      <w:color w:val="276E8B" w:themeColor="accent1" w:themeShade="BF"/>
      <w:spacing w:val="-10"/>
      <w:sz w:val="52"/>
      <w:szCs w:val="52"/>
    </w:rPr>
  </w:style>
  <w:style w:type="character" w:customStyle="1" w:styleId="TitleChar">
    <w:name w:val="Title Char"/>
    <w:basedOn w:val="DefaultParagraphFont"/>
    <w:link w:val="Title"/>
    <w:uiPriority w:val="10"/>
    <w:rsid w:val="00E11091"/>
    <w:rPr>
      <w:rFonts w:asciiTheme="majorHAnsi" w:eastAsiaTheme="majorEastAsia" w:hAnsiTheme="majorHAnsi" w:cstheme="majorBidi"/>
      <w:color w:val="276E8B" w:themeColor="accent1" w:themeShade="BF"/>
      <w:spacing w:val="-10"/>
      <w:sz w:val="52"/>
      <w:szCs w:val="52"/>
    </w:rPr>
  </w:style>
  <w:style w:type="paragraph" w:styleId="Subtitle">
    <w:name w:val="Subtitle"/>
    <w:basedOn w:val="Normal"/>
    <w:next w:val="Normal"/>
    <w:link w:val="SubtitleChar"/>
    <w:uiPriority w:val="11"/>
    <w:qFormat/>
    <w:rsid w:val="00E11091"/>
    <w:pPr>
      <w:numPr>
        <w:ilvl w:val="1"/>
      </w:numPr>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E11091"/>
    <w:rPr>
      <w:rFonts w:asciiTheme="majorHAnsi" w:eastAsiaTheme="majorEastAsia" w:hAnsiTheme="majorHAnsi" w:cstheme="majorBidi"/>
    </w:rPr>
  </w:style>
  <w:style w:type="paragraph" w:styleId="Quote">
    <w:name w:val="Quote"/>
    <w:basedOn w:val="Normal"/>
    <w:next w:val="Normal"/>
    <w:link w:val="QuoteChar"/>
    <w:uiPriority w:val="29"/>
    <w:qFormat/>
    <w:rsid w:val="00E11091"/>
    <w:pPr>
      <w:spacing w:before="120"/>
      <w:ind w:left="720" w:right="720"/>
      <w:jc w:val="center"/>
    </w:pPr>
    <w:rPr>
      <w:i/>
      <w:iCs/>
    </w:rPr>
  </w:style>
  <w:style w:type="character" w:customStyle="1" w:styleId="QuoteChar">
    <w:name w:val="Quote Char"/>
    <w:basedOn w:val="DefaultParagraphFont"/>
    <w:link w:val="Quote"/>
    <w:uiPriority w:val="29"/>
    <w:rsid w:val="00E11091"/>
    <w:rPr>
      <w:i/>
      <w:iCs/>
    </w:rPr>
  </w:style>
  <w:style w:type="paragraph" w:styleId="ListParagraph">
    <w:name w:val="List Paragraph"/>
    <w:basedOn w:val="Normal"/>
    <w:uiPriority w:val="34"/>
    <w:qFormat/>
    <w:rsid w:val="0032032D"/>
    <w:pPr>
      <w:ind w:left="720"/>
      <w:contextualSpacing/>
    </w:pPr>
  </w:style>
  <w:style w:type="character" w:styleId="IntenseEmphasis">
    <w:name w:val="Intense Emphasis"/>
    <w:basedOn w:val="DefaultParagraphFont"/>
    <w:uiPriority w:val="21"/>
    <w:qFormat/>
    <w:rsid w:val="00E11091"/>
    <w:rPr>
      <w:b w:val="0"/>
      <w:bCs w:val="0"/>
      <w:i/>
      <w:iCs/>
      <w:color w:val="3494BA" w:themeColor="accent1"/>
    </w:rPr>
  </w:style>
  <w:style w:type="paragraph" w:styleId="IntenseQuote">
    <w:name w:val="Intense Quote"/>
    <w:basedOn w:val="Normal"/>
    <w:next w:val="Normal"/>
    <w:link w:val="IntenseQuoteChar"/>
    <w:uiPriority w:val="30"/>
    <w:qFormat/>
    <w:rsid w:val="00E11091"/>
    <w:pPr>
      <w:spacing w:before="120" w:line="300" w:lineRule="auto"/>
      <w:ind w:left="576" w:right="576"/>
      <w:jc w:val="center"/>
    </w:pPr>
    <w:rPr>
      <w:rFonts w:asciiTheme="majorHAnsi" w:eastAsiaTheme="majorEastAsia" w:hAnsiTheme="majorHAnsi" w:cstheme="majorBidi"/>
      <w:color w:val="3494BA" w:themeColor="accent1"/>
      <w:sz w:val="24"/>
      <w:szCs w:val="24"/>
    </w:rPr>
  </w:style>
  <w:style w:type="character" w:customStyle="1" w:styleId="IntenseQuoteChar">
    <w:name w:val="Intense Quote Char"/>
    <w:basedOn w:val="DefaultParagraphFont"/>
    <w:link w:val="IntenseQuote"/>
    <w:uiPriority w:val="30"/>
    <w:rsid w:val="00E11091"/>
    <w:rPr>
      <w:rFonts w:asciiTheme="majorHAnsi" w:eastAsiaTheme="majorEastAsia" w:hAnsiTheme="majorHAnsi" w:cstheme="majorBidi"/>
      <w:color w:val="3494BA" w:themeColor="accent1"/>
      <w:sz w:val="24"/>
      <w:szCs w:val="24"/>
    </w:rPr>
  </w:style>
  <w:style w:type="character" w:styleId="IntenseReference">
    <w:name w:val="Intense Reference"/>
    <w:basedOn w:val="DefaultParagraphFont"/>
    <w:uiPriority w:val="32"/>
    <w:qFormat/>
    <w:rsid w:val="00E11091"/>
    <w:rPr>
      <w:b/>
      <w:bCs/>
      <w:smallCaps/>
      <w:color w:val="3494BA" w:themeColor="accent1"/>
      <w:spacing w:val="5"/>
      <w:u w:val="single"/>
    </w:rPr>
  </w:style>
  <w:style w:type="character" w:styleId="Hyperlink">
    <w:name w:val="Hyperlink"/>
    <w:basedOn w:val="DefaultParagraphFont"/>
    <w:uiPriority w:val="99"/>
    <w:unhideWhenUsed/>
    <w:rsid w:val="00FE2444"/>
    <w:rPr>
      <w:color w:val="0000FF"/>
      <w:u w:val="single"/>
    </w:rPr>
  </w:style>
  <w:style w:type="paragraph" w:styleId="TOCHeading">
    <w:name w:val="TOC Heading"/>
    <w:basedOn w:val="Heading1"/>
    <w:next w:val="Normal"/>
    <w:uiPriority w:val="39"/>
    <w:unhideWhenUsed/>
    <w:qFormat/>
    <w:rsid w:val="00E11091"/>
    <w:pPr>
      <w:outlineLvl w:val="9"/>
    </w:pPr>
  </w:style>
  <w:style w:type="paragraph" w:styleId="TOC2">
    <w:name w:val="toc 2"/>
    <w:basedOn w:val="Normal"/>
    <w:next w:val="Normal"/>
    <w:autoRedefine/>
    <w:uiPriority w:val="39"/>
    <w:unhideWhenUsed/>
    <w:rsid w:val="00FF2777"/>
    <w:pPr>
      <w:spacing w:after="100" w:line="288" w:lineRule="auto"/>
      <w:ind w:left="210"/>
    </w:pPr>
    <w:rPr>
      <w:sz w:val="21"/>
      <w:szCs w:val="21"/>
    </w:rPr>
  </w:style>
  <w:style w:type="paragraph" w:styleId="TOC1">
    <w:name w:val="toc 1"/>
    <w:basedOn w:val="Normal"/>
    <w:next w:val="Normal"/>
    <w:autoRedefine/>
    <w:uiPriority w:val="39"/>
    <w:unhideWhenUsed/>
    <w:rsid w:val="00FF2777"/>
    <w:pPr>
      <w:spacing w:after="100" w:line="288" w:lineRule="auto"/>
    </w:pPr>
    <w:rPr>
      <w:sz w:val="21"/>
      <w:szCs w:val="21"/>
    </w:rPr>
  </w:style>
  <w:style w:type="character" w:styleId="Emphasis">
    <w:name w:val="Emphasis"/>
    <w:basedOn w:val="DefaultParagraphFont"/>
    <w:uiPriority w:val="20"/>
    <w:qFormat/>
    <w:rsid w:val="00E11091"/>
    <w:rPr>
      <w:i/>
      <w:iCs/>
    </w:rPr>
  </w:style>
  <w:style w:type="paragraph" w:styleId="TOC3">
    <w:name w:val="toc 3"/>
    <w:basedOn w:val="Normal"/>
    <w:next w:val="Normal"/>
    <w:autoRedefine/>
    <w:uiPriority w:val="39"/>
    <w:unhideWhenUsed/>
    <w:rsid w:val="007D4E14"/>
    <w:pPr>
      <w:spacing w:after="100" w:line="259" w:lineRule="auto"/>
      <w:ind w:left="440"/>
    </w:pPr>
    <w:rPr>
      <w:rFonts w:cs="Times New Roman"/>
      <w:lang w:eastAsia="en-GB"/>
    </w:rPr>
  </w:style>
  <w:style w:type="paragraph" w:styleId="Header">
    <w:name w:val="header"/>
    <w:basedOn w:val="Normal"/>
    <w:link w:val="HeaderChar"/>
    <w:uiPriority w:val="99"/>
    <w:unhideWhenUsed/>
    <w:rsid w:val="007D4E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E14"/>
  </w:style>
  <w:style w:type="paragraph" w:styleId="Footer">
    <w:name w:val="footer"/>
    <w:basedOn w:val="Normal"/>
    <w:link w:val="FooterChar"/>
    <w:uiPriority w:val="99"/>
    <w:unhideWhenUsed/>
    <w:rsid w:val="007D4E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E14"/>
  </w:style>
  <w:style w:type="paragraph" w:styleId="NoSpacing">
    <w:name w:val="No Spacing"/>
    <w:link w:val="NoSpacingChar"/>
    <w:uiPriority w:val="1"/>
    <w:qFormat/>
    <w:rsid w:val="00E11091"/>
    <w:pPr>
      <w:spacing w:after="0"/>
    </w:pPr>
  </w:style>
  <w:style w:type="character" w:customStyle="1" w:styleId="NoSpacingChar">
    <w:name w:val="No Spacing Char"/>
    <w:basedOn w:val="DefaultParagraphFont"/>
    <w:link w:val="NoSpacing"/>
    <w:uiPriority w:val="1"/>
    <w:rsid w:val="002A035F"/>
  </w:style>
  <w:style w:type="paragraph" w:styleId="Caption">
    <w:name w:val="caption"/>
    <w:basedOn w:val="Normal"/>
    <w:next w:val="Normal"/>
    <w:uiPriority w:val="35"/>
    <w:semiHidden/>
    <w:unhideWhenUsed/>
    <w:qFormat/>
    <w:rsid w:val="00E11091"/>
    <w:rPr>
      <w:b/>
      <w:bCs/>
      <w:smallCaps/>
      <w:color w:val="3494BA" w:themeColor="accent1"/>
      <w:spacing w:val="6"/>
    </w:rPr>
  </w:style>
  <w:style w:type="character" w:styleId="Strong">
    <w:name w:val="Strong"/>
    <w:basedOn w:val="DefaultParagraphFont"/>
    <w:uiPriority w:val="22"/>
    <w:qFormat/>
    <w:rsid w:val="00E11091"/>
    <w:rPr>
      <w:b/>
      <w:bCs/>
    </w:rPr>
  </w:style>
  <w:style w:type="character" w:styleId="SubtleEmphasis">
    <w:name w:val="Subtle Emphasis"/>
    <w:basedOn w:val="DefaultParagraphFont"/>
    <w:uiPriority w:val="19"/>
    <w:qFormat/>
    <w:rsid w:val="00E11091"/>
    <w:rPr>
      <w:i/>
      <w:iCs/>
      <w:color w:val="404040" w:themeColor="text1" w:themeTint="BF"/>
    </w:rPr>
  </w:style>
  <w:style w:type="character" w:styleId="SubtleReference">
    <w:name w:val="Subtle Reference"/>
    <w:basedOn w:val="DefaultParagraphFont"/>
    <w:uiPriority w:val="31"/>
    <w:qFormat/>
    <w:rsid w:val="00E11091"/>
    <w:rPr>
      <w:smallCaps/>
      <w:color w:val="404040" w:themeColor="text1" w:themeTint="BF"/>
      <w:u w:val="single" w:color="7F7F7F" w:themeColor="text1" w:themeTint="80"/>
    </w:rPr>
  </w:style>
  <w:style w:type="character" w:styleId="BookTitle">
    <w:name w:val="Book Title"/>
    <w:basedOn w:val="DefaultParagraphFont"/>
    <w:uiPriority w:val="33"/>
    <w:qFormat/>
    <w:rsid w:val="00E11091"/>
    <w:rPr>
      <w:b/>
      <w:bCs/>
      <w:smallCaps/>
    </w:rPr>
  </w:style>
  <w:style w:type="character" w:styleId="UnresolvedMention">
    <w:name w:val="Unresolved Mention"/>
    <w:basedOn w:val="DefaultParagraphFont"/>
    <w:uiPriority w:val="99"/>
    <w:semiHidden/>
    <w:unhideWhenUsed/>
    <w:rsid w:val="00E11EFD"/>
    <w:rPr>
      <w:color w:val="605E5C"/>
      <w:shd w:val="clear" w:color="auto" w:fill="E1DFDD"/>
    </w:rPr>
  </w:style>
  <w:style w:type="paragraph" w:customStyle="1" w:styleId="Default">
    <w:name w:val="Default"/>
    <w:rsid w:val="006662A2"/>
    <w:pPr>
      <w:autoSpaceDE w:val="0"/>
      <w:autoSpaceDN w:val="0"/>
      <w:adjustRightInd w:val="0"/>
      <w:spacing w:after="0" w:line="240" w:lineRule="auto"/>
    </w:pPr>
    <w:rPr>
      <w:rFonts w:ascii="Palatino Linotype" w:hAnsi="Palatino Linotype" w:cs="Palatino Linotype"/>
      <w:color w:val="000000"/>
      <w:sz w:val="24"/>
      <w:szCs w:val="24"/>
    </w:rPr>
  </w:style>
  <w:style w:type="paragraph" w:customStyle="1" w:styleId="paragraph">
    <w:name w:val="paragraph"/>
    <w:basedOn w:val="Normal"/>
    <w:rsid w:val="005124E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5124ED"/>
  </w:style>
  <w:style w:type="character" w:customStyle="1" w:styleId="eop">
    <w:name w:val="eop"/>
    <w:basedOn w:val="DefaultParagraphFont"/>
    <w:rsid w:val="00512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67657">
      <w:bodyDiv w:val="1"/>
      <w:marLeft w:val="0"/>
      <w:marRight w:val="0"/>
      <w:marTop w:val="0"/>
      <w:marBottom w:val="0"/>
      <w:divBdr>
        <w:top w:val="none" w:sz="0" w:space="0" w:color="auto"/>
        <w:left w:val="none" w:sz="0" w:space="0" w:color="auto"/>
        <w:bottom w:val="none" w:sz="0" w:space="0" w:color="auto"/>
        <w:right w:val="none" w:sz="0" w:space="0" w:color="auto"/>
      </w:divBdr>
    </w:div>
    <w:div w:id="66998642">
      <w:bodyDiv w:val="1"/>
      <w:marLeft w:val="0"/>
      <w:marRight w:val="0"/>
      <w:marTop w:val="0"/>
      <w:marBottom w:val="0"/>
      <w:divBdr>
        <w:top w:val="none" w:sz="0" w:space="0" w:color="auto"/>
        <w:left w:val="none" w:sz="0" w:space="0" w:color="auto"/>
        <w:bottom w:val="none" w:sz="0" w:space="0" w:color="auto"/>
        <w:right w:val="none" w:sz="0" w:space="0" w:color="auto"/>
      </w:divBdr>
    </w:div>
    <w:div w:id="71201064">
      <w:bodyDiv w:val="1"/>
      <w:marLeft w:val="0"/>
      <w:marRight w:val="0"/>
      <w:marTop w:val="0"/>
      <w:marBottom w:val="0"/>
      <w:divBdr>
        <w:top w:val="none" w:sz="0" w:space="0" w:color="auto"/>
        <w:left w:val="none" w:sz="0" w:space="0" w:color="auto"/>
        <w:bottom w:val="none" w:sz="0" w:space="0" w:color="auto"/>
        <w:right w:val="none" w:sz="0" w:space="0" w:color="auto"/>
      </w:divBdr>
    </w:div>
    <w:div w:id="72552474">
      <w:bodyDiv w:val="1"/>
      <w:marLeft w:val="0"/>
      <w:marRight w:val="0"/>
      <w:marTop w:val="0"/>
      <w:marBottom w:val="0"/>
      <w:divBdr>
        <w:top w:val="none" w:sz="0" w:space="0" w:color="auto"/>
        <w:left w:val="none" w:sz="0" w:space="0" w:color="auto"/>
        <w:bottom w:val="none" w:sz="0" w:space="0" w:color="auto"/>
        <w:right w:val="none" w:sz="0" w:space="0" w:color="auto"/>
      </w:divBdr>
    </w:div>
    <w:div w:id="89785077">
      <w:bodyDiv w:val="1"/>
      <w:marLeft w:val="0"/>
      <w:marRight w:val="0"/>
      <w:marTop w:val="0"/>
      <w:marBottom w:val="0"/>
      <w:divBdr>
        <w:top w:val="none" w:sz="0" w:space="0" w:color="auto"/>
        <w:left w:val="none" w:sz="0" w:space="0" w:color="auto"/>
        <w:bottom w:val="none" w:sz="0" w:space="0" w:color="auto"/>
        <w:right w:val="none" w:sz="0" w:space="0" w:color="auto"/>
      </w:divBdr>
    </w:div>
    <w:div w:id="140345051">
      <w:bodyDiv w:val="1"/>
      <w:marLeft w:val="0"/>
      <w:marRight w:val="0"/>
      <w:marTop w:val="0"/>
      <w:marBottom w:val="0"/>
      <w:divBdr>
        <w:top w:val="none" w:sz="0" w:space="0" w:color="auto"/>
        <w:left w:val="none" w:sz="0" w:space="0" w:color="auto"/>
        <w:bottom w:val="none" w:sz="0" w:space="0" w:color="auto"/>
        <w:right w:val="none" w:sz="0" w:space="0" w:color="auto"/>
      </w:divBdr>
    </w:div>
    <w:div w:id="142897986">
      <w:bodyDiv w:val="1"/>
      <w:marLeft w:val="0"/>
      <w:marRight w:val="0"/>
      <w:marTop w:val="0"/>
      <w:marBottom w:val="0"/>
      <w:divBdr>
        <w:top w:val="none" w:sz="0" w:space="0" w:color="auto"/>
        <w:left w:val="none" w:sz="0" w:space="0" w:color="auto"/>
        <w:bottom w:val="none" w:sz="0" w:space="0" w:color="auto"/>
        <w:right w:val="none" w:sz="0" w:space="0" w:color="auto"/>
      </w:divBdr>
    </w:div>
    <w:div w:id="153424155">
      <w:bodyDiv w:val="1"/>
      <w:marLeft w:val="0"/>
      <w:marRight w:val="0"/>
      <w:marTop w:val="0"/>
      <w:marBottom w:val="0"/>
      <w:divBdr>
        <w:top w:val="none" w:sz="0" w:space="0" w:color="auto"/>
        <w:left w:val="none" w:sz="0" w:space="0" w:color="auto"/>
        <w:bottom w:val="none" w:sz="0" w:space="0" w:color="auto"/>
        <w:right w:val="none" w:sz="0" w:space="0" w:color="auto"/>
      </w:divBdr>
    </w:div>
    <w:div w:id="191890415">
      <w:bodyDiv w:val="1"/>
      <w:marLeft w:val="0"/>
      <w:marRight w:val="0"/>
      <w:marTop w:val="0"/>
      <w:marBottom w:val="0"/>
      <w:divBdr>
        <w:top w:val="none" w:sz="0" w:space="0" w:color="auto"/>
        <w:left w:val="none" w:sz="0" w:space="0" w:color="auto"/>
        <w:bottom w:val="none" w:sz="0" w:space="0" w:color="auto"/>
        <w:right w:val="none" w:sz="0" w:space="0" w:color="auto"/>
      </w:divBdr>
    </w:div>
    <w:div w:id="258031356">
      <w:bodyDiv w:val="1"/>
      <w:marLeft w:val="0"/>
      <w:marRight w:val="0"/>
      <w:marTop w:val="0"/>
      <w:marBottom w:val="0"/>
      <w:divBdr>
        <w:top w:val="none" w:sz="0" w:space="0" w:color="auto"/>
        <w:left w:val="none" w:sz="0" w:space="0" w:color="auto"/>
        <w:bottom w:val="none" w:sz="0" w:space="0" w:color="auto"/>
        <w:right w:val="none" w:sz="0" w:space="0" w:color="auto"/>
      </w:divBdr>
    </w:div>
    <w:div w:id="266082784">
      <w:bodyDiv w:val="1"/>
      <w:marLeft w:val="0"/>
      <w:marRight w:val="0"/>
      <w:marTop w:val="0"/>
      <w:marBottom w:val="0"/>
      <w:divBdr>
        <w:top w:val="none" w:sz="0" w:space="0" w:color="auto"/>
        <w:left w:val="none" w:sz="0" w:space="0" w:color="auto"/>
        <w:bottom w:val="none" w:sz="0" w:space="0" w:color="auto"/>
        <w:right w:val="none" w:sz="0" w:space="0" w:color="auto"/>
      </w:divBdr>
    </w:div>
    <w:div w:id="266620458">
      <w:bodyDiv w:val="1"/>
      <w:marLeft w:val="0"/>
      <w:marRight w:val="0"/>
      <w:marTop w:val="0"/>
      <w:marBottom w:val="0"/>
      <w:divBdr>
        <w:top w:val="none" w:sz="0" w:space="0" w:color="auto"/>
        <w:left w:val="none" w:sz="0" w:space="0" w:color="auto"/>
        <w:bottom w:val="none" w:sz="0" w:space="0" w:color="auto"/>
        <w:right w:val="none" w:sz="0" w:space="0" w:color="auto"/>
      </w:divBdr>
    </w:div>
    <w:div w:id="276763481">
      <w:bodyDiv w:val="1"/>
      <w:marLeft w:val="0"/>
      <w:marRight w:val="0"/>
      <w:marTop w:val="0"/>
      <w:marBottom w:val="0"/>
      <w:divBdr>
        <w:top w:val="none" w:sz="0" w:space="0" w:color="auto"/>
        <w:left w:val="none" w:sz="0" w:space="0" w:color="auto"/>
        <w:bottom w:val="none" w:sz="0" w:space="0" w:color="auto"/>
        <w:right w:val="none" w:sz="0" w:space="0" w:color="auto"/>
      </w:divBdr>
    </w:div>
    <w:div w:id="303700002">
      <w:bodyDiv w:val="1"/>
      <w:marLeft w:val="0"/>
      <w:marRight w:val="0"/>
      <w:marTop w:val="0"/>
      <w:marBottom w:val="0"/>
      <w:divBdr>
        <w:top w:val="none" w:sz="0" w:space="0" w:color="auto"/>
        <w:left w:val="none" w:sz="0" w:space="0" w:color="auto"/>
        <w:bottom w:val="none" w:sz="0" w:space="0" w:color="auto"/>
        <w:right w:val="none" w:sz="0" w:space="0" w:color="auto"/>
      </w:divBdr>
    </w:div>
    <w:div w:id="317540808">
      <w:bodyDiv w:val="1"/>
      <w:marLeft w:val="0"/>
      <w:marRight w:val="0"/>
      <w:marTop w:val="0"/>
      <w:marBottom w:val="0"/>
      <w:divBdr>
        <w:top w:val="none" w:sz="0" w:space="0" w:color="auto"/>
        <w:left w:val="none" w:sz="0" w:space="0" w:color="auto"/>
        <w:bottom w:val="none" w:sz="0" w:space="0" w:color="auto"/>
        <w:right w:val="none" w:sz="0" w:space="0" w:color="auto"/>
      </w:divBdr>
    </w:div>
    <w:div w:id="318732123">
      <w:bodyDiv w:val="1"/>
      <w:marLeft w:val="0"/>
      <w:marRight w:val="0"/>
      <w:marTop w:val="0"/>
      <w:marBottom w:val="0"/>
      <w:divBdr>
        <w:top w:val="none" w:sz="0" w:space="0" w:color="auto"/>
        <w:left w:val="none" w:sz="0" w:space="0" w:color="auto"/>
        <w:bottom w:val="none" w:sz="0" w:space="0" w:color="auto"/>
        <w:right w:val="none" w:sz="0" w:space="0" w:color="auto"/>
      </w:divBdr>
    </w:div>
    <w:div w:id="322007387">
      <w:bodyDiv w:val="1"/>
      <w:marLeft w:val="0"/>
      <w:marRight w:val="0"/>
      <w:marTop w:val="0"/>
      <w:marBottom w:val="0"/>
      <w:divBdr>
        <w:top w:val="none" w:sz="0" w:space="0" w:color="auto"/>
        <w:left w:val="none" w:sz="0" w:space="0" w:color="auto"/>
        <w:bottom w:val="none" w:sz="0" w:space="0" w:color="auto"/>
        <w:right w:val="none" w:sz="0" w:space="0" w:color="auto"/>
      </w:divBdr>
    </w:div>
    <w:div w:id="335765304">
      <w:bodyDiv w:val="1"/>
      <w:marLeft w:val="0"/>
      <w:marRight w:val="0"/>
      <w:marTop w:val="0"/>
      <w:marBottom w:val="0"/>
      <w:divBdr>
        <w:top w:val="none" w:sz="0" w:space="0" w:color="auto"/>
        <w:left w:val="none" w:sz="0" w:space="0" w:color="auto"/>
        <w:bottom w:val="none" w:sz="0" w:space="0" w:color="auto"/>
        <w:right w:val="none" w:sz="0" w:space="0" w:color="auto"/>
      </w:divBdr>
    </w:div>
    <w:div w:id="348794075">
      <w:bodyDiv w:val="1"/>
      <w:marLeft w:val="0"/>
      <w:marRight w:val="0"/>
      <w:marTop w:val="0"/>
      <w:marBottom w:val="0"/>
      <w:divBdr>
        <w:top w:val="none" w:sz="0" w:space="0" w:color="auto"/>
        <w:left w:val="none" w:sz="0" w:space="0" w:color="auto"/>
        <w:bottom w:val="none" w:sz="0" w:space="0" w:color="auto"/>
        <w:right w:val="none" w:sz="0" w:space="0" w:color="auto"/>
      </w:divBdr>
    </w:div>
    <w:div w:id="359671671">
      <w:bodyDiv w:val="1"/>
      <w:marLeft w:val="0"/>
      <w:marRight w:val="0"/>
      <w:marTop w:val="0"/>
      <w:marBottom w:val="0"/>
      <w:divBdr>
        <w:top w:val="none" w:sz="0" w:space="0" w:color="auto"/>
        <w:left w:val="none" w:sz="0" w:space="0" w:color="auto"/>
        <w:bottom w:val="none" w:sz="0" w:space="0" w:color="auto"/>
        <w:right w:val="none" w:sz="0" w:space="0" w:color="auto"/>
      </w:divBdr>
    </w:div>
    <w:div w:id="361250122">
      <w:bodyDiv w:val="1"/>
      <w:marLeft w:val="0"/>
      <w:marRight w:val="0"/>
      <w:marTop w:val="0"/>
      <w:marBottom w:val="0"/>
      <w:divBdr>
        <w:top w:val="none" w:sz="0" w:space="0" w:color="auto"/>
        <w:left w:val="none" w:sz="0" w:space="0" w:color="auto"/>
        <w:bottom w:val="none" w:sz="0" w:space="0" w:color="auto"/>
        <w:right w:val="none" w:sz="0" w:space="0" w:color="auto"/>
      </w:divBdr>
    </w:div>
    <w:div w:id="365258584">
      <w:bodyDiv w:val="1"/>
      <w:marLeft w:val="0"/>
      <w:marRight w:val="0"/>
      <w:marTop w:val="0"/>
      <w:marBottom w:val="0"/>
      <w:divBdr>
        <w:top w:val="none" w:sz="0" w:space="0" w:color="auto"/>
        <w:left w:val="none" w:sz="0" w:space="0" w:color="auto"/>
        <w:bottom w:val="none" w:sz="0" w:space="0" w:color="auto"/>
        <w:right w:val="none" w:sz="0" w:space="0" w:color="auto"/>
      </w:divBdr>
    </w:div>
    <w:div w:id="365788983">
      <w:bodyDiv w:val="1"/>
      <w:marLeft w:val="0"/>
      <w:marRight w:val="0"/>
      <w:marTop w:val="0"/>
      <w:marBottom w:val="0"/>
      <w:divBdr>
        <w:top w:val="none" w:sz="0" w:space="0" w:color="auto"/>
        <w:left w:val="none" w:sz="0" w:space="0" w:color="auto"/>
        <w:bottom w:val="none" w:sz="0" w:space="0" w:color="auto"/>
        <w:right w:val="none" w:sz="0" w:space="0" w:color="auto"/>
      </w:divBdr>
    </w:div>
    <w:div w:id="371613234">
      <w:bodyDiv w:val="1"/>
      <w:marLeft w:val="0"/>
      <w:marRight w:val="0"/>
      <w:marTop w:val="0"/>
      <w:marBottom w:val="0"/>
      <w:divBdr>
        <w:top w:val="none" w:sz="0" w:space="0" w:color="auto"/>
        <w:left w:val="none" w:sz="0" w:space="0" w:color="auto"/>
        <w:bottom w:val="none" w:sz="0" w:space="0" w:color="auto"/>
        <w:right w:val="none" w:sz="0" w:space="0" w:color="auto"/>
      </w:divBdr>
    </w:div>
    <w:div w:id="381440660">
      <w:bodyDiv w:val="1"/>
      <w:marLeft w:val="0"/>
      <w:marRight w:val="0"/>
      <w:marTop w:val="0"/>
      <w:marBottom w:val="0"/>
      <w:divBdr>
        <w:top w:val="none" w:sz="0" w:space="0" w:color="auto"/>
        <w:left w:val="none" w:sz="0" w:space="0" w:color="auto"/>
        <w:bottom w:val="none" w:sz="0" w:space="0" w:color="auto"/>
        <w:right w:val="none" w:sz="0" w:space="0" w:color="auto"/>
      </w:divBdr>
    </w:div>
    <w:div w:id="406804635">
      <w:bodyDiv w:val="1"/>
      <w:marLeft w:val="0"/>
      <w:marRight w:val="0"/>
      <w:marTop w:val="0"/>
      <w:marBottom w:val="0"/>
      <w:divBdr>
        <w:top w:val="none" w:sz="0" w:space="0" w:color="auto"/>
        <w:left w:val="none" w:sz="0" w:space="0" w:color="auto"/>
        <w:bottom w:val="none" w:sz="0" w:space="0" w:color="auto"/>
        <w:right w:val="none" w:sz="0" w:space="0" w:color="auto"/>
      </w:divBdr>
    </w:div>
    <w:div w:id="407652190">
      <w:bodyDiv w:val="1"/>
      <w:marLeft w:val="0"/>
      <w:marRight w:val="0"/>
      <w:marTop w:val="0"/>
      <w:marBottom w:val="0"/>
      <w:divBdr>
        <w:top w:val="none" w:sz="0" w:space="0" w:color="auto"/>
        <w:left w:val="none" w:sz="0" w:space="0" w:color="auto"/>
        <w:bottom w:val="none" w:sz="0" w:space="0" w:color="auto"/>
        <w:right w:val="none" w:sz="0" w:space="0" w:color="auto"/>
      </w:divBdr>
    </w:div>
    <w:div w:id="411044122">
      <w:bodyDiv w:val="1"/>
      <w:marLeft w:val="0"/>
      <w:marRight w:val="0"/>
      <w:marTop w:val="0"/>
      <w:marBottom w:val="0"/>
      <w:divBdr>
        <w:top w:val="none" w:sz="0" w:space="0" w:color="auto"/>
        <w:left w:val="none" w:sz="0" w:space="0" w:color="auto"/>
        <w:bottom w:val="none" w:sz="0" w:space="0" w:color="auto"/>
        <w:right w:val="none" w:sz="0" w:space="0" w:color="auto"/>
      </w:divBdr>
    </w:div>
    <w:div w:id="412509944">
      <w:bodyDiv w:val="1"/>
      <w:marLeft w:val="0"/>
      <w:marRight w:val="0"/>
      <w:marTop w:val="0"/>
      <w:marBottom w:val="0"/>
      <w:divBdr>
        <w:top w:val="none" w:sz="0" w:space="0" w:color="auto"/>
        <w:left w:val="none" w:sz="0" w:space="0" w:color="auto"/>
        <w:bottom w:val="none" w:sz="0" w:space="0" w:color="auto"/>
        <w:right w:val="none" w:sz="0" w:space="0" w:color="auto"/>
      </w:divBdr>
    </w:div>
    <w:div w:id="421223952">
      <w:bodyDiv w:val="1"/>
      <w:marLeft w:val="0"/>
      <w:marRight w:val="0"/>
      <w:marTop w:val="0"/>
      <w:marBottom w:val="0"/>
      <w:divBdr>
        <w:top w:val="none" w:sz="0" w:space="0" w:color="auto"/>
        <w:left w:val="none" w:sz="0" w:space="0" w:color="auto"/>
        <w:bottom w:val="none" w:sz="0" w:space="0" w:color="auto"/>
        <w:right w:val="none" w:sz="0" w:space="0" w:color="auto"/>
      </w:divBdr>
      <w:divsChild>
        <w:div w:id="411587707">
          <w:marLeft w:val="0"/>
          <w:marRight w:val="0"/>
          <w:marTop w:val="0"/>
          <w:marBottom w:val="0"/>
          <w:divBdr>
            <w:top w:val="none" w:sz="0" w:space="0" w:color="auto"/>
            <w:left w:val="none" w:sz="0" w:space="0" w:color="auto"/>
            <w:bottom w:val="none" w:sz="0" w:space="0" w:color="auto"/>
            <w:right w:val="none" w:sz="0" w:space="0" w:color="auto"/>
          </w:divBdr>
          <w:divsChild>
            <w:div w:id="1258947828">
              <w:marLeft w:val="0"/>
              <w:marRight w:val="0"/>
              <w:marTop w:val="0"/>
              <w:marBottom w:val="0"/>
              <w:divBdr>
                <w:top w:val="none" w:sz="0" w:space="0" w:color="auto"/>
                <w:left w:val="none" w:sz="0" w:space="0" w:color="auto"/>
                <w:bottom w:val="none" w:sz="0" w:space="0" w:color="auto"/>
                <w:right w:val="none" w:sz="0" w:space="0" w:color="auto"/>
              </w:divBdr>
              <w:divsChild>
                <w:div w:id="239413953">
                  <w:marLeft w:val="0"/>
                  <w:marRight w:val="0"/>
                  <w:marTop w:val="0"/>
                  <w:marBottom w:val="0"/>
                  <w:divBdr>
                    <w:top w:val="none" w:sz="0" w:space="0" w:color="auto"/>
                    <w:left w:val="none" w:sz="0" w:space="0" w:color="auto"/>
                    <w:bottom w:val="none" w:sz="0" w:space="0" w:color="auto"/>
                    <w:right w:val="none" w:sz="0" w:space="0" w:color="auto"/>
                  </w:divBdr>
                  <w:divsChild>
                    <w:div w:id="52902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250608">
      <w:bodyDiv w:val="1"/>
      <w:marLeft w:val="0"/>
      <w:marRight w:val="0"/>
      <w:marTop w:val="0"/>
      <w:marBottom w:val="0"/>
      <w:divBdr>
        <w:top w:val="none" w:sz="0" w:space="0" w:color="auto"/>
        <w:left w:val="none" w:sz="0" w:space="0" w:color="auto"/>
        <w:bottom w:val="none" w:sz="0" w:space="0" w:color="auto"/>
        <w:right w:val="none" w:sz="0" w:space="0" w:color="auto"/>
      </w:divBdr>
    </w:div>
    <w:div w:id="577637113">
      <w:bodyDiv w:val="1"/>
      <w:marLeft w:val="0"/>
      <w:marRight w:val="0"/>
      <w:marTop w:val="0"/>
      <w:marBottom w:val="0"/>
      <w:divBdr>
        <w:top w:val="none" w:sz="0" w:space="0" w:color="auto"/>
        <w:left w:val="none" w:sz="0" w:space="0" w:color="auto"/>
        <w:bottom w:val="none" w:sz="0" w:space="0" w:color="auto"/>
        <w:right w:val="none" w:sz="0" w:space="0" w:color="auto"/>
      </w:divBdr>
    </w:div>
    <w:div w:id="621770831">
      <w:bodyDiv w:val="1"/>
      <w:marLeft w:val="0"/>
      <w:marRight w:val="0"/>
      <w:marTop w:val="0"/>
      <w:marBottom w:val="0"/>
      <w:divBdr>
        <w:top w:val="none" w:sz="0" w:space="0" w:color="auto"/>
        <w:left w:val="none" w:sz="0" w:space="0" w:color="auto"/>
        <w:bottom w:val="none" w:sz="0" w:space="0" w:color="auto"/>
        <w:right w:val="none" w:sz="0" w:space="0" w:color="auto"/>
      </w:divBdr>
    </w:div>
    <w:div w:id="641689311">
      <w:bodyDiv w:val="1"/>
      <w:marLeft w:val="0"/>
      <w:marRight w:val="0"/>
      <w:marTop w:val="0"/>
      <w:marBottom w:val="0"/>
      <w:divBdr>
        <w:top w:val="none" w:sz="0" w:space="0" w:color="auto"/>
        <w:left w:val="none" w:sz="0" w:space="0" w:color="auto"/>
        <w:bottom w:val="none" w:sz="0" w:space="0" w:color="auto"/>
        <w:right w:val="none" w:sz="0" w:space="0" w:color="auto"/>
      </w:divBdr>
    </w:div>
    <w:div w:id="643703411">
      <w:bodyDiv w:val="1"/>
      <w:marLeft w:val="0"/>
      <w:marRight w:val="0"/>
      <w:marTop w:val="0"/>
      <w:marBottom w:val="0"/>
      <w:divBdr>
        <w:top w:val="none" w:sz="0" w:space="0" w:color="auto"/>
        <w:left w:val="none" w:sz="0" w:space="0" w:color="auto"/>
        <w:bottom w:val="none" w:sz="0" w:space="0" w:color="auto"/>
        <w:right w:val="none" w:sz="0" w:space="0" w:color="auto"/>
      </w:divBdr>
    </w:div>
    <w:div w:id="649796140">
      <w:bodyDiv w:val="1"/>
      <w:marLeft w:val="0"/>
      <w:marRight w:val="0"/>
      <w:marTop w:val="0"/>
      <w:marBottom w:val="0"/>
      <w:divBdr>
        <w:top w:val="none" w:sz="0" w:space="0" w:color="auto"/>
        <w:left w:val="none" w:sz="0" w:space="0" w:color="auto"/>
        <w:bottom w:val="none" w:sz="0" w:space="0" w:color="auto"/>
        <w:right w:val="none" w:sz="0" w:space="0" w:color="auto"/>
      </w:divBdr>
    </w:div>
    <w:div w:id="674839734">
      <w:bodyDiv w:val="1"/>
      <w:marLeft w:val="0"/>
      <w:marRight w:val="0"/>
      <w:marTop w:val="0"/>
      <w:marBottom w:val="0"/>
      <w:divBdr>
        <w:top w:val="none" w:sz="0" w:space="0" w:color="auto"/>
        <w:left w:val="none" w:sz="0" w:space="0" w:color="auto"/>
        <w:bottom w:val="none" w:sz="0" w:space="0" w:color="auto"/>
        <w:right w:val="none" w:sz="0" w:space="0" w:color="auto"/>
      </w:divBdr>
    </w:div>
    <w:div w:id="717778563">
      <w:bodyDiv w:val="1"/>
      <w:marLeft w:val="0"/>
      <w:marRight w:val="0"/>
      <w:marTop w:val="0"/>
      <w:marBottom w:val="0"/>
      <w:divBdr>
        <w:top w:val="none" w:sz="0" w:space="0" w:color="auto"/>
        <w:left w:val="none" w:sz="0" w:space="0" w:color="auto"/>
        <w:bottom w:val="none" w:sz="0" w:space="0" w:color="auto"/>
        <w:right w:val="none" w:sz="0" w:space="0" w:color="auto"/>
      </w:divBdr>
    </w:div>
    <w:div w:id="777918050">
      <w:bodyDiv w:val="1"/>
      <w:marLeft w:val="0"/>
      <w:marRight w:val="0"/>
      <w:marTop w:val="0"/>
      <w:marBottom w:val="0"/>
      <w:divBdr>
        <w:top w:val="none" w:sz="0" w:space="0" w:color="auto"/>
        <w:left w:val="none" w:sz="0" w:space="0" w:color="auto"/>
        <w:bottom w:val="none" w:sz="0" w:space="0" w:color="auto"/>
        <w:right w:val="none" w:sz="0" w:space="0" w:color="auto"/>
      </w:divBdr>
    </w:div>
    <w:div w:id="830559840">
      <w:bodyDiv w:val="1"/>
      <w:marLeft w:val="0"/>
      <w:marRight w:val="0"/>
      <w:marTop w:val="0"/>
      <w:marBottom w:val="0"/>
      <w:divBdr>
        <w:top w:val="none" w:sz="0" w:space="0" w:color="auto"/>
        <w:left w:val="none" w:sz="0" w:space="0" w:color="auto"/>
        <w:bottom w:val="none" w:sz="0" w:space="0" w:color="auto"/>
        <w:right w:val="none" w:sz="0" w:space="0" w:color="auto"/>
      </w:divBdr>
    </w:div>
    <w:div w:id="836572753">
      <w:bodyDiv w:val="1"/>
      <w:marLeft w:val="0"/>
      <w:marRight w:val="0"/>
      <w:marTop w:val="0"/>
      <w:marBottom w:val="0"/>
      <w:divBdr>
        <w:top w:val="none" w:sz="0" w:space="0" w:color="auto"/>
        <w:left w:val="none" w:sz="0" w:space="0" w:color="auto"/>
        <w:bottom w:val="none" w:sz="0" w:space="0" w:color="auto"/>
        <w:right w:val="none" w:sz="0" w:space="0" w:color="auto"/>
      </w:divBdr>
    </w:div>
    <w:div w:id="858541528">
      <w:bodyDiv w:val="1"/>
      <w:marLeft w:val="0"/>
      <w:marRight w:val="0"/>
      <w:marTop w:val="0"/>
      <w:marBottom w:val="0"/>
      <w:divBdr>
        <w:top w:val="none" w:sz="0" w:space="0" w:color="auto"/>
        <w:left w:val="none" w:sz="0" w:space="0" w:color="auto"/>
        <w:bottom w:val="none" w:sz="0" w:space="0" w:color="auto"/>
        <w:right w:val="none" w:sz="0" w:space="0" w:color="auto"/>
      </w:divBdr>
    </w:div>
    <w:div w:id="863982185">
      <w:bodyDiv w:val="1"/>
      <w:marLeft w:val="0"/>
      <w:marRight w:val="0"/>
      <w:marTop w:val="0"/>
      <w:marBottom w:val="0"/>
      <w:divBdr>
        <w:top w:val="none" w:sz="0" w:space="0" w:color="auto"/>
        <w:left w:val="none" w:sz="0" w:space="0" w:color="auto"/>
        <w:bottom w:val="none" w:sz="0" w:space="0" w:color="auto"/>
        <w:right w:val="none" w:sz="0" w:space="0" w:color="auto"/>
      </w:divBdr>
    </w:div>
    <w:div w:id="893585427">
      <w:bodyDiv w:val="1"/>
      <w:marLeft w:val="0"/>
      <w:marRight w:val="0"/>
      <w:marTop w:val="0"/>
      <w:marBottom w:val="0"/>
      <w:divBdr>
        <w:top w:val="none" w:sz="0" w:space="0" w:color="auto"/>
        <w:left w:val="none" w:sz="0" w:space="0" w:color="auto"/>
        <w:bottom w:val="none" w:sz="0" w:space="0" w:color="auto"/>
        <w:right w:val="none" w:sz="0" w:space="0" w:color="auto"/>
      </w:divBdr>
    </w:div>
    <w:div w:id="913321262">
      <w:bodyDiv w:val="1"/>
      <w:marLeft w:val="0"/>
      <w:marRight w:val="0"/>
      <w:marTop w:val="0"/>
      <w:marBottom w:val="0"/>
      <w:divBdr>
        <w:top w:val="none" w:sz="0" w:space="0" w:color="auto"/>
        <w:left w:val="none" w:sz="0" w:space="0" w:color="auto"/>
        <w:bottom w:val="none" w:sz="0" w:space="0" w:color="auto"/>
        <w:right w:val="none" w:sz="0" w:space="0" w:color="auto"/>
      </w:divBdr>
    </w:div>
    <w:div w:id="922687124">
      <w:bodyDiv w:val="1"/>
      <w:marLeft w:val="0"/>
      <w:marRight w:val="0"/>
      <w:marTop w:val="0"/>
      <w:marBottom w:val="0"/>
      <w:divBdr>
        <w:top w:val="none" w:sz="0" w:space="0" w:color="auto"/>
        <w:left w:val="none" w:sz="0" w:space="0" w:color="auto"/>
        <w:bottom w:val="none" w:sz="0" w:space="0" w:color="auto"/>
        <w:right w:val="none" w:sz="0" w:space="0" w:color="auto"/>
      </w:divBdr>
    </w:div>
    <w:div w:id="937564908">
      <w:bodyDiv w:val="1"/>
      <w:marLeft w:val="0"/>
      <w:marRight w:val="0"/>
      <w:marTop w:val="0"/>
      <w:marBottom w:val="0"/>
      <w:divBdr>
        <w:top w:val="none" w:sz="0" w:space="0" w:color="auto"/>
        <w:left w:val="none" w:sz="0" w:space="0" w:color="auto"/>
        <w:bottom w:val="none" w:sz="0" w:space="0" w:color="auto"/>
        <w:right w:val="none" w:sz="0" w:space="0" w:color="auto"/>
      </w:divBdr>
    </w:div>
    <w:div w:id="965618868">
      <w:bodyDiv w:val="1"/>
      <w:marLeft w:val="0"/>
      <w:marRight w:val="0"/>
      <w:marTop w:val="0"/>
      <w:marBottom w:val="0"/>
      <w:divBdr>
        <w:top w:val="none" w:sz="0" w:space="0" w:color="auto"/>
        <w:left w:val="none" w:sz="0" w:space="0" w:color="auto"/>
        <w:bottom w:val="none" w:sz="0" w:space="0" w:color="auto"/>
        <w:right w:val="none" w:sz="0" w:space="0" w:color="auto"/>
      </w:divBdr>
    </w:div>
    <w:div w:id="994993783">
      <w:bodyDiv w:val="1"/>
      <w:marLeft w:val="0"/>
      <w:marRight w:val="0"/>
      <w:marTop w:val="0"/>
      <w:marBottom w:val="0"/>
      <w:divBdr>
        <w:top w:val="none" w:sz="0" w:space="0" w:color="auto"/>
        <w:left w:val="none" w:sz="0" w:space="0" w:color="auto"/>
        <w:bottom w:val="none" w:sz="0" w:space="0" w:color="auto"/>
        <w:right w:val="none" w:sz="0" w:space="0" w:color="auto"/>
      </w:divBdr>
    </w:div>
    <w:div w:id="1006635785">
      <w:bodyDiv w:val="1"/>
      <w:marLeft w:val="0"/>
      <w:marRight w:val="0"/>
      <w:marTop w:val="0"/>
      <w:marBottom w:val="0"/>
      <w:divBdr>
        <w:top w:val="none" w:sz="0" w:space="0" w:color="auto"/>
        <w:left w:val="none" w:sz="0" w:space="0" w:color="auto"/>
        <w:bottom w:val="none" w:sz="0" w:space="0" w:color="auto"/>
        <w:right w:val="none" w:sz="0" w:space="0" w:color="auto"/>
      </w:divBdr>
    </w:div>
    <w:div w:id="1025904931">
      <w:bodyDiv w:val="1"/>
      <w:marLeft w:val="0"/>
      <w:marRight w:val="0"/>
      <w:marTop w:val="0"/>
      <w:marBottom w:val="0"/>
      <w:divBdr>
        <w:top w:val="none" w:sz="0" w:space="0" w:color="auto"/>
        <w:left w:val="none" w:sz="0" w:space="0" w:color="auto"/>
        <w:bottom w:val="none" w:sz="0" w:space="0" w:color="auto"/>
        <w:right w:val="none" w:sz="0" w:space="0" w:color="auto"/>
      </w:divBdr>
    </w:div>
    <w:div w:id="1067535469">
      <w:bodyDiv w:val="1"/>
      <w:marLeft w:val="0"/>
      <w:marRight w:val="0"/>
      <w:marTop w:val="0"/>
      <w:marBottom w:val="0"/>
      <w:divBdr>
        <w:top w:val="none" w:sz="0" w:space="0" w:color="auto"/>
        <w:left w:val="none" w:sz="0" w:space="0" w:color="auto"/>
        <w:bottom w:val="none" w:sz="0" w:space="0" w:color="auto"/>
        <w:right w:val="none" w:sz="0" w:space="0" w:color="auto"/>
      </w:divBdr>
    </w:div>
    <w:div w:id="1081298562">
      <w:bodyDiv w:val="1"/>
      <w:marLeft w:val="0"/>
      <w:marRight w:val="0"/>
      <w:marTop w:val="0"/>
      <w:marBottom w:val="0"/>
      <w:divBdr>
        <w:top w:val="none" w:sz="0" w:space="0" w:color="auto"/>
        <w:left w:val="none" w:sz="0" w:space="0" w:color="auto"/>
        <w:bottom w:val="none" w:sz="0" w:space="0" w:color="auto"/>
        <w:right w:val="none" w:sz="0" w:space="0" w:color="auto"/>
      </w:divBdr>
    </w:div>
    <w:div w:id="1142962623">
      <w:bodyDiv w:val="1"/>
      <w:marLeft w:val="0"/>
      <w:marRight w:val="0"/>
      <w:marTop w:val="0"/>
      <w:marBottom w:val="0"/>
      <w:divBdr>
        <w:top w:val="none" w:sz="0" w:space="0" w:color="auto"/>
        <w:left w:val="none" w:sz="0" w:space="0" w:color="auto"/>
        <w:bottom w:val="none" w:sz="0" w:space="0" w:color="auto"/>
        <w:right w:val="none" w:sz="0" w:space="0" w:color="auto"/>
      </w:divBdr>
    </w:div>
    <w:div w:id="1143035948">
      <w:bodyDiv w:val="1"/>
      <w:marLeft w:val="0"/>
      <w:marRight w:val="0"/>
      <w:marTop w:val="0"/>
      <w:marBottom w:val="0"/>
      <w:divBdr>
        <w:top w:val="none" w:sz="0" w:space="0" w:color="auto"/>
        <w:left w:val="none" w:sz="0" w:space="0" w:color="auto"/>
        <w:bottom w:val="none" w:sz="0" w:space="0" w:color="auto"/>
        <w:right w:val="none" w:sz="0" w:space="0" w:color="auto"/>
      </w:divBdr>
    </w:div>
    <w:div w:id="1230728156">
      <w:bodyDiv w:val="1"/>
      <w:marLeft w:val="0"/>
      <w:marRight w:val="0"/>
      <w:marTop w:val="0"/>
      <w:marBottom w:val="0"/>
      <w:divBdr>
        <w:top w:val="none" w:sz="0" w:space="0" w:color="auto"/>
        <w:left w:val="none" w:sz="0" w:space="0" w:color="auto"/>
        <w:bottom w:val="none" w:sz="0" w:space="0" w:color="auto"/>
        <w:right w:val="none" w:sz="0" w:space="0" w:color="auto"/>
      </w:divBdr>
    </w:div>
    <w:div w:id="1237401786">
      <w:bodyDiv w:val="1"/>
      <w:marLeft w:val="0"/>
      <w:marRight w:val="0"/>
      <w:marTop w:val="0"/>
      <w:marBottom w:val="0"/>
      <w:divBdr>
        <w:top w:val="none" w:sz="0" w:space="0" w:color="auto"/>
        <w:left w:val="none" w:sz="0" w:space="0" w:color="auto"/>
        <w:bottom w:val="none" w:sz="0" w:space="0" w:color="auto"/>
        <w:right w:val="none" w:sz="0" w:space="0" w:color="auto"/>
      </w:divBdr>
    </w:div>
    <w:div w:id="1281764511">
      <w:bodyDiv w:val="1"/>
      <w:marLeft w:val="0"/>
      <w:marRight w:val="0"/>
      <w:marTop w:val="0"/>
      <w:marBottom w:val="0"/>
      <w:divBdr>
        <w:top w:val="none" w:sz="0" w:space="0" w:color="auto"/>
        <w:left w:val="none" w:sz="0" w:space="0" w:color="auto"/>
        <w:bottom w:val="none" w:sz="0" w:space="0" w:color="auto"/>
        <w:right w:val="none" w:sz="0" w:space="0" w:color="auto"/>
      </w:divBdr>
    </w:div>
    <w:div w:id="1299722624">
      <w:bodyDiv w:val="1"/>
      <w:marLeft w:val="0"/>
      <w:marRight w:val="0"/>
      <w:marTop w:val="0"/>
      <w:marBottom w:val="0"/>
      <w:divBdr>
        <w:top w:val="none" w:sz="0" w:space="0" w:color="auto"/>
        <w:left w:val="none" w:sz="0" w:space="0" w:color="auto"/>
        <w:bottom w:val="none" w:sz="0" w:space="0" w:color="auto"/>
        <w:right w:val="none" w:sz="0" w:space="0" w:color="auto"/>
      </w:divBdr>
    </w:div>
    <w:div w:id="1306004394">
      <w:bodyDiv w:val="1"/>
      <w:marLeft w:val="0"/>
      <w:marRight w:val="0"/>
      <w:marTop w:val="0"/>
      <w:marBottom w:val="0"/>
      <w:divBdr>
        <w:top w:val="none" w:sz="0" w:space="0" w:color="auto"/>
        <w:left w:val="none" w:sz="0" w:space="0" w:color="auto"/>
        <w:bottom w:val="none" w:sz="0" w:space="0" w:color="auto"/>
        <w:right w:val="none" w:sz="0" w:space="0" w:color="auto"/>
      </w:divBdr>
    </w:div>
    <w:div w:id="1312715238">
      <w:bodyDiv w:val="1"/>
      <w:marLeft w:val="0"/>
      <w:marRight w:val="0"/>
      <w:marTop w:val="0"/>
      <w:marBottom w:val="0"/>
      <w:divBdr>
        <w:top w:val="none" w:sz="0" w:space="0" w:color="auto"/>
        <w:left w:val="none" w:sz="0" w:space="0" w:color="auto"/>
        <w:bottom w:val="none" w:sz="0" w:space="0" w:color="auto"/>
        <w:right w:val="none" w:sz="0" w:space="0" w:color="auto"/>
      </w:divBdr>
    </w:div>
    <w:div w:id="1332680329">
      <w:bodyDiv w:val="1"/>
      <w:marLeft w:val="0"/>
      <w:marRight w:val="0"/>
      <w:marTop w:val="0"/>
      <w:marBottom w:val="0"/>
      <w:divBdr>
        <w:top w:val="none" w:sz="0" w:space="0" w:color="auto"/>
        <w:left w:val="none" w:sz="0" w:space="0" w:color="auto"/>
        <w:bottom w:val="none" w:sz="0" w:space="0" w:color="auto"/>
        <w:right w:val="none" w:sz="0" w:space="0" w:color="auto"/>
      </w:divBdr>
    </w:div>
    <w:div w:id="1351447181">
      <w:bodyDiv w:val="1"/>
      <w:marLeft w:val="0"/>
      <w:marRight w:val="0"/>
      <w:marTop w:val="0"/>
      <w:marBottom w:val="0"/>
      <w:divBdr>
        <w:top w:val="none" w:sz="0" w:space="0" w:color="auto"/>
        <w:left w:val="none" w:sz="0" w:space="0" w:color="auto"/>
        <w:bottom w:val="none" w:sz="0" w:space="0" w:color="auto"/>
        <w:right w:val="none" w:sz="0" w:space="0" w:color="auto"/>
      </w:divBdr>
    </w:div>
    <w:div w:id="1377729828">
      <w:bodyDiv w:val="1"/>
      <w:marLeft w:val="0"/>
      <w:marRight w:val="0"/>
      <w:marTop w:val="0"/>
      <w:marBottom w:val="0"/>
      <w:divBdr>
        <w:top w:val="none" w:sz="0" w:space="0" w:color="auto"/>
        <w:left w:val="none" w:sz="0" w:space="0" w:color="auto"/>
        <w:bottom w:val="none" w:sz="0" w:space="0" w:color="auto"/>
        <w:right w:val="none" w:sz="0" w:space="0" w:color="auto"/>
      </w:divBdr>
    </w:div>
    <w:div w:id="1386680604">
      <w:bodyDiv w:val="1"/>
      <w:marLeft w:val="0"/>
      <w:marRight w:val="0"/>
      <w:marTop w:val="0"/>
      <w:marBottom w:val="0"/>
      <w:divBdr>
        <w:top w:val="none" w:sz="0" w:space="0" w:color="auto"/>
        <w:left w:val="none" w:sz="0" w:space="0" w:color="auto"/>
        <w:bottom w:val="none" w:sz="0" w:space="0" w:color="auto"/>
        <w:right w:val="none" w:sz="0" w:space="0" w:color="auto"/>
      </w:divBdr>
    </w:div>
    <w:div w:id="1411731217">
      <w:bodyDiv w:val="1"/>
      <w:marLeft w:val="0"/>
      <w:marRight w:val="0"/>
      <w:marTop w:val="0"/>
      <w:marBottom w:val="0"/>
      <w:divBdr>
        <w:top w:val="none" w:sz="0" w:space="0" w:color="auto"/>
        <w:left w:val="none" w:sz="0" w:space="0" w:color="auto"/>
        <w:bottom w:val="none" w:sz="0" w:space="0" w:color="auto"/>
        <w:right w:val="none" w:sz="0" w:space="0" w:color="auto"/>
      </w:divBdr>
    </w:div>
    <w:div w:id="1416586517">
      <w:bodyDiv w:val="1"/>
      <w:marLeft w:val="0"/>
      <w:marRight w:val="0"/>
      <w:marTop w:val="0"/>
      <w:marBottom w:val="0"/>
      <w:divBdr>
        <w:top w:val="none" w:sz="0" w:space="0" w:color="auto"/>
        <w:left w:val="none" w:sz="0" w:space="0" w:color="auto"/>
        <w:bottom w:val="none" w:sz="0" w:space="0" w:color="auto"/>
        <w:right w:val="none" w:sz="0" w:space="0" w:color="auto"/>
      </w:divBdr>
    </w:div>
    <w:div w:id="1436553657">
      <w:bodyDiv w:val="1"/>
      <w:marLeft w:val="0"/>
      <w:marRight w:val="0"/>
      <w:marTop w:val="0"/>
      <w:marBottom w:val="0"/>
      <w:divBdr>
        <w:top w:val="none" w:sz="0" w:space="0" w:color="auto"/>
        <w:left w:val="none" w:sz="0" w:space="0" w:color="auto"/>
        <w:bottom w:val="none" w:sz="0" w:space="0" w:color="auto"/>
        <w:right w:val="none" w:sz="0" w:space="0" w:color="auto"/>
      </w:divBdr>
    </w:div>
    <w:div w:id="1438520664">
      <w:bodyDiv w:val="1"/>
      <w:marLeft w:val="0"/>
      <w:marRight w:val="0"/>
      <w:marTop w:val="0"/>
      <w:marBottom w:val="0"/>
      <w:divBdr>
        <w:top w:val="none" w:sz="0" w:space="0" w:color="auto"/>
        <w:left w:val="none" w:sz="0" w:space="0" w:color="auto"/>
        <w:bottom w:val="none" w:sz="0" w:space="0" w:color="auto"/>
        <w:right w:val="none" w:sz="0" w:space="0" w:color="auto"/>
      </w:divBdr>
    </w:div>
    <w:div w:id="1461026255">
      <w:bodyDiv w:val="1"/>
      <w:marLeft w:val="0"/>
      <w:marRight w:val="0"/>
      <w:marTop w:val="0"/>
      <w:marBottom w:val="0"/>
      <w:divBdr>
        <w:top w:val="none" w:sz="0" w:space="0" w:color="auto"/>
        <w:left w:val="none" w:sz="0" w:space="0" w:color="auto"/>
        <w:bottom w:val="none" w:sz="0" w:space="0" w:color="auto"/>
        <w:right w:val="none" w:sz="0" w:space="0" w:color="auto"/>
      </w:divBdr>
    </w:div>
    <w:div w:id="1461068239">
      <w:bodyDiv w:val="1"/>
      <w:marLeft w:val="0"/>
      <w:marRight w:val="0"/>
      <w:marTop w:val="0"/>
      <w:marBottom w:val="0"/>
      <w:divBdr>
        <w:top w:val="none" w:sz="0" w:space="0" w:color="auto"/>
        <w:left w:val="none" w:sz="0" w:space="0" w:color="auto"/>
        <w:bottom w:val="none" w:sz="0" w:space="0" w:color="auto"/>
        <w:right w:val="none" w:sz="0" w:space="0" w:color="auto"/>
      </w:divBdr>
    </w:div>
    <w:div w:id="1468626282">
      <w:bodyDiv w:val="1"/>
      <w:marLeft w:val="0"/>
      <w:marRight w:val="0"/>
      <w:marTop w:val="0"/>
      <w:marBottom w:val="0"/>
      <w:divBdr>
        <w:top w:val="none" w:sz="0" w:space="0" w:color="auto"/>
        <w:left w:val="none" w:sz="0" w:space="0" w:color="auto"/>
        <w:bottom w:val="none" w:sz="0" w:space="0" w:color="auto"/>
        <w:right w:val="none" w:sz="0" w:space="0" w:color="auto"/>
      </w:divBdr>
    </w:div>
    <w:div w:id="1477987430">
      <w:bodyDiv w:val="1"/>
      <w:marLeft w:val="0"/>
      <w:marRight w:val="0"/>
      <w:marTop w:val="0"/>
      <w:marBottom w:val="0"/>
      <w:divBdr>
        <w:top w:val="none" w:sz="0" w:space="0" w:color="auto"/>
        <w:left w:val="none" w:sz="0" w:space="0" w:color="auto"/>
        <w:bottom w:val="none" w:sz="0" w:space="0" w:color="auto"/>
        <w:right w:val="none" w:sz="0" w:space="0" w:color="auto"/>
      </w:divBdr>
    </w:div>
    <w:div w:id="1492216036">
      <w:bodyDiv w:val="1"/>
      <w:marLeft w:val="0"/>
      <w:marRight w:val="0"/>
      <w:marTop w:val="0"/>
      <w:marBottom w:val="0"/>
      <w:divBdr>
        <w:top w:val="none" w:sz="0" w:space="0" w:color="auto"/>
        <w:left w:val="none" w:sz="0" w:space="0" w:color="auto"/>
        <w:bottom w:val="none" w:sz="0" w:space="0" w:color="auto"/>
        <w:right w:val="none" w:sz="0" w:space="0" w:color="auto"/>
      </w:divBdr>
    </w:div>
    <w:div w:id="1498185470">
      <w:bodyDiv w:val="1"/>
      <w:marLeft w:val="0"/>
      <w:marRight w:val="0"/>
      <w:marTop w:val="0"/>
      <w:marBottom w:val="0"/>
      <w:divBdr>
        <w:top w:val="none" w:sz="0" w:space="0" w:color="auto"/>
        <w:left w:val="none" w:sz="0" w:space="0" w:color="auto"/>
        <w:bottom w:val="none" w:sz="0" w:space="0" w:color="auto"/>
        <w:right w:val="none" w:sz="0" w:space="0" w:color="auto"/>
      </w:divBdr>
    </w:div>
    <w:div w:id="1505785402">
      <w:bodyDiv w:val="1"/>
      <w:marLeft w:val="0"/>
      <w:marRight w:val="0"/>
      <w:marTop w:val="0"/>
      <w:marBottom w:val="0"/>
      <w:divBdr>
        <w:top w:val="none" w:sz="0" w:space="0" w:color="auto"/>
        <w:left w:val="none" w:sz="0" w:space="0" w:color="auto"/>
        <w:bottom w:val="none" w:sz="0" w:space="0" w:color="auto"/>
        <w:right w:val="none" w:sz="0" w:space="0" w:color="auto"/>
      </w:divBdr>
      <w:divsChild>
        <w:div w:id="1311790715">
          <w:marLeft w:val="0"/>
          <w:marRight w:val="0"/>
          <w:marTop w:val="0"/>
          <w:marBottom w:val="0"/>
          <w:divBdr>
            <w:top w:val="none" w:sz="0" w:space="0" w:color="auto"/>
            <w:left w:val="none" w:sz="0" w:space="0" w:color="auto"/>
            <w:bottom w:val="none" w:sz="0" w:space="0" w:color="auto"/>
            <w:right w:val="none" w:sz="0" w:space="0" w:color="auto"/>
          </w:divBdr>
          <w:divsChild>
            <w:div w:id="1686442864">
              <w:marLeft w:val="0"/>
              <w:marRight w:val="0"/>
              <w:marTop w:val="0"/>
              <w:marBottom w:val="0"/>
              <w:divBdr>
                <w:top w:val="none" w:sz="0" w:space="0" w:color="auto"/>
                <w:left w:val="none" w:sz="0" w:space="0" w:color="auto"/>
                <w:bottom w:val="none" w:sz="0" w:space="0" w:color="auto"/>
                <w:right w:val="none" w:sz="0" w:space="0" w:color="auto"/>
              </w:divBdr>
              <w:divsChild>
                <w:div w:id="968631428">
                  <w:marLeft w:val="0"/>
                  <w:marRight w:val="0"/>
                  <w:marTop w:val="0"/>
                  <w:marBottom w:val="0"/>
                  <w:divBdr>
                    <w:top w:val="none" w:sz="0" w:space="0" w:color="auto"/>
                    <w:left w:val="none" w:sz="0" w:space="0" w:color="auto"/>
                    <w:bottom w:val="none" w:sz="0" w:space="0" w:color="auto"/>
                    <w:right w:val="none" w:sz="0" w:space="0" w:color="auto"/>
                  </w:divBdr>
                  <w:divsChild>
                    <w:div w:id="156868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965186">
      <w:bodyDiv w:val="1"/>
      <w:marLeft w:val="0"/>
      <w:marRight w:val="0"/>
      <w:marTop w:val="0"/>
      <w:marBottom w:val="0"/>
      <w:divBdr>
        <w:top w:val="none" w:sz="0" w:space="0" w:color="auto"/>
        <w:left w:val="none" w:sz="0" w:space="0" w:color="auto"/>
        <w:bottom w:val="none" w:sz="0" w:space="0" w:color="auto"/>
        <w:right w:val="none" w:sz="0" w:space="0" w:color="auto"/>
      </w:divBdr>
    </w:div>
    <w:div w:id="1540168325">
      <w:bodyDiv w:val="1"/>
      <w:marLeft w:val="0"/>
      <w:marRight w:val="0"/>
      <w:marTop w:val="0"/>
      <w:marBottom w:val="0"/>
      <w:divBdr>
        <w:top w:val="none" w:sz="0" w:space="0" w:color="auto"/>
        <w:left w:val="none" w:sz="0" w:space="0" w:color="auto"/>
        <w:bottom w:val="none" w:sz="0" w:space="0" w:color="auto"/>
        <w:right w:val="none" w:sz="0" w:space="0" w:color="auto"/>
      </w:divBdr>
    </w:div>
    <w:div w:id="1550727869">
      <w:bodyDiv w:val="1"/>
      <w:marLeft w:val="0"/>
      <w:marRight w:val="0"/>
      <w:marTop w:val="0"/>
      <w:marBottom w:val="0"/>
      <w:divBdr>
        <w:top w:val="none" w:sz="0" w:space="0" w:color="auto"/>
        <w:left w:val="none" w:sz="0" w:space="0" w:color="auto"/>
        <w:bottom w:val="none" w:sz="0" w:space="0" w:color="auto"/>
        <w:right w:val="none" w:sz="0" w:space="0" w:color="auto"/>
      </w:divBdr>
    </w:div>
    <w:div w:id="1554999631">
      <w:bodyDiv w:val="1"/>
      <w:marLeft w:val="0"/>
      <w:marRight w:val="0"/>
      <w:marTop w:val="0"/>
      <w:marBottom w:val="0"/>
      <w:divBdr>
        <w:top w:val="none" w:sz="0" w:space="0" w:color="auto"/>
        <w:left w:val="none" w:sz="0" w:space="0" w:color="auto"/>
        <w:bottom w:val="none" w:sz="0" w:space="0" w:color="auto"/>
        <w:right w:val="none" w:sz="0" w:space="0" w:color="auto"/>
      </w:divBdr>
    </w:div>
    <w:div w:id="1556549706">
      <w:bodyDiv w:val="1"/>
      <w:marLeft w:val="0"/>
      <w:marRight w:val="0"/>
      <w:marTop w:val="0"/>
      <w:marBottom w:val="0"/>
      <w:divBdr>
        <w:top w:val="none" w:sz="0" w:space="0" w:color="auto"/>
        <w:left w:val="none" w:sz="0" w:space="0" w:color="auto"/>
        <w:bottom w:val="none" w:sz="0" w:space="0" w:color="auto"/>
        <w:right w:val="none" w:sz="0" w:space="0" w:color="auto"/>
      </w:divBdr>
    </w:div>
    <w:div w:id="1559123270">
      <w:bodyDiv w:val="1"/>
      <w:marLeft w:val="0"/>
      <w:marRight w:val="0"/>
      <w:marTop w:val="0"/>
      <w:marBottom w:val="0"/>
      <w:divBdr>
        <w:top w:val="none" w:sz="0" w:space="0" w:color="auto"/>
        <w:left w:val="none" w:sz="0" w:space="0" w:color="auto"/>
        <w:bottom w:val="none" w:sz="0" w:space="0" w:color="auto"/>
        <w:right w:val="none" w:sz="0" w:space="0" w:color="auto"/>
      </w:divBdr>
    </w:div>
    <w:div w:id="1578055196">
      <w:bodyDiv w:val="1"/>
      <w:marLeft w:val="0"/>
      <w:marRight w:val="0"/>
      <w:marTop w:val="0"/>
      <w:marBottom w:val="0"/>
      <w:divBdr>
        <w:top w:val="none" w:sz="0" w:space="0" w:color="auto"/>
        <w:left w:val="none" w:sz="0" w:space="0" w:color="auto"/>
        <w:bottom w:val="none" w:sz="0" w:space="0" w:color="auto"/>
        <w:right w:val="none" w:sz="0" w:space="0" w:color="auto"/>
      </w:divBdr>
    </w:div>
    <w:div w:id="1609968675">
      <w:bodyDiv w:val="1"/>
      <w:marLeft w:val="0"/>
      <w:marRight w:val="0"/>
      <w:marTop w:val="0"/>
      <w:marBottom w:val="0"/>
      <w:divBdr>
        <w:top w:val="none" w:sz="0" w:space="0" w:color="auto"/>
        <w:left w:val="none" w:sz="0" w:space="0" w:color="auto"/>
        <w:bottom w:val="none" w:sz="0" w:space="0" w:color="auto"/>
        <w:right w:val="none" w:sz="0" w:space="0" w:color="auto"/>
      </w:divBdr>
    </w:div>
    <w:div w:id="1610120677">
      <w:bodyDiv w:val="1"/>
      <w:marLeft w:val="0"/>
      <w:marRight w:val="0"/>
      <w:marTop w:val="0"/>
      <w:marBottom w:val="0"/>
      <w:divBdr>
        <w:top w:val="none" w:sz="0" w:space="0" w:color="auto"/>
        <w:left w:val="none" w:sz="0" w:space="0" w:color="auto"/>
        <w:bottom w:val="none" w:sz="0" w:space="0" w:color="auto"/>
        <w:right w:val="none" w:sz="0" w:space="0" w:color="auto"/>
      </w:divBdr>
    </w:div>
    <w:div w:id="1638140762">
      <w:bodyDiv w:val="1"/>
      <w:marLeft w:val="0"/>
      <w:marRight w:val="0"/>
      <w:marTop w:val="0"/>
      <w:marBottom w:val="0"/>
      <w:divBdr>
        <w:top w:val="none" w:sz="0" w:space="0" w:color="auto"/>
        <w:left w:val="none" w:sz="0" w:space="0" w:color="auto"/>
        <w:bottom w:val="none" w:sz="0" w:space="0" w:color="auto"/>
        <w:right w:val="none" w:sz="0" w:space="0" w:color="auto"/>
      </w:divBdr>
    </w:div>
    <w:div w:id="1639261013">
      <w:bodyDiv w:val="1"/>
      <w:marLeft w:val="0"/>
      <w:marRight w:val="0"/>
      <w:marTop w:val="0"/>
      <w:marBottom w:val="0"/>
      <w:divBdr>
        <w:top w:val="none" w:sz="0" w:space="0" w:color="auto"/>
        <w:left w:val="none" w:sz="0" w:space="0" w:color="auto"/>
        <w:bottom w:val="none" w:sz="0" w:space="0" w:color="auto"/>
        <w:right w:val="none" w:sz="0" w:space="0" w:color="auto"/>
      </w:divBdr>
    </w:div>
    <w:div w:id="1653561069">
      <w:bodyDiv w:val="1"/>
      <w:marLeft w:val="0"/>
      <w:marRight w:val="0"/>
      <w:marTop w:val="0"/>
      <w:marBottom w:val="0"/>
      <w:divBdr>
        <w:top w:val="none" w:sz="0" w:space="0" w:color="auto"/>
        <w:left w:val="none" w:sz="0" w:space="0" w:color="auto"/>
        <w:bottom w:val="none" w:sz="0" w:space="0" w:color="auto"/>
        <w:right w:val="none" w:sz="0" w:space="0" w:color="auto"/>
      </w:divBdr>
    </w:div>
    <w:div w:id="1656301568">
      <w:bodyDiv w:val="1"/>
      <w:marLeft w:val="0"/>
      <w:marRight w:val="0"/>
      <w:marTop w:val="0"/>
      <w:marBottom w:val="0"/>
      <w:divBdr>
        <w:top w:val="none" w:sz="0" w:space="0" w:color="auto"/>
        <w:left w:val="none" w:sz="0" w:space="0" w:color="auto"/>
        <w:bottom w:val="none" w:sz="0" w:space="0" w:color="auto"/>
        <w:right w:val="none" w:sz="0" w:space="0" w:color="auto"/>
      </w:divBdr>
    </w:div>
    <w:div w:id="1699351196">
      <w:bodyDiv w:val="1"/>
      <w:marLeft w:val="0"/>
      <w:marRight w:val="0"/>
      <w:marTop w:val="0"/>
      <w:marBottom w:val="0"/>
      <w:divBdr>
        <w:top w:val="none" w:sz="0" w:space="0" w:color="auto"/>
        <w:left w:val="none" w:sz="0" w:space="0" w:color="auto"/>
        <w:bottom w:val="none" w:sz="0" w:space="0" w:color="auto"/>
        <w:right w:val="none" w:sz="0" w:space="0" w:color="auto"/>
      </w:divBdr>
    </w:div>
    <w:div w:id="1701202386">
      <w:bodyDiv w:val="1"/>
      <w:marLeft w:val="0"/>
      <w:marRight w:val="0"/>
      <w:marTop w:val="0"/>
      <w:marBottom w:val="0"/>
      <w:divBdr>
        <w:top w:val="none" w:sz="0" w:space="0" w:color="auto"/>
        <w:left w:val="none" w:sz="0" w:space="0" w:color="auto"/>
        <w:bottom w:val="none" w:sz="0" w:space="0" w:color="auto"/>
        <w:right w:val="none" w:sz="0" w:space="0" w:color="auto"/>
      </w:divBdr>
    </w:div>
    <w:div w:id="1705868669">
      <w:bodyDiv w:val="1"/>
      <w:marLeft w:val="0"/>
      <w:marRight w:val="0"/>
      <w:marTop w:val="0"/>
      <w:marBottom w:val="0"/>
      <w:divBdr>
        <w:top w:val="none" w:sz="0" w:space="0" w:color="auto"/>
        <w:left w:val="none" w:sz="0" w:space="0" w:color="auto"/>
        <w:bottom w:val="none" w:sz="0" w:space="0" w:color="auto"/>
        <w:right w:val="none" w:sz="0" w:space="0" w:color="auto"/>
      </w:divBdr>
    </w:div>
    <w:div w:id="1719279998">
      <w:bodyDiv w:val="1"/>
      <w:marLeft w:val="0"/>
      <w:marRight w:val="0"/>
      <w:marTop w:val="0"/>
      <w:marBottom w:val="0"/>
      <w:divBdr>
        <w:top w:val="none" w:sz="0" w:space="0" w:color="auto"/>
        <w:left w:val="none" w:sz="0" w:space="0" w:color="auto"/>
        <w:bottom w:val="none" w:sz="0" w:space="0" w:color="auto"/>
        <w:right w:val="none" w:sz="0" w:space="0" w:color="auto"/>
      </w:divBdr>
    </w:div>
    <w:div w:id="1765757270">
      <w:bodyDiv w:val="1"/>
      <w:marLeft w:val="0"/>
      <w:marRight w:val="0"/>
      <w:marTop w:val="0"/>
      <w:marBottom w:val="0"/>
      <w:divBdr>
        <w:top w:val="none" w:sz="0" w:space="0" w:color="auto"/>
        <w:left w:val="none" w:sz="0" w:space="0" w:color="auto"/>
        <w:bottom w:val="none" w:sz="0" w:space="0" w:color="auto"/>
        <w:right w:val="none" w:sz="0" w:space="0" w:color="auto"/>
      </w:divBdr>
    </w:div>
    <w:div w:id="1795564227">
      <w:bodyDiv w:val="1"/>
      <w:marLeft w:val="0"/>
      <w:marRight w:val="0"/>
      <w:marTop w:val="0"/>
      <w:marBottom w:val="0"/>
      <w:divBdr>
        <w:top w:val="none" w:sz="0" w:space="0" w:color="auto"/>
        <w:left w:val="none" w:sz="0" w:space="0" w:color="auto"/>
        <w:bottom w:val="none" w:sz="0" w:space="0" w:color="auto"/>
        <w:right w:val="none" w:sz="0" w:space="0" w:color="auto"/>
      </w:divBdr>
    </w:div>
    <w:div w:id="1796102511">
      <w:bodyDiv w:val="1"/>
      <w:marLeft w:val="0"/>
      <w:marRight w:val="0"/>
      <w:marTop w:val="0"/>
      <w:marBottom w:val="0"/>
      <w:divBdr>
        <w:top w:val="none" w:sz="0" w:space="0" w:color="auto"/>
        <w:left w:val="none" w:sz="0" w:space="0" w:color="auto"/>
        <w:bottom w:val="none" w:sz="0" w:space="0" w:color="auto"/>
        <w:right w:val="none" w:sz="0" w:space="0" w:color="auto"/>
      </w:divBdr>
    </w:div>
    <w:div w:id="1812205950">
      <w:bodyDiv w:val="1"/>
      <w:marLeft w:val="0"/>
      <w:marRight w:val="0"/>
      <w:marTop w:val="0"/>
      <w:marBottom w:val="0"/>
      <w:divBdr>
        <w:top w:val="none" w:sz="0" w:space="0" w:color="auto"/>
        <w:left w:val="none" w:sz="0" w:space="0" w:color="auto"/>
        <w:bottom w:val="none" w:sz="0" w:space="0" w:color="auto"/>
        <w:right w:val="none" w:sz="0" w:space="0" w:color="auto"/>
      </w:divBdr>
    </w:div>
    <w:div w:id="1860775889">
      <w:bodyDiv w:val="1"/>
      <w:marLeft w:val="0"/>
      <w:marRight w:val="0"/>
      <w:marTop w:val="0"/>
      <w:marBottom w:val="0"/>
      <w:divBdr>
        <w:top w:val="none" w:sz="0" w:space="0" w:color="auto"/>
        <w:left w:val="none" w:sz="0" w:space="0" w:color="auto"/>
        <w:bottom w:val="none" w:sz="0" w:space="0" w:color="auto"/>
        <w:right w:val="none" w:sz="0" w:space="0" w:color="auto"/>
      </w:divBdr>
    </w:div>
    <w:div w:id="1878005198">
      <w:bodyDiv w:val="1"/>
      <w:marLeft w:val="0"/>
      <w:marRight w:val="0"/>
      <w:marTop w:val="0"/>
      <w:marBottom w:val="0"/>
      <w:divBdr>
        <w:top w:val="none" w:sz="0" w:space="0" w:color="auto"/>
        <w:left w:val="none" w:sz="0" w:space="0" w:color="auto"/>
        <w:bottom w:val="none" w:sz="0" w:space="0" w:color="auto"/>
        <w:right w:val="none" w:sz="0" w:space="0" w:color="auto"/>
      </w:divBdr>
    </w:div>
    <w:div w:id="1879970133">
      <w:bodyDiv w:val="1"/>
      <w:marLeft w:val="0"/>
      <w:marRight w:val="0"/>
      <w:marTop w:val="0"/>
      <w:marBottom w:val="0"/>
      <w:divBdr>
        <w:top w:val="none" w:sz="0" w:space="0" w:color="auto"/>
        <w:left w:val="none" w:sz="0" w:space="0" w:color="auto"/>
        <w:bottom w:val="none" w:sz="0" w:space="0" w:color="auto"/>
        <w:right w:val="none" w:sz="0" w:space="0" w:color="auto"/>
      </w:divBdr>
    </w:div>
    <w:div w:id="1940209732">
      <w:bodyDiv w:val="1"/>
      <w:marLeft w:val="0"/>
      <w:marRight w:val="0"/>
      <w:marTop w:val="0"/>
      <w:marBottom w:val="0"/>
      <w:divBdr>
        <w:top w:val="none" w:sz="0" w:space="0" w:color="auto"/>
        <w:left w:val="none" w:sz="0" w:space="0" w:color="auto"/>
        <w:bottom w:val="none" w:sz="0" w:space="0" w:color="auto"/>
        <w:right w:val="none" w:sz="0" w:space="0" w:color="auto"/>
      </w:divBdr>
    </w:div>
    <w:div w:id="1979189916">
      <w:bodyDiv w:val="1"/>
      <w:marLeft w:val="0"/>
      <w:marRight w:val="0"/>
      <w:marTop w:val="0"/>
      <w:marBottom w:val="0"/>
      <w:divBdr>
        <w:top w:val="none" w:sz="0" w:space="0" w:color="auto"/>
        <w:left w:val="none" w:sz="0" w:space="0" w:color="auto"/>
        <w:bottom w:val="none" w:sz="0" w:space="0" w:color="auto"/>
        <w:right w:val="none" w:sz="0" w:space="0" w:color="auto"/>
      </w:divBdr>
    </w:div>
    <w:div w:id="1979874141">
      <w:bodyDiv w:val="1"/>
      <w:marLeft w:val="0"/>
      <w:marRight w:val="0"/>
      <w:marTop w:val="0"/>
      <w:marBottom w:val="0"/>
      <w:divBdr>
        <w:top w:val="none" w:sz="0" w:space="0" w:color="auto"/>
        <w:left w:val="none" w:sz="0" w:space="0" w:color="auto"/>
        <w:bottom w:val="none" w:sz="0" w:space="0" w:color="auto"/>
        <w:right w:val="none" w:sz="0" w:space="0" w:color="auto"/>
      </w:divBdr>
    </w:div>
    <w:div w:id="2062943031">
      <w:bodyDiv w:val="1"/>
      <w:marLeft w:val="0"/>
      <w:marRight w:val="0"/>
      <w:marTop w:val="0"/>
      <w:marBottom w:val="0"/>
      <w:divBdr>
        <w:top w:val="none" w:sz="0" w:space="0" w:color="auto"/>
        <w:left w:val="none" w:sz="0" w:space="0" w:color="auto"/>
        <w:bottom w:val="none" w:sz="0" w:space="0" w:color="auto"/>
        <w:right w:val="none" w:sz="0" w:space="0" w:color="auto"/>
      </w:divBdr>
    </w:div>
    <w:div w:id="2129203769">
      <w:bodyDiv w:val="1"/>
      <w:marLeft w:val="0"/>
      <w:marRight w:val="0"/>
      <w:marTop w:val="0"/>
      <w:marBottom w:val="0"/>
      <w:divBdr>
        <w:top w:val="none" w:sz="0" w:space="0" w:color="auto"/>
        <w:left w:val="none" w:sz="0" w:space="0" w:color="auto"/>
        <w:bottom w:val="none" w:sz="0" w:space="0" w:color="auto"/>
        <w:right w:val="none" w:sz="0" w:space="0" w:color="auto"/>
      </w:divBdr>
    </w:div>
    <w:div w:id="2133596302">
      <w:bodyDiv w:val="1"/>
      <w:marLeft w:val="0"/>
      <w:marRight w:val="0"/>
      <w:marTop w:val="0"/>
      <w:marBottom w:val="0"/>
      <w:divBdr>
        <w:top w:val="none" w:sz="0" w:space="0" w:color="auto"/>
        <w:left w:val="none" w:sz="0" w:space="0" w:color="auto"/>
        <w:bottom w:val="none" w:sz="0" w:space="0" w:color="auto"/>
        <w:right w:val="none" w:sz="0" w:space="0" w:color="auto"/>
      </w:divBdr>
    </w:div>
    <w:div w:id="213728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www.ons.gov.uk/" TargetMode="External"/><Relationship Id="rId26" Type="http://schemas.openxmlformats.org/officeDocument/2006/relationships/image" Target="media/image18.png"/><Relationship Id="rId39" Type="http://schemas.openxmlformats.org/officeDocument/2006/relationships/hyperlink" Target="https://tradingeconomics.com/united-kingdom/gdp-per-capita-ppp" TargetMode="External"/><Relationship Id="rId21" Type="http://schemas.openxmlformats.org/officeDocument/2006/relationships/image" Target="media/image13.png"/><Relationship Id="rId34" Type="http://schemas.openxmlformats.org/officeDocument/2006/relationships/hyperlink" Target="https://tradingeconomics.com/united-kingdom/monthly-gdp-mom" TargetMode="External"/><Relationship Id="rId42" Type="http://schemas.openxmlformats.org/officeDocument/2006/relationships/image" Target="media/image22.png"/><Relationship Id="rId47" Type="http://schemas.openxmlformats.org/officeDocument/2006/relationships/image" Target="media/image24.png"/><Relationship Id="rId50" Type="http://schemas.openxmlformats.org/officeDocument/2006/relationships/hyperlink" Target="https://www.worldbank.org/" TargetMode="External"/><Relationship Id="rId55" Type="http://schemas.openxmlformats.org/officeDocument/2006/relationships/image" Target="media/image28.png"/><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tradingeconomics.com/united-kingdom/gdp-growth" TargetMode="Externa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hyperlink" Target="https://tradingeconomics.com/united-kingdom/gross-national-product" TargetMode="External"/><Relationship Id="rId37" Type="http://schemas.openxmlformats.org/officeDocument/2006/relationships/hyperlink" Target="https://tradingeconomics.com/united-kingdom/gdp" TargetMode="External"/><Relationship Id="rId40" Type="http://schemas.openxmlformats.org/officeDocument/2006/relationships/hyperlink" Target="https://tradingeconomics.com/united-kingdom/full-year-gdp-growth" TargetMode="External"/><Relationship Id="rId45" Type="http://schemas.openxmlformats.org/officeDocument/2006/relationships/chart" Target="charts/chart2.xml"/><Relationship Id="rId53" Type="http://schemas.openxmlformats.org/officeDocument/2006/relationships/chart" Target="charts/chart5.xml"/><Relationship Id="rId58" Type="http://schemas.openxmlformats.org/officeDocument/2006/relationships/image" Target="media/image29.png"/><Relationship Id="rId5" Type="http://schemas.openxmlformats.org/officeDocument/2006/relationships/footnotes" Target="footnotes.xml"/><Relationship Id="rId61" Type="http://schemas.openxmlformats.org/officeDocument/2006/relationships/hyperlink" Target="http://www.pwc.co.uk/economic-services/assets/leaving-the-eu-implications-for-the-ukeconomy.pdf" TargetMode="External"/><Relationship Id="rId19" Type="http://schemas.openxmlformats.org/officeDocument/2006/relationships/image" Target="media/image12.png"/><Relationship Id="rId14" Type="http://schemas.openxmlformats.org/officeDocument/2006/relationships/image" Target="media/image8.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yperlink" Target="https://tradingeconomics.com/united-kingdom/gdp-growth-annual" TargetMode="External"/><Relationship Id="rId35" Type="http://schemas.openxmlformats.org/officeDocument/2006/relationships/hyperlink" Target="https://tradingeconomics.com/united-kingdom/gdp-from-manufacturing" TargetMode="External"/><Relationship Id="rId43" Type="http://schemas.openxmlformats.org/officeDocument/2006/relationships/image" Target="media/image23.png"/><Relationship Id="rId48" Type="http://schemas.openxmlformats.org/officeDocument/2006/relationships/image" Target="media/image25.png"/><Relationship Id="rId56" Type="http://schemas.openxmlformats.org/officeDocument/2006/relationships/chart" Target="charts/chart6.xml"/><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chart" Target="charts/chart4.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7.png"/><Relationship Id="rId33" Type="http://schemas.openxmlformats.org/officeDocument/2006/relationships/hyperlink" Target="https://tradingeconomics.com/united-kingdom/monthly-gdp-yoy" TargetMode="External"/><Relationship Id="rId38" Type="http://schemas.openxmlformats.org/officeDocument/2006/relationships/hyperlink" Target="https://tradingeconomics.com/united-kingdom/gdp-per-capita" TargetMode="External"/><Relationship Id="rId46" Type="http://schemas.openxmlformats.org/officeDocument/2006/relationships/chart" Target="charts/chart3.xml"/><Relationship Id="rId59" Type="http://schemas.openxmlformats.org/officeDocument/2006/relationships/hyperlink" Target="https://doi.org/10.1111/j.1468-0297.1997.tb00081.x" TargetMode="External"/><Relationship Id="rId20" Type="http://schemas.openxmlformats.org/officeDocument/2006/relationships/hyperlink" Target="http://www.ons.gov.uk/" TargetMode="External"/><Relationship Id="rId41" Type="http://schemas.openxmlformats.org/officeDocument/2006/relationships/image" Target="media/image21.png"/><Relationship Id="rId54" Type="http://schemas.openxmlformats.org/officeDocument/2006/relationships/hyperlink" Target="https://www.gov.uk/government/news/uk-tech-sector"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tradingeconomics.com/united-kingdom/gdp-from-services" TargetMode="External"/><Relationship Id="rId49" Type="http://schemas.openxmlformats.org/officeDocument/2006/relationships/image" Target="media/image26.png"/><Relationship Id="rId57" Type="http://schemas.openxmlformats.org/officeDocument/2006/relationships/chart" Target="charts/chart7.xml"/><Relationship Id="rId10" Type="http://schemas.openxmlformats.org/officeDocument/2006/relationships/image" Target="media/image4.png"/><Relationship Id="rId31" Type="http://schemas.openxmlformats.org/officeDocument/2006/relationships/hyperlink" Target="https://tradingeconomics.com/united-kingdom/gdp-constant-prices" TargetMode="External"/><Relationship Id="rId44" Type="http://schemas.openxmlformats.org/officeDocument/2006/relationships/chart" Target="charts/chart1.xml"/><Relationship Id="rId52" Type="http://schemas.openxmlformats.org/officeDocument/2006/relationships/image" Target="media/image27.png"/><Relationship Id="rId60" Type="http://schemas.openxmlformats.org/officeDocument/2006/relationships/hyperlink" Target="http://cep.lse.ac.uk/pubs/download/brexit02.pdf" TargetMode="External"/><Relationship Id="rId4" Type="http://schemas.openxmlformats.org/officeDocument/2006/relationships/webSettings" Target="webSettings.xml"/><Relationship Id="rId9"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azizta01\Downloads\API_NY.GDP.MKTP.CD_DS2_en_excel_v2_3401502.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zizta01\Downloads\API_NY.GDP.MKTP.CD_DS2_en_excel_v2_3401502.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zizta01\Downloads\API_NY.GDP.MKTP.CD_DS2_en_excel_v2_3401502.xls"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zizta01\Downloads\Figure_4__New_work_infrastructure_construction_in_total_increased_in_the_year_to_2021_by_&#163;7.3_billion,_with_a_large_increase_in_new_work_road_infrastructure_of_&#163;5.6_billion.csv"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zizta01\Downloads\API_BX.KLT.DINV.WD.GD.ZS_DS2_en_excel_v2_3122763.xls"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zizta01\Downloads\Figure_3__Infrastructure_share_of_general_government_investment_increased_in_2021_by_2.6_percentage_points.csv" TargetMode="External"/><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Sheet1!$C$4</c:f>
              <c:strCache>
                <c:ptCount val="1"/>
                <c:pt idx="0">
                  <c:v>NET FDI - Billions</c:v>
                </c:pt>
              </c:strCache>
            </c:strRef>
          </c:tx>
          <c:spPr>
            <a:ln w="381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forward val="2"/>
            <c:dispRSqr val="1"/>
            <c:dispEq val="1"/>
            <c:trendlineLbl>
              <c:layout>
                <c:manualLayout>
                  <c:x val="9.2625182849380816E-2"/>
                  <c:y val="-0.16708333333333333"/>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trendline>
            <c:spPr>
              <a:ln w="19050" cap="rnd">
                <a:solidFill>
                  <a:schemeClr val="accent1"/>
                </a:solidFill>
                <a:prstDash val="sysDot"/>
              </a:ln>
              <a:effectLst/>
            </c:spPr>
            <c:trendlineType val="movingAvg"/>
            <c:period val="2"/>
            <c:dispRSqr val="0"/>
            <c:dispEq val="0"/>
          </c:trendline>
          <c:trendline>
            <c:spPr>
              <a:ln w="19050" cap="rnd">
                <a:solidFill>
                  <a:schemeClr val="accent5">
                    <a:lumMod val="40000"/>
                    <a:lumOff val="60000"/>
                  </a:schemeClr>
                </a:solidFill>
                <a:prstDash val="sysDot"/>
              </a:ln>
              <a:effectLst/>
            </c:spPr>
            <c:trendlineType val="linear"/>
            <c:dispRSqr val="0"/>
            <c:dispEq val="0"/>
          </c:trendline>
          <c:xVal>
            <c:numRef>
              <c:f>Sheet1!$B$5:$B$13</c:f>
              <c:numCache>
                <c:formatCode>General</c:formatCode>
                <c:ptCount val="9"/>
                <c:pt idx="0">
                  <c:v>2015</c:v>
                </c:pt>
                <c:pt idx="1">
                  <c:v>2016</c:v>
                </c:pt>
                <c:pt idx="2">
                  <c:v>2017</c:v>
                </c:pt>
                <c:pt idx="3">
                  <c:v>2018</c:v>
                </c:pt>
                <c:pt idx="4">
                  <c:v>2019</c:v>
                </c:pt>
                <c:pt idx="5">
                  <c:v>2020</c:v>
                </c:pt>
                <c:pt idx="6">
                  <c:v>2021</c:v>
                </c:pt>
                <c:pt idx="7">
                  <c:v>2022</c:v>
                </c:pt>
                <c:pt idx="8">
                  <c:v>2023</c:v>
                </c:pt>
              </c:numCache>
            </c:numRef>
          </c:xVal>
          <c:yVal>
            <c:numRef>
              <c:f>Sheet1!$C$5:$C$13</c:f>
              <c:numCache>
                <c:formatCode>General</c:formatCode>
                <c:ptCount val="9"/>
                <c:pt idx="0">
                  <c:v>-105.51</c:v>
                </c:pt>
                <c:pt idx="1">
                  <c:v>-291.89999999999998</c:v>
                </c:pt>
                <c:pt idx="2">
                  <c:v>46.69</c:v>
                </c:pt>
                <c:pt idx="3">
                  <c:v>-3.58</c:v>
                </c:pt>
                <c:pt idx="4">
                  <c:v>-41.29</c:v>
                </c:pt>
                <c:pt idx="5">
                  <c:v>-140.80000000000001</c:v>
                </c:pt>
                <c:pt idx="6">
                  <c:v>155.01</c:v>
                </c:pt>
                <c:pt idx="7">
                  <c:v>79.989999999999995</c:v>
                </c:pt>
                <c:pt idx="8">
                  <c:v>90.03</c:v>
                </c:pt>
              </c:numCache>
            </c:numRef>
          </c:yVal>
          <c:smooth val="0"/>
          <c:extLst>
            <c:ext xmlns:c16="http://schemas.microsoft.com/office/drawing/2014/chart" uri="{C3380CC4-5D6E-409C-BE32-E72D297353CC}">
              <c16:uniqueId val="{00000004-931F-410F-8AC0-64A1F3DEAA48}"/>
            </c:ext>
          </c:extLst>
        </c:ser>
        <c:dLbls>
          <c:showLegendKey val="0"/>
          <c:showVal val="0"/>
          <c:showCatName val="0"/>
          <c:showSerName val="0"/>
          <c:showPercent val="0"/>
          <c:showBubbleSize val="0"/>
        </c:dLbls>
        <c:axId val="515521151"/>
        <c:axId val="515518271"/>
      </c:scatterChart>
      <c:valAx>
        <c:axId val="51552115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518271"/>
        <c:crosses val="autoZero"/>
        <c:crossBetween val="midCat"/>
      </c:valAx>
      <c:valAx>
        <c:axId val="5155182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5521151"/>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27329539060570029"/>
          <c:y val="4.4585094438127137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Sheet1!$C$4</c:f>
              <c:strCache>
                <c:ptCount val="1"/>
                <c:pt idx="0">
                  <c:v>NET FDI - Billions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1"/>
            <c:dispEq val="1"/>
            <c:trendlineLbl>
              <c:layout>
                <c:manualLayout>
                  <c:x val="1.7397034035024218E-2"/>
                  <c:y val="-0.17675899504387566"/>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Sheet1!$B$5:$B$13</c:f>
              <c:numCache>
                <c:formatCode>General</c:formatCode>
                <c:ptCount val="9"/>
                <c:pt idx="0">
                  <c:v>2015</c:v>
                </c:pt>
                <c:pt idx="1">
                  <c:v>2016</c:v>
                </c:pt>
                <c:pt idx="2">
                  <c:v>2017</c:v>
                </c:pt>
                <c:pt idx="3">
                  <c:v>2018</c:v>
                </c:pt>
                <c:pt idx="4">
                  <c:v>2019</c:v>
                </c:pt>
                <c:pt idx="5">
                  <c:v>2020</c:v>
                </c:pt>
                <c:pt idx="6">
                  <c:v>2021</c:v>
                </c:pt>
                <c:pt idx="7">
                  <c:v>2022</c:v>
                </c:pt>
                <c:pt idx="8">
                  <c:v>2023</c:v>
                </c:pt>
              </c:numCache>
            </c:numRef>
          </c:xVal>
          <c:yVal>
            <c:numRef>
              <c:f>Sheet1!$C$5:$C$13</c:f>
              <c:numCache>
                <c:formatCode>General</c:formatCode>
                <c:ptCount val="9"/>
                <c:pt idx="0">
                  <c:v>-105.51</c:v>
                </c:pt>
                <c:pt idx="1">
                  <c:v>-291.89999999999998</c:v>
                </c:pt>
                <c:pt idx="2">
                  <c:v>46.69</c:v>
                </c:pt>
                <c:pt idx="3">
                  <c:v>-3.58</c:v>
                </c:pt>
                <c:pt idx="4">
                  <c:v>-41.29</c:v>
                </c:pt>
                <c:pt idx="5">
                  <c:v>-140.80000000000001</c:v>
                </c:pt>
                <c:pt idx="6">
                  <c:v>155.01</c:v>
                </c:pt>
                <c:pt idx="7">
                  <c:v>79.989999999999995</c:v>
                </c:pt>
                <c:pt idx="8">
                  <c:v>90.03</c:v>
                </c:pt>
              </c:numCache>
            </c:numRef>
          </c:yVal>
          <c:smooth val="0"/>
          <c:extLst>
            <c:ext xmlns:c16="http://schemas.microsoft.com/office/drawing/2014/chart" uri="{C3380CC4-5D6E-409C-BE32-E72D297353CC}">
              <c16:uniqueId val="{00000001-1994-45D5-A76A-7C12A5BB9F1D}"/>
            </c:ext>
          </c:extLst>
        </c:ser>
        <c:dLbls>
          <c:dLblPos val="t"/>
          <c:showLegendKey val="0"/>
          <c:showVal val="1"/>
          <c:showCatName val="0"/>
          <c:showSerName val="0"/>
          <c:showPercent val="0"/>
          <c:showBubbleSize val="0"/>
        </c:dLbls>
        <c:axId val="878906015"/>
        <c:axId val="878895935"/>
      </c:scatterChart>
      <c:valAx>
        <c:axId val="8789060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895935"/>
        <c:crosses val="autoZero"/>
        <c:crossBetween val="midCat"/>
      </c:valAx>
      <c:valAx>
        <c:axId val="8788959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8906015"/>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Sheet1!$E$4</c:f>
              <c:strCache>
                <c:ptCount val="1"/>
                <c:pt idx="0">
                  <c:v>Unemployment Rate</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3"/>
                </a:solidFill>
                <a:prstDash val="sysDot"/>
              </a:ln>
              <a:effectLst/>
            </c:spPr>
            <c:trendlineType val="linear"/>
            <c:dispRSqr val="1"/>
            <c:dispEq val="1"/>
            <c:trendlineLbl>
              <c:layout>
                <c:manualLayout>
                  <c:x val="4.5533084597355084E-2"/>
                  <c:y val="-0.30463892970119849"/>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cat>
            <c:numRef>
              <c:f>Sheet1!$B$5:$B$13</c:f>
              <c:numCache>
                <c:formatCode>General</c:formatCode>
                <c:ptCount val="9"/>
                <c:pt idx="0">
                  <c:v>2015</c:v>
                </c:pt>
                <c:pt idx="1">
                  <c:v>2016</c:v>
                </c:pt>
                <c:pt idx="2">
                  <c:v>2017</c:v>
                </c:pt>
                <c:pt idx="3">
                  <c:v>2018</c:v>
                </c:pt>
                <c:pt idx="4">
                  <c:v>2019</c:v>
                </c:pt>
                <c:pt idx="5">
                  <c:v>2020</c:v>
                </c:pt>
                <c:pt idx="6">
                  <c:v>2021</c:v>
                </c:pt>
                <c:pt idx="7">
                  <c:v>2022</c:v>
                </c:pt>
                <c:pt idx="8">
                  <c:v>2023</c:v>
                </c:pt>
              </c:numCache>
            </c:numRef>
          </c:cat>
          <c:val>
            <c:numRef>
              <c:f>Sheet1!$E$5:$E$13</c:f>
              <c:numCache>
                <c:formatCode>General</c:formatCode>
                <c:ptCount val="9"/>
                <c:pt idx="0">
                  <c:v>5.4</c:v>
                </c:pt>
                <c:pt idx="1">
                  <c:v>4.9000000000000004</c:v>
                </c:pt>
                <c:pt idx="2">
                  <c:v>4.4000000000000004</c:v>
                </c:pt>
                <c:pt idx="3">
                  <c:v>4.2</c:v>
                </c:pt>
                <c:pt idx="4">
                  <c:v>3.9</c:v>
                </c:pt>
                <c:pt idx="5">
                  <c:v>4.7</c:v>
                </c:pt>
                <c:pt idx="6">
                  <c:v>4.5999999999999996</c:v>
                </c:pt>
                <c:pt idx="7">
                  <c:v>3.9</c:v>
                </c:pt>
                <c:pt idx="8">
                  <c:v>4</c:v>
                </c:pt>
              </c:numCache>
            </c:numRef>
          </c:val>
          <c:smooth val="0"/>
          <c:extLst>
            <c:ext xmlns:c16="http://schemas.microsoft.com/office/drawing/2014/chart" uri="{C3380CC4-5D6E-409C-BE32-E72D297353CC}">
              <c16:uniqueId val="{00000001-1FFF-4546-93DF-D8B481A498EB}"/>
            </c:ext>
          </c:extLst>
        </c:ser>
        <c:dLbls>
          <c:dLblPos val="t"/>
          <c:showLegendKey val="0"/>
          <c:showVal val="1"/>
          <c:showCatName val="0"/>
          <c:showSerName val="0"/>
          <c:showPercent val="0"/>
          <c:showBubbleSize val="0"/>
        </c:dLbls>
        <c:smooth val="0"/>
        <c:axId val="1067127327"/>
        <c:axId val="1067122527"/>
      </c:lineChart>
      <c:catAx>
        <c:axId val="10671273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122527"/>
        <c:crosses val="autoZero"/>
        <c:auto val="1"/>
        <c:lblAlgn val="ctr"/>
        <c:lblOffset val="100"/>
        <c:noMultiLvlLbl val="0"/>
      </c:catAx>
      <c:valAx>
        <c:axId val="1067122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1273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Sheet1!$C$3</c:f>
              <c:strCache>
                <c:ptCount val="1"/>
                <c:pt idx="0">
                  <c:v>Ukraine</c:v>
                </c:pt>
              </c:strCache>
            </c:strRef>
          </c:tx>
          <c:spPr>
            <a:solidFill>
              <a:schemeClr val="accent1"/>
            </a:solidFill>
            <a:ln>
              <a:noFill/>
            </a:ln>
            <a:effectLst/>
          </c:spPr>
          <c:invertIfNegative val="0"/>
          <c:cat>
            <c:strRef>
              <c:f>Sheet1!$D$2</c:f>
              <c:strCache>
                <c:ptCount val="1"/>
                <c:pt idx="0">
                  <c:v>Political stability, 2022 </c:v>
                </c:pt>
              </c:strCache>
            </c:strRef>
          </c:cat>
          <c:val>
            <c:numRef>
              <c:f>Sheet1!$D$3</c:f>
              <c:numCache>
                <c:formatCode>General</c:formatCode>
                <c:ptCount val="1"/>
                <c:pt idx="0">
                  <c:v>-2</c:v>
                </c:pt>
              </c:numCache>
            </c:numRef>
          </c:val>
          <c:extLst>
            <c:ext xmlns:c16="http://schemas.microsoft.com/office/drawing/2014/chart" uri="{C3380CC4-5D6E-409C-BE32-E72D297353CC}">
              <c16:uniqueId val="{00000000-F99F-4378-872F-914A1BC1E54C}"/>
            </c:ext>
          </c:extLst>
        </c:ser>
        <c:ser>
          <c:idx val="1"/>
          <c:order val="1"/>
          <c:tx>
            <c:strRef>
              <c:f>Sheet1!$C$4</c:f>
              <c:strCache>
                <c:ptCount val="1"/>
                <c:pt idx="0">
                  <c:v>Turkey</c:v>
                </c:pt>
              </c:strCache>
            </c:strRef>
          </c:tx>
          <c:spPr>
            <a:solidFill>
              <a:schemeClr val="accent2"/>
            </a:solidFill>
            <a:ln>
              <a:noFill/>
            </a:ln>
            <a:effectLst/>
          </c:spPr>
          <c:invertIfNegative val="0"/>
          <c:cat>
            <c:strRef>
              <c:f>Sheet1!$D$2</c:f>
              <c:strCache>
                <c:ptCount val="1"/>
                <c:pt idx="0">
                  <c:v>Political stability, 2022 </c:v>
                </c:pt>
              </c:strCache>
            </c:strRef>
          </c:cat>
          <c:val>
            <c:numRef>
              <c:f>Sheet1!$D$4</c:f>
              <c:numCache>
                <c:formatCode>General</c:formatCode>
                <c:ptCount val="1"/>
                <c:pt idx="0">
                  <c:v>-1.04</c:v>
                </c:pt>
              </c:numCache>
            </c:numRef>
          </c:val>
          <c:extLst>
            <c:ext xmlns:c16="http://schemas.microsoft.com/office/drawing/2014/chart" uri="{C3380CC4-5D6E-409C-BE32-E72D297353CC}">
              <c16:uniqueId val="{00000001-F99F-4378-872F-914A1BC1E54C}"/>
            </c:ext>
          </c:extLst>
        </c:ser>
        <c:ser>
          <c:idx val="2"/>
          <c:order val="2"/>
          <c:tx>
            <c:strRef>
              <c:f>Sheet1!$C$5</c:f>
              <c:strCache>
                <c:ptCount val="1"/>
                <c:pt idx="0">
                  <c:v>Russia</c:v>
                </c:pt>
              </c:strCache>
            </c:strRef>
          </c:tx>
          <c:spPr>
            <a:solidFill>
              <a:schemeClr val="accent3"/>
            </a:solidFill>
            <a:ln>
              <a:noFill/>
            </a:ln>
            <a:effectLst/>
          </c:spPr>
          <c:invertIfNegative val="0"/>
          <c:cat>
            <c:strRef>
              <c:f>Sheet1!$D$2</c:f>
              <c:strCache>
                <c:ptCount val="1"/>
                <c:pt idx="0">
                  <c:v>Political stability, 2022 </c:v>
                </c:pt>
              </c:strCache>
            </c:strRef>
          </c:cat>
          <c:val>
            <c:numRef>
              <c:f>Sheet1!$D$5</c:f>
              <c:numCache>
                <c:formatCode>General</c:formatCode>
                <c:ptCount val="1"/>
                <c:pt idx="0">
                  <c:v>-0.92</c:v>
                </c:pt>
              </c:numCache>
            </c:numRef>
          </c:val>
          <c:extLst>
            <c:ext xmlns:c16="http://schemas.microsoft.com/office/drawing/2014/chart" uri="{C3380CC4-5D6E-409C-BE32-E72D297353CC}">
              <c16:uniqueId val="{00000002-F99F-4378-872F-914A1BC1E54C}"/>
            </c:ext>
          </c:extLst>
        </c:ser>
        <c:ser>
          <c:idx val="3"/>
          <c:order val="3"/>
          <c:tx>
            <c:strRef>
              <c:f>Sheet1!$C$6</c:f>
              <c:strCache>
                <c:ptCount val="1"/>
                <c:pt idx="0">
                  <c:v>Spain</c:v>
                </c:pt>
              </c:strCache>
            </c:strRef>
          </c:tx>
          <c:spPr>
            <a:solidFill>
              <a:schemeClr val="accent4"/>
            </a:solidFill>
            <a:ln>
              <a:noFill/>
            </a:ln>
            <a:effectLst/>
          </c:spPr>
          <c:invertIfNegative val="0"/>
          <c:cat>
            <c:strRef>
              <c:f>Sheet1!$D$2</c:f>
              <c:strCache>
                <c:ptCount val="1"/>
                <c:pt idx="0">
                  <c:v>Political stability, 2022 </c:v>
                </c:pt>
              </c:strCache>
            </c:strRef>
          </c:cat>
          <c:val>
            <c:numRef>
              <c:f>Sheet1!$D$6</c:f>
              <c:numCache>
                <c:formatCode>General</c:formatCode>
                <c:ptCount val="1"/>
                <c:pt idx="0">
                  <c:v>0.27</c:v>
                </c:pt>
              </c:numCache>
            </c:numRef>
          </c:val>
          <c:extLst>
            <c:ext xmlns:c16="http://schemas.microsoft.com/office/drawing/2014/chart" uri="{C3380CC4-5D6E-409C-BE32-E72D297353CC}">
              <c16:uniqueId val="{00000003-F99F-4378-872F-914A1BC1E54C}"/>
            </c:ext>
          </c:extLst>
        </c:ser>
        <c:ser>
          <c:idx val="4"/>
          <c:order val="4"/>
          <c:tx>
            <c:strRef>
              <c:f>Sheet1!$C$7</c:f>
              <c:strCache>
                <c:ptCount val="1"/>
                <c:pt idx="0">
                  <c:v>France</c:v>
                </c:pt>
              </c:strCache>
            </c:strRef>
          </c:tx>
          <c:spPr>
            <a:solidFill>
              <a:schemeClr val="accent5"/>
            </a:solidFill>
            <a:ln>
              <a:noFill/>
            </a:ln>
            <a:effectLst/>
          </c:spPr>
          <c:invertIfNegative val="0"/>
          <c:cat>
            <c:strRef>
              <c:f>Sheet1!$D$2</c:f>
              <c:strCache>
                <c:ptCount val="1"/>
                <c:pt idx="0">
                  <c:v>Political stability, 2022 </c:v>
                </c:pt>
              </c:strCache>
            </c:strRef>
          </c:cat>
          <c:val>
            <c:numRef>
              <c:f>Sheet1!$D$7</c:f>
              <c:numCache>
                <c:formatCode>General</c:formatCode>
                <c:ptCount val="1"/>
                <c:pt idx="0">
                  <c:v>0.33</c:v>
                </c:pt>
              </c:numCache>
            </c:numRef>
          </c:val>
          <c:extLst>
            <c:ext xmlns:c16="http://schemas.microsoft.com/office/drawing/2014/chart" uri="{C3380CC4-5D6E-409C-BE32-E72D297353CC}">
              <c16:uniqueId val="{00000004-F99F-4378-872F-914A1BC1E54C}"/>
            </c:ext>
          </c:extLst>
        </c:ser>
        <c:ser>
          <c:idx val="5"/>
          <c:order val="5"/>
          <c:tx>
            <c:strRef>
              <c:f>Sheet1!$C$8</c:f>
              <c:strCache>
                <c:ptCount val="1"/>
                <c:pt idx="0">
                  <c:v>Italy</c:v>
                </c:pt>
              </c:strCache>
            </c:strRef>
          </c:tx>
          <c:spPr>
            <a:solidFill>
              <a:schemeClr val="accent6"/>
            </a:solidFill>
            <a:ln>
              <a:noFill/>
            </a:ln>
            <a:effectLst/>
          </c:spPr>
          <c:invertIfNegative val="0"/>
          <c:cat>
            <c:strRef>
              <c:f>Sheet1!$D$2</c:f>
              <c:strCache>
                <c:ptCount val="1"/>
                <c:pt idx="0">
                  <c:v>Political stability, 2022 </c:v>
                </c:pt>
              </c:strCache>
            </c:strRef>
          </c:cat>
          <c:val>
            <c:numRef>
              <c:f>Sheet1!$D$8</c:f>
              <c:numCache>
                <c:formatCode>General</c:formatCode>
                <c:ptCount val="1"/>
                <c:pt idx="0">
                  <c:v>0.41</c:v>
                </c:pt>
              </c:numCache>
            </c:numRef>
          </c:val>
          <c:extLst>
            <c:ext xmlns:c16="http://schemas.microsoft.com/office/drawing/2014/chart" uri="{C3380CC4-5D6E-409C-BE32-E72D297353CC}">
              <c16:uniqueId val="{00000005-F99F-4378-872F-914A1BC1E54C}"/>
            </c:ext>
          </c:extLst>
        </c:ser>
        <c:ser>
          <c:idx val="6"/>
          <c:order val="6"/>
          <c:tx>
            <c:strRef>
              <c:f>Sheet1!$C$9</c:f>
              <c:strCache>
                <c:ptCount val="1"/>
                <c:pt idx="0">
                  <c:v>Romania</c:v>
                </c:pt>
              </c:strCache>
            </c:strRef>
          </c:tx>
          <c:spPr>
            <a:solidFill>
              <a:schemeClr val="accent1">
                <a:lumMod val="60000"/>
              </a:schemeClr>
            </a:solidFill>
            <a:ln>
              <a:noFill/>
            </a:ln>
            <a:effectLst/>
          </c:spPr>
          <c:invertIfNegative val="0"/>
          <c:cat>
            <c:strRef>
              <c:f>Sheet1!$D$2</c:f>
              <c:strCache>
                <c:ptCount val="1"/>
                <c:pt idx="0">
                  <c:v>Political stability, 2022 </c:v>
                </c:pt>
              </c:strCache>
            </c:strRef>
          </c:cat>
          <c:val>
            <c:numRef>
              <c:f>Sheet1!$D$9</c:f>
              <c:numCache>
                <c:formatCode>General</c:formatCode>
                <c:ptCount val="1"/>
                <c:pt idx="0">
                  <c:v>0.49</c:v>
                </c:pt>
              </c:numCache>
            </c:numRef>
          </c:val>
          <c:extLst>
            <c:ext xmlns:c16="http://schemas.microsoft.com/office/drawing/2014/chart" uri="{C3380CC4-5D6E-409C-BE32-E72D297353CC}">
              <c16:uniqueId val="{00000006-F99F-4378-872F-914A1BC1E54C}"/>
            </c:ext>
          </c:extLst>
        </c:ser>
        <c:ser>
          <c:idx val="7"/>
          <c:order val="7"/>
          <c:tx>
            <c:strRef>
              <c:f>Sheet1!$C$10</c:f>
              <c:strCache>
                <c:ptCount val="1"/>
                <c:pt idx="0">
                  <c:v>UK</c:v>
                </c:pt>
              </c:strCache>
            </c:strRef>
          </c:tx>
          <c:spPr>
            <a:solidFill>
              <a:schemeClr val="accent2">
                <a:lumMod val="60000"/>
              </a:schemeClr>
            </a:solidFill>
            <a:ln>
              <a:noFill/>
            </a:ln>
            <a:effectLst/>
          </c:spPr>
          <c:invertIfNegative val="0"/>
          <c:cat>
            <c:strRef>
              <c:f>Sheet1!$D$2</c:f>
              <c:strCache>
                <c:ptCount val="1"/>
                <c:pt idx="0">
                  <c:v>Political stability, 2022 </c:v>
                </c:pt>
              </c:strCache>
            </c:strRef>
          </c:cat>
          <c:val>
            <c:numRef>
              <c:f>Sheet1!$D$10</c:f>
              <c:numCache>
                <c:formatCode>General</c:formatCode>
                <c:ptCount val="1"/>
                <c:pt idx="0">
                  <c:v>0.5</c:v>
                </c:pt>
              </c:numCache>
            </c:numRef>
          </c:val>
          <c:extLst>
            <c:ext xmlns:c16="http://schemas.microsoft.com/office/drawing/2014/chart" uri="{C3380CC4-5D6E-409C-BE32-E72D297353CC}">
              <c16:uniqueId val="{00000007-F99F-4378-872F-914A1BC1E54C}"/>
            </c:ext>
          </c:extLst>
        </c:ser>
        <c:ser>
          <c:idx val="8"/>
          <c:order val="8"/>
          <c:tx>
            <c:strRef>
              <c:f>Sheet1!$C$11</c:f>
              <c:strCache>
                <c:ptCount val="1"/>
                <c:pt idx="0">
                  <c:v>Poland</c:v>
                </c:pt>
              </c:strCache>
            </c:strRef>
          </c:tx>
          <c:spPr>
            <a:solidFill>
              <a:schemeClr val="accent3">
                <a:lumMod val="60000"/>
              </a:schemeClr>
            </a:solidFill>
            <a:ln>
              <a:noFill/>
            </a:ln>
            <a:effectLst/>
          </c:spPr>
          <c:invertIfNegative val="0"/>
          <c:cat>
            <c:strRef>
              <c:f>Sheet1!$D$2</c:f>
              <c:strCache>
                <c:ptCount val="1"/>
                <c:pt idx="0">
                  <c:v>Political stability, 2022 </c:v>
                </c:pt>
              </c:strCache>
            </c:strRef>
          </c:cat>
          <c:val>
            <c:numRef>
              <c:f>Sheet1!$D$11</c:f>
              <c:numCache>
                <c:formatCode>General</c:formatCode>
                <c:ptCount val="1"/>
                <c:pt idx="0">
                  <c:v>0.5</c:v>
                </c:pt>
              </c:numCache>
            </c:numRef>
          </c:val>
          <c:extLst>
            <c:ext xmlns:c16="http://schemas.microsoft.com/office/drawing/2014/chart" uri="{C3380CC4-5D6E-409C-BE32-E72D297353CC}">
              <c16:uniqueId val="{00000008-F99F-4378-872F-914A1BC1E54C}"/>
            </c:ext>
          </c:extLst>
        </c:ser>
        <c:ser>
          <c:idx val="9"/>
          <c:order val="9"/>
          <c:tx>
            <c:strRef>
              <c:f>Sheet1!$C$12</c:f>
              <c:strCache>
                <c:ptCount val="1"/>
                <c:pt idx="0">
                  <c:v>Belgium</c:v>
                </c:pt>
              </c:strCache>
            </c:strRef>
          </c:tx>
          <c:spPr>
            <a:solidFill>
              <a:schemeClr val="accent4">
                <a:lumMod val="60000"/>
              </a:schemeClr>
            </a:solidFill>
            <a:ln>
              <a:noFill/>
            </a:ln>
            <a:effectLst/>
          </c:spPr>
          <c:invertIfNegative val="0"/>
          <c:cat>
            <c:strRef>
              <c:f>Sheet1!$D$2</c:f>
              <c:strCache>
                <c:ptCount val="1"/>
                <c:pt idx="0">
                  <c:v>Political stability, 2022 </c:v>
                </c:pt>
              </c:strCache>
            </c:strRef>
          </c:cat>
          <c:val>
            <c:numRef>
              <c:f>Sheet1!$D$12</c:f>
              <c:numCache>
                <c:formatCode>General</c:formatCode>
                <c:ptCount val="1"/>
                <c:pt idx="0">
                  <c:v>0.57999999999999996</c:v>
                </c:pt>
              </c:numCache>
            </c:numRef>
          </c:val>
          <c:extLst>
            <c:ext xmlns:c16="http://schemas.microsoft.com/office/drawing/2014/chart" uri="{C3380CC4-5D6E-409C-BE32-E72D297353CC}">
              <c16:uniqueId val="{00000009-F99F-4378-872F-914A1BC1E54C}"/>
            </c:ext>
          </c:extLst>
        </c:ser>
        <c:ser>
          <c:idx val="10"/>
          <c:order val="10"/>
          <c:tx>
            <c:strRef>
              <c:f>Sheet1!$C$13</c:f>
              <c:strCache>
                <c:ptCount val="1"/>
                <c:pt idx="0">
                  <c:v>Germany</c:v>
                </c:pt>
              </c:strCache>
            </c:strRef>
          </c:tx>
          <c:spPr>
            <a:solidFill>
              <a:schemeClr val="accent5">
                <a:lumMod val="60000"/>
              </a:schemeClr>
            </a:solidFill>
            <a:ln>
              <a:noFill/>
            </a:ln>
            <a:effectLst/>
          </c:spPr>
          <c:invertIfNegative val="0"/>
          <c:cat>
            <c:strRef>
              <c:f>Sheet1!$D$2</c:f>
              <c:strCache>
                <c:ptCount val="1"/>
                <c:pt idx="0">
                  <c:v>Political stability, 2022 </c:v>
                </c:pt>
              </c:strCache>
            </c:strRef>
          </c:cat>
          <c:val>
            <c:numRef>
              <c:f>Sheet1!$D$13</c:f>
              <c:numCache>
                <c:formatCode>General</c:formatCode>
                <c:ptCount val="1"/>
                <c:pt idx="0">
                  <c:v>0.61</c:v>
                </c:pt>
              </c:numCache>
            </c:numRef>
          </c:val>
          <c:extLst>
            <c:ext xmlns:c16="http://schemas.microsoft.com/office/drawing/2014/chart" uri="{C3380CC4-5D6E-409C-BE32-E72D297353CC}">
              <c16:uniqueId val="{0000000A-F99F-4378-872F-914A1BC1E54C}"/>
            </c:ext>
          </c:extLst>
        </c:ser>
        <c:ser>
          <c:idx val="11"/>
          <c:order val="11"/>
          <c:tx>
            <c:strRef>
              <c:f>Sheet1!$C$14</c:f>
              <c:strCache>
                <c:ptCount val="1"/>
                <c:pt idx="0">
                  <c:v>Denmark</c:v>
                </c:pt>
              </c:strCache>
            </c:strRef>
          </c:tx>
          <c:spPr>
            <a:solidFill>
              <a:schemeClr val="accent6">
                <a:lumMod val="60000"/>
              </a:schemeClr>
            </a:solidFill>
            <a:ln>
              <a:noFill/>
            </a:ln>
            <a:effectLst/>
          </c:spPr>
          <c:invertIfNegative val="0"/>
          <c:cat>
            <c:strRef>
              <c:f>Sheet1!$D$2</c:f>
              <c:strCache>
                <c:ptCount val="1"/>
                <c:pt idx="0">
                  <c:v>Political stability, 2022 </c:v>
                </c:pt>
              </c:strCache>
            </c:strRef>
          </c:cat>
          <c:val>
            <c:numRef>
              <c:f>Sheet1!$D$14</c:f>
              <c:numCache>
                <c:formatCode>General</c:formatCode>
                <c:ptCount val="1"/>
                <c:pt idx="0">
                  <c:v>0.87</c:v>
                </c:pt>
              </c:numCache>
            </c:numRef>
          </c:val>
          <c:extLst>
            <c:ext xmlns:c16="http://schemas.microsoft.com/office/drawing/2014/chart" uri="{C3380CC4-5D6E-409C-BE32-E72D297353CC}">
              <c16:uniqueId val="{0000000B-F99F-4378-872F-914A1BC1E54C}"/>
            </c:ext>
          </c:extLst>
        </c:ser>
        <c:ser>
          <c:idx val="12"/>
          <c:order val="12"/>
          <c:tx>
            <c:strRef>
              <c:f>Sheet1!$C$15</c:f>
              <c:strCache>
                <c:ptCount val="1"/>
                <c:pt idx="0">
                  <c:v>Ireland</c:v>
                </c:pt>
              </c:strCache>
            </c:strRef>
          </c:tx>
          <c:spPr>
            <a:solidFill>
              <a:schemeClr val="accent1">
                <a:lumMod val="80000"/>
                <a:lumOff val="20000"/>
              </a:schemeClr>
            </a:solidFill>
            <a:ln>
              <a:noFill/>
            </a:ln>
            <a:effectLst/>
          </c:spPr>
          <c:invertIfNegative val="0"/>
          <c:cat>
            <c:strRef>
              <c:f>Sheet1!$D$2</c:f>
              <c:strCache>
                <c:ptCount val="1"/>
                <c:pt idx="0">
                  <c:v>Political stability, 2022 </c:v>
                </c:pt>
              </c:strCache>
            </c:strRef>
          </c:cat>
          <c:val>
            <c:numRef>
              <c:f>Sheet1!$D$15</c:f>
              <c:numCache>
                <c:formatCode>General</c:formatCode>
                <c:ptCount val="1"/>
                <c:pt idx="0">
                  <c:v>0.88</c:v>
                </c:pt>
              </c:numCache>
            </c:numRef>
          </c:val>
          <c:extLst>
            <c:ext xmlns:c16="http://schemas.microsoft.com/office/drawing/2014/chart" uri="{C3380CC4-5D6E-409C-BE32-E72D297353CC}">
              <c16:uniqueId val="{0000000C-F99F-4378-872F-914A1BC1E54C}"/>
            </c:ext>
          </c:extLst>
        </c:ser>
        <c:ser>
          <c:idx val="13"/>
          <c:order val="13"/>
          <c:tx>
            <c:strRef>
              <c:f>Sheet1!$C$16</c:f>
              <c:strCache>
                <c:ptCount val="1"/>
                <c:pt idx="0">
                  <c:v>Finland</c:v>
                </c:pt>
              </c:strCache>
            </c:strRef>
          </c:tx>
          <c:spPr>
            <a:solidFill>
              <a:schemeClr val="accent2">
                <a:lumMod val="80000"/>
                <a:lumOff val="20000"/>
              </a:schemeClr>
            </a:solidFill>
            <a:ln>
              <a:noFill/>
            </a:ln>
            <a:effectLst/>
          </c:spPr>
          <c:invertIfNegative val="0"/>
          <c:cat>
            <c:strRef>
              <c:f>Sheet1!$D$2</c:f>
              <c:strCache>
                <c:ptCount val="1"/>
                <c:pt idx="0">
                  <c:v>Political stability, 2022 </c:v>
                </c:pt>
              </c:strCache>
            </c:strRef>
          </c:cat>
          <c:val>
            <c:numRef>
              <c:f>Sheet1!$D$16</c:f>
              <c:numCache>
                <c:formatCode>General</c:formatCode>
                <c:ptCount val="1"/>
                <c:pt idx="0">
                  <c:v>0.89</c:v>
                </c:pt>
              </c:numCache>
            </c:numRef>
          </c:val>
          <c:extLst>
            <c:ext xmlns:c16="http://schemas.microsoft.com/office/drawing/2014/chart" uri="{C3380CC4-5D6E-409C-BE32-E72D297353CC}">
              <c16:uniqueId val="{0000000D-F99F-4378-872F-914A1BC1E54C}"/>
            </c:ext>
          </c:extLst>
        </c:ser>
        <c:ser>
          <c:idx val="14"/>
          <c:order val="14"/>
          <c:tx>
            <c:strRef>
              <c:f>Sheet1!$C$17</c:f>
              <c:strCache>
                <c:ptCount val="1"/>
                <c:pt idx="0">
                  <c:v>Sweden</c:v>
                </c:pt>
              </c:strCache>
            </c:strRef>
          </c:tx>
          <c:spPr>
            <a:solidFill>
              <a:schemeClr val="accent3">
                <a:lumMod val="80000"/>
                <a:lumOff val="20000"/>
              </a:schemeClr>
            </a:solidFill>
            <a:ln>
              <a:noFill/>
            </a:ln>
            <a:effectLst/>
          </c:spPr>
          <c:invertIfNegative val="0"/>
          <c:cat>
            <c:strRef>
              <c:f>Sheet1!$D$2</c:f>
              <c:strCache>
                <c:ptCount val="1"/>
                <c:pt idx="0">
                  <c:v>Political stability, 2022 </c:v>
                </c:pt>
              </c:strCache>
            </c:strRef>
          </c:cat>
          <c:val>
            <c:numRef>
              <c:f>Sheet1!$D$17</c:f>
              <c:numCache>
                <c:formatCode>General</c:formatCode>
                <c:ptCount val="1"/>
                <c:pt idx="0">
                  <c:v>0.9</c:v>
                </c:pt>
              </c:numCache>
            </c:numRef>
          </c:val>
          <c:extLst>
            <c:ext xmlns:c16="http://schemas.microsoft.com/office/drawing/2014/chart" uri="{C3380CC4-5D6E-409C-BE32-E72D297353CC}">
              <c16:uniqueId val="{0000000E-F99F-4378-872F-914A1BC1E54C}"/>
            </c:ext>
          </c:extLst>
        </c:ser>
        <c:ser>
          <c:idx val="15"/>
          <c:order val="15"/>
          <c:tx>
            <c:strRef>
              <c:f>Sheet1!$C$18</c:f>
              <c:strCache>
                <c:ptCount val="1"/>
                <c:pt idx="0">
                  <c:v>India </c:v>
                </c:pt>
              </c:strCache>
            </c:strRef>
          </c:tx>
          <c:spPr>
            <a:solidFill>
              <a:schemeClr val="accent4">
                <a:lumMod val="80000"/>
                <a:lumOff val="20000"/>
              </a:schemeClr>
            </a:solidFill>
            <a:ln>
              <a:noFill/>
            </a:ln>
            <a:effectLst/>
          </c:spPr>
          <c:invertIfNegative val="0"/>
          <c:cat>
            <c:strRef>
              <c:f>Sheet1!$D$2</c:f>
              <c:strCache>
                <c:ptCount val="1"/>
                <c:pt idx="0">
                  <c:v>Political stability, 2022 </c:v>
                </c:pt>
              </c:strCache>
            </c:strRef>
          </c:cat>
          <c:val>
            <c:numRef>
              <c:f>Sheet1!$D$18</c:f>
              <c:numCache>
                <c:formatCode>General</c:formatCode>
                <c:ptCount val="1"/>
                <c:pt idx="0">
                  <c:v>-0.56999999999999995</c:v>
                </c:pt>
              </c:numCache>
            </c:numRef>
          </c:val>
          <c:extLst>
            <c:ext xmlns:c16="http://schemas.microsoft.com/office/drawing/2014/chart" uri="{C3380CC4-5D6E-409C-BE32-E72D297353CC}">
              <c16:uniqueId val="{0000000F-F99F-4378-872F-914A1BC1E54C}"/>
            </c:ext>
          </c:extLst>
        </c:ser>
        <c:ser>
          <c:idx val="16"/>
          <c:order val="16"/>
          <c:tx>
            <c:strRef>
              <c:f>Sheet1!$C$19</c:f>
              <c:strCache>
                <c:ptCount val="1"/>
                <c:pt idx="0">
                  <c:v>Japan</c:v>
                </c:pt>
              </c:strCache>
            </c:strRef>
          </c:tx>
          <c:spPr>
            <a:solidFill>
              <a:schemeClr val="accent5">
                <a:lumMod val="80000"/>
                <a:lumOff val="20000"/>
              </a:schemeClr>
            </a:solidFill>
            <a:ln>
              <a:noFill/>
            </a:ln>
            <a:effectLst/>
          </c:spPr>
          <c:invertIfNegative val="0"/>
          <c:cat>
            <c:strRef>
              <c:f>Sheet1!$D$2</c:f>
              <c:strCache>
                <c:ptCount val="1"/>
                <c:pt idx="0">
                  <c:v>Political stability, 2022 </c:v>
                </c:pt>
              </c:strCache>
            </c:strRef>
          </c:cat>
          <c:val>
            <c:numRef>
              <c:f>Sheet1!$D$19</c:f>
              <c:numCache>
                <c:formatCode>General</c:formatCode>
                <c:ptCount val="1"/>
                <c:pt idx="0">
                  <c:v>1.07</c:v>
                </c:pt>
              </c:numCache>
            </c:numRef>
          </c:val>
          <c:extLst>
            <c:ext xmlns:c16="http://schemas.microsoft.com/office/drawing/2014/chart" uri="{C3380CC4-5D6E-409C-BE32-E72D297353CC}">
              <c16:uniqueId val="{00000010-F99F-4378-872F-914A1BC1E54C}"/>
            </c:ext>
          </c:extLst>
        </c:ser>
        <c:ser>
          <c:idx val="17"/>
          <c:order val="17"/>
          <c:tx>
            <c:strRef>
              <c:f>Sheet1!$C$20</c:f>
              <c:strCache>
                <c:ptCount val="1"/>
                <c:pt idx="0">
                  <c:v>Canada</c:v>
                </c:pt>
              </c:strCache>
            </c:strRef>
          </c:tx>
          <c:spPr>
            <a:solidFill>
              <a:schemeClr val="accent6">
                <a:lumMod val="80000"/>
                <a:lumOff val="20000"/>
              </a:schemeClr>
            </a:solidFill>
            <a:ln>
              <a:noFill/>
            </a:ln>
            <a:effectLst/>
          </c:spPr>
          <c:invertIfNegative val="0"/>
          <c:cat>
            <c:strRef>
              <c:f>Sheet1!$D$2</c:f>
              <c:strCache>
                <c:ptCount val="1"/>
                <c:pt idx="0">
                  <c:v>Political stability, 2022 </c:v>
                </c:pt>
              </c:strCache>
            </c:strRef>
          </c:cat>
          <c:val>
            <c:numRef>
              <c:f>Sheet1!$D$20</c:f>
              <c:numCache>
                <c:formatCode>General</c:formatCode>
                <c:ptCount val="1"/>
                <c:pt idx="0">
                  <c:v>0.77</c:v>
                </c:pt>
              </c:numCache>
            </c:numRef>
          </c:val>
          <c:extLst>
            <c:ext xmlns:c16="http://schemas.microsoft.com/office/drawing/2014/chart" uri="{C3380CC4-5D6E-409C-BE32-E72D297353CC}">
              <c16:uniqueId val="{00000011-F99F-4378-872F-914A1BC1E54C}"/>
            </c:ext>
          </c:extLst>
        </c:ser>
        <c:ser>
          <c:idx val="18"/>
          <c:order val="18"/>
          <c:tx>
            <c:strRef>
              <c:f>Sheet1!$C$21</c:f>
              <c:strCache>
                <c:ptCount val="1"/>
                <c:pt idx="0">
                  <c:v>Germany</c:v>
                </c:pt>
              </c:strCache>
            </c:strRef>
          </c:tx>
          <c:spPr>
            <a:solidFill>
              <a:schemeClr val="accent1">
                <a:lumMod val="80000"/>
              </a:schemeClr>
            </a:solidFill>
            <a:ln>
              <a:noFill/>
            </a:ln>
            <a:effectLst/>
          </c:spPr>
          <c:invertIfNegative val="0"/>
          <c:cat>
            <c:strRef>
              <c:f>Sheet1!$D$2</c:f>
              <c:strCache>
                <c:ptCount val="1"/>
                <c:pt idx="0">
                  <c:v>Political stability, 2022 </c:v>
                </c:pt>
              </c:strCache>
            </c:strRef>
          </c:cat>
          <c:val>
            <c:numRef>
              <c:f>Sheet1!$D$21</c:f>
              <c:numCache>
                <c:formatCode>General</c:formatCode>
                <c:ptCount val="1"/>
                <c:pt idx="0">
                  <c:v>0.61</c:v>
                </c:pt>
              </c:numCache>
            </c:numRef>
          </c:val>
          <c:extLst>
            <c:ext xmlns:c16="http://schemas.microsoft.com/office/drawing/2014/chart" uri="{C3380CC4-5D6E-409C-BE32-E72D297353CC}">
              <c16:uniqueId val="{00000012-F99F-4378-872F-914A1BC1E54C}"/>
            </c:ext>
          </c:extLst>
        </c:ser>
        <c:ser>
          <c:idx val="19"/>
          <c:order val="19"/>
          <c:tx>
            <c:strRef>
              <c:f>Sheet1!$C$22</c:f>
              <c:strCache>
                <c:ptCount val="1"/>
                <c:pt idx="0">
                  <c:v>UK</c:v>
                </c:pt>
              </c:strCache>
            </c:strRef>
          </c:tx>
          <c:spPr>
            <a:solidFill>
              <a:schemeClr val="accent2">
                <a:lumMod val="80000"/>
              </a:schemeClr>
            </a:solidFill>
            <a:ln>
              <a:noFill/>
            </a:ln>
            <a:effectLst/>
          </c:spPr>
          <c:invertIfNegative val="0"/>
          <c:cat>
            <c:strRef>
              <c:f>Sheet1!$D$2</c:f>
              <c:strCache>
                <c:ptCount val="1"/>
                <c:pt idx="0">
                  <c:v>Political stability, 2022 </c:v>
                </c:pt>
              </c:strCache>
            </c:strRef>
          </c:cat>
          <c:val>
            <c:numRef>
              <c:f>Sheet1!$D$22</c:f>
              <c:numCache>
                <c:formatCode>General</c:formatCode>
                <c:ptCount val="1"/>
                <c:pt idx="0">
                  <c:v>0.5</c:v>
                </c:pt>
              </c:numCache>
            </c:numRef>
          </c:val>
          <c:extLst>
            <c:ext xmlns:c16="http://schemas.microsoft.com/office/drawing/2014/chart" uri="{C3380CC4-5D6E-409C-BE32-E72D297353CC}">
              <c16:uniqueId val="{00000013-F99F-4378-872F-914A1BC1E54C}"/>
            </c:ext>
          </c:extLst>
        </c:ser>
        <c:ser>
          <c:idx val="20"/>
          <c:order val="20"/>
          <c:tx>
            <c:strRef>
              <c:f>Sheet1!$C$23</c:f>
              <c:strCache>
                <c:ptCount val="1"/>
                <c:pt idx="0">
                  <c:v>Italy</c:v>
                </c:pt>
              </c:strCache>
            </c:strRef>
          </c:tx>
          <c:spPr>
            <a:solidFill>
              <a:schemeClr val="accent3">
                <a:lumMod val="80000"/>
              </a:schemeClr>
            </a:solidFill>
            <a:ln>
              <a:noFill/>
            </a:ln>
            <a:effectLst/>
          </c:spPr>
          <c:invertIfNegative val="0"/>
          <c:cat>
            <c:strRef>
              <c:f>Sheet1!$D$2</c:f>
              <c:strCache>
                <c:ptCount val="1"/>
                <c:pt idx="0">
                  <c:v>Political stability, 2022 </c:v>
                </c:pt>
              </c:strCache>
            </c:strRef>
          </c:cat>
          <c:val>
            <c:numRef>
              <c:f>Sheet1!$D$23</c:f>
              <c:numCache>
                <c:formatCode>General</c:formatCode>
                <c:ptCount val="1"/>
                <c:pt idx="0">
                  <c:v>0.41</c:v>
                </c:pt>
              </c:numCache>
            </c:numRef>
          </c:val>
          <c:extLst>
            <c:ext xmlns:c16="http://schemas.microsoft.com/office/drawing/2014/chart" uri="{C3380CC4-5D6E-409C-BE32-E72D297353CC}">
              <c16:uniqueId val="{00000014-F99F-4378-872F-914A1BC1E54C}"/>
            </c:ext>
          </c:extLst>
        </c:ser>
        <c:ser>
          <c:idx val="21"/>
          <c:order val="21"/>
          <c:tx>
            <c:strRef>
              <c:f>Sheet1!$C$24</c:f>
              <c:strCache>
                <c:ptCount val="1"/>
                <c:pt idx="0">
                  <c:v>France</c:v>
                </c:pt>
              </c:strCache>
            </c:strRef>
          </c:tx>
          <c:spPr>
            <a:solidFill>
              <a:schemeClr val="accent4">
                <a:lumMod val="80000"/>
              </a:schemeClr>
            </a:solidFill>
            <a:ln>
              <a:noFill/>
            </a:ln>
            <a:effectLst/>
          </c:spPr>
          <c:invertIfNegative val="0"/>
          <c:cat>
            <c:strRef>
              <c:f>Sheet1!$D$2</c:f>
              <c:strCache>
                <c:ptCount val="1"/>
                <c:pt idx="0">
                  <c:v>Political stability, 2022 </c:v>
                </c:pt>
              </c:strCache>
            </c:strRef>
          </c:cat>
          <c:val>
            <c:numRef>
              <c:f>Sheet1!$D$24</c:f>
              <c:numCache>
                <c:formatCode>General</c:formatCode>
                <c:ptCount val="1"/>
                <c:pt idx="0">
                  <c:v>0.33</c:v>
                </c:pt>
              </c:numCache>
            </c:numRef>
          </c:val>
          <c:extLst>
            <c:ext xmlns:c16="http://schemas.microsoft.com/office/drawing/2014/chart" uri="{C3380CC4-5D6E-409C-BE32-E72D297353CC}">
              <c16:uniqueId val="{00000015-F99F-4378-872F-914A1BC1E54C}"/>
            </c:ext>
          </c:extLst>
        </c:ser>
        <c:ser>
          <c:idx val="22"/>
          <c:order val="22"/>
          <c:tx>
            <c:strRef>
              <c:f>Sheet1!$C$25</c:f>
              <c:strCache>
                <c:ptCount val="1"/>
                <c:pt idx="0">
                  <c:v>USA</c:v>
                </c:pt>
              </c:strCache>
            </c:strRef>
          </c:tx>
          <c:spPr>
            <a:solidFill>
              <a:schemeClr val="accent5">
                <a:lumMod val="80000"/>
              </a:schemeClr>
            </a:solidFill>
            <a:ln>
              <a:noFill/>
            </a:ln>
            <a:effectLst/>
          </c:spPr>
          <c:invertIfNegative val="0"/>
          <c:cat>
            <c:strRef>
              <c:f>Sheet1!$D$2</c:f>
              <c:strCache>
                <c:ptCount val="1"/>
                <c:pt idx="0">
                  <c:v>Political stability, 2022 </c:v>
                </c:pt>
              </c:strCache>
            </c:strRef>
          </c:cat>
          <c:val>
            <c:numRef>
              <c:f>Sheet1!$D$25</c:f>
              <c:numCache>
                <c:formatCode>General</c:formatCode>
                <c:ptCount val="1"/>
                <c:pt idx="0">
                  <c:v>-0.04</c:v>
                </c:pt>
              </c:numCache>
            </c:numRef>
          </c:val>
          <c:extLst>
            <c:ext xmlns:c16="http://schemas.microsoft.com/office/drawing/2014/chart" uri="{C3380CC4-5D6E-409C-BE32-E72D297353CC}">
              <c16:uniqueId val="{00000016-F99F-4378-872F-914A1BC1E54C}"/>
            </c:ext>
          </c:extLst>
        </c:ser>
        <c:dLbls>
          <c:showLegendKey val="0"/>
          <c:showVal val="0"/>
          <c:showCatName val="0"/>
          <c:showSerName val="0"/>
          <c:showPercent val="0"/>
          <c:showBubbleSize val="0"/>
        </c:dLbls>
        <c:gapWidth val="219"/>
        <c:overlap val="-27"/>
        <c:axId val="1538088144"/>
        <c:axId val="1538109744"/>
      </c:barChart>
      <c:catAx>
        <c:axId val="1538088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109744"/>
        <c:crosses val="autoZero"/>
        <c:auto val="1"/>
        <c:lblAlgn val="ctr"/>
        <c:lblOffset val="100"/>
        <c:noMultiLvlLbl val="0"/>
      </c:catAx>
      <c:valAx>
        <c:axId val="1538109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088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Infrastructure investment in UK in (Millions)</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Figure_4__New_work_infrastructu!$B$7</c:f>
              <c:strCache>
                <c:ptCount val="1"/>
                <c:pt idx="0">
                  <c:v>Water</c:v>
                </c:pt>
              </c:strCache>
            </c:strRef>
          </c:tx>
          <c:spPr>
            <a:solidFill>
              <a:schemeClr val="accent1">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Figure_4__New_work_infrastructu!$B$8:$B$19</c:f>
              <c:numCache>
                <c:formatCode>General</c:formatCode>
                <c:ptCount val="12"/>
                <c:pt idx="0">
                  <c:v>2787</c:v>
                </c:pt>
                <c:pt idx="1">
                  <c:v>2178</c:v>
                </c:pt>
                <c:pt idx="2">
                  <c:v>1729</c:v>
                </c:pt>
                <c:pt idx="3">
                  <c:v>1193</c:v>
                </c:pt>
                <c:pt idx="4">
                  <c:v>629</c:v>
                </c:pt>
                <c:pt idx="5">
                  <c:v>518</c:v>
                </c:pt>
                <c:pt idx="6">
                  <c:v>813</c:v>
                </c:pt>
                <c:pt idx="7">
                  <c:v>1383</c:v>
                </c:pt>
                <c:pt idx="8">
                  <c:v>1191</c:v>
                </c:pt>
                <c:pt idx="9">
                  <c:v>1185</c:v>
                </c:pt>
                <c:pt idx="10">
                  <c:v>924</c:v>
                </c:pt>
                <c:pt idx="11">
                  <c:v>893</c:v>
                </c:pt>
              </c:numCache>
            </c:numRef>
          </c:val>
          <c:extLst>
            <c:ext xmlns:c16="http://schemas.microsoft.com/office/drawing/2014/chart" uri="{C3380CC4-5D6E-409C-BE32-E72D297353CC}">
              <c16:uniqueId val="{00000000-E657-40EC-8515-61B291CF2803}"/>
            </c:ext>
          </c:extLst>
        </c:ser>
        <c:ser>
          <c:idx val="1"/>
          <c:order val="1"/>
          <c:tx>
            <c:strRef>
              <c:f>Figure_4__New_work_infrastructu!$C$7</c:f>
              <c:strCache>
                <c:ptCount val="1"/>
                <c:pt idx="0">
                  <c:v>Sewerage</c:v>
                </c:pt>
              </c:strCache>
            </c:strRef>
          </c:tx>
          <c:spPr>
            <a:solidFill>
              <a:schemeClr val="accent2">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Figure_4__New_work_infrastructu!$C$8:$C$19</c:f>
              <c:numCache>
                <c:formatCode>General</c:formatCode>
                <c:ptCount val="12"/>
                <c:pt idx="0">
                  <c:v>1037</c:v>
                </c:pt>
                <c:pt idx="1">
                  <c:v>759</c:v>
                </c:pt>
                <c:pt idx="2">
                  <c:v>673</c:v>
                </c:pt>
                <c:pt idx="3">
                  <c:v>455</c:v>
                </c:pt>
                <c:pt idx="4">
                  <c:v>420</c:v>
                </c:pt>
                <c:pt idx="5">
                  <c:v>347</c:v>
                </c:pt>
                <c:pt idx="6">
                  <c:v>580</c:v>
                </c:pt>
                <c:pt idx="7">
                  <c:v>858</c:v>
                </c:pt>
                <c:pt idx="8">
                  <c:v>1013</c:v>
                </c:pt>
                <c:pt idx="9">
                  <c:v>1270</c:v>
                </c:pt>
                <c:pt idx="10">
                  <c:v>850</c:v>
                </c:pt>
                <c:pt idx="11">
                  <c:v>713</c:v>
                </c:pt>
              </c:numCache>
            </c:numRef>
          </c:val>
          <c:extLst>
            <c:ext xmlns:c16="http://schemas.microsoft.com/office/drawing/2014/chart" uri="{C3380CC4-5D6E-409C-BE32-E72D297353CC}">
              <c16:uniqueId val="{00000001-E657-40EC-8515-61B291CF2803}"/>
            </c:ext>
          </c:extLst>
        </c:ser>
        <c:ser>
          <c:idx val="2"/>
          <c:order val="2"/>
          <c:tx>
            <c:strRef>
              <c:f>Figure_4__New_work_infrastructu!$D$7</c:f>
              <c:strCache>
                <c:ptCount val="1"/>
                <c:pt idx="0">
                  <c:v>Electricity</c:v>
                </c:pt>
              </c:strCache>
            </c:strRef>
          </c:tx>
          <c:spPr>
            <a:solidFill>
              <a:schemeClr val="accent3">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Figure_4__New_work_infrastructu!$D$8:$D$19</c:f>
              <c:numCache>
                <c:formatCode>General</c:formatCode>
                <c:ptCount val="12"/>
                <c:pt idx="0">
                  <c:v>1348</c:v>
                </c:pt>
                <c:pt idx="1">
                  <c:v>1560</c:v>
                </c:pt>
                <c:pt idx="2">
                  <c:v>2260</c:v>
                </c:pt>
                <c:pt idx="3">
                  <c:v>3405</c:v>
                </c:pt>
                <c:pt idx="4">
                  <c:v>4617</c:v>
                </c:pt>
                <c:pt idx="5">
                  <c:v>7752</c:v>
                </c:pt>
                <c:pt idx="6">
                  <c:v>7324</c:v>
                </c:pt>
                <c:pt idx="7">
                  <c:v>8824</c:v>
                </c:pt>
                <c:pt idx="8">
                  <c:v>7754</c:v>
                </c:pt>
                <c:pt idx="9">
                  <c:v>7545</c:v>
                </c:pt>
                <c:pt idx="10">
                  <c:v>8840</c:v>
                </c:pt>
                <c:pt idx="11">
                  <c:v>7090</c:v>
                </c:pt>
              </c:numCache>
            </c:numRef>
          </c:val>
          <c:extLst>
            <c:ext xmlns:c16="http://schemas.microsoft.com/office/drawing/2014/chart" uri="{C3380CC4-5D6E-409C-BE32-E72D297353CC}">
              <c16:uniqueId val="{00000002-E657-40EC-8515-61B291CF2803}"/>
            </c:ext>
          </c:extLst>
        </c:ser>
        <c:ser>
          <c:idx val="3"/>
          <c:order val="3"/>
          <c:tx>
            <c:strRef>
              <c:f>Figure_4__New_work_infrastructu!$E$7</c:f>
              <c:strCache>
                <c:ptCount val="1"/>
                <c:pt idx="0">
                  <c:v>Roads</c:v>
                </c:pt>
              </c:strCache>
            </c:strRef>
          </c:tx>
          <c:spPr>
            <a:solidFill>
              <a:schemeClr val="accent4">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Figure_4__New_work_infrastructu!$E$8:$E$19</c:f>
              <c:numCache>
                <c:formatCode>General</c:formatCode>
                <c:ptCount val="12"/>
                <c:pt idx="0">
                  <c:v>3789</c:v>
                </c:pt>
                <c:pt idx="1">
                  <c:v>3663</c:v>
                </c:pt>
                <c:pt idx="2">
                  <c:v>2160</c:v>
                </c:pt>
                <c:pt idx="3">
                  <c:v>2327</c:v>
                </c:pt>
                <c:pt idx="4">
                  <c:v>2628</c:v>
                </c:pt>
                <c:pt idx="5">
                  <c:v>4306</c:v>
                </c:pt>
                <c:pt idx="6">
                  <c:v>5246</c:v>
                </c:pt>
                <c:pt idx="7">
                  <c:v>4139</c:v>
                </c:pt>
                <c:pt idx="8">
                  <c:v>5083</c:v>
                </c:pt>
                <c:pt idx="9">
                  <c:v>6075</c:v>
                </c:pt>
                <c:pt idx="10">
                  <c:v>6036</c:v>
                </c:pt>
                <c:pt idx="11">
                  <c:v>11673</c:v>
                </c:pt>
              </c:numCache>
            </c:numRef>
          </c:val>
          <c:extLst>
            <c:ext xmlns:c16="http://schemas.microsoft.com/office/drawing/2014/chart" uri="{C3380CC4-5D6E-409C-BE32-E72D297353CC}">
              <c16:uniqueId val="{00000003-E657-40EC-8515-61B291CF2803}"/>
            </c:ext>
          </c:extLst>
        </c:ser>
        <c:ser>
          <c:idx val="4"/>
          <c:order val="4"/>
          <c:tx>
            <c:strRef>
              <c:f>Figure_4__New_work_infrastructu!$F$7</c:f>
              <c:strCache>
                <c:ptCount val="1"/>
                <c:pt idx="0">
                  <c:v>Railways</c:v>
                </c:pt>
              </c:strCache>
            </c:strRef>
          </c:tx>
          <c:spPr>
            <a:solidFill>
              <a:schemeClr val="accent5">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Figure_4__New_work_infrastructu!$F$8:$F$19</c:f>
              <c:numCache>
                <c:formatCode>General</c:formatCode>
                <c:ptCount val="12"/>
                <c:pt idx="0">
                  <c:v>2333</c:v>
                </c:pt>
                <c:pt idx="1">
                  <c:v>3877</c:v>
                </c:pt>
                <c:pt idx="2">
                  <c:v>3928</c:v>
                </c:pt>
                <c:pt idx="3">
                  <c:v>4565</c:v>
                </c:pt>
                <c:pt idx="4">
                  <c:v>3822</c:v>
                </c:pt>
                <c:pt idx="5">
                  <c:v>2777</c:v>
                </c:pt>
                <c:pt idx="6">
                  <c:v>2338</c:v>
                </c:pt>
                <c:pt idx="7">
                  <c:v>3543</c:v>
                </c:pt>
                <c:pt idx="8">
                  <c:v>4475</c:v>
                </c:pt>
                <c:pt idx="9">
                  <c:v>4265</c:v>
                </c:pt>
                <c:pt idx="10">
                  <c:v>3487</c:v>
                </c:pt>
                <c:pt idx="11">
                  <c:v>6580</c:v>
                </c:pt>
              </c:numCache>
            </c:numRef>
          </c:val>
          <c:extLst>
            <c:ext xmlns:c16="http://schemas.microsoft.com/office/drawing/2014/chart" uri="{C3380CC4-5D6E-409C-BE32-E72D297353CC}">
              <c16:uniqueId val="{00000004-E657-40EC-8515-61B291CF2803}"/>
            </c:ext>
          </c:extLst>
        </c:ser>
        <c:ser>
          <c:idx val="5"/>
          <c:order val="5"/>
          <c:tx>
            <c:strRef>
              <c:f>Figure_4__New_work_infrastructu!$G$7</c:f>
              <c:strCache>
                <c:ptCount val="1"/>
                <c:pt idx="0">
                  <c:v>Harbours</c:v>
                </c:pt>
              </c:strCache>
            </c:strRef>
          </c:tx>
          <c:spPr>
            <a:solidFill>
              <a:schemeClr val="accent6">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Figure_4__New_work_infrastructu!$G$8:$G$19</c:f>
              <c:numCache>
                <c:formatCode>General</c:formatCode>
                <c:ptCount val="12"/>
                <c:pt idx="0">
                  <c:v>370</c:v>
                </c:pt>
                <c:pt idx="1">
                  <c:v>440</c:v>
                </c:pt>
                <c:pt idx="2">
                  <c:v>456</c:v>
                </c:pt>
                <c:pt idx="3">
                  <c:v>610</c:v>
                </c:pt>
                <c:pt idx="4">
                  <c:v>823</c:v>
                </c:pt>
                <c:pt idx="5">
                  <c:v>852</c:v>
                </c:pt>
                <c:pt idx="6">
                  <c:v>682</c:v>
                </c:pt>
                <c:pt idx="7">
                  <c:v>646</c:v>
                </c:pt>
                <c:pt idx="8">
                  <c:v>1152</c:v>
                </c:pt>
                <c:pt idx="9">
                  <c:v>1824</c:v>
                </c:pt>
                <c:pt idx="10">
                  <c:v>1619</c:v>
                </c:pt>
                <c:pt idx="11">
                  <c:v>1721</c:v>
                </c:pt>
              </c:numCache>
            </c:numRef>
          </c:val>
          <c:extLst>
            <c:ext xmlns:c16="http://schemas.microsoft.com/office/drawing/2014/chart" uri="{C3380CC4-5D6E-409C-BE32-E72D297353CC}">
              <c16:uniqueId val="{00000005-E657-40EC-8515-61B291CF2803}"/>
            </c:ext>
          </c:extLst>
        </c:ser>
        <c:ser>
          <c:idx val="6"/>
          <c:order val="6"/>
          <c:tx>
            <c:strRef>
              <c:f>Figure_4__New_work_infrastructu!$H$7</c:f>
              <c:strCache>
                <c:ptCount val="1"/>
                <c:pt idx="0">
                  <c:v>Other</c:v>
                </c:pt>
              </c:strCache>
            </c:strRef>
          </c:tx>
          <c:spPr>
            <a:solidFill>
              <a:schemeClr val="accent1">
                <a:lumMod val="60000"/>
                <a:alpha val="70000"/>
              </a:schemeClr>
            </a:solidFill>
            <a:ln>
              <a:noFill/>
            </a:ln>
            <a:effectLst/>
          </c:spPr>
          <c:invertIfNegative val="0"/>
          <c:cat>
            <c:numRef>
              <c:f>Figure_4__New_work_infrastructu!$A$8:$A$19</c:f>
              <c:numCache>
                <c:formatCode>General</c:formatCode>
                <c:ptCount val="12"/>
                <c:pt idx="0">
                  <c:v>2010</c:v>
                </c:pt>
                <c:pt idx="1">
                  <c:v>2011</c:v>
                </c:pt>
                <c:pt idx="2">
                  <c:v>2012</c:v>
                </c:pt>
                <c:pt idx="3">
                  <c:v>2013</c:v>
                </c:pt>
                <c:pt idx="4">
                  <c:v>2014</c:v>
                </c:pt>
                <c:pt idx="5">
                  <c:v>2015</c:v>
                </c:pt>
                <c:pt idx="6">
                  <c:v>2016</c:v>
                </c:pt>
                <c:pt idx="7">
                  <c:v>2017</c:v>
                </c:pt>
                <c:pt idx="8">
                  <c:v>2018</c:v>
                </c:pt>
                <c:pt idx="9">
                  <c:v>2019</c:v>
                </c:pt>
                <c:pt idx="10">
                  <c:v>2020</c:v>
                </c:pt>
                <c:pt idx="11">
                  <c:v>2021</c:v>
                </c:pt>
              </c:numCache>
            </c:numRef>
          </c:cat>
          <c:val>
            <c:numRef>
              <c:f>Figure_4__New_work_infrastructu!$H$8:$H$19</c:f>
              <c:numCache>
                <c:formatCode>General</c:formatCode>
                <c:ptCount val="12"/>
                <c:pt idx="0">
                  <c:v>1874</c:v>
                </c:pt>
                <c:pt idx="1">
                  <c:v>2143</c:v>
                </c:pt>
                <c:pt idx="2">
                  <c:v>2470</c:v>
                </c:pt>
                <c:pt idx="3">
                  <c:v>1910</c:v>
                </c:pt>
                <c:pt idx="4">
                  <c:v>1852</c:v>
                </c:pt>
                <c:pt idx="5">
                  <c:v>1219</c:v>
                </c:pt>
                <c:pt idx="6">
                  <c:v>781</c:v>
                </c:pt>
                <c:pt idx="7">
                  <c:v>715</c:v>
                </c:pt>
                <c:pt idx="8">
                  <c:v>857</c:v>
                </c:pt>
                <c:pt idx="9">
                  <c:v>1098</c:v>
                </c:pt>
                <c:pt idx="10">
                  <c:v>739</c:v>
                </c:pt>
                <c:pt idx="11">
                  <c:v>1193</c:v>
                </c:pt>
              </c:numCache>
            </c:numRef>
          </c:val>
          <c:extLst>
            <c:ext xmlns:c16="http://schemas.microsoft.com/office/drawing/2014/chart" uri="{C3380CC4-5D6E-409C-BE32-E72D297353CC}">
              <c16:uniqueId val="{00000006-E657-40EC-8515-61B291CF2803}"/>
            </c:ext>
          </c:extLst>
        </c:ser>
        <c:dLbls>
          <c:showLegendKey val="0"/>
          <c:showVal val="0"/>
          <c:showCatName val="0"/>
          <c:showSerName val="0"/>
          <c:showPercent val="0"/>
          <c:showBubbleSize val="0"/>
        </c:dLbls>
        <c:gapWidth val="80"/>
        <c:overlap val="25"/>
        <c:axId val="1659883232"/>
        <c:axId val="1659879872"/>
      </c:barChart>
      <c:catAx>
        <c:axId val="1659883232"/>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659879872"/>
        <c:crosses val="autoZero"/>
        <c:auto val="1"/>
        <c:lblAlgn val="ctr"/>
        <c:lblOffset val="100"/>
        <c:noMultiLvlLbl val="0"/>
      </c:catAx>
      <c:valAx>
        <c:axId val="165987987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65988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Data!$C$4</c:f>
              <c:strCache>
                <c:ptCount val="1"/>
                <c:pt idx="0">
                  <c:v>2014</c:v>
                </c:pt>
              </c:strCache>
            </c:strRef>
          </c:tx>
          <c:spPr>
            <a:solidFill>
              <a:schemeClr val="accent1"/>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Data!$C$5:$C$18</c:f>
              <c:numCache>
                <c:formatCode>0.00</c:formatCode>
                <c:ptCount val="14"/>
                <c:pt idx="0">
                  <c:v>0.86830397486340405</c:v>
                </c:pt>
                <c:pt idx="1">
                  <c:v>2.6736038479324176</c:v>
                </c:pt>
                <c:pt idx="2">
                  <c:v>4.303732518304936</c:v>
                </c:pt>
                <c:pt idx="3">
                  <c:v>3.660831858926024</c:v>
                </c:pt>
                <c:pt idx="4">
                  <c:v>2.890846323582148</c:v>
                </c:pt>
                <c:pt idx="5">
                  <c:v>0.50222719263412652</c:v>
                </c:pt>
                <c:pt idx="6">
                  <c:v>2.8606742300796006</c:v>
                </c:pt>
                <c:pt idx="7">
                  <c:v>2.3202933068614842</c:v>
                </c:pt>
                <c:pt idx="8">
                  <c:v>2.4755506028598524</c:v>
                </c:pt>
                <c:pt idx="9">
                  <c:v>0.20325456271803513</c:v>
                </c:pt>
                <c:pt idx="10">
                  <c:v>1.92156774768545</c:v>
                </c:pt>
                <c:pt idx="11">
                  <c:v>1.695659589907442</c:v>
                </c:pt>
                <c:pt idx="12">
                  <c:v>0.40335454340103705</c:v>
                </c:pt>
                <c:pt idx="13">
                  <c:v>1.4303386309216797</c:v>
                </c:pt>
              </c:numCache>
            </c:numRef>
          </c:val>
          <c:extLst>
            <c:ext xmlns:c16="http://schemas.microsoft.com/office/drawing/2014/chart" uri="{C3380CC4-5D6E-409C-BE32-E72D297353CC}">
              <c16:uniqueId val="{00000000-3F6E-4562-91D4-2CE2D7EA6361}"/>
            </c:ext>
          </c:extLst>
        </c:ser>
        <c:ser>
          <c:idx val="1"/>
          <c:order val="1"/>
          <c:tx>
            <c:strRef>
              <c:f>Data!$D$4</c:f>
              <c:strCache>
                <c:ptCount val="1"/>
                <c:pt idx="0">
                  <c:v>2015</c:v>
                </c:pt>
              </c:strCache>
            </c:strRef>
          </c:tx>
          <c:spPr>
            <a:solidFill>
              <a:schemeClr val="accent2"/>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Data!$D$5:$D$18</c:f>
              <c:numCache>
                <c:formatCode>0.00</c:formatCode>
                <c:ptCount val="14"/>
                <c:pt idx="0">
                  <c:v>0.86073111483710985</c:v>
                </c:pt>
                <c:pt idx="1">
                  <c:v>2.3093352246379939</c:v>
                </c:pt>
                <c:pt idx="2">
                  <c:v>3.4689958469955644</c:v>
                </c:pt>
                <c:pt idx="3">
                  <c:v>1.7770753487259965</c:v>
                </c:pt>
                <c:pt idx="4">
                  <c:v>17.108383332820331</c:v>
                </c:pt>
                <c:pt idx="5">
                  <c:v>1.8607291816175824</c:v>
                </c:pt>
                <c:pt idx="6">
                  <c:v>2.8093553651345502</c:v>
                </c:pt>
                <c:pt idx="7">
                  <c:v>2.933439493885595</c:v>
                </c:pt>
                <c:pt idx="8">
                  <c:v>5.4657601057642093</c:v>
                </c:pt>
                <c:pt idx="9">
                  <c:v>1.7557237414165789</c:v>
                </c:pt>
                <c:pt idx="10">
                  <c:v>1.5483216853328392</c:v>
                </c:pt>
                <c:pt idx="11">
                  <c:v>2.0921152144330759</c:v>
                </c:pt>
                <c:pt idx="12">
                  <c:v>0.11816198774824092</c:v>
                </c:pt>
                <c:pt idx="13">
                  <c:v>2.7954822020135643</c:v>
                </c:pt>
              </c:numCache>
            </c:numRef>
          </c:val>
          <c:extLst>
            <c:ext xmlns:c16="http://schemas.microsoft.com/office/drawing/2014/chart" uri="{C3380CC4-5D6E-409C-BE32-E72D297353CC}">
              <c16:uniqueId val="{00000001-3F6E-4562-91D4-2CE2D7EA6361}"/>
            </c:ext>
          </c:extLst>
        </c:ser>
        <c:ser>
          <c:idx val="2"/>
          <c:order val="2"/>
          <c:tx>
            <c:strRef>
              <c:f>Data!$E$4</c:f>
              <c:strCache>
                <c:ptCount val="1"/>
                <c:pt idx="0">
                  <c:v>2016</c:v>
                </c:pt>
              </c:strCache>
            </c:strRef>
          </c:tx>
          <c:spPr>
            <a:solidFill>
              <a:schemeClr val="accent3"/>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Data!$E$5:$E$18</c:f>
              <c:numCache>
                <c:formatCode>0.00</c:formatCode>
                <c:ptCount val="14"/>
                <c:pt idx="0">
                  <c:v>1.9317452273315066</c:v>
                </c:pt>
                <c:pt idx="1">
                  <c:v>2.6011196907890963</c:v>
                </c:pt>
                <c:pt idx="2">
                  <c:v>3.5583724387767259</c:v>
                </c:pt>
                <c:pt idx="3">
                  <c:v>8.7397883173623381</c:v>
                </c:pt>
                <c:pt idx="4">
                  <c:v>24.248073500883173</c:v>
                </c:pt>
                <c:pt idx="5">
                  <c:v>1.8659069169045805</c:v>
                </c:pt>
                <c:pt idx="6">
                  <c:v>2.3256720590657363</c:v>
                </c:pt>
                <c:pt idx="7">
                  <c:v>3.6281719093565648</c:v>
                </c:pt>
                <c:pt idx="8">
                  <c:v>6.5638237512680551</c:v>
                </c:pt>
                <c:pt idx="9">
                  <c:v>1.3264916981271808</c:v>
                </c:pt>
                <c:pt idx="10">
                  <c:v>12.078852813464824</c:v>
                </c:pt>
                <c:pt idx="11">
                  <c:v>1.9373641224434683</c:v>
                </c:pt>
                <c:pt idx="12">
                  <c:v>0.81848161526451579</c:v>
                </c:pt>
                <c:pt idx="13">
                  <c:v>2.522681173797507</c:v>
                </c:pt>
              </c:numCache>
            </c:numRef>
          </c:val>
          <c:extLst>
            <c:ext xmlns:c16="http://schemas.microsoft.com/office/drawing/2014/chart" uri="{C3380CC4-5D6E-409C-BE32-E72D297353CC}">
              <c16:uniqueId val="{00000002-3F6E-4562-91D4-2CE2D7EA6361}"/>
            </c:ext>
          </c:extLst>
        </c:ser>
        <c:ser>
          <c:idx val="3"/>
          <c:order val="3"/>
          <c:tx>
            <c:strRef>
              <c:f>Data!$F$4</c:f>
              <c:strCache>
                <c:ptCount val="1"/>
                <c:pt idx="0">
                  <c:v>2017</c:v>
                </c:pt>
              </c:strCache>
            </c:strRef>
          </c:tx>
          <c:spPr>
            <a:solidFill>
              <a:schemeClr val="accent4"/>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Data!$F$5:$F$18</c:f>
              <c:numCache>
                <c:formatCode>0.00</c:formatCode>
                <c:ptCount val="14"/>
                <c:pt idx="0">
                  <c:v>1.2272061563339123</c:v>
                </c:pt>
                <c:pt idx="1">
                  <c:v>2.6514154815232582</c:v>
                </c:pt>
                <c:pt idx="2">
                  <c:v>3.6325286070949709</c:v>
                </c:pt>
                <c:pt idx="3">
                  <c:v>2.0007164347593229</c:v>
                </c:pt>
                <c:pt idx="4">
                  <c:v>20.603537816925076</c:v>
                </c:pt>
                <c:pt idx="5">
                  <c:v>2.9664168555310613</c:v>
                </c:pt>
                <c:pt idx="6">
                  <c:v>2.3086681947725505</c:v>
                </c:pt>
                <c:pt idx="7">
                  <c:v>2.4053285884317335</c:v>
                </c:pt>
                <c:pt idx="8">
                  <c:v>4.1465367244442888</c:v>
                </c:pt>
                <c:pt idx="9">
                  <c:v>1.3821203899638728</c:v>
                </c:pt>
                <c:pt idx="10">
                  <c:v>4.6773091443546129</c:v>
                </c:pt>
                <c:pt idx="11">
                  <c:v>1.5073158325588623</c:v>
                </c:pt>
                <c:pt idx="12">
                  <c:v>0.38131963803427354</c:v>
                </c:pt>
                <c:pt idx="13">
                  <c:v>1.9417755424686247</c:v>
                </c:pt>
              </c:numCache>
            </c:numRef>
          </c:val>
          <c:extLst>
            <c:ext xmlns:c16="http://schemas.microsoft.com/office/drawing/2014/chart" uri="{C3380CC4-5D6E-409C-BE32-E72D297353CC}">
              <c16:uniqueId val="{00000003-3F6E-4562-91D4-2CE2D7EA6361}"/>
            </c:ext>
          </c:extLst>
        </c:ser>
        <c:ser>
          <c:idx val="4"/>
          <c:order val="4"/>
          <c:tx>
            <c:strRef>
              <c:f>Data!$G$4</c:f>
              <c:strCache>
                <c:ptCount val="1"/>
                <c:pt idx="0">
                  <c:v>2018</c:v>
                </c:pt>
              </c:strCache>
            </c:strRef>
          </c:tx>
          <c:spPr>
            <a:solidFill>
              <a:schemeClr val="accent5"/>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Data!$G$5:$G$18</c:f>
              <c:numCache>
                <c:formatCode>0.00</c:formatCode>
                <c:ptCount val="14"/>
                <c:pt idx="0">
                  <c:v>1.5489771697397106</c:v>
                </c:pt>
                <c:pt idx="1">
                  <c:v>2.431869759789151</c:v>
                </c:pt>
                <c:pt idx="2">
                  <c:v>4.2446114881608876</c:v>
                </c:pt>
                <c:pt idx="3">
                  <c:v>-1.1901142858952185</c:v>
                </c:pt>
                <c:pt idx="4">
                  <c:v>-22.105119834650736</c:v>
                </c:pt>
                <c:pt idx="5">
                  <c:v>4.1997217995462073</c:v>
                </c:pt>
                <c:pt idx="6">
                  <c:v>2.2694130765497684</c:v>
                </c:pt>
                <c:pt idx="7">
                  <c:v>2.220282637221882</c:v>
                </c:pt>
                <c:pt idx="8">
                  <c:v>-1.3778686646708278</c:v>
                </c:pt>
                <c:pt idx="9">
                  <c:v>2.7765781436235457</c:v>
                </c:pt>
                <c:pt idx="10">
                  <c:v>-0.87260433365235657</c:v>
                </c:pt>
                <c:pt idx="11">
                  <c:v>1.5582148380149041</c:v>
                </c:pt>
                <c:pt idx="12">
                  <c:v>0.50168548240377364</c:v>
                </c:pt>
                <c:pt idx="13">
                  <c:v>1.0394540879981891</c:v>
                </c:pt>
              </c:numCache>
            </c:numRef>
          </c:val>
          <c:extLst>
            <c:ext xmlns:c16="http://schemas.microsoft.com/office/drawing/2014/chart" uri="{C3380CC4-5D6E-409C-BE32-E72D297353CC}">
              <c16:uniqueId val="{00000004-3F6E-4562-91D4-2CE2D7EA6361}"/>
            </c:ext>
          </c:extLst>
        </c:ser>
        <c:ser>
          <c:idx val="5"/>
          <c:order val="5"/>
          <c:tx>
            <c:strRef>
              <c:f>Data!$H$4</c:f>
              <c:strCache>
                <c:ptCount val="1"/>
                <c:pt idx="0">
                  <c:v>2019</c:v>
                </c:pt>
              </c:strCache>
            </c:strRef>
          </c:tx>
          <c:spPr>
            <a:solidFill>
              <a:schemeClr val="accent6"/>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Data!$H$5:$H$18</c:f>
              <c:numCache>
                <c:formatCode>0.00</c:formatCode>
                <c:ptCount val="14"/>
                <c:pt idx="0">
                  <c:v>1.2251721850770934</c:v>
                </c:pt>
                <c:pt idx="1">
                  <c:v>4.2763394579361895</c:v>
                </c:pt>
                <c:pt idx="2">
                  <c:v>2.7780831899181848</c:v>
                </c:pt>
                <c:pt idx="3">
                  <c:v>9.1002273225004107</c:v>
                </c:pt>
                <c:pt idx="4">
                  <c:v>1.2164249147443784</c:v>
                </c:pt>
                <c:pt idx="5">
                  <c:v>1.902059227765635</c:v>
                </c:pt>
                <c:pt idx="6">
                  <c:v>1.970371450540007</c:v>
                </c:pt>
                <c:pt idx="7">
                  <c:v>2.4028877768703745</c:v>
                </c:pt>
                <c:pt idx="8">
                  <c:v>2.6903812373103611</c:v>
                </c:pt>
                <c:pt idx="9">
                  <c:v>1.9604940018061456</c:v>
                </c:pt>
                <c:pt idx="10">
                  <c:v>0.69407000770328697</c:v>
                </c:pt>
                <c:pt idx="11">
                  <c:v>1.7848263395712021</c:v>
                </c:pt>
                <c:pt idx="12">
                  <c:v>0.78078531330125867</c:v>
                </c:pt>
                <c:pt idx="13">
                  <c:v>1.4682319617292467</c:v>
                </c:pt>
              </c:numCache>
            </c:numRef>
          </c:val>
          <c:extLst>
            <c:ext xmlns:c16="http://schemas.microsoft.com/office/drawing/2014/chart" uri="{C3380CC4-5D6E-409C-BE32-E72D297353CC}">
              <c16:uniqueId val="{00000005-3F6E-4562-91D4-2CE2D7EA6361}"/>
            </c:ext>
          </c:extLst>
        </c:ser>
        <c:ser>
          <c:idx val="6"/>
          <c:order val="6"/>
          <c:tx>
            <c:strRef>
              <c:f>Data!$I$4</c:f>
              <c:strCache>
                <c:ptCount val="1"/>
                <c:pt idx="0">
                  <c:v>2020</c:v>
                </c:pt>
              </c:strCache>
            </c:strRef>
          </c:tx>
          <c:spPr>
            <a:solidFill>
              <a:schemeClr val="accent1">
                <a:lumMod val="60000"/>
              </a:schemeClr>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Data!$I$5:$I$18</c:f>
              <c:numCache>
                <c:formatCode>0.00</c:formatCode>
                <c:ptCount val="14"/>
                <c:pt idx="0">
                  <c:v>1.3073189453363159</c:v>
                </c:pt>
                <c:pt idx="1">
                  <c:v>5.6898437912908983</c:v>
                </c:pt>
                <c:pt idx="2">
                  <c:v>1.1907439581564139</c:v>
                </c:pt>
                <c:pt idx="3">
                  <c:v>12.741859106884181</c:v>
                </c:pt>
                <c:pt idx="4">
                  <c:v>-32.63717108343365</c:v>
                </c:pt>
                <c:pt idx="5">
                  <c:v>4.5493764400413683</c:v>
                </c:pt>
                <c:pt idx="6">
                  <c:v>2.1838293305897083</c:v>
                </c:pt>
                <c:pt idx="7">
                  <c:v>1.8691418271581706</c:v>
                </c:pt>
                <c:pt idx="8">
                  <c:v>0.76264644438619933</c:v>
                </c:pt>
                <c:pt idx="9">
                  <c:v>0.73161188662496912</c:v>
                </c:pt>
                <c:pt idx="10">
                  <c:v>5.8264206095789852</c:v>
                </c:pt>
                <c:pt idx="11">
                  <c:v>2.4062032267367259</c:v>
                </c:pt>
                <c:pt idx="12">
                  <c:v>1.2379317820186919</c:v>
                </c:pt>
                <c:pt idx="13">
                  <c:v>0.648892390593234</c:v>
                </c:pt>
              </c:numCache>
            </c:numRef>
          </c:val>
          <c:extLst>
            <c:ext xmlns:c16="http://schemas.microsoft.com/office/drawing/2014/chart" uri="{C3380CC4-5D6E-409C-BE32-E72D297353CC}">
              <c16:uniqueId val="{00000006-3F6E-4562-91D4-2CE2D7EA6361}"/>
            </c:ext>
          </c:extLst>
        </c:ser>
        <c:ser>
          <c:idx val="7"/>
          <c:order val="7"/>
          <c:tx>
            <c:strRef>
              <c:f>Data!$J$4</c:f>
              <c:strCache>
                <c:ptCount val="1"/>
                <c:pt idx="0">
                  <c:v>2021</c:v>
                </c:pt>
              </c:strCache>
            </c:strRef>
          </c:tx>
          <c:spPr>
            <a:solidFill>
              <a:schemeClr val="accent2">
                <a:lumMod val="60000"/>
              </a:schemeClr>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Data!$J$5:$J$18</c:f>
              <c:numCache>
                <c:formatCode>0.00</c:formatCode>
                <c:ptCount val="14"/>
                <c:pt idx="0">
                  <c:v>2.1658299537549093</c:v>
                </c:pt>
                <c:pt idx="1">
                  <c:v>4.9778844320927007</c:v>
                </c:pt>
                <c:pt idx="2">
                  <c:v>1.7834160036135072</c:v>
                </c:pt>
                <c:pt idx="3">
                  <c:v>6.2267205180006213</c:v>
                </c:pt>
                <c:pt idx="4">
                  <c:v>-14.409179038131754</c:v>
                </c:pt>
                <c:pt idx="5">
                  <c:v>2.3876436081634735</c:v>
                </c:pt>
                <c:pt idx="6">
                  <c:v>2.6139318027688909</c:v>
                </c:pt>
                <c:pt idx="7">
                  <c:v>2.3677458941012275</c:v>
                </c:pt>
                <c:pt idx="8">
                  <c:v>2.1055505040013855</c:v>
                </c:pt>
                <c:pt idx="9">
                  <c:v>3.2393820045162913</c:v>
                </c:pt>
                <c:pt idx="10">
                  <c:v>0.18851635056257404</c:v>
                </c:pt>
                <c:pt idx="11">
                  <c:v>1.4121710104088561</c:v>
                </c:pt>
                <c:pt idx="12">
                  <c:v>0.69924672989635095</c:v>
                </c:pt>
                <c:pt idx="13">
                  <c:v>2.0898717985070037</c:v>
                </c:pt>
              </c:numCache>
            </c:numRef>
          </c:val>
          <c:extLst>
            <c:ext xmlns:c16="http://schemas.microsoft.com/office/drawing/2014/chart" uri="{C3380CC4-5D6E-409C-BE32-E72D297353CC}">
              <c16:uniqueId val="{00000007-3F6E-4562-91D4-2CE2D7EA6361}"/>
            </c:ext>
          </c:extLst>
        </c:ser>
        <c:ser>
          <c:idx val="8"/>
          <c:order val="8"/>
          <c:tx>
            <c:strRef>
              <c:f>Data!$K$4</c:f>
              <c:strCache>
                <c:ptCount val="1"/>
                <c:pt idx="0">
                  <c:v>2022</c:v>
                </c:pt>
              </c:strCache>
            </c:strRef>
          </c:tx>
          <c:spPr>
            <a:solidFill>
              <a:schemeClr val="accent3">
                <a:lumMod val="60000"/>
              </a:schemeClr>
            </a:solidFill>
            <a:ln>
              <a:noFill/>
            </a:ln>
            <a:effectLst/>
          </c:spPr>
          <c:invertIfNegative val="0"/>
          <c:cat>
            <c:strRef>
              <c:f>Data!$A$5:$A$18</c:f>
              <c:strCache>
                <c:ptCount val="14"/>
                <c:pt idx="0">
                  <c:v>Arab World</c:v>
                </c:pt>
                <c:pt idx="1">
                  <c:v>United Arab Emirates</c:v>
                </c:pt>
                <c:pt idx="2">
                  <c:v>Australia</c:v>
                </c:pt>
                <c:pt idx="3">
                  <c:v>Central Europe and the Baltics</c:v>
                </c:pt>
                <c:pt idx="4">
                  <c:v>Switzerland</c:v>
                </c:pt>
                <c:pt idx="5">
                  <c:v>Germany</c:v>
                </c:pt>
                <c:pt idx="6">
                  <c:v>East Asia &amp; Pacific</c:v>
                </c:pt>
                <c:pt idx="7">
                  <c:v>Europe &amp; Central Asia (excluding high income)</c:v>
                </c:pt>
                <c:pt idx="8">
                  <c:v>Europe &amp; Central Asia</c:v>
                </c:pt>
                <c:pt idx="9">
                  <c:v>France</c:v>
                </c:pt>
                <c:pt idx="10">
                  <c:v>United Kingdom</c:v>
                </c:pt>
                <c:pt idx="11">
                  <c:v>India</c:v>
                </c:pt>
                <c:pt idx="12">
                  <c:v>Japan</c:v>
                </c:pt>
                <c:pt idx="13">
                  <c:v>United States</c:v>
                </c:pt>
              </c:strCache>
              <c:extLst/>
            </c:strRef>
          </c:cat>
          <c:val>
            <c:numRef>
              <c:f>Data!$K$5:$K$18</c:f>
              <c:numCache>
                <c:formatCode>0.00</c:formatCode>
                <c:ptCount val="14"/>
                <c:pt idx="0">
                  <c:v>2.1558786941676065</c:v>
                </c:pt>
                <c:pt idx="1">
                  <c:v>4.4839619658295744</c:v>
                </c:pt>
                <c:pt idx="2">
                  <c:v>4.1397951049467219</c:v>
                </c:pt>
                <c:pt idx="3">
                  <c:v>3.3577975373924098</c:v>
                </c:pt>
                <c:pt idx="4">
                  <c:v>-1.342689794346972</c:v>
                </c:pt>
                <c:pt idx="5">
                  <c:v>1.5365454423454581</c:v>
                </c:pt>
                <c:pt idx="6">
                  <c:v>2.2975817596210195</c:v>
                </c:pt>
                <c:pt idx="7">
                  <c:v>1.8135319648088395</c:v>
                </c:pt>
                <c:pt idx="8">
                  <c:v>0.74140677279346512</c:v>
                </c:pt>
                <c:pt idx="9">
                  <c:v>3.7935033831882383</c:v>
                </c:pt>
                <c:pt idx="10">
                  <c:v>1.4535528819585795</c:v>
                </c:pt>
                <c:pt idx="11">
                  <c:v>1.4892112052466486</c:v>
                </c:pt>
                <c:pt idx="12">
                  <c:v>1.1577556287366764</c:v>
                </c:pt>
                <c:pt idx="13">
                  <c:v>1.5074439557198873</c:v>
                </c:pt>
              </c:numCache>
            </c:numRef>
          </c:val>
          <c:extLst>
            <c:ext xmlns:c16="http://schemas.microsoft.com/office/drawing/2014/chart" uri="{C3380CC4-5D6E-409C-BE32-E72D297353CC}">
              <c16:uniqueId val="{00000008-3F6E-4562-91D4-2CE2D7EA6361}"/>
            </c:ext>
          </c:extLst>
        </c:ser>
        <c:dLbls>
          <c:showLegendKey val="0"/>
          <c:showVal val="0"/>
          <c:showCatName val="0"/>
          <c:showSerName val="0"/>
          <c:showPercent val="0"/>
          <c:showBubbleSize val="0"/>
        </c:dLbls>
        <c:gapWidth val="150"/>
        <c:axId val="1559258512"/>
        <c:axId val="1559259472"/>
      </c:barChart>
      <c:catAx>
        <c:axId val="1559258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9259472"/>
        <c:crosses val="autoZero"/>
        <c:auto val="1"/>
        <c:lblAlgn val="ctr"/>
        <c:lblOffset val="100"/>
        <c:noMultiLvlLbl val="0"/>
      </c:catAx>
      <c:valAx>
        <c:axId val="15592594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925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FDI projects</c:v>
                </c:pt>
              </c:strCache>
            </c:strRef>
          </c:tx>
          <c:spPr>
            <a:solidFill>
              <a:schemeClr val="accent1"/>
            </a:solidFill>
            <a:ln>
              <a:noFill/>
            </a:ln>
            <a:effectLst/>
          </c:spPr>
          <c:invertIfNegative val="0"/>
          <c:cat>
            <c:strRef>
              <c:f>Sheet1!$A$2:$A$6</c:f>
              <c:strCache>
                <c:ptCount val="5"/>
                <c:pt idx="0">
                  <c:v>2018 to 2019</c:v>
                </c:pt>
                <c:pt idx="1">
                  <c:v>2019 to 2020</c:v>
                </c:pt>
                <c:pt idx="2">
                  <c:v>2020 to 2021</c:v>
                </c:pt>
                <c:pt idx="3">
                  <c:v>2021 to 2022</c:v>
                </c:pt>
                <c:pt idx="4">
                  <c:v>2022 to 2023</c:v>
                </c:pt>
              </c:strCache>
            </c:strRef>
          </c:cat>
          <c:val>
            <c:numRef>
              <c:f>Sheet1!$B$2:$B$6</c:f>
              <c:numCache>
                <c:formatCode>#,##0</c:formatCode>
                <c:ptCount val="5"/>
                <c:pt idx="0">
                  <c:v>1782</c:v>
                </c:pt>
                <c:pt idx="1">
                  <c:v>1852</c:v>
                </c:pt>
                <c:pt idx="2">
                  <c:v>1538</c:v>
                </c:pt>
                <c:pt idx="3">
                  <c:v>1589</c:v>
                </c:pt>
                <c:pt idx="4">
                  <c:v>1654</c:v>
                </c:pt>
              </c:numCache>
            </c:numRef>
          </c:val>
          <c:extLst>
            <c:ext xmlns:c16="http://schemas.microsoft.com/office/drawing/2014/chart" uri="{C3380CC4-5D6E-409C-BE32-E72D297353CC}">
              <c16:uniqueId val="{00000000-5505-46F6-9E2B-0FCFAFEA308E}"/>
            </c:ext>
          </c:extLst>
        </c:ser>
        <c:dLbls>
          <c:showLegendKey val="0"/>
          <c:showVal val="0"/>
          <c:showCatName val="0"/>
          <c:showSerName val="0"/>
          <c:showPercent val="0"/>
          <c:showBubbleSize val="0"/>
        </c:dLbls>
        <c:gapWidth val="219"/>
        <c:overlap val="-27"/>
        <c:axId val="1541082064"/>
        <c:axId val="1541068624"/>
      </c:barChart>
      <c:catAx>
        <c:axId val="1541082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1068624"/>
        <c:crosses val="autoZero"/>
        <c:auto val="1"/>
        <c:lblAlgn val="ctr"/>
        <c:lblOffset val="100"/>
        <c:noMultiLvlLbl val="0"/>
      </c:catAx>
      <c:valAx>
        <c:axId val="15410686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1082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View">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docProps/app.xml><?xml version="1.0" encoding="utf-8"?>
<Properties xmlns="http://schemas.openxmlformats.org/officeDocument/2006/extended-properties" xmlns:vt="http://schemas.openxmlformats.org/officeDocument/2006/docPropsVTypes">
  <Template>Normal</Template>
  <TotalTime>194</TotalTime>
  <Pages>79</Pages>
  <Words>19900</Words>
  <Characters>117810</Characters>
  <Application>Microsoft Office Word</Application>
  <DocSecurity>0</DocSecurity>
  <Lines>3195</Lines>
  <Paragraphs>1555</Paragraphs>
  <ScaleCrop>false</ScaleCrop>
  <HeadingPairs>
    <vt:vector size="2" baseType="variant">
      <vt:variant>
        <vt:lpstr>Title</vt:lpstr>
      </vt:variant>
      <vt:variant>
        <vt:i4>1</vt:i4>
      </vt:variant>
    </vt:vector>
  </HeadingPairs>
  <TitlesOfParts>
    <vt:vector size="1" baseType="lpstr">
      <vt:lpstr>University Name: University of Wales Trinity Saint David Dissertation (LCMB7020_BIRM)                                                  “The impact of Foreign Direct Investment (FDI) on the UK Economy”</vt:lpstr>
    </vt:vector>
  </TitlesOfParts>
  <Company>Nidec Control Techniques</Company>
  <LinksUpToDate>false</LinksUpToDate>
  <CharactersWithSpaces>139945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Name: University of Wales Trinity Saint David Dissertation (LCMB7020_BIRM)                                                  “The impact of Foreign Direct Investment (FDI) on the UK Economy”</dc:title>
  <dc:subject>Student No: 2239912                                                                   Name: Nazish Tariq                                                              Supervisor"Ejike Udeogu</dc:subject>
  <dc:creator>Aziz, Tariq [MOEN/CT/TEL]</dc:creator>
  <cp:keywords/>
  <dc:description/>
  <cp:lastModifiedBy>Aziz, Tariq [MOEN/CT/TEL]</cp:lastModifiedBy>
  <cp:revision>40</cp:revision>
  <cp:lastPrinted>2024-08-29T15:19:00Z</cp:lastPrinted>
  <dcterms:created xsi:type="dcterms:W3CDTF">2024-08-27T16:28:00Z</dcterms:created>
  <dcterms:modified xsi:type="dcterms:W3CDTF">2024-08-29T17:48:00Z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08fe3836-0337-4503-bef5-a26e0ac278d4</vt:lpwstr>
  </property>
</Properties>
</file>