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ACC6F" w14:textId="77777777" w:rsidR="001158EF" w:rsidRPr="00152CEF" w:rsidRDefault="001158EF" w:rsidP="00FF511F">
      <w:pPr>
        <w:spacing w:after="0" w:line="480" w:lineRule="auto"/>
        <w:jc w:val="center"/>
        <w:rPr>
          <w:rFonts w:ascii="Arial" w:hAnsi="Arial" w:cs="Arial"/>
        </w:rPr>
      </w:pPr>
    </w:p>
    <w:p w14:paraId="010CFFAF" w14:textId="77777777" w:rsidR="001158EF" w:rsidRPr="00152CEF" w:rsidRDefault="001158EF" w:rsidP="00FF511F">
      <w:pPr>
        <w:spacing w:after="0" w:line="480" w:lineRule="auto"/>
        <w:jc w:val="center"/>
        <w:rPr>
          <w:rFonts w:ascii="Arial" w:hAnsi="Arial" w:cs="Arial"/>
        </w:rPr>
      </w:pPr>
    </w:p>
    <w:tbl>
      <w:tblPr>
        <w:tblW w:w="1035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160"/>
        <w:gridCol w:w="3060"/>
        <w:gridCol w:w="2970"/>
      </w:tblGrid>
      <w:tr w:rsidR="001158EF" w:rsidRPr="00152CEF" w14:paraId="58C36702" w14:textId="77777777" w:rsidTr="001158EF">
        <w:tc>
          <w:tcPr>
            <w:tcW w:w="2160" w:type="dxa"/>
          </w:tcPr>
          <w:p w14:paraId="3C93EDF1"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Student name:</w:t>
            </w:r>
          </w:p>
        </w:tc>
        <w:tc>
          <w:tcPr>
            <w:tcW w:w="2160" w:type="dxa"/>
          </w:tcPr>
          <w:p w14:paraId="121BFC3D"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fldChar w:fldCharType="begin">
                <w:ffData>
                  <w:name w:val="Text2"/>
                  <w:enabled/>
                  <w:calcOnExit w:val="0"/>
                  <w:textInput/>
                </w:ffData>
              </w:fldChar>
            </w:r>
            <w:r w:rsidRPr="00152CEF">
              <w:rPr>
                <w:rFonts w:ascii="Arial" w:eastAsia="Times New Roman" w:hAnsi="Arial" w:cs="Arial"/>
                <w:b/>
                <w:kern w:val="0"/>
                <w:lang w:eastAsia="en-GB"/>
                <w14:ligatures w14:val="none"/>
              </w:rPr>
              <w:instrText xml:space="preserve"> FORMTEXT </w:instrText>
            </w:r>
            <w:r w:rsidRPr="00152CEF">
              <w:rPr>
                <w:rFonts w:ascii="Arial" w:eastAsia="Times New Roman" w:hAnsi="Arial" w:cs="Arial"/>
                <w:b/>
                <w:kern w:val="0"/>
                <w:lang w:eastAsia="en-GB"/>
                <w14:ligatures w14:val="none"/>
              </w:rPr>
            </w:r>
            <w:r w:rsidRPr="00152CEF">
              <w:rPr>
                <w:rFonts w:ascii="Arial" w:eastAsia="Times New Roman" w:hAnsi="Arial" w:cs="Arial"/>
                <w:b/>
                <w:kern w:val="0"/>
                <w:lang w:eastAsia="en-GB"/>
                <w14:ligatures w14:val="none"/>
              </w:rPr>
              <w:fldChar w:fldCharType="separate"/>
            </w:r>
            <w:r w:rsidRPr="00152CEF">
              <w:rPr>
                <w:rFonts w:ascii="Arial" w:eastAsia="Times New Roman" w:hAnsi="Arial" w:cs="Arial"/>
                <w:b/>
                <w:noProof/>
                <w:kern w:val="0"/>
                <w:lang w:eastAsia="en-GB"/>
                <w14:ligatures w14:val="none"/>
              </w:rPr>
              <w:t> </w:t>
            </w:r>
            <w:r w:rsidRPr="00152CEF">
              <w:rPr>
                <w:rFonts w:ascii="Arial" w:eastAsia="Times New Roman" w:hAnsi="Arial" w:cs="Arial"/>
                <w:b/>
                <w:noProof/>
                <w:kern w:val="0"/>
                <w:lang w:eastAsia="en-GB"/>
                <w14:ligatures w14:val="none"/>
              </w:rPr>
              <w:t> </w:t>
            </w:r>
            <w:r w:rsidRPr="00152CEF">
              <w:rPr>
                <w:rFonts w:ascii="Arial" w:eastAsia="Times New Roman" w:hAnsi="Arial" w:cs="Arial"/>
                <w:b/>
                <w:noProof/>
                <w:kern w:val="0"/>
                <w:lang w:eastAsia="en-GB"/>
                <w14:ligatures w14:val="none"/>
              </w:rPr>
              <w:t> </w:t>
            </w:r>
            <w:r w:rsidRPr="00152CEF">
              <w:rPr>
                <w:rFonts w:ascii="Arial" w:eastAsia="Times New Roman" w:hAnsi="Arial" w:cs="Arial"/>
                <w:b/>
                <w:noProof/>
                <w:kern w:val="0"/>
                <w:lang w:eastAsia="en-GB"/>
                <w14:ligatures w14:val="none"/>
              </w:rPr>
              <w:t> </w:t>
            </w:r>
            <w:r w:rsidRPr="00152CEF">
              <w:rPr>
                <w:rFonts w:ascii="Arial" w:eastAsia="Times New Roman" w:hAnsi="Arial" w:cs="Arial"/>
                <w:b/>
                <w:noProof/>
                <w:kern w:val="0"/>
                <w:lang w:eastAsia="en-GB"/>
                <w14:ligatures w14:val="none"/>
              </w:rPr>
              <w:t> </w:t>
            </w:r>
            <w:r w:rsidRPr="00152CEF">
              <w:rPr>
                <w:rFonts w:ascii="Arial" w:eastAsia="Times New Roman" w:hAnsi="Arial" w:cs="Arial"/>
                <w:b/>
                <w:kern w:val="0"/>
                <w:lang w:eastAsia="en-GB"/>
                <w14:ligatures w14:val="none"/>
              </w:rPr>
              <w:fldChar w:fldCharType="end"/>
            </w:r>
          </w:p>
        </w:tc>
        <w:tc>
          <w:tcPr>
            <w:tcW w:w="3060" w:type="dxa"/>
            <w:shd w:val="clear" w:color="auto" w:fill="D9D9D9"/>
          </w:tcPr>
          <w:p w14:paraId="56A860CA" w14:textId="77777777" w:rsidR="001158EF" w:rsidRPr="00152CEF" w:rsidRDefault="001158EF" w:rsidP="00FF511F">
            <w:pPr>
              <w:pStyle w:val="NoSpacing"/>
              <w:spacing w:line="480" w:lineRule="auto"/>
              <w:rPr>
                <w:rFonts w:ascii="Arial" w:hAnsi="Arial" w:cs="Arial"/>
                <w:lang w:eastAsia="en-GB"/>
              </w:rPr>
            </w:pPr>
            <w:r w:rsidRPr="00152CEF">
              <w:rPr>
                <w:rFonts w:ascii="Arial" w:hAnsi="Arial" w:cs="Arial"/>
                <w:lang w:eastAsia="en-GB"/>
              </w:rPr>
              <w:t>Student ID number:</w:t>
            </w:r>
          </w:p>
        </w:tc>
        <w:tc>
          <w:tcPr>
            <w:tcW w:w="2970" w:type="dxa"/>
          </w:tcPr>
          <w:p w14:paraId="1495FACE"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p>
        </w:tc>
      </w:tr>
      <w:tr w:rsidR="001158EF" w:rsidRPr="00152CEF" w14:paraId="1D07F877" w14:textId="77777777" w:rsidTr="001158EF">
        <w:tc>
          <w:tcPr>
            <w:tcW w:w="2160" w:type="dxa"/>
          </w:tcPr>
          <w:p w14:paraId="5B539E14"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Programme:</w:t>
            </w:r>
          </w:p>
        </w:tc>
        <w:tc>
          <w:tcPr>
            <w:tcW w:w="8190" w:type="dxa"/>
            <w:gridSpan w:val="3"/>
          </w:tcPr>
          <w:p w14:paraId="31E443C0" w14:textId="77777777" w:rsidR="001158EF" w:rsidRPr="00152CEF" w:rsidRDefault="001158EF" w:rsidP="00FF511F">
            <w:pPr>
              <w:pStyle w:val="NoSpacing"/>
              <w:spacing w:line="480" w:lineRule="auto"/>
              <w:rPr>
                <w:rFonts w:ascii="Arial" w:hAnsi="Arial" w:cs="Arial"/>
                <w:lang w:eastAsia="en-GB"/>
              </w:rPr>
            </w:pPr>
            <w:r w:rsidRPr="00152CEF">
              <w:rPr>
                <w:rFonts w:ascii="Arial" w:eastAsia="Arial" w:hAnsi="Arial" w:cs="Arial"/>
                <w:bCs/>
                <w:lang w:eastAsia="en-GB"/>
              </w:rPr>
              <w:t>MSc Public Health and Social Care in Practice</w:t>
            </w:r>
          </w:p>
        </w:tc>
      </w:tr>
      <w:tr w:rsidR="001158EF" w:rsidRPr="00152CEF" w14:paraId="44E3D99E" w14:textId="77777777" w:rsidTr="001158EF">
        <w:tc>
          <w:tcPr>
            <w:tcW w:w="2160" w:type="dxa"/>
          </w:tcPr>
          <w:p w14:paraId="55D3AD4B"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Module:</w:t>
            </w:r>
          </w:p>
        </w:tc>
        <w:tc>
          <w:tcPr>
            <w:tcW w:w="8190" w:type="dxa"/>
            <w:gridSpan w:val="3"/>
          </w:tcPr>
          <w:p w14:paraId="34ABFBB3" w14:textId="77777777" w:rsidR="001158EF" w:rsidRPr="00152CEF" w:rsidRDefault="001158EF" w:rsidP="00FF511F">
            <w:pPr>
              <w:pStyle w:val="NoSpacing"/>
              <w:spacing w:line="480" w:lineRule="auto"/>
              <w:rPr>
                <w:rFonts w:ascii="Arial" w:eastAsia="Arial" w:hAnsi="Arial" w:cs="Arial"/>
                <w:bCs/>
                <w:lang w:eastAsia="en-GB"/>
              </w:rPr>
            </w:pPr>
            <w:r w:rsidRPr="00152CEF">
              <w:rPr>
                <w:rFonts w:ascii="Arial" w:eastAsia="Arial" w:hAnsi="Arial" w:cs="Arial"/>
                <w:bCs/>
                <w:lang w:eastAsia="en-GB"/>
              </w:rPr>
              <w:t>Social Epidemiology and Public Health Development</w:t>
            </w:r>
          </w:p>
        </w:tc>
      </w:tr>
      <w:tr w:rsidR="001158EF" w:rsidRPr="00152CEF" w14:paraId="41F16C50" w14:textId="77777777" w:rsidTr="001158EF">
        <w:tc>
          <w:tcPr>
            <w:tcW w:w="2160" w:type="dxa"/>
          </w:tcPr>
          <w:p w14:paraId="74206932"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Module code:</w:t>
            </w:r>
          </w:p>
        </w:tc>
        <w:tc>
          <w:tcPr>
            <w:tcW w:w="2160" w:type="dxa"/>
          </w:tcPr>
          <w:p w14:paraId="1A70AB76" w14:textId="77777777" w:rsidR="001158EF" w:rsidRPr="00152CEF" w:rsidRDefault="001158EF" w:rsidP="00FF511F">
            <w:pPr>
              <w:spacing w:before="120" w:after="120" w:line="480" w:lineRule="auto"/>
              <w:jc w:val="both"/>
              <w:rPr>
                <w:rFonts w:ascii="Arial" w:eastAsia="Arial" w:hAnsi="Arial" w:cs="Arial"/>
                <w:kern w:val="0"/>
                <w:lang w:eastAsia="en-GB"/>
                <w14:ligatures w14:val="none"/>
              </w:rPr>
            </w:pPr>
            <w:r w:rsidRPr="00152CEF">
              <w:rPr>
                <w:rFonts w:ascii="Arial" w:eastAsia="Arial" w:hAnsi="Arial" w:cs="Arial"/>
                <w:b/>
                <w:bCs/>
                <w:kern w:val="0"/>
                <w:lang w:eastAsia="en-GB"/>
                <w14:ligatures w14:val="none"/>
              </w:rPr>
              <w:t>LCHS7000</w:t>
            </w:r>
          </w:p>
          <w:p w14:paraId="6F6E90ED" w14:textId="77777777" w:rsidR="001158EF" w:rsidRPr="00152CEF" w:rsidRDefault="001158EF" w:rsidP="00FF511F">
            <w:pPr>
              <w:spacing w:before="120" w:after="120" w:line="480" w:lineRule="auto"/>
              <w:jc w:val="both"/>
              <w:rPr>
                <w:rFonts w:ascii="Arial" w:eastAsia="Times New Roman" w:hAnsi="Arial" w:cs="Arial"/>
                <w:b/>
                <w:bCs/>
                <w:kern w:val="0"/>
                <w:lang w:eastAsia="en-GB"/>
                <w14:ligatures w14:val="none"/>
              </w:rPr>
            </w:pPr>
          </w:p>
        </w:tc>
        <w:tc>
          <w:tcPr>
            <w:tcW w:w="3060" w:type="dxa"/>
            <w:shd w:val="clear" w:color="auto" w:fill="D9D9D9"/>
          </w:tcPr>
          <w:p w14:paraId="7FBAC3BD" w14:textId="77777777" w:rsidR="001158EF" w:rsidRPr="00152CEF" w:rsidRDefault="001158EF" w:rsidP="00FF511F">
            <w:pPr>
              <w:pStyle w:val="NoSpacing"/>
              <w:spacing w:line="480" w:lineRule="auto"/>
              <w:rPr>
                <w:rFonts w:ascii="Arial" w:hAnsi="Arial" w:cs="Arial"/>
                <w:bCs/>
                <w:lang w:eastAsia="en-GB"/>
              </w:rPr>
            </w:pPr>
            <w:r w:rsidRPr="00152CEF">
              <w:rPr>
                <w:rFonts w:ascii="Arial" w:hAnsi="Arial" w:cs="Arial"/>
                <w:bCs/>
                <w:lang w:eastAsia="en-GB"/>
              </w:rPr>
              <w:t>Contribution to Overall Module Assessment (%):</w:t>
            </w:r>
          </w:p>
        </w:tc>
        <w:tc>
          <w:tcPr>
            <w:tcW w:w="2970" w:type="dxa"/>
          </w:tcPr>
          <w:p w14:paraId="3AF41C60" w14:textId="77777777" w:rsidR="001158EF" w:rsidRPr="00152CEF" w:rsidRDefault="001158EF" w:rsidP="00FF511F">
            <w:pPr>
              <w:spacing w:before="120" w:after="120" w:line="480" w:lineRule="auto"/>
              <w:jc w:val="both"/>
              <w:rPr>
                <w:rFonts w:ascii="Arial" w:eastAsia="Arial" w:hAnsi="Arial" w:cs="Arial"/>
                <w:kern w:val="0"/>
                <w:lang w:eastAsia="en-GB"/>
                <w14:ligatures w14:val="none"/>
              </w:rPr>
            </w:pPr>
            <w:r w:rsidRPr="00152CEF">
              <w:rPr>
                <w:rFonts w:ascii="Arial" w:eastAsia="Arial" w:hAnsi="Arial" w:cs="Arial"/>
                <w:b/>
                <w:bCs/>
                <w:kern w:val="0"/>
                <w:lang w:eastAsia="en-GB"/>
                <w14:ligatures w14:val="none"/>
              </w:rPr>
              <w:t>50%</w:t>
            </w:r>
          </w:p>
        </w:tc>
      </w:tr>
      <w:tr w:rsidR="001158EF" w:rsidRPr="00152CEF" w14:paraId="694ED5EE" w14:textId="77777777" w:rsidTr="001158EF">
        <w:tc>
          <w:tcPr>
            <w:tcW w:w="2160" w:type="dxa"/>
          </w:tcPr>
          <w:p w14:paraId="65D4FFF1"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Lecturer:</w:t>
            </w:r>
          </w:p>
        </w:tc>
        <w:tc>
          <w:tcPr>
            <w:tcW w:w="2160" w:type="dxa"/>
          </w:tcPr>
          <w:p w14:paraId="376BBA4F"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p>
        </w:tc>
        <w:tc>
          <w:tcPr>
            <w:tcW w:w="3060" w:type="dxa"/>
            <w:shd w:val="clear" w:color="auto" w:fill="D9D9D9"/>
          </w:tcPr>
          <w:p w14:paraId="3AD748E8" w14:textId="77777777" w:rsidR="001158EF" w:rsidRPr="00152CEF" w:rsidRDefault="001158EF" w:rsidP="00FF511F">
            <w:pPr>
              <w:pStyle w:val="NoSpacing"/>
              <w:spacing w:line="480" w:lineRule="auto"/>
              <w:rPr>
                <w:rFonts w:ascii="Arial" w:hAnsi="Arial" w:cs="Arial"/>
                <w:bCs/>
                <w:lang w:eastAsia="en-GB"/>
              </w:rPr>
            </w:pPr>
            <w:r w:rsidRPr="00152CEF">
              <w:rPr>
                <w:rFonts w:ascii="Arial" w:hAnsi="Arial" w:cs="Arial"/>
                <w:bCs/>
                <w:lang w:eastAsia="en-GB"/>
              </w:rPr>
              <w:t>Internal Verifier:</w:t>
            </w:r>
          </w:p>
        </w:tc>
        <w:tc>
          <w:tcPr>
            <w:tcW w:w="2970" w:type="dxa"/>
          </w:tcPr>
          <w:p w14:paraId="7014CECF" w14:textId="77777777" w:rsidR="001158EF" w:rsidRPr="00152CEF" w:rsidRDefault="001158EF" w:rsidP="00FF511F">
            <w:pPr>
              <w:spacing w:before="120" w:after="120" w:line="480" w:lineRule="auto"/>
              <w:jc w:val="both"/>
              <w:rPr>
                <w:rFonts w:ascii="Arial" w:eastAsia="Times New Roman" w:hAnsi="Arial" w:cs="Arial"/>
                <w:b/>
                <w:bCs/>
                <w:kern w:val="0"/>
                <w:lang w:eastAsia="en-GB"/>
                <w14:ligatures w14:val="none"/>
              </w:rPr>
            </w:pPr>
            <w:r w:rsidRPr="00152CEF">
              <w:rPr>
                <w:rFonts w:ascii="Arial" w:eastAsia="Times New Roman" w:hAnsi="Arial" w:cs="Arial"/>
                <w:b/>
                <w:bCs/>
                <w:kern w:val="0"/>
                <w:lang w:eastAsia="en-GB"/>
                <w14:ligatures w14:val="none"/>
              </w:rPr>
              <w:t xml:space="preserve">Dr </w:t>
            </w:r>
            <w:proofErr w:type="spellStart"/>
            <w:r w:rsidRPr="00152CEF">
              <w:rPr>
                <w:rFonts w:ascii="Arial" w:eastAsia="Times New Roman" w:hAnsi="Arial" w:cs="Arial"/>
                <w:b/>
                <w:bCs/>
                <w:kern w:val="0"/>
                <w:lang w:eastAsia="en-GB"/>
                <w14:ligatures w14:val="none"/>
              </w:rPr>
              <w:t>Hamdi</w:t>
            </w:r>
            <w:proofErr w:type="spellEnd"/>
            <w:r w:rsidRPr="00152CEF">
              <w:rPr>
                <w:rFonts w:ascii="Arial" w:eastAsia="Times New Roman" w:hAnsi="Arial" w:cs="Arial"/>
                <w:b/>
                <w:bCs/>
                <w:kern w:val="0"/>
                <w:lang w:eastAsia="en-GB"/>
                <w14:ligatures w14:val="none"/>
              </w:rPr>
              <w:t xml:space="preserve"> Hussain</w:t>
            </w:r>
          </w:p>
        </w:tc>
      </w:tr>
      <w:tr w:rsidR="001158EF" w:rsidRPr="00152CEF" w14:paraId="179A770F" w14:textId="77777777" w:rsidTr="001158EF">
        <w:tc>
          <w:tcPr>
            <w:tcW w:w="2160" w:type="dxa"/>
          </w:tcPr>
          <w:p w14:paraId="1071F9AF" w14:textId="77777777" w:rsidR="001158EF" w:rsidRPr="00152CEF" w:rsidRDefault="001158EF" w:rsidP="00FF511F">
            <w:pPr>
              <w:spacing w:before="120" w:after="120" w:line="480" w:lineRule="auto"/>
              <w:jc w:val="both"/>
              <w:rPr>
                <w:rFonts w:ascii="Arial" w:eastAsia="Times New Roman" w:hAnsi="Arial" w:cs="Arial"/>
                <w:b/>
                <w:kern w:val="0"/>
                <w:lang w:eastAsia="en-GB"/>
                <w14:ligatures w14:val="none"/>
              </w:rPr>
            </w:pPr>
            <w:r w:rsidRPr="00152CEF">
              <w:rPr>
                <w:rFonts w:ascii="Arial" w:eastAsia="Times New Roman" w:hAnsi="Arial" w:cs="Arial"/>
                <w:b/>
                <w:kern w:val="0"/>
                <w:lang w:eastAsia="en-GB"/>
                <w14:ligatures w14:val="none"/>
              </w:rPr>
              <w:t>Assignment Title:</w:t>
            </w:r>
          </w:p>
        </w:tc>
        <w:tc>
          <w:tcPr>
            <w:tcW w:w="2160" w:type="dxa"/>
          </w:tcPr>
          <w:p w14:paraId="7F846977" w14:textId="77777777" w:rsidR="001158EF" w:rsidRPr="00152CEF" w:rsidRDefault="001158EF" w:rsidP="00FF511F">
            <w:pPr>
              <w:spacing w:after="0" w:line="480" w:lineRule="auto"/>
              <w:ind w:left="2"/>
              <w:jc w:val="both"/>
              <w:rPr>
                <w:rFonts w:ascii="Arial" w:eastAsia="Times New Roman" w:hAnsi="Arial" w:cs="Arial"/>
                <w:kern w:val="0"/>
                <w:lang w:eastAsia="en-GB"/>
                <w14:ligatures w14:val="none"/>
              </w:rPr>
            </w:pPr>
            <w:r w:rsidRPr="00152CEF">
              <w:rPr>
                <w:rFonts w:ascii="Arial" w:eastAsia="Arial" w:hAnsi="Arial" w:cs="Arial"/>
                <w:b/>
                <w:bCs/>
                <w:kern w:val="0"/>
                <w:lang w:eastAsia="en-GB"/>
                <w14:ligatures w14:val="none"/>
              </w:rPr>
              <w:t>Component 2</w:t>
            </w:r>
          </w:p>
          <w:p w14:paraId="15CEF198" w14:textId="77777777" w:rsidR="001158EF" w:rsidRPr="00152CEF" w:rsidRDefault="001158EF" w:rsidP="00FF511F">
            <w:pPr>
              <w:spacing w:after="0" w:line="480" w:lineRule="auto"/>
              <w:ind w:left="2"/>
              <w:jc w:val="both"/>
              <w:rPr>
                <w:rFonts w:ascii="Arial" w:eastAsia="Times New Roman" w:hAnsi="Arial" w:cs="Arial"/>
                <w:kern w:val="0"/>
                <w:lang w:eastAsia="en-GB"/>
                <w14:ligatures w14:val="none"/>
              </w:rPr>
            </w:pPr>
            <w:r w:rsidRPr="00152CEF">
              <w:rPr>
                <w:rFonts w:ascii="Arial" w:eastAsia="Arial" w:hAnsi="Arial" w:cs="Arial"/>
                <w:b/>
                <w:bCs/>
                <w:kern w:val="0"/>
                <w:lang w:eastAsia="en-GB"/>
                <w14:ligatures w14:val="none"/>
              </w:rPr>
              <w:t>Analytical Report</w:t>
            </w:r>
          </w:p>
          <w:p w14:paraId="3F171555" w14:textId="77777777" w:rsidR="001158EF" w:rsidRPr="00152CEF" w:rsidRDefault="001158EF" w:rsidP="00FF511F">
            <w:pPr>
              <w:spacing w:after="0" w:line="480" w:lineRule="auto"/>
              <w:jc w:val="both"/>
              <w:rPr>
                <w:rFonts w:ascii="Arial" w:eastAsia="Arial" w:hAnsi="Arial" w:cs="Arial"/>
                <w:b/>
                <w:bCs/>
                <w:kern w:val="0"/>
                <w:lang w:eastAsia="en-GB"/>
                <w14:ligatures w14:val="none"/>
              </w:rPr>
            </w:pPr>
          </w:p>
        </w:tc>
        <w:tc>
          <w:tcPr>
            <w:tcW w:w="3060" w:type="dxa"/>
          </w:tcPr>
          <w:p w14:paraId="739A31CC" w14:textId="77777777" w:rsidR="001158EF" w:rsidRPr="00152CEF" w:rsidRDefault="001158EF" w:rsidP="00FF511F">
            <w:pPr>
              <w:pStyle w:val="NoSpacing"/>
              <w:spacing w:line="480" w:lineRule="auto"/>
              <w:rPr>
                <w:rFonts w:ascii="Arial" w:hAnsi="Arial" w:cs="Arial"/>
                <w:lang w:eastAsia="en-GB"/>
              </w:rPr>
            </w:pPr>
            <w:r w:rsidRPr="00152CEF">
              <w:rPr>
                <w:rFonts w:ascii="Arial" w:hAnsi="Arial" w:cs="Arial"/>
                <w:lang w:eastAsia="en-GB"/>
              </w:rPr>
              <w:t>Word count (or equivalent):</w:t>
            </w:r>
          </w:p>
        </w:tc>
        <w:tc>
          <w:tcPr>
            <w:tcW w:w="2970" w:type="dxa"/>
          </w:tcPr>
          <w:p w14:paraId="7D7549BB" w14:textId="75F57C7A" w:rsidR="001158EF" w:rsidRPr="00152CEF" w:rsidRDefault="000B04BE" w:rsidP="00FF511F">
            <w:pPr>
              <w:spacing w:before="120" w:after="120" w:line="480" w:lineRule="auto"/>
              <w:jc w:val="both"/>
              <w:rPr>
                <w:rFonts w:ascii="Arial" w:eastAsia="Arial" w:hAnsi="Arial" w:cs="Arial"/>
                <w:kern w:val="0"/>
                <w:lang w:eastAsia="en-GB"/>
                <w14:ligatures w14:val="none"/>
              </w:rPr>
            </w:pPr>
            <w:r w:rsidRPr="00152CEF">
              <w:rPr>
                <w:rFonts w:ascii="Arial" w:eastAsia="Arial" w:hAnsi="Arial" w:cs="Arial"/>
                <w:kern w:val="0"/>
                <w:lang w:eastAsia="en-GB"/>
                <w14:ligatures w14:val="none"/>
              </w:rPr>
              <w:t>273</w:t>
            </w:r>
            <w:r w:rsidR="006C4847" w:rsidRPr="00152CEF">
              <w:rPr>
                <w:rFonts w:ascii="Arial" w:eastAsia="Arial" w:hAnsi="Arial" w:cs="Arial"/>
                <w:kern w:val="0"/>
                <w:lang w:eastAsia="en-GB"/>
                <w14:ligatures w14:val="none"/>
              </w:rPr>
              <w:t>8</w:t>
            </w:r>
            <w:r w:rsidRPr="00152CEF">
              <w:rPr>
                <w:rFonts w:ascii="Arial" w:eastAsia="Arial" w:hAnsi="Arial" w:cs="Arial"/>
                <w:kern w:val="0"/>
                <w:lang w:eastAsia="en-GB"/>
                <w14:ligatures w14:val="none"/>
              </w:rPr>
              <w:t xml:space="preserve"> words</w:t>
            </w:r>
          </w:p>
        </w:tc>
      </w:tr>
    </w:tbl>
    <w:p w14:paraId="62137C39" w14:textId="77777777" w:rsidR="001158EF" w:rsidRPr="00152CEF" w:rsidRDefault="001158EF" w:rsidP="00FF511F">
      <w:pPr>
        <w:spacing w:after="0" w:line="480" w:lineRule="auto"/>
        <w:jc w:val="center"/>
        <w:rPr>
          <w:rFonts w:ascii="Arial" w:hAnsi="Arial" w:cs="Arial"/>
        </w:rPr>
      </w:pPr>
    </w:p>
    <w:p w14:paraId="482932A9" w14:textId="106C6B93" w:rsidR="001158EF" w:rsidRPr="00152CEF" w:rsidRDefault="001158EF" w:rsidP="00FF511F">
      <w:pPr>
        <w:spacing w:line="480" w:lineRule="auto"/>
        <w:rPr>
          <w:rFonts w:ascii="Arial" w:eastAsia="Calibri" w:hAnsi="Arial" w:cs="Arial"/>
        </w:rPr>
      </w:pPr>
      <w:r w:rsidRPr="00152CEF">
        <w:rPr>
          <w:rFonts w:ascii="Arial" w:eastAsia="Calibri" w:hAnsi="Arial" w:cs="Arial"/>
        </w:rPr>
        <w:br w:type="page"/>
      </w:r>
    </w:p>
    <w:sdt>
      <w:sdtPr>
        <w:rPr>
          <w:rFonts w:ascii="Arial" w:eastAsiaTheme="minorHAnsi" w:hAnsi="Arial" w:cs="Arial"/>
          <w:color w:val="auto"/>
          <w:kern w:val="2"/>
          <w:sz w:val="24"/>
          <w:szCs w:val="24"/>
          <w:lang w:val="en-GB"/>
          <w14:ligatures w14:val="standardContextual"/>
        </w:rPr>
        <w:id w:val="665284971"/>
        <w:docPartObj>
          <w:docPartGallery w:val="Table of Contents"/>
          <w:docPartUnique/>
        </w:docPartObj>
      </w:sdtPr>
      <w:sdtEndPr>
        <w:rPr>
          <w:b/>
          <w:bCs/>
          <w:noProof/>
        </w:rPr>
      </w:sdtEndPr>
      <w:sdtContent>
        <w:p w14:paraId="4AA5A7A4" w14:textId="069EC40B" w:rsidR="001158EF" w:rsidRPr="00152CEF" w:rsidRDefault="001158EF" w:rsidP="00FF511F">
          <w:pPr>
            <w:pStyle w:val="TOCHeading"/>
            <w:spacing w:line="480" w:lineRule="auto"/>
            <w:rPr>
              <w:rFonts w:ascii="Arial" w:hAnsi="Arial" w:cs="Arial"/>
              <w:sz w:val="24"/>
              <w:szCs w:val="24"/>
            </w:rPr>
          </w:pPr>
          <w:r w:rsidRPr="00152CEF">
            <w:rPr>
              <w:rFonts w:ascii="Arial" w:hAnsi="Arial" w:cs="Arial"/>
              <w:sz w:val="24"/>
              <w:szCs w:val="24"/>
            </w:rPr>
            <w:t>Table of Contents</w:t>
          </w:r>
        </w:p>
        <w:p w14:paraId="5A0A47E5" w14:textId="0035FA16" w:rsidR="00FF511F" w:rsidRDefault="001158EF" w:rsidP="00FF511F">
          <w:pPr>
            <w:pStyle w:val="TOC1"/>
            <w:tabs>
              <w:tab w:val="right" w:leader="dot" w:pos="9350"/>
            </w:tabs>
            <w:spacing w:line="480" w:lineRule="auto"/>
            <w:rPr>
              <w:rFonts w:eastAsiaTheme="minorEastAsia"/>
              <w:noProof/>
              <w:lang w:eastAsia="en-GB"/>
            </w:rPr>
          </w:pPr>
          <w:r w:rsidRPr="00152CEF">
            <w:rPr>
              <w:rFonts w:ascii="Arial" w:hAnsi="Arial" w:cs="Arial"/>
            </w:rPr>
            <w:fldChar w:fldCharType="begin"/>
          </w:r>
          <w:r w:rsidRPr="00152CEF">
            <w:rPr>
              <w:rFonts w:ascii="Arial" w:hAnsi="Arial" w:cs="Arial"/>
            </w:rPr>
            <w:instrText xml:space="preserve"> TOC \o "1-3" \h \z \u </w:instrText>
          </w:r>
          <w:r w:rsidRPr="00152CEF">
            <w:rPr>
              <w:rFonts w:ascii="Arial" w:hAnsi="Arial" w:cs="Arial"/>
            </w:rPr>
            <w:fldChar w:fldCharType="separate"/>
          </w:r>
          <w:hyperlink w:anchor="_Toc237515789" w:history="1">
            <w:r w:rsidR="00FF511F" w:rsidRPr="005028D2">
              <w:rPr>
                <w:rStyle w:val="Hyperlink"/>
                <w:rFonts w:ascii="Arial" w:hAnsi="Arial" w:cs="Arial"/>
                <w:b/>
                <w:bCs/>
                <w:noProof/>
              </w:rPr>
              <w:t>Task 1: Age and Health Inequalities among Older People in the UK: A Social Epidemiological Analysis</w:t>
            </w:r>
            <w:r w:rsidR="00FF511F">
              <w:rPr>
                <w:noProof/>
                <w:webHidden/>
              </w:rPr>
              <w:tab/>
            </w:r>
            <w:r w:rsidR="00FF511F">
              <w:rPr>
                <w:noProof/>
                <w:webHidden/>
              </w:rPr>
              <w:fldChar w:fldCharType="begin"/>
            </w:r>
            <w:r w:rsidR="00FF511F">
              <w:rPr>
                <w:noProof/>
                <w:webHidden/>
              </w:rPr>
              <w:instrText xml:space="preserve"> PAGEREF _Toc237515789 \h </w:instrText>
            </w:r>
            <w:r w:rsidR="00FF511F">
              <w:rPr>
                <w:noProof/>
                <w:webHidden/>
              </w:rPr>
            </w:r>
            <w:r w:rsidR="00FF511F">
              <w:rPr>
                <w:noProof/>
                <w:webHidden/>
              </w:rPr>
              <w:fldChar w:fldCharType="separate"/>
            </w:r>
            <w:r w:rsidR="00FF511F">
              <w:rPr>
                <w:noProof/>
                <w:webHidden/>
              </w:rPr>
              <w:t>2</w:t>
            </w:r>
            <w:r w:rsidR="00FF511F">
              <w:rPr>
                <w:noProof/>
                <w:webHidden/>
              </w:rPr>
              <w:fldChar w:fldCharType="end"/>
            </w:r>
          </w:hyperlink>
        </w:p>
        <w:p w14:paraId="5774F2BC" w14:textId="588DE7D8" w:rsidR="00FF511F" w:rsidRDefault="00FF511F" w:rsidP="00FF511F">
          <w:pPr>
            <w:pStyle w:val="TOC2"/>
            <w:tabs>
              <w:tab w:val="right" w:leader="dot" w:pos="9350"/>
            </w:tabs>
            <w:spacing w:line="480" w:lineRule="auto"/>
            <w:rPr>
              <w:rFonts w:eastAsiaTheme="minorEastAsia"/>
              <w:noProof/>
              <w:lang w:eastAsia="en-GB"/>
            </w:rPr>
          </w:pPr>
          <w:hyperlink w:anchor="_Toc237515790" w:history="1">
            <w:r w:rsidRPr="005028D2">
              <w:rPr>
                <w:rStyle w:val="Hyperlink"/>
                <w:rFonts w:ascii="Arial" w:hAnsi="Arial" w:cs="Arial"/>
                <w:b/>
                <w:bCs/>
                <w:noProof/>
              </w:rPr>
              <w:t>1.0 Introduction</w:t>
            </w:r>
            <w:r>
              <w:rPr>
                <w:noProof/>
                <w:webHidden/>
              </w:rPr>
              <w:tab/>
            </w:r>
            <w:r>
              <w:rPr>
                <w:noProof/>
                <w:webHidden/>
              </w:rPr>
              <w:fldChar w:fldCharType="begin"/>
            </w:r>
            <w:r>
              <w:rPr>
                <w:noProof/>
                <w:webHidden/>
              </w:rPr>
              <w:instrText xml:space="preserve"> PAGEREF _Toc237515790 \h </w:instrText>
            </w:r>
            <w:r>
              <w:rPr>
                <w:noProof/>
                <w:webHidden/>
              </w:rPr>
            </w:r>
            <w:r>
              <w:rPr>
                <w:noProof/>
                <w:webHidden/>
              </w:rPr>
              <w:fldChar w:fldCharType="separate"/>
            </w:r>
            <w:r>
              <w:rPr>
                <w:noProof/>
                <w:webHidden/>
              </w:rPr>
              <w:t>2</w:t>
            </w:r>
            <w:r>
              <w:rPr>
                <w:noProof/>
                <w:webHidden/>
              </w:rPr>
              <w:fldChar w:fldCharType="end"/>
            </w:r>
          </w:hyperlink>
        </w:p>
        <w:p w14:paraId="3C90E845" w14:textId="587D14D2" w:rsidR="00FF511F" w:rsidRDefault="00FF511F" w:rsidP="00FF511F">
          <w:pPr>
            <w:pStyle w:val="TOC2"/>
            <w:tabs>
              <w:tab w:val="right" w:leader="dot" w:pos="9350"/>
            </w:tabs>
            <w:spacing w:line="480" w:lineRule="auto"/>
            <w:rPr>
              <w:rFonts w:eastAsiaTheme="minorEastAsia"/>
              <w:noProof/>
              <w:lang w:eastAsia="en-GB"/>
            </w:rPr>
          </w:pPr>
          <w:hyperlink w:anchor="_Toc237515791" w:history="1">
            <w:r w:rsidRPr="005028D2">
              <w:rPr>
                <w:rStyle w:val="Hyperlink"/>
                <w:rFonts w:ascii="Arial" w:hAnsi="Arial" w:cs="Arial"/>
                <w:b/>
                <w:bCs/>
                <w:noProof/>
              </w:rPr>
              <w:t>2.0 Contextual Background: Key Health and Social Inequalities Affecting Older People in the UK</w:t>
            </w:r>
            <w:r>
              <w:rPr>
                <w:noProof/>
                <w:webHidden/>
              </w:rPr>
              <w:tab/>
            </w:r>
            <w:r>
              <w:rPr>
                <w:noProof/>
                <w:webHidden/>
              </w:rPr>
              <w:fldChar w:fldCharType="begin"/>
            </w:r>
            <w:r>
              <w:rPr>
                <w:noProof/>
                <w:webHidden/>
              </w:rPr>
              <w:instrText xml:space="preserve"> PAGEREF _Toc237515791 \h </w:instrText>
            </w:r>
            <w:r>
              <w:rPr>
                <w:noProof/>
                <w:webHidden/>
              </w:rPr>
            </w:r>
            <w:r>
              <w:rPr>
                <w:noProof/>
                <w:webHidden/>
              </w:rPr>
              <w:fldChar w:fldCharType="separate"/>
            </w:r>
            <w:r>
              <w:rPr>
                <w:noProof/>
                <w:webHidden/>
              </w:rPr>
              <w:t>2</w:t>
            </w:r>
            <w:r>
              <w:rPr>
                <w:noProof/>
                <w:webHidden/>
              </w:rPr>
              <w:fldChar w:fldCharType="end"/>
            </w:r>
          </w:hyperlink>
        </w:p>
        <w:p w14:paraId="1E2B6DF8" w14:textId="5007B6DA" w:rsidR="00FF511F" w:rsidRDefault="00FF511F" w:rsidP="00FF511F">
          <w:pPr>
            <w:pStyle w:val="TOC2"/>
            <w:tabs>
              <w:tab w:val="right" w:leader="dot" w:pos="9350"/>
            </w:tabs>
            <w:spacing w:line="480" w:lineRule="auto"/>
            <w:rPr>
              <w:rFonts w:eastAsiaTheme="minorEastAsia"/>
              <w:noProof/>
              <w:lang w:eastAsia="en-GB"/>
            </w:rPr>
          </w:pPr>
          <w:hyperlink w:anchor="_Toc237515792" w:history="1">
            <w:r w:rsidRPr="005028D2">
              <w:rPr>
                <w:rStyle w:val="Hyperlink"/>
                <w:rFonts w:ascii="Arial" w:hAnsi="Arial" w:cs="Arial"/>
                <w:b/>
                <w:bCs/>
                <w:noProof/>
              </w:rPr>
              <w:t>2.1 Dementia and Health Inequalities</w:t>
            </w:r>
            <w:r>
              <w:rPr>
                <w:noProof/>
                <w:webHidden/>
              </w:rPr>
              <w:tab/>
            </w:r>
            <w:r>
              <w:rPr>
                <w:noProof/>
                <w:webHidden/>
              </w:rPr>
              <w:fldChar w:fldCharType="begin"/>
            </w:r>
            <w:r>
              <w:rPr>
                <w:noProof/>
                <w:webHidden/>
              </w:rPr>
              <w:instrText xml:space="preserve"> PAGEREF _Toc237515792 \h </w:instrText>
            </w:r>
            <w:r>
              <w:rPr>
                <w:noProof/>
                <w:webHidden/>
              </w:rPr>
            </w:r>
            <w:r>
              <w:rPr>
                <w:noProof/>
                <w:webHidden/>
              </w:rPr>
              <w:fldChar w:fldCharType="separate"/>
            </w:r>
            <w:r>
              <w:rPr>
                <w:noProof/>
                <w:webHidden/>
              </w:rPr>
              <w:t>2</w:t>
            </w:r>
            <w:r>
              <w:rPr>
                <w:noProof/>
                <w:webHidden/>
              </w:rPr>
              <w:fldChar w:fldCharType="end"/>
            </w:r>
          </w:hyperlink>
        </w:p>
        <w:p w14:paraId="032680D7" w14:textId="103CA55D" w:rsidR="00FF511F" w:rsidRDefault="00FF511F" w:rsidP="00FF511F">
          <w:pPr>
            <w:pStyle w:val="TOC2"/>
            <w:tabs>
              <w:tab w:val="right" w:leader="dot" w:pos="9350"/>
            </w:tabs>
            <w:spacing w:line="480" w:lineRule="auto"/>
            <w:rPr>
              <w:rFonts w:eastAsiaTheme="minorEastAsia"/>
              <w:noProof/>
              <w:lang w:eastAsia="en-GB"/>
            </w:rPr>
          </w:pPr>
          <w:hyperlink w:anchor="_Toc237515793" w:history="1">
            <w:r w:rsidRPr="005028D2">
              <w:rPr>
                <w:rStyle w:val="Hyperlink"/>
                <w:rFonts w:ascii="Arial" w:hAnsi="Arial" w:cs="Arial"/>
                <w:b/>
                <w:bCs/>
                <w:noProof/>
              </w:rPr>
              <w:t>2.2 Cardiovascular disease and Health Inequalities</w:t>
            </w:r>
            <w:r>
              <w:rPr>
                <w:noProof/>
                <w:webHidden/>
              </w:rPr>
              <w:tab/>
            </w:r>
            <w:r>
              <w:rPr>
                <w:noProof/>
                <w:webHidden/>
              </w:rPr>
              <w:fldChar w:fldCharType="begin"/>
            </w:r>
            <w:r>
              <w:rPr>
                <w:noProof/>
                <w:webHidden/>
              </w:rPr>
              <w:instrText xml:space="preserve"> PAGEREF _Toc237515793 \h </w:instrText>
            </w:r>
            <w:r>
              <w:rPr>
                <w:noProof/>
                <w:webHidden/>
              </w:rPr>
            </w:r>
            <w:r>
              <w:rPr>
                <w:noProof/>
                <w:webHidden/>
              </w:rPr>
              <w:fldChar w:fldCharType="separate"/>
            </w:r>
            <w:r>
              <w:rPr>
                <w:noProof/>
                <w:webHidden/>
              </w:rPr>
              <w:t>3</w:t>
            </w:r>
            <w:r>
              <w:rPr>
                <w:noProof/>
                <w:webHidden/>
              </w:rPr>
              <w:fldChar w:fldCharType="end"/>
            </w:r>
          </w:hyperlink>
        </w:p>
        <w:p w14:paraId="77295EFD" w14:textId="09D1AF97" w:rsidR="00FF511F" w:rsidRDefault="00FF511F" w:rsidP="00FF511F">
          <w:pPr>
            <w:pStyle w:val="TOC2"/>
            <w:tabs>
              <w:tab w:val="right" w:leader="dot" w:pos="9350"/>
            </w:tabs>
            <w:spacing w:line="480" w:lineRule="auto"/>
            <w:rPr>
              <w:rFonts w:eastAsiaTheme="minorEastAsia"/>
              <w:noProof/>
              <w:lang w:eastAsia="en-GB"/>
            </w:rPr>
          </w:pPr>
          <w:hyperlink w:anchor="_Toc237515794" w:history="1">
            <w:r w:rsidRPr="005028D2">
              <w:rPr>
                <w:rStyle w:val="Hyperlink"/>
                <w:rFonts w:ascii="Arial" w:hAnsi="Arial" w:cs="Arial"/>
                <w:b/>
                <w:bCs/>
                <w:noProof/>
              </w:rPr>
              <w:t>2.3 Cancer and Health Inequalities</w:t>
            </w:r>
            <w:r>
              <w:rPr>
                <w:noProof/>
                <w:webHidden/>
              </w:rPr>
              <w:tab/>
            </w:r>
            <w:r>
              <w:rPr>
                <w:noProof/>
                <w:webHidden/>
              </w:rPr>
              <w:fldChar w:fldCharType="begin"/>
            </w:r>
            <w:r>
              <w:rPr>
                <w:noProof/>
                <w:webHidden/>
              </w:rPr>
              <w:instrText xml:space="preserve"> PAGEREF _Toc237515794 \h </w:instrText>
            </w:r>
            <w:r>
              <w:rPr>
                <w:noProof/>
                <w:webHidden/>
              </w:rPr>
            </w:r>
            <w:r>
              <w:rPr>
                <w:noProof/>
                <w:webHidden/>
              </w:rPr>
              <w:fldChar w:fldCharType="separate"/>
            </w:r>
            <w:r>
              <w:rPr>
                <w:noProof/>
                <w:webHidden/>
              </w:rPr>
              <w:t>3</w:t>
            </w:r>
            <w:r>
              <w:rPr>
                <w:noProof/>
                <w:webHidden/>
              </w:rPr>
              <w:fldChar w:fldCharType="end"/>
            </w:r>
          </w:hyperlink>
        </w:p>
        <w:p w14:paraId="092E1A89" w14:textId="4C394E29" w:rsidR="00FF511F" w:rsidRDefault="00FF511F" w:rsidP="00FF511F">
          <w:pPr>
            <w:pStyle w:val="TOC2"/>
            <w:tabs>
              <w:tab w:val="right" w:leader="dot" w:pos="9350"/>
            </w:tabs>
            <w:spacing w:line="480" w:lineRule="auto"/>
            <w:rPr>
              <w:rFonts w:eastAsiaTheme="minorEastAsia"/>
              <w:noProof/>
              <w:lang w:eastAsia="en-GB"/>
            </w:rPr>
          </w:pPr>
          <w:hyperlink w:anchor="_Toc237515795" w:history="1">
            <w:r w:rsidRPr="005028D2">
              <w:rPr>
                <w:rStyle w:val="Hyperlink"/>
                <w:rFonts w:ascii="Arial" w:hAnsi="Arial" w:cs="Arial"/>
                <w:b/>
                <w:bCs/>
                <w:noProof/>
              </w:rPr>
              <w:t>2.4 Social Isolation and Loneliness</w:t>
            </w:r>
            <w:r>
              <w:rPr>
                <w:noProof/>
                <w:webHidden/>
              </w:rPr>
              <w:tab/>
            </w:r>
            <w:r>
              <w:rPr>
                <w:noProof/>
                <w:webHidden/>
              </w:rPr>
              <w:fldChar w:fldCharType="begin"/>
            </w:r>
            <w:r>
              <w:rPr>
                <w:noProof/>
                <w:webHidden/>
              </w:rPr>
              <w:instrText xml:space="preserve"> PAGEREF _Toc237515795 \h </w:instrText>
            </w:r>
            <w:r>
              <w:rPr>
                <w:noProof/>
                <w:webHidden/>
              </w:rPr>
            </w:r>
            <w:r>
              <w:rPr>
                <w:noProof/>
                <w:webHidden/>
              </w:rPr>
              <w:fldChar w:fldCharType="separate"/>
            </w:r>
            <w:r>
              <w:rPr>
                <w:noProof/>
                <w:webHidden/>
              </w:rPr>
              <w:t>3</w:t>
            </w:r>
            <w:r>
              <w:rPr>
                <w:noProof/>
                <w:webHidden/>
              </w:rPr>
              <w:fldChar w:fldCharType="end"/>
            </w:r>
          </w:hyperlink>
        </w:p>
        <w:p w14:paraId="48BC9F4F" w14:textId="1E658A4E" w:rsidR="00FF511F" w:rsidRDefault="00FF511F" w:rsidP="00FF511F">
          <w:pPr>
            <w:pStyle w:val="TOC2"/>
            <w:tabs>
              <w:tab w:val="right" w:leader="dot" w:pos="9350"/>
            </w:tabs>
            <w:spacing w:line="480" w:lineRule="auto"/>
            <w:rPr>
              <w:rFonts w:eastAsiaTheme="minorEastAsia"/>
              <w:noProof/>
              <w:lang w:eastAsia="en-GB"/>
            </w:rPr>
          </w:pPr>
          <w:hyperlink w:anchor="_Toc237515796" w:history="1">
            <w:r w:rsidRPr="005028D2">
              <w:rPr>
                <w:rStyle w:val="Hyperlink"/>
                <w:rFonts w:ascii="Arial" w:hAnsi="Arial" w:cs="Arial"/>
                <w:b/>
                <w:bCs/>
                <w:noProof/>
              </w:rPr>
              <w:t>2.5 Poverty and Financial Insecurity</w:t>
            </w:r>
            <w:r>
              <w:rPr>
                <w:noProof/>
                <w:webHidden/>
              </w:rPr>
              <w:tab/>
            </w:r>
            <w:r>
              <w:rPr>
                <w:noProof/>
                <w:webHidden/>
              </w:rPr>
              <w:fldChar w:fldCharType="begin"/>
            </w:r>
            <w:r>
              <w:rPr>
                <w:noProof/>
                <w:webHidden/>
              </w:rPr>
              <w:instrText xml:space="preserve"> PAGEREF _Toc237515796 \h </w:instrText>
            </w:r>
            <w:r>
              <w:rPr>
                <w:noProof/>
                <w:webHidden/>
              </w:rPr>
            </w:r>
            <w:r>
              <w:rPr>
                <w:noProof/>
                <w:webHidden/>
              </w:rPr>
              <w:fldChar w:fldCharType="separate"/>
            </w:r>
            <w:r>
              <w:rPr>
                <w:noProof/>
                <w:webHidden/>
              </w:rPr>
              <w:t>4</w:t>
            </w:r>
            <w:r>
              <w:rPr>
                <w:noProof/>
                <w:webHidden/>
              </w:rPr>
              <w:fldChar w:fldCharType="end"/>
            </w:r>
          </w:hyperlink>
        </w:p>
        <w:p w14:paraId="0738739E" w14:textId="5E3B1860" w:rsidR="00FF511F" w:rsidRDefault="00FF511F" w:rsidP="00FF511F">
          <w:pPr>
            <w:pStyle w:val="TOC2"/>
            <w:tabs>
              <w:tab w:val="right" w:leader="dot" w:pos="9350"/>
            </w:tabs>
            <w:spacing w:line="480" w:lineRule="auto"/>
            <w:rPr>
              <w:rFonts w:eastAsiaTheme="minorEastAsia"/>
              <w:noProof/>
              <w:lang w:eastAsia="en-GB"/>
            </w:rPr>
          </w:pPr>
          <w:hyperlink w:anchor="_Toc237515797" w:history="1">
            <w:r w:rsidRPr="005028D2">
              <w:rPr>
                <w:rStyle w:val="Hyperlink"/>
                <w:rFonts w:ascii="Arial" w:hAnsi="Arial" w:cs="Arial"/>
                <w:b/>
                <w:bCs/>
                <w:noProof/>
              </w:rPr>
              <w:t>2.6 Housing and Living Conditions</w:t>
            </w:r>
            <w:r>
              <w:rPr>
                <w:noProof/>
                <w:webHidden/>
              </w:rPr>
              <w:tab/>
            </w:r>
            <w:r>
              <w:rPr>
                <w:noProof/>
                <w:webHidden/>
              </w:rPr>
              <w:fldChar w:fldCharType="begin"/>
            </w:r>
            <w:r>
              <w:rPr>
                <w:noProof/>
                <w:webHidden/>
              </w:rPr>
              <w:instrText xml:space="preserve"> PAGEREF _Toc237515797 \h </w:instrText>
            </w:r>
            <w:r>
              <w:rPr>
                <w:noProof/>
                <w:webHidden/>
              </w:rPr>
            </w:r>
            <w:r>
              <w:rPr>
                <w:noProof/>
                <w:webHidden/>
              </w:rPr>
              <w:fldChar w:fldCharType="separate"/>
            </w:r>
            <w:r>
              <w:rPr>
                <w:noProof/>
                <w:webHidden/>
              </w:rPr>
              <w:t>4</w:t>
            </w:r>
            <w:r>
              <w:rPr>
                <w:noProof/>
                <w:webHidden/>
              </w:rPr>
              <w:fldChar w:fldCharType="end"/>
            </w:r>
          </w:hyperlink>
        </w:p>
        <w:p w14:paraId="1BB826AE" w14:textId="08DE4AEF" w:rsidR="00FF511F" w:rsidRDefault="00FF511F" w:rsidP="00FF511F">
          <w:pPr>
            <w:pStyle w:val="TOC2"/>
            <w:tabs>
              <w:tab w:val="right" w:leader="dot" w:pos="9350"/>
            </w:tabs>
            <w:spacing w:line="480" w:lineRule="auto"/>
            <w:rPr>
              <w:rFonts w:eastAsiaTheme="minorEastAsia"/>
              <w:noProof/>
              <w:lang w:eastAsia="en-GB"/>
            </w:rPr>
          </w:pPr>
          <w:hyperlink w:anchor="_Toc237515798" w:history="1">
            <w:r w:rsidRPr="005028D2">
              <w:rPr>
                <w:rStyle w:val="Hyperlink"/>
                <w:rFonts w:ascii="Arial" w:hAnsi="Arial" w:cs="Arial"/>
                <w:b/>
                <w:bCs/>
                <w:noProof/>
              </w:rPr>
              <w:t>3. National Responses to Reduce Health Inequalities</w:t>
            </w:r>
            <w:r>
              <w:rPr>
                <w:noProof/>
                <w:webHidden/>
              </w:rPr>
              <w:tab/>
            </w:r>
            <w:r>
              <w:rPr>
                <w:noProof/>
                <w:webHidden/>
              </w:rPr>
              <w:fldChar w:fldCharType="begin"/>
            </w:r>
            <w:r>
              <w:rPr>
                <w:noProof/>
                <w:webHidden/>
              </w:rPr>
              <w:instrText xml:space="preserve"> PAGEREF _Toc237515798 \h </w:instrText>
            </w:r>
            <w:r>
              <w:rPr>
                <w:noProof/>
                <w:webHidden/>
              </w:rPr>
            </w:r>
            <w:r>
              <w:rPr>
                <w:noProof/>
                <w:webHidden/>
              </w:rPr>
              <w:fldChar w:fldCharType="separate"/>
            </w:r>
            <w:r>
              <w:rPr>
                <w:noProof/>
                <w:webHidden/>
              </w:rPr>
              <w:t>5</w:t>
            </w:r>
            <w:r>
              <w:rPr>
                <w:noProof/>
                <w:webHidden/>
              </w:rPr>
              <w:fldChar w:fldCharType="end"/>
            </w:r>
          </w:hyperlink>
        </w:p>
        <w:p w14:paraId="02B0901F" w14:textId="7929C1C1" w:rsidR="00FF511F" w:rsidRDefault="00FF511F" w:rsidP="00FF511F">
          <w:pPr>
            <w:pStyle w:val="TOC3"/>
            <w:tabs>
              <w:tab w:val="right" w:leader="dot" w:pos="9350"/>
            </w:tabs>
            <w:spacing w:line="480" w:lineRule="auto"/>
            <w:rPr>
              <w:rFonts w:eastAsiaTheme="minorEastAsia"/>
              <w:noProof/>
              <w:lang w:eastAsia="en-GB"/>
            </w:rPr>
          </w:pPr>
          <w:hyperlink w:anchor="_Toc237515799" w:history="1">
            <w:r w:rsidRPr="005028D2">
              <w:rPr>
                <w:rStyle w:val="Hyperlink"/>
                <w:rFonts w:ascii="Arial" w:hAnsi="Arial" w:cs="Arial"/>
                <w:b/>
                <w:bCs/>
                <w:noProof/>
              </w:rPr>
              <w:t>3.1 Healthy Ageing Consensus</w:t>
            </w:r>
            <w:r>
              <w:rPr>
                <w:noProof/>
                <w:webHidden/>
              </w:rPr>
              <w:tab/>
            </w:r>
            <w:r>
              <w:rPr>
                <w:noProof/>
                <w:webHidden/>
              </w:rPr>
              <w:fldChar w:fldCharType="begin"/>
            </w:r>
            <w:r>
              <w:rPr>
                <w:noProof/>
                <w:webHidden/>
              </w:rPr>
              <w:instrText xml:space="preserve"> PAGEREF _Toc237515799 \h </w:instrText>
            </w:r>
            <w:r>
              <w:rPr>
                <w:noProof/>
                <w:webHidden/>
              </w:rPr>
            </w:r>
            <w:r>
              <w:rPr>
                <w:noProof/>
                <w:webHidden/>
              </w:rPr>
              <w:fldChar w:fldCharType="separate"/>
            </w:r>
            <w:r>
              <w:rPr>
                <w:noProof/>
                <w:webHidden/>
              </w:rPr>
              <w:t>5</w:t>
            </w:r>
            <w:r>
              <w:rPr>
                <w:noProof/>
                <w:webHidden/>
              </w:rPr>
              <w:fldChar w:fldCharType="end"/>
            </w:r>
          </w:hyperlink>
        </w:p>
        <w:p w14:paraId="4A959D7F" w14:textId="23627FA0" w:rsidR="00FF511F" w:rsidRDefault="00FF511F" w:rsidP="00FF511F">
          <w:pPr>
            <w:pStyle w:val="TOC3"/>
            <w:tabs>
              <w:tab w:val="right" w:leader="dot" w:pos="9350"/>
            </w:tabs>
            <w:spacing w:line="480" w:lineRule="auto"/>
            <w:rPr>
              <w:rFonts w:eastAsiaTheme="minorEastAsia"/>
              <w:noProof/>
              <w:lang w:eastAsia="en-GB"/>
            </w:rPr>
          </w:pPr>
          <w:hyperlink w:anchor="_Toc237515800" w:history="1">
            <w:r w:rsidRPr="005028D2">
              <w:rPr>
                <w:rStyle w:val="Hyperlink"/>
                <w:rFonts w:ascii="Arial" w:hAnsi="Arial" w:cs="Arial"/>
                <w:b/>
                <w:bCs/>
                <w:noProof/>
              </w:rPr>
              <w:t>3.2 NHS England Social Prescribing</w:t>
            </w:r>
            <w:r>
              <w:rPr>
                <w:noProof/>
                <w:webHidden/>
              </w:rPr>
              <w:tab/>
            </w:r>
            <w:r>
              <w:rPr>
                <w:noProof/>
                <w:webHidden/>
              </w:rPr>
              <w:fldChar w:fldCharType="begin"/>
            </w:r>
            <w:r>
              <w:rPr>
                <w:noProof/>
                <w:webHidden/>
              </w:rPr>
              <w:instrText xml:space="preserve"> PAGEREF _Toc237515800 \h </w:instrText>
            </w:r>
            <w:r>
              <w:rPr>
                <w:noProof/>
                <w:webHidden/>
              </w:rPr>
            </w:r>
            <w:r>
              <w:rPr>
                <w:noProof/>
                <w:webHidden/>
              </w:rPr>
              <w:fldChar w:fldCharType="separate"/>
            </w:r>
            <w:r>
              <w:rPr>
                <w:noProof/>
                <w:webHidden/>
              </w:rPr>
              <w:t>5</w:t>
            </w:r>
            <w:r>
              <w:rPr>
                <w:noProof/>
                <w:webHidden/>
              </w:rPr>
              <w:fldChar w:fldCharType="end"/>
            </w:r>
          </w:hyperlink>
        </w:p>
        <w:p w14:paraId="68C7FFBB" w14:textId="2C84FB5E" w:rsidR="00FF511F" w:rsidRDefault="00FF511F" w:rsidP="00FF511F">
          <w:pPr>
            <w:pStyle w:val="TOC2"/>
            <w:tabs>
              <w:tab w:val="right" w:leader="dot" w:pos="9350"/>
            </w:tabs>
            <w:spacing w:line="480" w:lineRule="auto"/>
            <w:rPr>
              <w:rFonts w:eastAsiaTheme="minorEastAsia"/>
              <w:noProof/>
              <w:lang w:eastAsia="en-GB"/>
            </w:rPr>
          </w:pPr>
          <w:hyperlink w:anchor="_Toc237515801" w:history="1">
            <w:r w:rsidRPr="005028D2">
              <w:rPr>
                <w:rStyle w:val="Hyperlink"/>
                <w:rFonts w:ascii="Arial" w:hAnsi="Arial" w:cs="Arial"/>
                <w:b/>
                <w:bCs/>
                <w:noProof/>
              </w:rPr>
              <w:t>4. Organisation Supporting Older People</w:t>
            </w:r>
            <w:r>
              <w:rPr>
                <w:noProof/>
                <w:webHidden/>
              </w:rPr>
              <w:tab/>
            </w:r>
            <w:r>
              <w:rPr>
                <w:noProof/>
                <w:webHidden/>
              </w:rPr>
              <w:fldChar w:fldCharType="begin"/>
            </w:r>
            <w:r>
              <w:rPr>
                <w:noProof/>
                <w:webHidden/>
              </w:rPr>
              <w:instrText xml:space="preserve"> PAGEREF _Toc237515801 \h </w:instrText>
            </w:r>
            <w:r>
              <w:rPr>
                <w:noProof/>
                <w:webHidden/>
              </w:rPr>
            </w:r>
            <w:r>
              <w:rPr>
                <w:noProof/>
                <w:webHidden/>
              </w:rPr>
              <w:fldChar w:fldCharType="separate"/>
            </w:r>
            <w:r>
              <w:rPr>
                <w:noProof/>
                <w:webHidden/>
              </w:rPr>
              <w:t>5</w:t>
            </w:r>
            <w:r>
              <w:rPr>
                <w:noProof/>
                <w:webHidden/>
              </w:rPr>
              <w:fldChar w:fldCharType="end"/>
            </w:r>
          </w:hyperlink>
        </w:p>
        <w:p w14:paraId="5BAA9DAC" w14:textId="557937C5" w:rsidR="00FF511F" w:rsidRDefault="00FF511F" w:rsidP="00FF511F">
          <w:pPr>
            <w:pStyle w:val="TOC2"/>
            <w:tabs>
              <w:tab w:val="right" w:leader="dot" w:pos="9350"/>
            </w:tabs>
            <w:spacing w:line="480" w:lineRule="auto"/>
            <w:rPr>
              <w:rFonts w:eastAsiaTheme="minorEastAsia"/>
              <w:noProof/>
              <w:lang w:eastAsia="en-GB"/>
            </w:rPr>
          </w:pPr>
          <w:hyperlink w:anchor="_Toc237515802" w:history="1">
            <w:r w:rsidRPr="005028D2">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_Toc237515802 \h </w:instrText>
            </w:r>
            <w:r>
              <w:rPr>
                <w:noProof/>
                <w:webHidden/>
              </w:rPr>
            </w:r>
            <w:r>
              <w:rPr>
                <w:noProof/>
                <w:webHidden/>
              </w:rPr>
              <w:fldChar w:fldCharType="separate"/>
            </w:r>
            <w:r>
              <w:rPr>
                <w:noProof/>
                <w:webHidden/>
              </w:rPr>
              <w:t>6</w:t>
            </w:r>
            <w:r>
              <w:rPr>
                <w:noProof/>
                <w:webHidden/>
              </w:rPr>
              <w:fldChar w:fldCharType="end"/>
            </w:r>
          </w:hyperlink>
        </w:p>
        <w:p w14:paraId="3B6FA92D" w14:textId="665F3995" w:rsidR="00FF511F" w:rsidRDefault="00FF511F" w:rsidP="00FF511F">
          <w:pPr>
            <w:pStyle w:val="TOC2"/>
            <w:tabs>
              <w:tab w:val="right" w:leader="dot" w:pos="9350"/>
            </w:tabs>
            <w:spacing w:line="480" w:lineRule="auto"/>
            <w:rPr>
              <w:rFonts w:eastAsiaTheme="minorEastAsia"/>
              <w:noProof/>
              <w:lang w:eastAsia="en-GB"/>
            </w:rPr>
          </w:pPr>
          <w:hyperlink w:anchor="_Toc237515803" w:history="1">
            <w:r w:rsidRPr="005028D2">
              <w:rPr>
                <w:rStyle w:val="Hyperlink"/>
                <w:rFonts w:ascii="Arial" w:hAnsi="Arial" w:cs="Arial"/>
                <w:b/>
                <w:bCs/>
                <w:noProof/>
              </w:rPr>
              <w:t>References list</w:t>
            </w:r>
            <w:r>
              <w:rPr>
                <w:noProof/>
                <w:webHidden/>
              </w:rPr>
              <w:tab/>
            </w:r>
            <w:r>
              <w:rPr>
                <w:noProof/>
                <w:webHidden/>
              </w:rPr>
              <w:fldChar w:fldCharType="begin"/>
            </w:r>
            <w:r>
              <w:rPr>
                <w:noProof/>
                <w:webHidden/>
              </w:rPr>
              <w:instrText xml:space="preserve"> PAGEREF _Toc237515803 \h </w:instrText>
            </w:r>
            <w:r>
              <w:rPr>
                <w:noProof/>
                <w:webHidden/>
              </w:rPr>
            </w:r>
            <w:r>
              <w:rPr>
                <w:noProof/>
                <w:webHidden/>
              </w:rPr>
              <w:fldChar w:fldCharType="separate"/>
            </w:r>
            <w:r>
              <w:rPr>
                <w:noProof/>
                <w:webHidden/>
              </w:rPr>
              <w:t>7</w:t>
            </w:r>
            <w:r>
              <w:rPr>
                <w:noProof/>
                <w:webHidden/>
              </w:rPr>
              <w:fldChar w:fldCharType="end"/>
            </w:r>
          </w:hyperlink>
        </w:p>
        <w:p w14:paraId="45B9E715" w14:textId="650CEF6D" w:rsidR="00FF511F" w:rsidRDefault="00FF511F" w:rsidP="00FF511F">
          <w:pPr>
            <w:pStyle w:val="TOC1"/>
            <w:tabs>
              <w:tab w:val="right" w:leader="dot" w:pos="9350"/>
            </w:tabs>
            <w:spacing w:line="480" w:lineRule="auto"/>
            <w:rPr>
              <w:rFonts w:eastAsiaTheme="minorEastAsia"/>
              <w:noProof/>
              <w:lang w:eastAsia="en-GB"/>
            </w:rPr>
          </w:pPr>
          <w:hyperlink w:anchor="_Toc237515804" w:history="1">
            <w:r w:rsidRPr="005028D2">
              <w:rPr>
                <w:rStyle w:val="Hyperlink"/>
                <w:rFonts w:ascii="Arial" w:hAnsi="Arial" w:cs="Arial"/>
                <w:b/>
                <w:bCs/>
                <w:noProof/>
              </w:rPr>
              <w:t>Task 2: Epidemiological Analysis of Childhood Obesity Among Children Aged 4–11 in Birmingham, England</w:t>
            </w:r>
            <w:r>
              <w:rPr>
                <w:noProof/>
                <w:webHidden/>
              </w:rPr>
              <w:tab/>
            </w:r>
            <w:r>
              <w:rPr>
                <w:noProof/>
                <w:webHidden/>
              </w:rPr>
              <w:fldChar w:fldCharType="begin"/>
            </w:r>
            <w:r>
              <w:rPr>
                <w:noProof/>
                <w:webHidden/>
              </w:rPr>
              <w:instrText xml:space="preserve"> PAGEREF _Toc237515804 \h </w:instrText>
            </w:r>
            <w:r>
              <w:rPr>
                <w:noProof/>
                <w:webHidden/>
              </w:rPr>
            </w:r>
            <w:r>
              <w:rPr>
                <w:noProof/>
                <w:webHidden/>
              </w:rPr>
              <w:fldChar w:fldCharType="separate"/>
            </w:r>
            <w:r>
              <w:rPr>
                <w:noProof/>
                <w:webHidden/>
              </w:rPr>
              <w:t>10</w:t>
            </w:r>
            <w:r>
              <w:rPr>
                <w:noProof/>
                <w:webHidden/>
              </w:rPr>
              <w:fldChar w:fldCharType="end"/>
            </w:r>
          </w:hyperlink>
        </w:p>
        <w:p w14:paraId="07E2F244" w14:textId="0279A441" w:rsidR="00FF511F" w:rsidRDefault="00FF511F" w:rsidP="00FF511F">
          <w:pPr>
            <w:pStyle w:val="TOC2"/>
            <w:tabs>
              <w:tab w:val="right" w:leader="dot" w:pos="9350"/>
            </w:tabs>
            <w:spacing w:line="480" w:lineRule="auto"/>
            <w:rPr>
              <w:rFonts w:eastAsiaTheme="minorEastAsia"/>
              <w:noProof/>
              <w:lang w:eastAsia="en-GB"/>
            </w:rPr>
          </w:pPr>
          <w:hyperlink w:anchor="_Toc237515805" w:history="1">
            <w:r w:rsidRPr="005028D2">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_Toc237515805 \h </w:instrText>
            </w:r>
            <w:r>
              <w:rPr>
                <w:noProof/>
                <w:webHidden/>
              </w:rPr>
            </w:r>
            <w:r>
              <w:rPr>
                <w:noProof/>
                <w:webHidden/>
              </w:rPr>
              <w:fldChar w:fldCharType="separate"/>
            </w:r>
            <w:r>
              <w:rPr>
                <w:noProof/>
                <w:webHidden/>
              </w:rPr>
              <w:t>10</w:t>
            </w:r>
            <w:r>
              <w:rPr>
                <w:noProof/>
                <w:webHidden/>
              </w:rPr>
              <w:fldChar w:fldCharType="end"/>
            </w:r>
          </w:hyperlink>
        </w:p>
        <w:p w14:paraId="2874C1D1" w14:textId="62BB5338" w:rsidR="00FF511F" w:rsidRDefault="00FF511F" w:rsidP="00FF511F">
          <w:pPr>
            <w:pStyle w:val="TOC2"/>
            <w:tabs>
              <w:tab w:val="right" w:leader="dot" w:pos="9350"/>
            </w:tabs>
            <w:spacing w:line="480" w:lineRule="auto"/>
            <w:rPr>
              <w:rFonts w:eastAsiaTheme="minorEastAsia"/>
              <w:noProof/>
              <w:lang w:eastAsia="en-GB"/>
            </w:rPr>
          </w:pPr>
          <w:hyperlink w:anchor="_Toc237515806" w:history="1">
            <w:r w:rsidRPr="005028D2">
              <w:rPr>
                <w:rStyle w:val="Hyperlink"/>
                <w:rFonts w:ascii="Arial" w:hAnsi="Arial" w:cs="Arial"/>
                <w:b/>
                <w:bCs/>
                <w:noProof/>
              </w:rPr>
              <w:t>2. Epidemiological Assessment of Childhood Obesity</w:t>
            </w:r>
            <w:r>
              <w:rPr>
                <w:noProof/>
                <w:webHidden/>
              </w:rPr>
              <w:tab/>
            </w:r>
            <w:r>
              <w:rPr>
                <w:noProof/>
                <w:webHidden/>
              </w:rPr>
              <w:fldChar w:fldCharType="begin"/>
            </w:r>
            <w:r>
              <w:rPr>
                <w:noProof/>
                <w:webHidden/>
              </w:rPr>
              <w:instrText xml:space="preserve"> PAGEREF _Toc237515806 \h </w:instrText>
            </w:r>
            <w:r>
              <w:rPr>
                <w:noProof/>
                <w:webHidden/>
              </w:rPr>
            </w:r>
            <w:r>
              <w:rPr>
                <w:noProof/>
                <w:webHidden/>
              </w:rPr>
              <w:fldChar w:fldCharType="separate"/>
            </w:r>
            <w:r>
              <w:rPr>
                <w:noProof/>
                <w:webHidden/>
              </w:rPr>
              <w:t>10</w:t>
            </w:r>
            <w:r>
              <w:rPr>
                <w:noProof/>
                <w:webHidden/>
              </w:rPr>
              <w:fldChar w:fldCharType="end"/>
            </w:r>
          </w:hyperlink>
        </w:p>
        <w:p w14:paraId="223C41B9" w14:textId="57D6282F" w:rsidR="00FF511F" w:rsidRDefault="00FF511F" w:rsidP="00FF511F">
          <w:pPr>
            <w:pStyle w:val="TOC2"/>
            <w:tabs>
              <w:tab w:val="right" w:leader="dot" w:pos="9350"/>
            </w:tabs>
            <w:spacing w:line="480" w:lineRule="auto"/>
            <w:rPr>
              <w:rFonts w:eastAsiaTheme="minorEastAsia"/>
              <w:noProof/>
              <w:lang w:eastAsia="en-GB"/>
            </w:rPr>
          </w:pPr>
          <w:hyperlink w:anchor="_Toc237515807" w:history="1">
            <w:r w:rsidRPr="005028D2">
              <w:rPr>
                <w:rStyle w:val="Hyperlink"/>
                <w:rFonts w:ascii="Arial" w:hAnsi="Arial" w:cs="Arial"/>
                <w:b/>
                <w:bCs/>
                <w:noProof/>
              </w:rPr>
              <w:t>3. Public Health Measures and Epidemiological Surveillance</w:t>
            </w:r>
            <w:r>
              <w:rPr>
                <w:noProof/>
                <w:webHidden/>
              </w:rPr>
              <w:tab/>
            </w:r>
            <w:r>
              <w:rPr>
                <w:noProof/>
                <w:webHidden/>
              </w:rPr>
              <w:fldChar w:fldCharType="begin"/>
            </w:r>
            <w:r>
              <w:rPr>
                <w:noProof/>
                <w:webHidden/>
              </w:rPr>
              <w:instrText xml:space="preserve"> PAGEREF _Toc237515807 \h </w:instrText>
            </w:r>
            <w:r>
              <w:rPr>
                <w:noProof/>
                <w:webHidden/>
              </w:rPr>
            </w:r>
            <w:r>
              <w:rPr>
                <w:noProof/>
                <w:webHidden/>
              </w:rPr>
              <w:fldChar w:fldCharType="separate"/>
            </w:r>
            <w:r>
              <w:rPr>
                <w:noProof/>
                <w:webHidden/>
              </w:rPr>
              <w:t>12</w:t>
            </w:r>
            <w:r>
              <w:rPr>
                <w:noProof/>
                <w:webHidden/>
              </w:rPr>
              <w:fldChar w:fldCharType="end"/>
            </w:r>
          </w:hyperlink>
        </w:p>
        <w:p w14:paraId="7CB22507" w14:textId="520E663C" w:rsidR="00FF511F" w:rsidRDefault="00FF511F" w:rsidP="00FF511F">
          <w:pPr>
            <w:pStyle w:val="TOC2"/>
            <w:tabs>
              <w:tab w:val="right" w:leader="dot" w:pos="9350"/>
            </w:tabs>
            <w:spacing w:line="480" w:lineRule="auto"/>
            <w:rPr>
              <w:rFonts w:eastAsiaTheme="minorEastAsia"/>
              <w:noProof/>
              <w:lang w:eastAsia="en-GB"/>
            </w:rPr>
          </w:pPr>
          <w:hyperlink w:anchor="_Toc237515808" w:history="1">
            <w:r w:rsidRPr="005028D2">
              <w:rPr>
                <w:rStyle w:val="Hyperlink"/>
                <w:rFonts w:ascii="Arial" w:hAnsi="Arial" w:cs="Arial"/>
                <w:b/>
                <w:bCs/>
                <w:noProof/>
              </w:rPr>
              <w:t>4. Public Health Impact and Intervention</w:t>
            </w:r>
            <w:r>
              <w:rPr>
                <w:noProof/>
                <w:webHidden/>
              </w:rPr>
              <w:tab/>
            </w:r>
            <w:r>
              <w:rPr>
                <w:noProof/>
                <w:webHidden/>
              </w:rPr>
              <w:fldChar w:fldCharType="begin"/>
            </w:r>
            <w:r>
              <w:rPr>
                <w:noProof/>
                <w:webHidden/>
              </w:rPr>
              <w:instrText xml:space="preserve"> PAGEREF _Toc237515808 \h </w:instrText>
            </w:r>
            <w:r>
              <w:rPr>
                <w:noProof/>
                <w:webHidden/>
              </w:rPr>
            </w:r>
            <w:r>
              <w:rPr>
                <w:noProof/>
                <w:webHidden/>
              </w:rPr>
              <w:fldChar w:fldCharType="separate"/>
            </w:r>
            <w:r>
              <w:rPr>
                <w:noProof/>
                <w:webHidden/>
              </w:rPr>
              <w:t>13</w:t>
            </w:r>
            <w:r>
              <w:rPr>
                <w:noProof/>
                <w:webHidden/>
              </w:rPr>
              <w:fldChar w:fldCharType="end"/>
            </w:r>
          </w:hyperlink>
        </w:p>
        <w:p w14:paraId="5943810A" w14:textId="5C8B627E" w:rsidR="00FF511F" w:rsidRDefault="00FF511F" w:rsidP="00FF511F">
          <w:pPr>
            <w:pStyle w:val="TOC2"/>
            <w:tabs>
              <w:tab w:val="right" w:leader="dot" w:pos="9350"/>
            </w:tabs>
            <w:spacing w:line="480" w:lineRule="auto"/>
            <w:rPr>
              <w:rFonts w:eastAsiaTheme="minorEastAsia"/>
              <w:noProof/>
              <w:lang w:eastAsia="en-GB"/>
            </w:rPr>
          </w:pPr>
          <w:hyperlink w:anchor="_Toc237515809" w:history="1">
            <w:r w:rsidRPr="005028D2">
              <w:rPr>
                <w:rStyle w:val="Hyperlink"/>
                <w:rFonts w:ascii="Arial" w:hAnsi="Arial" w:cs="Arial"/>
                <w:b/>
                <w:bCs/>
                <w:noProof/>
              </w:rPr>
              <w:t>5. Evaluation, Strengths and Limitations</w:t>
            </w:r>
            <w:r>
              <w:rPr>
                <w:noProof/>
                <w:webHidden/>
              </w:rPr>
              <w:tab/>
            </w:r>
            <w:r>
              <w:rPr>
                <w:noProof/>
                <w:webHidden/>
              </w:rPr>
              <w:fldChar w:fldCharType="begin"/>
            </w:r>
            <w:r>
              <w:rPr>
                <w:noProof/>
                <w:webHidden/>
              </w:rPr>
              <w:instrText xml:space="preserve"> PAGEREF _Toc237515809 \h </w:instrText>
            </w:r>
            <w:r>
              <w:rPr>
                <w:noProof/>
                <w:webHidden/>
              </w:rPr>
            </w:r>
            <w:r>
              <w:rPr>
                <w:noProof/>
                <w:webHidden/>
              </w:rPr>
              <w:fldChar w:fldCharType="separate"/>
            </w:r>
            <w:r>
              <w:rPr>
                <w:noProof/>
                <w:webHidden/>
              </w:rPr>
              <w:t>14</w:t>
            </w:r>
            <w:r>
              <w:rPr>
                <w:noProof/>
                <w:webHidden/>
              </w:rPr>
              <w:fldChar w:fldCharType="end"/>
            </w:r>
          </w:hyperlink>
        </w:p>
        <w:p w14:paraId="0DBA5472" w14:textId="5BD806F4" w:rsidR="00FF511F" w:rsidRDefault="00FF511F" w:rsidP="00FF511F">
          <w:pPr>
            <w:pStyle w:val="TOC2"/>
            <w:tabs>
              <w:tab w:val="right" w:leader="dot" w:pos="9350"/>
            </w:tabs>
            <w:spacing w:line="480" w:lineRule="auto"/>
            <w:rPr>
              <w:rFonts w:eastAsiaTheme="minorEastAsia"/>
              <w:noProof/>
              <w:lang w:eastAsia="en-GB"/>
            </w:rPr>
          </w:pPr>
          <w:hyperlink w:anchor="_Toc237515810" w:history="1">
            <w:r w:rsidRPr="005028D2">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_Toc237515810 \h </w:instrText>
            </w:r>
            <w:r>
              <w:rPr>
                <w:noProof/>
                <w:webHidden/>
              </w:rPr>
            </w:r>
            <w:r>
              <w:rPr>
                <w:noProof/>
                <w:webHidden/>
              </w:rPr>
              <w:fldChar w:fldCharType="separate"/>
            </w:r>
            <w:r>
              <w:rPr>
                <w:noProof/>
                <w:webHidden/>
              </w:rPr>
              <w:t>15</w:t>
            </w:r>
            <w:r>
              <w:rPr>
                <w:noProof/>
                <w:webHidden/>
              </w:rPr>
              <w:fldChar w:fldCharType="end"/>
            </w:r>
          </w:hyperlink>
        </w:p>
        <w:p w14:paraId="40465DE6" w14:textId="6737FD11" w:rsidR="00FF511F" w:rsidRDefault="00FF511F" w:rsidP="00FF511F">
          <w:pPr>
            <w:pStyle w:val="TOC2"/>
            <w:tabs>
              <w:tab w:val="right" w:leader="dot" w:pos="9350"/>
            </w:tabs>
            <w:spacing w:line="480" w:lineRule="auto"/>
            <w:rPr>
              <w:rFonts w:eastAsiaTheme="minorEastAsia"/>
              <w:noProof/>
              <w:lang w:eastAsia="en-GB"/>
            </w:rPr>
          </w:pPr>
          <w:hyperlink w:anchor="_Toc237515811" w:history="1">
            <w:r w:rsidRPr="005028D2">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_Toc237515811 \h </w:instrText>
            </w:r>
            <w:r>
              <w:rPr>
                <w:noProof/>
                <w:webHidden/>
              </w:rPr>
            </w:r>
            <w:r>
              <w:rPr>
                <w:noProof/>
                <w:webHidden/>
              </w:rPr>
              <w:fldChar w:fldCharType="separate"/>
            </w:r>
            <w:r>
              <w:rPr>
                <w:noProof/>
                <w:webHidden/>
              </w:rPr>
              <w:t>17</w:t>
            </w:r>
            <w:r>
              <w:rPr>
                <w:noProof/>
                <w:webHidden/>
              </w:rPr>
              <w:fldChar w:fldCharType="end"/>
            </w:r>
          </w:hyperlink>
        </w:p>
        <w:p w14:paraId="501D126C" w14:textId="668D1B24" w:rsidR="001158EF" w:rsidRPr="00152CEF" w:rsidRDefault="001158EF" w:rsidP="00FF511F">
          <w:pPr>
            <w:spacing w:line="480" w:lineRule="auto"/>
            <w:rPr>
              <w:rFonts w:ascii="Arial" w:hAnsi="Arial" w:cs="Arial"/>
            </w:rPr>
          </w:pPr>
          <w:r w:rsidRPr="00152CEF">
            <w:rPr>
              <w:rFonts w:ascii="Arial" w:hAnsi="Arial" w:cs="Arial"/>
              <w:b/>
              <w:bCs/>
              <w:noProof/>
            </w:rPr>
            <w:fldChar w:fldCharType="end"/>
          </w:r>
        </w:p>
      </w:sdtContent>
    </w:sdt>
    <w:p w14:paraId="2A67A113" w14:textId="27D6DB2A" w:rsidR="0055513F" w:rsidRDefault="0055513F">
      <w:pPr>
        <w:rPr>
          <w:rFonts w:ascii="Arial" w:hAnsi="Arial" w:cs="Arial"/>
        </w:rPr>
      </w:pPr>
      <w:r>
        <w:rPr>
          <w:rFonts w:ascii="Arial" w:hAnsi="Arial" w:cs="Arial"/>
        </w:rPr>
        <w:br w:type="page"/>
      </w:r>
    </w:p>
    <w:p w14:paraId="1D4355BD" w14:textId="4C11F31E" w:rsidR="004B0E28" w:rsidRPr="00152CEF" w:rsidRDefault="004B0E28" w:rsidP="00FF511F">
      <w:pPr>
        <w:pStyle w:val="Heading1"/>
        <w:spacing w:line="480" w:lineRule="auto"/>
        <w:jc w:val="both"/>
        <w:rPr>
          <w:rFonts w:ascii="Arial" w:hAnsi="Arial" w:cs="Arial"/>
          <w:b/>
          <w:bCs/>
          <w:color w:val="auto"/>
          <w:sz w:val="24"/>
          <w:szCs w:val="24"/>
        </w:rPr>
      </w:pPr>
      <w:bookmarkStart w:id="0" w:name="_Toc237515789"/>
      <w:r w:rsidRPr="00152CEF">
        <w:rPr>
          <w:rFonts w:ascii="Arial" w:hAnsi="Arial" w:cs="Arial"/>
          <w:b/>
          <w:bCs/>
          <w:color w:val="auto"/>
          <w:sz w:val="24"/>
          <w:szCs w:val="24"/>
        </w:rPr>
        <w:t xml:space="preserve">Task </w:t>
      </w:r>
      <w:r w:rsidR="00426A4E" w:rsidRPr="00152CEF">
        <w:rPr>
          <w:rFonts w:ascii="Arial" w:hAnsi="Arial" w:cs="Arial"/>
          <w:b/>
          <w:bCs/>
          <w:color w:val="auto"/>
          <w:sz w:val="24"/>
          <w:szCs w:val="24"/>
        </w:rPr>
        <w:t>1: Age and Health Inequalities among Older People in the UK: A Social Epidemiological Analysis</w:t>
      </w:r>
      <w:bookmarkEnd w:id="0"/>
    </w:p>
    <w:p w14:paraId="321D162C" w14:textId="4A56A995" w:rsidR="004B0E28" w:rsidRPr="00152CEF" w:rsidRDefault="004B0E28"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 w:name="_Toc237515790"/>
      <w:r w:rsidR="004760AE" w:rsidRPr="00152CEF">
        <w:rPr>
          <w:rFonts w:ascii="Arial" w:hAnsi="Arial" w:cs="Arial"/>
          <w:b/>
          <w:bCs/>
          <w:color w:val="auto"/>
          <w:sz w:val="24"/>
          <w:szCs w:val="24"/>
        </w:rPr>
        <w:t xml:space="preserve">1.0 </w:t>
      </w:r>
      <w:r w:rsidRPr="00152CEF">
        <w:rPr>
          <w:rFonts w:ascii="Arial" w:hAnsi="Arial" w:cs="Arial"/>
          <w:b/>
          <w:bCs/>
          <w:color w:val="auto"/>
          <w:sz w:val="24"/>
          <w:szCs w:val="24"/>
        </w:rPr>
        <w:t>Introduction</w:t>
      </w:r>
      <w:bookmarkEnd w:id="1"/>
    </w:p>
    <w:p w14:paraId="4FA9C80A" w14:textId="77777777" w:rsidR="009151A6" w:rsidRPr="00152CEF" w:rsidRDefault="004B0E28" w:rsidP="00FF511F">
      <w:pPr>
        <w:spacing w:after="0" w:line="480" w:lineRule="auto"/>
        <w:jc w:val="both"/>
        <w:rPr>
          <w:rFonts w:ascii="Arial" w:hAnsi="Arial" w:cs="Arial"/>
        </w:rPr>
      </w:pPr>
      <w:r w:rsidRPr="00152CEF">
        <w:rPr>
          <w:rFonts w:ascii="Arial" w:hAnsi="Arial" w:cs="Arial"/>
        </w:rPr>
        <w:t>Older people are an important public health group as ageing is linked to increasing health and social-care needs. Health inequality is a difference in health between populations that is systematic. But aging isn't the same for everyone, as socioeconomic factors impact aging health (Holman and Walker, 2020). There have been improvements in health in England for older people, but this has not been the same for all groups in society (Old and Scott, 2023). There are also inequalities in the mortality rates of older people in deprived regions (</w:t>
      </w:r>
      <w:proofErr w:type="spellStart"/>
      <w:r w:rsidRPr="00152CEF">
        <w:rPr>
          <w:rFonts w:ascii="Arial" w:hAnsi="Arial" w:cs="Arial"/>
        </w:rPr>
        <w:t>Kraftman</w:t>
      </w:r>
      <w:proofErr w:type="spellEnd"/>
      <w:r w:rsidR="009151A6" w:rsidRPr="00152CEF">
        <w:rPr>
          <w:rFonts w:ascii="Arial" w:hAnsi="Arial" w:cs="Arial"/>
        </w:rPr>
        <w:t xml:space="preserve"> et al.</w:t>
      </w:r>
      <w:r w:rsidRPr="00152CEF">
        <w:rPr>
          <w:rFonts w:ascii="Arial" w:hAnsi="Arial" w:cs="Arial"/>
        </w:rPr>
        <w:t xml:space="preserve">, 2021). </w:t>
      </w:r>
      <w:r w:rsidR="009151A6" w:rsidRPr="00152CEF">
        <w:rPr>
          <w:rFonts w:ascii="Arial" w:hAnsi="Arial" w:cs="Arial"/>
        </w:rPr>
        <w:t>The inequalities show that age is not the only factor that affects health in old age. This report explores three health concerns (dementia, cardiovascular disease and cancer) and three social concerns (loneliness and social isolation, poverty and housing).</w:t>
      </w:r>
    </w:p>
    <w:p w14:paraId="11C02187" w14:textId="3892F531" w:rsidR="004B0E28" w:rsidRPr="00152CEF" w:rsidRDefault="004B0E28"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2" w:name="_Toc237515791"/>
      <w:r w:rsidRPr="00152CEF">
        <w:rPr>
          <w:rFonts w:ascii="Arial" w:hAnsi="Arial" w:cs="Arial"/>
          <w:b/>
          <w:bCs/>
          <w:color w:val="auto"/>
          <w:sz w:val="24"/>
          <w:szCs w:val="24"/>
        </w:rPr>
        <w:t>2.</w:t>
      </w:r>
      <w:r w:rsidR="004760AE" w:rsidRPr="00152CEF">
        <w:rPr>
          <w:rFonts w:ascii="Arial" w:hAnsi="Arial" w:cs="Arial"/>
          <w:b/>
          <w:bCs/>
          <w:color w:val="auto"/>
          <w:sz w:val="24"/>
          <w:szCs w:val="24"/>
        </w:rPr>
        <w:t>0</w:t>
      </w:r>
      <w:r w:rsidRPr="00152CEF">
        <w:rPr>
          <w:rFonts w:ascii="Arial" w:hAnsi="Arial" w:cs="Arial"/>
          <w:b/>
          <w:bCs/>
          <w:color w:val="auto"/>
          <w:sz w:val="24"/>
          <w:szCs w:val="24"/>
        </w:rPr>
        <w:t xml:space="preserve"> Contextual Background: Key Health and Social Inequalities Affecting Older People in the UK</w:t>
      </w:r>
      <w:bookmarkEnd w:id="2"/>
    </w:p>
    <w:p w14:paraId="403D8384" w14:textId="566A1634"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3" w:name="_Toc237515792"/>
      <w:r w:rsidRPr="00152CEF">
        <w:rPr>
          <w:rFonts w:ascii="Arial" w:hAnsi="Arial" w:cs="Arial"/>
          <w:b/>
          <w:bCs/>
          <w:color w:val="auto"/>
          <w:sz w:val="24"/>
          <w:szCs w:val="24"/>
        </w:rPr>
        <w:t>2.1 Dementia and Health Inequalities</w:t>
      </w:r>
      <w:bookmarkEnd w:id="3"/>
    </w:p>
    <w:p w14:paraId="637BC619" w14:textId="3AB10A2A" w:rsidR="004B0E28" w:rsidRPr="00152CEF" w:rsidRDefault="004B0E28" w:rsidP="00FF511F">
      <w:pPr>
        <w:spacing w:after="0" w:line="480" w:lineRule="auto"/>
        <w:jc w:val="both"/>
        <w:rPr>
          <w:rFonts w:ascii="Arial" w:hAnsi="Arial" w:cs="Arial"/>
        </w:rPr>
      </w:pPr>
      <w:r w:rsidRPr="00152CEF">
        <w:rPr>
          <w:rFonts w:ascii="Arial" w:hAnsi="Arial" w:cs="Arial"/>
        </w:rPr>
        <w:t xml:space="preserve">Dementia is a significant health inequality as older people are likely to have growing health and care needs. Socioeconomic factors may impact </w:t>
      </w:r>
      <w:r w:rsidR="009C4C0F" w:rsidRPr="00152CEF">
        <w:rPr>
          <w:rFonts w:ascii="Arial" w:hAnsi="Arial" w:cs="Arial"/>
        </w:rPr>
        <w:t xml:space="preserve">the </w:t>
      </w:r>
      <w:r w:rsidRPr="00152CEF">
        <w:rPr>
          <w:rFonts w:ascii="Arial" w:hAnsi="Arial" w:cs="Arial"/>
        </w:rPr>
        <w:t xml:space="preserve">availability of support. In England, the health of older people has not kept pace with healthy ageing for everyone (Old and Scott, 2023). </w:t>
      </w:r>
      <w:proofErr w:type="spellStart"/>
      <w:r w:rsidRPr="00152CEF">
        <w:rPr>
          <w:rFonts w:ascii="Arial" w:hAnsi="Arial" w:cs="Arial"/>
        </w:rPr>
        <w:t>Multimorbidity</w:t>
      </w:r>
      <w:proofErr w:type="spellEnd"/>
      <w:r w:rsidRPr="00152CEF">
        <w:rPr>
          <w:rFonts w:ascii="Arial" w:hAnsi="Arial" w:cs="Arial"/>
        </w:rPr>
        <w:t xml:space="preserve"> is also linked to socioeconomic inequalities, leading to more complex health care needs (</w:t>
      </w:r>
      <w:proofErr w:type="spellStart"/>
      <w:r w:rsidRPr="00152CEF">
        <w:rPr>
          <w:rFonts w:ascii="Arial" w:hAnsi="Arial" w:cs="Arial"/>
        </w:rPr>
        <w:t>Khanolkar</w:t>
      </w:r>
      <w:proofErr w:type="spellEnd"/>
      <w:r w:rsidRPr="00152CEF">
        <w:rPr>
          <w:rFonts w:ascii="Arial" w:hAnsi="Arial" w:cs="Arial"/>
        </w:rPr>
        <w:t xml:space="preserve"> et al., 2021). The right staff skills are essential for high quality support (Bridges et al., 2017). Earlier identification and accessible assessment and coordinated person-centred care can thus help to minimise inequalities in dementia support.</w:t>
      </w:r>
    </w:p>
    <w:p w14:paraId="23008569" w14:textId="33D98D3C"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4" w:name="_Toc237515793"/>
      <w:r w:rsidRPr="00152CEF">
        <w:rPr>
          <w:rFonts w:ascii="Arial" w:hAnsi="Arial" w:cs="Arial"/>
          <w:b/>
          <w:bCs/>
          <w:color w:val="auto"/>
          <w:sz w:val="24"/>
          <w:szCs w:val="24"/>
        </w:rPr>
        <w:t xml:space="preserve">2.2 </w:t>
      </w:r>
      <w:r w:rsidR="00152CEF" w:rsidRPr="00152CEF">
        <w:rPr>
          <w:rFonts w:ascii="Arial" w:hAnsi="Arial" w:cs="Arial"/>
          <w:b/>
          <w:bCs/>
          <w:color w:val="auto"/>
          <w:sz w:val="24"/>
          <w:szCs w:val="24"/>
        </w:rPr>
        <w:t>Cardiovascular disease</w:t>
      </w:r>
      <w:r w:rsidRPr="00152CEF">
        <w:rPr>
          <w:rFonts w:ascii="Arial" w:hAnsi="Arial" w:cs="Arial"/>
          <w:b/>
          <w:bCs/>
          <w:color w:val="auto"/>
          <w:sz w:val="24"/>
          <w:szCs w:val="24"/>
        </w:rPr>
        <w:t xml:space="preserve"> and Health Inequalities</w:t>
      </w:r>
      <w:bookmarkEnd w:id="4"/>
    </w:p>
    <w:p w14:paraId="4846E602" w14:textId="5E30B16C" w:rsidR="004B0E28" w:rsidRPr="00152CEF" w:rsidRDefault="004B0E28" w:rsidP="00FF511F">
      <w:pPr>
        <w:spacing w:after="0" w:line="480" w:lineRule="auto"/>
        <w:jc w:val="both"/>
        <w:rPr>
          <w:rFonts w:ascii="Arial" w:hAnsi="Arial" w:cs="Arial"/>
        </w:rPr>
      </w:pPr>
      <w:r w:rsidRPr="00152CEF">
        <w:rPr>
          <w:rFonts w:ascii="Arial" w:hAnsi="Arial" w:cs="Arial"/>
        </w:rPr>
        <w:t xml:space="preserve">Cardiovascular disease is a disease burden that is a major health inequity, as some groups are socio-economically disadvantaged relative to others. Socioeconomic inequalities in life expectancy among older people with and without </w:t>
      </w:r>
      <w:proofErr w:type="spellStart"/>
      <w:r w:rsidRPr="00152CEF">
        <w:rPr>
          <w:rFonts w:ascii="Arial" w:hAnsi="Arial" w:cs="Arial"/>
        </w:rPr>
        <w:t>multimorbidity</w:t>
      </w:r>
      <w:proofErr w:type="spellEnd"/>
      <w:r w:rsidRPr="00152CEF">
        <w:rPr>
          <w:rFonts w:ascii="Arial" w:hAnsi="Arial" w:cs="Arial"/>
        </w:rPr>
        <w:t xml:space="preserve"> were identified in a study of 1.1 million people in England (Chan et al., 2019). Social inequalities in </w:t>
      </w:r>
      <w:proofErr w:type="spellStart"/>
      <w:r w:rsidRPr="00152CEF">
        <w:rPr>
          <w:rFonts w:ascii="Arial" w:hAnsi="Arial" w:cs="Arial"/>
        </w:rPr>
        <w:t>multimorbidity</w:t>
      </w:r>
      <w:proofErr w:type="spellEnd"/>
      <w:r w:rsidRPr="00152CEF">
        <w:rPr>
          <w:rFonts w:ascii="Arial" w:hAnsi="Arial" w:cs="Arial"/>
        </w:rPr>
        <w:t xml:space="preserve"> are also found in the UK (</w:t>
      </w:r>
      <w:proofErr w:type="spellStart"/>
      <w:r w:rsidRPr="00152CEF">
        <w:rPr>
          <w:rFonts w:ascii="Arial" w:hAnsi="Arial" w:cs="Arial"/>
        </w:rPr>
        <w:t>Khanolkar</w:t>
      </w:r>
      <w:proofErr w:type="spellEnd"/>
      <w:r w:rsidRPr="00152CEF">
        <w:rPr>
          <w:rFonts w:ascii="Arial" w:hAnsi="Arial" w:cs="Arial"/>
        </w:rPr>
        <w:t xml:space="preserve"> </w:t>
      </w:r>
      <w:bookmarkStart w:id="5" w:name="_Hlk237514215"/>
      <w:r w:rsidRPr="00152CEF">
        <w:rPr>
          <w:rFonts w:ascii="Arial" w:hAnsi="Arial" w:cs="Arial"/>
        </w:rPr>
        <w:t xml:space="preserve">et al., </w:t>
      </w:r>
      <w:bookmarkEnd w:id="5"/>
      <w:r w:rsidRPr="00152CEF">
        <w:rPr>
          <w:rFonts w:ascii="Arial" w:hAnsi="Arial" w:cs="Arial"/>
        </w:rPr>
        <w:t>2021). Disparities in mortality rate are larger among older adults in deprived areas (</w:t>
      </w:r>
      <w:proofErr w:type="spellStart"/>
      <w:r w:rsidRPr="00152CEF">
        <w:rPr>
          <w:rFonts w:ascii="Arial" w:hAnsi="Arial" w:cs="Arial"/>
        </w:rPr>
        <w:t>Kraftman</w:t>
      </w:r>
      <w:proofErr w:type="spellEnd"/>
      <w:r w:rsidR="009C4C0F" w:rsidRPr="00152CEF">
        <w:rPr>
          <w:rFonts w:ascii="Arial" w:hAnsi="Arial" w:cs="Arial"/>
        </w:rPr>
        <w:t xml:space="preserve"> et al., </w:t>
      </w:r>
      <w:r w:rsidRPr="00152CEF">
        <w:rPr>
          <w:rFonts w:ascii="Arial" w:hAnsi="Arial" w:cs="Arial"/>
        </w:rPr>
        <w:t>2021). Therefore, prevention, early diagnosis, risk-factor management and primary care services that are easily accessible are important.</w:t>
      </w:r>
    </w:p>
    <w:p w14:paraId="135C57FB" w14:textId="27D44FC4"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6" w:name="_Toc237515794"/>
      <w:r w:rsidRPr="00152CEF">
        <w:rPr>
          <w:rFonts w:ascii="Arial" w:hAnsi="Arial" w:cs="Arial"/>
          <w:b/>
          <w:bCs/>
          <w:color w:val="auto"/>
          <w:sz w:val="24"/>
          <w:szCs w:val="24"/>
        </w:rPr>
        <w:t>2.3 Cancer and Health Inequalities</w:t>
      </w:r>
      <w:bookmarkEnd w:id="6"/>
    </w:p>
    <w:p w14:paraId="3EE88E78" w14:textId="1ACC39DB" w:rsidR="004B0E28" w:rsidRPr="00152CEF" w:rsidRDefault="004B0E28" w:rsidP="00FF511F">
      <w:pPr>
        <w:spacing w:after="0" w:line="480" w:lineRule="auto"/>
        <w:jc w:val="both"/>
        <w:rPr>
          <w:rFonts w:ascii="Arial" w:hAnsi="Arial" w:cs="Arial"/>
        </w:rPr>
      </w:pPr>
      <w:r w:rsidRPr="00152CEF">
        <w:rPr>
          <w:rFonts w:ascii="Arial" w:hAnsi="Arial" w:cs="Arial"/>
        </w:rPr>
        <w:t>Ageing with frailty and multiple conditions can make cancer treatment and support more complex which is a major factor in health inequalities. Workforce characteristics and interventions were identified as being important for quality cancer care for older Canadians in a systematic review (Bridges et al., 2017). Healthy ageing is not equal in England either, as socioeconomic factors affect health and functional outcome (Old and Scott, 2023). Age should not be used as the only measure to assess cancer inequalities. Equitable outcomes can be achieved with person centred assessment and coordinated services.</w:t>
      </w:r>
    </w:p>
    <w:p w14:paraId="10A42FC4" w14:textId="220AFE58"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7" w:name="_Toc237515795"/>
      <w:r w:rsidRPr="00152CEF">
        <w:rPr>
          <w:rFonts w:ascii="Arial" w:hAnsi="Arial" w:cs="Arial"/>
          <w:b/>
          <w:bCs/>
          <w:color w:val="auto"/>
          <w:sz w:val="24"/>
          <w:szCs w:val="24"/>
        </w:rPr>
        <w:t>2.4 Social Isolation and Loneliness</w:t>
      </w:r>
      <w:bookmarkEnd w:id="7"/>
    </w:p>
    <w:p w14:paraId="1277C1B6" w14:textId="040DFA6C" w:rsidR="004B0E28" w:rsidRPr="00152CEF" w:rsidRDefault="004B0E28" w:rsidP="00FF511F">
      <w:pPr>
        <w:spacing w:after="0" w:line="480" w:lineRule="auto"/>
        <w:jc w:val="both"/>
        <w:rPr>
          <w:rFonts w:ascii="Arial" w:hAnsi="Arial" w:cs="Arial"/>
        </w:rPr>
      </w:pPr>
      <w:r w:rsidRPr="00152CEF">
        <w:rPr>
          <w:rFonts w:ascii="Arial" w:hAnsi="Arial" w:cs="Arial"/>
        </w:rPr>
        <w:t>Older people may experience social isolation and loneliness which can impact their physical and mental health. Vulnerability can be increased by bereavement, living alone and reduced mobility. A connection between loneliness and social isolation, and falls among older adults has been demonstrated in England (Bu et al., 2020). Among adults 50 years old and above, there are also links between loneliness and depressive symptoms (Lee et al., 2021). Social prescribing can be used to link older people to community activities and support. Research indicates that such programmes may have a positive impact on loneliness, though results have been mixed (Reinhardt</w:t>
      </w:r>
      <w:r w:rsidR="009C4C0F" w:rsidRPr="00152CEF">
        <w:rPr>
          <w:rFonts w:ascii="Arial" w:hAnsi="Arial" w:cs="Arial"/>
        </w:rPr>
        <w:t xml:space="preserve"> et al., </w:t>
      </w:r>
      <w:r w:rsidRPr="00152CEF">
        <w:rPr>
          <w:rFonts w:ascii="Arial" w:hAnsi="Arial" w:cs="Arial"/>
        </w:rPr>
        <w:t xml:space="preserve"> 2021).</w:t>
      </w:r>
    </w:p>
    <w:p w14:paraId="5175C7A1" w14:textId="5EDBFFFB"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8" w:name="_Toc237515796"/>
      <w:r w:rsidRPr="00152CEF">
        <w:rPr>
          <w:rFonts w:ascii="Arial" w:hAnsi="Arial" w:cs="Arial"/>
          <w:b/>
          <w:bCs/>
          <w:color w:val="auto"/>
          <w:sz w:val="24"/>
          <w:szCs w:val="24"/>
        </w:rPr>
        <w:t>2.5 Poverty and Financial Insecurity</w:t>
      </w:r>
      <w:bookmarkEnd w:id="8"/>
    </w:p>
    <w:p w14:paraId="58D4647E" w14:textId="1D40ED4A" w:rsidR="004B0E28" w:rsidRPr="00152CEF" w:rsidRDefault="004B0E28" w:rsidP="00FF511F">
      <w:pPr>
        <w:spacing w:after="0" w:line="480" w:lineRule="auto"/>
        <w:jc w:val="both"/>
        <w:rPr>
          <w:rFonts w:ascii="Arial" w:hAnsi="Arial" w:cs="Arial"/>
        </w:rPr>
      </w:pPr>
      <w:r w:rsidRPr="00152CEF">
        <w:rPr>
          <w:rFonts w:ascii="Arial" w:hAnsi="Arial" w:cs="Arial"/>
        </w:rPr>
        <w:t>Financial resources are an important social determinant as they affect the ability to afford the day-to-day requirements and live in good health. The implications of poverty dynamics and financial insecurity on later life are highlighted in the research (</w:t>
      </w:r>
      <w:proofErr w:type="spellStart"/>
      <w:r w:rsidRPr="00152CEF">
        <w:rPr>
          <w:rFonts w:ascii="Arial" w:hAnsi="Arial" w:cs="Arial"/>
        </w:rPr>
        <w:t>Kanabar</w:t>
      </w:r>
      <w:proofErr w:type="spellEnd"/>
      <w:r w:rsidRPr="00152CEF">
        <w:rPr>
          <w:rFonts w:ascii="Arial" w:hAnsi="Arial" w:cs="Arial"/>
        </w:rPr>
        <w:t>, 2016). Financial hardship can be exacerbated when older people also have extra care and energy needs. Fuel poverty is associated with long-term care needs and there is evidence that links fuel poverty and energy costs with health and independence (Cartagena-Farias et al., 2025). These inequities can be mitigated by income support and support to the essential costs.</w:t>
      </w:r>
    </w:p>
    <w:p w14:paraId="589E56AF" w14:textId="6C192F85" w:rsidR="004B0E28" w:rsidRPr="00152CEF" w:rsidRDefault="004B0E28" w:rsidP="00FF511F">
      <w:pPr>
        <w:pStyle w:val="Heading2"/>
        <w:spacing w:line="480" w:lineRule="auto"/>
        <w:rPr>
          <w:rFonts w:ascii="Arial" w:hAnsi="Arial" w:cs="Arial"/>
          <w:b/>
          <w:bCs/>
          <w:color w:val="auto"/>
          <w:sz w:val="24"/>
          <w:szCs w:val="24"/>
        </w:rPr>
      </w:pPr>
      <w:r w:rsidRPr="00152CEF">
        <w:rPr>
          <w:rFonts w:ascii="Arial" w:hAnsi="Arial" w:cs="Arial"/>
          <w:b/>
          <w:bCs/>
          <w:color w:val="auto"/>
          <w:sz w:val="24"/>
          <w:szCs w:val="24"/>
        </w:rPr>
        <w:t xml:space="preserve"> </w:t>
      </w:r>
      <w:bookmarkStart w:id="9" w:name="_Toc237515797"/>
      <w:r w:rsidRPr="00152CEF">
        <w:rPr>
          <w:rFonts w:ascii="Arial" w:hAnsi="Arial" w:cs="Arial"/>
          <w:b/>
          <w:bCs/>
          <w:color w:val="auto"/>
          <w:sz w:val="24"/>
          <w:szCs w:val="24"/>
        </w:rPr>
        <w:t>2.6 Housing and Living Conditions</w:t>
      </w:r>
      <w:bookmarkEnd w:id="9"/>
    </w:p>
    <w:p w14:paraId="689FA4CC" w14:textId="256B05A7" w:rsidR="004B0E28" w:rsidRPr="00152CEF" w:rsidRDefault="004B0E28" w:rsidP="00FF511F">
      <w:pPr>
        <w:spacing w:after="0" w:line="480" w:lineRule="auto"/>
        <w:jc w:val="both"/>
        <w:rPr>
          <w:rFonts w:ascii="Arial" w:hAnsi="Arial" w:cs="Arial"/>
        </w:rPr>
      </w:pPr>
      <w:r w:rsidRPr="00152CEF">
        <w:rPr>
          <w:rFonts w:ascii="Arial" w:hAnsi="Arial" w:cs="Arial"/>
        </w:rPr>
        <w:t xml:space="preserve">The condition of housing is a significant health disparity which can have an impact on safety, independence and wellbeing. Research findings suggest that there is a relationship between housing adaptations and health trajectories in older adults </w:t>
      </w:r>
      <w:r w:rsidR="009151A6" w:rsidRPr="00152CEF">
        <w:rPr>
          <w:rFonts w:ascii="Arial" w:hAnsi="Arial" w:cs="Arial"/>
        </w:rPr>
        <w:t>(Wu</w:t>
      </w:r>
      <w:r w:rsidRPr="00152CEF">
        <w:rPr>
          <w:rFonts w:ascii="Arial" w:hAnsi="Arial" w:cs="Arial"/>
        </w:rPr>
        <w:t xml:space="preserve"> and Grundy, 2025). Housing is also related to fuel poverty and long-term care requirements (Cartagena-Farias et al., 2025). Reducing risks and supporting older people to remain independent through home adaptations, improving energy efficiency and targeted support.</w:t>
      </w:r>
    </w:p>
    <w:p w14:paraId="4EFEDCFE" w14:textId="1D587B78" w:rsidR="004B0E28" w:rsidRPr="00152CEF" w:rsidRDefault="004B0E28"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0" w:name="_Toc237515798"/>
      <w:r w:rsidRPr="00152CEF">
        <w:rPr>
          <w:rFonts w:ascii="Arial" w:hAnsi="Arial" w:cs="Arial"/>
          <w:b/>
          <w:bCs/>
          <w:color w:val="auto"/>
          <w:sz w:val="24"/>
          <w:szCs w:val="24"/>
        </w:rPr>
        <w:t>3. National Responses to Reduce Health Inequalities</w:t>
      </w:r>
      <w:bookmarkEnd w:id="10"/>
    </w:p>
    <w:p w14:paraId="5EFDDAC1" w14:textId="66855C58" w:rsidR="004B0E28" w:rsidRPr="00152CEF" w:rsidRDefault="004B0E28" w:rsidP="00FF511F">
      <w:pPr>
        <w:pStyle w:val="Heading3"/>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1" w:name="_Toc237515799"/>
      <w:r w:rsidRPr="00152CEF">
        <w:rPr>
          <w:rFonts w:ascii="Arial" w:hAnsi="Arial" w:cs="Arial"/>
          <w:b/>
          <w:bCs/>
          <w:color w:val="auto"/>
          <w:sz w:val="24"/>
          <w:szCs w:val="24"/>
        </w:rPr>
        <w:t>3.1 Healthy Ageing Consensus</w:t>
      </w:r>
      <w:bookmarkEnd w:id="11"/>
    </w:p>
    <w:p w14:paraId="568FA741" w14:textId="750FF15D" w:rsidR="004B0E28" w:rsidRPr="00152CEF" w:rsidRDefault="004B0E28" w:rsidP="00FF511F">
      <w:pPr>
        <w:spacing w:after="0" w:line="480" w:lineRule="auto"/>
        <w:jc w:val="both"/>
        <w:rPr>
          <w:rFonts w:ascii="Arial" w:hAnsi="Arial" w:cs="Arial"/>
        </w:rPr>
      </w:pPr>
      <w:r w:rsidRPr="00152CEF">
        <w:rPr>
          <w:rFonts w:ascii="Arial" w:hAnsi="Arial" w:cs="Arial"/>
        </w:rPr>
        <w:t xml:space="preserve">The Healthy Ageing Consensus is a response to inequalities faced by older people. It seeks to extend healthy and independent life expectancy and to reduce the socioeconomic inequalities </w:t>
      </w:r>
      <w:r w:rsidR="009C4C0F" w:rsidRPr="00152CEF">
        <w:rPr>
          <w:rFonts w:ascii="Arial" w:hAnsi="Arial" w:cs="Arial"/>
        </w:rPr>
        <w:t>(GOV.UK, 2023)</w:t>
      </w:r>
      <w:r w:rsidRPr="00152CEF">
        <w:rPr>
          <w:rFonts w:ascii="Arial" w:hAnsi="Arial" w:cs="Arial"/>
        </w:rPr>
        <w:t>. It promotes prevention, financial security and community connections. This is an indication that the evidence is that healthy ageing is not equal across socioeconomic groups (Old and Scott, 2023). It acknowledges that inequalities can't be resolved with health care.</w:t>
      </w:r>
    </w:p>
    <w:p w14:paraId="6B50A81F" w14:textId="31C03221" w:rsidR="004B0E28" w:rsidRPr="00152CEF" w:rsidRDefault="004B0E28" w:rsidP="00FF511F">
      <w:pPr>
        <w:pStyle w:val="Heading3"/>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2" w:name="_Toc237515800"/>
      <w:r w:rsidRPr="00152CEF">
        <w:rPr>
          <w:rFonts w:ascii="Arial" w:hAnsi="Arial" w:cs="Arial"/>
          <w:b/>
          <w:bCs/>
          <w:color w:val="auto"/>
          <w:sz w:val="24"/>
          <w:szCs w:val="24"/>
        </w:rPr>
        <w:t xml:space="preserve">3.2 NHS England </w:t>
      </w:r>
      <w:r w:rsidR="0068076A" w:rsidRPr="00152CEF">
        <w:rPr>
          <w:rFonts w:ascii="Arial" w:hAnsi="Arial" w:cs="Arial"/>
          <w:b/>
          <w:bCs/>
          <w:color w:val="auto"/>
          <w:sz w:val="24"/>
          <w:szCs w:val="24"/>
        </w:rPr>
        <w:t>Social Prescribing</w:t>
      </w:r>
      <w:bookmarkEnd w:id="12"/>
    </w:p>
    <w:p w14:paraId="3122F0DD" w14:textId="1191A671" w:rsidR="004B0E28" w:rsidRPr="00152CEF" w:rsidRDefault="004B0E28" w:rsidP="00FF511F">
      <w:pPr>
        <w:spacing w:after="0" w:line="480" w:lineRule="auto"/>
        <w:jc w:val="both"/>
        <w:rPr>
          <w:rFonts w:ascii="Arial" w:hAnsi="Arial" w:cs="Arial"/>
        </w:rPr>
      </w:pPr>
      <w:r w:rsidRPr="00152CEF">
        <w:rPr>
          <w:rFonts w:ascii="Arial" w:hAnsi="Arial" w:cs="Arial"/>
        </w:rPr>
        <w:t>There is another national response to tackling loneliness, isolation and complex social needs – social prescribing. NHS England says it is helping to link people to community activities, groups and services to benefit their health and wellbeing (NHS England, 2026). This is important because loneliness can impact the health and well-being of older adults (Bu et al., 2020). Social prescribing can support medical treatment by tackling social situations. But effectiveness will rely on appropriate community services.</w:t>
      </w:r>
    </w:p>
    <w:p w14:paraId="3BE8942B" w14:textId="35A68152" w:rsidR="004B0E28" w:rsidRPr="00152CEF" w:rsidRDefault="004B0E28"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3" w:name="_Toc237515801"/>
      <w:r w:rsidRPr="00152CEF">
        <w:rPr>
          <w:rFonts w:ascii="Arial" w:hAnsi="Arial" w:cs="Arial"/>
          <w:b/>
          <w:bCs/>
          <w:color w:val="auto"/>
          <w:sz w:val="24"/>
          <w:szCs w:val="24"/>
        </w:rPr>
        <w:t>4. Organisation Supporting Older People</w:t>
      </w:r>
      <w:bookmarkEnd w:id="13"/>
    </w:p>
    <w:p w14:paraId="7B19FCE7" w14:textId="0D42C5CD" w:rsidR="004B0E28" w:rsidRPr="00152CEF" w:rsidRDefault="004B0E28" w:rsidP="00FF511F">
      <w:pPr>
        <w:spacing w:after="0" w:line="480" w:lineRule="auto"/>
        <w:jc w:val="both"/>
        <w:rPr>
          <w:rFonts w:ascii="Arial" w:hAnsi="Arial" w:cs="Arial"/>
        </w:rPr>
      </w:pPr>
      <w:r w:rsidRPr="00152CEF">
        <w:rPr>
          <w:rFonts w:ascii="Arial" w:hAnsi="Arial" w:cs="Arial"/>
        </w:rPr>
        <w:t>Age UK works to help older people, and to highlight inequalities in the health and wellbeing of older people. It tackles issues of poverty, loneliness, social exclusion and independence. Later life health is also affected by socioeconomic factors (Holman and Walker, 2020). Information, advice, practical support and advocacy provided by Age UK can support statutory services. It serves as a broader purpose in fostering independence and wellbeing and raising awareness of inequalities.</w:t>
      </w:r>
    </w:p>
    <w:p w14:paraId="685B8C63" w14:textId="0DB5A9E1" w:rsidR="004B0E28" w:rsidRPr="00152CEF" w:rsidRDefault="004B0E28"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4" w:name="_Toc237515802"/>
      <w:r w:rsidRPr="00152CEF">
        <w:rPr>
          <w:rFonts w:ascii="Arial" w:hAnsi="Arial" w:cs="Arial"/>
          <w:b/>
          <w:bCs/>
          <w:color w:val="auto"/>
          <w:sz w:val="24"/>
          <w:szCs w:val="24"/>
        </w:rPr>
        <w:t>5. Conclusion</w:t>
      </w:r>
      <w:bookmarkEnd w:id="14"/>
    </w:p>
    <w:p w14:paraId="795FA180" w14:textId="11B3C1AC" w:rsidR="009734D7" w:rsidRPr="00152CEF" w:rsidRDefault="004B0E28" w:rsidP="00FF511F">
      <w:pPr>
        <w:spacing w:after="0" w:line="480" w:lineRule="auto"/>
        <w:jc w:val="both"/>
        <w:rPr>
          <w:rFonts w:ascii="Arial" w:hAnsi="Arial" w:cs="Arial"/>
        </w:rPr>
      </w:pPr>
      <w:r w:rsidRPr="00152CEF">
        <w:rPr>
          <w:rFonts w:ascii="Arial" w:hAnsi="Arial" w:cs="Arial"/>
        </w:rPr>
        <w:t>The factors of ageing, socio-economic factors and wider social determinants contribute to age related health inequalities. Dementia, cardiovascular disease and cancer are significant health issues and loneliness, poverty and housing are significant living conditions. Health is not the same for all people of any given age. Prevention, addressing wider living conditions and social support and action are essential to reducing inequalities and providing appropriate healthcare. National responses and Age UK can help to improve the health of ageing.</w:t>
      </w:r>
      <w:r w:rsidR="009151A6" w:rsidRPr="00152CEF">
        <w:rPr>
          <w:rFonts w:ascii="Arial" w:hAnsi="Arial" w:cs="Arial"/>
        </w:rPr>
        <w:t xml:space="preserve"> Promoting healthy ageing will need to be a coordinated response involving health, social care, housing and social policy.</w:t>
      </w:r>
    </w:p>
    <w:p w14:paraId="3819A1AD" w14:textId="77777777" w:rsidR="009734D7" w:rsidRPr="00152CEF" w:rsidRDefault="009734D7" w:rsidP="00FF511F">
      <w:pPr>
        <w:spacing w:line="480" w:lineRule="auto"/>
        <w:jc w:val="both"/>
        <w:rPr>
          <w:rFonts w:ascii="Arial" w:hAnsi="Arial" w:cs="Arial"/>
        </w:rPr>
      </w:pPr>
      <w:r w:rsidRPr="00152CEF">
        <w:rPr>
          <w:rFonts w:ascii="Arial" w:hAnsi="Arial" w:cs="Arial"/>
        </w:rPr>
        <w:br w:type="page"/>
      </w:r>
    </w:p>
    <w:p w14:paraId="3E7B0D23" w14:textId="7CDE3A23" w:rsidR="00622EDD" w:rsidRPr="00152CEF" w:rsidRDefault="009734D7" w:rsidP="00FF511F">
      <w:pPr>
        <w:pStyle w:val="Heading2"/>
        <w:spacing w:line="480" w:lineRule="auto"/>
        <w:jc w:val="both"/>
        <w:rPr>
          <w:rFonts w:ascii="Arial" w:hAnsi="Arial" w:cs="Arial"/>
          <w:b/>
          <w:bCs/>
          <w:color w:val="auto"/>
          <w:sz w:val="24"/>
          <w:szCs w:val="24"/>
        </w:rPr>
      </w:pPr>
      <w:bookmarkStart w:id="15" w:name="_Toc237515803"/>
      <w:r w:rsidRPr="00152CEF">
        <w:rPr>
          <w:rFonts w:ascii="Arial" w:hAnsi="Arial" w:cs="Arial"/>
          <w:b/>
          <w:bCs/>
          <w:color w:val="auto"/>
          <w:sz w:val="24"/>
          <w:szCs w:val="24"/>
        </w:rPr>
        <w:t>References list</w:t>
      </w:r>
      <w:bookmarkEnd w:id="15"/>
    </w:p>
    <w:p w14:paraId="323789C7"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Bridges, J., Lucas, G., Wiseman, T. and Griffiths, P. (2017). Workforce characteristics and interventions associated with high-quality care and support to older people with cancer: A systematic review. </w:t>
      </w:r>
      <w:r w:rsidRPr="00152CEF">
        <w:rPr>
          <w:rFonts w:ascii="Arial" w:hAnsi="Arial" w:cs="Arial"/>
          <w:i/>
          <w:iCs/>
        </w:rPr>
        <w:t>BMJ Open</w:t>
      </w:r>
      <w:r w:rsidRPr="00152CEF">
        <w:rPr>
          <w:rFonts w:ascii="Arial" w:hAnsi="Arial" w:cs="Arial"/>
        </w:rPr>
        <w:t>, [online] 7(7), p.e016127. doi:10.1136/bmjopen-2017-016127.</w:t>
      </w:r>
    </w:p>
    <w:p w14:paraId="17AD551D"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Bu, F., </w:t>
      </w:r>
      <w:proofErr w:type="spellStart"/>
      <w:r w:rsidRPr="00152CEF">
        <w:rPr>
          <w:rFonts w:ascii="Arial" w:hAnsi="Arial" w:cs="Arial"/>
        </w:rPr>
        <w:t>Abell</w:t>
      </w:r>
      <w:proofErr w:type="spellEnd"/>
      <w:r w:rsidRPr="00152CEF">
        <w:rPr>
          <w:rFonts w:ascii="Arial" w:hAnsi="Arial" w:cs="Arial"/>
        </w:rPr>
        <w:t xml:space="preserve">, J., </w:t>
      </w:r>
      <w:proofErr w:type="spellStart"/>
      <w:r w:rsidRPr="00152CEF">
        <w:rPr>
          <w:rFonts w:ascii="Arial" w:hAnsi="Arial" w:cs="Arial"/>
        </w:rPr>
        <w:t>Zaninotto</w:t>
      </w:r>
      <w:proofErr w:type="spellEnd"/>
      <w:r w:rsidRPr="00152CEF">
        <w:rPr>
          <w:rFonts w:ascii="Arial" w:hAnsi="Arial" w:cs="Arial"/>
        </w:rPr>
        <w:t xml:space="preserve">, P. and </w:t>
      </w:r>
      <w:proofErr w:type="spellStart"/>
      <w:r w:rsidRPr="00152CEF">
        <w:rPr>
          <w:rFonts w:ascii="Arial" w:hAnsi="Arial" w:cs="Arial"/>
        </w:rPr>
        <w:t>Fancourt</w:t>
      </w:r>
      <w:proofErr w:type="spellEnd"/>
      <w:r w:rsidRPr="00152CEF">
        <w:rPr>
          <w:rFonts w:ascii="Arial" w:hAnsi="Arial" w:cs="Arial"/>
        </w:rPr>
        <w:t xml:space="preserve">, D. (2020). A longitudinal analysis of loneliness, social isolation and falls amongst older people in England. </w:t>
      </w:r>
      <w:r w:rsidRPr="00152CEF">
        <w:rPr>
          <w:rFonts w:ascii="Arial" w:hAnsi="Arial" w:cs="Arial"/>
          <w:i/>
          <w:iCs/>
        </w:rPr>
        <w:t>Scientific Reports</w:t>
      </w:r>
      <w:r w:rsidRPr="00152CEF">
        <w:rPr>
          <w:rFonts w:ascii="Arial" w:hAnsi="Arial" w:cs="Arial"/>
        </w:rPr>
        <w:t>, [online] 10(1). doi:10.1038/s41598-020-77104-z.</w:t>
      </w:r>
    </w:p>
    <w:p w14:paraId="6FA6E764"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Cartagena-Farias, J., </w:t>
      </w:r>
      <w:proofErr w:type="spellStart"/>
      <w:r w:rsidRPr="00152CEF">
        <w:rPr>
          <w:rFonts w:ascii="Arial" w:hAnsi="Arial" w:cs="Arial"/>
        </w:rPr>
        <w:t>Brimblecombe</w:t>
      </w:r>
      <w:proofErr w:type="spellEnd"/>
      <w:r w:rsidRPr="00152CEF">
        <w:rPr>
          <w:rFonts w:ascii="Arial" w:hAnsi="Arial" w:cs="Arial"/>
        </w:rPr>
        <w:t xml:space="preserve">, N., Hu, B. and Rickman, S. (2025). Long-term care needs and fuel poverty among older people: Beyond energy consumption and affordability. </w:t>
      </w:r>
      <w:r w:rsidRPr="00152CEF">
        <w:rPr>
          <w:rFonts w:ascii="Arial" w:hAnsi="Arial" w:cs="Arial"/>
          <w:i/>
          <w:iCs/>
        </w:rPr>
        <w:t>Social Indicators Research</w:t>
      </w:r>
      <w:r w:rsidRPr="00152CEF">
        <w:rPr>
          <w:rFonts w:ascii="Arial" w:hAnsi="Arial" w:cs="Arial"/>
        </w:rPr>
        <w:t>. doi:10.1007/s11205-025-03653-3.</w:t>
      </w:r>
    </w:p>
    <w:p w14:paraId="7107C775" w14:textId="77777777" w:rsidR="0069763E"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Chan, M.S., </w:t>
      </w:r>
      <w:proofErr w:type="spellStart"/>
      <w:r w:rsidRPr="00152CEF">
        <w:rPr>
          <w:rFonts w:ascii="Arial" w:hAnsi="Arial" w:cs="Arial"/>
        </w:rPr>
        <w:t>Hout</w:t>
      </w:r>
      <w:proofErr w:type="spellEnd"/>
      <w:r w:rsidRPr="00152CEF">
        <w:rPr>
          <w:rFonts w:ascii="Arial" w:hAnsi="Arial" w:cs="Arial"/>
        </w:rPr>
        <w:t xml:space="preserve"> </w:t>
      </w:r>
      <w:proofErr w:type="spellStart"/>
      <w:r w:rsidRPr="00152CEF">
        <w:rPr>
          <w:rFonts w:ascii="Arial" w:hAnsi="Arial" w:cs="Arial"/>
        </w:rPr>
        <w:t>Ardo</w:t>
      </w:r>
      <w:proofErr w:type="spellEnd"/>
      <w:r w:rsidRPr="00152CEF">
        <w:rPr>
          <w:rFonts w:ascii="Arial" w:hAnsi="Arial" w:cs="Arial"/>
        </w:rPr>
        <w:t xml:space="preserve">, van den, Mar, P.-R., Mark, J.M., Matthews, F.E., Jagger, C., </w:t>
      </w:r>
      <w:proofErr w:type="spellStart"/>
      <w:r w:rsidRPr="00152CEF">
        <w:rPr>
          <w:rFonts w:ascii="Arial" w:hAnsi="Arial" w:cs="Arial"/>
        </w:rPr>
        <w:t>Raine</w:t>
      </w:r>
      <w:proofErr w:type="spellEnd"/>
      <w:r w:rsidRPr="00152CEF">
        <w:rPr>
          <w:rFonts w:ascii="Arial" w:hAnsi="Arial" w:cs="Arial"/>
        </w:rPr>
        <w:t xml:space="preserve">, R. and </w:t>
      </w:r>
      <w:proofErr w:type="spellStart"/>
      <w:r w:rsidRPr="00152CEF">
        <w:rPr>
          <w:rFonts w:ascii="Arial" w:hAnsi="Arial" w:cs="Arial"/>
        </w:rPr>
        <w:t>Bajekal</w:t>
      </w:r>
      <w:proofErr w:type="spellEnd"/>
      <w:r w:rsidRPr="00152CEF">
        <w:rPr>
          <w:rFonts w:ascii="Arial" w:hAnsi="Arial" w:cs="Arial"/>
        </w:rPr>
        <w:t xml:space="preserve">, M. (2019). Socio-economic inequalities in life expectancy of older adults with and without </w:t>
      </w:r>
      <w:proofErr w:type="spellStart"/>
      <w:r w:rsidRPr="00152CEF">
        <w:rPr>
          <w:rFonts w:ascii="Arial" w:hAnsi="Arial" w:cs="Arial"/>
        </w:rPr>
        <w:t>multimorbidity</w:t>
      </w:r>
      <w:proofErr w:type="spellEnd"/>
      <w:r w:rsidRPr="00152CEF">
        <w:rPr>
          <w:rFonts w:ascii="Arial" w:hAnsi="Arial" w:cs="Arial"/>
        </w:rPr>
        <w:t xml:space="preserve">: A record linkage study of 1.1 million people in England. </w:t>
      </w:r>
      <w:r w:rsidRPr="00152CEF">
        <w:rPr>
          <w:rFonts w:ascii="Arial" w:hAnsi="Arial" w:cs="Arial"/>
          <w:i/>
          <w:iCs/>
        </w:rPr>
        <w:t>International Journal of Epidemiology</w:t>
      </w:r>
      <w:r w:rsidRPr="00152CEF">
        <w:rPr>
          <w:rFonts w:ascii="Arial" w:hAnsi="Arial" w:cs="Arial"/>
        </w:rPr>
        <w:t>, [online] 48(4), pp.1340–1351. Available at: https://doi.org/10.1093/ije/dyz052 [Accessed 11 Aug. 2026].</w:t>
      </w:r>
    </w:p>
    <w:p w14:paraId="0009CA10" w14:textId="77777777" w:rsidR="00923942" w:rsidRPr="00923942" w:rsidRDefault="00923942" w:rsidP="00923942">
      <w:pPr>
        <w:pStyle w:val="NormalWeb"/>
        <w:spacing w:line="480" w:lineRule="auto"/>
        <w:jc w:val="both"/>
        <w:rPr>
          <w:rFonts w:ascii="Arial" w:hAnsi="Arial" w:cs="Arial"/>
        </w:rPr>
      </w:pPr>
      <w:r w:rsidRPr="00923942">
        <w:rPr>
          <w:rFonts w:ascii="Arial" w:hAnsi="Arial" w:cs="Arial"/>
        </w:rPr>
        <w:t xml:space="preserve">GOV.UK (2023). </w:t>
      </w:r>
      <w:r w:rsidRPr="00923942">
        <w:rPr>
          <w:rFonts w:ascii="Arial" w:hAnsi="Arial" w:cs="Arial"/>
          <w:i/>
          <w:iCs/>
        </w:rPr>
        <w:t>A consensus on healthy ageing</w:t>
      </w:r>
      <w:r w:rsidRPr="00923942">
        <w:rPr>
          <w:rFonts w:ascii="Arial" w:hAnsi="Arial" w:cs="Arial"/>
        </w:rPr>
        <w:t xml:space="preserve">. [online] </w:t>
      </w:r>
      <w:r w:rsidRPr="00923942">
        <w:rPr>
          <w:rFonts w:ascii="Arial" w:hAnsi="Arial" w:cs="Arial"/>
          <w:i/>
          <w:iCs/>
        </w:rPr>
        <w:t>GOV.UK</w:t>
      </w:r>
      <w:r w:rsidRPr="00923942">
        <w:rPr>
          <w:rFonts w:ascii="Arial" w:hAnsi="Arial" w:cs="Arial"/>
        </w:rPr>
        <w:t>. Available at: https://www.gov.uk/government/publications/healthy-ageing-consensus-statement/a-consensus-on-healthy-ageing [Accessed 13 Aug. 2026].</w:t>
      </w:r>
    </w:p>
    <w:p w14:paraId="527BD581"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Holman, D. and Walker, A. (2020). Understanding unequal ageing: Towards a synthesis of intersectionality and life course analyses. </w:t>
      </w:r>
      <w:r w:rsidRPr="00152CEF">
        <w:rPr>
          <w:rFonts w:ascii="Arial" w:hAnsi="Arial" w:cs="Arial"/>
          <w:i/>
          <w:iCs/>
        </w:rPr>
        <w:t>European Journal of Ageing</w:t>
      </w:r>
      <w:r w:rsidRPr="00152CEF">
        <w:rPr>
          <w:rFonts w:ascii="Arial" w:hAnsi="Arial" w:cs="Arial"/>
        </w:rPr>
        <w:t>, 18(2), pp.239–255. doi:10.1007/s10433-020-00582-7.</w:t>
      </w:r>
    </w:p>
    <w:p w14:paraId="73BA9565"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KANABAR, R. (2016). In or out? Poverty dynamics among older individuals in the UK. </w:t>
      </w:r>
      <w:r w:rsidRPr="00152CEF">
        <w:rPr>
          <w:rFonts w:ascii="Arial" w:hAnsi="Arial" w:cs="Arial"/>
          <w:i/>
          <w:iCs/>
        </w:rPr>
        <w:t>Journal of Pension Economics and Finance</w:t>
      </w:r>
      <w:r w:rsidRPr="00152CEF">
        <w:rPr>
          <w:rFonts w:ascii="Arial" w:hAnsi="Arial" w:cs="Arial"/>
        </w:rPr>
        <w:t>, 16(4), pp.509–553. doi:10.1017/s1474747216000135.</w:t>
      </w:r>
    </w:p>
    <w:p w14:paraId="5802343C" w14:textId="77777777" w:rsidR="0069763E" w:rsidRPr="00152CEF" w:rsidRDefault="0069763E" w:rsidP="00FF511F">
      <w:pPr>
        <w:pStyle w:val="NormalWeb"/>
        <w:spacing w:before="0" w:beforeAutospacing="0" w:after="240" w:afterAutospacing="0" w:line="480" w:lineRule="auto"/>
        <w:jc w:val="both"/>
        <w:rPr>
          <w:rFonts w:ascii="Arial" w:hAnsi="Arial" w:cs="Arial"/>
        </w:rPr>
      </w:pPr>
      <w:proofErr w:type="spellStart"/>
      <w:r w:rsidRPr="00152CEF">
        <w:rPr>
          <w:rFonts w:ascii="Arial" w:hAnsi="Arial" w:cs="Arial"/>
        </w:rPr>
        <w:t>Khanolkar</w:t>
      </w:r>
      <w:proofErr w:type="spellEnd"/>
      <w:r w:rsidRPr="00152CEF">
        <w:rPr>
          <w:rFonts w:ascii="Arial" w:hAnsi="Arial" w:cs="Arial"/>
        </w:rPr>
        <w:t xml:space="preserve">, A.R., </w:t>
      </w:r>
      <w:proofErr w:type="spellStart"/>
      <w:r w:rsidRPr="00152CEF">
        <w:rPr>
          <w:rFonts w:ascii="Arial" w:hAnsi="Arial" w:cs="Arial"/>
        </w:rPr>
        <w:t>Chaturvedi</w:t>
      </w:r>
      <w:proofErr w:type="spellEnd"/>
      <w:r w:rsidRPr="00152CEF">
        <w:rPr>
          <w:rFonts w:ascii="Arial" w:hAnsi="Arial" w:cs="Arial"/>
        </w:rPr>
        <w:t xml:space="preserve">, N., </w:t>
      </w:r>
      <w:proofErr w:type="spellStart"/>
      <w:r w:rsidRPr="00152CEF">
        <w:rPr>
          <w:rFonts w:ascii="Arial" w:hAnsi="Arial" w:cs="Arial"/>
        </w:rPr>
        <w:t>Kuan</w:t>
      </w:r>
      <w:proofErr w:type="spellEnd"/>
      <w:r w:rsidRPr="00152CEF">
        <w:rPr>
          <w:rFonts w:ascii="Arial" w:hAnsi="Arial" w:cs="Arial"/>
        </w:rPr>
        <w:t xml:space="preserve">, V., Davis, D., Hughes, A., Richards, M., Bann, D. and </w:t>
      </w:r>
      <w:proofErr w:type="spellStart"/>
      <w:r w:rsidRPr="00152CEF">
        <w:rPr>
          <w:rFonts w:ascii="Arial" w:hAnsi="Arial" w:cs="Arial"/>
        </w:rPr>
        <w:t>Patalay</w:t>
      </w:r>
      <w:proofErr w:type="spellEnd"/>
      <w:r w:rsidRPr="00152CEF">
        <w:rPr>
          <w:rFonts w:ascii="Arial" w:hAnsi="Arial" w:cs="Arial"/>
        </w:rPr>
        <w:t xml:space="preserve">, P. (2021). Socioeconomic inequalities in prevalence and development of </w:t>
      </w:r>
      <w:proofErr w:type="spellStart"/>
      <w:r w:rsidRPr="00152CEF">
        <w:rPr>
          <w:rFonts w:ascii="Arial" w:hAnsi="Arial" w:cs="Arial"/>
        </w:rPr>
        <w:t>multimorbidity</w:t>
      </w:r>
      <w:proofErr w:type="spellEnd"/>
      <w:r w:rsidRPr="00152CEF">
        <w:rPr>
          <w:rFonts w:ascii="Arial" w:hAnsi="Arial" w:cs="Arial"/>
        </w:rPr>
        <w:t xml:space="preserve"> across adulthood: A longitudinal analysis of the MRC 1946 National Survey of Health and Development in the UK. </w:t>
      </w:r>
      <w:r w:rsidRPr="00152CEF">
        <w:rPr>
          <w:rFonts w:ascii="Arial" w:hAnsi="Arial" w:cs="Arial"/>
          <w:i/>
          <w:iCs/>
        </w:rPr>
        <w:t>PLOS Medicine</w:t>
      </w:r>
      <w:r w:rsidRPr="00152CEF">
        <w:rPr>
          <w:rFonts w:ascii="Arial" w:hAnsi="Arial" w:cs="Arial"/>
        </w:rPr>
        <w:t>, 18(9), p.e1003775. doi:10.1371/journal.pmed.1003775.</w:t>
      </w:r>
    </w:p>
    <w:p w14:paraId="679AB50A" w14:textId="77777777" w:rsidR="0069763E" w:rsidRPr="00152CEF" w:rsidRDefault="0069763E" w:rsidP="00FF511F">
      <w:pPr>
        <w:pStyle w:val="NormalWeb"/>
        <w:spacing w:before="0" w:beforeAutospacing="0" w:after="240" w:afterAutospacing="0" w:line="480" w:lineRule="auto"/>
        <w:jc w:val="both"/>
        <w:rPr>
          <w:rFonts w:ascii="Arial" w:hAnsi="Arial" w:cs="Arial"/>
        </w:rPr>
      </w:pPr>
      <w:proofErr w:type="spellStart"/>
      <w:r w:rsidRPr="00152CEF">
        <w:rPr>
          <w:rFonts w:ascii="Arial" w:hAnsi="Arial" w:cs="Arial"/>
        </w:rPr>
        <w:t>Kraftman</w:t>
      </w:r>
      <w:proofErr w:type="spellEnd"/>
      <w:r w:rsidRPr="00152CEF">
        <w:rPr>
          <w:rFonts w:ascii="Arial" w:hAnsi="Arial" w:cs="Arial"/>
        </w:rPr>
        <w:t xml:space="preserve">, L., </w:t>
      </w:r>
      <w:proofErr w:type="spellStart"/>
      <w:r w:rsidRPr="00152CEF">
        <w:rPr>
          <w:rFonts w:ascii="Arial" w:hAnsi="Arial" w:cs="Arial"/>
        </w:rPr>
        <w:t>Hardelid</w:t>
      </w:r>
      <w:proofErr w:type="spellEnd"/>
      <w:r w:rsidRPr="00152CEF">
        <w:rPr>
          <w:rFonts w:ascii="Arial" w:hAnsi="Arial" w:cs="Arial"/>
        </w:rPr>
        <w:t xml:space="preserve">, P. and Banks, J. (2021). Age specific trends in mortality disparities by socio-economic deprivation in small geographical areas of England, 2002-2018: A retrospective registry study. </w:t>
      </w:r>
      <w:r w:rsidRPr="00152CEF">
        <w:rPr>
          <w:rFonts w:ascii="Arial" w:hAnsi="Arial" w:cs="Arial"/>
          <w:i/>
          <w:iCs/>
        </w:rPr>
        <w:t>The Lancet Regional Health - Europe</w:t>
      </w:r>
      <w:r w:rsidRPr="00152CEF">
        <w:rPr>
          <w:rFonts w:ascii="Arial" w:hAnsi="Arial" w:cs="Arial"/>
        </w:rPr>
        <w:t>, p.100136. doi:10.1016/j.lanepe.2021.100136.</w:t>
      </w:r>
    </w:p>
    <w:p w14:paraId="35203945"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Lee, S.L., Pearce, E., </w:t>
      </w:r>
      <w:proofErr w:type="spellStart"/>
      <w:r w:rsidRPr="00152CEF">
        <w:rPr>
          <w:rFonts w:ascii="Arial" w:hAnsi="Arial" w:cs="Arial"/>
        </w:rPr>
        <w:t>Ajnakina</w:t>
      </w:r>
      <w:proofErr w:type="spellEnd"/>
      <w:r w:rsidRPr="00152CEF">
        <w:rPr>
          <w:rFonts w:ascii="Arial" w:hAnsi="Arial" w:cs="Arial"/>
        </w:rPr>
        <w:t xml:space="preserve">, O., Johnson, S., Lewis, G., Mann, F., Pitman, A., </w:t>
      </w:r>
      <w:proofErr w:type="spellStart"/>
      <w:r w:rsidRPr="00152CEF">
        <w:rPr>
          <w:rFonts w:ascii="Arial" w:hAnsi="Arial" w:cs="Arial"/>
        </w:rPr>
        <w:t>Solmi</w:t>
      </w:r>
      <w:proofErr w:type="spellEnd"/>
      <w:r w:rsidRPr="00152CEF">
        <w:rPr>
          <w:rFonts w:ascii="Arial" w:hAnsi="Arial" w:cs="Arial"/>
        </w:rPr>
        <w:t xml:space="preserve">, F., </w:t>
      </w:r>
      <w:proofErr w:type="spellStart"/>
      <w:r w:rsidRPr="00152CEF">
        <w:rPr>
          <w:rFonts w:ascii="Arial" w:hAnsi="Arial" w:cs="Arial"/>
        </w:rPr>
        <w:t>Sommerlad</w:t>
      </w:r>
      <w:proofErr w:type="spellEnd"/>
      <w:r w:rsidRPr="00152CEF">
        <w:rPr>
          <w:rFonts w:ascii="Arial" w:hAnsi="Arial" w:cs="Arial"/>
        </w:rPr>
        <w:t xml:space="preserve">, A., Steptoe, A., </w:t>
      </w:r>
      <w:proofErr w:type="spellStart"/>
      <w:r w:rsidRPr="00152CEF">
        <w:rPr>
          <w:rFonts w:ascii="Arial" w:hAnsi="Arial" w:cs="Arial"/>
        </w:rPr>
        <w:t>Tymoszuk</w:t>
      </w:r>
      <w:proofErr w:type="spellEnd"/>
      <w:r w:rsidRPr="00152CEF">
        <w:rPr>
          <w:rFonts w:ascii="Arial" w:hAnsi="Arial" w:cs="Arial"/>
        </w:rPr>
        <w:t xml:space="preserve">, U. and Lewis, G. (2021). The association between loneliness and depressive symptoms among adults aged 50 years and older: A 12-year population-based cohort study. </w:t>
      </w:r>
      <w:r w:rsidRPr="00152CEF">
        <w:rPr>
          <w:rFonts w:ascii="Arial" w:hAnsi="Arial" w:cs="Arial"/>
          <w:i/>
          <w:iCs/>
        </w:rPr>
        <w:t>The Lancet Psychiatry</w:t>
      </w:r>
      <w:r w:rsidRPr="00152CEF">
        <w:rPr>
          <w:rFonts w:ascii="Arial" w:hAnsi="Arial" w:cs="Arial"/>
        </w:rPr>
        <w:t>, 8(1), pp.48–57. doi:10.1016/s2215-0366(20)30383-7.</w:t>
      </w:r>
    </w:p>
    <w:p w14:paraId="3041D07A"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Old, J. and Scott, A. (2023). Healthy ageing trends in England between 2002 to 2018: Improving but slowing and unequal. </w:t>
      </w:r>
      <w:r w:rsidRPr="00152CEF">
        <w:rPr>
          <w:rFonts w:ascii="Arial" w:hAnsi="Arial" w:cs="Arial"/>
          <w:i/>
          <w:iCs/>
        </w:rPr>
        <w:t>The Journal of the Economics of Ageing</w:t>
      </w:r>
      <w:r w:rsidRPr="00152CEF">
        <w:rPr>
          <w:rFonts w:ascii="Arial" w:hAnsi="Arial" w:cs="Arial"/>
        </w:rPr>
        <w:t>, [online] 26, p.100470. doi:10.1016/j.jeoa.2023.100470.</w:t>
      </w:r>
    </w:p>
    <w:p w14:paraId="67E7ABF0" w14:textId="77777777" w:rsidR="0069763E"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Reinhardt, G., </w:t>
      </w:r>
      <w:proofErr w:type="spellStart"/>
      <w:r w:rsidRPr="00152CEF">
        <w:rPr>
          <w:rFonts w:ascii="Arial" w:hAnsi="Arial" w:cs="Arial"/>
        </w:rPr>
        <w:t>Vidovic</w:t>
      </w:r>
      <w:proofErr w:type="spellEnd"/>
      <w:r w:rsidRPr="00152CEF">
        <w:rPr>
          <w:rFonts w:ascii="Arial" w:hAnsi="Arial" w:cs="Arial"/>
        </w:rPr>
        <w:t xml:space="preserve">, D. and </w:t>
      </w:r>
      <w:proofErr w:type="spellStart"/>
      <w:r w:rsidRPr="00152CEF">
        <w:rPr>
          <w:rFonts w:ascii="Arial" w:hAnsi="Arial" w:cs="Arial"/>
        </w:rPr>
        <w:t>Hammerton</w:t>
      </w:r>
      <w:proofErr w:type="spellEnd"/>
      <w:r w:rsidRPr="00152CEF">
        <w:rPr>
          <w:rFonts w:ascii="Arial" w:hAnsi="Arial" w:cs="Arial"/>
        </w:rPr>
        <w:t xml:space="preserve">, C. (2021). Understanding loneliness: A systematic review of the impact of social prescribing initiatives on loneliness. </w:t>
      </w:r>
      <w:r w:rsidRPr="00152CEF">
        <w:rPr>
          <w:rFonts w:ascii="Arial" w:hAnsi="Arial" w:cs="Arial"/>
          <w:i/>
          <w:iCs/>
        </w:rPr>
        <w:t>Perspectives in Public Health</w:t>
      </w:r>
      <w:r w:rsidRPr="00152CEF">
        <w:rPr>
          <w:rFonts w:ascii="Arial" w:hAnsi="Arial" w:cs="Arial"/>
        </w:rPr>
        <w:t>, [online] 141(4), pp.204–213. doi:10.1177/1757913920967040.</w:t>
      </w:r>
    </w:p>
    <w:p w14:paraId="3DBC0B4D" w14:textId="21CA83C2" w:rsidR="00C153FC" w:rsidRPr="00152CEF" w:rsidRDefault="0069763E"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Wu, J. and Grundy, E.M. (2025). Housing adaptations and older adults’ health trajectories by level of initial health: Evidence from the English longitudinal study of ageing. </w:t>
      </w:r>
      <w:r w:rsidRPr="00152CEF">
        <w:rPr>
          <w:rFonts w:ascii="Arial" w:hAnsi="Arial" w:cs="Arial"/>
          <w:i/>
          <w:iCs/>
        </w:rPr>
        <w:t>Age and ageing</w:t>
      </w:r>
      <w:r w:rsidRPr="00152CEF">
        <w:rPr>
          <w:rFonts w:ascii="Arial" w:hAnsi="Arial" w:cs="Arial"/>
        </w:rPr>
        <w:t>, [online] 54(2), p.afaf023. doi:10.1093/ageing/afaf023.</w:t>
      </w:r>
    </w:p>
    <w:p w14:paraId="712D6365" w14:textId="77777777" w:rsidR="00C153FC" w:rsidRPr="00152CEF" w:rsidRDefault="00C153FC" w:rsidP="00FF511F">
      <w:pPr>
        <w:spacing w:line="480" w:lineRule="auto"/>
        <w:rPr>
          <w:rFonts w:ascii="Arial" w:eastAsia="Times New Roman" w:hAnsi="Arial" w:cs="Arial"/>
          <w:kern w:val="0"/>
          <w:lang w:eastAsia="en-GB"/>
          <w14:ligatures w14:val="none"/>
        </w:rPr>
      </w:pPr>
      <w:r w:rsidRPr="00152CEF">
        <w:rPr>
          <w:rFonts w:ascii="Arial" w:hAnsi="Arial" w:cs="Arial"/>
        </w:rPr>
        <w:br w:type="page"/>
      </w:r>
    </w:p>
    <w:p w14:paraId="3AA75492" w14:textId="021CF055" w:rsidR="00724B39" w:rsidRPr="00152CEF" w:rsidRDefault="00622EDD" w:rsidP="00FF511F">
      <w:pPr>
        <w:pStyle w:val="Heading1"/>
        <w:spacing w:line="480" w:lineRule="auto"/>
        <w:jc w:val="both"/>
        <w:rPr>
          <w:rFonts w:ascii="Arial" w:hAnsi="Arial" w:cs="Arial"/>
          <w:b/>
          <w:bCs/>
          <w:color w:val="auto"/>
          <w:sz w:val="24"/>
          <w:szCs w:val="24"/>
        </w:rPr>
      </w:pPr>
      <w:bookmarkStart w:id="16" w:name="_Toc237515804"/>
      <w:r w:rsidRPr="00152CEF">
        <w:rPr>
          <w:rFonts w:ascii="Arial" w:hAnsi="Arial" w:cs="Arial"/>
          <w:b/>
          <w:bCs/>
          <w:color w:val="auto"/>
          <w:sz w:val="24"/>
          <w:szCs w:val="24"/>
        </w:rPr>
        <w:t xml:space="preserve">Task </w:t>
      </w:r>
      <w:r w:rsidR="00F376DF" w:rsidRPr="00152CEF">
        <w:rPr>
          <w:rFonts w:ascii="Arial" w:hAnsi="Arial" w:cs="Arial"/>
          <w:b/>
          <w:bCs/>
          <w:color w:val="auto"/>
          <w:sz w:val="24"/>
          <w:szCs w:val="24"/>
        </w:rPr>
        <w:t>2: Epidemiological Analysis of Childhood Obesity Among Children Aged 4–11 in Birmingham, England</w:t>
      </w:r>
      <w:bookmarkEnd w:id="16"/>
    </w:p>
    <w:p w14:paraId="68D073D7" w14:textId="2293E458" w:rsidR="009E38B1" w:rsidRPr="00152CEF" w:rsidRDefault="009E38B1" w:rsidP="00FF511F">
      <w:pPr>
        <w:pStyle w:val="Heading2"/>
        <w:spacing w:line="480" w:lineRule="auto"/>
        <w:jc w:val="both"/>
        <w:rPr>
          <w:rFonts w:ascii="Arial" w:hAnsi="Arial" w:cs="Arial"/>
          <w:b/>
          <w:bCs/>
          <w:color w:val="auto"/>
          <w:sz w:val="24"/>
          <w:szCs w:val="24"/>
        </w:rPr>
      </w:pPr>
      <w:bookmarkStart w:id="17" w:name="_Toc237515805"/>
      <w:r w:rsidRPr="00152CEF">
        <w:rPr>
          <w:rFonts w:ascii="Arial" w:hAnsi="Arial" w:cs="Arial"/>
          <w:b/>
          <w:bCs/>
          <w:color w:val="auto"/>
          <w:sz w:val="24"/>
          <w:szCs w:val="24"/>
        </w:rPr>
        <w:t>1. Introduction</w:t>
      </w:r>
      <w:bookmarkEnd w:id="17"/>
    </w:p>
    <w:p w14:paraId="2D30D957" w14:textId="3C33997B" w:rsidR="009E38B1" w:rsidRPr="00152CEF" w:rsidRDefault="009E38B1" w:rsidP="00FF511F">
      <w:pPr>
        <w:spacing w:line="480" w:lineRule="auto"/>
        <w:jc w:val="both"/>
        <w:rPr>
          <w:rFonts w:ascii="Arial" w:hAnsi="Arial" w:cs="Arial"/>
        </w:rPr>
      </w:pPr>
      <w:r w:rsidRPr="00152CEF">
        <w:rPr>
          <w:rFonts w:ascii="Arial" w:hAnsi="Arial" w:cs="Arial"/>
        </w:rPr>
        <w:t>Obesity in childhood is a significant non-communicable public health concern and excess body fat can have harmful effects on a child's health and development. It's influenced by non-</w:t>
      </w:r>
      <w:proofErr w:type="spellStart"/>
      <w:r w:rsidRPr="00152CEF">
        <w:rPr>
          <w:rFonts w:ascii="Arial" w:hAnsi="Arial" w:cs="Arial"/>
        </w:rPr>
        <w:t>behavior</w:t>
      </w:r>
      <w:proofErr w:type="spellEnd"/>
      <w:r w:rsidRPr="00152CEF">
        <w:rPr>
          <w:rFonts w:ascii="Arial" w:hAnsi="Arial" w:cs="Arial"/>
        </w:rPr>
        <w:t xml:space="preserve"> factors as well as behavioural factors, but also by the biological, social and environmental factors as well. Childhood overweight and obesity are recognised as significant risk factors for non-communicable diseases by the World Health Organization (WHO), and as having psychological and social impacts (WHO, 2020). Childhood obesity can lead to high levels of self-esteem, stigma and a lower quality of life. Excess weight gain and chronic disease also may be higher among adults. It is a significant problem all over the world. Zhang et al., 2024, conducted a systematic review and meta-analysis, which revealed that overweight and obesity continues to be a global problem, with a high prevalence rate among children and adolescents. According to the 2024/25 National Child Measurement Programme (NCMP), nearly one in ten children (10.5%) were obese when they were 4–5 years old and almost a fifth (22.2%) were obese at the start of secondary school in Year 6 (age 10–11) (GOV.UK, 2025). Study and intervention levels, on the local level, are highlighted in Birmingham.</w:t>
      </w:r>
    </w:p>
    <w:p w14:paraId="3B6B1A3F" w14:textId="416E36A8" w:rsidR="009E38B1" w:rsidRPr="00152CEF" w:rsidRDefault="009E38B1"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8" w:name="_Toc237515806"/>
      <w:r w:rsidRPr="00152CEF">
        <w:rPr>
          <w:rFonts w:ascii="Arial" w:hAnsi="Arial" w:cs="Arial"/>
          <w:b/>
          <w:bCs/>
          <w:color w:val="auto"/>
          <w:sz w:val="24"/>
          <w:szCs w:val="24"/>
        </w:rPr>
        <w:t>2. Epidemiological Assessment of Childhood Obesity</w:t>
      </w:r>
      <w:bookmarkEnd w:id="18"/>
    </w:p>
    <w:p w14:paraId="5DEC1B3F" w14:textId="36F3C8E1" w:rsidR="009E38B1" w:rsidRPr="00152CEF" w:rsidRDefault="009E38B1" w:rsidP="00FF511F">
      <w:pPr>
        <w:spacing w:line="480" w:lineRule="auto"/>
        <w:jc w:val="both"/>
        <w:rPr>
          <w:rFonts w:ascii="Arial" w:hAnsi="Arial" w:cs="Arial"/>
        </w:rPr>
      </w:pPr>
      <w:r w:rsidRPr="00152CEF">
        <w:rPr>
          <w:rFonts w:ascii="Arial" w:hAnsi="Arial" w:cs="Arial"/>
        </w:rPr>
        <w:t>This is a study of Birmingham children aged 4-11 years who live in Birmingham, England. This population is suitable since Birmingham is a well-defined geographical locality with a sufficient population size and appropriate public-health facilities to adequately evaluate and act on the problem. Children at Reception and Year 6 are kept under routine surveillance and the key insights gained from this are either analysed to examine changes in weight status during primary school (GOV.UK, 2013) or used to target interventions. The Birmingham latest evidence indicates that there has been little change in obesity in Reception children between 2023/24 and 2024/25, rising from 11.4% to 11.6%, respectively (Ellis, 2026). There is a significant rise in obesity across the country from Reception to Year 6, making the primary school period a key time for obesity prevention. This reinforces the need to have a local health needs assessment which will establish the size and distribution of the issue. This should take into account the demographic characteristics, deprivation, and existing services and barriers to healthy living. Epidemiological assessment thus serves as a basis for determining in what areas to focus</w:t>
      </w:r>
      <w:r w:rsidR="009734D7" w:rsidRPr="00152CEF">
        <w:rPr>
          <w:rFonts w:ascii="Arial" w:hAnsi="Arial" w:cs="Arial"/>
        </w:rPr>
        <w:t xml:space="preserve"> </w:t>
      </w:r>
      <w:r w:rsidRPr="00152CEF">
        <w:rPr>
          <w:rFonts w:ascii="Arial" w:hAnsi="Arial" w:cs="Arial"/>
        </w:rPr>
        <w:t>"intervention" resources.</w:t>
      </w:r>
    </w:p>
    <w:p w14:paraId="74098C30" w14:textId="256D9DE1" w:rsidR="009E38B1" w:rsidRPr="00152CEF" w:rsidRDefault="009E38B1" w:rsidP="00FF511F">
      <w:pPr>
        <w:spacing w:line="480" w:lineRule="auto"/>
        <w:jc w:val="both"/>
        <w:rPr>
          <w:rFonts w:ascii="Arial" w:hAnsi="Arial" w:cs="Arial"/>
        </w:rPr>
      </w:pPr>
      <w:r w:rsidRPr="00152CEF">
        <w:rPr>
          <w:rFonts w:ascii="Arial" w:hAnsi="Arial" w:cs="Arial"/>
        </w:rPr>
        <w:t xml:space="preserve">Childhood obesity is not distributed equally across the population. There is also clear evidence of inequalities between deprivation and ethnicity by children's obesity, as children from the most deprived areas have high levels of obesity with a significantly higher proportion than in the least deprived areas (the latest NCMP evidence, Department of Health and Social Care, 2024). Since childhood obesity can depend on the area in which children live, their exposure to poor eating and physical inactivity patterns may be linked to socioeconomic and environmental factors, as per the WHO (2024). The issue is thus more than a matter of choice, more than a social problem. The health needs assessment should therefore look at issues of neighbourhood deprivation, food provision, opportunities for physical activity and characteristics of local schools in Birmingham. It must also </w:t>
      </w:r>
      <w:proofErr w:type="spellStart"/>
      <w:r w:rsidRPr="00152CEF">
        <w:rPr>
          <w:rFonts w:ascii="Arial" w:hAnsi="Arial" w:cs="Arial"/>
        </w:rPr>
        <w:t>also</w:t>
      </w:r>
      <w:proofErr w:type="spellEnd"/>
      <w:r w:rsidRPr="00152CEF">
        <w:rPr>
          <w:rFonts w:ascii="Arial" w:hAnsi="Arial" w:cs="Arial"/>
        </w:rPr>
        <w:t xml:space="preserve"> take account of both within and between population groups, as to ensure that the resources are shared with children who are not already in a stronger position to take up healthy behaviours. Thus, there is a need to adopt a "population-based approach" in secondary care to detect children who are already affected</w:t>
      </w:r>
      <w:r w:rsidR="00C153FC" w:rsidRPr="00152CEF">
        <w:rPr>
          <w:rFonts w:ascii="Arial" w:hAnsi="Arial" w:cs="Arial"/>
        </w:rPr>
        <w:t>, as well as those at higher future risk</w:t>
      </w:r>
      <w:r w:rsidRPr="00152CEF">
        <w:rPr>
          <w:rFonts w:ascii="Arial" w:hAnsi="Arial" w:cs="Arial"/>
        </w:rPr>
        <w:t>.</w:t>
      </w:r>
    </w:p>
    <w:p w14:paraId="0C34A2FC" w14:textId="1F4A620D" w:rsidR="009E38B1" w:rsidRPr="00152CEF" w:rsidRDefault="009E38B1"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19" w:name="_Toc237515807"/>
      <w:r w:rsidRPr="00152CEF">
        <w:rPr>
          <w:rFonts w:ascii="Arial" w:hAnsi="Arial" w:cs="Arial"/>
          <w:b/>
          <w:bCs/>
          <w:color w:val="auto"/>
          <w:sz w:val="24"/>
          <w:szCs w:val="24"/>
        </w:rPr>
        <w:t>3. Public Health Measures and Epidemiological Surveillance</w:t>
      </w:r>
      <w:bookmarkEnd w:id="19"/>
    </w:p>
    <w:p w14:paraId="4930C265" w14:textId="74295922" w:rsidR="009E38B1" w:rsidRPr="00152CEF" w:rsidRDefault="009E38B1" w:rsidP="00FF511F">
      <w:pPr>
        <w:spacing w:line="480" w:lineRule="auto"/>
        <w:jc w:val="both"/>
        <w:rPr>
          <w:rFonts w:ascii="Arial" w:hAnsi="Arial" w:cs="Arial"/>
        </w:rPr>
      </w:pPr>
      <w:r w:rsidRPr="00152CEF">
        <w:rPr>
          <w:rFonts w:ascii="Arial" w:hAnsi="Arial" w:cs="Arial"/>
        </w:rPr>
        <w:t>The concept of prevention, protection and promotion can be useful in dealing with childhood obesity. The focus of prevention is to minimise growth of unhealthy weight, by intervening early for diet, physical activity and family behaviours. Protection emphasizes minimizing the unhealthy environment in which children are exposed, particularly through an increase in the amount of promotion and availability of energy-dense foods. Promotion encourages healthier choices by providing education, opportunities to exercise and engage with the community. The</w:t>
      </w:r>
      <w:r w:rsidR="00C153FC" w:rsidRPr="00152CEF">
        <w:rPr>
          <w:rFonts w:ascii="Arial" w:hAnsi="Arial" w:cs="Arial"/>
        </w:rPr>
        <w:t xml:space="preserve"> UK </w:t>
      </w:r>
      <w:r w:rsidRPr="00152CEF">
        <w:rPr>
          <w:rFonts w:ascii="Arial" w:hAnsi="Arial" w:cs="Arial"/>
        </w:rPr>
        <w:t>Government's Childhood obesity strategy acknowledges there is a need to act at an individual, family, school, community and wider food environment level to tackle childhood obesity (</w:t>
      </w:r>
      <w:proofErr w:type="spellStart"/>
      <w:r w:rsidRPr="00152CEF">
        <w:rPr>
          <w:rFonts w:ascii="Arial" w:hAnsi="Arial" w:cs="Arial"/>
        </w:rPr>
        <w:t>DoHSC</w:t>
      </w:r>
      <w:proofErr w:type="spellEnd"/>
      <w:r w:rsidRPr="00152CEF">
        <w:rPr>
          <w:rFonts w:ascii="Arial" w:hAnsi="Arial" w:cs="Arial"/>
        </w:rPr>
        <w:t>, 2019). The government has also encouraged food policy interventions including improving food choices, providing consumers with nutrition information and provide physical activity opportunities (Department of Health and Social Care, 2020). These options are significant because interventions designed to tackle only individual behaviour may not have the same impacts when other environmental factors, in the absence of intervention, are continuing to promote unhealthy behaviour.</w:t>
      </w:r>
    </w:p>
    <w:p w14:paraId="4FE87492" w14:textId="31C9A1A1" w:rsidR="009E38B1" w:rsidRPr="00152CEF" w:rsidRDefault="009E38B1" w:rsidP="00FF511F">
      <w:pPr>
        <w:spacing w:line="480" w:lineRule="auto"/>
        <w:jc w:val="both"/>
        <w:rPr>
          <w:rFonts w:ascii="Arial" w:hAnsi="Arial" w:cs="Arial"/>
        </w:rPr>
      </w:pPr>
      <w:r w:rsidRPr="00152CEF">
        <w:rPr>
          <w:rFonts w:ascii="Arial" w:hAnsi="Arial" w:cs="Arial"/>
        </w:rPr>
        <w:t>Epidemiological surveillance is vital to make sure the problem is continuing to change and/or inequality is reducing. Of particular interest are the strengths of the NCMP which measures children systematically when they are in Reception and Year 6; and also gives information on the national and local-authority BMI categories (viewed as rich data sets). (GOV.UK, 2013) The programme also provides data analysis opportunities for sex, ethnic group and deprivation, which helps public-health professionals to detect differences in the population beyond prevalence (Department of Health and Social Care, 2024). The national obesity prevalence in Reception class in 2024/25 (10.5%) and Year 6 (22.2%) represents a significant rise in obesity in primary-school years (GOV.UK, 2025). These data can give Birmingham the opportunity to compare local trends to patterns on a national level. Standard surveillance can thus be used to identify, allocate resources and monitor public-health action.</w:t>
      </w:r>
    </w:p>
    <w:p w14:paraId="5030B7B8" w14:textId="23CCDAAF" w:rsidR="00CA5A06" w:rsidRPr="00152CEF" w:rsidRDefault="009E38B1" w:rsidP="00FF511F">
      <w:pPr>
        <w:spacing w:line="480" w:lineRule="auto"/>
        <w:jc w:val="both"/>
        <w:rPr>
          <w:rFonts w:ascii="Arial" w:hAnsi="Arial" w:cs="Arial"/>
        </w:rPr>
      </w:pPr>
      <w:r w:rsidRPr="00152CEF">
        <w:rPr>
          <w:rFonts w:ascii="Arial" w:hAnsi="Arial" w:cs="Arial"/>
        </w:rPr>
        <w:t>There are certain limitations with surveillance data, however. Instead of tracking all children aged 4-11 years, two periods of primary education are used for the routine measurements in the NCMP. BMI also is a population and not an individual level measure, and doesn't differentiate between body fat and muscle mass. Also, evidence of patterns and associations can be obtained through surveillance, which may not explain their underlying social or behavioural processes. Other local variations may relate to deprivation and other confounding factors and/or population demographics. These limitations should not allow epidemiological surveillance to be the sole reason for basing a conclusion on child obesity on the research. It should instead be used in conjunction with a health needs assessment and research evidence and local knowledge to appreciate factors driving inequalities and most suitable interventions.</w:t>
      </w:r>
    </w:p>
    <w:p w14:paraId="119CF9AC" w14:textId="780EB887" w:rsidR="009734D7" w:rsidRPr="00152CEF" w:rsidRDefault="009734D7" w:rsidP="00FF511F">
      <w:pPr>
        <w:pStyle w:val="Heading2"/>
        <w:spacing w:line="480" w:lineRule="auto"/>
        <w:jc w:val="both"/>
        <w:rPr>
          <w:rFonts w:ascii="Arial" w:hAnsi="Arial" w:cs="Arial"/>
          <w:b/>
          <w:bCs/>
          <w:color w:val="auto"/>
          <w:sz w:val="24"/>
          <w:szCs w:val="24"/>
        </w:rPr>
      </w:pPr>
      <w:bookmarkStart w:id="20" w:name="_Toc237515808"/>
      <w:r w:rsidRPr="00152CEF">
        <w:rPr>
          <w:rFonts w:ascii="Arial" w:hAnsi="Arial" w:cs="Arial"/>
          <w:b/>
          <w:bCs/>
          <w:color w:val="auto"/>
          <w:sz w:val="24"/>
          <w:szCs w:val="24"/>
        </w:rPr>
        <w:t>4. Public Health Impact and Intervention</w:t>
      </w:r>
      <w:bookmarkEnd w:id="20"/>
    </w:p>
    <w:p w14:paraId="2BCED535" w14:textId="6C0D1592" w:rsidR="009734D7" w:rsidRPr="00152CEF" w:rsidRDefault="009734D7" w:rsidP="00FF511F">
      <w:pPr>
        <w:spacing w:line="480" w:lineRule="auto"/>
        <w:jc w:val="both"/>
        <w:rPr>
          <w:rFonts w:ascii="Arial" w:hAnsi="Arial" w:cs="Arial"/>
        </w:rPr>
      </w:pPr>
      <w:r w:rsidRPr="00152CEF">
        <w:rPr>
          <w:rFonts w:ascii="Arial" w:hAnsi="Arial" w:cs="Arial"/>
        </w:rPr>
        <w:t>Childhood obesity has significant consequences in the short and long term for the obese children. The immediate effects on children include decreased physical wellbeing, psychological problems, stigma and social exclusion. Childhood Overweight and Obesity are Clinical Conditions Linked to the Broader Health Risk of the Development of Future Non-communicable Diseases (NCDs) (WHO, 2020). Possible long term conditions are type 2 diabetes, cardiovascular disease and adult obesity. These outcomes can lead to greater utilization of health and social services, and family costs for the health system. So the epidemiological relevance is not just to the number of children that are currently defined as obese. It also involves the potential future disease burden if prevention and early intervention is not successful.</w:t>
      </w:r>
    </w:p>
    <w:p w14:paraId="38D615B1" w14:textId="77777777" w:rsidR="009734D7" w:rsidRPr="00152CEF" w:rsidRDefault="009734D7" w:rsidP="00FF511F">
      <w:pPr>
        <w:spacing w:line="480" w:lineRule="auto"/>
        <w:jc w:val="both"/>
        <w:rPr>
          <w:rFonts w:ascii="Arial" w:hAnsi="Arial" w:cs="Arial"/>
        </w:rPr>
      </w:pPr>
      <w:r w:rsidRPr="00152CEF">
        <w:rPr>
          <w:rFonts w:ascii="Arial" w:hAnsi="Arial" w:cs="Arial"/>
        </w:rPr>
        <w:t>A suitable response would be the Birmingham Healthy Children Programme which focuses upon the 4-11 age band and provides more funding to the communities and schools with the most deprived demographics. The programme must incorporate healthy eating lessons, more exercise, family support and early identification of those children who need extra support. A recent systematic review of the literature from the UK suggests that dietary and physical-activity and behavioural interventions during childhood can be implemented to combat obesity, but effectivity across interventions is different (</w:t>
      </w:r>
      <w:proofErr w:type="spellStart"/>
      <w:r w:rsidRPr="00152CEF">
        <w:rPr>
          <w:rFonts w:ascii="Arial" w:hAnsi="Arial" w:cs="Arial"/>
        </w:rPr>
        <w:t>Michalopoulou</w:t>
      </w:r>
      <w:proofErr w:type="spellEnd"/>
      <w:r w:rsidRPr="00152CEF">
        <w:rPr>
          <w:rFonts w:ascii="Arial" w:hAnsi="Arial" w:cs="Arial"/>
        </w:rPr>
        <w:t xml:space="preserve"> et al., 2024). There is also evidence on primary school children (</w:t>
      </w:r>
      <w:proofErr w:type="spellStart"/>
      <w:r w:rsidRPr="00152CEF">
        <w:rPr>
          <w:rFonts w:ascii="Arial" w:hAnsi="Arial" w:cs="Arial"/>
        </w:rPr>
        <w:t>Agui</w:t>
      </w:r>
      <w:proofErr w:type="spellEnd"/>
      <w:r w:rsidRPr="00152CEF">
        <w:rPr>
          <w:rFonts w:ascii="Arial" w:hAnsi="Arial" w:cs="Arial"/>
        </w:rPr>
        <w:t xml:space="preserve"> et al., 2021) published as a Cochrane review that concentrates on the prevention of obesity amongst the primary-school aged population. Birmingham City Council, schools, NHS services, parents and community organisations should work together to implement the programme. A coordinated approach would tackle individual behaviour and the influences in the environment that affect children's choices.</w:t>
      </w:r>
    </w:p>
    <w:p w14:paraId="62752B71" w14:textId="2FC2625E" w:rsidR="009734D7" w:rsidRPr="00152CEF" w:rsidRDefault="009734D7"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21" w:name="_Toc237515809"/>
      <w:r w:rsidRPr="00152CEF">
        <w:rPr>
          <w:rFonts w:ascii="Arial" w:hAnsi="Arial" w:cs="Arial"/>
          <w:b/>
          <w:bCs/>
          <w:color w:val="auto"/>
          <w:sz w:val="24"/>
          <w:szCs w:val="24"/>
        </w:rPr>
        <w:t>5. Evaluation, Strengths and Limitations</w:t>
      </w:r>
      <w:bookmarkEnd w:id="21"/>
    </w:p>
    <w:p w14:paraId="44106AF6" w14:textId="77777777" w:rsidR="009734D7" w:rsidRPr="00152CEF" w:rsidRDefault="009734D7" w:rsidP="00FF511F">
      <w:pPr>
        <w:spacing w:line="480" w:lineRule="auto"/>
        <w:jc w:val="both"/>
        <w:rPr>
          <w:rFonts w:ascii="Arial" w:hAnsi="Arial" w:cs="Arial"/>
        </w:rPr>
      </w:pPr>
      <w:r w:rsidRPr="00152CEF">
        <w:rPr>
          <w:rFonts w:ascii="Arial" w:hAnsi="Arial" w:cs="Arial"/>
        </w:rPr>
        <w:t>Evaluation should establish the measurable changes, if any, that the proposed programme will bring. Indicators of the process might be the number of schools participating, children participants, parent participation, physical-activity participation. Possible outcome indicators may be a change in BMI categories, obesity prevalence, and physical activity and dietary behaviours. Changes over time should be determined using baseline measurements—comparing these to follow-up measurements. The evidence base indicates that evaluation of childhood obesity interventions is difficult due to the variation in how programmes are designed, the different durations of interventions and the wide range of outcome measures used (</w:t>
      </w:r>
      <w:proofErr w:type="spellStart"/>
      <w:r w:rsidRPr="00152CEF">
        <w:rPr>
          <w:rFonts w:ascii="Arial" w:hAnsi="Arial" w:cs="Arial"/>
        </w:rPr>
        <w:t>Spiga</w:t>
      </w:r>
      <w:proofErr w:type="spellEnd"/>
      <w:r w:rsidRPr="00152CEF">
        <w:rPr>
          <w:rFonts w:ascii="Arial" w:hAnsi="Arial" w:cs="Arial"/>
        </w:rPr>
        <w:t xml:space="preserve"> et al., 2024). Implementation and health outcomes should thus be measured in the proposal and not be limited to BMI alone.</w:t>
      </w:r>
    </w:p>
    <w:p w14:paraId="53CE3B5E" w14:textId="09F3E10B" w:rsidR="009734D7" w:rsidRPr="00152CEF" w:rsidRDefault="009734D7" w:rsidP="00FF511F">
      <w:pPr>
        <w:spacing w:line="480" w:lineRule="auto"/>
        <w:jc w:val="both"/>
        <w:rPr>
          <w:rFonts w:ascii="Arial" w:hAnsi="Arial" w:cs="Arial"/>
        </w:rPr>
      </w:pPr>
      <w:r w:rsidRPr="00152CEF">
        <w:rPr>
          <w:rFonts w:ascii="Arial" w:hAnsi="Arial" w:cs="Arial"/>
        </w:rPr>
        <w:t xml:space="preserve">The key advantage of the epidemiological approach is that it can describe prevalence, trends and inequalities within a specified population. The NCMP offers similar information which can be used to inform and guide local planning and resource allocation. However, BMI, data </w:t>
      </w:r>
      <w:proofErr w:type="spellStart"/>
      <w:r w:rsidRPr="00152CEF">
        <w:rPr>
          <w:rFonts w:ascii="Arial" w:hAnsi="Arial" w:cs="Arial"/>
        </w:rPr>
        <w:t>missingness</w:t>
      </w:r>
      <w:proofErr w:type="spellEnd"/>
      <w:r w:rsidRPr="00152CEF">
        <w:rPr>
          <w:rFonts w:ascii="Arial" w:hAnsi="Arial" w:cs="Arial"/>
        </w:rPr>
        <w:t>, confounding differences in participation can impact interpretation. The epidemiology links do not necessarily imply causation, as obesity has multiple interacting determinants. These constraints put epidemiology in a limited ability to explain individual experience. However, a mix of surveillance and evaluation of health needs and interventions present a more robust set of evidence to support evidence-informed decision making.</w:t>
      </w:r>
    </w:p>
    <w:p w14:paraId="29C859F8" w14:textId="77777777" w:rsidR="009734D7" w:rsidRPr="00152CEF" w:rsidRDefault="009734D7" w:rsidP="00FF511F">
      <w:pPr>
        <w:pStyle w:val="Heading2"/>
        <w:spacing w:line="480" w:lineRule="auto"/>
        <w:jc w:val="both"/>
        <w:rPr>
          <w:rFonts w:ascii="Arial" w:hAnsi="Arial" w:cs="Arial"/>
          <w:b/>
          <w:bCs/>
          <w:color w:val="auto"/>
          <w:sz w:val="24"/>
          <w:szCs w:val="24"/>
        </w:rPr>
      </w:pPr>
      <w:r w:rsidRPr="00152CEF">
        <w:rPr>
          <w:rFonts w:ascii="Arial" w:hAnsi="Arial" w:cs="Arial"/>
          <w:b/>
          <w:bCs/>
          <w:color w:val="auto"/>
          <w:sz w:val="24"/>
          <w:szCs w:val="24"/>
        </w:rPr>
        <w:t xml:space="preserve"> </w:t>
      </w:r>
      <w:bookmarkStart w:id="22" w:name="_Toc237515810"/>
      <w:r w:rsidRPr="00152CEF">
        <w:rPr>
          <w:rFonts w:ascii="Arial" w:hAnsi="Arial" w:cs="Arial"/>
          <w:b/>
          <w:bCs/>
          <w:color w:val="auto"/>
          <w:sz w:val="24"/>
          <w:szCs w:val="24"/>
        </w:rPr>
        <w:t>6. Conclusion</w:t>
      </w:r>
      <w:bookmarkEnd w:id="22"/>
    </w:p>
    <w:p w14:paraId="059D33D9" w14:textId="77777777" w:rsidR="009734D7" w:rsidRPr="00152CEF" w:rsidRDefault="009734D7" w:rsidP="00FF511F">
      <w:pPr>
        <w:spacing w:line="480" w:lineRule="auto"/>
        <w:jc w:val="both"/>
        <w:rPr>
          <w:rFonts w:ascii="Arial" w:hAnsi="Arial" w:cs="Arial"/>
        </w:rPr>
      </w:pPr>
      <w:r w:rsidRPr="00152CEF">
        <w:rPr>
          <w:rFonts w:ascii="Arial" w:hAnsi="Arial" w:cs="Arial"/>
        </w:rPr>
        <w:t>Childhood obesity is a serious public health issue in Birmingham amongst the 4-11 year old population. Epidemiological evidence shows key variations by deprivation and other population traits, by age. The surveillance component of the NCMP allows for identification of trends and inequalities, and the health needs assessment component helps to explain local priorities. Combined with systematic evaluation, therefore, targeted prevention, protection and health-promoting interventions need to be combined. Although there are methodological shortcomings, epidemiology offers a critical basis for prevention of childhood obesity and enhancement of the health of populations.</w:t>
      </w:r>
    </w:p>
    <w:p w14:paraId="7ADAC0F4" w14:textId="0BD02E80" w:rsidR="009734D7" w:rsidRPr="00152CEF" w:rsidRDefault="009734D7" w:rsidP="00FF511F">
      <w:pPr>
        <w:spacing w:line="480" w:lineRule="auto"/>
        <w:jc w:val="both"/>
        <w:rPr>
          <w:rFonts w:ascii="Arial" w:hAnsi="Arial" w:cs="Arial"/>
        </w:rPr>
      </w:pPr>
      <w:r w:rsidRPr="00152CEF">
        <w:rPr>
          <w:rFonts w:ascii="Arial" w:hAnsi="Arial" w:cs="Arial"/>
        </w:rPr>
        <w:br w:type="page"/>
      </w:r>
    </w:p>
    <w:p w14:paraId="1C96CFC8" w14:textId="4D462743" w:rsidR="009734D7" w:rsidRPr="00152CEF" w:rsidRDefault="009734D7" w:rsidP="00FF511F">
      <w:pPr>
        <w:pStyle w:val="Heading2"/>
        <w:spacing w:line="480" w:lineRule="auto"/>
        <w:jc w:val="both"/>
        <w:rPr>
          <w:rFonts w:ascii="Arial" w:hAnsi="Arial" w:cs="Arial"/>
          <w:b/>
          <w:bCs/>
          <w:sz w:val="24"/>
          <w:szCs w:val="24"/>
        </w:rPr>
      </w:pPr>
      <w:r w:rsidRPr="00152CEF">
        <w:rPr>
          <w:rFonts w:ascii="Arial" w:hAnsi="Arial" w:cs="Arial"/>
          <w:sz w:val="24"/>
          <w:szCs w:val="24"/>
        </w:rPr>
        <w:t xml:space="preserve"> </w:t>
      </w:r>
      <w:bookmarkStart w:id="23" w:name="_Toc237515811"/>
      <w:r w:rsidRPr="00152CEF">
        <w:rPr>
          <w:rFonts w:ascii="Arial" w:hAnsi="Arial" w:cs="Arial"/>
          <w:b/>
          <w:bCs/>
          <w:color w:val="auto"/>
          <w:sz w:val="24"/>
          <w:szCs w:val="24"/>
        </w:rPr>
        <w:t>Reference List</w:t>
      </w:r>
      <w:bookmarkEnd w:id="23"/>
    </w:p>
    <w:p w14:paraId="65384DBB"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Department of Health &amp; Social Care (2020). </w:t>
      </w:r>
      <w:r w:rsidRPr="00152CEF">
        <w:rPr>
          <w:rFonts w:ascii="Arial" w:hAnsi="Arial" w:cs="Arial"/>
          <w:i/>
          <w:iCs/>
        </w:rPr>
        <w:t>Tackling obesity: Empowering adults and children to live healthier lives</w:t>
      </w:r>
      <w:r w:rsidRPr="00152CEF">
        <w:rPr>
          <w:rFonts w:ascii="Arial" w:hAnsi="Arial" w:cs="Arial"/>
        </w:rPr>
        <w:t xml:space="preserve">. [online] </w:t>
      </w:r>
      <w:r w:rsidRPr="00152CEF">
        <w:rPr>
          <w:rFonts w:ascii="Arial" w:hAnsi="Arial" w:cs="Arial"/>
          <w:i/>
          <w:iCs/>
        </w:rPr>
        <w:t>gov.uk</w:t>
      </w:r>
      <w:r w:rsidRPr="00152CEF">
        <w:rPr>
          <w:rFonts w:ascii="Arial" w:hAnsi="Arial" w:cs="Arial"/>
        </w:rPr>
        <w:t>. Available at: https://www.gov.uk/government/publications/tackling-obesity-government-strategy/tackling-obesity-empowering-adults-and-children-to-live-healthier-lives [Accessed 11 Aug. 2026].</w:t>
      </w:r>
    </w:p>
    <w:p w14:paraId="3C0AD9BF"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Department of Health and Social Care (2019). </w:t>
      </w:r>
      <w:r w:rsidRPr="00152CEF">
        <w:rPr>
          <w:rFonts w:ascii="Arial" w:hAnsi="Arial" w:cs="Arial"/>
          <w:i/>
          <w:iCs/>
        </w:rPr>
        <w:t>Time to solve childhood obesity: CMO special report</w:t>
      </w:r>
      <w:r w:rsidRPr="00152CEF">
        <w:rPr>
          <w:rFonts w:ascii="Arial" w:hAnsi="Arial" w:cs="Arial"/>
        </w:rPr>
        <w:t>. [online] GOV.UK. Available at: https://www.gov.uk/government/publications/time-to-solve-childhood-obesity-cmo-special-report? [Accessed 11 Aug. 2026].</w:t>
      </w:r>
    </w:p>
    <w:p w14:paraId="075053ED"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Department of Health and Social Care (2024). </w:t>
      </w:r>
      <w:r w:rsidRPr="00152CEF">
        <w:rPr>
          <w:rFonts w:ascii="Arial" w:hAnsi="Arial" w:cs="Arial"/>
          <w:i/>
          <w:iCs/>
        </w:rPr>
        <w:t>Obesity in England</w:t>
      </w:r>
      <w:r w:rsidRPr="00152CEF">
        <w:rPr>
          <w:rFonts w:ascii="Arial" w:hAnsi="Arial" w:cs="Arial"/>
        </w:rPr>
        <w:t xml:space="preserve">. [online] </w:t>
      </w:r>
      <w:r w:rsidRPr="00152CEF">
        <w:rPr>
          <w:rFonts w:ascii="Arial" w:hAnsi="Arial" w:cs="Arial"/>
          <w:i/>
          <w:iCs/>
        </w:rPr>
        <w:t>fingertips.phe.org.uk</w:t>
      </w:r>
      <w:r w:rsidRPr="00152CEF">
        <w:rPr>
          <w:rFonts w:ascii="Arial" w:hAnsi="Arial" w:cs="Arial"/>
        </w:rPr>
        <w:t>. Available at: https://fingertips.phe.org.uk/static-reports/health-trends-in-england/England/obesity.html [Accessed 11 Aug. 2026].</w:t>
      </w:r>
    </w:p>
    <w:p w14:paraId="2FB04EEA"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Ellis, J. (2026). </w:t>
      </w:r>
      <w:r w:rsidRPr="00152CEF">
        <w:rPr>
          <w:rFonts w:ascii="Arial" w:hAnsi="Arial" w:cs="Arial"/>
          <w:i/>
          <w:iCs/>
        </w:rPr>
        <w:t>Release of National Child Measurement Programme (NCMP) data for school year 2024-25 - startwell_2020</w:t>
      </w:r>
      <w:r w:rsidRPr="00152CEF">
        <w:rPr>
          <w:rFonts w:ascii="Arial" w:hAnsi="Arial" w:cs="Arial"/>
        </w:rPr>
        <w:t xml:space="preserve">. [online] </w:t>
      </w:r>
      <w:r w:rsidRPr="00152CEF">
        <w:rPr>
          <w:rFonts w:ascii="Arial" w:hAnsi="Arial" w:cs="Arial"/>
          <w:i/>
          <w:iCs/>
        </w:rPr>
        <w:t>Startwell_2020</w:t>
      </w:r>
      <w:r w:rsidRPr="00152CEF">
        <w:rPr>
          <w:rFonts w:ascii="Arial" w:hAnsi="Arial" w:cs="Arial"/>
        </w:rPr>
        <w:t>. Available at: https://startwellbirmingham.co.uk/release-of-national-child-measurement-programme-ncmp-data-for-school-year-2024-25/ [Accessed 11 Aug. 2026].</w:t>
      </w:r>
    </w:p>
    <w:p w14:paraId="19D03A1B"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GOV.UK (2013). </w:t>
      </w:r>
      <w:r w:rsidRPr="00152CEF">
        <w:rPr>
          <w:rFonts w:ascii="Arial" w:hAnsi="Arial" w:cs="Arial"/>
          <w:i/>
          <w:iCs/>
        </w:rPr>
        <w:t>National child measurement programme</w:t>
      </w:r>
      <w:r w:rsidRPr="00152CEF">
        <w:rPr>
          <w:rFonts w:ascii="Arial" w:hAnsi="Arial" w:cs="Arial"/>
        </w:rPr>
        <w:t xml:space="preserve">. [online] </w:t>
      </w:r>
      <w:r w:rsidRPr="00152CEF">
        <w:rPr>
          <w:rFonts w:ascii="Arial" w:hAnsi="Arial" w:cs="Arial"/>
          <w:i/>
          <w:iCs/>
        </w:rPr>
        <w:t>GOV.UK</w:t>
      </w:r>
      <w:r w:rsidRPr="00152CEF">
        <w:rPr>
          <w:rFonts w:ascii="Arial" w:hAnsi="Arial" w:cs="Arial"/>
        </w:rPr>
        <w:t>. Available at: https://www.gov.uk/government/collections/national-child-measurement-programme? [Accessed 11 Aug. 2026].</w:t>
      </w:r>
    </w:p>
    <w:p w14:paraId="6451E224" w14:textId="77777777" w:rsidR="009734D7" w:rsidRPr="00152CEF" w:rsidRDefault="009734D7" w:rsidP="00FF511F">
      <w:pPr>
        <w:pStyle w:val="NormalWeb"/>
        <w:spacing w:before="0" w:beforeAutospacing="0" w:after="240" w:afterAutospacing="0" w:line="480" w:lineRule="auto"/>
        <w:jc w:val="both"/>
        <w:rPr>
          <w:rFonts w:ascii="Arial" w:hAnsi="Arial" w:cs="Arial"/>
        </w:rPr>
      </w:pPr>
      <w:proofErr w:type="spellStart"/>
      <w:r w:rsidRPr="00152CEF">
        <w:rPr>
          <w:rFonts w:ascii="Arial" w:hAnsi="Arial" w:cs="Arial"/>
        </w:rPr>
        <w:t>Michalopoulou</w:t>
      </w:r>
      <w:proofErr w:type="spellEnd"/>
      <w:r w:rsidRPr="00152CEF">
        <w:rPr>
          <w:rFonts w:ascii="Arial" w:hAnsi="Arial" w:cs="Arial"/>
        </w:rPr>
        <w:t xml:space="preserve">, S., </w:t>
      </w:r>
      <w:proofErr w:type="spellStart"/>
      <w:r w:rsidRPr="00152CEF">
        <w:rPr>
          <w:rFonts w:ascii="Arial" w:hAnsi="Arial" w:cs="Arial"/>
        </w:rPr>
        <w:t>Sifaki</w:t>
      </w:r>
      <w:proofErr w:type="spellEnd"/>
      <w:r w:rsidRPr="00152CEF">
        <w:rPr>
          <w:rFonts w:ascii="Arial" w:hAnsi="Arial" w:cs="Arial"/>
        </w:rPr>
        <w:t xml:space="preserve">, M., Packer, J., </w:t>
      </w:r>
      <w:proofErr w:type="spellStart"/>
      <w:r w:rsidRPr="00152CEF">
        <w:rPr>
          <w:rFonts w:ascii="Arial" w:hAnsi="Arial" w:cs="Arial"/>
        </w:rPr>
        <w:t>Lanigan</w:t>
      </w:r>
      <w:proofErr w:type="spellEnd"/>
      <w:r w:rsidRPr="00152CEF">
        <w:rPr>
          <w:rFonts w:ascii="Arial" w:hAnsi="Arial" w:cs="Arial"/>
        </w:rPr>
        <w:t xml:space="preserve">, J., Stansfield, C., Viner, R.M. and Russell, S. (2024). Assessing the impact of obesity interventions in the early years: A systematic review of UK-based studies. </w:t>
      </w:r>
      <w:r w:rsidRPr="00152CEF">
        <w:rPr>
          <w:rFonts w:ascii="Arial" w:hAnsi="Arial" w:cs="Arial"/>
          <w:i/>
          <w:iCs/>
        </w:rPr>
        <w:t>BMJ open</w:t>
      </w:r>
      <w:r w:rsidRPr="00152CEF">
        <w:rPr>
          <w:rFonts w:ascii="Arial" w:hAnsi="Arial" w:cs="Arial"/>
        </w:rPr>
        <w:t>, [online] 14(5), p.e076479. doi:10.1136/bmjopen-2023-076479.</w:t>
      </w:r>
    </w:p>
    <w:p w14:paraId="345D7218" w14:textId="77777777" w:rsidR="009734D7" w:rsidRPr="00152CEF" w:rsidRDefault="009734D7" w:rsidP="00FF511F">
      <w:pPr>
        <w:pStyle w:val="NormalWeb"/>
        <w:spacing w:before="0" w:beforeAutospacing="0" w:after="240" w:afterAutospacing="0" w:line="480" w:lineRule="auto"/>
        <w:jc w:val="both"/>
        <w:rPr>
          <w:rFonts w:ascii="Arial" w:hAnsi="Arial" w:cs="Arial"/>
        </w:rPr>
      </w:pPr>
      <w:proofErr w:type="spellStart"/>
      <w:r w:rsidRPr="00152CEF">
        <w:rPr>
          <w:rFonts w:ascii="Arial" w:hAnsi="Arial" w:cs="Arial"/>
        </w:rPr>
        <w:t>Spiga</w:t>
      </w:r>
      <w:proofErr w:type="spellEnd"/>
      <w:r w:rsidRPr="00152CEF">
        <w:rPr>
          <w:rFonts w:ascii="Arial" w:hAnsi="Arial" w:cs="Arial"/>
        </w:rPr>
        <w:t xml:space="preserve">, F., Davies, A.L., Tomlinson, E., Moore, T.H., Dawson, S., </w:t>
      </w:r>
      <w:proofErr w:type="spellStart"/>
      <w:r w:rsidRPr="00152CEF">
        <w:rPr>
          <w:rFonts w:ascii="Arial" w:hAnsi="Arial" w:cs="Arial"/>
        </w:rPr>
        <w:t>Breheny</w:t>
      </w:r>
      <w:proofErr w:type="spellEnd"/>
      <w:r w:rsidRPr="00152CEF">
        <w:rPr>
          <w:rFonts w:ascii="Arial" w:hAnsi="Arial" w:cs="Arial"/>
        </w:rPr>
        <w:t xml:space="preserve">, K., </w:t>
      </w:r>
      <w:proofErr w:type="spellStart"/>
      <w:r w:rsidRPr="00152CEF">
        <w:rPr>
          <w:rFonts w:ascii="Arial" w:hAnsi="Arial" w:cs="Arial"/>
        </w:rPr>
        <w:t>Savović</w:t>
      </w:r>
      <w:proofErr w:type="spellEnd"/>
      <w:r w:rsidRPr="00152CEF">
        <w:rPr>
          <w:rFonts w:ascii="Arial" w:hAnsi="Arial" w:cs="Arial"/>
        </w:rPr>
        <w:t xml:space="preserve">, J., Gao, Y., Phillips, S.M., Hillier-Brown, F., Hodder, R.K., </w:t>
      </w:r>
      <w:proofErr w:type="spellStart"/>
      <w:r w:rsidRPr="00152CEF">
        <w:rPr>
          <w:rFonts w:ascii="Arial" w:hAnsi="Arial" w:cs="Arial"/>
        </w:rPr>
        <w:t>Wolfenden</w:t>
      </w:r>
      <w:proofErr w:type="spellEnd"/>
      <w:r w:rsidRPr="00152CEF">
        <w:rPr>
          <w:rFonts w:ascii="Arial" w:hAnsi="Arial" w:cs="Arial"/>
        </w:rPr>
        <w:t xml:space="preserve">, L., Higgins, J.P. and </w:t>
      </w:r>
      <w:proofErr w:type="spellStart"/>
      <w:r w:rsidRPr="00152CEF">
        <w:rPr>
          <w:rFonts w:ascii="Arial" w:hAnsi="Arial" w:cs="Arial"/>
        </w:rPr>
        <w:t>Summerbell</w:t>
      </w:r>
      <w:proofErr w:type="spellEnd"/>
      <w:r w:rsidRPr="00152CEF">
        <w:rPr>
          <w:rFonts w:ascii="Arial" w:hAnsi="Arial" w:cs="Arial"/>
        </w:rPr>
        <w:t xml:space="preserve">, C. D (2024). Interventions to prevent obesity in children aged 5 to 11 years old. </w:t>
      </w:r>
      <w:r w:rsidRPr="00152CEF">
        <w:rPr>
          <w:rFonts w:ascii="Arial" w:hAnsi="Arial" w:cs="Arial"/>
          <w:i/>
          <w:iCs/>
        </w:rPr>
        <w:t>Cochrane library</w:t>
      </w:r>
      <w:r w:rsidRPr="00152CEF">
        <w:rPr>
          <w:rFonts w:ascii="Arial" w:hAnsi="Arial" w:cs="Arial"/>
        </w:rPr>
        <w:t>, [online] 2024(5). doi:10.1002/14651858.cd015328.pub2.</w:t>
      </w:r>
    </w:p>
    <w:p w14:paraId="7FEED596"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WHO (2020). </w:t>
      </w:r>
      <w:proofErr w:type="spellStart"/>
      <w:r w:rsidRPr="00152CEF">
        <w:rPr>
          <w:rFonts w:ascii="Arial" w:hAnsi="Arial" w:cs="Arial"/>
          <w:i/>
          <w:iCs/>
        </w:rPr>
        <w:t>Noncommunicable</w:t>
      </w:r>
      <w:proofErr w:type="spellEnd"/>
      <w:r w:rsidRPr="00152CEF">
        <w:rPr>
          <w:rFonts w:ascii="Arial" w:hAnsi="Arial" w:cs="Arial"/>
          <w:i/>
          <w:iCs/>
        </w:rPr>
        <w:t xml:space="preserve"> diseases: Childhood overweight and obesity</w:t>
      </w:r>
      <w:r w:rsidRPr="00152CEF">
        <w:rPr>
          <w:rFonts w:ascii="Arial" w:hAnsi="Arial" w:cs="Arial"/>
        </w:rPr>
        <w:t xml:space="preserve">. [online] </w:t>
      </w:r>
      <w:proofErr w:type="spellStart"/>
      <w:r w:rsidRPr="00152CEF">
        <w:rPr>
          <w:rFonts w:ascii="Arial" w:hAnsi="Arial" w:cs="Arial"/>
          <w:i/>
          <w:iCs/>
        </w:rPr>
        <w:t>Who.int</w:t>
      </w:r>
      <w:proofErr w:type="spellEnd"/>
      <w:r w:rsidRPr="00152CEF">
        <w:rPr>
          <w:rFonts w:ascii="Arial" w:hAnsi="Arial" w:cs="Arial"/>
        </w:rPr>
        <w:t>. Available at: https://www.who.int/news-room/questions-and-answers/item/noncommunicable-diseases-childhood-overweight-and-obesity? [Accessed 11 Aug. 2026].</w:t>
      </w:r>
    </w:p>
    <w:p w14:paraId="0884D7A7"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WHO (2024). </w:t>
      </w:r>
      <w:r w:rsidRPr="00152CEF">
        <w:rPr>
          <w:rFonts w:ascii="Arial" w:hAnsi="Arial" w:cs="Arial"/>
          <w:i/>
          <w:iCs/>
        </w:rPr>
        <w:t>Obesity and overweight</w:t>
      </w:r>
      <w:r w:rsidRPr="00152CEF">
        <w:rPr>
          <w:rFonts w:ascii="Arial" w:hAnsi="Arial" w:cs="Arial"/>
        </w:rPr>
        <w:t xml:space="preserve">. [online] </w:t>
      </w:r>
      <w:proofErr w:type="spellStart"/>
      <w:r w:rsidRPr="00152CEF">
        <w:rPr>
          <w:rFonts w:ascii="Arial" w:hAnsi="Arial" w:cs="Arial"/>
          <w:i/>
          <w:iCs/>
        </w:rPr>
        <w:t>Who.int</w:t>
      </w:r>
      <w:proofErr w:type="spellEnd"/>
      <w:r w:rsidRPr="00152CEF">
        <w:rPr>
          <w:rFonts w:ascii="Arial" w:hAnsi="Arial" w:cs="Arial"/>
        </w:rPr>
        <w:t>. World Health Organization: WHO. Available at: https://www.who.int/en/news-room/fact-sheets/detail/obesity-and-overweight? [Accessed 11 Aug. 2026].</w:t>
      </w:r>
    </w:p>
    <w:p w14:paraId="6B51D464"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World Health Organization (2024). </w:t>
      </w:r>
      <w:r w:rsidRPr="00152CEF">
        <w:rPr>
          <w:rFonts w:ascii="Arial" w:hAnsi="Arial" w:cs="Arial"/>
          <w:i/>
          <w:iCs/>
        </w:rPr>
        <w:t>The challenge of obesity</w:t>
      </w:r>
      <w:r w:rsidRPr="00152CEF">
        <w:rPr>
          <w:rFonts w:ascii="Arial" w:hAnsi="Arial" w:cs="Arial"/>
        </w:rPr>
        <w:t xml:space="preserve">. [online] </w:t>
      </w:r>
      <w:proofErr w:type="spellStart"/>
      <w:r w:rsidRPr="00152CEF">
        <w:rPr>
          <w:rFonts w:ascii="Arial" w:hAnsi="Arial" w:cs="Arial"/>
          <w:i/>
          <w:iCs/>
        </w:rPr>
        <w:t>www.who.int</w:t>
      </w:r>
      <w:proofErr w:type="spellEnd"/>
      <w:r w:rsidRPr="00152CEF">
        <w:rPr>
          <w:rFonts w:ascii="Arial" w:hAnsi="Arial" w:cs="Arial"/>
        </w:rPr>
        <w:t>. Available at: https://www.who.int/europe/news-room/fact-sheets/item/the-challenge-of-obesity [Accessed 11 Aug. 2026].</w:t>
      </w:r>
    </w:p>
    <w:p w14:paraId="3D4DFF68" w14:textId="77777777" w:rsidR="009734D7" w:rsidRPr="00152CEF" w:rsidRDefault="009734D7" w:rsidP="00FF511F">
      <w:pPr>
        <w:pStyle w:val="NormalWeb"/>
        <w:spacing w:before="0" w:beforeAutospacing="0" w:after="240" w:afterAutospacing="0" w:line="480" w:lineRule="auto"/>
        <w:jc w:val="both"/>
        <w:rPr>
          <w:rFonts w:ascii="Arial" w:hAnsi="Arial" w:cs="Arial"/>
        </w:rPr>
      </w:pPr>
      <w:r w:rsidRPr="00152CEF">
        <w:rPr>
          <w:rFonts w:ascii="Arial" w:hAnsi="Arial" w:cs="Arial"/>
        </w:rPr>
        <w:t xml:space="preserve">Zhang, X., Liu, J., Ni, Y., Yi, C., Fang, Y., </w:t>
      </w:r>
      <w:proofErr w:type="spellStart"/>
      <w:r w:rsidRPr="00152CEF">
        <w:rPr>
          <w:rFonts w:ascii="Arial" w:hAnsi="Arial" w:cs="Arial"/>
        </w:rPr>
        <w:t>Ning</w:t>
      </w:r>
      <w:proofErr w:type="spellEnd"/>
      <w:r w:rsidRPr="00152CEF">
        <w:rPr>
          <w:rFonts w:ascii="Arial" w:hAnsi="Arial" w:cs="Arial"/>
        </w:rPr>
        <w:t xml:space="preserve">, Q., Shen, B., Zhang, K., Liu, Y., Yang, L., Li, K., Liu, Y., Huang, R. and Li, Z. (2024). Global prevalence of overweight and obesity in children and adolescents: A systematic review and meta-analysis. </w:t>
      </w:r>
      <w:r w:rsidRPr="00152CEF">
        <w:rPr>
          <w:rFonts w:ascii="Arial" w:hAnsi="Arial" w:cs="Arial"/>
          <w:i/>
          <w:iCs/>
        </w:rPr>
        <w:t xml:space="preserve">JAMA </w:t>
      </w:r>
      <w:proofErr w:type="spellStart"/>
      <w:r w:rsidRPr="00152CEF">
        <w:rPr>
          <w:rFonts w:ascii="Arial" w:hAnsi="Arial" w:cs="Arial"/>
          <w:i/>
          <w:iCs/>
        </w:rPr>
        <w:t>Pediatrics</w:t>
      </w:r>
      <w:proofErr w:type="spellEnd"/>
      <w:r w:rsidRPr="00152CEF">
        <w:rPr>
          <w:rFonts w:ascii="Arial" w:hAnsi="Arial" w:cs="Arial"/>
        </w:rPr>
        <w:t>, [online] 178(8). doi:10.1001/jamapediatrics.2024.1576.</w:t>
      </w:r>
    </w:p>
    <w:p w14:paraId="0DD8D516" w14:textId="77777777" w:rsidR="009734D7" w:rsidRPr="00152CEF" w:rsidRDefault="009734D7" w:rsidP="00FF511F">
      <w:pPr>
        <w:spacing w:line="480" w:lineRule="auto"/>
        <w:jc w:val="both"/>
        <w:rPr>
          <w:rFonts w:ascii="Arial" w:hAnsi="Arial" w:cs="Arial"/>
        </w:rPr>
      </w:pPr>
    </w:p>
    <w:sectPr w:rsidR="009734D7" w:rsidRPr="00152CEF" w:rsidSect="0084663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AF4A0" w14:textId="77777777" w:rsidR="00BF398E" w:rsidRDefault="00BF398E" w:rsidP="001158EF">
      <w:pPr>
        <w:spacing w:after="0" w:line="240" w:lineRule="auto"/>
      </w:pPr>
      <w:r>
        <w:separator/>
      </w:r>
    </w:p>
  </w:endnote>
  <w:endnote w:type="continuationSeparator" w:id="0">
    <w:p w14:paraId="14416EAB" w14:textId="77777777" w:rsidR="00BF398E" w:rsidRDefault="00BF398E" w:rsidP="00115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658261"/>
      <w:docPartObj>
        <w:docPartGallery w:val="Page Numbers (Bottom of Page)"/>
        <w:docPartUnique/>
      </w:docPartObj>
    </w:sdtPr>
    <w:sdtEndPr>
      <w:rPr>
        <w:noProof/>
      </w:rPr>
    </w:sdtEndPr>
    <w:sdtContent>
      <w:p w14:paraId="20EA6CB5" w14:textId="6305956F" w:rsidR="001158EF" w:rsidRDefault="001158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841BFA" w14:textId="77777777" w:rsidR="001158EF" w:rsidRDefault="0011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3EE18" w14:textId="77777777" w:rsidR="00BF398E" w:rsidRDefault="00BF398E" w:rsidP="001158EF">
      <w:pPr>
        <w:spacing w:after="0" w:line="240" w:lineRule="auto"/>
      </w:pPr>
      <w:r>
        <w:separator/>
      </w:r>
    </w:p>
  </w:footnote>
  <w:footnote w:type="continuationSeparator" w:id="0">
    <w:p w14:paraId="17636244" w14:textId="77777777" w:rsidR="00BF398E" w:rsidRDefault="00BF398E" w:rsidP="00115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B39"/>
    <w:rsid w:val="000B04BE"/>
    <w:rsid w:val="000F5CB0"/>
    <w:rsid w:val="001158EF"/>
    <w:rsid w:val="00152CEF"/>
    <w:rsid w:val="003132FE"/>
    <w:rsid w:val="003D5C47"/>
    <w:rsid w:val="0042525B"/>
    <w:rsid w:val="00426A4E"/>
    <w:rsid w:val="004760AE"/>
    <w:rsid w:val="004B0E28"/>
    <w:rsid w:val="004D223F"/>
    <w:rsid w:val="0055513F"/>
    <w:rsid w:val="00560AB3"/>
    <w:rsid w:val="0061291D"/>
    <w:rsid w:val="00622EDD"/>
    <w:rsid w:val="0068076A"/>
    <w:rsid w:val="0069763E"/>
    <w:rsid w:val="006C4847"/>
    <w:rsid w:val="00724B39"/>
    <w:rsid w:val="007E7DB3"/>
    <w:rsid w:val="0084663F"/>
    <w:rsid w:val="00864895"/>
    <w:rsid w:val="008F35FB"/>
    <w:rsid w:val="009151A6"/>
    <w:rsid w:val="00923942"/>
    <w:rsid w:val="009256FD"/>
    <w:rsid w:val="00955599"/>
    <w:rsid w:val="009734D7"/>
    <w:rsid w:val="00996DCD"/>
    <w:rsid w:val="009C4C0F"/>
    <w:rsid w:val="009E38B1"/>
    <w:rsid w:val="00A841C2"/>
    <w:rsid w:val="00A8766B"/>
    <w:rsid w:val="00B22B61"/>
    <w:rsid w:val="00BF398E"/>
    <w:rsid w:val="00C153FC"/>
    <w:rsid w:val="00CA5A06"/>
    <w:rsid w:val="00F376DF"/>
    <w:rsid w:val="00F429F5"/>
    <w:rsid w:val="00FF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39DA"/>
  <w15:chartTrackingRefBased/>
  <w15:docId w15:val="{5B9CA89E-004C-4A10-8539-B9076AE92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B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4B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24B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4B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4B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4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B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4B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24B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4B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4B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4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B39"/>
    <w:rPr>
      <w:rFonts w:eastAsiaTheme="majorEastAsia" w:cstheme="majorBidi"/>
      <w:color w:val="272727" w:themeColor="text1" w:themeTint="D8"/>
    </w:rPr>
  </w:style>
  <w:style w:type="paragraph" w:styleId="Title">
    <w:name w:val="Title"/>
    <w:basedOn w:val="Normal"/>
    <w:next w:val="Normal"/>
    <w:link w:val="TitleChar"/>
    <w:uiPriority w:val="10"/>
    <w:qFormat/>
    <w:rsid w:val="00724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B39"/>
    <w:pPr>
      <w:spacing w:before="160"/>
      <w:jc w:val="center"/>
    </w:pPr>
    <w:rPr>
      <w:i/>
      <w:iCs/>
      <w:color w:val="404040" w:themeColor="text1" w:themeTint="BF"/>
    </w:rPr>
  </w:style>
  <w:style w:type="character" w:customStyle="1" w:styleId="QuoteChar">
    <w:name w:val="Quote Char"/>
    <w:basedOn w:val="DefaultParagraphFont"/>
    <w:link w:val="Quote"/>
    <w:uiPriority w:val="29"/>
    <w:rsid w:val="00724B39"/>
    <w:rPr>
      <w:i/>
      <w:iCs/>
      <w:color w:val="404040" w:themeColor="text1" w:themeTint="BF"/>
    </w:rPr>
  </w:style>
  <w:style w:type="paragraph" w:styleId="ListParagraph">
    <w:name w:val="List Paragraph"/>
    <w:basedOn w:val="Normal"/>
    <w:uiPriority w:val="34"/>
    <w:qFormat/>
    <w:rsid w:val="00724B39"/>
    <w:pPr>
      <w:ind w:left="720"/>
      <w:contextualSpacing/>
    </w:pPr>
  </w:style>
  <w:style w:type="character" w:styleId="IntenseEmphasis">
    <w:name w:val="Intense Emphasis"/>
    <w:basedOn w:val="DefaultParagraphFont"/>
    <w:uiPriority w:val="21"/>
    <w:qFormat/>
    <w:rsid w:val="00724B39"/>
    <w:rPr>
      <w:i/>
      <w:iCs/>
      <w:color w:val="2F5496" w:themeColor="accent1" w:themeShade="BF"/>
    </w:rPr>
  </w:style>
  <w:style w:type="paragraph" w:styleId="IntenseQuote">
    <w:name w:val="Intense Quote"/>
    <w:basedOn w:val="Normal"/>
    <w:next w:val="Normal"/>
    <w:link w:val="IntenseQuoteChar"/>
    <w:uiPriority w:val="30"/>
    <w:qFormat/>
    <w:rsid w:val="00724B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4B39"/>
    <w:rPr>
      <w:i/>
      <w:iCs/>
      <w:color w:val="2F5496" w:themeColor="accent1" w:themeShade="BF"/>
    </w:rPr>
  </w:style>
  <w:style w:type="character" w:styleId="IntenseReference">
    <w:name w:val="Intense Reference"/>
    <w:basedOn w:val="DefaultParagraphFont"/>
    <w:uiPriority w:val="32"/>
    <w:qFormat/>
    <w:rsid w:val="00724B39"/>
    <w:rPr>
      <w:b/>
      <w:bCs/>
      <w:smallCaps/>
      <w:color w:val="2F5496" w:themeColor="accent1" w:themeShade="BF"/>
      <w:spacing w:val="5"/>
    </w:rPr>
  </w:style>
  <w:style w:type="paragraph" w:styleId="NormalWeb">
    <w:name w:val="Normal (Web)"/>
    <w:basedOn w:val="Normal"/>
    <w:uiPriority w:val="99"/>
    <w:semiHidden/>
    <w:unhideWhenUsed/>
    <w:rsid w:val="009734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9734D7"/>
    <w:rPr>
      <w:sz w:val="16"/>
      <w:szCs w:val="16"/>
    </w:rPr>
  </w:style>
  <w:style w:type="paragraph" w:styleId="CommentText">
    <w:name w:val="annotation text"/>
    <w:basedOn w:val="Normal"/>
    <w:link w:val="CommentTextChar"/>
    <w:uiPriority w:val="99"/>
    <w:semiHidden/>
    <w:unhideWhenUsed/>
    <w:rsid w:val="009734D7"/>
    <w:pPr>
      <w:spacing w:line="240" w:lineRule="auto"/>
    </w:pPr>
    <w:rPr>
      <w:sz w:val="20"/>
      <w:szCs w:val="20"/>
    </w:rPr>
  </w:style>
  <w:style w:type="character" w:customStyle="1" w:styleId="CommentTextChar">
    <w:name w:val="Comment Text Char"/>
    <w:basedOn w:val="DefaultParagraphFont"/>
    <w:link w:val="CommentText"/>
    <w:uiPriority w:val="99"/>
    <w:semiHidden/>
    <w:rsid w:val="009734D7"/>
    <w:rPr>
      <w:sz w:val="20"/>
      <w:szCs w:val="20"/>
    </w:rPr>
  </w:style>
  <w:style w:type="paragraph" w:styleId="CommentSubject">
    <w:name w:val="annotation subject"/>
    <w:basedOn w:val="CommentText"/>
    <w:next w:val="CommentText"/>
    <w:link w:val="CommentSubjectChar"/>
    <w:uiPriority w:val="99"/>
    <w:semiHidden/>
    <w:unhideWhenUsed/>
    <w:rsid w:val="009734D7"/>
    <w:rPr>
      <w:b/>
      <w:bCs/>
    </w:rPr>
  </w:style>
  <w:style w:type="character" w:customStyle="1" w:styleId="CommentSubjectChar">
    <w:name w:val="Comment Subject Char"/>
    <w:basedOn w:val="CommentTextChar"/>
    <w:link w:val="CommentSubject"/>
    <w:uiPriority w:val="99"/>
    <w:semiHidden/>
    <w:rsid w:val="009734D7"/>
    <w:rPr>
      <w:b/>
      <w:bCs/>
      <w:sz w:val="20"/>
      <w:szCs w:val="20"/>
    </w:rPr>
  </w:style>
  <w:style w:type="paragraph" w:styleId="Header">
    <w:name w:val="header"/>
    <w:basedOn w:val="Normal"/>
    <w:link w:val="HeaderChar"/>
    <w:uiPriority w:val="99"/>
    <w:unhideWhenUsed/>
    <w:rsid w:val="001158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8EF"/>
  </w:style>
  <w:style w:type="paragraph" w:styleId="Footer">
    <w:name w:val="footer"/>
    <w:basedOn w:val="Normal"/>
    <w:link w:val="FooterChar"/>
    <w:uiPriority w:val="99"/>
    <w:unhideWhenUsed/>
    <w:rsid w:val="001158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8EF"/>
  </w:style>
  <w:style w:type="paragraph" w:styleId="TOCHeading">
    <w:name w:val="TOC Heading"/>
    <w:basedOn w:val="Heading1"/>
    <w:next w:val="Normal"/>
    <w:uiPriority w:val="39"/>
    <w:unhideWhenUsed/>
    <w:qFormat/>
    <w:rsid w:val="001158E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158EF"/>
    <w:pPr>
      <w:spacing w:after="100"/>
      <w:ind w:left="240"/>
    </w:pPr>
  </w:style>
  <w:style w:type="paragraph" w:styleId="TOC1">
    <w:name w:val="toc 1"/>
    <w:basedOn w:val="Normal"/>
    <w:next w:val="Normal"/>
    <w:autoRedefine/>
    <w:uiPriority w:val="39"/>
    <w:unhideWhenUsed/>
    <w:rsid w:val="001158EF"/>
    <w:pPr>
      <w:spacing w:after="100"/>
    </w:pPr>
  </w:style>
  <w:style w:type="paragraph" w:styleId="TOC3">
    <w:name w:val="toc 3"/>
    <w:basedOn w:val="Normal"/>
    <w:next w:val="Normal"/>
    <w:autoRedefine/>
    <w:uiPriority w:val="39"/>
    <w:unhideWhenUsed/>
    <w:rsid w:val="001158EF"/>
    <w:pPr>
      <w:spacing w:after="100"/>
      <w:ind w:left="480"/>
    </w:pPr>
  </w:style>
  <w:style w:type="character" w:styleId="Hyperlink">
    <w:name w:val="Hyperlink"/>
    <w:basedOn w:val="DefaultParagraphFont"/>
    <w:uiPriority w:val="99"/>
    <w:unhideWhenUsed/>
    <w:rsid w:val="001158EF"/>
    <w:rPr>
      <w:color w:val="0563C1" w:themeColor="hyperlink"/>
      <w:u w:val="single"/>
    </w:rPr>
  </w:style>
  <w:style w:type="paragraph" w:styleId="NoSpacing">
    <w:name w:val="No Spacing"/>
    <w:uiPriority w:val="1"/>
    <w:qFormat/>
    <w:rsid w:val="00C153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83576-1FEB-4619-A0F5-604AB50324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4172</Words>
  <Characters>23786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SRIKARI MUKKA</cp:lastModifiedBy>
  <cp:revision>2</cp:revision>
  <dcterms:created xsi:type="dcterms:W3CDTF">2026-08-19T10:58:00Z</dcterms:created>
  <dcterms:modified xsi:type="dcterms:W3CDTF">2026-08-19T10:58:00Z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9445cd0b-63c9-44bd-928f-e313099abf68</vt:lpwstr>
  </property>
</Properties>
</file>