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B214F" w14:textId="44E860BB" w:rsidR="630DB9A0" w:rsidRDefault="630DB9A0" w:rsidP="0575E576">
      <w:pPr>
        <w:pStyle w:val="Header"/>
        <w:spacing w:beforeAutospacing="1" w:afterAutospacing="1"/>
        <w:ind w:left="720"/>
        <w:rPr>
          <w:rFonts w:ascii="Trebuchet MS" w:eastAsia="Trebuchet MS" w:hAnsi="Trebuchet MS" w:cs="Trebuchet MS"/>
          <w:b/>
          <w:bCs/>
          <w:sz w:val="28"/>
          <w:szCs w:val="28"/>
          <w:u w:val="single"/>
        </w:rPr>
      </w:pPr>
      <w:r w:rsidRPr="0575E576">
        <w:rPr>
          <w:rFonts w:ascii="Trebuchet MS" w:eastAsia="Trebuchet MS" w:hAnsi="Trebuchet MS" w:cs="Trebuchet MS"/>
          <w:b/>
          <w:bCs/>
          <w:sz w:val="28"/>
          <w:szCs w:val="28"/>
          <w:u w:val="single"/>
        </w:rPr>
        <w:t>Assignment 1 –</w:t>
      </w:r>
      <w:r w:rsidR="4C043213" w:rsidRPr="0575E576">
        <w:rPr>
          <w:rFonts w:ascii="Trebuchet MS" w:eastAsia="Trebuchet MS" w:hAnsi="Trebuchet MS" w:cs="Trebuchet MS"/>
          <w:b/>
          <w:bCs/>
          <w:sz w:val="28"/>
          <w:szCs w:val="28"/>
          <w:u w:val="single"/>
        </w:rPr>
        <w:t>Data Security, Governance and Compliance</w:t>
      </w:r>
      <w:r w:rsidRPr="0575E576">
        <w:rPr>
          <w:rFonts w:ascii="Trebuchet MS" w:eastAsia="Trebuchet MS" w:hAnsi="Trebuchet MS" w:cs="Trebuchet MS"/>
          <w:b/>
          <w:bCs/>
          <w:sz w:val="28"/>
          <w:szCs w:val="28"/>
          <w:u w:val="single"/>
        </w:rPr>
        <w:t>.</w:t>
      </w:r>
    </w:p>
    <w:p w14:paraId="30159E53" w14:textId="6F9584E4" w:rsidR="0575E576" w:rsidRDefault="0575E576" w:rsidP="0575E576">
      <w:pPr>
        <w:spacing w:beforeAutospacing="1" w:after="0" w:afterAutospacing="1" w:line="240" w:lineRule="auto"/>
        <w:ind w:left="720"/>
        <w:rPr>
          <w:rFonts w:ascii="Trebuchet MS" w:eastAsia="Trebuchet MS" w:hAnsi="Trebuchet MS" w:cs="Trebuchet MS"/>
          <w:b/>
          <w:bCs/>
          <w:color w:val="5A5A5A"/>
          <w:sz w:val="28"/>
          <w:szCs w:val="28"/>
          <w:u w:val="single"/>
        </w:rPr>
      </w:pPr>
    </w:p>
    <w:tbl>
      <w:tblPr>
        <w:tblStyle w:val="TableGrid"/>
        <w:tblW w:w="0" w:type="auto"/>
        <w:tblLayout w:type="fixed"/>
        <w:tblLook w:val="04A0" w:firstRow="1" w:lastRow="0" w:firstColumn="1" w:lastColumn="0" w:noHBand="0" w:noVBand="1"/>
      </w:tblPr>
      <w:tblGrid>
        <w:gridCol w:w="3510"/>
        <w:gridCol w:w="15"/>
        <w:gridCol w:w="1980"/>
        <w:gridCol w:w="2535"/>
        <w:gridCol w:w="1320"/>
      </w:tblGrid>
      <w:tr w:rsidR="0575E576" w14:paraId="6E96E859" w14:textId="77777777" w:rsidTr="0575E576">
        <w:trPr>
          <w:trHeight w:val="510"/>
        </w:trPr>
        <w:tc>
          <w:tcPr>
            <w:tcW w:w="3510" w:type="dxa"/>
            <w:tcBorders>
              <w:top w:val="nil"/>
              <w:left w:val="nil"/>
              <w:bottom w:val="nil"/>
              <w:right w:val="nil"/>
            </w:tcBorders>
          </w:tcPr>
          <w:p w14:paraId="488C1D10" w14:textId="09EB42C2" w:rsidR="0575E576" w:rsidRDefault="0575E576" w:rsidP="0575E576">
            <w:pPr>
              <w:spacing w:beforeAutospacing="1" w:afterAutospacing="1"/>
              <w:rPr>
                <w:rFonts w:ascii="Trebuchet MS" w:eastAsia="Trebuchet MS" w:hAnsi="Trebuchet MS" w:cs="Trebuchet MS"/>
              </w:rPr>
            </w:pPr>
            <w:r w:rsidRPr="0575E576">
              <w:rPr>
                <w:rFonts w:ascii="Trebuchet MS" w:eastAsia="Trebuchet MS" w:hAnsi="Trebuchet MS" w:cs="Trebuchet MS"/>
                <w:b/>
                <w:bCs/>
              </w:rPr>
              <w:t>Name:</w:t>
            </w:r>
            <w:r w:rsidRPr="0575E576">
              <w:rPr>
                <w:rFonts w:ascii="Trebuchet MS" w:eastAsia="Trebuchet MS" w:hAnsi="Trebuchet MS" w:cs="Trebuchet MS"/>
              </w:rPr>
              <w:t xml:space="preserve"> Uzair Shahid Pawaskar.</w:t>
            </w:r>
          </w:p>
        </w:tc>
        <w:tc>
          <w:tcPr>
            <w:tcW w:w="1995" w:type="dxa"/>
            <w:gridSpan w:val="2"/>
            <w:tcBorders>
              <w:top w:val="nil"/>
              <w:left w:val="nil"/>
              <w:bottom w:val="nil"/>
              <w:right w:val="nil"/>
            </w:tcBorders>
          </w:tcPr>
          <w:p w14:paraId="1F08C05E" w14:textId="1802ADFF" w:rsidR="0575E576" w:rsidRDefault="0575E576" w:rsidP="0575E576">
            <w:pPr>
              <w:spacing w:beforeAutospacing="1" w:afterAutospacing="1"/>
              <w:rPr>
                <w:rFonts w:ascii="Trebuchet MS" w:eastAsia="Trebuchet MS" w:hAnsi="Trebuchet MS" w:cs="Trebuchet MS"/>
              </w:rPr>
            </w:pPr>
            <w:r w:rsidRPr="0575E576">
              <w:rPr>
                <w:rFonts w:ascii="Trebuchet MS" w:eastAsia="Trebuchet MS" w:hAnsi="Trebuchet MS" w:cs="Trebuchet MS"/>
                <w:b/>
                <w:bCs/>
              </w:rPr>
              <w:t>Date</w:t>
            </w:r>
            <w:r w:rsidRPr="0575E576">
              <w:rPr>
                <w:rFonts w:ascii="Trebuchet MS" w:eastAsia="Trebuchet MS" w:hAnsi="Trebuchet MS" w:cs="Trebuchet MS"/>
              </w:rPr>
              <w:t>: 0</w:t>
            </w:r>
            <w:r w:rsidR="1818D10D" w:rsidRPr="0575E576">
              <w:rPr>
                <w:rFonts w:ascii="Trebuchet MS" w:eastAsia="Trebuchet MS" w:hAnsi="Trebuchet MS" w:cs="Trebuchet MS"/>
              </w:rPr>
              <w:t>9</w:t>
            </w:r>
            <w:r w:rsidRPr="0575E576">
              <w:rPr>
                <w:rFonts w:ascii="Trebuchet MS" w:eastAsia="Trebuchet MS" w:hAnsi="Trebuchet MS" w:cs="Trebuchet MS"/>
              </w:rPr>
              <w:t>-01-2023</w:t>
            </w:r>
          </w:p>
        </w:tc>
        <w:tc>
          <w:tcPr>
            <w:tcW w:w="3855" w:type="dxa"/>
            <w:gridSpan w:val="2"/>
            <w:tcBorders>
              <w:top w:val="nil"/>
              <w:left w:val="nil"/>
              <w:bottom w:val="nil"/>
              <w:right w:val="nil"/>
            </w:tcBorders>
          </w:tcPr>
          <w:p w14:paraId="365D8476" w14:textId="23353313" w:rsidR="0575E576" w:rsidRDefault="0575E576" w:rsidP="0575E576">
            <w:pPr>
              <w:spacing w:beforeAutospacing="1" w:afterAutospacing="1"/>
              <w:jc w:val="right"/>
              <w:rPr>
                <w:rFonts w:ascii="Trebuchet MS" w:eastAsia="Trebuchet MS" w:hAnsi="Trebuchet MS" w:cs="Trebuchet MS"/>
              </w:rPr>
            </w:pPr>
            <w:r w:rsidRPr="0575E576">
              <w:rPr>
                <w:rFonts w:ascii="Trebuchet MS" w:eastAsia="Trebuchet MS" w:hAnsi="Trebuchet MS" w:cs="Trebuchet MS"/>
                <w:b/>
                <w:bCs/>
              </w:rPr>
              <w:t>Lecturer name</w:t>
            </w:r>
            <w:r w:rsidRPr="0575E576">
              <w:rPr>
                <w:rFonts w:ascii="Trebuchet MS" w:eastAsia="Trebuchet MS" w:hAnsi="Trebuchet MS" w:cs="Trebuchet MS"/>
              </w:rPr>
              <w:t xml:space="preserve">: </w:t>
            </w:r>
            <w:r w:rsidR="03B43E4C" w:rsidRPr="0575E576">
              <w:rPr>
                <w:rFonts w:ascii="Trebuchet MS" w:eastAsia="Trebuchet MS" w:hAnsi="Trebuchet MS" w:cs="Trebuchet MS"/>
              </w:rPr>
              <w:t>Assoc. Prof Carlene Campbell.</w:t>
            </w:r>
          </w:p>
        </w:tc>
      </w:tr>
      <w:tr w:rsidR="0575E576" w14:paraId="73A6C5CE" w14:textId="77777777" w:rsidTr="0575E576">
        <w:trPr>
          <w:trHeight w:val="495"/>
        </w:trPr>
        <w:tc>
          <w:tcPr>
            <w:tcW w:w="3510" w:type="dxa"/>
            <w:tcBorders>
              <w:top w:val="nil"/>
              <w:left w:val="nil"/>
              <w:bottom w:val="nil"/>
              <w:right w:val="nil"/>
            </w:tcBorders>
          </w:tcPr>
          <w:p w14:paraId="15ED2C30" w14:textId="6B48039A" w:rsidR="0575E576" w:rsidRDefault="0575E576" w:rsidP="0575E576">
            <w:pPr>
              <w:spacing w:beforeAutospacing="1" w:afterAutospacing="1"/>
              <w:rPr>
                <w:rFonts w:ascii="Trebuchet MS" w:eastAsia="Trebuchet MS" w:hAnsi="Trebuchet MS" w:cs="Trebuchet MS"/>
                <w:color w:val="5A5A5A"/>
              </w:rPr>
            </w:pPr>
          </w:p>
        </w:tc>
        <w:tc>
          <w:tcPr>
            <w:tcW w:w="1995" w:type="dxa"/>
            <w:gridSpan w:val="2"/>
            <w:tcBorders>
              <w:top w:val="nil"/>
              <w:left w:val="nil"/>
              <w:bottom w:val="nil"/>
              <w:right w:val="nil"/>
            </w:tcBorders>
          </w:tcPr>
          <w:p w14:paraId="2A5E5C85" w14:textId="7F0B94FF" w:rsidR="0575E576" w:rsidRDefault="0575E576" w:rsidP="0575E576">
            <w:pPr>
              <w:spacing w:beforeAutospacing="1" w:afterAutospacing="1"/>
              <w:rPr>
                <w:rFonts w:ascii="Trebuchet MS" w:eastAsia="Trebuchet MS" w:hAnsi="Trebuchet MS" w:cs="Trebuchet MS"/>
                <w:color w:val="5A5A5A"/>
              </w:rPr>
            </w:pPr>
          </w:p>
        </w:tc>
        <w:tc>
          <w:tcPr>
            <w:tcW w:w="3855" w:type="dxa"/>
            <w:gridSpan w:val="2"/>
            <w:tcBorders>
              <w:top w:val="nil"/>
              <w:left w:val="nil"/>
              <w:bottom w:val="nil"/>
              <w:right w:val="nil"/>
            </w:tcBorders>
          </w:tcPr>
          <w:p w14:paraId="2D639258" w14:textId="02593CC5" w:rsidR="0575E576" w:rsidRDefault="0575E576" w:rsidP="0575E576">
            <w:pPr>
              <w:spacing w:beforeAutospacing="1" w:afterAutospacing="1"/>
              <w:jc w:val="right"/>
              <w:rPr>
                <w:rFonts w:ascii="Trebuchet MS" w:eastAsia="Trebuchet MS" w:hAnsi="Trebuchet MS" w:cs="Trebuchet MS"/>
                <w:color w:val="5A5A5A"/>
              </w:rPr>
            </w:pPr>
          </w:p>
        </w:tc>
      </w:tr>
      <w:tr w:rsidR="0575E576" w14:paraId="7D0A91CA" w14:textId="77777777" w:rsidTr="0575E576">
        <w:trPr>
          <w:gridAfter w:val="1"/>
          <w:wAfter w:w="1320" w:type="dxa"/>
          <w:trHeight w:val="450"/>
        </w:trPr>
        <w:tc>
          <w:tcPr>
            <w:tcW w:w="3525" w:type="dxa"/>
            <w:gridSpan w:val="2"/>
            <w:tcBorders>
              <w:top w:val="nil"/>
              <w:left w:val="nil"/>
              <w:bottom w:val="nil"/>
              <w:right w:val="nil"/>
            </w:tcBorders>
            <w:tcMar>
              <w:left w:w="105" w:type="dxa"/>
              <w:right w:w="105" w:type="dxa"/>
            </w:tcMar>
          </w:tcPr>
          <w:p w14:paraId="065E02B8" w14:textId="570495A7" w:rsidR="0575E576" w:rsidRDefault="0575E576" w:rsidP="0575E576">
            <w:pPr>
              <w:spacing w:beforeAutospacing="1" w:afterAutospacing="1"/>
              <w:rPr>
                <w:rFonts w:ascii="Trebuchet MS" w:eastAsia="Trebuchet MS" w:hAnsi="Trebuchet MS" w:cs="Trebuchet MS"/>
              </w:rPr>
            </w:pPr>
            <w:r w:rsidRPr="0575E576">
              <w:rPr>
                <w:rFonts w:ascii="Trebuchet MS" w:eastAsia="Trebuchet MS" w:hAnsi="Trebuchet MS" w:cs="Trebuchet MS"/>
                <w:b/>
                <w:bCs/>
              </w:rPr>
              <w:t>Enrollment No:</w:t>
            </w:r>
            <w:r w:rsidRPr="0575E576">
              <w:rPr>
                <w:rFonts w:ascii="Trebuchet MS" w:eastAsia="Trebuchet MS" w:hAnsi="Trebuchet MS" w:cs="Trebuchet MS"/>
              </w:rPr>
              <w:t xml:space="preserve"> 2119430</w:t>
            </w:r>
          </w:p>
        </w:tc>
        <w:tc>
          <w:tcPr>
            <w:tcW w:w="4515" w:type="dxa"/>
            <w:gridSpan w:val="2"/>
            <w:tcBorders>
              <w:top w:val="nil"/>
              <w:left w:val="nil"/>
              <w:bottom w:val="nil"/>
              <w:right w:val="nil"/>
            </w:tcBorders>
            <w:tcMar>
              <w:left w:w="105" w:type="dxa"/>
              <w:right w:w="105" w:type="dxa"/>
            </w:tcMar>
          </w:tcPr>
          <w:p w14:paraId="62F98107" w14:textId="1750ED8E" w:rsidR="0575E576" w:rsidRDefault="0575E576" w:rsidP="0575E576">
            <w:pPr>
              <w:spacing w:beforeAutospacing="1" w:afterAutospacing="1"/>
              <w:rPr>
                <w:rFonts w:ascii="Trebuchet MS" w:eastAsia="Trebuchet MS" w:hAnsi="Trebuchet MS" w:cs="Trebuchet MS"/>
              </w:rPr>
            </w:pPr>
            <w:r w:rsidRPr="0575E576">
              <w:rPr>
                <w:rFonts w:ascii="Trebuchet MS" w:eastAsia="Trebuchet MS" w:hAnsi="Trebuchet MS" w:cs="Trebuchet MS"/>
                <w:b/>
                <w:bCs/>
              </w:rPr>
              <w:t xml:space="preserve">Email: </w:t>
            </w:r>
            <w:hyperlink r:id="rId9">
              <w:r w:rsidRPr="0575E576">
                <w:rPr>
                  <w:rStyle w:val="Hyperlink"/>
                  <w:rFonts w:ascii="Trebuchet MS" w:eastAsia="Trebuchet MS" w:hAnsi="Trebuchet MS" w:cs="Trebuchet MS"/>
                  <w:color w:val="auto"/>
                </w:rPr>
                <w:t>2119430@student.uwtsd.ac.uk</w:t>
              </w:r>
            </w:hyperlink>
          </w:p>
          <w:p w14:paraId="3C11CDFA" w14:textId="5769B1B8" w:rsidR="0575E576" w:rsidRDefault="0575E576" w:rsidP="0575E576">
            <w:pPr>
              <w:spacing w:beforeAutospacing="1" w:afterAutospacing="1"/>
              <w:rPr>
                <w:rFonts w:ascii="Trebuchet MS" w:eastAsia="Trebuchet MS" w:hAnsi="Trebuchet MS" w:cs="Trebuchet MS"/>
              </w:rPr>
            </w:pPr>
          </w:p>
        </w:tc>
      </w:tr>
    </w:tbl>
    <w:p w14:paraId="514ACA2A" w14:textId="5D0A5899" w:rsidR="0575E576" w:rsidRDefault="0575E576" w:rsidP="0575E576">
      <w:pPr>
        <w:tabs>
          <w:tab w:val="right" w:leader="dot" w:pos="9360"/>
        </w:tabs>
        <w:spacing w:after="100"/>
        <w:rPr>
          <w:rFonts w:ascii="Trebuchet MS" w:eastAsia="Trebuchet MS" w:hAnsi="Trebuchet MS" w:cs="Trebuchet MS"/>
          <w:color w:val="006989"/>
          <w:sz w:val="28"/>
          <w:szCs w:val="28"/>
        </w:rPr>
      </w:pPr>
    </w:p>
    <w:p w14:paraId="4442D34C" w14:textId="70C239B9" w:rsidR="5458D4D2" w:rsidRDefault="5458D4D2" w:rsidP="0575E576">
      <w:pPr>
        <w:tabs>
          <w:tab w:val="right" w:leader="dot" w:pos="9360"/>
        </w:tabs>
        <w:spacing w:after="100"/>
        <w:jc w:val="center"/>
        <w:rPr>
          <w:rFonts w:ascii="Trebuchet MS" w:eastAsia="Trebuchet MS" w:hAnsi="Trebuchet MS" w:cs="Trebuchet MS"/>
          <w:b/>
          <w:bCs/>
          <w:color w:val="006A89"/>
          <w:sz w:val="36"/>
          <w:szCs w:val="36"/>
          <w:u w:val="single"/>
        </w:rPr>
      </w:pPr>
      <w:r w:rsidRPr="0575E576">
        <w:rPr>
          <w:rFonts w:ascii="Trebuchet MS" w:eastAsia="Trebuchet MS" w:hAnsi="Trebuchet MS" w:cs="Trebuchet MS"/>
          <w:b/>
          <w:bCs/>
          <w:color w:val="4472C4" w:themeColor="accent1"/>
          <w:sz w:val="32"/>
          <w:szCs w:val="32"/>
          <w:u w:val="single"/>
        </w:rPr>
        <w:t>The Trend and Dilemma of Global Data Security</w:t>
      </w:r>
      <w:r w:rsidRPr="0575E576">
        <w:rPr>
          <w:rFonts w:ascii="Trebuchet MS" w:eastAsia="Trebuchet MS" w:hAnsi="Trebuchet MS" w:cs="Trebuchet MS"/>
          <w:b/>
          <w:bCs/>
          <w:color w:val="006A89"/>
          <w:sz w:val="36"/>
          <w:szCs w:val="36"/>
          <w:u w:val="single"/>
        </w:rPr>
        <w:t>.</w:t>
      </w:r>
    </w:p>
    <w:p w14:paraId="4EF364FA" w14:textId="35294AC8" w:rsidR="0575E576" w:rsidRDefault="0575E576" w:rsidP="0575E576">
      <w:pPr>
        <w:pStyle w:val="Heading1"/>
        <w:rPr>
          <w:rFonts w:ascii="Trebuchet MS" w:eastAsia="Trebuchet MS" w:hAnsi="Trebuchet MS" w:cs="Trebuchet MS"/>
          <w:b/>
          <w:bCs/>
          <w:sz w:val="24"/>
          <w:szCs w:val="24"/>
          <w:u w:val="single"/>
        </w:rPr>
      </w:pPr>
    </w:p>
    <w:p w14:paraId="080FDFE1" w14:textId="49F8E9F0" w:rsidR="1988F53F" w:rsidRDefault="1988F53F" w:rsidP="0575E576">
      <w:pPr>
        <w:pStyle w:val="Heading1"/>
        <w:rPr>
          <w:rFonts w:ascii="Trebuchet MS" w:eastAsia="Trebuchet MS" w:hAnsi="Trebuchet MS" w:cs="Trebuchet MS"/>
          <w:b/>
          <w:bCs/>
          <w:sz w:val="24"/>
          <w:szCs w:val="24"/>
          <w:u w:val="single"/>
        </w:rPr>
      </w:pPr>
      <w:bookmarkStart w:id="0" w:name="_Toc932144072"/>
      <w:r w:rsidRPr="0575E576">
        <w:rPr>
          <w:rFonts w:ascii="Trebuchet MS" w:eastAsia="Trebuchet MS" w:hAnsi="Trebuchet MS" w:cs="Trebuchet MS"/>
          <w:b/>
          <w:bCs/>
          <w:sz w:val="24"/>
          <w:szCs w:val="24"/>
          <w:u w:val="single"/>
        </w:rPr>
        <w:t>Abstract:</w:t>
      </w:r>
      <w:bookmarkEnd w:id="0"/>
    </w:p>
    <w:p w14:paraId="0D690FD5" w14:textId="05F4CD08" w:rsidR="0575E576" w:rsidRDefault="0575E576" w:rsidP="0575E576">
      <w:pPr>
        <w:rPr>
          <w:rFonts w:ascii="Trebuchet MS" w:eastAsia="Trebuchet MS" w:hAnsi="Trebuchet MS" w:cs="Trebuchet MS"/>
          <w:b/>
          <w:bCs/>
          <w:color w:val="333333"/>
          <w:sz w:val="24"/>
          <w:szCs w:val="24"/>
          <w:u w:val="single"/>
        </w:rPr>
      </w:pPr>
    </w:p>
    <w:p w14:paraId="6D0A979C" w14:textId="2CE11EF4" w:rsidR="66926CD4" w:rsidRDefault="66926CD4" w:rsidP="0575E576">
      <w:pPr>
        <w:rPr>
          <w:rFonts w:ascii="Trebuchet MS" w:eastAsia="Trebuchet MS" w:hAnsi="Trebuchet MS" w:cs="Trebuchet MS"/>
          <w:color w:val="333333"/>
          <w:sz w:val="24"/>
          <w:szCs w:val="24"/>
        </w:rPr>
      </w:pPr>
      <w:r w:rsidRPr="0575E576">
        <w:rPr>
          <w:rFonts w:ascii="Trebuchet MS" w:eastAsia="Trebuchet MS" w:hAnsi="Trebuchet MS" w:cs="Trebuchet MS"/>
          <w:b/>
          <w:bCs/>
          <w:color w:val="333333"/>
          <w:sz w:val="24"/>
          <w:szCs w:val="24"/>
          <w:u w:val="single"/>
        </w:rPr>
        <w:t>Global Overview of Data Security:</w:t>
      </w:r>
      <w:r w:rsidRPr="0575E576">
        <w:rPr>
          <w:rFonts w:ascii="Trebuchet MS" w:eastAsia="Trebuchet MS" w:hAnsi="Trebuchet MS" w:cs="Trebuchet MS"/>
          <w:b/>
          <w:bCs/>
          <w:color w:val="333333"/>
          <w:sz w:val="24"/>
          <w:szCs w:val="24"/>
        </w:rPr>
        <w:t xml:space="preserve"> </w:t>
      </w:r>
      <w:r w:rsidR="637CA9EC" w:rsidRPr="0575E576">
        <w:rPr>
          <w:rFonts w:ascii="Trebuchet MS" w:eastAsia="Trebuchet MS" w:hAnsi="Trebuchet MS" w:cs="Trebuchet MS"/>
          <w:sz w:val="24"/>
          <w:szCs w:val="24"/>
        </w:rPr>
        <w:t>Under the background of the convergence of information technology and human production and life, all kinds of data are growing rapidly and gathering in enormous quantities. Therefore, data security has become a major issue related to national security, economic development, and social stability. Strengthening data security governance has also become a strategic need to maintain national competitiveness. Major countries and regions all over the world attach significant importance to data security and its governance and have carried out exploration and practice from various aspects such as policies and regulations, organizations, supervision cooperation, etc., and constantly explored their own unique development paths.</w:t>
      </w:r>
      <w:r>
        <w:br/>
      </w:r>
      <w:r w:rsidR="637CA9EC" w:rsidRPr="0575E576">
        <w:rPr>
          <w:rFonts w:ascii="Trebuchet MS" w:eastAsia="Trebuchet MS" w:hAnsi="Trebuchet MS" w:cs="Trebuchet MS"/>
          <w:sz w:val="24"/>
          <w:szCs w:val="24"/>
        </w:rPr>
        <w:t>Since entering the digital age, the harmfulness and spillovers of data security risks have had a negative impact on many fields such as politics, science and technology, economy, and society. The importance and urgency of global data security governance issues are constantly rising, which requires in-depth research and scientific response.</w:t>
      </w:r>
    </w:p>
    <w:p w14:paraId="54698F8B" w14:textId="29505B21" w:rsidR="1287C0FC" w:rsidRDefault="1287C0FC" w:rsidP="0575E576">
      <w:pPr>
        <w:pStyle w:val="Heading1"/>
        <w:rPr>
          <w:rFonts w:ascii="Trebuchet MS" w:eastAsia="Trebuchet MS" w:hAnsi="Trebuchet MS" w:cs="Trebuchet MS"/>
          <w:b/>
          <w:bCs/>
          <w:sz w:val="24"/>
          <w:szCs w:val="24"/>
          <w:u w:val="single"/>
        </w:rPr>
      </w:pPr>
      <w:bookmarkStart w:id="1" w:name="_Toc1307182859"/>
      <w:r w:rsidRPr="0575E576">
        <w:rPr>
          <w:rFonts w:ascii="Trebuchet MS" w:eastAsia="Trebuchet MS" w:hAnsi="Trebuchet MS" w:cs="Trebuchet MS"/>
          <w:b/>
          <w:bCs/>
          <w:sz w:val="24"/>
          <w:szCs w:val="24"/>
          <w:u w:val="single"/>
        </w:rPr>
        <w:t>International Data security initiatives</w:t>
      </w:r>
      <w:r w:rsidR="38884687" w:rsidRPr="0575E576">
        <w:rPr>
          <w:rFonts w:ascii="Trebuchet MS" w:eastAsia="Trebuchet MS" w:hAnsi="Trebuchet MS" w:cs="Trebuchet MS"/>
          <w:b/>
          <w:bCs/>
          <w:sz w:val="24"/>
          <w:szCs w:val="24"/>
          <w:u w:val="single"/>
        </w:rPr>
        <w:t>:</w:t>
      </w:r>
      <w:bookmarkEnd w:id="1"/>
    </w:p>
    <w:p w14:paraId="4A7C3862" w14:textId="669BA46A" w:rsidR="0575E576" w:rsidRDefault="0575E576" w:rsidP="0575E576"/>
    <w:p w14:paraId="55BB74FC" w14:textId="2F5AF5A2" w:rsidR="047B8B85" w:rsidRDefault="047B8B85" w:rsidP="19F3D8D5">
      <w:pPr>
        <w:rPr>
          <w:rFonts w:ascii="Trebuchet MS" w:eastAsia="Trebuchet MS" w:hAnsi="Trebuchet MS" w:cs="Trebuchet MS"/>
          <w:sz w:val="24"/>
          <w:szCs w:val="24"/>
        </w:rPr>
      </w:pPr>
      <w:r w:rsidRPr="19F3D8D5">
        <w:rPr>
          <w:rFonts w:ascii="Trebuchet MS" w:eastAsia="Trebuchet MS" w:hAnsi="Trebuchet MS" w:cs="Trebuchet MS"/>
          <w:b/>
          <w:bCs/>
          <w:sz w:val="24"/>
          <w:szCs w:val="24"/>
          <w:u w:val="single"/>
        </w:rPr>
        <w:t>Policy Related Measures:</w:t>
      </w:r>
      <w:r w:rsidRPr="19F3D8D5">
        <w:rPr>
          <w:rFonts w:ascii="Trebuchet MS" w:eastAsia="Trebuchet MS" w:hAnsi="Trebuchet MS" w:cs="Trebuchet MS"/>
          <w:b/>
          <w:bCs/>
          <w:sz w:val="24"/>
          <w:szCs w:val="24"/>
        </w:rPr>
        <w:t xml:space="preserve"> </w:t>
      </w:r>
      <w:r w:rsidRPr="19F3D8D5">
        <w:rPr>
          <w:rFonts w:ascii="Trebuchet MS" w:eastAsia="Trebuchet MS" w:hAnsi="Trebuchet MS" w:cs="Trebuchet MS"/>
          <w:sz w:val="24"/>
          <w:szCs w:val="24"/>
        </w:rPr>
        <w:t xml:space="preserve">To strengthen the protection of data security, countries, and regions all over the world actively improve their data security governance capabilities by promulgating policies and regulations and setting up relevant institutions. In recent years, new policies and regulations have sprung up. In December 2019, the Federal Data Strategy and 2020 Action Plan released by the Office of   Administration and Budget of the White House described the data vision of </w:t>
      </w:r>
      <w:r w:rsidRPr="19F3D8D5">
        <w:rPr>
          <w:rFonts w:ascii="Trebuchet MS" w:eastAsia="Trebuchet MS" w:hAnsi="Trebuchet MS" w:cs="Trebuchet MS"/>
          <w:sz w:val="24"/>
          <w:szCs w:val="24"/>
        </w:rPr>
        <w:lastRenderedPageBreak/>
        <w:t xml:space="preserve">the U.S. federal government for the next ten years starting from 2020; </w:t>
      </w:r>
      <w:r w:rsidR="00F04D0E">
        <w:rPr>
          <w:rFonts w:ascii="Trebuchet MS" w:eastAsia="Trebuchet MS" w:hAnsi="Trebuchet MS" w:cs="Trebuchet MS"/>
          <w:sz w:val="24"/>
          <w:szCs w:val="24"/>
        </w:rPr>
        <w:t>“</w:t>
      </w:r>
      <w:r w:rsidRPr="00F04D0E">
        <w:rPr>
          <w:rFonts w:ascii="Trebuchet MS" w:eastAsia="Trebuchet MS" w:hAnsi="Trebuchet MS" w:cs="Trebuchet MS"/>
          <w:i/>
          <w:iCs/>
          <w:sz w:val="24"/>
          <w:szCs w:val="24"/>
          <w:u w:val="single"/>
        </w:rPr>
        <w:t>The General Data Protection Regulation of the European Union, which came into effect in May 2018</w:t>
      </w:r>
      <w:r w:rsidR="00F04D0E">
        <w:rPr>
          <w:rFonts w:ascii="Trebuchet MS" w:eastAsia="Trebuchet MS" w:hAnsi="Trebuchet MS" w:cs="Trebuchet MS"/>
          <w:sz w:val="24"/>
          <w:szCs w:val="24"/>
        </w:rPr>
        <w:t>”</w:t>
      </w:r>
      <w:r w:rsidR="00BC1618" w:rsidRPr="00BC1618">
        <w:rPr>
          <w:rFonts w:ascii="Trebuchet MS" w:eastAsia="Trebuchet MS" w:hAnsi="Trebuchet MS" w:cs="Trebuchet MS"/>
          <w:sz w:val="24"/>
          <w:szCs w:val="24"/>
          <w:vertAlign w:val="superscript"/>
        </w:rPr>
        <w:t>[04]</w:t>
      </w:r>
      <w:r w:rsidRPr="19F3D8D5">
        <w:rPr>
          <w:rFonts w:ascii="Trebuchet MS" w:eastAsia="Trebuchet MS" w:hAnsi="Trebuchet MS" w:cs="Trebuchet MS"/>
          <w:sz w:val="24"/>
          <w:szCs w:val="24"/>
        </w:rPr>
        <w:t>, replaced the Data Protection Directive of 1995, providing strong protection for personal data rights; In June 2020, the European Data Protection Regulatory Authority's Strategic Plan (2020-2024)-Shaping a Safer Digital Future, published by the European Data Protection Regulatory Authority, depicted a safer, fairer and more sustainable digital Europe; In December 2020, New Zealand promulgated the Privacy Act 2020, which strengthened the regulation of data security and personal privacy protection; Singapore and Japan have completed the revision of their personal information protection laws in recent years, further clarifying the rights of personal data and the right of external use.</w:t>
      </w:r>
      <w:r>
        <w:br/>
      </w:r>
      <w:r w:rsidRPr="19F3D8D5">
        <w:rPr>
          <w:rFonts w:ascii="Trebuchet MS" w:eastAsia="Trebuchet MS" w:hAnsi="Trebuchet MS" w:cs="Trebuchet MS"/>
          <w:sz w:val="24"/>
          <w:szCs w:val="24"/>
        </w:rPr>
        <w:t xml:space="preserve">   In addition to continuously optimizing the data security policy environment, countries around the world have also strengthened their data security governance capabilities by establishing sound organizations. For example, the European Union has established the European Data Protection Committee, as an independent regulatory body of the European Union, </w:t>
      </w:r>
      <w:r w:rsidR="0089285C" w:rsidRPr="0089285C">
        <w:rPr>
          <w:rFonts w:ascii="Trebuchet MS" w:eastAsia="Trebuchet MS" w:hAnsi="Trebuchet MS" w:cs="Trebuchet MS"/>
          <w:i/>
          <w:iCs/>
          <w:sz w:val="24"/>
          <w:szCs w:val="24"/>
          <w:u w:val="single"/>
        </w:rPr>
        <w:t>“</w:t>
      </w:r>
      <w:r w:rsidRPr="0089285C">
        <w:rPr>
          <w:rFonts w:ascii="Trebuchet MS" w:eastAsia="Trebuchet MS" w:hAnsi="Trebuchet MS" w:cs="Trebuchet MS"/>
          <w:i/>
          <w:iCs/>
          <w:sz w:val="24"/>
          <w:szCs w:val="24"/>
          <w:u w:val="single"/>
        </w:rPr>
        <w:t>to ensure the consistent implementation of the General Data Protection Regulation in all EU member states</w:t>
      </w:r>
      <w:r w:rsidR="0089285C" w:rsidRPr="0089285C">
        <w:rPr>
          <w:rFonts w:ascii="Trebuchet MS" w:eastAsia="Trebuchet MS" w:hAnsi="Trebuchet MS" w:cs="Trebuchet MS"/>
          <w:i/>
          <w:iCs/>
          <w:sz w:val="24"/>
          <w:szCs w:val="24"/>
          <w:u w:val="single"/>
        </w:rPr>
        <w:t>”</w:t>
      </w:r>
      <w:r w:rsidR="0089285C" w:rsidRPr="0089285C">
        <w:rPr>
          <w:rFonts w:ascii="Trebuchet MS" w:eastAsia="Trebuchet MS" w:hAnsi="Trebuchet MS" w:cs="Trebuchet MS"/>
          <w:sz w:val="24"/>
          <w:szCs w:val="24"/>
          <w:vertAlign w:val="superscript"/>
        </w:rPr>
        <w:t>[03]</w:t>
      </w:r>
      <w:r w:rsidRPr="19F3D8D5">
        <w:rPr>
          <w:rFonts w:ascii="Trebuchet MS" w:eastAsia="Trebuchet MS" w:hAnsi="Trebuchet MS" w:cs="Trebuchet MS"/>
          <w:sz w:val="24"/>
          <w:szCs w:val="24"/>
        </w:rPr>
        <w:t>; Korea has established a Personal Information Protection Committee responsible for personal information protection and supervision and law enforcement; Brazil approved the establishment of the National Personal Data Protection Bureau to formulate relevant rules, investigate violations of laws and regulations and promote international cooperation in data protection.</w:t>
      </w:r>
      <w:r>
        <w:br/>
      </w:r>
      <w:r w:rsidR="6F3FD7A4" w:rsidRPr="19F3D8D5">
        <w:rPr>
          <w:rFonts w:ascii="Trebuchet MS" w:eastAsia="Trebuchet MS" w:hAnsi="Trebuchet MS" w:cs="Trebuchet MS"/>
          <w:sz w:val="24"/>
          <w:szCs w:val="24"/>
        </w:rPr>
        <w:t xml:space="preserve">  </w:t>
      </w:r>
      <w:r w:rsidRPr="19F3D8D5">
        <w:rPr>
          <w:rFonts w:ascii="Trebuchet MS" w:eastAsia="Trebuchet MS" w:hAnsi="Trebuchet MS" w:cs="Trebuchet MS"/>
          <w:sz w:val="24"/>
          <w:szCs w:val="24"/>
        </w:rPr>
        <w:t xml:space="preserve">In addition, there are related initiatives at the level of international organizations. </w:t>
      </w:r>
      <w:r w:rsidR="2B5D2025" w:rsidRPr="19F3D8D5">
        <w:rPr>
          <w:rFonts w:ascii="Trebuchet MS" w:eastAsia="Trebuchet MS" w:hAnsi="Trebuchet MS" w:cs="Trebuchet MS"/>
          <w:sz w:val="24"/>
          <w:szCs w:val="24"/>
        </w:rPr>
        <w:t>“</w:t>
      </w:r>
      <w:r w:rsidRPr="19F3D8D5">
        <w:rPr>
          <w:rFonts w:ascii="Trebuchet MS" w:eastAsia="Trebuchet MS" w:hAnsi="Trebuchet MS" w:cs="Trebuchet MS"/>
          <w:i/>
          <w:iCs/>
          <w:sz w:val="24"/>
          <w:szCs w:val="24"/>
        </w:rPr>
        <w:t>For example, in June 2020, the Secretary-General of the United Nations published the Roadmap for Digital Cooperation, the main contents of which include promoting universal digital connectivity, promoting digital technology to become public goods, ensuring that digital technology benefits everyone, supporting digital capacity building, ensuring respect for human rights in the digital field, responding to the challenges of artificial intelligence, and building digital trust and security.</w:t>
      </w:r>
      <w:r w:rsidR="5EBE47A4" w:rsidRPr="19F3D8D5">
        <w:rPr>
          <w:rFonts w:ascii="Trebuchet MS" w:eastAsia="Trebuchet MS" w:hAnsi="Trebuchet MS" w:cs="Trebuchet MS"/>
          <w:sz w:val="24"/>
          <w:szCs w:val="24"/>
        </w:rPr>
        <w:t>”</w:t>
      </w:r>
      <w:r w:rsidR="00D275A3" w:rsidRPr="00D275A3">
        <w:rPr>
          <w:rFonts w:ascii="Trebuchet MS" w:eastAsia="Trebuchet MS" w:hAnsi="Trebuchet MS" w:cs="Trebuchet MS"/>
          <w:sz w:val="24"/>
          <w:szCs w:val="24"/>
          <w:vertAlign w:val="superscript"/>
        </w:rPr>
        <w:t>[</w:t>
      </w:r>
      <w:r w:rsidR="00DF285A" w:rsidRPr="00D275A3">
        <w:rPr>
          <w:rFonts w:ascii="Trebuchet MS" w:eastAsia="Trebuchet MS" w:hAnsi="Trebuchet MS" w:cs="Trebuchet MS"/>
          <w:sz w:val="24"/>
          <w:szCs w:val="24"/>
          <w:vertAlign w:val="superscript"/>
        </w:rPr>
        <w:fldChar w:fldCharType="begin"/>
      </w:r>
      <w:r w:rsidR="00DF285A" w:rsidRPr="00D275A3">
        <w:rPr>
          <w:rFonts w:ascii="Trebuchet MS" w:eastAsia="Trebuchet MS" w:hAnsi="Trebuchet MS" w:cs="Trebuchet MS"/>
          <w:sz w:val="24"/>
          <w:szCs w:val="24"/>
          <w:vertAlign w:val="superscript"/>
        </w:rPr>
        <w:instrText xml:space="preserve"> REF _Ref124171735 \r \h </w:instrText>
      </w:r>
      <w:r w:rsidR="00DF285A" w:rsidRPr="00D275A3">
        <w:rPr>
          <w:rFonts w:ascii="Trebuchet MS" w:eastAsia="Trebuchet MS" w:hAnsi="Trebuchet MS" w:cs="Trebuchet MS"/>
          <w:sz w:val="24"/>
          <w:szCs w:val="24"/>
          <w:vertAlign w:val="superscript"/>
        </w:rPr>
      </w:r>
      <w:r w:rsidR="00D275A3">
        <w:rPr>
          <w:rFonts w:ascii="Trebuchet MS" w:eastAsia="Trebuchet MS" w:hAnsi="Trebuchet MS" w:cs="Trebuchet MS"/>
          <w:sz w:val="24"/>
          <w:szCs w:val="24"/>
          <w:vertAlign w:val="superscript"/>
        </w:rPr>
        <w:instrText xml:space="preserve"> \* MERGEFORMAT </w:instrText>
      </w:r>
      <w:r w:rsidR="00DF285A" w:rsidRPr="00D275A3">
        <w:rPr>
          <w:rFonts w:ascii="Trebuchet MS" w:eastAsia="Trebuchet MS" w:hAnsi="Trebuchet MS" w:cs="Trebuchet MS"/>
          <w:sz w:val="24"/>
          <w:szCs w:val="24"/>
          <w:vertAlign w:val="superscript"/>
        </w:rPr>
        <w:fldChar w:fldCharType="separate"/>
      </w:r>
      <w:r w:rsidR="00DF285A" w:rsidRPr="00D275A3">
        <w:rPr>
          <w:rFonts w:ascii="Trebuchet MS" w:eastAsia="Trebuchet MS" w:hAnsi="Trebuchet MS" w:cs="Trebuchet MS"/>
          <w:sz w:val="24"/>
          <w:szCs w:val="24"/>
          <w:vertAlign w:val="superscript"/>
        </w:rPr>
        <w:t>1</w:t>
      </w:r>
      <w:r w:rsidR="00DF285A" w:rsidRPr="00D275A3">
        <w:rPr>
          <w:rFonts w:ascii="Trebuchet MS" w:eastAsia="Trebuchet MS" w:hAnsi="Trebuchet MS" w:cs="Trebuchet MS"/>
          <w:sz w:val="24"/>
          <w:szCs w:val="24"/>
          <w:vertAlign w:val="superscript"/>
        </w:rPr>
        <w:fldChar w:fldCharType="end"/>
      </w:r>
      <w:r w:rsidR="00D275A3" w:rsidRPr="00D275A3">
        <w:rPr>
          <w:rFonts w:ascii="Trebuchet MS" w:eastAsia="Trebuchet MS" w:hAnsi="Trebuchet MS" w:cs="Trebuchet MS"/>
          <w:sz w:val="24"/>
          <w:szCs w:val="24"/>
          <w:vertAlign w:val="superscript"/>
        </w:rPr>
        <w:t>]</w:t>
      </w:r>
      <w:r w:rsidR="00943C93">
        <w:rPr>
          <w:rFonts w:ascii="Trebuchet MS" w:eastAsia="Trebuchet MS" w:hAnsi="Trebuchet MS" w:cs="Trebuchet MS"/>
          <w:sz w:val="24"/>
          <w:szCs w:val="24"/>
        </w:rPr>
        <w:t xml:space="preserve"> </w:t>
      </w:r>
    </w:p>
    <w:p w14:paraId="33C786F8" w14:textId="0CE0AB9F" w:rsidR="0A652025" w:rsidRDefault="0A652025" w:rsidP="0575E576">
      <w:pPr>
        <w:rPr>
          <w:rFonts w:ascii="Arial" w:eastAsia="Arial" w:hAnsi="Arial" w:cs="Arial"/>
          <w:sz w:val="27"/>
          <w:szCs w:val="27"/>
        </w:rPr>
      </w:pPr>
      <w:r w:rsidRPr="0575E576">
        <w:rPr>
          <w:rFonts w:ascii="Trebuchet MS" w:eastAsia="Trebuchet MS" w:hAnsi="Trebuchet MS" w:cs="Trebuchet MS"/>
          <w:b/>
          <w:bCs/>
          <w:color w:val="333333"/>
          <w:sz w:val="24"/>
          <w:szCs w:val="24"/>
          <w:u w:val="single"/>
        </w:rPr>
        <w:t>Measures of Technical Model (The Role of ITIL in improving Data Security)</w:t>
      </w:r>
      <w:r w:rsidR="76008D63" w:rsidRPr="0575E576">
        <w:rPr>
          <w:rFonts w:ascii="Trebuchet MS" w:eastAsia="Trebuchet MS" w:hAnsi="Trebuchet MS" w:cs="Trebuchet MS"/>
          <w:b/>
          <w:bCs/>
          <w:color w:val="333333"/>
          <w:sz w:val="24"/>
          <w:szCs w:val="24"/>
          <w:u w:val="single"/>
        </w:rPr>
        <w:t>:</w:t>
      </w:r>
      <w:r w:rsidR="0D914ECA" w:rsidRPr="0575E576">
        <w:rPr>
          <w:rFonts w:ascii="Trebuchet MS" w:eastAsia="Trebuchet MS" w:hAnsi="Trebuchet MS" w:cs="Trebuchet MS"/>
          <w:b/>
          <w:bCs/>
          <w:color w:val="333333"/>
          <w:sz w:val="24"/>
          <w:szCs w:val="24"/>
          <w:u w:val="single"/>
        </w:rPr>
        <w:t xml:space="preserve"> </w:t>
      </w:r>
      <w:r w:rsidR="76008D63" w:rsidRPr="0575E576">
        <w:rPr>
          <w:rFonts w:ascii="Trebuchet MS" w:eastAsia="Trebuchet MS" w:hAnsi="Trebuchet MS" w:cs="Trebuchet MS"/>
          <w:sz w:val="24"/>
          <w:szCs w:val="24"/>
        </w:rPr>
        <w:t>ITIL began in 1980s, when the British government tried to develop a method to realize the low-cost and efficient use of IT resources it owned. Referring to the experience of IT professionals, the British government has issued a series of best practice documents, each of which describes a different I process. At present, it is still developing. The guidelines of the first 44 volumes were compressed into 8 core documents.</w:t>
      </w:r>
      <w:r>
        <w:br/>
      </w:r>
      <w:r w:rsidR="0824E390" w:rsidRPr="0575E576">
        <w:rPr>
          <w:rFonts w:ascii="Trebuchet MS" w:eastAsia="Trebuchet MS" w:hAnsi="Trebuchet MS" w:cs="Trebuchet MS"/>
          <w:sz w:val="24"/>
          <w:szCs w:val="24"/>
        </w:rPr>
        <w:t>ITIL defines information security as a cyclic process of continuous inspection and improvement. ITIL information security process can be described as 7 steps:</w:t>
      </w:r>
    </w:p>
    <w:p w14:paraId="33B0BFB3" w14:textId="6B702096"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t>IT customers identify their security needs through risk analysis</w:t>
      </w:r>
    </w:p>
    <w:p w14:paraId="669C4519" w14:textId="25C7EB7A"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t>The IT department analyzes the feasibility of these security requirements and compares them with the minimum information security baseline of the organization.</w:t>
      </w:r>
    </w:p>
    <w:p w14:paraId="3F5826C8" w14:textId="4F11AA98"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lastRenderedPageBreak/>
        <w:t xml:space="preserve">The customer and IT organization negotiate and determine the service level agreement (SLA), which includes the information security requirements described with measurable objectives and the methods to verify whether they are </w:t>
      </w:r>
      <w:r w:rsidR="00BA403E" w:rsidRPr="0575E576">
        <w:rPr>
          <w:rFonts w:ascii="Trebuchet MS" w:eastAsia="Trebuchet MS" w:hAnsi="Trebuchet MS" w:cs="Trebuchet MS"/>
          <w:sz w:val="24"/>
          <w:szCs w:val="24"/>
        </w:rPr>
        <w:t>met.</w:t>
      </w:r>
    </w:p>
    <w:p w14:paraId="243D74DD" w14:textId="74197888"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t xml:space="preserve">Negotiate and define the Operation Level Agreement (OLA) within IT </w:t>
      </w:r>
      <w:r w:rsidR="00BA403E" w:rsidRPr="0575E576">
        <w:rPr>
          <w:rFonts w:ascii="Trebuchet MS" w:eastAsia="Trebuchet MS" w:hAnsi="Trebuchet MS" w:cs="Trebuchet MS"/>
          <w:sz w:val="24"/>
          <w:szCs w:val="24"/>
        </w:rPr>
        <w:t>organization and</w:t>
      </w:r>
      <w:r w:rsidRPr="0575E576">
        <w:rPr>
          <w:rFonts w:ascii="Trebuchet MS" w:eastAsia="Trebuchet MS" w:hAnsi="Trebuchet MS" w:cs="Trebuchet MS"/>
          <w:sz w:val="24"/>
          <w:szCs w:val="24"/>
        </w:rPr>
        <w:t xml:space="preserve"> describe in detail how to provide information security </w:t>
      </w:r>
      <w:r w:rsidR="00BA403E" w:rsidRPr="0575E576">
        <w:rPr>
          <w:rFonts w:ascii="Trebuchet MS" w:eastAsia="Trebuchet MS" w:hAnsi="Trebuchet MS" w:cs="Trebuchet MS"/>
          <w:sz w:val="24"/>
          <w:szCs w:val="24"/>
        </w:rPr>
        <w:t>service.</w:t>
      </w:r>
    </w:p>
    <w:p w14:paraId="26030846" w14:textId="65678844"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t xml:space="preserve">Implement and monitor SLA and </w:t>
      </w:r>
      <w:r w:rsidR="00BA403E" w:rsidRPr="0575E576">
        <w:rPr>
          <w:rFonts w:ascii="Trebuchet MS" w:eastAsia="Trebuchet MS" w:hAnsi="Trebuchet MS" w:cs="Trebuchet MS"/>
          <w:sz w:val="24"/>
          <w:szCs w:val="24"/>
        </w:rPr>
        <w:t>OLA.</w:t>
      </w:r>
    </w:p>
    <w:p w14:paraId="7ABD00CA" w14:textId="162AD354" w:rsidR="0BD54457" w:rsidRDefault="0BD54457" w:rsidP="0575E576">
      <w:pPr>
        <w:pStyle w:val="ListParagraph"/>
        <w:numPr>
          <w:ilvl w:val="0"/>
          <w:numId w:val="2"/>
        </w:numPr>
        <w:rPr>
          <w:rFonts w:ascii="Trebuchet MS" w:eastAsia="Trebuchet MS" w:hAnsi="Trebuchet MS" w:cs="Trebuchet MS"/>
          <w:sz w:val="24"/>
          <w:szCs w:val="24"/>
        </w:rPr>
      </w:pPr>
      <w:r w:rsidRPr="0575E576">
        <w:rPr>
          <w:rFonts w:ascii="Trebuchet MS" w:eastAsia="Trebuchet MS" w:hAnsi="Trebuchet MS" w:cs="Trebuchet MS"/>
          <w:sz w:val="24"/>
          <w:szCs w:val="24"/>
        </w:rPr>
        <w:t>Regularly report the validity and status of the information security service provided to customers.</w:t>
      </w:r>
    </w:p>
    <w:p w14:paraId="7C1BB23B" w14:textId="3777D1B9" w:rsidR="0BD54457" w:rsidRDefault="0BD54457" w:rsidP="0575E576">
      <w:pPr>
        <w:pStyle w:val="ListParagraph"/>
        <w:numPr>
          <w:ilvl w:val="0"/>
          <w:numId w:val="2"/>
        </w:numPr>
        <w:rPr>
          <w:rFonts w:ascii="Trebuchet MS" w:eastAsia="Trebuchet MS" w:hAnsi="Trebuchet MS" w:cs="Trebuchet MS"/>
          <w:color w:val="333333"/>
          <w:sz w:val="24"/>
          <w:szCs w:val="24"/>
        </w:rPr>
      </w:pPr>
      <w:r w:rsidRPr="0575E576">
        <w:rPr>
          <w:rFonts w:ascii="Trebuchet MS" w:eastAsia="Trebuchet MS" w:hAnsi="Trebuchet MS" w:cs="Trebuchet MS"/>
          <w:sz w:val="24"/>
          <w:szCs w:val="24"/>
        </w:rPr>
        <w:t>ITIL ensures that information security measures are effectively implemented at three levels: strategy, tactics, and operation. Information security is considered as an iterative process of control, planning, implementation, evaluation, and maintenance.</w:t>
      </w:r>
      <w:r>
        <w:br/>
      </w:r>
      <w:r w:rsidRPr="0575E576">
        <w:rPr>
          <w:rFonts w:ascii="Trebuchet MS" w:eastAsia="Trebuchet MS" w:hAnsi="Trebuchet MS" w:cs="Trebuchet MS"/>
          <w:sz w:val="24"/>
          <w:szCs w:val="24"/>
        </w:rPr>
        <w:t>ITIL decomposes information security into:</w:t>
      </w:r>
      <w:r>
        <w:br/>
      </w:r>
      <w:r w:rsidRPr="0575E576">
        <w:rPr>
          <w:rFonts w:ascii="Trebuchet MS" w:eastAsia="Trebuchet MS" w:hAnsi="Trebuchet MS" w:cs="Trebuchet MS"/>
          <w:sz w:val="24"/>
          <w:szCs w:val="24"/>
          <w:u w:val="single"/>
        </w:rPr>
        <w:t>Strategy</w:t>
      </w:r>
      <w:r w:rsidRPr="0575E576">
        <w:rPr>
          <w:rFonts w:ascii="Trebuchet MS" w:eastAsia="Trebuchet MS" w:hAnsi="Trebuchet MS" w:cs="Trebuchet MS"/>
          <w:sz w:val="24"/>
          <w:szCs w:val="24"/>
        </w:rPr>
        <w:t>: the overall goal of the organization.</w:t>
      </w:r>
      <w:r>
        <w:br/>
      </w:r>
      <w:r w:rsidRPr="0575E576">
        <w:rPr>
          <w:rFonts w:ascii="Trebuchet MS" w:eastAsia="Trebuchet MS" w:hAnsi="Trebuchet MS" w:cs="Trebuchet MS"/>
          <w:sz w:val="24"/>
          <w:szCs w:val="24"/>
          <w:u w:val="single"/>
        </w:rPr>
        <w:t>Process</w:t>
      </w:r>
      <w:r w:rsidRPr="0575E576">
        <w:rPr>
          <w:rFonts w:ascii="Trebuchet MS" w:eastAsia="Trebuchet MS" w:hAnsi="Trebuchet MS" w:cs="Trebuchet MS"/>
          <w:sz w:val="24"/>
          <w:szCs w:val="24"/>
        </w:rPr>
        <w:t>: the action to be taken to achieve the goal.</w:t>
      </w:r>
      <w:r>
        <w:br/>
      </w:r>
      <w:r w:rsidRPr="0575E576">
        <w:rPr>
          <w:rFonts w:ascii="Trebuchet MS" w:eastAsia="Trebuchet MS" w:hAnsi="Trebuchet MS" w:cs="Trebuchet MS"/>
          <w:sz w:val="24"/>
          <w:szCs w:val="24"/>
          <w:u w:val="single"/>
        </w:rPr>
        <w:t>Procedure</w:t>
      </w:r>
      <w:r w:rsidRPr="0575E576">
        <w:rPr>
          <w:rFonts w:ascii="Trebuchet MS" w:eastAsia="Trebuchet MS" w:hAnsi="Trebuchet MS" w:cs="Trebuchet MS"/>
          <w:sz w:val="24"/>
          <w:szCs w:val="24"/>
        </w:rPr>
        <w:t>: Who, when and how to achieve the goal</w:t>
      </w:r>
      <w:r>
        <w:br/>
      </w:r>
      <w:r w:rsidRPr="0575E576">
        <w:rPr>
          <w:rFonts w:ascii="Trebuchet MS" w:eastAsia="Trebuchet MS" w:hAnsi="Trebuchet MS" w:cs="Trebuchet MS"/>
          <w:sz w:val="24"/>
          <w:szCs w:val="24"/>
          <w:u w:val="single"/>
        </w:rPr>
        <w:t>Rules</w:t>
      </w:r>
      <w:r w:rsidRPr="0575E576">
        <w:rPr>
          <w:rFonts w:ascii="Trebuchet MS" w:eastAsia="Trebuchet MS" w:hAnsi="Trebuchet MS" w:cs="Trebuchet MS"/>
          <w:sz w:val="24"/>
          <w:szCs w:val="24"/>
        </w:rPr>
        <w:t>: Rules for implementing specific behaviors.</w:t>
      </w:r>
      <w:r>
        <w:br/>
      </w:r>
    </w:p>
    <w:p w14:paraId="12525C08" w14:textId="664BD208" w:rsidR="415D5D87" w:rsidRDefault="415D5D87" w:rsidP="0575E576">
      <w:pPr>
        <w:rPr>
          <w:rFonts w:ascii="Trebuchet MS" w:eastAsia="Trebuchet MS" w:hAnsi="Trebuchet MS" w:cs="Trebuchet MS"/>
          <w:sz w:val="24"/>
          <w:szCs w:val="24"/>
        </w:rPr>
      </w:pPr>
      <w:r w:rsidRPr="0575E576">
        <w:rPr>
          <w:rFonts w:ascii="Trebuchet MS" w:eastAsia="Trebuchet MS" w:hAnsi="Trebuchet MS" w:cs="Trebuchet MS"/>
          <w:b/>
          <w:bCs/>
          <w:sz w:val="24"/>
          <w:szCs w:val="24"/>
          <w:u w:val="single"/>
        </w:rPr>
        <w:t>Trends of Global Data Security Governance:</w:t>
      </w:r>
      <w:r w:rsidRPr="0575E576">
        <w:t xml:space="preserve"> </w:t>
      </w:r>
      <w:r w:rsidR="12A39AA9" w:rsidRPr="0575E576">
        <w:t xml:space="preserve"> </w:t>
      </w:r>
      <w:r w:rsidR="12B1D3C3" w:rsidRPr="0575E576">
        <w:rPr>
          <w:rFonts w:ascii="Trebuchet MS" w:eastAsia="Trebuchet MS" w:hAnsi="Trebuchet MS" w:cs="Trebuchet MS"/>
          <w:sz w:val="24"/>
          <w:szCs w:val="24"/>
        </w:rPr>
        <w:t xml:space="preserve">In the digital age, maximizing the value of data often depends on the aggregation, flow, processing and analysis of </w:t>
      </w:r>
      <w:r w:rsidR="00BA403E" w:rsidRPr="0575E576">
        <w:rPr>
          <w:rFonts w:ascii="Trebuchet MS" w:eastAsia="Trebuchet MS" w:hAnsi="Trebuchet MS" w:cs="Trebuchet MS"/>
          <w:sz w:val="24"/>
          <w:szCs w:val="24"/>
        </w:rPr>
        <w:t>many</w:t>
      </w:r>
      <w:r w:rsidR="12B1D3C3" w:rsidRPr="0575E576">
        <w:rPr>
          <w:rFonts w:ascii="Trebuchet MS" w:eastAsia="Trebuchet MS" w:hAnsi="Trebuchet MS" w:cs="Trebuchet MS"/>
          <w:sz w:val="24"/>
          <w:szCs w:val="24"/>
        </w:rPr>
        <w:t xml:space="preserve"> diverse data, while the governance subject, mode, content, goal, etc. in the elements involved in this fluid data-intensive activity are being reconstructed, and the global data security governance is taking on new features. In the digital age, maximizing the value of data often depends on the aggregation, flow, processing, and analysis of many diverse data, while the governance subject, mode, content, goal, etc. in the elements involved in this fluid data-intensive activity are being reconstructed, and the global data security governance is taking on new features.</w:t>
      </w:r>
    </w:p>
    <w:p w14:paraId="147ED6EF" w14:textId="26B53968" w:rsidR="12B1D3C3" w:rsidRDefault="12B1D3C3" w:rsidP="0575E576">
      <w:pPr>
        <w:rPr>
          <w:rFonts w:ascii="Trebuchet MS" w:eastAsia="Trebuchet MS" w:hAnsi="Trebuchet MS" w:cs="Trebuchet MS"/>
          <w:sz w:val="24"/>
          <w:szCs w:val="24"/>
        </w:rPr>
      </w:pPr>
      <w:r w:rsidRPr="0575E576">
        <w:rPr>
          <w:rFonts w:ascii="Trebuchet MS" w:eastAsia="Trebuchet MS" w:hAnsi="Trebuchet MS" w:cs="Trebuchet MS"/>
          <w:sz w:val="24"/>
          <w:szCs w:val="24"/>
        </w:rPr>
        <w:t xml:space="preserve">First, from passive to active: </w:t>
      </w:r>
      <w:r w:rsidR="00685103" w:rsidRPr="00685103">
        <w:rPr>
          <w:rFonts w:ascii="Trebuchet MS" w:eastAsia="Trebuchet MS" w:hAnsi="Trebuchet MS" w:cs="Trebuchet MS"/>
          <w:i/>
          <w:iCs/>
          <w:sz w:val="24"/>
          <w:szCs w:val="24"/>
          <w:u w:val="single"/>
        </w:rPr>
        <w:t>“T</w:t>
      </w:r>
      <w:r w:rsidRPr="00685103">
        <w:rPr>
          <w:rFonts w:ascii="Trebuchet MS" w:eastAsia="Trebuchet MS" w:hAnsi="Trebuchet MS" w:cs="Trebuchet MS"/>
          <w:i/>
          <w:iCs/>
          <w:sz w:val="24"/>
          <w:szCs w:val="24"/>
          <w:u w:val="single"/>
        </w:rPr>
        <w:t>he concept transformation of security governance. Changing from passive security to active security has become an inevitable choice in the era of digital economy</w:t>
      </w:r>
      <w:r w:rsidR="00B27310" w:rsidRPr="00685103">
        <w:rPr>
          <w:rFonts w:ascii="Trebuchet MS" w:eastAsia="Trebuchet MS" w:hAnsi="Trebuchet MS" w:cs="Trebuchet MS"/>
          <w:i/>
          <w:iCs/>
          <w:sz w:val="24"/>
          <w:szCs w:val="24"/>
          <w:u w:val="single"/>
        </w:rPr>
        <w:t>.”</w:t>
      </w:r>
      <w:r w:rsidR="00B27310" w:rsidRPr="00685103">
        <w:rPr>
          <w:rFonts w:ascii="Trebuchet MS" w:eastAsia="Trebuchet MS" w:hAnsi="Trebuchet MS" w:cs="Trebuchet MS"/>
          <w:sz w:val="24"/>
          <w:szCs w:val="24"/>
          <w:vertAlign w:val="superscript"/>
        </w:rPr>
        <w:t xml:space="preserve"> [</w:t>
      </w:r>
      <w:r w:rsidR="00685103" w:rsidRPr="00685103">
        <w:rPr>
          <w:rFonts w:ascii="Trebuchet MS" w:eastAsia="Trebuchet MS" w:hAnsi="Trebuchet MS" w:cs="Trebuchet MS"/>
          <w:sz w:val="24"/>
          <w:szCs w:val="24"/>
          <w:vertAlign w:val="superscript"/>
        </w:rPr>
        <w:t>2]</w:t>
      </w:r>
      <w:r w:rsidRPr="0575E576">
        <w:rPr>
          <w:rFonts w:ascii="Trebuchet MS" w:eastAsia="Trebuchet MS" w:hAnsi="Trebuchet MS" w:cs="Trebuchet MS"/>
          <w:sz w:val="24"/>
          <w:szCs w:val="24"/>
        </w:rPr>
        <w:t xml:space="preserve"> On the one hand, </w:t>
      </w:r>
      <w:r w:rsidR="00D279DF">
        <w:rPr>
          <w:rFonts w:ascii="Trebuchet MS" w:eastAsia="Trebuchet MS" w:hAnsi="Trebuchet MS" w:cs="Trebuchet MS"/>
          <w:sz w:val="24"/>
          <w:szCs w:val="24"/>
        </w:rPr>
        <w:t>“</w:t>
      </w:r>
      <w:r w:rsidRPr="00D279DF">
        <w:rPr>
          <w:rFonts w:ascii="Trebuchet MS" w:eastAsia="Trebuchet MS" w:hAnsi="Trebuchet MS" w:cs="Trebuchet MS"/>
          <w:i/>
          <w:iCs/>
          <w:sz w:val="24"/>
          <w:szCs w:val="24"/>
          <w:u w:val="single"/>
        </w:rPr>
        <w:t>due to the rapid development of the Internet of Things, artificial intelligence and other innovative digital technologies, more persistent and hidden data security risks have been derived, which have brought great challenges to data security risk assurance</w:t>
      </w:r>
      <w:r w:rsidR="00487DFE" w:rsidRPr="00D279DF">
        <w:rPr>
          <w:rFonts w:ascii="Trebuchet MS" w:eastAsia="Trebuchet MS" w:hAnsi="Trebuchet MS" w:cs="Trebuchet MS"/>
          <w:i/>
          <w:iCs/>
          <w:sz w:val="24"/>
          <w:szCs w:val="24"/>
          <w:u w:val="single"/>
        </w:rPr>
        <w:t>.</w:t>
      </w:r>
      <w:r w:rsidR="00487DFE">
        <w:rPr>
          <w:rFonts w:ascii="Trebuchet MS" w:eastAsia="Trebuchet MS" w:hAnsi="Trebuchet MS" w:cs="Trebuchet MS"/>
          <w:i/>
          <w:iCs/>
          <w:sz w:val="24"/>
          <w:szCs w:val="24"/>
          <w:u w:val="single"/>
        </w:rPr>
        <w:t>”</w:t>
      </w:r>
      <w:r w:rsidR="00487DFE" w:rsidRPr="00487DFE">
        <w:rPr>
          <w:rFonts w:ascii="Trebuchet MS" w:eastAsia="Trebuchet MS" w:hAnsi="Trebuchet MS" w:cs="Trebuchet MS"/>
          <w:sz w:val="24"/>
          <w:szCs w:val="24"/>
          <w:vertAlign w:val="superscript"/>
        </w:rPr>
        <w:t xml:space="preserve"> [3]</w:t>
      </w:r>
      <w:r w:rsidRPr="0575E576">
        <w:rPr>
          <w:rFonts w:ascii="Trebuchet MS" w:eastAsia="Trebuchet MS" w:hAnsi="Trebuchet MS" w:cs="Trebuchet MS"/>
          <w:sz w:val="24"/>
          <w:szCs w:val="24"/>
        </w:rPr>
        <w:t xml:space="preserve"> On the other hand, the strategic economic resources contained in data are the objective factors that countries take the initiative to strengthen data security governance. As the core element of digital economy, data economy is becoming the strategic commanding point of shaping the core competitiveness of the country, and it is developing in a deeper and more complicated direction when the COVID-19 epidemic has entered a new normal. All countries are aware of the strategic value behind data resources, and their understanding of data security governance has risen to the level of "national </w:t>
      </w:r>
      <w:r w:rsidRPr="0575E576">
        <w:rPr>
          <w:rFonts w:ascii="Trebuchet MS" w:eastAsia="Trebuchet MS" w:hAnsi="Trebuchet MS" w:cs="Trebuchet MS"/>
          <w:sz w:val="24"/>
          <w:szCs w:val="24"/>
        </w:rPr>
        <w:lastRenderedPageBreak/>
        <w:t>security" and "national competitiveness".</w:t>
      </w:r>
      <w:r>
        <w:br/>
      </w:r>
      <w:r w:rsidR="54446AA6" w:rsidRPr="0575E576">
        <w:rPr>
          <w:rFonts w:ascii="Trebuchet MS" w:eastAsia="Trebuchet MS" w:hAnsi="Trebuchet MS" w:cs="Trebuchet MS"/>
          <w:sz w:val="24"/>
          <w:szCs w:val="24"/>
        </w:rPr>
        <w:t xml:space="preserve">  </w:t>
      </w:r>
      <w:r w:rsidRPr="0575E576">
        <w:rPr>
          <w:rFonts w:ascii="Trebuchet MS" w:eastAsia="Trebuchet MS" w:hAnsi="Trebuchet MS" w:cs="Trebuchet MS"/>
          <w:sz w:val="24"/>
          <w:szCs w:val="24"/>
        </w:rPr>
        <w:t>Second, from singleness to pluralism: the behavior remodeling of the governance subject. Before entering the digital age, data security issues were characterized by simplification, fixation, and pattern both in subject and content. After entering the digital age, based on the exponential growth of data and the normalized cross-border circulation, the circulation of data is widely distributed among countries, enterprises, social organizations, and individual citizens. The traditional governance structure is constantly adjusted, and a more equal and diversified governance model is emerging. Due to the diversity of data governance subjects, it is bound to show the characteristics of differences in interest demands and governance means, which are manifested in the incompatibility of data governance strategies in sovereign countries, the conflicts of data rights and interests between sovereign countries and enterprises and individuals, and the difficulty in balancing interests.</w:t>
      </w:r>
      <w:r>
        <w:br/>
      </w:r>
      <w:r w:rsidR="3E83417E" w:rsidRPr="0575E576">
        <w:rPr>
          <w:rFonts w:ascii="Trebuchet MS" w:eastAsia="Trebuchet MS" w:hAnsi="Trebuchet MS" w:cs="Trebuchet MS"/>
          <w:sz w:val="24"/>
          <w:szCs w:val="24"/>
        </w:rPr>
        <w:t xml:space="preserve">  </w:t>
      </w:r>
      <w:r w:rsidRPr="0575E576">
        <w:rPr>
          <w:rFonts w:ascii="Trebuchet MS" w:eastAsia="Trebuchet MS" w:hAnsi="Trebuchet MS" w:cs="Trebuchet MS"/>
          <w:sz w:val="24"/>
          <w:szCs w:val="24"/>
        </w:rPr>
        <w:t xml:space="preserve">Third, from static to dynamic: the balanced development of governance objectives. Traditional data security risk refers to the destruction of confidentiality, integrity and usability of data caused by data leakage, data tampering and other behaviors, which emphasizes the static security of information carried by data itself. However, in the digital age, data will have important economic value to social development only in the process of free circulation, and the value of data will increase with the speed, activity, and transmission scale of data. In the face of the fast-moving data system, data security governance should also seek a dynamic balance among multiple objectives. On the one hand, security and utilization should be regarded as two wings of one body and two wheels of driving. The best data security governance lies in the dynamic balance between "free flow of data" and "data security". </w:t>
      </w:r>
      <w:r w:rsidR="2FDB245E" w:rsidRPr="0575E576">
        <w:rPr>
          <w:rFonts w:ascii="Trebuchet MS" w:eastAsia="Trebuchet MS" w:hAnsi="Trebuchet MS" w:cs="Trebuchet MS"/>
          <w:sz w:val="24"/>
          <w:szCs w:val="24"/>
        </w:rPr>
        <w:t>However, data security governance should be done between the two goals of "good data protection" and "data development and utilization" according to each country's national characteristics.</w:t>
      </w:r>
      <w:r>
        <w:br/>
      </w:r>
      <w:r w:rsidR="191DE48D" w:rsidRPr="0575E576">
        <w:rPr>
          <w:rFonts w:ascii="Trebuchet MS" w:eastAsia="Trebuchet MS" w:hAnsi="Trebuchet MS" w:cs="Trebuchet MS"/>
          <w:sz w:val="24"/>
          <w:szCs w:val="24"/>
        </w:rPr>
        <w:t xml:space="preserve">  </w:t>
      </w:r>
      <w:r w:rsidRPr="0575E576">
        <w:rPr>
          <w:rFonts w:ascii="Trebuchet MS" w:eastAsia="Trebuchet MS" w:hAnsi="Trebuchet MS" w:cs="Trebuchet MS"/>
          <w:sz w:val="24"/>
          <w:szCs w:val="24"/>
        </w:rPr>
        <w:t xml:space="preserve">Fourthly, from competition to competition: the orderly presentation of governance. From the perspective of governance, the United States takes advantage of the Internet and technology to emphasize the free flow of data and promote the free and open digital market as its governance objectives and ensures data security through political means and long-arm </w:t>
      </w:r>
      <w:bookmarkStart w:id="2" w:name="_Int_6iBUG072"/>
      <w:r w:rsidRPr="0575E576">
        <w:rPr>
          <w:rFonts w:ascii="Trebuchet MS" w:eastAsia="Trebuchet MS" w:hAnsi="Trebuchet MS" w:cs="Trebuchet MS"/>
          <w:sz w:val="24"/>
          <w:szCs w:val="24"/>
        </w:rPr>
        <w:t>jurisdiction</w:t>
      </w:r>
      <w:bookmarkEnd w:id="2"/>
      <w:r w:rsidRPr="0575E576">
        <w:rPr>
          <w:rFonts w:ascii="Trebuchet MS" w:eastAsia="Trebuchet MS" w:hAnsi="Trebuchet MS" w:cs="Trebuchet MS"/>
          <w:sz w:val="24"/>
          <w:szCs w:val="24"/>
        </w:rPr>
        <w:t xml:space="preserve"> measures. The core of EU governance is to emphasize the protection of personal data privacy, relying on data sovereignty, and only ensuring the free flow of data on the premise of providing ambitious standards of data protection. In addition, it is worth noting that, with the increasing importance of global data security governance, emerging countries, with the rapid development of their science and technology, put forward demands for participating in the construction of governance systems, and interpreted and deduced data security governance according to their own governance preferences, which continuously caused conflicts between the competition and regulation of "global data flow" and "data localization" rules. Fourthly, from competition to competition: the orderly presentation of governance. From the perspective of governance, the United States takes advantage of the Internet and technology to emphasize the free flow of data </w:t>
      </w:r>
      <w:r w:rsidRPr="0575E576">
        <w:rPr>
          <w:rFonts w:ascii="Trebuchet MS" w:eastAsia="Trebuchet MS" w:hAnsi="Trebuchet MS" w:cs="Trebuchet MS"/>
          <w:sz w:val="24"/>
          <w:szCs w:val="24"/>
        </w:rPr>
        <w:lastRenderedPageBreak/>
        <w:t xml:space="preserve">and promote the free and open digital market as its governance objectives and ensures data security through political means and long-arm </w:t>
      </w:r>
      <w:bookmarkStart w:id="3" w:name="_Int_IHwywc0p"/>
      <w:r w:rsidRPr="0575E576">
        <w:rPr>
          <w:rFonts w:ascii="Trebuchet MS" w:eastAsia="Trebuchet MS" w:hAnsi="Trebuchet MS" w:cs="Trebuchet MS"/>
          <w:sz w:val="24"/>
          <w:szCs w:val="24"/>
        </w:rPr>
        <w:t>jurisdiction</w:t>
      </w:r>
      <w:bookmarkEnd w:id="3"/>
      <w:r w:rsidRPr="0575E576">
        <w:rPr>
          <w:rFonts w:ascii="Trebuchet MS" w:eastAsia="Trebuchet MS" w:hAnsi="Trebuchet MS" w:cs="Trebuchet MS"/>
          <w:sz w:val="24"/>
          <w:szCs w:val="24"/>
        </w:rPr>
        <w:t xml:space="preserve"> measures. The core of EU governance is to emphasize the protection of personal data privacy, relying on data sovereignty, and only ensuring the free flow of data on the premise of providing ambitious standards of data protection. In addition, it is worth noting that, with the increasing importance of global data security governance, emerging countries, with the rapid development of their science and technology, put forward demands for participating in the construction of governance systems, and interpreted and deduced data security governance according to their own governance preferences, which continuously caused conflicts between the competition and regulation of "global data flow" and "data localization" rules.</w:t>
      </w:r>
    </w:p>
    <w:p w14:paraId="5CF2A60A" w14:textId="1720F26A" w:rsidR="695D7362" w:rsidRDefault="695D7362" w:rsidP="0575E576">
      <w:pPr>
        <w:rPr>
          <w:rFonts w:ascii="Arial" w:eastAsia="Arial" w:hAnsi="Arial" w:cs="Arial"/>
          <w:color w:val="333333"/>
          <w:sz w:val="27"/>
          <w:szCs w:val="27"/>
        </w:rPr>
      </w:pPr>
      <w:r w:rsidRPr="0575E576">
        <w:rPr>
          <w:rFonts w:ascii="Trebuchet MS" w:eastAsia="Trebuchet MS" w:hAnsi="Trebuchet MS" w:cs="Trebuchet MS"/>
          <w:sz w:val="24"/>
          <w:szCs w:val="24"/>
        </w:rPr>
        <w:t xml:space="preserve">  </w:t>
      </w:r>
      <w:r w:rsidR="12B1D3C3" w:rsidRPr="0575E576">
        <w:rPr>
          <w:rFonts w:ascii="Trebuchet MS" w:eastAsia="Trebuchet MS" w:hAnsi="Trebuchet MS" w:cs="Trebuchet MS"/>
          <w:sz w:val="24"/>
          <w:szCs w:val="24"/>
        </w:rPr>
        <w:t>Although major countries in the world attach significant importance to data security, due to their different national conditions, concerns, and governance capabilities, there is no unified model of policies, regulations, governance mechanisms, and countermeasures for maintaining data security in various countries, but they show their own development characteristics. Specifically, the United States, relying on its technological and industrial advantages, and proceeding from its own interests, embodies the "long-arm jurisdiction" type of data use in terms of cross-border data flow, that is, it tries to extend the data sovereignty beyond the region through domestic legislation. One of the most prominent manifestations is the promulgation of the "Cloud Act", which provides a jurisdictional basis for the United States federal government to retrieve extraterritorial data, and in terms of international cooperation in data retrieval, it adopts a procedure unilaterally and freely decided by the United States. This bill reflects the "infinite hunger" of the United States for data and its ambition to establish global data hegemony</w:t>
      </w:r>
      <w:r w:rsidR="1166CAD0" w:rsidRPr="0575E576">
        <w:rPr>
          <w:rFonts w:ascii="Trebuchet MS" w:eastAsia="Trebuchet MS" w:hAnsi="Trebuchet MS" w:cs="Trebuchet MS"/>
          <w:sz w:val="24"/>
          <w:szCs w:val="24"/>
        </w:rPr>
        <w:t xml:space="preserve">. </w:t>
      </w:r>
      <w:r w:rsidR="12B1D3C3" w:rsidRPr="0575E576">
        <w:rPr>
          <w:rFonts w:ascii="Trebuchet MS" w:eastAsia="Trebuchet MS" w:hAnsi="Trebuchet MS" w:cs="Trebuchet MS"/>
          <w:sz w:val="24"/>
          <w:szCs w:val="24"/>
        </w:rPr>
        <w:t>Data protection in the European Union started earlier. Since the 1970s, European countries have set off a wave of data legislation. After years of development, a unified data governance framework concept that emphasizes "digital unity" and is tight on the outside and loose on the inside has been formed. In addition, the European Union has put forward the "European Data Concept" which combines values, individual rights, and market value from the perspective of shaping "rules" and "concepts". The cognition of data security in Russia has long been raised from the traditional personal privacy protection to the strategic height of national security. The Russian government has strict restrictions on data circulation, and it is in a closed state</w:t>
      </w:r>
      <w:r w:rsidR="770B5E37" w:rsidRPr="0575E576">
        <w:rPr>
          <w:rFonts w:ascii="Trebuchet MS" w:eastAsia="Trebuchet MS" w:hAnsi="Trebuchet MS" w:cs="Trebuchet MS"/>
          <w:sz w:val="24"/>
          <w:szCs w:val="24"/>
        </w:rPr>
        <w:t xml:space="preserve">. </w:t>
      </w:r>
      <w:r w:rsidR="12B1D3C3" w:rsidRPr="0575E576">
        <w:rPr>
          <w:rFonts w:ascii="Trebuchet MS" w:eastAsia="Trebuchet MS" w:hAnsi="Trebuchet MS" w:cs="Trebuchet MS"/>
          <w:sz w:val="24"/>
          <w:szCs w:val="24"/>
        </w:rPr>
        <w:t xml:space="preserve">Most of the legislation and practice in developing countries are still in the initial stage, and the current policies and measures tend to protect the data of citizens and entities in their own countries from foreign surveillance or retrieval through data localization measures, which reflects "data defense doctrine". Take India as an example. The Personal Data Protection Act promulgated in December 2019 clearly stipulates that Internet companies must store the key data collected in India in India and can only transfer it out of the country after desensitization, and only for the purpose permitted by law. At the same time, the Indian government determines which data </w:t>
      </w:r>
      <w:r w:rsidR="12B1D3C3" w:rsidRPr="0575E576">
        <w:rPr>
          <w:rFonts w:ascii="Trebuchet MS" w:eastAsia="Trebuchet MS" w:hAnsi="Trebuchet MS" w:cs="Trebuchet MS"/>
          <w:sz w:val="24"/>
          <w:szCs w:val="24"/>
        </w:rPr>
        <w:lastRenderedPageBreak/>
        <w:t>are key data. It should be noted that, although developing countries started late due to the limitations of their own capacity and development level, their awareness of participation in the construction of international rules has become stronger and stronger, and their influence has gradually increased. China's position and proposition on data security and governance highlights its responsibility as a responsible big country. While the government of China attaches significant importance to data security and vigorously promotes digital development, it advocates the international community to jointly promote data security and makes a clear statement that China will not carry out critical infrastructure attacks, large-scale monitoring, and important data theft against other countries. The government of China adheres to fairness and justice on the issue of data security, integrates into the process of data globalization with a constructive attitude, and actively contributes China's wisdom to the formulation of relevant international rules on data security and governance at the global level</w:t>
      </w:r>
      <w:r w:rsidR="12B1D3C3" w:rsidRPr="0575E576">
        <w:rPr>
          <w:rFonts w:ascii="Arial" w:eastAsia="Arial" w:hAnsi="Arial" w:cs="Arial"/>
          <w:color w:val="333333"/>
          <w:sz w:val="27"/>
          <w:szCs w:val="27"/>
        </w:rPr>
        <w:t>.</w:t>
      </w:r>
    </w:p>
    <w:p w14:paraId="6D401E46" w14:textId="7AF34C6A" w:rsidR="29AAAFEC" w:rsidRDefault="29AAAFEC" w:rsidP="0575E576">
      <w:pPr>
        <w:rPr>
          <w:rFonts w:ascii="Trebuchet MS" w:eastAsia="Trebuchet MS" w:hAnsi="Trebuchet MS" w:cs="Trebuchet MS"/>
          <w:color w:val="333333"/>
          <w:sz w:val="24"/>
          <w:szCs w:val="24"/>
        </w:rPr>
      </w:pPr>
      <w:r w:rsidRPr="0575E576">
        <w:rPr>
          <w:rFonts w:ascii="Trebuchet MS" w:eastAsia="Trebuchet MS" w:hAnsi="Trebuchet MS" w:cs="Trebuchet MS"/>
          <w:b/>
          <w:bCs/>
          <w:sz w:val="24"/>
          <w:szCs w:val="24"/>
          <w:u w:val="single"/>
        </w:rPr>
        <w:t>Pain Points and Dilemmas of Global Data Security Governance:</w:t>
      </w:r>
      <w:r w:rsidR="4F167C5F" w:rsidRPr="0575E576">
        <w:t xml:space="preserve"> </w:t>
      </w:r>
      <w:r w:rsidR="4F167C5F" w:rsidRPr="0575E576">
        <w:rPr>
          <w:rFonts w:ascii="Trebuchet MS" w:eastAsia="Trebuchet MS" w:hAnsi="Trebuchet MS" w:cs="Trebuchet MS"/>
          <w:sz w:val="24"/>
          <w:szCs w:val="24"/>
        </w:rPr>
        <w:t>The complexity of data security issues in the digital age makes global data security governance encounter many practical challenges at the initial stage. From the perspective of development trend, the global data security problem in the digital age presents remarkable characteristics, which poses new challenges to the convergence of international cooperation consensus, the promotion of global data security system construction, and the improvement of national governance capacity.</w:t>
      </w:r>
    </w:p>
    <w:p w14:paraId="602BC346" w14:textId="26ECE31E" w:rsidR="4F167C5F" w:rsidRDefault="4F167C5F" w:rsidP="0575E576">
      <w:pPr>
        <w:rPr>
          <w:rFonts w:ascii="Trebuchet MS" w:eastAsia="Trebuchet MS" w:hAnsi="Trebuchet MS" w:cs="Trebuchet MS"/>
          <w:color w:val="333333"/>
          <w:sz w:val="24"/>
          <w:szCs w:val="24"/>
        </w:rPr>
      </w:pPr>
      <w:r w:rsidRPr="0575E576">
        <w:rPr>
          <w:rFonts w:ascii="Trebuchet MS" w:eastAsia="Trebuchet MS" w:hAnsi="Trebuchet MS" w:cs="Trebuchet MS"/>
          <w:sz w:val="24"/>
          <w:szCs w:val="24"/>
        </w:rPr>
        <w:t xml:space="preserve">   First, the rapid development of data technology and the accumulation of data increment increase the difficulty of reaching a global consensus on data security governance. In the traditional geopolitical game, military power is the main determinant of national competitiveness; However, in the digital geopolitical environment, data and data-dominated analysis techniques have become the key factors to seek a dominant position. The frequent global data security issues are regarded as the concentrated mapping of strategic intentions of countries under the background of competition among big powers. Some western developed countries' economic strategies reveal "protectionism" thinking and continue to carry out "strategic encirclement and suppression" in the global digital field, which leads to the phenomenon of "digital disorder" and brings multiple resistances to global data security governance. Especially with the continuous implementation of data development strategies by major developed countries and technological powers, how to prevent some sovereign countries from being excluded from the global data network and balance the data development strategies and national interests of all countries is also the key and difficult point for international actors to reach consensus and deepen cooperation in promoting the global data security governance system in the future. The complexity of data security issues in the digital age makes global data security governance encounter many practical challenges at the initial stage. From the perspective of development trend, the global data security problem in the digital </w:t>
      </w:r>
      <w:r w:rsidRPr="0575E576">
        <w:rPr>
          <w:rFonts w:ascii="Trebuchet MS" w:eastAsia="Trebuchet MS" w:hAnsi="Trebuchet MS" w:cs="Trebuchet MS"/>
          <w:sz w:val="24"/>
          <w:szCs w:val="24"/>
        </w:rPr>
        <w:lastRenderedPageBreak/>
        <w:t>age presents remarkable characteristics, which poses new challenges to the convergence of international cooperation consensus, the promotion of global data security system construction, and the improvement of national governance capacity.</w:t>
      </w:r>
    </w:p>
    <w:p w14:paraId="29FD14E1" w14:textId="3B937406" w:rsidR="4F167C5F" w:rsidRDefault="4F167C5F" w:rsidP="0575E576">
      <w:pPr>
        <w:rPr>
          <w:rFonts w:ascii="Trebuchet MS" w:eastAsia="Trebuchet MS" w:hAnsi="Trebuchet MS" w:cs="Trebuchet MS"/>
          <w:color w:val="333333"/>
          <w:sz w:val="24"/>
          <w:szCs w:val="24"/>
        </w:rPr>
      </w:pPr>
      <w:r w:rsidRPr="0575E576">
        <w:rPr>
          <w:rFonts w:ascii="Trebuchet MS" w:eastAsia="Trebuchet MS" w:hAnsi="Trebuchet MS" w:cs="Trebuchet MS"/>
          <w:sz w:val="24"/>
          <w:szCs w:val="24"/>
        </w:rPr>
        <w:t xml:space="preserve">  </w:t>
      </w:r>
      <w:r w:rsidR="0027431D">
        <w:rPr>
          <w:rFonts w:ascii="Trebuchet MS" w:eastAsia="Trebuchet MS" w:hAnsi="Trebuchet MS" w:cs="Trebuchet MS"/>
          <w:sz w:val="24"/>
          <w:szCs w:val="24"/>
        </w:rPr>
        <w:t>Second</w:t>
      </w:r>
      <w:r w:rsidRPr="0575E576">
        <w:rPr>
          <w:rFonts w:ascii="Trebuchet MS" w:eastAsia="Trebuchet MS" w:hAnsi="Trebuchet MS" w:cs="Trebuchet MS"/>
          <w:sz w:val="24"/>
          <w:szCs w:val="24"/>
        </w:rPr>
        <w:t>, the difference of governance demands of multiple data subjects increases the difficulty of building a global data security governance system. At present, there are different interests and value demands among diverse governance bodies, including governments, private sectors, and individual citizens. Under the interweaving and overlapping influence of many factors, multi-level conflicts in the construction of global data governance system have been triggered. On the one hand, there is an imbalance of data rights among governments, private sectors, and individual citizens. On the other hand, there are great differences in governance concepts and data cognition among major Internet countries in the world, and the strategies and policy priorities adopted are different. This unbalanced state forces global Internet powers to implement differentiated measures according to their own national conditions, which leads to conflicts of data management policies among countries and makes it impossible to connect with each other at the international level, thus increasing the difficulty of establishing a unified and standardized global data security governance rule and system.</w:t>
      </w:r>
    </w:p>
    <w:p w14:paraId="6C6C7C61" w14:textId="23F9FFCB" w:rsidR="4F167C5F" w:rsidRDefault="00857E41" w:rsidP="0575E576">
      <w:pPr>
        <w:rPr>
          <w:rFonts w:ascii="Trebuchet MS" w:eastAsia="Trebuchet MS" w:hAnsi="Trebuchet MS" w:cs="Trebuchet MS"/>
          <w:color w:val="333333"/>
          <w:sz w:val="24"/>
          <w:szCs w:val="24"/>
        </w:rPr>
      </w:pPr>
      <w:r>
        <w:rPr>
          <w:rFonts w:ascii="Trebuchet MS" w:eastAsia="Trebuchet MS" w:hAnsi="Trebuchet MS" w:cs="Trebuchet MS"/>
          <w:sz w:val="24"/>
          <w:szCs w:val="24"/>
        </w:rPr>
        <w:t xml:space="preserve">  </w:t>
      </w:r>
      <w:r w:rsidR="0027431D">
        <w:rPr>
          <w:rFonts w:ascii="Trebuchet MS" w:eastAsia="Trebuchet MS" w:hAnsi="Trebuchet MS" w:cs="Trebuchet MS"/>
          <w:sz w:val="24"/>
          <w:szCs w:val="24"/>
        </w:rPr>
        <w:t>Third</w:t>
      </w:r>
      <w:r w:rsidR="4F167C5F" w:rsidRPr="0575E576">
        <w:rPr>
          <w:rFonts w:ascii="Trebuchet MS" w:eastAsia="Trebuchet MS" w:hAnsi="Trebuchet MS" w:cs="Trebuchet MS"/>
          <w:sz w:val="24"/>
          <w:szCs w:val="24"/>
        </w:rPr>
        <w:t xml:space="preserve">, the lack of supply of governance system and the heterogeneity of institutional rules increases the difficulty of building global data security governance mechanism. Faced with the increasing risk and uncertainty of data security, the global data security governance rules are still in a "blank period". On the one hand, traditional governance mechanisms are frequently blocked when dealing with data security governance issues; on the other hand, some new mechanisms, and systems themselves have many shortcomings and weaknesses, which make it difficult to play a role. In addition, at the level of sovereign countries, although sovereign countries are aware of the importance and urgency of global data security governance and cooperation, they continue to promulgate laws and regulations that restrict data flow unilaterally, showing the tendency of "new digital isolationism" increasingly. It is the lack of effective institutional supply and the heterogeneity of institutional rules among sovereign countries that weaken the effectiveness of global data security governance mechanism to varying degrees. Second, the difference of governance demands of multiple data subjects increases the difficulty of building a global data security governance system. At present, there are different interests and value demands among diverse governance bodies, including governments, private sectors, and individual citizens. Under the interweaving and overlapping influence of many factors, multi-level conflicts in the construction of global data governance system have been triggered. On the one hand, there is an imbalance of data rights among governments, private sectors, and individual citizens. On the other hand, there are great differences in governance concepts and data cognition among major Internet countries in the world, and the strategies and policy priorities adopted are different. This unbalanced state forces global Internet powers to implement differentiated </w:t>
      </w:r>
      <w:r w:rsidR="4F167C5F" w:rsidRPr="0575E576">
        <w:rPr>
          <w:rFonts w:ascii="Trebuchet MS" w:eastAsia="Trebuchet MS" w:hAnsi="Trebuchet MS" w:cs="Trebuchet MS"/>
          <w:sz w:val="24"/>
          <w:szCs w:val="24"/>
        </w:rPr>
        <w:lastRenderedPageBreak/>
        <w:t>measures according to their own national conditions, which leads to conflicts of data management policies among countries and makes it impossible to connect with each other at the international level, thus increasing the difficulty of establishing a unified and standardized global data security governance rule and system.</w:t>
      </w:r>
    </w:p>
    <w:p w14:paraId="2856E2C5" w14:textId="7FF67C5F" w:rsidR="4F167C5F" w:rsidRPr="00857E41" w:rsidRDefault="00857E41" w:rsidP="00857E41">
      <w:pPr>
        <w:rPr>
          <w:rFonts w:ascii="Trebuchet MS" w:eastAsia="Trebuchet MS" w:hAnsi="Trebuchet MS" w:cs="Trebuchet MS"/>
          <w:sz w:val="24"/>
          <w:szCs w:val="24"/>
        </w:rPr>
      </w:pPr>
      <w:r>
        <w:rPr>
          <w:rFonts w:ascii="Trebuchet MS" w:eastAsia="Trebuchet MS" w:hAnsi="Trebuchet MS" w:cs="Trebuchet MS"/>
          <w:sz w:val="24"/>
          <w:szCs w:val="24"/>
        </w:rPr>
        <w:t xml:space="preserve">  </w:t>
      </w:r>
      <w:r w:rsidR="4F167C5F" w:rsidRPr="0575E576">
        <w:rPr>
          <w:rFonts w:ascii="Trebuchet MS" w:eastAsia="Trebuchet MS" w:hAnsi="Trebuchet MS" w:cs="Trebuchet MS"/>
          <w:sz w:val="24"/>
          <w:szCs w:val="24"/>
        </w:rPr>
        <w:t>F</w:t>
      </w:r>
      <w:r w:rsidR="0027431D">
        <w:rPr>
          <w:rFonts w:ascii="Trebuchet MS" w:eastAsia="Trebuchet MS" w:hAnsi="Trebuchet MS" w:cs="Trebuchet MS"/>
          <w:sz w:val="24"/>
          <w:szCs w:val="24"/>
        </w:rPr>
        <w:t>ourth</w:t>
      </w:r>
      <w:r w:rsidR="4F167C5F" w:rsidRPr="0575E576">
        <w:rPr>
          <w:rFonts w:ascii="Trebuchet MS" w:eastAsia="Trebuchet MS" w:hAnsi="Trebuchet MS" w:cs="Trebuchet MS"/>
          <w:sz w:val="24"/>
          <w:szCs w:val="24"/>
        </w:rPr>
        <w:t xml:space="preserve">, </w:t>
      </w:r>
      <w:r w:rsidR="00593475">
        <w:rPr>
          <w:rFonts w:ascii="Trebuchet MS" w:eastAsia="Trebuchet MS" w:hAnsi="Trebuchet MS" w:cs="Trebuchet MS"/>
          <w:sz w:val="24"/>
          <w:szCs w:val="24"/>
        </w:rPr>
        <w:t>“</w:t>
      </w:r>
      <w:r w:rsidR="4F167C5F" w:rsidRPr="00593475">
        <w:rPr>
          <w:rFonts w:ascii="Trebuchet MS" w:eastAsia="Trebuchet MS" w:hAnsi="Trebuchet MS" w:cs="Trebuchet MS"/>
          <w:i/>
          <w:iCs/>
          <w:sz w:val="24"/>
          <w:szCs w:val="24"/>
          <w:u w:val="single"/>
        </w:rPr>
        <w:t>the main countries in the world have formed a data security framework, and the focus has gradually shifted from the localization measures of data security to maintaining data security in the cross-border flow of data, and more emphasis has been placed on data sovereignty.</w:t>
      </w:r>
      <w:r w:rsidR="00593475" w:rsidRPr="00593475">
        <w:rPr>
          <w:rFonts w:ascii="Trebuchet MS" w:eastAsia="Trebuchet MS" w:hAnsi="Trebuchet MS" w:cs="Trebuchet MS"/>
          <w:i/>
          <w:iCs/>
          <w:sz w:val="24"/>
          <w:szCs w:val="24"/>
          <w:u w:val="single"/>
        </w:rPr>
        <w:t>”</w:t>
      </w:r>
      <w:r w:rsidR="00593475" w:rsidRPr="001E1321">
        <w:rPr>
          <w:rFonts w:ascii="Trebuchet MS" w:eastAsia="Trebuchet MS" w:hAnsi="Trebuchet MS" w:cs="Trebuchet MS"/>
          <w:sz w:val="24"/>
          <w:szCs w:val="24"/>
          <w:vertAlign w:val="superscript"/>
        </w:rPr>
        <w:t>[</w:t>
      </w:r>
      <w:r w:rsidR="001E1321" w:rsidRPr="001E1321">
        <w:rPr>
          <w:rFonts w:ascii="Trebuchet MS" w:eastAsia="Trebuchet MS" w:hAnsi="Trebuchet MS" w:cs="Trebuchet MS"/>
          <w:sz w:val="24"/>
          <w:szCs w:val="24"/>
          <w:vertAlign w:val="superscript"/>
        </w:rPr>
        <w:t>6</w:t>
      </w:r>
      <w:r w:rsidR="00593475" w:rsidRPr="001E1321">
        <w:rPr>
          <w:rFonts w:ascii="Trebuchet MS" w:eastAsia="Trebuchet MS" w:hAnsi="Trebuchet MS" w:cs="Trebuchet MS"/>
          <w:sz w:val="24"/>
          <w:szCs w:val="24"/>
          <w:vertAlign w:val="superscript"/>
        </w:rPr>
        <w:t>]</w:t>
      </w:r>
      <w:r w:rsidR="4F167C5F" w:rsidRPr="0575E576">
        <w:rPr>
          <w:rFonts w:ascii="Trebuchet MS" w:eastAsia="Trebuchet MS" w:hAnsi="Trebuchet MS" w:cs="Trebuchet MS"/>
          <w:sz w:val="24"/>
          <w:szCs w:val="24"/>
        </w:rPr>
        <w:t xml:space="preserve"> Under the general trend of global data flow and increasingly frequent cross-border services, on the one hand, countries all over the world continue to pay more attention to data protection. After initial exploration and practice, relevant rules are constantly integrated and improved, and the framework for maintaining data security is taking shape. Unified legislation has been made around data security, the classification and classification management mechanism of data has been continuously improved, and the main responsibility has become clearer. </w:t>
      </w:r>
      <w:r w:rsidR="00BA403E">
        <w:rPr>
          <w:rFonts w:ascii="Trebuchet MS" w:eastAsia="Trebuchet MS" w:hAnsi="Trebuchet MS" w:cs="Trebuchet MS"/>
          <w:sz w:val="24"/>
          <w:szCs w:val="24"/>
        </w:rPr>
        <w:t xml:space="preserve">     </w:t>
      </w:r>
      <w:r>
        <w:rPr>
          <w:rFonts w:ascii="Trebuchet MS" w:eastAsia="Trebuchet MS" w:hAnsi="Trebuchet MS" w:cs="Trebuchet MS"/>
          <w:sz w:val="24"/>
          <w:szCs w:val="24"/>
        </w:rPr>
        <w:t xml:space="preserve"> </w:t>
      </w:r>
      <w:r w:rsidR="4F167C5F" w:rsidRPr="0575E576">
        <w:rPr>
          <w:rFonts w:ascii="Trebuchet MS" w:eastAsia="Trebuchet MS" w:hAnsi="Trebuchet MS" w:cs="Trebuchet MS"/>
          <w:sz w:val="24"/>
          <w:szCs w:val="24"/>
        </w:rPr>
        <w:t xml:space="preserve">On the other hand, under the background of the prominent strategic value of data, countries all over the world increasingly emphasize the control of data. The cross-border flow of data is no longer simply one in and one out but relates to the interests of a country and reflects its sovereignty. When dealing with cross-border data flow, some countries with more developed technical capabilities encourage cross-border data flow and further expand their dominant position, even insisting on the concept and practice of "long-arm jurisdiction", while other countries with relatively weak technical capabilities tend to focus on defense, and advocate putting forward an institutional framework to regulate cross-border data flow from their own demands for data sovereignty, so as to earnestly safeguard their sovereign interests. Therefore, the confrontation about data ownership will not only stop in a brief time, but even get worse and worse, showing a multi-level and multi-game situation. On the international stage of data security and governance, it is urgent for all countries to build consensus, enhance mutual trust and work together to build a community of digital destiny. Game confrontation should not be the purpose. It is the common interest of the international community and the universal appeal of all countries to promote economic development, realize digital inclusiveness and respond to risk challenges through digital security. To this end, many countries have made positive and concrete contributions. Take "Global Data Security Initiative" initiated by China government on September 8th, 2020, as an example. As the first global initiative in the field of data security, the content of this initiative faces international concerns, calls on all parties in all countries to actively participate and make commitments, and advocates the international community to reach an international agreement based on universal participation to jointly promote data security and build a community of digital destiny. The initiative received extensive attention from the International Social Council and positive feedback like "correct" and "pragmatic". It will continue to contribute to the construction of a new digital governance order that conforms to the wishes and interests of most countries, and to the joint efforts of all countries in the </w:t>
      </w:r>
      <w:r w:rsidR="4F167C5F" w:rsidRPr="0575E576">
        <w:rPr>
          <w:rFonts w:ascii="Trebuchet MS" w:eastAsia="Trebuchet MS" w:hAnsi="Trebuchet MS" w:cs="Trebuchet MS"/>
          <w:sz w:val="24"/>
          <w:szCs w:val="24"/>
        </w:rPr>
        <w:lastRenderedPageBreak/>
        <w:t>world to safeguard global digital security. In the future, only by increasing cooperation, enhancing mutual trust, and reducing confrontation among all countries and parties can we achieve mutual benefit and win-win results in data security and governance.</w:t>
      </w:r>
    </w:p>
    <w:p w14:paraId="1B81530F" w14:textId="7F7B1B45" w:rsidR="4F167C5F" w:rsidRPr="00D82D0B" w:rsidRDefault="4F167C5F" w:rsidP="0575E576">
      <w:pPr>
        <w:rPr>
          <w:rFonts w:ascii="Trebuchet MS" w:eastAsia="Trebuchet MS" w:hAnsi="Trebuchet MS" w:cs="Trebuchet MS"/>
          <w:color w:val="333333"/>
          <w:sz w:val="24"/>
          <w:szCs w:val="24"/>
        </w:rPr>
      </w:pPr>
      <w:r w:rsidRPr="0575E576">
        <w:rPr>
          <w:rFonts w:ascii="Trebuchet MS" w:eastAsia="Trebuchet MS" w:hAnsi="Trebuchet MS" w:cs="Trebuchet MS"/>
          <w:sz w:val="24"/>
          <w:szCs w:val="24"/>
        </w:rPr>
        <w:t xml:space="preserve">   In view of the technical and application characteristics of data security, there are still many practical challenges to effectively ensure global data security. </w:t>
      </w:r>
      <w:r w:rsidR="00D82D0B">
        <w:rPr>
          <w:rFonts w:ascii="Trebuchet MS" w:eastAsia="Trebuchet MS" w:hAnsi="Trebuchet MS" w:cs="Trebuchet MS"/>
          <w:sz w:val="24"/>
          <w:szCs w:val="24"/>
        </w:rPr>
        <w:t>“</w:t>
      </w:r>
      <w:r w:rsidRPr="00D82D0B">
        <w:rPr>
          <w:rFonts w:ascii="Trebuchet MS" w:eastAsia="Trebuchet MS" w:hAnsi="Trebuchet MS" w:cs="Trebuchet MS"/>
          <w:i/>
          <w:iCs/>
          <w:sz w:val="24"/>
          <w:szCs w:val="24"/>
          <w:u w:val="single"/>
        </w:rPr>
        <w:t>Therefore, under the background of digital economy, how to promote the international community to reach a consensus on the development and security of global data, and on the premise of respecting data sovereignty, establish mechanisms and standards for international data flow, disclosure and sharing, so that data can become information technology achievements shared by all mankind, is a common issue that needs to be faced and solved urgently in the future.</w:t>
      </w:r>
      <w:r w:rsidR="00D82D0B" w:rsidRPr="00D82D0B">
        <w:rPr>
          <w:rFonts w:ascii="Trebuchet MS" w:eastAsia="Trebuchet MS" w:hAnsi="Trebuchet MS" w:cs="Trebuchet MS"/>
          <w:i/>
          <w:iCs/>
          <w:sz w:val="24"/>
          <w:szCs w:val="24"/>
          <w:u w:val="single"/>
        </w:rPr>
        <w:t>”</w:t>
      </w:r>
      <w:r w:rsidR="00D82D0B">
        <w:rPr>
          <w:rFonts w:ascii="Trebuchet MS" w:eastAsia="Trebuchet MS" w:hAnsi="Trebuchet MS" w:cs="Trebuchet MS"/>
          <w:sz w:val="24"/>
          <w:szCs w:val="24"/>
        </w:rPr>
        <w:t xml:space="preserve"> </w:t>
      </w:r>
      <w:r w:rsidR="00D82D0B" w:rsidRPr="00D82D0B">
        <w:rPr>
          <w:rFonts w:ascii="Trebuchet MS" w:eastAsia="Trebuchet MS" w:hAnsi="Trebuchet MS" w:cs="Trebuchet MS"/>
          <w:sz w:val="24"/>
          <w:szCs w:val="24"/>
          <w:vertAlign w:val="superscript"/>
        </w:rPr>
        <w:t>[5]</w:t>
      </w:r>
    </w:p>
    <w:p w14:paraId="3EA4DCA8" w14:textId="42791AAE" w:rsidR="08697153" w:rsidRDefault="08697153" w:rsidP="0575E576">
      <w:pPr>
        <w:rPr>
          <w:rFonts w:ascii="Trebuchet MS" w:eastAsia="Trebuchet MS" w:hAnsi="Trebuchet MS" w:cs="Trebuchet MS"/>
          <w:b/>
          <w:bCs/>
          <w:color w:val="4472C4" w:themeColor="accent1"/>
          <w:sz w:val="24"/>
          <w:szCs w:val="24"/>
        </w:rPr>
      </w:pPr>
      <w:r w:rsidRPr="0575E576">
        <w:rPr>
          <w:rFonts w:ascii="Trebuchet MS" w:eastAsia="Trebuchet MS" w:hAnsi="Trebuchet MS" w:cs="Trebuchet MS"/>
          <w:b/>
          <w:bCs/>
          <w:color w:val="4472C4" w:themeColor="accent1"/>
          <w:sz w:val="24"/>
          <w:szCs w:val="24"/>
          <w:u w:val="single"/>
        </w:rPr>
        <w:t>Conclusion:</w:t>
      </w:r>
      <w:r w:rsidRPr="0575E576">
        <w:rPr>
          <w:rFonts w:ascii="Trebuchet MS" w:eastAsia="Trebuchet MS" w:hAnsi="Trebuchet MS" w:cs="Trebuchet MS"/>
          <w:b/>
          <w:bCs/>
          <w:color w:val="4472C4" w:themeColor="accent1"/>
          <w:sz w:val="24"/>
          <w:szCs w:val="24"/>
        </w:rPr>
        <w:t xml:space="preserve"> </w:t>
      </w:r>
    </w:p>
    <w:p w14:paraId="62C7991E" w14:textId="223CD39E" w:rsidR="1178043A" w:rsidRDefault="670DFB6E" w:rsidP="0575E576">
      <w:pPr>
        <w:rPr>
          <w:rFonts w:ascii="Trebuchet MS" w:eastAsia="Trebuchet MS" w:hAnsi="Trebuchet MS" w:cs="Trebuchet MS"/>
          <w:sz w:val="24"/>
          <w:szCs w:val="24"/>
        </w:rPr>
      </w:pPr>
      <w:r w:rsidRPr="0575E576">
        <w:rPr>
          <w:rFonts w:ascii="Trebuchet MS" w:eastAsia="Trebuchet MS" w:hAnsi="Trebuchet MS" w:cs="Trebuchet MS"/>
          <w:sz w:val="24"/>
          <w:szCs w:val="24"/>
        </w:rPr>
        <w:t>T</w:t>
      </w:r>
      <w:r w:rsidR="1178043A" w:rsidRPr="0575E576">
        <w:rPr>
          <w:rFonts w:ascii="Trebuchet MS" w:eastAsia="Trebuchet MS" w:hAnsi="Trebuchet MS" w:cs="Trebuchet MS"/>
          <w:sz w:val="24"/>
          <w:szCs w:val="24"/>
        </w:rPr>
        <w:t>his paper</w:t>
      </w:r>
      <w:r w:rsidR="1B371D59" w:rsidRPr="0575E576">
        <w:rPr>
          <w:rFonts w:ascii="Trebuchet MS" w:eastAsia="Trebuchet MS" w:hAnsi="Trebuchet MS" w:cs="Trebuchet MS"/>
          <w:sz w:val="24"/>
          <w:szCs w:val="24"/>
        </w:rPr>
        <w:t xml:space="preserve"> represents the dilemmas </w:t>
      </w:r>
      <w:r w:rsidR="578A9909" w:rsidRPr="0575E576">
        <w:rPr>
          <w:rFonts w:ascii="Trebuchet MS" w:eastAsia="Trebuchet MS" w:hAnsi="Trebuchet MS" w:cs="Trebuchet MS"/>
          <w:sz w:val="24"/>
          <w:szCs w:val="24"/>
        </w:rPr>
        <w:t xml:space="preserve">of global data governance and what measures should be </w:t>
      </w:r>
      <w:r w:rsidR="43AA386A" w:rsidRPr="0575E576">
        <w:rPr>
          <w:rFonts w:ascii="Trebuchet MS" w:eastAsia="Trebuchet MS" w:hAnsi="Trebuchet MS" w:cs="Trebuchet MS"/>
          <w:sz w:val="24"/>
          <w:szCs w:val="24"/>
        </w:rPr>
        <w:t>taken</w:t>
      </w:r>
      <w:r w:rsidR="578A9909" w:rsidRPr="0575E576">
        <w:rPr>
          <w:rFonts w:ascii="Trebuchet MS" w:eastAsia="Trebuchet MS" w:hAnsi="Trebuchet MS" w:cs="Trebuchet MS"/>
          <w:sz w:val="24"/>
          <w:szCs w:val="24"/>
        </w:rPr>
        <w:t xml:space="preserve"> when a company undergoes a policy problem or </w:t>
      </w:r>
      <w:r w:rsidR="24B1ACBA" w:rsidRPr="0575E576">
        <w:rPr>
          <w:rFonts w:ascii="Trebuchet MS" w:eastAsia="Trebuchet MS" w:hAnsi="Trebuchet MS" w:cs="Trebuchet MS"/>
          <w:sz w:val="24"/>
          <w:szCs w:val="24"/>
        </w:rPr>
        <w:t xml:space="preserve">security of the data. Various measures </w:t>
      </w:r>
      <w:r w:rsidR="67C5822E" w:rsidRPr="0575E576">
        <w:rPr>
          <w:rFonts w:ascii="Trebuchet MS" w:eastAsia="Trebuchet MS" w:hAnsi="Trebuchet MS" w:cs="Trebuchet MS"/>
          <w:sz w:val="24"/>
          <w:szCs w:val="24"/>
        </w:rPr>
        <w:t>have</w:t>
      </w:r>
      <w:r w:rsidR="24B1ACBA" w:rsidRPr="0575E576">
        <w:rPr>
          <w:rFonts w:ascii="Trebuchet MS" w:eastAsia="Trebuchet MS" w:hAnsi="Trebuchet MS" w:cs="Trebuchet MS"/>
          <w:sz w:val="24"/>
          <w:szCs w:val="24"/>
        </w:rPr>
        <w:t xml:space="preserve"> been discussed in the paper </w:t>
      </w:r>
      <w:r w:rsidR="6F9F8C91" w:rsidRPr="0575E576">
        <w:rPr>
          <w:rFonts w:ascii="Trebuchet MS" w:eastAsia="Trebuchet MS" w:hAnsi="Trebuchet MS" w:cs="Trebuchet MS"/>
          <w:sz w:val="24"/>
          <w:szCs w:val="24"/>
        </w:rPr>
        <w:t>such as policy related measures, role ITIL and risk managements regarding global data security.</w:t>
      </w:r>
    </w:p>
    <w:p w14:paraId="5332B87F" w14:textId="200F205B" w:rsidR="0575E576" w:rsidRDefault="0575E576" w:rsidP="0575E576">
      <w:pPr>
        <w:rPr>
          <w:rFonts w:ascii="Trebuchet MS" w:eastAsia="Trebuchet MS" w:hAnsi="Trebuchet MS" w:cs="Trebuchet MS"/>
          <w:b/>
          <w:bCs/>
          <w:color w:val="4472C4" w:themeColor="accent1"/>
          <w:sz w:val="24"/>
          <w:szCs w:val="24"/>
        </w:rPr>
      </w:pPr>
    </w:p>
    <w:p w14:paraId="12CC404F" w14:textId="74119553" w:rsidR="1178043A" w:rsidRDefault="1178043A" w:rsidP="0575E576">
      <w:pPr>
        <w:rPr>
          <w:rFonts w:ascii="Trebuchet MS" w:eastAsia="Trebuchet MS" w:hAnsi="Trebuchet MS" w:cs="Trebuchet MS"/>
          <w:b/>
          <w:bCs/>
          <w:color w:val="4472C4" w:themeColor="accent1"/>
          <w:sz w:val="24"/>
          <w:szCs w:val="24"/>
        </w:rPr>
      </w:pPr>
      <w:r w:rsidRPr="0575E576">
        <w:rPr>
          <w:rFonts w:ascii="Trebuchet MS" w:eastAsia="Trebuchet MS" w:hAnsi="Trebuchet MS" w:cs="Trebuchet MS"/>
          <w:b/>
          <w:bCs/>
          <w:color w:val="4472C4" w:themeColor="accent1"/>
          <w:sz w:val="24"/>
          <w:szCs w:val="24"/>
          <w:u w:val="single"/>
        </w:rPr>
        <w:t>Referencing &amp; Citations:</w:t>
      </w:r>
      <w:r w:rsidRPr="0575E576">
        <w:rPr>
          <w:rFonts w:ascii="Trebuchet MS" w:eastAsia="Trebuchet MS" w:hAnsi="Trebuchet MS" w:cs="Trebuchet MS"/>
          <w:sz w:val="24"/>
          <w:szCs w:val="24"/>
        </w:rPr>
        <w:t xml:space="preserve"> </w:t>
      </w:r>
    </w:p>
    <w:p w14:paraId="5784A602" w14:textId="55B1C3A5" w:rsidR="00CF6845" w:rsidRDefault="00CF6845" w:rsidP="00CF6845">
      <w:pPr>
        <w:pStyle w:val="ListParagraph"/>
        <w:numPr>
          <w:ilvl w:val="0"/>
          <w:numId w:val="1"/>
        </w:numPr>
        <w:rPr>
          <w:rFonts w:ascii="Trebuchet MS" w:eastAsia="Trebuchet MS" w:hAnsi="Trebuchet MS" w:cs="Trebuchet MS"/>
          <w:sz w:val="24"/>
          <w:szCs w:val="24"/>
        </w:rPr>
      </w:pPr>
      <w:bookmarkStart w:id="4" w:name="_Ref124171735"/>
      <w:r w:rsidRPr="0575E576">
        <w:rPr>
          <w:rFonts w:ascii="Trebuchet MS" w:eastAsia="Trebuchet MS" w:hAnsi="Trebuchet MS" w:cs="Trebuchet MS"/>
          <w:sz w:val="24"/>
          <w:szCs w:val="24"/>
        </w:rPr>
        <w:t>The role of the chief information security officer in the management of IT security [J]. Erastus Karanja. Information and Computer Security. 2017</w:t>
      </w:r>
      <w:r>
        <w:rPr>
          <w:rFonts w:ascii="Trebuchet MS" w:eastAsia="Trebuchet MS" w:hAnsi="Trebuchet MS" w:cs="Trebuchet MS"/>
          <w:sz w:val="24"/>
          <w:szCs w:val="24"/>
        </w:rPr>
        <w:t>.</w:t>
      </w:r>
      <w:r w:rsidRPr="0575E576">
        <w:rPr>
          <w:rFonts w:ascii="Trebuchet MS" w:eastAsia="Trebuchet MS" w:hAnsi="Trebuchet MS" w:cs="Trebuchet MS"/>
          <w:sz w:val="24"/>
          <w:szCs w:val="24"/>
        </w:rPr>
        <w:t>(</w:t>
      </w:r>
      <w:r>
        <w:rPr>
          <w:rFonts w:ascii="Trebuchet MS" w:eastAsia="Trebuchet MS" w:hAnsi="Trebuchet MS" w:cs="Trebuchet MS"/>
          <w:sz w:val="24"/>
          <w:szCs w:val="24"/>
        </w:rPr>
        <w:t>1</w:t>
      </w:r>
      <w:r w:rsidRPr="0575E576">
        <w:rPr>
          <w:rFonts w:ascii="Trebuchet MS" w:eastAsia="Trebuchet MS" w:hAnsi="Trebuchet MS" w:cs="Trebuchet MS"/>
          <w:sz w:val="24"/>
          <w:szCs w:val="24"/>
        </w:rPr>
        <w:t>)</w:t>
      </w:r>
    </w:p>
    <w:p w14:paraId="422A5999" w14:textId="060E4A78" w:rsidR="00BE5ACE" w:rsidRDefault="00BE5ACE" w:rsidP="00BE5ACE">
      <w:pPr>
        <w:pStyle w:val="ListParagraph"/>
        <w:numPr>
          <w:ilvl w:val="0"/>
          <w:numId w:val="1"/>
        </w:numPr>
        <w:rPr>
          <w:rFonts w:ascii="Trebuchet MS" w:eastAsia="Trebuchet MS" w:hAnsi="Trebuchet MS" w:cs="Trebuchet MS"/>
          <w:sz w:val="24"/>
          <w:szCs w:val="24"/>
        </w:rPr>
      </w:pPr>
      <w:r w:rsidRPr="0575E576">
        <w:rPr>
          <w:rFonts w:ascii="Trebuchet MS" w:eastAsia="Trebuchet MS" w:hAnsi="Trebuchet MS" w:cs="Trebuchet MS"/>
          <w:sz w:val="24"/>
          <w:szCs w:val="24"/>
        </w:rPr>
        <w:t>Data Is Power: Washington Needs to Craft New Rules for the Digital Age [J]. Matthew J Slaughter, David H McCormick. Foreign Affairs. 2021 (</w:t>
      </w:r>
      <w:r w:rsidR="00EA753C">
        <w:rPr>
          <w:rFonts w:ascii="Trebuchet MS" w:eastAsia="Trebuchet MS" w:hAnsi="Trebuchet MS" w:cs="Trebuchet MS"/>
          <w:sz w:val="24"/>
          <w:szCs w:val="24"/>
        </w:rPr>
        <w:t>2</w:t>
      </w:r>
      <w:r w:rsidRPr="0575E576">
        <w:rPr>
          <w:rFonts w:ascii="Trebuchet MS" w:eastAsia="Trebuchet MS" w:hAnsi="Trebuchet MS" w:cs="Trebuchet MS"/>
          <w:sz w:val="24"/>
          <w:szCs w:val="24"/>
        </w:rPr>
        <w:t>)</w:t>
      </w:r>
    </w:p>
    <w:p w14:paraId="1FAB67DC" w14:textId="08878004" w:rsidR="00BE5ACE" w:rsidRPr="00BE5ACE" w:rsidRDefault="00BE5ACE" w:rsidP="00BE5ACE">
      <w:pPr>
        <w:pStyle w:val="ListParagraph"/>
        <w:numPr>
          <w:ilvl w:val="0"/>
          <w:numId w:val="1"/>
        </w:numPr>
        <w:rPr>
          <w:rFonts w:ascii="Trebuchet MS" w:eastAsia="Trebuchet MS" w:hAnsi="Trebuchet MS" w:cs="Trebuchet MS"/>
          <w:sz w:val="24"/>
          <w:szCs w:val="24"/>
        </w:rPr>
      </w:pPr>
      <w:r w:rsidRPr="0575E576">
        <w:rPr>
          <w:rFonts w:ascii="Trebuchet MS" w:eastAsia="Trebuchet MS" w:hAnsi="Trebuchet MS" w:cs="Trebuchet MS"/>
          <w:sz w:val="24"/>
          <w:szCs w:val="24"/>
        </w:rPr>
        <w:t>Digital colonialism: US empire and the new imperialism in the Global South [J]. Michael Kwet. Race ＆ Class. 2019 (</w:t>
      </w:r>
      <w:r w:rsidR="00EA753C">
        <w:rPr>
          <w:rFonts w:ascii="Trebuchet MS" w:eastAsia="Trebuchet MS" w:hAnsi="Trebuchet MS" w:cs="Trebuchet MS"/>
          <w:sz w:val="24"/>
          <w:szCs w:val="24"/>
        </w:rPr>
        <w:t>3</w:t>
      </w:r>
      <w:r w:rsidRPr="0575E576">
        <w:rPr>
          <w:rFonts w:ascii="Trebuchet MS" w:eastAsia="Trebuchet MS" w:hAnsi="Trebuchet MS" w:cs="Trebuchet MS"/>
          <w:sz w:val="24"/>
          <w:szCs w:val="24"/>
        </w:rPr>
        <w:t>).</w:t>
      </w:r>
    </w:p>
    <w:p w14:paraId="6F5891AA" w14:textId="199B0776" w:rsidR="1178043A" w:rsidRDefault="1178043A" w:rsidP="0575E576">
      <w:pPr>
        <w:pStyle w:val="ListParagraph"/>
        <w:numPr>
          <w:ilvl w:val="0"/>
          <w:numId w:val="1"/>
        </w:numPr>
        <w:rPr>
          <w:rFonts w:ascii="Trebuchet MS" w:eastAsia="Trebuchet MS" w:hAnsi="Trebuchet MS" w:cs="Trebuchet MS"/>
          <w:sz w:val="24"/>
          <w:szCs w:val="24"/>
        </w:rPr>
      </w:pPr>
      <w:r w:rsidRPr="0575E576">
        <w:rPr>
          <w:rFonts w:ascii="Trebuchet MS" w:eastAsia="Trebuchet MS" w:hAnsi="Trebuchet MS" w:cs="Trebuchet MS"/>
          <w:sz w:val="24"/>
          <w:szCs w:val="24"/>
        </w:rPr>
        <w:t>Global data governance: challenges and responses [J]. Cai Cuihong, Wang Yuanzhi. International Studies .2020 (</w:t>
      </w:r>
      <w:r w:rsidR="001E1321">
        <w:rPr>
          <w:rFonts w:ascii="Trebuchet MS" w:eastAsia="Trebuchet MS" w:hAnsi="Trebuchet MS" w:cs="Trebuchet MS"/>
          <w:sz w:val="24"/>
          <w:szCs w:val="24"/>
        </w:rPr>
        <w:t>4</w:t>
      </w:r>
      <w:r w:rsidRPr="0575E576">
        <w:rPr>
          <w:rFonts w:ascii="Trebuchet MS" w:eastAsia="Trebuchet MS" w:hAnsi="Trebuchet MS" w:cs="Trebuchet MS"/>
          <w:sz w:val="24"/>
          <w:szCs w:val="24"/>
        </w:rPr>
        <w:t>)</w:t>
      </w:r>
      <w:bookmarkEnd w:id="4"/>
    </w:p>
    <w:p w14:paraId="58E0238A" w14:textId="69EAFDE9" w:rsidR="1178043A" w:rsidRDefault="1178043A" w:rsidP="0575E576">
      <w:pPr>
        <w:pStyle w:val="ListParagraph"/>
        <w:numPr>
          <w:ilvl w:val="0"/>
          <w:numId w:val="1"/>
        </w:numPr>
        <w:rPr>
          <w:rFonts w:ascii="Trebuchet MS" w:eastAsia="Trebuchet MS" w:hAnsi="Trebuchet MS" w:cs="Trebuchet MS"/>
          <w:sz w:val="24"/>
          <w:szCs w:val="24"/>
        </w:rPr>
      </w:pPr>
      <w:r w:rsidRPr="0575E576">
        <w:rPr>
          <w:rFonts w:ascii="Trebuchet MS" w:eastAsia="Trebuchet MS" w:hAnsi="Trebuchet MS" w:cs="Trebuchet MS"/>
          <w:sz w:val="24"/>
          <w:szCs w:val="24"/>
        </w:rPr>
        <w:t xml:space="preserve">On the unilateral expansion of extraterritorial data enforcement </w:t>
      </w:r>
      <w:bookmarkStart w:id="5" w:name="_Int_Bb3Q68Sh"/>
      <w:r w:rsidRPr="0575E576">
        <w:rPr>
          <w:rFonts w:ascii="Trebuchet MS" w:eastAsia="Trebuchet MS" w:hAnsi="Trebuchet MS" w:cs="Trebuchet MS"/>
          <w:sz w:val="24"/>
          <w:szCs w:val="24"/>
        </w:rPr>
        <w:t>jurisdiction</w:t>
      </w:r>
      <w:bookmarkEnd w:id="5"/>
      <w:r w:rsidRPr="0575E576">
        <w:rPr>
          <w:rFonts w:ascii="Trebuchet MS" w:eastAsia="Trebuchet MS" w:hAnsi="Trebuchet MS" w:cs="Trebuchet MS"/>
          <w:sz w:val="24"/>
          <w:szCs w:val="24"/>
        </w:rPr>
        <w:t xml:space="preserve"> [J]. Shao Yi. Social Sciences. 2020(</w:t>
      </w:r>
      <w:r w:rsidR="001E1321">
        <w:rPr>
          <w:rFonts w:ascii="Trebuchet MS" w:eastAsia="Trebuchet MS" w:hAnsi="Trebuchet MS" w:cs="Trebuchet MS"/>
          <w:sz w:val="24"/>
          <w:szCs w:val="24"/>
        </w:rPr>
        <w:t>05</w:t>
      </w:r>
      <w:r w:rsidRPr="0575E576">
        <w:rPr>
          <w:rFonts w:ascii="Trebuchet MS" w:eastAsia="Trebuchet MS" w:hAnsi="Trebuchet MS" w:cs="Trebuchet MS"/>
          <w:sz w:val="24"/>
          <w:szCs w:val="24"/>
        </w:rPr>
        <w:t>)</w:t>
      </w:r>
    </w:p>
    <w:p w14:paraId="3E9B3BBA" w14:textId="008CC9AA" w:rsidR="1178043A" w:rsidRDefault="1178043A" w:rsidP="0575E576">
      <w:pPr>
        <w:pStyle w:val="ListParagraph"/>
        <w:numPr>
          <w:ilvl w:val="0"/>
          <w:numId w:val="1"/>
        </w:numPr>
        <w:rPr>
          <w:rFonts w:ascii="Trebuchet MS" w:eastAsia="Trebuchet MS" w:hAnsi="Trebuchet MS" w:cs="Trebuchet MS"/>
          <w:sz w:val="24"/>
          <w:szCs w:val="24"/>
        </w:rPr>
      </w:pPr>
      <w:r w:rsidRPr="0575E576">
        <w:rPr>
          <w:rFonts w:ascii="Trebuchet MS" w:eastAsia="Trebuchet MS" w:hAnsi="Trebuchet MS" w:cs="Trebuchet MS"/>
          <w:sz w:val="24"/>
          <w:szCs w:val="24"/>
        </w:rPr>
        <w:t>The value and system orientation of the Data Security Law from the perspective of the overall national security concept [J]. Zhu Xuezhong, Dai Zhizhi. E-government.2020 (0</w:t>
      </w:r>
      <w:r w:rsidR="001E1321">
        <w:rPr>
          <w:rFonts w:ascii="Trebuchet MS" w:eastAsia="Trebuchet MS" w:hAnsi="Trebuchet MS" w:cs="Trebuchet MS"/>
          <w:sz w:val="24"/>
          <w:szCs w:val="24"/>
        </w:rPr>
        <w:t>6</w:t>
      </w:r>
      <w:r w:rsidRPr="0575E576">
        <w:rPr>
          <w:rFonts w:ascii="Trebuchet MS" w:eastAsia="Trebuchet MS" w:hAnsi="Trebuchet MS" w:cs="Trebuchet MS"/>
          <w:sz w:val="24"/>
          <w:szCs w:val="24"/>
        </w:rPr>
        <w:t>)</w:t>
      </w:r>
    </w:p>
    <w:p w14:paraId="5BF05F2F" w14:textId="6E7D01E5" w:rsidR="00290E77" w:rsidRDefault="00290E77" w:rsidP="00290E77">
      <w:pPr>
        <w:rPr>
          <w:rFonts w:ascii="Trebuchet MS" w:eastAsia="Trebuchet MS" w:hAnsi="Trebuchet MS" w:cs="Trebuchet MS"/>
          <w:sz w:val="24"/>
          <w:szCs w:val="24"/>
        </w:rPr>
      </w:pPr>
    </w:p>
    <w:p w14:paraId="4CBE98BD" w14:textId="77777777" w:rsidR="00290E77" w:rsidRPr="00290E77" w:rsidRDefault="00290E77" w:rsidP="00290E77">
      <w:pPr>
        <w:rPr>
          <w:rFonts w:ascii="Trebuchet MS" w:eastAsia="Trebuchet MS" w:hAnsi="Trebuchet MS" w:cs="Trebuchet MS"/>
          <w:sz w:val="24"/>
          <w:szCs w:val="24"/>
        </w:rPr>
      </w:pPr>
    </w:p>
    <w:p w14:paraId="7482D1D3" w14:textId="10280B41" w:rsidR="0575E576" w:rsidRDefault="0575E576" w:rsidP="0575E576">
      <w:pPr>
        <w:rPr>
          <w:b/>
          <w:bCs/>
          <w:color w:val="333333"/>
          <w:sz w:val="27"/>
          <w:szCs w:val="27"/>
        </w:rPr>
      </w:pPr>
    </w:p>
    <w:sectPr w:rsidR="0575E5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xM6h6V0Uha0kh" int2:id="oDOPfgWD">
      <int2:state int2:value="Rejected" int2:type="AugLoop_Text_Critique"/>
    </int2:textHash>
    <int2:textHash int2:hashCode="fkwRSFJAvWEYzQ" int2:id="xxzkFiED">
      <int2:state int2:value="Rejected" int2:type="AugLoop_Text_Critique"/>
    </int2:textHash>
    <int2:textHash int2:hashCode="gWgQ+15uEg06DN" int2:id="UQ4uqI8i">
      <int2:state int2:value="Rejected" int2:type="AugLoop_Text_Critique"/>
    </int2:textHash>
    <int2:textHash int2:hashCode="wX7KubBRa0m45e" int2:id="l7YaVNKz">
      <int2:state int2:value="Rejected" int2:type="AugLoop_Text_Critique"/>
    </int2:textHash>
    <int2:bookmark int2:bookmarkName="_Int_Bb3Q68Sh" int2:invalidationBookmarkName="" int2:hashCode="FiNCzSReCiV7Qq" int2:id="f8c0BfDu">
      <int2:state int2:value="Rejected" int2:type="AugLoop_Text_Critique"/>
    </int2:bookmark>
    <int2:bookmark int2:bookmarkName="_Int_IHwywc0p" int2:invalidationBookmarkName="" int2:hashCode="FiNCzSReCiV7Qq" int2:id="KwvbOfXh">
      <int2:state int2:value="Rejected" int2:type="AugLoop_Text_Critique"/>
    </int2:bookmark>
    <int2:bookmark int2:bookmarkName="_Int_6iBUG072" int2:invalidationBookmarkName="" int2:hashCode="FiNCzSReCiV7Qq" int2:id="dJeidz4a">
      <int2:state int2:value="Rejected" int2:type="AugLoop_Text_Critique"/>
    </int2:bookmark>
  </int2:observations>
  <int2:intelligenceSettings/>
  <int2:onDemandWorkflows>
    <int2:onDemandWorkflow int2:type="SimilarityCheck" int2:paragraphVersions="6E3B214F-44E860BB 51732D45-2DA1DA96 30735F67-4752FECF 30159E53-0CD921A5 488C1D10-09EB42C2 1F08C05E-1802ADFF 365D8476-23353313 15ED2C30-6B48039A 2A5E5C85-7F0B94FF 2D639258-02593CC5 065E02B8-570495A7 62F98107-1750ED8E 3C11CDFA-5769B1B8 65E1944C-5632BB51 22B2550E-02E6A79D 4C989333-3D654EF2 4637885B-33CE0605 514ACA2A-5B39C7FE 7935C4C8-775A7D7B 552DE127-6242B045 6D0A979C-5BFEA489 54698F8B-29505B21 20BD796E-02C6F48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AEF5"/>
    <w:multiLevelType w:val="multilevel"/>
    <w:tmpl w:val="9954A5D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22471722"/>
    <w:multiLevelType w:val="multilevel"/>
    <w:tmpl w:val="6B3A0F8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5E144D7"/>
    <w:multiLevelType w:val="hybridMultilevel"/>
    <w:tmpl w:val="7A10466E"/>
    <w:lvl w:ilvl="0" w:tplc="47C60884">
      <w:start w:val="1"/>
      <w:numFmt w:val="decimal"/>
      <w:lvlText w:val="%1."/>
      <w:lvlJc w:val="left"/>
      <w:pPr>
        <w:ind w:left="720" w:hanging="360"/>
      </w:pPr>
    </w:lvl>
    <w:lvl w:ilvl="1" w:tplc="2E9A1908">
      <w:start w:val="1"/>
      <w:numFmt w:val="lowerLetter"/>
      <w:lvlText w:val="%2."/>
      <w:lvlJc w:val="left"/>
      <w:pPr>
        <w:ind w:left="1440" w:hanging="360"/>
      </w:pPr>
    </w:lvl>
    <w:lvl w:ilvl="2" w:tplc="BDEED1D0">
      <w:start w:val="1"/>
      <w:numFmt w:val="lowerRoman"/>
      <w:lvlText w:val="%3."/>
      <w:lvlJc w:val="right"/>
      <w:pPr>
        <w:ind w:left="2160" w:hanging="180"/>
      </w:pPr>
    </w:lvl>
    <w:lvl w:ilvl="3" w:tplc="9CD2AEC6">
      <w:start w:val="1"/>
      <w:numFmt w:val="decimal"/>
      <w:lvlText w:val="%4."/>
      <w:lvlJc w:val="left"/>
      <w:pPr>
        <w:ind w:left="2880" w:hanging="360"/>
      </w:pPr>
    </w:lvl>
    <w:lvl w:ilvl="4" w:tplc="5038ED72">
      <w:start w:val="1"/>
      <w:numFmt w:val="lowerLetter"/>
      <w:lvlText w:val="%5."/>
      <w:lvlJc w:val="left"/>
      <w:pPr>
        <w:ind w:left="3600" w:hanging="360"/>
      </w:pPr>
    </w:lvl>
    <w:lvl w:ilvl="5" w:tplc="CDCA365E">
      <w:start w:val="1"/>
      <w:numFmt w:val="lowerRoman"/>
      <w:lvlText w:val="%6."/>
      <w:lvlJc w:val="right"/>
      <w:pPr>
        <w:ind w:left="4320" w:hanging="180"/>
      </w:pPr>
    </w:lvl>
    <w:lvl w:ilvl="6" w:tplc="2166A6A2">
      <w:start w:val="1"/>
      <w:numFmt w:val="decimal"/>
      <w:lvlText w:val="%7."/>
      <w:lvlJc w:val="left"/>
      <w:pPr>
        <w:ind w:left="5040" w:hanging="360"/>
      </w:pPr>
    </w:lvl>
    <w:lvl w:ilvl="7" w:tplc="163C7974">
      <w:start w:val="1"/>
      <w:numFmt w:val="lowerLetter"/>
      <w:lvlText w:val="%8."/>
      <w:lvlJc w:val="left"/>
      <w:pPr>
        <w:ind w:left="5760" w:hanging="360"/>
      </w:pPr>
    </w:lvl>
    <w:lvl w:ilvl="8" w:tplc="E85221DE">
      <w:start w:val="1"/>
      <w:numFmt w:val="lowerRoman"/>
      <w:lvlText w:val="%9."/>
      <w:lvlJc w:val="right"/>
      <w:pPr>
        <w:ind w:left="6480" w:hanging="180"/>
      </w:pPr>
    </w:lvl>
  </w:abstractNum>
  <w:abstractNum w:abstractNumId="3" w15:restartNumberingAfterBreak="0">
    <w:nsid w:val="3BEA0621"/>
    <w:multiLevelType w:val="multilevel"/>
    <w:tmpl w:val="975E7456"/>
    <w:lvl w:ilvl="0">
      <w:start w:val="1"/>
      <w:numFmt w:val="bullet"/>
      <w:lvlText w:val=""/>
      <w:lvlJc w:val="left"/>
      <w:pPr>
        <w:ind w:left="720" w:hanging="360"/>
      </w:pPr>
      <w:rPr>
        <w:rFonts w:ascii="Symbol" w:hAnsi="Symbol" w:hint="default"/>
      </w:r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5F1C5CF9"/>
    <w:multiLevelType w:val="multilevel"/>
    <w:tmpl w:val="A11AE768"/>
    <w:lvl w:ilvl="0">
      <w:start w:val="1"/>
      <w:numFmt w:val="bullet"/>
      <w:lvlText w:val=""/>
      <w:lvlJc w:val="left"/>
      <w:pPr>
        <w:ind w:left="720" w:hanging="360"/>
      </w:pPr>
      <w:rPr>
        <w:rFonts w:ascii="Symbol" w:hAnsi="Symbol" w:hint="default"/>
      </w:r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580412144">
    <w:abstractNumId w:val="2"/>
  </w:num>
  <w:num w:numId="2" w16cid:durableId="880363473">
    <w:abstractNumId w:val="4"/>
  </w:num>
  <w:num w:numId="3" w16cid:durableId="1050880466">
    <w:abstractNumId w:val="3"/>
  </w:num>
  <w:num w:numId="4" w16cid:durableId="839154786">
    <w:abstractNumId w:val="1"/>
  </w:num>
  <w:num w:numId="5" w16cid:durableId="1623420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3E52B1"/>
    <w:rsid w:val="001A425E"/>
    <w:rsid w:val="001E1321"/>
    <w:rsid w:val="0027431D"/>
    <w:rsid w:val="00290E77"/>
    <w:rsid w:val="003C3AD6"/>
    <w:rsid w:val="00401A62"/>
    <w:rsid w:val="00487DFE"/>
    <w:rsid w:val="004D1605"/>
    <w:rsid w:val="0058D8CA"/>
    <w:rsid w:val="00593475"/>
    <w:rsid w:val="00685103"/>
    <w:rsid w:val="006A5124"/>
    <w:rsid w:val="00857E41"/>
    <w:rsid w:val="0089285C"/>
    <w:rsid w:val="008D57A3"/>
    <w:rsid w:val="00943C93"/>
    <w:rsid w:val="00B27310"/>
    <w:rsid w:val="00B936EE"/>
    <w:rsid w:val="00BA403E"/>
    <w:rsid w:val="00BC1618"/>
    <w:rsid w:val="00BE5ACE"/>
    <w:rsid w:val="00CF6845"/>
    <w:rsid w:val="00D275A3"/>
    <w:rsid w:val="00D279DF"/>
    <w:rsid w:val="00D35AAA"/>
    <w:rsid w:val="00D82D0B"/>
    <w:rsid w:val="00DF285A"/>
    <w:rsid w:val="00EA753C"/>
    <w:rsid w:val="00F04D0E"/>
    <w:rsid w:val="01337360"/>
    <w:rsid w:val="0181EA71"/>
    <w:rsid w:val="03B43E4C"/>
    <w:rsid w:val="046B1422"/>
    <w:rsid w:val="047B8B85"/>
    <w:rsid w:val="0575E576"/>
    <w:rsid w:val="06C81A4E"/>
    <w:rsid w:val="079367B3"/>
    <w:rsid w:val="0824E390"/>
    <w:rsid w:val="08697153"/>
    <w:rsid w:val="091DFD3D"/>
    <w:rsid w:val="092F3814"/>
    <w:rsid w:val="0A652025"/>
    <w:rsid w:val="0ADA55A6"/>
    <w:rsid w:val="0B946834"/>
    <w:rsid w:val="0BD54457"/>
    <w:rsid w:val="0C1C8FAA"/>
    <w:rsid w:val="0C559DFF"/>
    <w:rsid w:val="0C66D8D6"/>
    <w:rsid w:val="0CEE5E3C"/>
    <w:rsid w:val="0D914ECA"/>
    <w:rsid w:val="0ED4DA6C"/>
    <w:rsid w:val="1088615F"/>
    <w:rsid w:val="1166CAD0"/>
    <w:rsid w:val="1178043A"/>
    <w:rsid w:val="119FFBC1"/>
    <w:rsid w:val="12769A48"/>
    <w:rsid w:val="1287C0FC"/>
    <w:rsid w:val="12A39AA9"/>
    <w:rsid w:val="12B1D3C3"/>
    <w:rsid w:val="12D42CB4"/>
    <w:rsid w:val="153B4A7A"/>
    <w:rsid w:val="16A1291C"/>
    <w:rsid w:val="1818D10D"/>
    <w:rsid w:val="1872EB3C"/>
    <w:rsid w:val="1899E9D9"/>
    <w:rsid w:val="191DE48D"/>
    <w:rsid w:val="1988F53F"/>
    <w:rsid w:val="1998710E"/>
    <w:rsid w:val="19F3D8D5"/>
    <w:rsid w:val="1A1FF674"/>
    <w:rsid w:val="1AC49F4B"/>
    <w:rsid w:val="1AE12C3F"/>
    <w:rsid w:val="1B371D59"/>
    <w:rsid w:val="1BD03A90"/>
    <w:rsid w:val="1E230BD9"/>
    <w:rsid w:val="2169D28E"/>
    <w:rsid w:val="21BECACC"/>
    <w:rsid w:val="22EA507E"/>
    <w:rsid w:val="23B59DE3"/>
    <w:rsid w:val="24B1ACBA"/>
    <w:rsid w:val="257BD178"/>
    <w:rsid w:val="26DE18B2"/>
    <w:rsid w:val="27E10198"/>
    <w:rsid w:val="28FFFBA5"/>
    <w:rsid w:val="299F47A7"/>
    <w:rsid w:val="29AAAFEC"/>
    <w:rsid w:val="2A342C98"/>
    <w:rsid w:val="2B5D2025"/>
    <w:rsid w:val="2BD1EA9F"/>
    <w:rsid w:val="2C9B4A5E"/>
    <w:rsid w:val="2D86E35D"/>
    <w:rsid w:val="2DDC1809"/>
    <w:rsid w:val="2FDB245E"/>
    <w:rsid w:val="30410BBB"/>
    <w:rsid w:val="309420EB"/>
    <w:rsid w:val="323F3E7D"/>
    <w:rsid w:val="33DB0EDE"/>
    <w:rsid w:val="33EC49B5"/>
    <w:rsid w:val="35E729EE"/>
    <w:rsid w:val="38884687"/>
    <w:rsid w:val="3979CD66"/>
    <w:rsid w:val="3B7C9411"/>
    <w:rsid w:val="3BD6D392"/>
    <w:rsid w:val="3CDBD15C"/>
    <w:rsid w:val="3D83DECA"/>
    <w:rsid w:val="3E83417E"/>
    <w:rsid w:val="3EDD5385"/>
    <w:rsid w:val="3F1FAF2B"/>
    <w:rsid w:val="415D5D87"/>
    <w:rsid w:val="426E8AA4"/>
    <w:rsid w:val="4320AFAC"/>
    <w:rsid w:val="43AA386A"/>
    <w:rsid w:val="43F9202E"/>
    <w:rsid w:val="44696ADD"/>
    <w:rsid w:val="44C46D93"/>
    <w:rsid w:val="45A62B66"/>
    <w:rsid w:val="46698B45"/>
    <w:rsid w:val="47A10B9F"/>
    <w:rsid w:val="47F420CF"/>
    <w:rsid w:val="4A349A07"/>
    <w:rsid w:val="4B1A86BA"/>
    <w:rsid w:val="4BD9B8B4"/>
    <w:rsid w:val="4C043213"/>
    <w:rsid w:val="4C747CC2"/>
    <w:rsid w:val="4CE0BA4F"/>
    <w:rsid w:val="4E72AF84"/>
    <w:rsid w:val="4F167C5F"/>
    <w:rsid w:val="50106D8B"/>
    <w:rsid w:val="52DD180C"/>
    <w:rsid w:val="540F43F8"/>
    <w:rsid w:val="5439E39A"/>
    <w:rsid w:val="54446AA6"/>
    <w:rsid w:val="5458D4D2"/>
    <w:rsid w:val="54DA915D"/>
    <w:rsid w:val="55A326D3"/>
    <w:rsid w:val="578A9909"/>
    <w:rsid w:val="5B3E80C4"/>
    <w:rsid w:val="5B49D2E1"/>
    <w:rsid w:val="5D062B4A"/>
    <w:rsid w:val="5E762186"/>
    <w:rsid w:val="5EBE47A4"/>
    <w:rsid w:val="5F42E5DC"/>
    <w:rsid w:val="609430A3"/>
    <w:rsid w:val="61B126DF"/>
    <w:rsid w:val="61B91465"/>
    <w:rsid w:val="6293AEFB"/>
    <w:rsid w:val="630DB9A0"/>
    <w:rsid w:val="634CF740"/>
    <w:rsid w:val="635C4471"/>
    <w:rsid w:val="63661F9D"/>
    <w:rsid w:val="637CA9EC"/>
    <w:rsid w:val="63BF0857"/>
    <w:rsid w:val="642791D6"/>
    <w:rsid w:val="64F0B527"/>
    <w:rsid w:val="668C8588"/>
    <w:rsid w:val="66926CD4"/>
    <w:rsid w:val="670C1D68"/>
    <w:rsid w:val="670DFB6E"/>
    <w:rsid w:val="675F3298"/>
    <w:rsid w:val="67C5822E"/>
    <w:rsid w:val="683990C0"/>
    <w:rsid w:val="695D7362"/>
    <w:rsid w:val="6A8F9AED"/>
    <w:rsid w:val="6B5FF6AB"/>
    <w:rsid w:val="6B8A964D"/>
    <w:rsid w:val="6E363A82"/>
    <w:rsid w:val="6EA6E49E"/>
    <w:rsid w:val="6F3FD7A4"/>
    <w:rsid w:val="6F5909A6"/>
    <w:rsid w:val="6F92BA0B"/>
    <w:rsid w:val="6F9F8C91"/>
    <w:rsid w:val="703AC779"/>
    <w:rsid w:val="7042B4FF"/>
    <w:rsid w:val="7044A2A5"/>
    <w:rsid w:val="71CF382F"/>
    <w:rsid w:val="729E80A8"/>
    <w:rsid w:val="737A55C1"/>
    <w:rsid w:val="7503745A"/>
    <w:rsid w:val="75162622"/>
    <w:rsid w:val="75BB81E7"/>
    <w:rsid w:val="75D038B0"/>
    <w:rsid w:val="76008D63"/>
    <w:rsid w:val="770B5E37"/>
    <w:rsid w:val="776C0911"/>
    <w:rsid w:val="791126C3"/>
    <w:rsid w:val="792A4F20"/>
    <w:rsid w:val="793E52B1"/>
    <w:rsid w:val="79D25C8E"/>
    <w:rsid w:val="7F97A2FE"/>
    <w:rsid w:val="7FE61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BA56A"/>
  <w15:chartTrackingRefBased/>
  <w15:docId w15:val="{58BE8018-B9D8-4171-AA41-5597F0CB7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mailto:211943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7" ma:contentTypeDescription="Create a new document." ma:contentTypeScope="" ma:versionID="e3a4d23e77819f93f0d7bde66491c5ed">
  <xsd:schema xmlns:xsd="http://www.w3.org/2001/XMLSchema" xmlns:xs="http://www.w3.org/2001/XMLSchema" xmlns:p="http://schemas.microsoft.com/office/2006/metadata/properties" xmlns:ns3="8037f1ae-8227-4d98-9712-32142d774c3b" targetNamespace="http://schemas.microsoft.com/office/2006/metadata/properties" ma:root="true" ma:fieldsID="6c79596659ac206c4d6253f566128470" ns3:_="">
    <xsd:import namespace="8037f1ae-8227-4d98-9712-32142d774c3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CF9E66-BDBD-4073-8B19-6960F492CB2D}">
  <ds:schemaRefs>
    <ds:schemaRef ds:uri="http://schemas.openxmlformats.org/officeDocument/2006/bibliography"/>
  </ds:schemaRefs>
</ds:datastoreItem>
</file>

<file path=customXml/itemProps2.xml><?xml version="1.0" encoding="utf-8"?>
<ds:datastoreItem xmlns:ds="http://schemas.openxmlformats.org/officeDocument/2006/customXml" ds:itemID="{0B385B57-0681-49F7-917F-F6C210530C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D422B3-D12C-4C4B-95E0-BCCAE530E4AB}">
  <ds:schemaRefs>
    <ds:schemaRef ds:uri="http://schemas.microsoft.com/sharepoint/v3/contenttype/forms"/>
  </ds:schemaRefs>
</ds:datastoreItem>
</file>

<file path=customXml/itemProps4.xml><?xml version="1.0" encoding="utf-8"?>
<ds:datastoreItem xmlns:ds="http://schemas.openxmlformats.org/officeDocument/2006/customXml" ds:itemID="{32F5ACCB-DF5D-47FB-B81D-0271D5DF6018}">
  <ds:schemaRefs>
    <ds:schemaRef ds:uri="http://purl.org/dc/terms/"/>
    <ds:schemaRef ds:uri="http://schemas.microsoft.com/office/infopath/2007/PartnerControls"/>
    <ds:schemaRef ds:uri="http://purl.org/dc/dcmitype/"/>
    <ds:schemaRef ds:uri="8037f1ae-8227-4d98-9712-32142d774c3b"/>
    <ds:schemaRef ds:uri="http://schemas.microsoft.com/office/2006/metadata/properties"/>
    <ds:schemaRef ds:uri="http://www.w3.org/XML/1998/namespace"/>
    <ds:schemaRef ds:uri="http://schemas.microsoft.com/office/2006/documentManagement/type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4051</Words>
  <Characters>23096</Characters>
  <Application>Microsoft Office Word</Application>
  <DocSecurity>0</DocSecurity>
  <Lines>192</Lines>
  <Paragraphs>54</Paragraphs>
  <ScaleCrop>false</ScaleCrop>
  <Company/>
  <LinksUpToDate>false</LinksUpToDate>
  <CharactersWithSpaces>27093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Uzair Pawaskar (2119430)</dc:creator>
  <cp:keywords/>
  <dc:description/>
  <cp:lastModifiedBy>Uzair Pawaskar (2119430)</cp:lastModifiedBy>
  <cp:revision>2</cp:revision>
  <dcterms:created xsi:type="dcterms:W3CDTF">2023-01-09T16:13:00Z</dcterms:created>
  <dcterms:modified xsi:type="dcterms:W3CDTF">2023-01-09T16:13:00Z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