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160"/>
        <w:ind w:hanging="0"/>
        <w:jc w:val="center"/>
        <w:rPr>
          <w:b/>
          <w:b/>
        </w:rPr>
      </w:pPr>
      <w:r>
        <w:rPr>
          <w:b/>
        </w:rPr>
      </w:r>
    </w:p>
    <w:p>
      <w:pPr>
        <w:pStyle w:val="Normal"/>
        <w:spacing w:lineRule="auto" w:line="259" w:before="0" w:after="160"/>
        <w:ind w:hanging="0"/>
        <w:jc w:val="center"/>
        <w:rPr>
          <w:b/>
          <w:b/>
        </w:rPr>
      </w:pPr>
      <w:r>
        <w:rPr/>
      </w:r>
    </w:p>
    <w:p>
      <w:pPr>
        <w:pStyle w:val="Normal"/>
        <w:spacing w:lineRule="auto" w:line="259" w:before="0" w:after="160"/>
        <w:ind w:hanging="0"/>
        <w:jc w:val="center"/>
        <w:rPr/>
      </w:pPr>
      <w:r>
        <w:rPr/>
      </w:r>
    </w:p>
    <w:p>
      <w:pPr>
        <w:pStyle w:val="Normal"/>
        <w:spacing w:lineRule="auto" w:line="259" w:before="0" w:after="160"/>
        <w:ind w:hanging="0"/>
        <w:jc w:val="center"/>
        <w:rPr>
          <w:b/>
          <w:b/>
        </w:rPr>
      </w:pPr>
      <w:r>
        <w:rPr/>
      </w:r>
    </w:p>
    <w:p>
      <w:pPr>
        <w:sectPr>
          <w:headerReference w:type="default" r:id="rId2"/>
          <w:type w:val="nextPage"/>
          <w:pgSz w:w="12240" w:h="15840"/>
          <w:pgMar w:left="1440" w:right="1440" w:gutter="0" w:header="1440" w:top="5426" w:footer="0" w:bottom="1440"/>
          <w:pgNumType w:fmt="decimal"/>
          <w:formProt w:val="false"/>
          <w:textDirection w:val="lrTb"/>
          <w:docGrid w:type="default" w:linePitch="360" w:charSpace="0"/>
        </w:sectPr>
      </w:pPr>
    </w:p>
    <w:sdt>
      <w:sdtPr>
        <w:docPartObj>
          <w:docPartGallery w:val="Table of Contents"/>
          <w:docPartUnique w:val="true"/>
        </w:docPartObj>
      </w:sdtPr>
      <w:sdtContent>
        <w:p>
          <w:pPr>
            <w:pStyle w:val="Normal"/>
            <w:jc w:val="center"/>
            <w:rPr>
              <w:b/>
              <w:b/>
            </w:rPr>
          </w:pPr>
          <w:r>
            <w:rPr>
              <w:b/>
            </w:rPr>
            <w:t>Table of Contents</w:t>
          </w:r>
          <w:bookmarkStart w:id="0" w:name="_GoBack"/>
          <w:bookmarkEnd w:id="0"/>
        </w:p>
        <w:p>
          <w:pPr>
            <w:pStyle w:val="Contents1"/>
            <w:tabs>
              <w:tab w:val="clear" w:pos="720"/>
              <w:tab w:val="right" w:pos="9350" w:leader="dot"/>
            </w:tabs>
            <w:rPr/>
          </w:pPr>
          <w:r>
            <w:fldChar w:fldCharType="begin"/>
          </w:r>
          <w:r>
            <w:rPr>
              <w:webHidden/>
              <w:rStyle w:val="IndexLink"/>
            </w:rPr>
            <w:instrText> TOC \z \o "1-3" \u \h</w:instrText>
          </w:r>
          <w:r>
            <w:rPr>
              <w:webHidden/>
              <w:rStyle w:val="IndexLink"/>
            </w:rPr>
            <w:fldChar w:fldCharType="separate"/>
          </w:r>
          <w:hyperlink w:anchor="_Toc100053196">
            <w:r>
              <w:rPr>
                <w:webHidden/>
                <w:rStyle w:val="IndexLink"/>
              </w:rPr>
              <w:t>Introduction:</w:t>
            </w:r>
            <w:r>
              <w:rPr>
                <w:webHidden/>
              </w:rPr>
              <w:fldChar w:fldCharType="begin"/>
            </w:r>
            <w:r>
              <w:rPr>
                <w:webHidden/>
              </w:rPr>
              <w:instrText>PAGEREF _Toc100053196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350" w:leader="dot"/>
            </w:tabs>
            <w:rPr/>
          </w:pPr>
          <w:hyperlink w:anchor="_Toc100053197">
            <w:r>
              <w:rPr>
                <w:webHidden/>
                <w:rStyle w:val="IndexLink"/>
              </w:rPr>
              <w:t>Different Approaches to Community Engagement Project by M&amp;S:</w:t>
            </w:r>
            <w:r>
              <w:rPr>
                <w:webHidden/>
              </w:rPr>
              <w:fldChar w:fldCharType="begin"/>
            </w:r>
            <w:r>
              <w:rPr>
                <w:webHidden/>
              </w:rPr>
              <w:instrText>PAGEREF _Toc100053197 \h</w:instrText>
            </w:r>
            <w:r>
              <w:rPr>
                <w:webHidden/>
              </w:rPr>
              <w:fldChar w:fldCharType="separate"/>
            </w:r>
            <w:r>
              <w:rPr>
                <w:rStyle w:val="IndexLink"/>
                <w:vanish w:val="false"/>
              </w:rPr>
              <w:tab/>
              <w:t>2</w:t>
            </w:r>
            <w:r>
              <w:rPr>
                <w:webHidden/>
              </w:rPr>
              <w:fldChar w:fldCharType="end"/>
            </w:r>
          </w:hyperlink>
        </w:p>
        <w:p>
          <w:pPr>
            <w:pStyle w:val="Contents2"/>
            <w:tabs>
              <w:tab w:val="clear" w:pos="720"/>
              <w:tab w:val="right" w:pos="9350" w:leader="dot"/>
            </w:tabs>
            <w:rPr/>
          </w:pPr>
          <w:hyperlink w:anchor="_Toc100053198">
            <w:r>
              <w:rPr>
                <w:webHidden/>
                <w:rStyle w:val="IndexLink"/>
              </w:rPr>
              <w:t>Strategies for Stakeholders’ Participation:</w:t>
            </w:r>
            <w:r>
              <w:rPr>
                <w:webHidden/>
              </w:rPr>
              <w:fldChar w:fldCharType="begin"/>
            </w:r>
            <w:r>
              <w:rPr>
                <w:webHidden/>
              </w:rPr>
              <w:instrText>PAGEREF _Toc100053198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350" w:leader="dot"/>
            </w:tabs>
            <w:rPr/>
          </w:pPr>
          <w:hyperlink w:anchor="_Toc100053199">
            <w:r>
              <w:rPr>
                <w:webHidden/>
                <w:rStyle w:val="IndexLink"/>
              </w:rPr>
              <w:t>M&amp;S Collaboration:</w:t>
            </w:r>
            <w:r>
              <w:rPr>
                <w:webHidden/>
              </w:rPr>
              <w:fldChar w:fldCharType="begin"/>
            </w:r>
            <w:r>
              <w:rPr>
                <w:webHidden/>
              </w:rPr>
              <w:instrText>PAGEREF _Toc100053199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pPr>
          <w:hyperlink w:anchor="_Toc100053200">
            <w:r>
              <w:rPr>
                <w:webHidden/>
                <w:rStyle w:val="IndexLink"/>
              </w:rPr>
              <w:t>Communication Strategy:</w:t>
            </w:r>
            <w:r>
              <w:rPr>
                <w:webHidden/>
              </w:rPr>
              <w:fldChar w:fldCharType="begin"/>
            </w:r>
            <w:r>
              <w:rPr>
                <w:webHidden/>
              </w:rPr>
              <w:instrText>PAGEREF _Toc100053200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350" w:leader="dot"/>
            </w:tabs>
            <w:rPr/>
          </w:pPr>
          <w:hyperlink w:anchor="_Toc100053201">
            <w:r>
              <w:rPr>
                <w:webHidden/>
                <w:rStyle w:val="IndexLink"/>
              </w:rPr>
              <w:t>Inclusions in Community Engagement:</w:t>
            </w:r>
            <w:r>
              <w:rPr>
                <w:webHidden/>
              </w:rPr>
              <w:fldChar w:fldCharType="begin"/>
            </w:r>
            <w:r>
              <w:rPr>
                <w:webHidden/>
              </w:rPr>
              <w:instrText>PAGEREF _Toc100053201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350" w:leader="dot"/>
            </w:tabs>
            <w:rPr/>
          </w:pPr>
          <w:hyperlink w:anchor="_Toc100053202">
            <w:r>
              <w:rPr>
                <w:webHidden/>
                <w:rStyle w:val="IndexLink"/>
              </w:rPr>
              <w:t>Conclusion:</w:t>
            </w:r>
            <w:r>
              <w:rPr>
                <w:webHidden/>
              </w:rPr>
              <w:fldChar w:fldCharType="begin"/>
            </w:r>
            <w:r>
              <w:rPr>
                <w:webHidden/>
              </w:rPr>
              <w:instrText>PAGEREF _Toc100053202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350" w:leader="dot"/>
            </w:tabs>
            <w:rPr/>
          </w:pPr>
          <w:hyperlink w:anchor="_Toc100053203">
            <w:r>
              <w:rPr>
                <w:webHidden/>
                <w:rStyle w:val="IndexLink"/>
              </w:rPr>
              <w:t>References:</w:t>
            </w:r>
            <w:r>
              <w:rPr>
                <w:webHidden/>
              </w:rPr>
              <w:fldChar w:fldCharType="begin"/>
            </w:r>
            <w:r>
              <w:rPr>
                <w:webHidden/>
              </w:rPr>
              <w:instrText>PAGEREF _Toc100053203 \h</w:instrText>
            </w:r>
            <w:r>
              <w:rPr>
                <w:webHidden/>
              </w:rPr>
              <w:fldChar w:fldCharType="separate"/>
            </w:r>
            <w:r>
              <w:rPr>
                <w:rStyle w:val="IndexLink"/>
                <w:vanish w:val="false"/>
              </w:rPr>
              <w:tab/>
              <w:t>8</w:t>
            </w:r>
            <w:r>
              <w:rPr>
                <w:webHidden/>
              </w:rPr>
              <w:fldChar w:fldCharType="end"/>
            </w:r>
          </w:hyperlink>
        </w:p>
        <w:p>
          <w:pPr>
            <w:pStyle w:val="Normal"/>
            <w:rPr/>
          </w:pPr>
          <w:r>
            <w:rPr/>
          </w:r>
          <w:r>
            <w:rPr/>
            <w:fldChar w:fldCharType="end"/>
          </w:r>
        </w:p>
      </w:sdtContent>
    </w:sdt>
    <w:p>
      <w:pPr>
        <w:pStyle w:val="Normal"/>
        <w:spacing w:lineRule="auto" w:line="259" w:before="0" w:after="160"/>
        <w:ind w:hanging="0"/>
        <w:jc w:val="left"/>
        <w:rPr>
          <w:rFonts w:eastAsia="" w:cs="" w:cstheme="majorBidi" w:eastAsiaTheme="majorEastAsia"/>
          <w:b/>
          <w:b/>
          <w:i/>
          <w:i/>
          <w:color w:val="000000" w:themeColor="text1"/>
          <w:szCs w:val="32"/>
        </w:rPr>
      </w:pPr>
      <w:r>
        <w:rPr>
          <w:rFonts w:eastAsia="" w:cs="" w:cstheme="majorBidi" w:eastAsiaTheme="majorEastAsia"/>
          <w:b/>
          <w:i/>
          <w:color w:val="000000" w:themeColor="text1"/>
          <w:szCs w:val="32"/>
        </w:rPr>
      </w:r>
      <w:bookmarkStart w:id="1" w:name="_Toc100053196"/>
      <w:bookmarkStart w:id="2" w:name="_Toc100053196"/>
      <w:r>
        <w:br w:type="page"/>
      </w:r>
    </w:p>
    <w:p>
      <w:pPr>
        <w:pStyle w:val="Heading1"/>
        <w:rPr/>
      </w:pPr>
      <w:bookmarkStart w:id="3" w:name="_Toc100053196"/>
      <w:r>
        <w:rPr/>
        <w:t>Introduction:</w:t>
      </w:r>
      <w:bookmarkEnd w:id="3"/>
    </w:p>
    <w:p>
      <w:pPr>
        <w:pStyle w:val="Normal"/>
        <w:rPr/>
      </w:pPr>
      <w:r>
        <w:rPr/>
        <w:t>Community engagement is the process of tackling problems affecting people's well-being by collaborating with and through groups of individuals that have a geographical connection, a common interest, or are in similar situations. Businesses and their employees benefit from engagement in the community because it enables them to aid the general public via money raising, volunteerism, economic development, community education, and direct support (</w:t>
      </w:r>
      <w:r>
        <w:rPr>
          <w:shd w:fill="FFFFFF" w:val="clear"/>
        </w:rPr>
        <w:t>Witton and Paisi, 2022</w:t>
      </w:r>
      <w:r>
        <w:rPr/>
        <w:t>). Numerous organisations are committed to community participation, and they must encourage their employees to give their time to help the community and vulnerable populations. Profitable businesses should strive to maximise profits, but they should also make an effort to give back to their communities and society (</w:t>
      </w:r>
      <w:r>
        <w:rPr>
          <w:shd w:fill="FFFFFF" w:val="clear"/>
        </w:rPr>
        <w:t>Morse, 2018</w:t>
      </w:r>
      <w:r>
        <w:rPr/>
        <w:t xml:space="preserve">). The purpose of this study is to discuss the previously employed strategies of M&amp;S for community engagement and its social ramifications and compare this with a new project of community engagement that it can employ to effectively engage in a community engagement program. </w:t>
      </w:r>
    </w:p>
    <w:p>
      <w:pPr>
        <w:pStyle w:val="Normal"/>
        <w:rPr/>
      </w:pPr>
      <w:r>
        <w:rPr/>
        <w:t>Marks &amp; Spencer is headquartered in the United Kingdom and is the country's charitable organisation dedicated to aiding everyone in making the most of their later years, and the parties are accountable to M&amp;S (</w:t>
      </w:r>
      <w:r>
        <w:rPr>
          <w:shd w:fill="FFFFFF" w:val="clear"/>
        </w:rPr>
        <w:t>Frank and Sieh, 2016</w:t>
      </w:r>
      <w:r>
        <w:rPr/>
        <w:t>). This report will detail M&amp;S's community participation initiatives that it has been employing, as well as how employees strive to be better versions of themselves in order to assist others in need for community engagement. Additionally, it provides a reflection on both projects (i.e., the previous strategies of M&amp;S and the new strategies that it can employ) to effectively engage in the community tenement program (</w:t>
      </w:r>
      <w:r>
        <w:rPr>
          <w:shd w:fill="FFFFFF" w:val="clear"/>
        </w:rPr>
        <w:t>Henderson et al., 2020</w:t>
      </w:r>
      <w:r>
        <w:rPr/>
        <w:t xml:space="preserve">). </w:t>
      </w:r>
    </w:p>
    <w:p>
      <w:pPr>
        <w:pStyle w:val="Heading2"/>
        <w:rPr/>
      </w:pPr>
      <w:bookmarkStart w:id="4" w:name="_Toc100053197"/>
      <w:r>
        <w:rPr/>
        <w:t>Different Approaches to Community Engagement Project by M&amp;S:</w:t>
      </w:r>
      <w:bookmarkEnd w:id="4"/>
    </w:p>
    <w:p>
      <w:pPr>
        <w:pStyle w:val="Normal"/>
        <w:rPr/>
      </w:pPr>
      <w:r>
        <w:rPr/>
        <w:t>Participating in the community enables organisations like M&amp;S to strive for the betterment of society's citizens. Individuals are an organisation's core customers, and they must be aided for the greater good of humanity. As a consequence, many small and major businesses donate money to charity and make donations to help those in need and address complex social concerns. Numerous municipalities have difficulties in a range of fields. Many people are living in poverty as a result of the current pandemic crisis, have lost their jobs, and are striving to live and support others. Seniors without a means of income must rely on others during times of hardship, and the pandemic affects everyone (</w:t>
      </w:r>
      <w:r>
        <w:rPr>
          <w:shd w:fill="FFFFFF" w:val="clear"/>
        </w:rPr>
        <w:t>Harden et al., 2016</w:t>
      </w:r>
      <w:r>
        <w:rPr/>
        <w:t>). Therefore, charitable organisations like M&amp;S work in partnership with communities to generate funds for those in need of health care, counselling, clothing, food, and housing (</w:t>
      </w:r>
      <w:r>
        <w:rPr>
          <w:shd w:fill="FFFFFF" w:val="clear"/>
        </w:rPr>
        <w:t>Moser and Pike, 2015</w:t>
      </w:r>
      <w:r>
        <w:rPr/>
        <w:t>). This adds to better communal equality between the wealthy and the impoverished. Without community involvement, a country's direction may be lost, and it may suffer a succession of crises that are detrimental to society and its residents. Seniors suffer because they have no one to turn to for aid or companionship after retirement, which is when community participation may be beneficial (</w:t>
      </w:r>
      <w:r>
        <w:rPr>
          <w:shd w:fill="FFFFFF" w:val="clear"/>
        </w:rPr>
        <w:t>Chilisa et al., 2017</w:t>
      </w:r>
      <w:r>
        <w:rPr/>
        <w:t xml:space="preserve">). </w:t>
      </w:r>
    </w:p>
    <w:p>
      <w:pPr>
        <w:pStyle w:val="Normal"/>
        <w:rPr/>
      </w:pPr>
      <w:r>
        <w:rPr/>
        <w:t>The M&amp;S best practices have enabled the organisation to cooperate with partners such as local governments that support communities in achieving quantitative and positive change. Marks &amp; Spencer has invested heavily in community change to help 1,000 communities and 10 million people live better, healthier lives, as well as to transform the firm into a thriving business (</w:t>
      </w:r>
      <w:r>
        <w:rPr>
          <w:shd w:fill="FFFFFF" w:val="clear"/>
        </w:rPr>
        <w:t>Kumar and Kumar, 2020</w:t>
      </w:r>
      <w:r>
        <w:rPr/>
        <w:t>). On ‘Make it Matter Day’, Marks &amp; Spencer launched a community change campaign to promote social prosperity, urging the UK to make educated choices in all areas of life. The business explored a variety of innovative ways in ten towns over a two-year period to solve the community's most pressing issues or difficulties, including skills shortages, unemployment, poverty, mental health, loneliness, well-being (</w:t>
      </w:r>
      <w:r>
        <w:rPr>
          <w:shd w:fill="FFFFFF" w:val="clear"/>
        </w:rPr>
        <w:t>Mtawa et al., 2016</w:t>
      </w:r>
      <w:r>
        <w:rPr/>
        <w:t xml:space="preserve">). </w:t>
      </w:r>
    </w:p>
    <w:p>
      <w:pPr>
        <w:pStyle w:val="Heading2"/>
        <w:rPr/>
      </w:pPr>
      <w:bookmarkStart w:id="5" w:name="_Toc100053198"/>
      <w:r>
        <w:rPr/>
        <w:t>Strategies for Stakeholders’ Participation:</w:t>
      </w:r>
      <w:bookmarkEnd w:id="5"/>
    </w:p>
    <w:p>
      <w:pPr>
        <w:pStyle w:val="Normal"/>
        <w:rPr/>
      </w:pPr>
      <w:r>
        <w:rPr/>
        <w:t xml:space="preserve">Long-term development will differ according to the aims and stakeholders of each project. Strategic managers must also solicit feedback from project stakeholders to guarantee the success of any plan. Due to the fact that diverse stakeholders invest varying amounts of money in strategy development and implementation, their ability to influence progress varies, proving that a project cannot exist without stakeholders (O’Mara-Eves et al., 2015). </w:t>
      </w:r>
    </w:p>
    <w:p>
      <w:pPr>
        <w:pStyle w:val="Normal"/>
        <w:rPr/>
      </w:pPr>
      <w:r>
        <w:rPr/>
        <w:t>Previously, the organisation has been at the frontline of a movement that has transformed society and profitable careers while also contributing significantly to communities and consumers living healthy and happy lives. Such tactics allow M&amp;S's stakeholders, most notably investors and workers, to see accumulating evidence that the community needs aid from social service programmes in order to impact good change via its massive retail network in the United Kingdom. As a result, M&amp;S's stakeholders are ecstatic because the firm has recognised community needs such as social inclusion, access to marketable skills, and mental health help, and they play a significant part in positively impacting people's lives (</w:t>
      </w:r>
      <w:r>
        <w:rPr>
          <w:shd w:fill="FFFFFF" w:val="clear"/>
        </w:rPr>
        <w:t>Mtawa et al., 2016</w:t>
      </w:r>
      <w:r>
        <w:rPr/>
        <w:t>). The organisation began by serving ten towns in order to learn, adapt, and build an agile approach that would allow it to serve thousands of more communities by 2025. Bradford, Newham, Liverpool, Birmingham, Glasgow, Derry Londonderry, Middlesbrough, Rochdale, Norwich, and Merthyr Tydfil have all become established Marks &amp; Spencer communities. The company conducts research in each of these communities on programmes designed with the primary goal of improving the well-being of citizens and communities through Social Innovation Partnerships in order to track and gauge citizens' attitudes toward their community - their optimism and sense of belonging (</w:t>
      </w:r>
      <w:r>
        <w:rPr>
          <w:shd w:fill="FFFFFF" w:val="clear"/>
        </w:rPr>
        <w:t>O’Mara-Eves et al., 2015</w:t>
      </w:r>
      <w:r>
        <w:rPr/>
        <w:t xml:space="preserve">). </w:t>
      </w:r>
    </w:p>
    <w:p>
      <w:pPr>
        <w:pStyle w:val="Normal"/>
        <w:rPr/>
      </w:pPr>
      <w:r>
        <w:rPr/>
        <w:t>In previous projects for Community engagement, the company has upped its marketing efforts on social media platforms such as Facebook, Instagram, and Twitter. E-Clincher assisted the firm in managing its social media accounts during a digital marketing crisis. The marketing department of Marks &amp; Spencer is targeted at young people who face considerable barriers as a result of a lack of skills and unemployment, which exacerbates mental health and wellness problems (</w:t>
      </w:r>
      <w:r>
        <w:rPr>
          <w:shd w:fill="FFFFFF" w:val="clear"/>
        </w:rPr>
        <w:t>Frank and Sieh, 2016</w:t>
      </w:r>
      <w:r>
        <w:rPr/>
        <w:t>). M&amp;S relies heavily on Instagram to sell its products and services online, believing that today's youth prefer Instagram over Facebook and Twitter. As a result, significant resources are invested in Instagram TV marketing. The majority of these social media platforms provide data analytics capabilities, which enable M&amp;S to track the conception, performance, and engagement of advertising campaigns (</w:t>
      </w:r>
      <w:r>
        <w:rPr>
          <w:shd w:fill="FFFFFF" w:val="clear"/>
        </w:rPr>
        <w:t>Aitken et al., 2016</w:t>
      </w:r>
      <w:r>
        <w:rPr/>
        <w:t xml:space="preserve">). </w:t>
      </w:r>
    </w:p>
    <w:p>
      <w:pPr>
        <w:pStyle w:val="Normal"/>
        <w:rPr/>
      </w:pPr>
      <w:r>
        <w:rPr/>
        <w:t>At the moment, there is no systematic approach to classify various social networking programmes. Each day, new websites emerge in cyberspace, and any categorisation system must account for these new uses. This indicates how social media platforms contribute to the M&amp;S project's success by encouraging workers to utilise their interpersonal skills, which fosters effective communication and collaboration, as well as a pleasant work atmosphere. This demonstrates how collaborative efforts, via their collaborative component, inspire young people to participate in their communities. Because M&amp;S's ultimate goal is to develop strong customer connections, interacting with them is vital, and collaborating requires online networking (</w:t>
      </w:r>
      <w:r>
        <w:rPr>
          <w:shd w:fill="FFFFFF" w:val="clear"/>
        </w:rPr>
        <w:t>Harden et al., 2016</w:t>
      </w:r>
      <w:r>
        <w:rPr/>
        <w:t>).</w:t>
      </w:r>
    </w:p>
    <w:p>
      <w:pPr>
        <w:pStyle w:val="Normal"/>
        <w:rPr/>
      </w:pPr>
      <w:r>
        <w:rPr/>
        <w:t>Moreover, for the new project of M&amp;S Community engagement, I will utilise social media, which will be helpful since it is a subset of computer technology that allows users to exchange ideas, views, and information via the creation of virtual networks and communities. Due to the increasing dependence on the internet and online-based platforms, social media websites and apps are often used for company marketing and promotion. M&amp;S can use social media platforms to be successful in their community participation (</w:t>
      </w:r>
      <w:r>
        <w:rPr>
          <w:shd w:fill="FFFFFF" w:val="clear"/>
        </w:rPr>
        <w:t>Chilisa et al., 2017</w:t>
      </w:r>
      <w:r>
        <w:rPr/>
        <w:t>). M&amp;S can use its social media channels and website to urge people to donate and assist in the collection of cash, as well as recruit volunteers and develop corporate partnerships in order to assist older peoples who have no one to turn to when they retire. This is shown on Facebook, YouTube, and other social media sites (</w:t>
      </w:r>
      <w:r>
        <w:rPr>
          <w:shd w:fill="FFFFFF" w:val="clear"/>
        </w:rPr>
        <w:t>Kumar and Kumar, 2020</w:t>
      </w:r>
      <w:r>
        <w:rPr/>
        <w:t xml:space="preserve">). </w:t>
      </w:r>
    </w:p>
    <w:p>
      <w:pPr>
        <w:pStyle w:val="Normal"/>
        <w:rPr/>
      </w:pPr>
      <w:r>
        <w:rPr/>
        <w:t>LinkedIn and Google may be used by M&amp;S to assess a community participation effort's efficacy. M&amp;S may use social media to generate money and seek donations for the benefit of a community in need by reaching out to worldwide customers and generating positive word of mouth. As a non-profit organisation, M&amp;S may seek charitable donations and post them on its website and Facebook page, where a huge number of individuals may access the information and contribute to society's growth. Employees must be able to utilise social media successfully, and the content shared on social media platforms must be interesting and unique (</w:t>
      </w:r>
      <w:r>
        <w:rPr>
          <w:shd w:fill="FFFFFF" w:val="clear"/>
        </w:rPr>
        <w:t>Moser and Pike, 2015</w:t>
      </w:r>
      <w:r>
        <w:rPr/>
        <w:t xml:space="preserve">). Moreover, I will efficiently employ some creativity and professional abilities that are necessary to create innovative material that will capture the public's attention and contribute to the campaign's success. </w:t>
      </w:r>
    </w:p>
    <w:p>
      <w:pPr>
        <w:pStyle w:val="Heading2"/>
        <w:rPr/>
      </w:pPr>
      <w:bookmarkStart w:id="6" w:name="_Toc100053199"/>
      <w:r>
        <w:rPr/>
        <w:t>M&amp;S Collaboration:</w:t>
      </w:r>
      <w:bookmarkEnd w:id="6"/>
      <w:r>
        <w:rPr/>
        <w:t xml:space="preserve"> </w:t>
      </w:r>
    </w:p>
    <w:p>
      <w:pPr>
        <w:pStyle w:val="Normal"/>
        <w:rPr/>
      </w:pPr>
      <w:r>
        <w:rPr/>
        <w:t>In the previous project of M&amp;S, the Royal British Legion is at the epicentre of a nationwide network that serves members of our Armed Forces. For over a century, they have aided current and former military people, as well as their families. Since 2012, M&amp;S has sold The Poppy Collection (mostly a line of Poppy jewellery), with 100% of proceeds benefiting charity, emphasising the importance of collaboration for the greater good of the community (</w:t>
      </w:r>
      <w:r>
        <w:rPr>
          <w:shd w:fill="FFFFFF" w:val="clear"/>
        </w:rPr>
        <w:t>Ojha et al., 2016</w:t>
      </w:r>
      <w:r>
        <w:rPr/>
        <w:t>). M&amp;S has already collected over £9 million for charity via Sparks and other fundraising events. These contributions enable the Royal British Legion to provide services such as Admiral Nurses, who provide care to members of the Armed Forces community who suffer from dementia and their families. Additionally, M&amp;S encourages volunteers from the Royal British Legion to sell paper poppies in their stores on Remembrance Day (</w:t>
      </w:r>
      <w:r>
        <w:rPr>
          <w:shd w:fill="FFFFFF" w:val="clear"/>
        </w:rPr>
        <w:t>Mtawa et al., 2016</w:t>
      </w:r>
      <w:r>
        <w:rPr/>
        <w:t xml:space="preserve">). </w:t>
      </w:r>
    </w:p>
    <w:p>
      <w:pPr>
        <w:pStyle w:val="Normal"/>
        <w:rPr/>
      </w:pPr>
      <w:r>
        <w:rPr/>
        <w:t>In the new projects for an effective community engagement program, I will utilise an online engagement tool for M&amp;S that may significantly increase the efficacy of M&amp;S’s consultation and the project's success. Online interaction software can enable a diverse range of informative and collaborative features, as well as rigorous security and reporting. The unique feature of Engagement Hub is that it features a full stakeholder relationship management system that allows M&amp;S to track and record all of M&amp;S’s offline activities in one location while also giving current statistics on its overall engagement strategy. Along with internet platforms, banners and other kinds of signage will be necessary. Signage is a very powerful marketing tool that is sometimes overlooked (</w:t>
      </w:r>
      <w:r>
        <w:rPr>
          <w:shd w:fill="FFFFFF" w:val="clear"/>
        </w:rPr>
        <w:t>O’Mara-Eves et al., 2015</w:t>
      </w:r>
      <w:r>
        <w:rPr/>
        <w:t xml:space="preserve">). </w:t>
      </w:r>
    </w:p>
    <w:p>
      <w:pPr>
        <w:pStyle w:val="Heading2"/>
        <w:rPr/>
      </w:pPr>
      <w:bookmarkStart w:id="7" w:name="_Toc100053200"/>
      <w:r>
        <w:rPr/>
        <w:t>Communication Strategy:</w:t>
      </w:r>
      <w:bookmarkEnd w:id="7"/>
      <w:r>
        <w:rPr/>
        <w:t xml:space="preserve"> </w:t>
      </w:r>
    </w:p>
    <w:p>
      <w:pPr>
        <w:pStyle w:val="Normal"/>
        <w:rPr/>
      </w:pPr>
      <w:r>
        <w:rPr/>
        <w:t>Previously, there was no systematic approach to classifying various social networking programmes. Each day, new websites emerge in cyberspace, and any categorisation system must account for these new uses. This indicates how social media platforms contribute to the M&amp;S project's success by encouraging workers to utilise their interpersonal skills, which fosters effective communication and collaboration, as well as a pleasant work atmosphere. This demonstrates how collaborative efforts, via their collaborative component, inspire young people to participate in their communities. Because M&amp;S's ultimate goal is to develop strong customer connections, interacting with them is vital, and collaborating requires online networking (</w:t>
      </w:r>
      <w:r>
        <w:rPr>
          <w:shd w:fill="FFFFFF" w:val="clear"/>
        </w:rPr>
        <w:t>Moser and Pike, 2015</w:t>
      </w:r>
      <w:r>
        <w:rPr/>
        <w:t xml:space="preserve">). </w:t>
      </w:r>
    </w:p>
    <w:p>
      <w:pPr>
        <w:pStyle w:val="Normal"/>
        <w:rPr/>
      </w:pPr>
      <w:r>
        <w:rPr/>
        <w:t>Moreover, for this project, I will encourage M&amp;S professionals and volunteers to use effective communication skills in order to communicate with senior citizens during times of crisis. Strong hearing and speaking ability in a range of languages, as well as interpersonal skills such as body language, facial expression, and enthusiasm while talking with others, are essential (</w:t>
      </w:r>
      <w:r>
        <w:rPr>
          <w:shd w:fill="FFFFFF" w:val="clear"/>
        </w:rPr>
        <w:t>Frank and Sieh, 2016</w:t>
      </w:r>
      <w:r>
        <w:rPr/>
        <w:t xml:space="preserve">). </w:t>
      </w:r>
    </w:p>
    <w:p>
      <w:pPr>
        <w:pStyle w:val="Heading2"/>
        <w:rPr/>
      </w:pPr>
      <w:bookmarkStart w:id="8" w:name="_Toc100053201"/>
      <w:r>
        <w:rPr/>
        <w:t>Inclusions in Community Engagement:</w:t>
      </w:r>
      <w:bookmarkEnd w:id="8"/>
    </w:p>
    <w:p>
      <w:pPr>
        <w:pStyle w:val="Normal"/>
        <w:rPr/>
      </w:pPr>
      <w:r>
        <w:rPr/>
        <w:t>Previously, M&amp;S addressed community participation from an inclusive perspective, determining our long-term goals and recognising that the project's success requires a shared sense of responsibility among community members. In certain cases, you may prefer to build a broad, far-reaching inclusion initiative; in others, you may choose to focus only on a specific issue, such as migrant integration or disability equality (</w:t>
      </w:r>
      <w:r>
        <w:rPr>
          <w:shd w:fill="FFFFFF" w:val="clear"/>
        </w:rPr>
        <w:t>Harden et al., 2016</w:t>
      </w:r>
      <w:r>
        <w:rPr/>
        <w:t xml:space="preserve">). </w:t>
      </w:r>
    </w:p>
    <w:p>
      <w:pPr>
        <w:pStyle w:val="Normal"/>
        <w:rPr/>
      </w:pPr>
      <w:r>
        <w:rPr/>
        <w:t>Rather than dismissing groups as "impossible to reach" due to a lack of time, money, or other resources, I will, for this object, consider the following: "Why do we have such difficulty hearing particular groups?" This strategy may aid you in planning more effectively and properly allocating resources from the start, so facilitating the creation of an inclusive process (</w:t>
      </w:r>
      <w:r>
        <w:rPr>
          <w:shd w:fill="FFFFFF" w:val="clear"/>
        </w:rPr>
        <w:t>Moser and Pike, 2015</w:t>
      </w:r>
      <w:r>
        <w:rPr/>
        <w:t xml:space="preserve">). </w:t>
      </w:r>
    </w:p>
    <w:p>
      <w:pPr>
        <w:pStyle w:val="Heading2"/>
        <w:rPr/>
      </w:pPr>
      <w:bookmarkStart w:id="9" w:name="_Toc100053202"/>
      <w:r>
        <w:rPr/>
        <w:t>Conclusion:</w:t>
      </w:r>
      <w:bookmarkEnd w:id="9"/>
      <w:r>
        <w:rPr/>
        <w:t xml:space="preserve"> </w:t>
      </w:r>
    </w:p>
    <w:p>
      <w:pPr>
        <w:pStyle w:val="Normal"/>
        <w:rPr/>
      </w:pPr>
      <w:r>
        <w:rPr/>
        <w:t xml:space="preserve">Engagement with the community is necessary for an organisation to contribute to society, recognise social issues, and cooperate to address them. While no one individual can help an entire community, a worldwide network of individuals may aid bigger populations and address social challenges during times of crisis. While engaging in community participation, a variety of external factors and obstructions must be addressed. M&amp;S stakeholders should be happy that their charitable contributions and social contributions have been made public, as this will encourage more volunteers to serve in the community and participate in community engagement programmes. Finally, it can be concluded that M&amp;S's previous project and strategies for community engagement have been very effective, although, with the changing pace of time, it needs to employ the above-suggested strategies that I feel are most appropriate for the M&amp;S community engagement program.  </w:t>
      </w:r>
    </w:p>
    <w:p>
      <w:pPr>
        <w:pStyle w:val="Normal"/>
        <w:rPr/>
      </w:pPr>
      <w:r>
        <w:rPr/>
      </w:r>
      <w:r>
        <w:br w:type="page"/>
      </w:r>
    </w:p>
    <w:p>
      <w:pPr>
        <w:pStyle w:val="Heading1"/>
        <w:rPr/>
      </w:pPr>
      <w:bookmarkStart w:id="10" w:name="_Toc100053203"/>
      <w:r>
        <w:rPr/>
        <w:t>References:</w:t>
      </w:r>
      <w:bookmarkEnd w:id="10"/>
    </w:p>
    <w:p>
      <w:pPr>
        <w:pStyle w:val="NoSpacing"/>
        <w:rPr>
          <w:shd w:fill="FFFFFF" w:val="clear"/>
        </w:rPr>
      </w:pPr>
      <w:r>
        <w:rPr>
          <w:shd w:fill="FFFFFF" w:val="clear"/>
        </w:rPr>
        <w:t>Aitken, M., Haggett, C. and Rudolph, D., 2016. Practices and rationales of community engagement with wind farms: awareness raising, consultation, empowerment. </w:t>
      </w:r>
      <w:r>
        <w:rPr>
          <w:i/>
          <w:iCs/>
          <w:shd w:fill="FFFFFF" w:val="clear"/>
        </w:rPr>
        <w:t>Planning Theory &amp; Practice</w:t>
      </w:r>
      <w:r>
        <w:rPr>
          <w:shd w:fill="FFFFFF" w:val="clear"/>
        </w:rPr>
        <w:t>, </w:t>
      </w:r>
      <w:r>
        <w:rPr>
          <w:i/>
          <w:iCs/>
          <w:shd w:fill="FFFFFF" w:val="clear"/>
        </w:rPr>
        <w:t>17</w:t>
      </w:r>
      <w:r>
        <w:rPr>
          <w:shd w:fill="FFFFFF" w:val="clear"/>
        </w:rPr>
        <w:t>(4), pp.557-576.</w:t>
      </w:r>
    </w:p>
    <w:p>
      <w:pPr>
        <w:pStyle w:val="NoSpacing"/>
        <w:rPr>
          <w:shd w:fill="FFFFFF" w:val="clear"/>
        </w:rPr>
      </w:pPr>
      <w:r>
        <w:rPr>
          <w:shd w:fill="FFFFFF" w:val="clear"/>
        </w:rPr>
        <w:t>Barnes, M. and Schmitz, P., 2016. Community engagement matters (now more than ever). </w:t>
      </w:r>
      <w:r>
        <w:rPr>
          <w:i/>
          <w:iCs/>
          <w:shd w:fill="FFFFFF" w:val="clear"/>
        </w:rPr>
        <w:t>Stanford Social Innovation Review</w:t>
      </w:r>
      <w:r>
        <w:rPr>
          <w:shd w:fill="FFFFFF" w:val="clear"/>
        </w:rPr>
        <w:t>, </w:t>
      </w:r>
      <w:r>
        <w:rPr>
          <w:i/>
          <w:iCs/>
          <w:shd w:fill="FFFFFF" w:val="clear"/>
        </w:rPr>
        <w:t>14</w:t>
      </w:r>
      <w:r>
        <w:rPr>
          <w:shd w:fill="FFFFFF" w:val="clear"/>
        </w:rPr>
        <w:t>(2), pp.32-39.</w:t>
      </w:r>
    </w:p>
    <w:p>
      <w:pPr>
        <w:pStyle w:val="NoSpacing"/>
        <w:rPr>
          <w:shd w:fill="FFFFFF" w:val="clear"/>
        </w:rPr>
      </w:pPr>
      <w:r>
        <w:rPr>
          <w:shd w:fill="FFFFFF" w:val="clear"/>
        </w:rPr>
        <w:t>Chilisa, B., Major, T.E. and Khudu-Petersen, K., 2017. Community engagement with a postcolonial, African-based relational paradigm. </w:t>
      </w:r>
      <w:r>
        <w:rPr>
          <w:i/>
          <w:iCs/>
          <w:shd w:fill="FFFFFF" w:val="clear"/>
        </w:rPr>
        <w:t>Qualitative Research</w:t>
      </w:r>
      <w:r>
        <w:rPr>
          <w:shd w:fill="FFFFFF" w:val="clear"/>
        </w:rPr>
        <w:t>, </w:t>
      </w:r>
      <w:r>
        <w:rPr>
          <w:i/>
          <w:iCs/>
          <w:shd w:fill="FFFFFF" w:val="clear"/>
        </w:rPr>
        <w:t>17</w:t>
      </w:r>
      <w:r>
        <w:rPr>
          <w:shd w:fill="FFFFFF" w:val="clear"/>
        </w:rPr>
        <w:t>(3), pp.326-339.</w:t>
      </w:r>
    </w:p>
    <w:p>
      <w:pPr>
        <w:pStyle w:val="NoSpacing"/>
        <w:rPr>
          <w:shd w:fill="FFFFFF" w:val="clear"/>
        </w:rPr>
      </w:pPr>
      <w:r>
        <w:rPr>
          <w:shd w:fill="FFFFFF" w:val="clear"/>
        </w:rPr>
        <w:t>Frank, A.I. and Sieh, L., 2016. Multiversity of the twenty-first century–examining opportunities for integrating community engagement in planning curricula. </w:t>
      </w:r>
      <w:r>
        <w:rPr>
          <w:i/>
          <w:iCs/>
          <w:shd w:fill="FFFFFF" w:val="clear"/>
        </w:rPr>
        <w:t>Planning Practice &amp; Research</w:t>
      </w:r>
      <w:r>
        <w:rPr>
          <w:shd w:fill="FFFFFF" w:val="clear"/>
        </w:rPr>
        <w:t>, </w:t>
      </w:r>
      <w:r>
        <w:rPr>
          <w:i/>
          <w:iCs/>
          <w:shd w:fill="FFFFFF" w:val="clear"/>
        </w:rPr>
        <w:t>31</w:t>
      </w:r>
      <w:r>
        <w:rPr>
          <w:shd w:fill="FFFFFF" w:val="clear"/>
        </w:rPr>
        <w:t>(5), pp.513-532.</w:t>
      </w:r>
    </w:p>
    <w:p>
      <w:pPr>
        <w:pStyle w:val="NoSpacing"/>
        <w:rPr>
          <w:shd w:fill="FFFFFF" w:val="clear"/>
        </w:rPr>
      </w:pPr>
      <w:r>
        <w:rPr>
          <w:shd w:fill="FFFFFF" w:val="clear"/>
        </w:rPr>
        <w:t>Harden, A., Sheridan, K., McKeown, A., Dan-Ogosi, I. and Bagnall, A.M., 2016. Review 5: Evidence review of barriers to, and facilitators of, community engagement approaches and practices in the UK.</w:t>
      </w:r>
    </w:p>
    <w:p>
      <w:pPr>
        <w:pStyle w:val="NoSpacing"/>
        <w:rPr>
          <w:shd w:fill="FFFFFF" w:val="clear"/>
        </w:rPr>
      </w:pPr>
      <w:r>
        <w:rPr>
          <w:shd w:fill="FFFFFF" w:val="clear"/>
        </w:rPr>
        <w:t>Henderson, F., Steiner, A., Farmer, J. and Whittam, G., 2020. Challenges of community engagement in a rural area: The impact of flood protection and policy. </w:t>
      </w:r>
      <w:r>
        <w:rPr>
          <w:i/>
          <w:iCs/>
          <w:shd w:fill="FFFFFF" w:val="clear"/>
        </w:rPr>
        <w:t>Journal of Rural Studies</w:t>
      </w:r>
      <w:r>
        <w:rPr>
          <w:shd w:fill="FFFFFF" w:val="clear"/>
        </w:rPr>
        <w:t>, </w:t>
      </w:r>
      <w:r>
        <w:rPr>
          <w:i/>
          <w:iCs/>
          <w:shd w:fill="FFFFFF" w:val="clear"/>
        </w:rPr>
        <w:t>73</w:t>
      </w:r>
      <w:r>
        <w:rPr>
          <w:shd w:fill="FFFFFF" w:val="clear"/>
        </w:rPr>
        <w:t>, pp.225-233.</w:t>
      </w:r>
    </w:p>
    <w:p>
      <w:pPr>
        <w:pStyle w:val="NoSpacing"/>
        <w:rPr>
          <w:shd w:fill="FFFFFF" w:val="clear"/>
        </w:rPr>
      </w:pPr>
      <w:r>
        <w:rPr>
          <w:shd w:fill="FFFFFF" w:val="clear"/>
        </w:rPr>
        <w:t>Kumar, J. and Kumar, V., 2020. Drivers of brand community engagement. </w:t>
      </w:r>
      <w:r>
        <w:rPr>
          <w:i/>
          <w:iCs/>
          <w:shd w:fill="FFFFFF" w:val="clear"/>
        </w:rPr>
        <w:t>Journal of Retailing and Consumer Services</w:t>
      </w:r>
      <w:r>
        <w:rPr>
          <w:shd w:fill="FFFFFF" w:val="clear"/>
        </w:rPr>
        <w:t>, </w:t>
      </w:r>
      <w:r>
        <w:rPr>
          <w:i/>
          <w:iCs/>
          <w:shd w:fill="FFFFFF" w:val="clear"/>
        </w:rPr>
        <w:t>54</w:t>
      </w:r>
      <w:r>
        <w:rPr>
          <w:shd w:fill="FFFFFF" w:val="clear"/>
        </w:rPr>
        <w:t>, p.101949.</w:t>
      </w:r>
    </w:p>
    <w:p>
      <w:pPr>
        <w:pStyle w:val="NoSpacing"/>
        <w:rPr>
          <w:shd w:fill="FFFFFF" w:val="clear"/>
        </w:rPr>
      </w:pPr>
      <w:r>
        <w:rPr>
          <w:shd w:fill="FFFFFF" w:val="clear"/>
        </w:rPr>
        <w:t>Morse, N., 2018. Patterns of accountability: An organizational approach to community engagement in museums.</w:t>
      </w:r>
    </w:p>
    <w:p>
      <w:pPr>
        <w:pStyle w:val="NoSpacing"/>
        <w:rPr>
          <w:shd w:fill="FFFFFF" w:val="clear"/>
        </w:rPr>
      </w:pPr>
      <w:r>
        <w:rPr>
          <w:shd w:fill="FFFFFF" w:val="clear"/>
        </w:rPr>
        <w:t>Moser, S.C. and Pike, C., 2015. Community engagement on adaptation: Meeting a growing capacity need. </w:t>
      </w:r>
      <w:r>
        <w:rPr>
          <w:i/>
          <w:iCs/>
          <w:shd w:fill="FFFFFF" w:val="clear"/>
        </w:rPr>
        <w:t>Urban Climate</w:t>
      </w:r>
      <w:r>
        <w:rPr>
          <w:shd w:fill="FFFFFF" w:val="clear"/>
        </w:rPr>
        <w:t>, </w:t>
      </w:r>
      <w:r>
        <w:rPr>
          <w:i/>
          <w:iCs/>
          <w:shd w:fill="FFFFFF" w:val="clear"/>
        </w:rPr>
        <w:t>14</w:t>
      </w:r>
      <w:r>
        <w:rPr>
          <w:shd w:fill="FFFFFF" w:val="clear"/>
        </w:rPr>
        <w:t>, pp.111-115.</w:t>
      </w:r>
    </w:p>
    <w:p>
      <w:pPr>
        <w:pStyle w:val="NoSpacing"/>
        <w:rPr>
          <w:shd w:fill="FFFFFF" w:val="clear"/>
        </w:rPr>
      </w:pPr>
      <w:r>
        <w:rPr>
          <w:shd w:fill="FFFFFF" w:val="clear"/>
        </w:rPr>
        <w:t>Mtawa, N.N., Fongwa, S.N. and Wangenge-Ouma, G., 2016. The scholarship of university-community engagement: Interrogating Boyer's model. </w:t>
      </w:r>
      <w:r>
        <w:rPr>
          <w:i/>
          <w:iCs/>
          <w:shd w:fill="FFFFFF" w:val="clear"/>
        </w:rPr>
        <w:t>International Journal of Educational Development</w:t>
      </w:r>
      <w:r>
        <w:rPr>
          <w:shd w:fill="FFFFFF" w:val="clear"/>
        </w:rPr>
        <w:t>, </w:t>
      </w:r>
      <w:r>
        <w:rPr>
          <w:i/>
          <w:iCs/>
          <w:shd w:fill="FFFFFF" w:val="clear"/>
        </w:rPr>
        <w:t>49</w:t>
      </w:r>
      <w:r>
        <w:rPr>
          <w:shd w:fill="FFFFFF" w:val="clear"/>
        </w:rPr>
        <w:t>, pp.126-133.</w:t>
      </w:r>
    </w:p>
    <w:p>
      <w:pPr>
        <w:pStyle w:val="NoSpacing"/>
        <w:rPr>
          <w:shd w:fill="FFFFFF" w:val="clear"/>
        </w:rPr>
      </w:pPr>
      <w:r>
        <w:rPr>
          <w:shd w:fill="FFFFFF" w:val="clear"/>
        </w:rPr>
        <w:t>O’Mara-Eves, A., Brunton, G., Oliver, S., Kavanagh, J., Jamal, F. and Thomas, J., 2015. The effectiveness of community engagement in public health interventions for disadvantaged groups: a meta-analysis. </w:t>
      </w:r>
      <w:r>
        <w:rPr>
          <w:i/>
          <w:iCs/>
          <w:shd w:fill="FFFFFF" w:val="clear"/>
        </w:rPr>
        <w:t>BMC public health</w:t>
      </w:r>
      <w:r>
        <w:rPr>
          <w:shd w:fill="FFFFFF" w:val="clear"/>
        </w:rPr>
        <w:t>, </w:t>
      </w:r>
      <w:r>
        <w:rPr>
          <w:i/>
          <w:iCs/>
          <w:shd w:fill="FFFFFF" w:val="clear"/>
        </w:rPr>
        <w:t>15</w:t>
      </w:r>
      <w:r>
        <w:rPr>
          <w:shd w:fill="FFFFFF" w:val="clear"/>
        </w:rPr>
        <w:t>(1), pp.1-23.</w:t>
      </w:r>
    </w:p>
    <w:p>
      <w:pPr>
        <w:pStyle w:val="NoSpacing"/>
        <w:rPr>
          <w:shd w:fill="FFFFFF" w:val="clear"/>
        </w:rPr>
      </w:pPr>
      <w:r>
        <w:rPr>
          <w:shd w:fill="FFFFFF" w:val="clear"/>
        </w:rPr>
        <w:t>Ojha, H.R., Ford, R., Keenan, R.J., Race, D., Vega, D.C., Baral, H. and Sapkota, P., 2016. Delocalizing communities: Changing forms of community engagement in natural resources governance. </w:t>
      </w:r>
      <w:r>
        <w:rPr>
          <w:i/>
          <w:iCs/>
          <w:shd w:fill="FFFFFF" w:val="clear"/>
        </w:rPr>
        <w:t>World Development</w:t>
      </w:r>
      <w:r>
        <w:rPr>
          <w:shd w:fill="FFFFFF" w:val="clear"/>
        </w:rPr>
        <w:t>, </w:t>
      </w:r>
      <w:r>
        <w:rPr>
          <w:i/>
          <w:iCs/>
          <w:shd w:fill="FFFFFF" w:val="clear"/>
        </w:rPr>
        <w:t>87</w:t>
      </w:r>
      <w:r>
        <w:rPr>
          <w:shd w:fill="FFFFFF" w:val="clear"/>
        </w:rPr>
        <w:t>, pp.274-290.</w:t>
      </w:r>
    </w:p>
    <w:p>
      <w:pPr>
        <w:pStyle w:val="NoSpacing"/>
        <w:rPr>
          <w:shd w:fill="FFFFFF" w:val="clear"/>
        </w:rPr>
      </w:pPr>
      <w:r>
        <w:rPr>
          <w:shd w:fill="FFFFFF" w:val="clear"/>
        </w:rPr>
        <w:t>Tindana, P., de Vries, J., Campbell, M., Littler, K., Seeley, J., Marshall, P., Troyer, J., Ogundipe, M., Alibu, V.P., Yakubu, A. and Parker, M., 2015. Community engagement strategies for genomic studies in Africa: a review of the literature. </w:t>
      </w:r>
      <w:r>
        <w:rPr>
          <w:i/>
          <w:iCs/>
          <w:shd w:fill="FFFFFF" w:val="clear"/>
        </w:rPr>
        <w:t>BMC medical ethics</w:t>
      </w:r>
      <w:r>
        <w:rPr>
          <w:shd w:fill="FFFFFF" w:val="clear"/>
        </w:rPr>
        <w:t>, </w:t>
      </w:r>
      <w:r>
        <w:rPr>
          <w:i/>
          <w:iCs/>
          <w:shd w:fill="FFFFFF" w:val="clear"/>
        </w:rPr>
        <w:t>16</w:t>
      </w:r>
      <w:r>
        <w:rPr>
          <w:shd w:fill="FFFFFF" w:val="clear"/>
        </w:rPr>
        <w:t>(1), pp.1-12.</w:t>
      </w:r>
    </w:p>
    <w:p>
      <w:pPr>
        <w:pStyle w:val="NoSpacing"/>
        <w:rPr>
          <w:shd w:fill="FFFFFF" w:val="clear"/>
        </w:rPr>
      </w:pPr>
      <w:r>
        <w:rPr>
          <w:shd w:fill="FFFFFF" w:val="clear"/>
        </w:rPr>
        <w:t>Witton, R. and Paisi, M., 2022. The benefits of an innovative community engagement model in dental undergraduate education. </w:t>
      </w:r>
      <w:r>
        <w:rPr>
          <w:i/>
          <w:iCs/>
          <w:shd w:fill="FFFFFF" w:val="clear"/>
        </w:rPr>
        <w:t>Education for Primary Care</w:t>
      </w:r>
      <w:r>
        <w:rPr>
          <w:shd w:fill="FFFFFF" w:val="clear"/>
        </w:rPr>
        <w:t>, </w:t>
      </w:r>
      <w:r>
        <w:rPr>
          <w:i/>
          <w:iCs/>
          <w:shd w:fill="FFFFFF" w:val="clear"/>
        </w:rPr>
        <w:t>33</w:t>
      </w:r>
      <w:r>
        <w:rPr>
          <w:shd w:fill="FFFFFF" w:val="clear"/>
        </w:rPr>
        <w:t>(1), pp.41-45.</w:t>
      </w:r>
    </w:p>
    <w:p>
      <w:pPr>
        <w:pStyle w:val="Normal"/>
        <w:rPr/>
      </w:pPr>
      <w:r>
        <w:rPr/>
      </w:r>
    </w:p>
    <w:sectPr>
      <w:headerReference w:type="default" r:id="rId3"/>
      <w:type w:val="nextPage"/>
      <w:pgSz w:w="12240" w:h="15840"/>
      <w:pgMar w:left="1440" w:right="1440" w:gutter="0" w:header="72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Calibri Light">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tabs>
        <w:tab w:val="clear" w:pos="4680"/>
        <w:tab w:val="clear" w:pos="9360"/>
        <w:tab w:val="center" w:pos="4819" w:leader="none"/>
        <w:tab w:val="right" w:pos="9638" w:leader="none"/>
      </w:tabs>
      <w:spacing w:lineRule="auto" w:line="256"/>
      <w:rPr/>
    </w:pPr>
    <w:r>
      <w:rPr>
        <w:rFonts w:ascii="Calibri" w:hAnsi="Calibri"/>
        <w:b/>
        <w:bCs/>
        <w:color w:val="000000"/>
        <w:sz w:val="36"/>
        <w:szCs w:val="36"/>
      </w:rPr>
      <w:t>STUDENT NAME: SAJOR BAKAR JALLOH</w:t>
    </w:r>
  </w:p>
  <w:p>
    <w:pPr>
      <w:pStyle w:val="Header"/>
      <w:tabs>
        <w:tab w:val="clear" w:pos="4680"/>
        <w:tab w:val="clear" w:pos="9360"/>
        <w:tab w:val="center" w:pos="4819" w:leader="none"/>
        <w:tab w:val="right" w:pos="9638" w:leader="none"/>
      </w:tabs>
      <w:spacing w:lineRule="auto" w:line="256"/>
      <w:rPr>
        <w:rFonts w:ascii="Calibri" w:hAnsi="Calibri"/>
        <w:b/>
        <w:b/>
        <w:bCs/>
        <w:color w:val="000000"/>
        <w:sz w:val="36"/>
        <w:szCs w:val="36"/>
      </w:rPr>
    </w:pPr>
    <w:r>
      <w:rPr>
        <w:rFonts w:ascii="Calibri" w:hAnsi="Calibri"/>
        <w:b/>
        <w:bCs/>
        <w:color w:val="000000"/>
        <w:sz w:val="36"/>
        <w:szCs w:val="36"/>
      </w:rPr>
    </w:r>
  </w:p>
  <w:p>
    <w:pPr>
      <w:pStyle w:val="Header"/>
      <w:tabs>
        <w:tab w:val="clear" w:pos="4680"/>
        <w:tab w:val="clear" w:pos="9360"/>
        <w:tab w:val="center" w:pos="4819" w:leader="none"/>
        <w:tab w:val="right" w:pos="9638" w:leader="none"/>
      </w:tabs>
      <w:spacing w:lineRule="auto" w:line="256"/>
      <w:rPr/>
    </w:pPr>
    <w:r>
      <w:rPr>
        <w:rFonts w:ascii="Calibri" w:hAnsi="Calibri"/>
        <w:b/>
        <w:bCs/>
        <w:color w:val="000000"/>
        <w:sz w:val="36"/>
        <w:szCs w:val="36"/>
      </w:rPr>
      <w:t>STUDENT REFERENCE NUMBER: 1920818</w:t>
    </w:r>
  </w:p>
  <w:p>
    <w:pPr>
      <w:pStyle w:val="Header"/>
      <w:tabs>
        <w:tab w:val="clear" w:pos="4680"/>
        <w:tab w:val="clear" w:pos="9360"/>
        <w:tab w:val="center" w:pos="4819" w:leader="none"/>
        <w:tab w:val="right" w:pos="9638" w:leader="none"/>
      </w:tabs>
      <w:spacing w:lineRule="auto" w:line="256"/>
      <w:rPr>
        <w:rFonts w:ascii="Calibri" w:hAnsi="Calibri"/>
        <w:b/>
        <w:b/>
        <w:bCs/>
        <w:color w:val="000000"/>
        <w:sz w:val="36"/>
        <w:szCs w:val="36"/>
      </w:rPr>
    </w:pPr>
    <w:r>
      <w:rPr>
        <w:rFonts w:ascii="Calibri" w:hAnsi="Calibri"/>
        <w:b/>
        <w:bCs/>
        <w:color w:val="000000"/>
        <w:sz w:val="36"/>
        <w:szCs w:val="36"/>
      </w:rPr>
    </w:r>
  </w:p>
  <w:p>
    <w:pPr>
      <w:pStyle w:val="Header"/>
      <w:tabs>
        <w:tab w:val="clear" w:pos="4680"/>
        <w:tab w:val="clear" w:pos="9360"/>
        <w:tab w:val="center" w:pos="4819" w:leader="none"/>
        <w:tab w:val="right" w:pos="9638" w:leader="none"/>
      </w:tabs>
      <w:spacing w:lineRule="auto" w:line="256"/>
      <w:rPr/>
    </w:pPr>
    <w:r>
      <w:rPr>
        <w:rFonts w:ascii="Calibri" w:hAnsi="Calibri"/>
        <w:b/>
        <w:bCs/>
        <w:color w:val="000000"/>
        <w:sz w:val="36"/>
        <w:szCs w:val="36"/>
      </w:rPr>
      <w:t xml:space="preserve">COURSE: </w:t>
    </w:r>
    <w:r>
      <w:rPr>
        <w:rFonts w:ascii="Calibri" w:hAnsi="Calibri"/>
        <w:b/>
        <w:bCs/>
        <w:color w:val="000000"/>
        <w:sz w:val="36"/>
        <w:szCs w:val="36"/>
      </w:rPr>
      <w:t>COMMUNITY ENGAGMENT</w:t>
    </w:r>
  </w:p>
  <w:p>
    <w:pPr>
      <w:pStyle w:val="Header"/>
      <w:tabs>
        <w:tab w:val="clear" w:pos="4680"/>
        <w:tab w:val="clear" w:pos="9360"/>
        <w:tab w:val="center" w:pos="4819" w:leader="none"/>
        <w:tab w:val="right" w:pos="9638" w:leader="none"/>
      </w:tabs>
      <w:spacing w:lineRule="auto" w:line="256"/>
      <w:rPr>
        <w:rFonts w:ascii="Calibri" w:hAnsi="Calibri"/>
        <w:b/>
        <w:b/>
        <w:bCs/>
        <w:color w:val="000000"/>
        <w:sz w:val="36"/>
        <w:szCs w:val="36"/>
      </w:rPr>
    </w:pPr>
    <w:r>
      <w:rPr>
        <w:rFonts w:ascii="Calibri" w:hAnsi="Calibri"/>
        <w:b/>
        <w:bCs/>
        <w:color w:val="000000"/>
        <w:sz w:val="36"/>
        <w:szCs w:val="36"/>
      </w:rPr>
    </w:r>
  </w:p>
  <w:p>
    <w:pPr>
      <w:pStyle w:val="Header"/>
      <w:tabs>
        <w:tab w:val="clear" w:pos="4680"/>
        <w:tab w:val="clear" w:pos="9360"/>
        <w:tab w:val="center" w:pos="4819" w:leader="none"/>
        <w:tab w:val="right" w:pos="9638" w:leader="none"/>
      </w:tabs>
      <w:spacing w:lineRule="auto" w:line="256"/>
      <w:rPr/>
    </w:pPr>
    <w:r>
      <w:rPr>
        <w:rFonts w:ascii="Calibri" w:hAnsi="Calibri"/>
        <w:b/>
        <w:bCs/>
        <w:color w:val="000000"/>
        <w:sz w:val="36"/>
        <w:szCs w:val="36"/>
      </w:rPr>
      <w:t xml:space="preserve">LECTURE: </w:t>
    </w:r>
    <w:r>
      <w:rPr>
        <w:rFonts w:ascii="Calibri" w:hAnsi="Calibri"/>
        <w:b/>
        <w:bCs/>
        <w:i w:val="false"/>
        <w:caps w:val="false"/>
        <w:smallCaps w:val="false"/>
        <w:color w:val="000000"/>
        <w:spacing w:val="0"/>
        <w:sz w:val="36"/>
        <w:szCs w:val="36"/>
      </w:rPr>
      <w:t>Dr, FAIZU EDU</w:t>
    </w:r>
    <w:r>
      <w:rPr>
        <w:rFonts w:ascii="Calibri" w:hAnsi="Calibri"/>
        <w:b/>
        <w:bCs/>
        <w:color w:val="000000"/>
        <w:sz w:val="36"/>
        <w:szCs w:val="36"/>
      </w:rPr>
      <w:t xml:space="preserve"> </w:t>
    </w:r>
  </w:p>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191748101"/>
    </w:sdtPr>
    <w:sdtContent>
      <w:p>
        <w:pPr>
          <w:pStyle w:val="Header"/>
          <w:jc w:val="right"/>
          <w:rPr/>
        </w:pPr>
        <w:r>
          <w:rPr/>
          <w:fldChar w:fldCharType="begin"/>
        </w:r>
        <w:r>
          <w:rPr/>
          <w:instrText> PAGE </w:instrText>
        </w:r>
        <w:r>
          <w:rPr/>
          <w:fldChar w:fldCharType="separate"/>
        </w:r>
        <w:r>
          <w:rPr/>
          <w:t>10</w:t>
        </w:r>
        <w:r>
          <w:rPr/>
          <w:fldChar w:fldCharType="end"/>
        </w:r>
      </w:p>
    </w:sdtContent>
  </w:sdt>
  <w:p>
    <w:pPr>
      <w:pStyle w:val="Header"/>
      <w:rPr/>
    </w:pPr>
    <w:r>
      <w:rPr/>
    </w:r>
  </w:p>
</w:hdr>
</file>

<file path=word/settings.xml><?xml version="1.0" encoding="utf-8"?>
<w:settings xmlns:w="http://schemas.openxmlformats.org/wordprocessingml/2006/main">
  <w:zoom w:percent="7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 w:asciiTheme="minorHAnsi" w:cstheme="minorBid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33d06"/>
    <w:pPr>
      <w:widowControl/>
      <w:bidi w:val="0"/>
      <w:spacing w:lineRule="auto" w:line="360" w:before="0" w:after="0"/>
      <w:ind w:firstLine="720"/>
      <w:jc w:val="both"/>
    </w:pPr>
    <w:rPr>
      <w:rFonts w:ascii="Times New Roman" w:hAnsi="Times New Roman" w:cs="Times New Roman" w:eastAsia="Times New Roman"/>
      <w:color w:val="auto"/>
      <w:kern w:val="0"/>
      <w:sz w:val="24"/>
      <w:szCs w:val="20"/>
      <w:lang w:val="en-GB" w:eastAsia="en-GB" w:bidi="ar-SA"/>
    </w:rPr>
  </w:style>
  <w:style w:type="paragraph" w:styleId="Heading1">
    <w:name w:val="Heading 1"/>
    <w:basedOn w:val="Normal"/>
    <w:next w:val="Normal"/>
    <w:link w:val="Heading1Char"/>
    <w:autoRedefine/>
    <w:uiPriority w:val="9"/>
    <w:qFormat/>
    <w:rsid w:val="00885e98"/>
    <w:pPr>
      <w:keepNext w:val="true"/>
      <w:keepLines/>
      <w:spacing w:before="240" w:after="240"/>
      <w:jc w:val="center"/>
      <w:outlineLvl w:val="0"/>
    </w:pPr>
    <w:rPr>
      <w:rFonts w:eastAsia="" w:cs="" w:cstheme="majorBidi" w:eastAsiaTheme="majorEastAsia"/>
      <w:b/>
      <w:i/>
      <w:color w:val="000000" w:themeColor="text1"/>
      <w:szCs w:val="32"/>
    </w:rPr>
  </w:style>
  <w:style w:type="paragraph" w:styleId="Heading2">
    <w:name w:val="Heading 2"/>
    <w:basedOn w:val="Normal"/>
    <w:next w:val="Normal"/>
    <w:link w:val="Heading2Char"/>
    <w:autoRedefine/>
    <w:uiPriority w:val="9"/>
    <w:unhideWhenUsed/>
    <w:qFormat/>
    <w:rsid w:val="005d6f3e"/>
    <w:pPr>
      <w:keepNext w:val="true"/>
      <w:keepLines/>
      <w:spacing w:before="240" w:after="240"/>
      <w:jc w:val="left"/>
      <w:outlineLvl w:val="1"/>
    </w:pPr>
    <w:rPr>
      <w:rFonts w:eastAsia="" w:cs="" w:cstheme="majorBidi" w:eastAsiaTheme="majorEastAsia"/>
      <w:b/>
      <w:i/>
      <w:color w:val="000000" w:themeColor="text1"/>
      <w:szCs w:val="26"/>
    </w:rPr>
  </w:style>
  <w:style w:type="paragraph" w:styleId="Heading3">
    <w:name w:val="Heading 3"/>
    <w:basedOn w:val="Normal"/>
    <w:next w:val="Normal"/>
    <w:link w:val="Heading3Char"/>
    <w:autoRedefine/>
    <w:uiPriority w:val="9"/>
    <w:unhideWhenUsed/>
    <w:qFormat/>
    <w:rsid w:val="005d6f3e"/>
    <w:pPr>
      <w:keepNext w:val="true"/>
      <w:keepLines/>
      <w:spacing w:lineRule="auto" w:line="480" w:before="240" w:after="240"/>
      <w:outlineLvl w:val="2"/>
    </w:pPr>
    <w:rPr>
      <w:rFonts w:eastAsia="" w:cs="" w:cstheme="majorBidi" w:eastAsiaTheme="majorEastAsia"/>
      <w:i/>
      <w:color w:val="000000" w:themeColor="text1"/>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885e98"/>
    <w:rPr>
      <w:rFonts w:ascii="Times New Roman" w:hAnsi="Times New Roman" w:eastAsia="" w:cs="" w:cstheme="majorBidi" w:eastAsiaTheme="majorEastAsia"/>
      <w:b/>
      <w:i/>
      <w:color w:val="000000" w:themeColor="text1"/>
      <w:sz w:val="24"/>
      <w:szCs w:val="32"/>
      <w:lang w:val="en-GB"/>
    </w:rPr>
  </w:style>
  <w:style w:type="character" w:styleId="Heading2Char" w:customStyle="1">
    <w:name w:val="Heading 2 Char"/>
    <w:basedOn w:val="DefaultParagraphFont"/>
    <w:link w:val="Heading2"/>
    <w:uiPriority w:val="9"/>
    <w:qFormat/>
    <w:rsid w:val="005d6f3e"/>
    <w:rPr>
      <w:rFonts w:ascii="Times New Roman" w:hAnsi="Times New Roman" w:eastAsia="" w:cs="" w:cstheme="majorBidi" w:eastAsiaTheme="majorEastAsia"/>
      <w:b/>
      <w:i/>
      <w:color w:val="000000" w:themeColor="text1"/>
      <w:sz w:val="24"/>
      <w:szCs w:val="26"/>
      <w:lang w:val="en-GB"/>
    </w:rPr>
  </w:style>
  <w:style w:type="character" w:styleId="TitleChar" w:customStyle="1">
    <w:name w:val="Title Char"/>
    <w:basedOn w:val="DefaultParagraphFont"/>
    <w:link w:val="Title"/>
    <w:uiPriority w:val="10"/>
    <w:qFormat/>
    <w:rsid w:val="003f1b53"/>
    <w:rPr>
      <w:rFonts w:ascii="Times New Roman" w:hAnsi="Times New Roman" w:eastAsia="" w:cs="" w:cstheme="majorBidi" w:eastAsiaTheme="majorEastAsia"/>
      <w:i/>
      <w:spacing w:val="-10"/>
      <w:kern w:val="2"/>
      <w:sz w:val="24"/>
      <w:szCs w:val="56"/>
      <w:lang w:val="en-GB" w:eastAsia="en-GB"/>
    </w:rPr>
  </w:style>
  <w:style w:type="character" w:styleId="SubtitleChar" w:customStyle="1">
    <w:name w:val="Subtitle Char"/>
    <w:basedOn w:val="DefaultParagraphFont"/>
    <w:link w:val="Subtitle"/>
    <w:uiPriority w:val="11"/>
    <w:qFormat/>
    <w:rsid w:val="0048027b"/>
    <w:rPr>
      <w:rFonts w:ascii="Times New Roman" w:hAnsi="Times New Roman" w:eastAsia="" w:eastAsiaTheme="minorEastAsia"/>
      <w:i/>
      <w:spacing w:val="15"/>
      <w:sz w:val="24"/>
    </w:rPr>
  </w:style>
  <w:style w:type="character" w:styleId="Heading3Char" w:customStyle="1">
    <w:name w:val="Heading 3 Char"/>
    <w:basedOn w:val="DefaultParagraphFont"/>
    <w:link w:val="Heading3"/>
    <w:uiPriority w:val="9"/>
    <w:qFormat/>
    <w:rsid w:val="005d6f3e"/>
    <w:rPr>
      <w:rFonts w:ascii="Times New Roman" w:hAnsi="Times New Roman" w:eastAsia="" w:cs="" w:cstheme="majorBidi" w:eastAsiaTheme="majorEastAsia"/>
      <w:i/>
      <w:color w:val="000000" w:themeColor="text1"/>
      <w:sz w:val="24"/>
      <w:szCs w:val="24"/>
    </w:rPr>
  </w:style>
  <w:style w:type="character" w:styleId="HeaderChar" w:customStyle="1">
    <w:name w:val="Header Char"/>
    <w:basedOn w:val="DefaultParagraphFont"/>
    <w:link w:val="Header"/>
    <w:uiPriority w:val="99"/>
    <w:qFormat/>
    <w:rsid w:val="00133bcd"/>
    <w:rPr>
      <w:rFonts w:ascii="Times New Roman" w:hAnsi="Times New Roman" w:cs="Times New Roman"/>
      <w:sz w:val="24"/>
      <w:szCs w:val="20"/>
      <w:lang w:val="en-GB" w:eastAsia="en-GB"/>
    </w:rPr>
  </w:style>
  <w:style w:type="character" w:styleId="FooterChar" w:customStyle="1">
    <w:name w:val="Footer Char"/>
    <w:basedOn w:val="DefaultParagraphFont"/>
    <w:link w:val="Footer"/>
    <w:uiPriority w:val="99"/>
    <w:qFormat/>
    <w:rsid w:val="00133bcd"/>
    <w:rPr>
      <w:rFonts w:ascii="Times New Roman" w:hAnsi="Times New Roman" w:cs="Times New Roman"/>
      <w:sz w:val="24"/>
      <w:szCs w:val="20"/>
      <w:lang w:val="en-GB" w:eastAsia="en-GB"/>
    </w:rPr>
  </w:style>
  <w:style w:type="character" w:styleId="InternetLink">
    <w:name w:val="Hyperlink"/>
    <w:basedOn w:val="DefaultParagraphFont"/>
    <w:uiPriority w:val="99"/>
    <w:unhideWhenUsed/>
    <w:rsid w:val="00133bcd"/>
    <w:rPr>
      <w:color w:val="0563C1" w:themeColor="hyperlink"/>
      <w:u w:val="single"/>
    </w:rPr>
  </w:style>
  <w:style w:type="character" w:styleId="IndexLink">
    <w:name w:val="Index Link"/>
    <w:qFormat/>
    <w:rPr/>
  </w:style>
  <w:style w:type="character" w:styleId="BalloonTextChar">
    <w:name w:val="Balloon Text Char"/>
    <w:qFormat/>
    <w:rPr>
      <w:rFonts w:ascii="Segoe UI" w:hAnsi="Segoe UI" w:cs="Segoe UI"/>
      <w:sz w:val="18"/>
      <w:szCs w:val="18"/>
    </w:rPr>
  </w:style>
  <w:style w:type="character" w:styleId="CommentSubjectChar">
    <w:name w:val="Comment Subject Char"/>
    <w:qFormat/>
    <w:rPr>
      <w:b/>
      <w:bCs/>
      <w:sz w:val="20"/>
      <w:szCs w:val="20"/>
    </w:rPr>
  </w:style>
  <w:style w:type="character" w:styleId="CommentTextChar">
    <w:name w:val="Comment Text Char"/>
    <w:qFormat/>
    <w:rPr>
      <w:sz w:val="20"/>
      <w:szCs w:val="20"/>
    </w:rPr>
  </w:style>
  <w:style w:type="character" w:styleId="Annotationreference">
    <w:name w:val="annotation reference"/>
    <w:qFormat/>
    <w:rPr>
      <w:sz w:val="16"/>
      <w:szCs w:val="1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NoSpacing">
    <w:name w:val="No Spacing"/>
    <w:uiPriority w:val="1"/>
    <w:qFormat/>
    <w:rsid w:val="0048027b"/>
    <w:pPr>
      <w:widowControl/>
      <w:bidi w:val="0"/>
      <w:spacing w:lineRule="auto" w:line="360" w:before="120" w:after="120"/>
      <w:ind w:left="720" w:hanging="720"/>
      <w:jc w:val="both"/>
    </w:pPr>
    <w:rPr>
      <w:rFonts w:ascii="Times New Roman" w:hAnsi="Times New Roman" w:eastAsia="Times New Roman" w:cs="" w:cstheme="minorBidi"/>
      <w:color w:val="auto"/>
      <w:kern w:val="0"/>
      <w:sz w:val="24"/>
      <w:szCs w:val="22"/>
      <w:lang w:val="en-US" w:eastAsia="en-US" w:bidi="ar-SA"/>
    </w:rPr>
  </w:style>
  <w:style w:type="paragraph" w:styleId="Title">
    <w:name w:val="Title"/>
    <w:basedOn w:val="Normal"/>
    <w:next w:val="Normal"/>
    <w:link w:val="TitleChar"/>
    <w:uiPriority w:val="10"/>
    <w:qFormat/>
    <w:rsid w:val="003f1b53"/>
    <w:pPr>
      <w:jc w:val="left"/>
    </w:pPr>
    <w:rPr>
      <w:rFonts w:eastAsia="" w:cs="" w:cstheme="majorBidi" w:eastAsiaTheme="majorEastAsia"/>
      <w:i/>
      <w:spacing w:val="-10"/>
      <w:kern w:val="2"/>
      <w:szCs w:val="56"/>
    </w:rPr>
  </w:style>
  <w:style w:type="paragraph" w:styleId="Subtitle">
    <w:name w:val="Subtitle"/>
    <w:basedOn w:val="Normal"/>
    <w:next w:val="Normal"/>
    <w:link w:val="SubtitleChar"/>
    <w:uiPriority w:val="11"/>
    <w:qFormat/>
    <w:rsid w:val="0048027b"/>
    <w:pPr>
      <w:ind w:firstLine="720"/>
    </w:pPr>
    <w:rPr>
      <w:i/>
      <w:spacing w:val="15"/>
    </w:rPr>
  </w:style>
  <w:style w:type="paragraph" w:styleId="ListParagraph">
    <w:name w:val="List Paragraph"/>
    <w:basedOn w:val="Normal"/>
    <w:uiPriority w:val="34"/>
    <w:qFormat/>
    <w:rsid w:val="003c2b3d"/>
    <w:pPr>
      <w:spacing w:before="0" w:after="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133bcd"/>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133bcd"/>
    <w:pPr>
      <w:tabs>
        <w:tab w:val="clear" w:pos="720"/>
        <w:tab w:val="center" w:pos="4680" w:leader="none"/>
        <w:tab w:val="right" w:pos="9360" w:leader="none"/>
      </w:tabs>
      <w:spacing w:lineRule="auto" w:line="240"/>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133bcd"/>
    <w:pPr>
      <w:spacing w:lineRule="auto" w:line="259" w:before="240" w:after="0"/>
      <w:ind w:hanging="0"/>
      <w:jc w:val="left"/>
      <w:outlineLvl w:val="9"/>
    </w:pPr>
    <w:rPr>
      <w:rFonts w:ascii="Calibri Light" w:hAnsi="Calibri Light" w:asciiTheme="majorHAnsi" w:hAnsiTheme="majorHAnsi"/>
      <w:b w:val="false"/>
      <w:i w:val="false"/>
      <w:color w:val="2E74B5" w:themeColor="accent1" w:themeShade="bf"/>
      <w:sz w:val="32"/>
      <w:lang w:val="en-US" w:eastAsia="en-US"/>
    </w:rPr>
  </w:style>
  <w:style w:type="paragraph" w:styleId="Contents1">
    <w:name w:val="TOC 1"/>
    <w:basedOn w:val="Normal"/>
    <w:next w:val="Normal"/>
    <w:autoRedefine/>
    <w:uiPriority w:val="39"/>
    <w:unhideWhenUsed/>
    <w:rsid w:val="00133bcd"/>
    <w:pPr>
      <w:spacing w:before="0" w:after="100"/>
    </w:pPr>
    <w:rPr/>
  </w:style>
  <w:style w:type="paragraph" w:styleId="Contents2">
    <w:name w:val="TOC 2"/>
    <w:basedOn w:val="Normal"/>
    <w:next w:val="Normal"/>
    <w:autoRedefine/>
    <w:uiPriority w:val="39"/>
    <w:unhideWhenUsed/>
    <w:rsid w:val="00133bcd"/>
    <w:pPr>
      <w:spacing w:before="0" w:after="100"/>
      <w:ind w:left="240" w:firstLine="720"/>
    </w:pPr>
    <w:rPr/>
  </w:style>
  <w:style w:type="paragraph" w:styleId="BalloonText">
    <w:name w:val="Balloon Text"/>
    <w:basedOn w:val="Normal"/>
    <w:qFormat/>
    <w:pPr>
      <w:spacing w:lineRule="exact" w:line="240" w:before="0" w:after="0"/>
    </w:pPr>
    <w:rPr>
      <w:rFonts w:ascii="Segoe UI" w:hAnsi="Segoe UI" w:cs="Segoe UI"/>
      <w:sz w:val="18"/>
      <w:szCs w:val="18"/>
    </w:rPr>
  </w:style>
  <w:style w:type="paragraph" w:styleId="Annotationsubject">
    <w:name w:val="annotation subject"/>
    <w:qFormat/>
    <w:pPr>
      <w:widowControl/>
      <w:bidi w:val="0"/>
      <w:spacing w:lineRule="exact" w:line="240" w:before="0" w:after="160"/>
      <w:jc w:val="left"/>
    </w:pPr>
    <w:rPr>
      <w:rFonts w:ascii="Calibri" w:hAnsi="Calibri" w:eastAsia="Times New Roman" w:cs="" w:asciiTheme="minorHAnsi" w:cstheme="minorBidi" w:hAnsiTheme="minorHAnsi"/>
      <w:b/>
      <w:bCs/>
      <w:color w:val="auto"/>
      <w:kern w:val="0"/>
      <w:sz w:val="20"/>
      <w:szCs w:val="20"/>
      <w:lang w:val="en-US" w:eastAsia="en-US" w:bidi="ar-SA"/>
    </w:rPr>
  </w:style>
  <w:style w:type="paragraph" w:styleId="Annotationtext">
    <w:name w:val="annotation text"/>
    <w:basedOn w:val="Normal"/>
    <w:qFormat/>
    <w:pPr>
      <w:spacing w:lineRule="exact" w:line="240"/>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3F6FE-6C5A-4986-8F64-AF25B9384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LibreOffice/7.2.4.1$Windows_X86_64 LibreOffice_project/27d75539669ac387bb498e35313b970b7fe9c4f9</Application>
  <AppVersion>15.0000</AppVersion>
  <Pages>10</Pages>
  <Words>2525</Words>
  <Characters>14506</Characters>
  <CharactersWithSpaces>16998</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dc:description/>
  <dc:language>en-GB</dc:language>
  <cp:lastModifiedBy/>
  <dcterms:modified xsi:type="dcterms:W3CDTF">2022-04-30T22:06:14Z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