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27301" w14:textId="77777777" w:rsidR="00835872" w:rsidRPr="00835872" w:rsidRDefault="00835872" w:rsidP="00835872">
      <w:pPr>
        <w:spacing w:after="0" w:line="240" w:lineRule="auto"/>
        <w:rPr>
          <w:rFonts w:ascii="Georgia" w:eastAsia="Georgia" w:hAnsi="Georgia" w:cs="Georgia"/>
          <w:color w:val="000000"/>
          <w:sz w:val="21"/>
          <w:szCs w:val="21"/>
          <w:u w:color="000000"/>
        </w:rPr>
      </w:pPr>
      <w:r w:rsidRPr="00835872">
        <w:rPr>
          <w:rFonts w:ascii="Georgia" w:eastAsia="Georgia" w:hAnsi="Georgia" w:cs="Georgia"/>
          <w:noProof/>
          <w:color w:val="000000"/>
          <w:sz w:val="21"/>
          <w:szCs w:val="21"/>
          <w:u w:color="000000"/>
        </w:rPr>
        <w:drawing>
          <wp:inline distT="0" distB="0" distL="0" distR="0" wp14:anchorId="2C526ED1" wp14:editId="71721D6B">
            <wp:extent cx="1911350" cy="635000"/>
            <wp:effectExtent l="0" t="0" r="0" b="0"/>
            <wp:docPr id="1" name="Picture 1"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35000"/>
                    </a:xfrm>
                    <a:prstGeom prst="rect">
                      <a:avLst/>
                    </a:prstGeom>
                    <a:noFill/>
                    <a:ln>
                      <a:noFill/>
                    </a:ln>
                    <a:effectLst/>
                  </pic:spPr>
                </pic:pic>
              </a:graphicData>
            </a:graphic>
          </wp:inline>
        </w:drawing>
      </w:r>
    </w:p>
    <w:p w14:paraId="6B02C04E" w14:textId="77777777" w:rsidR="00835872" w:rsidRPr="00835872" w:rsidRDefault="00835872" w:rsidP="00835872">
      <w:pPr>
        <w:spacing w:after="0" w:line="240" w:lineRule="auto"/>
        <w:rPr>
          <w:rFonts w:ascii="Georgia" w:eastAsia="Georgia" w:hAnsi="Georgia" w:cs="Georgia"/>
          <w:color w:val="000000"/>
          <w:sz w:val="21"/>
          <w:szCs w:val="21"/>
          <w:u w:color="000000"/>
        </w:rPr>
      </w:pPr>
    </w:p>
    <w:p w14:paraId="63987375" w14:textId="77777777" w:rsidR="00835872" w:rsidRPr="00835872" w:rsidRDefault="00835872" w:rsidP="00835872">
      <w:pPr>
        <w:spacing w:after="0" w:line="240" w:lineRule="auto"/>
        <w:rPr>
          <w:rFonts w:ascii="Georgia" w:eastAsia="Georgia" w:hAnsi="Georgia" w:cs="Georgia"/>
          <w:color w:val="000000"/>
          <w:sz w:val="21"/>
          <w:szCs w:val="21"/>
          <w:u w:color="000000"/>
        </w:rPr>
      </w:pPr>
    </w:p>
    <w:p w14:paraId="6A924AE9" w14:textId="77777777" w:rsidR="00835872" w:rsidRPr="00835872" w:rsidRDefault="00835872" w:rsidP="00835872">
      <w:pPr>
        <w:spacing w:after="0" w:line="240" w:lineRule="auto"/>
        <w:jc w:val="center"/>
        <w:rPr>
          <w:rFonts w:ascii="Arial" w:eastAsia="Arial" w:hAnsi="Arial" w:cs="Arial"/>
          <w:b/>
          <w:bCs/>
          <w:color w:val="000000"/>
          <w:sz w:val="28"/>
          <w:szCs w:val="28"/>
          <w:u w:color="000000"/>
        </w:rPr>
      </w:pPr>
      <w:r w:rsidRPr="00835872">
        <w:rPr>
          <w:rFonts w:ascii="Arial" w:eastAsia="Arial Unicode MS" w:hAnsi="Arial" w:cs="Arial Unicode MS"/>
          <w:b/>
          <w:bCs/>
          <w:color w:val="000000"/>
          <w:sz w:val="28"/>
          <w:szCs w:val="28"/>
          <w:u w:color="000000"/>
        </w:rPr>
        <w:t xml:space="preserve">Postgraduate/Distance Learning </w:t>
      </w:r>
    </w:p>
    <w:p w14:paraId="0950ACB5" w14:textId="77777777" w:rsidR="00835872" w:rsidRPr="00835872" w:rsidRDefault="00835872" w:rsidP="00835872">
      <w:pPr>
        <w:spacing w:after="0" w:line="240" w:lineRule="auto"/>
        <w:jc w:val="center"/>
        <w:rPr>
          <w:rFonts w:ascii="Arial" w:eastAsia="Arial" w:hAnsi="Arial" w:cs="Arial"/>
          <w:b/>
          <w:bCs/>
          <w:color w:val="000000"/>
          <w:sz w:val="28"/>
          <w:szCs w:val="28"/>
          <w:u w:color="000000"/>
        </w:rPr>
      </w:pPr>
      <w:r w:rsidRPr="00835872">
        <w:rPr>
          <w:rFonts w:ascii="Arial" w:eastAsia="Arial Unicode MS" w:hAnsi="Arial" w:cs="Arial Unicode MS"/>
          <w:b/>
          <w:bCs/>
          <w:color w:val="000000"/>
          <w:sz w:val="28"/>
          <w:szCs w:val="28"/>
          <w:u w:color="000000"/>
        </w:rPr>
        <w:t>Assignment coversheet &amp; feedback form</w:t>
      </w:r>
    </w:p>
    <w:p w14:paraId="76FE49FB" w14:textId="77777777" w:rsidR="00835872" w:rsidRPr="00835872" w:rsidRDefault="00835872" w:rsidP="00835872">
      <w:pPr>
        <w:spacing w:before="160" w:after="0" w:line="240" w:lineRule="auto"/>
        <w:rPr>
          <w:rFonts w:ascii="Arial" w:eastAsia="Arial" w:hAnsi="Arial" w:cs="Arial"/>
          <w:color w:val="000000"/>
          <w:sz w:val="28"/>
          <w:szCs w:val="28"/>
          <w:u w:color="000000"/>
          <w:lang w:val="en-GB" w:eastAsia="en-GB"/>
        </w:rPr>
      </w:pPr>
    </w:p>
    <w:p w14:paraId="14692529" w14:textId="77777777" w:rsidR="00835872" w:rsidRPr="00835872" w:rsidRDefault="00835872" w:rsidP="00835872">
      <w:pPr>
        <w:keepNext/>
        <w:spacing w:after="0" w:line="240" w:lineRule="auto"/>
        <w:ind w:left="720"/>
        <w:jc w:val="center"/>
        <w:outlineLvl w:val="2"/>
        <w:rPr>
          <w:rFonts w:ascii="Tahoma Bold" w:eastAsia="Tahoma Bold" w:hAnsi="Tahoma Bold" w:cs="Tahoma Bold"/>
          <w:color w:val="000000"/>
          <w:sz w:val="20"/>
          <w:szCs w:val="20"/>
          <w:u w:color="000000"/>
          <w:lang w:val="en-GB" w:eastAsia="en-GB"/>
        </w:rPr>
      </w:pPr>
      <w:r w:rsidRPr="00835872">
        <w:rPr>
          <w:rFonts w:ascii="Tahoma Bold" w:eastAsia="Arial Unicode MS" w:hAnsi="Tahoma Bold" w:cs="Arial Unicode MS"/>
          <w:color w:val="000000"/>
          <w:sz w:val="20"/>
          <w:szCs w:val="20"/>
          <w:u w:color="000000"/>
          <w:lang w:val="en-GB" w:eastAsia="en-GB"/>
        </w:rPr>
        <w:t xml:space="preserve">THIS SHEET MUST BE THE FIRST PAGE OF THE ASSIGNMENT YOU ARE </w:t>
      </w:r>
      <w:proofErr w:type="gramStart"/>
      <w:r w:rsidRPr="00835872">
        <w:rPr>
          <w:rFonts w:ascii="Tahoma Bold" w:eastAsia="Arial Unicode MS" w:hAnsi="Tahoma Bold" w:cs="Arial Unicode MS"/>
          <w:color w:val="000000"/>
          <w:sz w:val="20"/>
          <w:szCs w:val="20"/>
          <w:u w:color="000000"/>
          <w:lang w:val="en-GB" w:eastAsia="en-GB"/>
        </w:rPr>
        <w:t>SUBMITTING  (</w:t>
      </w:r>
      <w:proofErr w:type="gramEnd"/>
      <w:r w:rsidRPr="00835872">
        <w:rPr>
          <w:rFonts w:ascii="Tahoma Bold" w:eastAsia="Arial Unicode MS" w:hAnsi="Tahoma Bold" w:cs="Arial Unicode MS"/>
          <w:color w:val="000000"/>
          <w:sz w:val="20"/>
          <w:szCs w:val="20"/>
          <w:u w:color="000000"/>
          <w:lang w:val="en-GB" w:eastAsia="en-GB"/>
        </w:rPr>
        <w:t>DO NOT SEND AS A SEPARATE FILE)</w:t>
      </w:r>
    </w:p>
    <w:p w14:paraId="20C35CDB" w14:textId="77777777" w:rsidR="00835872" w:rsidRPr="00835872" w:rsidRDefault="00835872" w:rsidP="00835872">
      <w:pPr>
        <w:keepNext/>
        <w:spacing w:after="0" w:line="240" w:lineRule="auto"/>
        <w:ind w:left="720"/>
        <w:jc w:val="center"/>
        <w:outlineLvl w:val="2"/>
        <w:rPr>
          <w:rFonts w:ascii="Trebuchet MS" w:eastAsia="Trebuchet MS" w:hAnsi="Trebuchet MS" w:cs="Trebuchet MS"/>
          <w:b/>
          <w:bCs/>
          <w:color w:val="000000"/>
          <w:sz w:val="20"/>
          <w:szCs w:val="20"/>
          <w:u w:color="000000"/>
          <w:lang w:eastAsia="en-GB"/>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835872" w:rsidRPr="00835872" w14:paraId="54B8D709" w14:textId="77777777" w:rsidTr="00396D55">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1CDF190" w14:textId="77777777" w:rsidR="00835872" w:rsidRPr="00835872" w:rsidRDefault="00835872" w:rsidP="00835872">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b/>
                <w:bCs/>
                <w:color w:val="000000"/>
                <w:u w:color="000000"/>
              </w:rPr>
              <w:t>For completion by the student</w:t>
            </w:r>
            <w:r w:rsidRPr="00835872">
              <w:rPr>
                <w:rFonts w:ascii="Arial" w:eastAsia="Arial Unicode MS" w:hAnsi="Arial" w:cs="Arial Unicode MS"/>
                <w:color w:val="000000"/>
                <w:u w:color="000000"/>
              </w:rPr>
              <w:t>:</w:t>
            </w:r>
          </w:p>
        </w:tc>
      </w:tr>
      <w:tr w:rsidR="00835872" w:rsidRPr="00835872" w14:paraId="71034132" w14:textId="77777777" w:rsidTr="00396D55">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21E572D" w14:textId="77777777" w:rsidR="00835872" w:rsidRPr="00835872" w:rsidRDefault="00835872" w:rsidP="00835872">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Student Name:  Kimberly Corrall</w:t>
            </w:r>
          </w:p>
        </w:tc>
      </w:tr>
      <w:tr w:rsidR="00835872" w:rsidRPr="00835872" w14:paraId="736BE5BD" w14:textId="77777777" w:rsidTr="00396D55">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4E911ED" w14:textId="0AB3A09F" w:rsidR="00835872" w:rsidRPr="00835872" w:rsidRDefault="00835872" w:rsidP="00835872">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Module code:  HPCA701</w:t>
            </w:r>
            <w:r>
              <w:rPr>
                <w:rFonts w:ascii="Arial" w:eastAsia="Arial Unicode MS" w:hAnsi="Arial" w:cs="Arial Unicode MS"/>
                <w:color w:val="000000"/>
                <w:u w:color="000000"/>
              </w:rPr>
              <w:t>4</w:t>
            </w:r>
          </w:p>
          <w:p w14:paraId="1C618731" w14:textId="77777777" w:rsidR="00835872" w:rsidRPr="00835872" w:rsidRDefault="00835872" w:rsidP="00835872">
            <w:pPr>
              <w:spacing w:after="0" w:line="240" w:lineRule="auto"/>
              <w:ind w:right="34"/>
              <w:rPr>
                <w:rFonts w:ascii="Arial" w:eastAsia="Arial" w:hAnsi="Arial" w:cs="Arial"/>
                <w:color w:val="000000"/>
                <w:u w:color="000000"/>
              </w:rPr>
            </w:pPr>
          </w:p>
          <w:p w14:paraId="648C3153" w14:textId="3D6CC934" w:rsidR="00835872" w:rsidRPr="00835872" w:rsidRDefault="00835872" w:rsidP="00835872">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 xml:space="preserve">Module title:  </w:t>
            </w:r>
            <w:r>
              <w:rPr>
                <w:rFonts w:ascii="Arial" w:eastAsia="Arial Unicode MS" w:hAnsi="Arial" w:cs="Arial Unicode MS"/>
                <w:color w:val="000000"/>
                <w:u w:color="000000"/>
              </w:rPr>
              <w:t>Sacred Geography</w:t>
            </w:r>
          </w:p>
          <w:p w14:paraId="714D24C7" w14:textId="77777777" w:rsidR="00835872" w:rsidRPr="00835872" w:rsidRDefault="00835872" w:rsidP="00835872">
            <w:pPr>
              <w:spacing w:after="0" w:line="240" w:lineRule="auto"/>
              <w:ind w:right="34"/>
              <w:rPr>
                <w:rFonts w:ascii="Times New Roman" w:eastAsia="Times New Roman" w:hAnsi="Times New Roman" w:cs="Times New Roman"/>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788C826" w14:textId="77777777" w:rsidR="00835872" w:rsidRPr="00835872" w:rsidRDefault="00835872" w:rsidP="00835872">
            <w:pPr>
              <w:spacing w:after="0" w:line="240" w:lineRule="auto"/>
              <w:ind w:right="34"/>
              <w:rPr>
                <w:rFonts w:ascii="Arial" w:eastAsia="Arial Unicode MS" w:hAnsi="Arial" w:cs="Arial Unicode MS"/>
                <w:color w:val="000000"/>
                <w:u w:color="000000"/>
              </w:rPr>
            </w:pPr>
            <w:r w:rsidRPr="00835872">
              <w:rPr>
                <w:rFonts w:ascii="Arial" w:eastAsia="Arial Unicode MS" w:hAnsi="Arial" w:cs="Arial Unicode MS"/>
                <w:color w:val="000000"/>
                <w:u w:color="000000"/>
              </w:rPr>
              <w:t xml:space="preserve">Student ID number:  </w:t>
            </w:r>
          </w:p>
          <w:p w14:paraId="15733C57" w14:textId="77777777" w:rsidR="00835872" w:rsidRPr="00835872" w:rsidRDefault="00835872" w:rsidP="00835872">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2024486</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0DE839E" w14:textId="77777777" w:rsidR="00835872" w:rsidRPr="00835872" w:rsidRDefault="00835872" w:rsidP="00835872">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Educational support needs:</w:t>
            </w:r>
            <w:r w:rsidRPr="00835872">
              <w:rPr>
                <w:rFonts w:ascii="Arial" w:eastAsia="Arial" w:hAnsi="Arial" w:cs="Arial"/>
                <w:color w:val="000000"/>
                <w:u w:color="000000"/>
              </w:rPr>
              <w:t xml:space="preserve">  </w:t>
            </w:r>
            <w:r w:rsidRPr="00835872">
              <w:rPr>
                <w:rFonts w:ascii="Arial" w:eastAsia="Arial Unicode MS" w:hAnsi="Arial" w:cs="Arial Unicode MS"/>
                <w:color w:val="000000"/>
                <w:u w:color="000000"/>
              </w:rPr>
              <w:t>No</w:t>
            </w:r>
          </w:p>
        </w:tc>
      </w:tr>
      <w:tr w:rsidR="00835872" w:rsidRPr="00835872" w14:paraId="67D5EF3F" w14:textId="77777777" w:rsidTr="00396D55">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D597D59" w14:textId="4F2ADD57" w:rsidR="00835872" w:rsidRPr="00835872" w:rsidRDefault="00835872" w:rsidP="00835872">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Module tutor:  Bernadette Brady/Jack</w:t>
            </w:r>
            <w:r>
              <w:rPr>
                <w:rFonts w:ascii="Arial" w:eastAsia="Arial Unicode MS" w:hAnsi="Arial" w:cs="Arial Unicode MS"/>
                <w:color w:val="000000"/>
                <w:u w:color="000000"/>
              </w:rPr>
              <w:t xml:space="preserve"> Hunter</w:t>
            </w:r>
          </w:p>
          <w:p w14:paraId="3D2A7DBF" w14:textId="77777777" w:rsidR="00835872" w:rsidRPr="00835872" w:rsidRDefault="00835872" w:rsidP="00835872">
            <w:pPr>
              <w:spacing w:after="0" w:line="240" w:lineRule="auto"/>
              <w:ind w:right="34"/>
              <w:rPr>
                <w:rFonts w:ascii="Arial" w:eastAsia="Arial" w:hAnsi="Arial" w:cs="Arial"/>
                <w:color w:val="000000"/>
                <w:u w:color="000000"/>
              </w:rPr>
            </w:pPr>
          </w:p>
          <w:p w14:paraId="2226EDFE" w14:textId="77777777" w:rsidR="00835872" w:rsidRPr="00835872" w:rsidRDefault="00835872" w:rsidP="00835872">
            <w:pPr>
              <w:spacing w:after="0" w:line="240" w:lineRule="auto"/>
              <w:ind w:right="34"/>
              <w:rPr>
                <w:rFonts w:ascii="Arial" w:eastAsia="Arial" w:hAnsi="Arial" w:cs="Arial"/>
                <w:color w:val="000000"/>
                <w:u w:color="000000"/>
              </w:rPr>
            </w:pPr>
          </w:p>
          <w:p w14:paraId="4A84E870" w14:textId="6FEE077F" w:rsidR="00835872" w:rsidRPr="00835872" w:rsidRDefault="00835872" w:rsidP="00835872">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 xml:space="preserve">Assignment due date:  </w:t>
            </w:r>
            <w:r>
              <w:rPr>
                <w:rFonts w:ascii="Arial" w:eastAsia="Arial Unicode MS" w:hAnsi="Arial" w:cs="Arial Unicode MS"/>
                <w:color w:val="000000"/>
                <w:u w:color="000000"/>
              </w:rPr>
              <w:t>14</w:t>
            </w:r>
            <w:r w:rsidRPr="00835872">
              <w:rPr>
                <w:rFonts w:ascii="Arial" w:eastAsia="Arial Unicode MS" w:hAnsi="Arial" w:cs="Arial Unicode MS"/>
                <w:color w:val="000000"/>
                <w:u w:color="000000"/>
              </w:rPr>
              <w:t xml:space="preserve"> </w:t>
            </w:r>
            <w:r>
              <w:rPr>
                <w:rFonts w:ascii="Arial" w:eastAsia="Arial Unicode MS" w:hAnsi="Arial" w:cs="Arial Unicode MS"/>
                <w:color w:val="000000"/>
                <w:u w:color="000000"/>
              </w:rPr>
              <w:t>November</w:t>
            </w:r>
            <w:r w:rsidRPr="00835872">
              <w:rPr>
                <w:rFonts w:ascii="Arial" w:eastAsia="Arial Unicode MS" w:hAnsi="Arial" w:cs="Arial Unicode MS"/>
                <w:color w:val="000000"/>
                <w:u w:color="000000"/>
              </w:rPr>
              <w:t xml:space="preserve"> 2022</w:t>
            </w:r>
          </w:p>
        </w:tc>
      </w:tr>
      <w:tr w:rsidR="00835872" w:rsidRPr="00835872" w14:paraId="554A1829" w14:textId="77777777" w:rsidTr="00396D55">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482692" w14:textId="77777777" w:rsidR="00835872" w:rsidRPr="00835872" w:rsidRDefault="00835872" w:rsidP="00835872">
            <w:pPr>
              <w:spacing w:before="160" w:after="0" w:line="240" w:lineRule="auto"/>
              <w:rPr>
                <w:rFonts w:ascii="Arial" w:eastAsia="Arial" w:hAnsi="Arial" w:cs="Arial"/>
                <w:color w:val="000000"/>
                <w:sz w:val="24"/>
                <w:szCs w:val="24"/>
                <w:u w:color="000000"/>
                <w:lang w:val="en-GB" w:eastAsia="en-GB"/>
              </w:rPr>
            </w:pPr>
            <w:r w:rsidRPr="00835872">
              <w:rPr>
                <w:rFonts w:ascii="Arial" w:eastAsia="Arial Unicode MS" w:hAnsi="Arial" w:cs="Arial Unicode MS"/>
                <w:color w:val="000000"/>
                <w:sz w:val="24"/>
                <w:szCs w:val="24"/>
                <w:u w:color="000000"/>
                <w:lang w:eastAsia="en-GB"/>
              </w:rPr>
              <w:t xml:space="preserve">If your module has multiple </w:t>
            </w:r>
            <w:proofErr w:type="gramStart"/>
            <w:r w:rsidRPr="00835872">
              <w:rPr>
                <w:rFonts w:ascii="Arial" w:eastAsia="Arial Unicode MS" w:hAnsi="Arial" w:cs="Arial Unicode MS"/>
                <w:color w:val="000000"/>
                <w:sz w:val="24"/>
                <w:szCs w:val="24"/>
                <w:u w:color="000000"/>
                <w:lang w:eastAsia="en-GB"/>
              </w:rPr>
              <w:t>submissions</w:t>
            </w:r>
            <w:proofErr w:type="gramEnd"/>
            <w:r w:rsidRPr="00835872">
              <w:rPr>
                <w:rFonts w:ascii="Arial" w:eastAsia="Arial Unicode MS" w:hAnsi="Arial" w:cs="Arial Unicode MS"/>
                <w:color w:val="000000"/>
                <w:sz w:val="24"/>
                <w:szCs w:val="24"/>
                <w:u w:color="000000"/>
                <w:lang w:eastAsia="en-GB"/>
              </w:rPr>
              <w:t xml:space="preserve"> please indicate which piece of work this is.</w:t>
            </w:r>
          </w:p>
          <w:p w14:paraId="0BFC6AFC" w14:textId="77777777" w:rsidR="00835872" w:rsidRPr="00835872" w:rsidRDefault="00835872" w:rsidP="00835872">
            <w:pPr>
              <w:spacing w:before="160" w:after="0" w:line="240" w:lineRule="auto"/>
              <w:rPr>
                <w:rFonts w:ascii="Arial" w:eastAsia="Arial" w:hAnsi="Arial" w:cs="Arial"/>
                <w:color w:val="000000"/>
                <w:sz w:val="24"/>
                <w:szCs w:val="24"/>
                <w:u w:color="000000"/>
                <w:lang w:eastAsia="en-GB"/>
              </w:rPr>
            </w:pPr>
          </w:p>
          <w:p w14:paraId="6DA10502" w14:textId="77777777" w:rsidR="00835872" w:rsidRPr="00835872" w:rsidRDefault="005E66B9" w:rsidP="00835872">
            <w:pPr>
              <w:spacing w:before="160" w:after="0" w:line="240" w:lineRule="auto"/>
              <w:rPr>
                <w:rFonts w:ascii="Arial" w:eastAsia="Arial Unicode MS" w:hAnsi="Arial" w:cs="Arial Unicode MS"/>
                <w:color w:val="000000"/>
                <w:sz w:val="24"/>
                <w:szCs w:val="24"/>
                <w:u w:color="000000"/>
                <w:lang w:eastAsia="en-GB"/>
              </w:rPr>
            </w:pPr>
            <w:sdt>
              <w:sdtPr>
                <w:rPr>
                  <w:rFonts w:ascii="Arial" w:eastAsia="Arial Unicode MS" w:hAnsi="Arial" w:cs="Arial Unicode MS"/>
                  <w:b/>
                  <w:bCs/>
                  <w:color w:val="000000"/>
                  <w:sz w:val="24"/>
                  <w:szCs w:val="24"/>
                  <w:u w:color="000000"/>
                  <w:lang w:eastAsia="en-GB"/>
                </w:rPr>
                <w:id w:val="508263513"/>
                <w14:checkbox>
                  <w14:checked w14:val="1"/>
                  <w14:checkedState w14:val="2612" w14:font="MS Gothic"/>
                  <w14:uncheckedState w14:val="2610" w14:font="MS Gothic"/>
                </w14:checkbox>
              </w:sdtPr>
              <w:sdtEndPr/>
              <w:sdtContent>
                <w:r w:rsidR="00835872" w:rsidRPr="00835872">
                  <w:rPr>
                    <w:rFonts w:ascii="Segoe UI Symbol" w:eastAsia="Arial Unicode MS" w:hAnsi="Segoe UI Symbol" w:cs="Segoe UI Symbol"/>
                    <w:b/>
                    <w:bCs/>
                    <w:color w:val="000000"/>
                    <w:sz w:val="24"/>
                    <w:szCs w:val="24"/>
                    <w:u w:color="000000"/>
                    <w:lang w:eastAsia="en-GB"/>
                  </w:rPr>
                  <w:t>☒</w:t>
                </w:r>
              </w:sdtContent>
            </w:sdt>
            <w:r w:rsidR="00835872" w:rsidRPr="00835872">
              <w:rPr>
                <w:rFonts w:ascii="Arial" w:eastAsia="Arial Unicode MS" w:hAnsi="Arial" w:cs="Arial Unicode MS"/>
                <w:b/>
                <w:bCs/>
                <w:color w:val="000000"/>
                <w:sz w:val="24"/>
                <w:szCs w:val="24"/>
                <w:u w:color="000000"/>
                <w:lang w:eastAsia="en-GB"/>
              </w:rPr>
              <w:t>1</w:t>
            </w:r>
            <w:r w:rsidR="00835872" w:rsidRPr="00835872">
              <w:rPr>
                <w:rFonts w:ascii="Arial" w:eastAsia="Arial Unicode MS" w:hAnsi="Arial" w:cs="Arial Unicode MS"/>
                <w:b/>
                <w:bCs/>
                <w:color w:val="000000"/>
                <w:sz w:val="24"/>
                <w:szCs w:val="24"/>
                <w:u w:color="000000"/>
                <w:vertAlign w:val="superscript"/>
                <w:lang w:eastAsia="en-GB"/>
              </w:rPr>
              <w:t xml:space="preserve">st </w:t>
            </w:r>
            <w:r w:rsidR="00835872" w:rsidRPr="00835872">
              <w:rPr>
                <w:rFonts w:ascii="Arial" w:eastAsia="Arial Unicode MS" w:hAnsi="Arial" w:cs="Arial Unicode MS"/>
                <w:color w:val="000000"/>
                <w:sz w:val="24"/>
                <w:szCs w:val="24"/>
                <w:u w:color="000000"/>
                <w:lang w:eastAsia="en-GB"/>
              </w:rPr>
              <w:t xml:space="preserve">    2</w:t>
            </w:r>
            <w:r w:rsidR="00835872" w:rsidRPr="00835872">
              <w:rPr>
                <w:rFonts w:ascii="Arial" w:eastAsia="Arial Unicode MS" w:hAnsi="Arial" w:cs="Arial Unicode MS"/>
                <w:color w:val="000000"/>
                <w:sz w:val="24"/>
                <w:szCs w:val="24"/>
                <w:u w:color="000000"/>
                <w:vertAlign w:val="superscript"/>
                <w:lang w:eastAsia="en-GB"/>
              </w:rPr>
              <w:t>nd</w:t>
            </w:r>
            <w:r w:rsidR="00835872" w:rsidRPr="00835872">
              <w:rPr>
                <w:rFonts w:ascii="Arial" w:eastAsia="Arial Unicode MS" w:hAnsi="Arial" w:cs="Arial Unicode MS"/>
                <w:color w:val="000000"/>
                <w:sz w:val="24"/>
                <w:szCs w:val="24"/>
                <w:u w:color="000000"/>
                <w:lang w:eastAsia="en-GB"/>
              </w:rPr>
              <w:t xml:space="preserve">       3</w:t>
            </w:r>
            <w:r w:rsidR="00835872" w:rsidRPr="00835872">
              <w:rPr>
                <w:rFonts w:ascii="Arial" w:eastAsia="Arial Unicode MS" w:hAnsi="Arial" w:cs="Arial Unicode MS"/>
                <w:color w:val="000000"/>
                <w:sz w:val="24"/>
                <w:szCs w:val="24"/>
                <w:u w:color="000000"/>
                <w:vertAlign w:val="superscript"/>
                <w:lang w:eastAsia="en-GB"/>
              </w:rPr>
              <w:t>rd</w:t>
            </w:r>
            <w:r w:rsidR="00835872" w:rsidRPr="00835872">
              <w:rPr>
                <w:rFonts w:ascii="Arial" w:eastAsia="Arial Unicode MS" w:hAnsi="Arial" w:cs="Arial Unicode MS"/>
                <w:color w:val="000000"/>
                <w:sz w:val="24"/>
                <w:szCs w:val="24"/>
                <w:u w:color="000000"/>
                <w:lang w:eastAsia="en-GB"/>
              </w:rPr>
              <w:t xml:space="preserve">        4</w:t>
            </w:r>
            <w:r w:rsidR="00835872" w:rsidRPr="00835872">
              <w:rPr>
                <w:rFonts w:ascii="Arial" w:eastAsia="Arial Unicode MS" w:hAnsi="Arial" w:cs="Arial Unicode MS"/>
                <w:color w:val="000000"/>
                <w:sz w:val="24"/>
                <w:szCs w:val="24"/>
                <w:u w:color="000000"/>
                <w:vertAlign w:val="superscript"/>
                <w:lang w:eastAsia="en-GB"/>
              </w:rPr>
              <w:t>th</w:t>
            </w:r>
            <w:r w:rsidR="00835872" w:rsidRPr="00835872">
              <w:rPr>
                <w:rFonts w:ascii="Arial" w:eastAsia="Arial Unicode MS" w:hAnsi="Arial" w:cs="Arial Unicode MS"/>
                <w:color w:val="000000"/>
                <w:sz w:val="24"/>
                <w:szCs w:val="24"/>
                <w:u w:color="000000"/>
                <w:lang w:eastAsia="en-GB"/>
              </w:rPr>
              <w:t xml:space="preserve">       5</w:t>
            </w:r>
            <w:r w:rsidR="00835872" w:rsidRPr="00835872">
              <w:rPr>
                <w:rFonts w:ascii="Arial" w:eastAsia="Arial Unicode MS" w:hAnsi="Arial" w:cs="Arial Unicode MS"/>
                <w:color w:val="000000"/>
                <w:sz w:val="24"/>
                <w:szCs w:val="24"/>
                <w:u w:color="000000"/>
                <w:vertAlign w:val="superscript"/>
                <w:lang w:eastAsia="en-GB"/>
              </w:rPr>
              <w:t>th</w:t>
            </w:r>
            <w:r w:rsidR="00835872" w:rsidRPr="00835872">
              <w:rPr>
                <w:rFonts w:ascii="Arial" w:eastAsia="Arial Unicode MS" w:hAnsi="Arial" w:cs="Arial Unicode MS"/>
                <w:color w:val="000000"/>
                <w:sz w:val="24"/>
                <w:szCs w:val="24"/>
                <w:u w:color="000000"/>
                <w:lang w:eastAsia="en-GB"/>
              </w:rPr>
              <w:t xml:space="preserve">       6</w:t>
            </w:r>
            <w:r w:rsidR="00835872" w:rsidRPr="00835872">
              <w:rPr>
                <w:rFonts w:ascii="Arial" w:eastAsia="Arial Unicode MS" w:hAnsi="Arial" w:cs="Arial Unicode MS"/>
                <w:color w:val="000000"/>
                <w:sz w:val="24"/>
                <w:szCs w:val="24"/>
                <w:u w:color="000000"/>
                <w:vertAlign w:val="superscript"/>
                <w:lang w:eastAsia="en-GB"/>
              </w:rPr>
              <w:t>th</w:t>
            </w:r>
            <w:r w:rsidR="00835872" w:rsidRPr="00835872">
              <w:rPr>
                <w:rFonts w:ascii="Arial" w:eastAsia="Arial Unicode MS" w:hAnsi="Arial" w:cs="Arial Unicode MS"/>
                <w:color w:val="000000"/>
                <w:sz w:val="24"/>
                <w:szCs w:val="24"/>
                <w:u w:color="000000"/>
                <w:lang w:eastAsia="en-GB"/>
              </w:rPr>
              <w:t xml:space="preserve"> </w:t>
            </w:r>
          </w:p>
        </w:tc>
      </w:tr>
      <w:tr w:rsidR="00835872" w:rsidRPr="00835872" w14:paraId="4D380148" w14:textId="77777777" w:rsidTr="00396D55">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68DAF3E" w14:textId="77777777" w:rsidR="00835872" w:rsidRPr="00835872" w:rsidRDefault="00835872" w:rsidP="00835872">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I confirm that this is my original work and that I have adhered to the University policy on plagiarism.</w:t>
            </w:r>
          </w:p>
          <w:p w14:paraId="5488A8E6" w14:textId="77777777" w:rsidR="00835872" w:rsidRPr="00835872" w:rsidRDefault="00835872" w:rsidP="00835872">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 xml:space="preserve">Signed (type your name </w:t>
            </w:r>
            <w:proofErr w:type="gramStart"/>
            <w:r w:rsidRPr="00835872">
              <w:rPr>
                <w:rFonts w:ascii="Arial" w:eastAsia="Arial Unicode MS" w:hAnsi="Arial" w:cs="Arial Unicode MS"/>
                <w:color w:val="000000"/>
                <w:u w:color="000000"/>
              </w:rPr>
              <w:t>in)…</w:t>
            </w:r>
            <w:proofErr w:type="gramEnd"/>
            <w:r w:rsidRPr="00835872">
              <w:rPr>
                <w:rFonts w:ascii="Arial" w:eastAsia="Arial Unicode MS" w:hAnsi="Arial" w:cs="Arial Unicode MS"/>
                <w:color w:val="000000"/>
                <w:u w:color="000000"/>
              </w:rPr>
              <w:t>…Kimberly Corrall……………………………………………</w:t>
            </w:r>
          </w:p>
          <w:p w14:paraId="19C4756B" w14:textId="77777777" w:rsidR="00835872" w:rsidRPr="00835872" w:rsidRDefault="00835872" w:rsidP="00835872">
            <w:pPr>
              <w:spacing w:after="0" w:line="240" w:lineRule="auto"/>
              <w:ind w:right="34"/>
              <w:rPr>
                <w:rFonts w:ascii="Calibri" w:eastAsia="Calibri" w:hAnsi="Calibri" w:cs="Calibri"/>
                <w:b/>
                <w:bCs/>
                <w:color w:val="000000"/>
                <w:sz w:val="44"/>
                <w:szCs w:val="44"/>
                <w:u w:color="000000"/>
              </w:rPr>
            </w:pPr>
            <w:r w:rsidRPr="00835872">
              <w:rPr>
                <w:rFonts w:ascii="Calibri" w:eastAsia="Arial Unicode MS" w:hAnsi="Calibri" w:cs="Arial Unicode MS"/>
                <w:b/>
                <w:bCs/>
                <w:color w:val="000000"/>
                <w:sz w:val="24"/>
                <w:szCs w:val="24"/>
                <w:u w:color="000000"/>
              </w:rPr>
              <w:t xml:space="preserve">Email submission: if you are submitting this form via email, please tick this box </w:t>
            </w:r>
            <w:sdt>
              <w:sdtPr>
                <w:rPr>
                  <w:rFonts w:ascii="Calibri" w:eastAsia="Arial Unicode MS" w:hAnsi="Calibri" w:cs="Arial Unicode MS"/>
                  <w:b/>
                  <w:bCs/>
                  <w:color w:val="000000"/>
                  <w:sz w:val="24"/>
                  <w:szCs w:val="24"/>
                  <w:u w:color="000000"/>
                </w:rPr>
                <w:id w:val="-1968191579"/>
                <w14:checkbox>
                  <w14:checked w14:val="1"/>
                  <w14:checkedState w14:val="2612" w14:font="MS Gothic"/>
                  <w14:uncheckedState w14:val="2610" w14:font="MS Gothic"/>
                </w14:checkbox>
              </w:sdtPr>
              <w:sdtEndPr/>
              <w:sdtContent>
                <w:r w:rsidRPr="00835872">
                  <w:rPr>
                    <w:rFonts w:ascii="Segoe UI Symbol" w:eastAsia="Arial Unicode MS" w:hAnsi="Segoe UI Symbol" w:cs="Segoe UI Symbol"/>
                    <w:b/>
                    <w:bCs/>
                    <w:color w:val="000000"/>
                    <w:sz w:val="24"/>
                    <w:szCs w:val="24"/>
                    <w:u w:color="000000"/>
                  </w:rPr>
                  <w:t>☒</w:t>
                </w:r>
              </w:sdtContent>
            </w:sdt>
          </w:p>
          <w:p w14:paraId="20D958FF" w14:textId="77777777" w:rsidR="00835872" w:rsidRPr="00835872" w:rsidRDefault="00835872" w:rsidP="00835872">
            <w:pPr>
              <w:spacing w:after="0" w:line="240" w:lineRule="auto"/>
              <w:ind w:right="34"/>
              <w:rPr>
                <w:rFonts w:ascii="Times New Roman" w:eastAsia="Times New Roman" w:hAnsi="Times New Roman" w:cs="Times New Roman"/>
                <w:sz w:val="24"/>
                <w:szCs w:val="24"/>
              </w:rPr>
            </w:pPr>
            <w:r w:rsidRPr="00835872">
              <w:rPr>
                <w:rFonts w:ascii="Calibri" w:eastAsia="Arial Unicode MS" w:hAnsi="Calibri" w:cs="Arial Unicode MS"/>
                <w:b/>
                <w:bCs/>
                <w:color w:val="000000"/>
                <w:sz w:val="24"/>
                <w:szCs w:val="24"/>
                <w:u w:color="000000"/>
              </w:rPr>
              <w:t>(</w:t>
            </w:r>
            <w:proofErr w:type="gramStart"/>
            <w:r w:rsidRPr="00835872">
              <w:rPr>
                <w:rFonts w:ascii="Calibri" w:eastAsia="Arial Unicode MS" w:hAnsi="Calibri" w:cs="Arial Unicode MS"/>
                <w:b/>
                <w:bCs/>
                <w:color w:val="000000"/>
                <w:sz w:val="24"/>
                <w:szCs w:val="24"/>
                <w:u w:color="000000"/>
              </w:rPr>
              <w:t>as</w:t>
            </w:r>
            <w:proofErr w:type="gramEnd"/>
            <w:r w:rsidRPr="00835872">
              <w:rPr>
                <w:rFonts w:ascii="Calibri" w:eastAsia="Arial Unicode MS" w:hAnsi="Calibri" w:cs="Arial Unicode MS"/>
                <w:b/>
                <w:bCs/>
                <w:color w:val="000000"/>
                <w:sz w:val="24"/>
                <w:szCs w:val="24"/>
                <w:u w:color="000000"/>
              </w:rPr>
              <w:t xml:space="preserve"> a substitute for your signature) to confirm that you agree to the above declaration.</w:t>
            </w:r>
          </w:p>
        </w:tc>
      </w:tr>
      <w:tr w:rsidR="00835872" w:rsidRPr="00835872" w14:paraId="71B87E9C" w14:textId="77777777" w:rsidTr="00396D55">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960E68" w14:textId="77777777" w:rsidR="00835872" w:rsidRPr="00835872" w:rsidRDefault="00835872" w:rsidP="00835872">
            <w:pPr>
              <w:spacing w:before="160" w:after="0" w:line="240" w:lineRule="auto"/>
              <w:rPr>
                <w:rFonts w:ascii="Arial" w:eastAsia="Arial" w:hAnsi="Arial" w:cs="Arial"/>
                <w:b/>
                <w:bCs/>
                <w:color w:val="000000"/>
                <w:sz w:val="24"/>
                <w:szCs w:val="24"/>
                <w:u w:color="000000"/>
                <w:lang w:eastAsia="en-GB"/>
              </w:rPr>
            </w:pPr>
          </w:p>
          <w:p w14:paraId="2FB39129" w14:textId="77777777" w:rsidR="00835872" w:rsidRPr="00835872" w:rsidRDefault="00835872" w:rsidP="00835872">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Assignment Mark</w:t>
            </w:r>
          </w:p>
          <w:p w14:paraId="16D4A298" w14:textId="77777777" w:rsidR="00835872" w:rsidRPr="00835872" w:rsidRDefault="00835872" w:rsidP="00835872">
            <w:pPr>
              <w:spacing w:before="160" w:after="0" w:line="240" w:lineRule="auto"/>
              <w:rPr>
                <w:rFonts w:ascii="Arial" w:eastAsia="Arial" w:hAnsi="Arial" w:cs="Arial"/>
                <w:color w:val="000000"/>
                <w:sz w:val="20"/>
                <w:szCs w:val="20"/>
                <w:u w:color="000000"/>
                <w:lang w:eastAsia="en-GB"/>
              </w:rPr>
            </w:pPr>
          </w:p>
          <w:p w14:paraId="766E6CBE" w14:textId="77777777" w:rsidR="00835872" w:rsidRPr="00835872" w:rsidRDefault="00835872" w:rsidP="00835872">
            <w:pPr>
              <w:spacing w:before="160" w:after="0" w:line="240" w:lineRule="auto"/>
              <w:rPr>
                <w:rFonts w:ascii="Arial" w:eastAsia="Arial" w:hAnsi="Arial" w:cs="Arial"/>
                <w:b/>
                <w:bCs/>
                <w:color w:val="000000"/>
                <w:sz w:val="20"/>
                <w:szCs w:val="20"/>
                <w:u w:color="000000"/>
                <w:lang w:val="en-GB" w:eastAsia="en-GB"/>
              </w:rPr>
            </w:pPr>
            <w:r w:rsidRPr="00835872">
              <w:rPr>
                <w:rFonts w:ascii="Arial" w:eastAsia="Arial Unicode MS" w:hAnsi="Arial" w:cs="Arial Unicode MS"/>
                <w:b/>
                <w:bCs/>
                <w:color w:val="000000"/>
                <w:sz w:val="20"/>
                <w:szCs w:val="20"/>
                <w:u w:color="000000"/>
                <w:lang w:eastAsia="en-GB"/>
              </w:rPr>
              <w:t>Final Mark</w:t>
            </w:r>
          </w:p>
          <w:p w14:paraId="054EB8D4" w14:textId="77777777" w:rsidR="00835872" w:rsidRPr="00835872" w:rsidRDefault="00835872" w:rsidP="00835872">
            <w:pPr>
              <w:spacing w:before="160" w:after="0" w:line="240" w:lineRule="auto"/>
              <w:rPr>
                <w:rFonts w:ascii="Arial" w:eastAsia="Arial" w:hAnsi="Arial" w:cs="Arial"/>
                <w:color w:val="000000"/>
                <w:sz w:val="20"/>
                <w:szCs w:val="20"/>
                <w:u w:color="000000"/>
                <w:lang w:eastAsia="en-GB"/>
              </w:rPr>
            </w:pPr>
            <w:r w:rsidRPr="00835872">
              <w:rPr>
                <w:rFonts w:ascii="Arial" w:eastAsia="Arial" w:hAnsi="Arial" w:cs="Arial"/>
                <w:b/>
                <w:bCs/>
                <w:color w:val="000000"/>
                <w:sz w:val="20"/>
                <w:szCs w:val="20"/>
                <w:u w:color="000000"/>
                <w:lang w:val="en-GB" w:eastAsia="en-GB"/>
              </w:rPr>
              <w:tab/>
            </w:r>
            <w:r w:rsidRPr="00835872">
              <w:rPr>
                <w:rFonts w:ascii="Arial" w:eastAsia="Arial Unicode MS" w:hAnsi="Arial" w:cs="Arial Unicode MS"/>
                <w:color w:val="000000"/>
                <w:sz w:val="20"/>
                <w:szCs w:val="20"/>
                <w:u w:color="000000"/>
                <w:lang w:eastAsia="en-GB"/>
              </w:rPr>
              <w:t>WILL BE GIVEN ON TURNITIN</w:t>
            </w:r>
          </w:p>
          <w:p w14:paraId="38153D9C" w14:textId="77777777" w:rsidR="00835872" w:rsidRPr="00835872" w:rsidRDefault="00835872" w:rsidP="00835872">
            <w:pPr>
              <w:spacing w:after="0" w:line="240" w:lineRule="auto"/>
              <w:ind w:left="142" w:right="34"/>
              <w:rPr>
                <w:rFonts w:ascii="Arial" w:eastAsia="Arial" w:hAnsi="Arial" w:cs="Arial"/>
                <w:b/>
                <w:bCs/>
                <w:color w:val="000000"/>
                <w:u w:color="000000"/>
              </w:rPr>
            </w:pPr>
          </w:p>
          <w:p w14:paraId="21E9640A" w14:textId="77777777" w:rsidR="00835872" w:rsidRPr="00835872" w:rsidRDefault="00835872" w:rsidP="00835872">
            <w:pPr>
              <w:spacing w:after="0" w:line="240" w:lineRule="auto"/>
              <w:ind w:left="142" w:right="34"/>
              <w:rPr>
                <w:rFonts w:ascii="Arial" w:eastAsia="Arial" w:hAnsi="Arial" w:cs="Arial"/>
                <w:color w:val="000000"/>
                <w:u w:color="000000"/>
              </w:rPr>
            </w:pPr>
            <w:r w:rsidRPr="00835872">
              <w:rPr>
                <w:rFonts w:ascii="Arial" w:eastAsia="Arial Unicode MS" w:hAnsi="Arial" w:cs="Arial Unicode MS"/>
                <w:b/>
                <w:bCs/>
                <w:color w:val="000000"/>
                <w:u w:color="000000"/>
              </w:rPr>
              <w:t>NB.</w:t>
            </w:r>
            <w:r w:rsidRPr="00835872">
              <w:rPr>
                <w:rFonts w:ascii="Arial" w:eastAsia="Arial Unicode MS" w:hAnsi="Arial" w:cs="Arial Unicode MS"/>
                <w:color w:val="000000"/>
                <w:u w:color="000000"/>
              </w:rPr>
              <w:t xml:space="preserve">  All marks are provisional until confirmed by the Final Examination Board.</w:t>
            </w:r>
          </w:p>
          <w:p w14:paraId="11AF895C" w14:textId="77777777" w:rsidR="00835872" w:rsidRPr="00835872" w:rsidRDefault="00835872" w:rsidP="00835872">
            <w:pPr>
              <w:spacing w:after="0" w:line="240" w:lineRule="auto"/>
              <w:rPr>
                <w:rFonts w:ascii="Arial" w:eastAsia="Arial" w:hAnsi="Arial" w:cs="Arial"/>
                <w:b/>
                <w:bCs/>
                <w:color w:val="000000"/>
                <w:u w:color="000000"/>
              </w:rPr>
            </w:pPr>
          </w:p>
          <w:p w14:paraId="16354AF8" w14:textId="77777777" w:rsidR="00835872" w:rsidRPr="00835872" w:rsidRDefault="00835872" w:rsidP="00835872">
            <w:pPr>
              <w:spacing w:after="0" w:line="240" w:lineRule="auto"/>
              <w:rPr>
                <w:rFonts w:ascii="Arial" w:eastAsia="Arial" w:hAnsi="Arial" w:cs="Arial"/>
                <w:b/>
                <w:bCs/>
                <w:color w:val="000000"/>
                <w:u w:color="000000"/>
              </w:rPr>
            </w:pPr>
            <w:r w:rsidRPr="00835872">
              <w:rPr>
                <w:rFonts w:ascii="Arial" w:eastAsia="Arial Unicode MS" w:hAnsi="Arial" w:cs="Arial Unicode MS"/>
                <w:b/>
                <w:bCs/>
                <w:color w:val="000000"/>
                <w:u w:color="000000"/>
              </w:rPr>
              <w:t>PLEASE NOTE: ALL COMMENTS WILL BE POSTED ON TURNITIN</w:t>
            </w:r>
          </w:p>
          <w:p w14:paraId="1589B695" w14:textId="77777777" w:rsidR="00835872" w:rsidRPr="00835872" w:rsidRDefault="00835872" w:rsidP="00835872">
            <w:pPr>
              <w:spacing w:after="0" w:line="240" w:lineRule="auto"/>
              <w:rPr>
                <w:rFonts w:ascii="Arial" w:eastAsia="Arial" w:hAnsi="Arial" w:cs="Arial"/>
                <w:b/>
                <w:bCs/>
                <w:color w:val="000000"/>
                <w:u w:color="000000"/>
              </w:rPr>
            </w:pPr>
          </w:p>
          <w:p w14:paraId="5F2E253A" w14:textId="77777777" w:rsidR="00835872" w:rsidRPr="00835872" w:rsidRDefault="00835872" w:rsidP="00835872">
            <w:pPr>
              <w:spacing w:after="0" w:line="240" w:lineRule="auto"/>
              <w:rPr>
                <w:rFonts w:ascii="Arial" w:eastAsia="Arial" w:hAnsi="Arial" w:cs="Arial"/>
                <w:b/>
                <w:bCs/>
                <w:color w:val="000000"/>
                <w:u w:color="000000"/>
              </w:rPr>
            </w:pPr>
          </w:p>
          <w:p w14:paraId="08571DA1" w14:textId="77777777" w:rsidR="00835872" w:rsidRPr="00835872" w:rsidRDefault="00835872" w:rsidP="00835872">
            <w:pPr>
              <w:spacing w:after="0" w:line="240" w:lineRule="auto"/>
              <w:rPr>
                <w:rFonts w:ascii="Arial" w:eastAsia="Arial" w:hAnsi="Arial" w:cs="Arial"/>
                <w:b/>
                <w:bCs/>
                <w:color w:val="000000"/>
                <w:u w:color="000000"/>
              </w:rPr>
            </w:pPr>
            <w:r w:rsidRPr="00835872">
              <w:rPr>
                <w:rFonts w:ascii="Arial" w:eastAsia="Arial Unicode MS" w:hAnsi="Arial" w:cs="Arial Unicode MS"/>
                <w:b/>
                <w:bCs/>
                <w:color w:val="000000"/>
                <w:u w:color="000000"/>
              </w:rPr>
              <w:t xml:space="preserve">For completion by Marker </w:t>
            </w:r>
            <w:proofErr w:type="gramStart"/>
            <w:r w:rsidRPr="00835872">
              <w:rPr>
                <w:rFonts w:ascii="Arial" w:eastAsia="Arial Unicode MS" w:hAnsi="Arial" w:cs="Arial Unicode MS"/>
                <w:b/>
                <w:bCs/>
                <w:color w:val="000000"/>
                <w:u w:color="000000"/>
              </w:rPr>
              <w:t>1 :</w:t>
            </w:r>
            <w:proofErr w:type="gramEnd"/>
          </w:p>
          <w:p w14:paraId="1118711F" w14:textId="77777777" w:rsidR="00835872" w:rsidRPr="00835872" w:rsidRDefault="00835872" w:rsidP="00835872">
            <w:pPr>
              <w:spacing w:before="100" w:after="100" w:line="240" w:lineRule="auto"/>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Comments:</w:t>
            </w:r>
          </w:p>
        </w:tc>
      </w:tr>
      <w:tr w:rsidR="00835872" w:rsidRPr="00835872" w14:paraId="1C07A35B" w14:textId="77777777" w:rsidTr="00396D55">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DDE2A65" w14:textId="77777777" w:rsidR="00835872" w:rsidRPr="00835872" w:rsidRDefault="00835872" w:rsidP="00835872">
            <w:pPr>
              <w:spacing w:before="100" w:after="100" w:line="240" w:lineRule="auto"/>
              <w:ind w:left="142"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F0D4B1E" w14:textId="77777777" w:rsidR="00835872" w:rsidRPr="00835872" w:rsidRDefault="00835872" w:rsidP="00835872">
            <w:pPr>
              <w:spacing w:before="100" w:after="100" w:line="240" w:lineRule="auto"/>
              <w:ind w:left="142"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Date:</w:t>
            </w:r>
          </w:p>
        </w:tc>
      </w:tr>
      <w:tr w:rsidR="00835872" w:rsidRPr="00835872" w14:paraId="1460A5FE" w14:textId="77777777" w:rsidTr="00396D55">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128B49" w14:textId="77777777" w:rsidR="00835872" w:rsidRPr="00835872" w:rsidRDefault="00835872" w:rsidP="00835872">
            <w:pPr>
              <w:spacing w:after="0" w:line="240" w:lineRule="auto"/>
              <w:rPr>
                <w:rFonts w:ascii="Arial" w:eastAsia="Arial" w:hAnsi="Arial" w:cs="Arial"/>
                <w:i/>
                <w:iCs/>
                <w:color w:val="000000"/>
                <w:u w:color="000000"/>
              </w:rPr>
            </w:pPr>
          </w:p>
          <w:p w14:paraId="1E765653" w14:textId="77777777" w:rsidR="00835872" w:rsidRPr="00835872" w:rsidRDefault="00835872" w:rsidP="00835872">
            <w:pPr>
              <w:spacing w:after="0" w:line="240" w:lineRule="auto"/>
              <w:rPr>
                <w:rFonts w:ascii="Arial" w:eastAsia="Arial" w:hAnsi="Arial" w:cs="Arial"/>
                <w:b/>
                <w:bCs/>
                <w:color w:val="000000"/>
                <w:u w:color="000000"/>
              </w:rPr>
            </w:pPr>
            <w:r w:rsidRPr="00835872">
              <w:rPr>
                <w:rFonts w:ascii="Arial" w:eastAsia="Arial Unicode MS" w:hAnsi="Arial" w:cs="Arial Unicode MS"/>
                <w:b/>
                <w:bCs/>
                <w:color w:val="000000"/>
                <w:u w:color="000000"/>
              </w:rPr>
              <w:t>For completion by Marker 2/Moderator:</w:t>
            </w:r>
          </w:p>
          <w:p w14:paraId="3CDA69B9" w14:textId="77777777" w:rsidR="00835872" w:rsidRPr="00835872" w:rsidRDefault="00835872" w:rsidP="00835872">
            <w:pPr>
              <w:spacing w:after="0" w:line="240" w:lineRule="auto"/>
              <w:rPr>
                <w:rFonts w:ascii="Arial" w:eastAsia="Arial" w:hAnsi="Arial" w:cs="Arial"/>
                <w:b/>
                <w:bCs/>
                <w:color w:val="000000"/>
                <w:u w:color="000000"/>
              </w:rPr>
            </w:pPr>
          </w:p>
          <w:p w14:paraId="2216A132" w14:textId="77777777" w:rsidR="00835872" w:rsidRPr="00835872" w:rsidRDefault="00835872" w:rsidP="00835872">
            <w:pPr>
              <w:spacing w:after="0" w:line="240" w:lineRule="auto"/>
              <w:rPr>
                <w:rFonts w:ascii="Arial" w:eastAsia="Arial" w:hAnsi="Arial" w:cs="Arial"/>
                <w:color w:val="000000"/>
                <w:u w:color="000000"/>
              </w:rPr>
            </w:pPr>
            <w:r w:rsidRPr="00835872">
              <w:rPr>
                <w:rFonts w:ascii="Arial" w:eastAsia="Arial Unicode MS" w:hAnsi="Arial" w:cs="Arial Unicode MS"/>
                <w:color w:val="000000"/>
                <w:u w:color="000000"/>
              </w:rPr>
              <w:t>Comments:</w:t>
            </w:r>
          </w:p>
          <w:p w14:paraId="5932BD79" w14:textId="77777777" w:rsidR="00835872" w:rsidRPr="00835872" w:rsidRDefault="00835872" w:rsidP="00835872">
            <w:pPr>
              <w:spacing w:after="0" w:line="240" w:lineRule="auto"/>
              <w:rPr>
                <w:rFonts w:ascii="Arial" w:eastAsia="Arial" w:hAnsi="Arial" w:cs="Arial"/>
                <w:color w:val="000000"/>
                <w:u w:color="000000"/>
              </w:rPr>
            </w:pPr>
          </w:p>
          <w:p w14:paraId="0A9BC1A6" w14:textId="77777777" w:rsidR="00835872" w:rsidRPr="00835872" w:rsidRDefault="00835872" w:rsidP="00835872">
            <w:pPr>
              <w:spacing w:after="0" w:line="240" w:lineRule="auto"/>
              <w:rPr>
                <w:rFonts w:ascii="Times New Roman" w:eastAsia="Times New Roman" w:hAnsi="Times New Roman" w:cs="Times New Roman"/>
                <w:sz w:val="24"/>
                <w:szCs w:val="24"/>
              </w:rPr>
            </w:pPr>
          </w:p>
        </w:tc>
      </w:tr>
      <w:tr w:rsidR="00835872" w:rsidRPr="00835872" w14:paraId="0017D250" w14:textId="77777777" w:rsidTr="00396D55">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CCCCF3" w14:textId="77777777" w:rsidR="00835872" w:rsidRPr="00835872" w:rsidRDefault="00835872" w:rsidP="00835872">
            <w:pPr>
              <w:spacing w:after="0" w:line="240" w:lineRule="auto"/>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DF71A5" w14:textId="77777777" w:rsidR="00835872" w:rsidRPr="00835872" w:rsidRDefault="00835872" w:rsidP="00835872">
            <w:pPr>
              <w:spacing w:after="0" w:line="240" w:lineRule="auto"/>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Date:</w:t>
            </w:r>
          </w:p>
        </w:tc>
      </w:tr>
      <w:tr w:rsidR="00835872" w:rsidRPr="00835872" w14:paraId="2A106AD8" w14:textId="77777777" w:rsidTr="00396D55">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EBF4D8" w14:textId="77777777" w:rsidR="00835872" w:rsidRPr="00835872" w:rsidRDefault="00835872" w:rsidP="00835872">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AGREED INTERNAL MARK (where necessary):</w:t>
            </w:r>
          </w:p>
          <w:p w14:paraId="731CDBA2" w14:textId="77777777" w:rsidR="00835872" w:rsidRPr="00835872" w:rsidRDefault="00835872" w:rsidP="00835872">
            <w:pPr>
              <w:spacing w:before="160" w:after="0" w:line="240" w:lineRule="auto"/>
              <w:rPr>
                <w:rFonts w:ascii="Arial" w:eastAsia="Arial" w:hAnsi="Arial" w:cs="Arial"/>
                <w:b/>
                <w:bCs/>
                <w:color w:val="000000"/>
                <w:sz w:val="24"/>
                <w:szCs w:val="24"/>
                <w:u w:color="000000"/>
                <w:lang w:eastAsia="en-GB"/>
              </w:rPr>
            </w:pPr>
          </w:p>
          <w:p w14:paraId="3522C32C" w14:textId="77777777" w:rsidR="00835872" w:rsidRPr="00835872" w:rsidRDefault="00835872" w:rsidP="00835872">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Comment on process of arriving at agreed mark:</w:t>
            </w:r>
          </w:p>
          <w:p w14:paraId="11A6496D" w14:textId="77777777" w:rsidR="00835872" w:rsidRPr="00835872" w:rsidRDefault="00835872" w:rsidP="00835872">
            <w:pPr>
              <w:spacing w:before="160" w:after="0" w:line="240" w:lineRule="auto"/>
              <w:rPr>
                <w:rFonts w:ascii="Arial" w:eastAsia="Arial" w:hAnsi="Arial" w:cs="Arial"/>
                <w:b/>
                <w:bCs/>
                <w:color w:val="000000"/>
                <w:sz w:val="24"/>
                <w:szCs w:val="24"/>
                <w:u w:color="000000"/>
                <w:lang w:eastAsia="en-GB"/>
              </w:rPr>
            </w:pPr>
          </w:p>
          <w:p w14:paraId="335B974A" w14:textId="77777777" w:rsidR="00835872" w:rsidRPr="00835872" w:rsidRDefault="00835872" w:rsidP="00835872">
            <w:pPr>
              <w:spacing w:before="160" w:after="0" w:line="240" w:lineRule="auto"/>
              <w:rPr>
                <w:rFonts w:ascii="Arial" w:eastAsia="Arial" w:hAnsi="Arial" w:cs="Arial"/>
                <w:b/>
                <w:bCs/>
                <w:color w:val="000000"/>
                <w:sz w:val="24"/>
                <w:szCs w:val="24"/>
                <w:u w:color="000000"/>
                <w:lang w:eastAsia="en-GB"/>
              </w:rPr>
            </w:pPr>
          </w:p>
          <w:p w14:paraId="5BC7D0AA" w14:textId="77777777" w:rsidR="00835872" w:rsidRPr="00835872" w:rsidRDefault="00835872" w:rsidP="00835872">
            <w:pPr>
              <w:spacing w:before="160" w:after="0" w:line="240" w:lineRule="auto"/>
              <w:rPr>
                <w:rFonts w:ascii="Arial" w:eastAsia="Arial" w:hAnsi="Arial" w:cs="Arial"/>
                <w:b/>
                <w:bCs/>
                <w:color w:val="000000"/>
                <w:sz w:val="24"/>
                <w:szCs w:val="24"/>
                <w:u w:color="000000"/>
                <w:lang w:eastAsia="en-GB"/>
              </w:rPr>
            </w:pPr>
          </w:p>
          <w:p w14:paraId="1B9D0159" w14:textId="77777777" w:rsidR="00835872" w:rsidRPr="00835872" w:rsidRDefault="00835872" w:rsidP="00835872">
            <w:pPr>
              <w:spacing w:before="160" w:after="0" w:line="240" w:lineRule="auto"/>
              <w:rPr>
                <w:rFonts w:ascii="Arial" w:eastAsia="Arial" w:hAnsi="Arial" w:cs="Arial"/>
                <w:b/>
                <w:bCs/>
                <w:color w:val="000000"/>
                <w:sz w:val="24"/>
                <w:szCs w:val="24"/>
                <w:u w:color="000000"/>
                <w:lang w:eastAsia="en-GB"/>
              </w:rPr>
            </w:pPr>
          </w:p>
          <w:p w14:paraId="714962E9" w14:textId="77777777" w:rsidR="00835872" w:rsidRPr="00835872" w:rsidRDefault="00835872" w:rsidP="00835872">
            <w:pPr>
              <w:spacing w:before="160" w:after="0" w:line="240" w:lineRule="auto"/>
              <w:rPr>
                <w:rFonts w:ascii="Arial" w:eastAsia="Arial" w:hAnsi="Arial" w:cs="Arial"/>
                <w:b/>
                <w:bCs/>
                <w:color w:val="000000"/>
                <w:sz w:val="24"/>
                <w:szCs w:val="24"/>
                <w:u w:color="000000"/>
                <w:lang w:eastAsia="en-GB"/>
              </w:rPr>
            </w:pPr>
          </w:p>
          <w:p w14:paraId="27646B99" w14:textId="77777777" w:rsidR="00835872" w:rsidRPr="00835872" w:rsidRDefault="00835872" w:rsidP="00835872">
            <w:pPr>
              <w:spacing w:before="160" w:after="0" w:line="240" w:lineRule="auto"/>
              <w:rPr>
                <w:rFonts w:ascii="Arial" w:eastAsia="Arial" w:hAnsi="Arial" w:cs="Arial"/>
                <w:b/>
                <w:bCs/>
                <w:color w:val="000000"/>
                <w:sz w:val="24"/>
                <w:szCs w:val="24"/>
                <w:u w:color="000000"/>
                <w:lang w:eastAsia="en-GB"/>
              </w:rPr>
            </w:pPr>
          </w:p>
          <w:p w14:paraId="5280963C" w14:textId="77777777" w:rsidR="00835872" w:rsidRPr="00835872" w:rsidRDefault="00835872" w:rsidP="00835872">
            <w:pPr>
              <w:spacing w:before="160" w:after="0" w:line="240" w:lineRule="auto"/>
              <w:rPr>
                <w:rFonts w:ascii="Helvetica Neue" w:eastAsia="Arial Unicode MS" w:hAnsi="Helvetica Neue" w:cs="Arial Unicode MS" w:hint="eastAsia"/>
                <w:color w:val="000000"/>
                <w:sz w:val="24"/>
                <w:szCs w:val="24"/>
                <w:lang w:val="en-GB" w:eastAsia="en-GB"/>
              </w:rPr>
            </w:pPr>
          </w:p>
        </w:tc>
      </w:tr>
      <w:tr w:rsidR="00835872" w:rsidRPr="00835872" w14:paraId="1BEF30CD" w14:textId="77777777" w:rsidTr="00396D55">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DF9B49" w14:textId="77777777" w:rsidR="00835872" w:rsidRPr="00835872" w:rsidRDefault="00835872" w:rsidP="00835872">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lastRenderedPageBreak/>
              <w:t>External Examiner’s comments (if relevant)</w:t>
            </w:r>
          </w:p>
          <w:p w14:paraId="67552FE9" w14:textId="77777777" w:rsidR="00835872" w:rsidRPr="00835872" w:rsidRDefault="00835872" w:rsidP="00835872">
            <w:pPr>
              <w:spacing w:after="0" w:line="240" w:lineRule="auto"/>
              <w:rPr>
                <w:rFonts w:ascii="Arial" w:eastAsia="Arial" w:hAnsi="Arial" w:cs="Arial"/>
                <w:color w:val="000000"/>
                <w:u w:color="000000"/>
              </w:rPr>
            </w:pPr>
          </w:p>
          <w:p w14:paraId="4A1BE92B" w14:textId="77777777" w:rsidR="00835872" w:rsidRPr="00835872" w:rsidRDefault="00835872" w:rsidP="00835872">
            <w:pPr>
              <w:spacing w:after="0" w:line="240" w:lineRule="auto"/>
              <w:rPr>
                <w:rFonts w:ascii="Arial" w:eastAsia="Arial" w:hAnsi="Arial" w:cs="Arial"/>
                <w:color w:val="000000"/>
                <w:u w:color="000000"/>
              </w:rPr>
            </w:pPr>
          </w:p>
          <w:p w14:paraId="2BCCE333" w14:textId="77777777" w:rsidR="00835872" w:rsidRPr="00835872" w:rsidRDefault="00835872" w:rsidP="00835872">
            <w:pPr>
              <w:spacing w:after="0" w:line="240" w:lineRule="auto"/>
              <w:rPr>
                <w:rFonts w:ascii="Arial" w:eastAsia="Arial" w:hAnsi="Arial" w:cs="Arial"/>
                <w:color w:val="000000"/>
                <w:u w:color="000000"/>
              </w:rPr>
            </w:pPr>
          </w:p>
          <w:p w14:paraId="6E34E76D" w14:textId="77777777" w:rsidR="00835872" w:rsidRPr="00835872" w:rsidRDefault="00835872" w:rsidP="00835872">
            <w:pPr>
              <w:spacing w:after="0" w:line="240" w:lineRule="auto"/>
              <w:rPr>
                <w:rFonts w:ascii="Arial" w:eastAsia="Arial" w:hAnsi="Arial" w:cs="Arial"/>
                <w:color w:val="000000"/>
                <w:u w:color="000000"/>
              </w:rPr>
            </w:pPr>
          </w:p>
          <w:p w14:paraId="7E9F40DF" w14:textId="77777777" w:rsidR="00835872" w:rsidRPr="00835872" w:rsidRDefault="00835872" w:rsidP="00835872">
            <w:pPr>
              <w:spacing w:after="0" w:line="240" w:lineRule="auto"/>
              <w:rPr>
                <w:rFonts w:ascii="Arial" w:eastAsia="Arial" w:hAnsi="Arial" w:cs="Arial"/>
                <w:color w:val="000000"/>
                <w:u w:color="000000"/>
              </w:rPr>
            </w:pPr>
          </w:p>
          <w:p w14:paraId="3E88AA04" w14:textId="77777777" w:rsidR="00835872" w:rsidRPr="00835872" w:rsidRDefault="00835872" w:rsidP="00835872">
            <w:pPr>
              <w:spacing w:after="0" w:line="240" w:lineRule="auto"/>
              <w:rPr>
                <w:rFonts w:ascii="Times New Roman" w:eastAsia="Times New Roman" w:hAnsi="Times New Roman" w:cs="Times New Roman"/>
                <w:sz w:val="24"/>
                <w:szCs w:val="24"/>
              </w:rPr>
            </w:pPr>
          </w:p>
        </w:tc>
      </w:tr>
      <w:tr w:rsidR="00835872" w:rsidRPr="00835872" w14:paraId="6E6A11E6" w14:textId="77777777" w:rsidTr="00396D55">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2FD7AD" w14:textId="77777777" w:rsidR="00835872" w:rsidRPr="00835872" w:rsidRDefault="00835872" w:rsidP="00835872">
            <w:pPr>
              <w:spacing w:before="160" w:after="0" w:line="240" w:lineRule="auto"/>
              <w:rPr>
                <w:rFonts w:ascii="Helvetica Neue" w:eastAsia="Arial Unicode MS" w:hAnsi="Helvetica Neue" w:cs="Arial Unicode MS" w:hint="eastAsia"/>
                <w:color w:val="000000"/>
                <w:sz w:val="24"/>
                <w:szCs w:val="24"/>
                <w:lang w:val="en-GB" w:eastAsia="en-GB"/>
              </w:rPr>
            </w:pPr>
            <w:r w:rsidRPr="00835872">
              <w:rPr>
                <w:rFonts w:ascii="Arial" w:eastAsia="Arial Unicode MS" w:hAnsi="Arial" w:cs="Arial Unicode MS"/>
                <w:color w:val="000000"/>
                <w:sz w:val="24"/>
                <w:szCs w:val="24"/>
                <w:u w:color="000000"/>
                <w:lang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71F252" w14:textId="77777777" w:rsidR="00835872" w:rsidRPr="00835872" w:rsidRDefault="00835872" w:rsidP="00835872">
            <w:pPr>
              <w:spacing w:before="160" w:after="0" w:line="240" w:lineRule="auto"/>
              <w:rPr>
                <w:rFonts w:ascii="Helvetica Neue" w:eastAsia="Arial Unicode MS" w:hAnsi="Helvetica Neue" w:cs="Arial Unicode MS" w:hint="eastAsia"/>
                <w:color w:val="000000"/>
                <w:sz w:val="24"/>
                <w:szCs w:val="24"/>
                <w:lang w:val="en-GB" w:eastAsia="en-GB"/>
              </w:rPr>
            </w:pPr>
            <w:r w:rsidRPr="00835872">
              <w:rPr>
                <w:rFonts w:ascii="Arial" w:eastAsia="Arial Unicode MS" w:hAnsi="Arial" w:cs="Arial Unicode MS"/>
                <w:color w:val="000000"/>
                <w:sz w:val="24"/>
                <w:szCs w:val="24"/>
                <w:u w:color="000000"/>
                <w:lang w:eastAsia="en-GB"/>
              </w:rPr>
              <w:t>Date:</w:t>
            </w:r>
          </w:p>
        </w:tc>
      </w:tr>
    </w:tbl>
    <w:p w14:paraId="763D83C9" w14:textId="77777777" w:rsidR="00835872" w:rsidRPr="00835872" w:rsidRDefault="00835872" w:rsidP="00835872">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30F5B121" w14:textId="77777777" w:rsidR="00835872" w:rsidRPr="00835872" w:rsidRDefault="00835872" w:rsidP="00835872">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5C99033F" w14:textId="77777777" w:rsidR="00835872" w:rsidRPr="00835872" w:rsidRDefault="00835872" w:rsidP="00835872">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61698E33" w14:textId="538AEB4C" w:rsidR="00835872" w:rsidRDefault="00835872">
      <w:pP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br w:type="page"/>
      </w:r>
    </w:p>
    <w:p w14:paraId="2A01AA2D" w14:textId="77777777" w:rsidR="00C06571" w:rsidRDefault="00C06571" w:rsidP="00C06571">
      <w:pPr>
        <w:rPr>
          <w:rFonts w:ascii="Trebuchet MS" w:eastAsia="Trebuchet MS" w:hAnsi="Trebuchet MS" w:cs="Trebuchet MS"/>
          <w:b/>
          <w:bCs/>
          <w:color w:val="000000"/>
          <w:sz w:val="20"/>
          <w:szCs w:val="20"/>
          <w:u w:color="000000"/>
          <w:lang w:eastAsia="en-GB"/>
        </w:rPr>
      </w:pPr>
    </w:p>
    <w:p w14:paraId="29812BAC" w14:textId="77777777" w:rsidR="00C06571" w:rsidRDefault="00C06571" w:rsidP="00C06571">
      <w:pPr>
        <w:spacing w:after="0"/>
        <w:jc w:val="cente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t>A Critical Comparison of two Secondary Sources</w:t>
      </w:r>
    </w:p>
    <w:p w14:paraId="5B752399" w14:textId="579ED3EE" w:rsidR="00C06571" w:rsidRDefault="00C06571" w:rsidP="00C06571">
      <w:pPr>
        <w:jc w:val="center"/>
        <w:rPr>
          <w:rFonts w:ascii="Trebuchet MS" w:eastAsia="Trebuchet MS" w:hAnsi="Trebuchet MS" w:cs="Trebuchet MS"/>
          <w:color w:val="000000"/>
          <w:sz w:val="20"/>
          <w:szCs w:val="20"/>
          <w:u w:color="000000"/>
          <w:lang w:eastAsia="en-GB"/>
        </w:rPr>
      </w:pPr>
      <w:r>
        <w:rPr>
          <w:rFonts w:ascii="Trebuchet MS" w:eastAsia="Trebuchet MS" w:hAnsi="Trebuchet MS" w:cs="Trebuchet MS"/>
          <w:color w:val="000000"/>
          <w:sz w:val="20"/>
          <w:szCs w:val="20"/>
          <w:u w:color="000000"/>
          <w:lang w:eastAsia="en-GB"/>
        </w:rPr>
        <w:t>Word Count</w:t>
      </w:r>
      <w:r w:rsidR="00693E39">
        <w:rPr>
          <w:rFonts w:ascii="Trebuchet MS" w:eastAsia="Trebuchet MS" w:hAnsi="Trebuchet MS" w:cs="Trebuchet MS"/>
          <w:color w:val="000000"/>
          <w:sz w:val="20"/>
          <w:szCs w:val="20"/>
          <w:u w:color="000000"/>
          <w:lang w:eastAsia="en-GB"/>
        </w:rPr>
        <w:t xml:space="preserve"> (less references and front matter)</w:t>
      </w:r>
      <w:r>
        <w:rPr>
          <w:rFonts w:ascii="Trebuchet MS" w:eastAsia="Trebuchet MS" w:hAnsi="Trebuchet MS" w:cs="Trebuchet MS"/>
          <w:color w:val="000000"/>
          <w:sz w:val="20"/>
          <w:szCs w:val="20"/>
          <w:u w:color="000000"/>
          <w:lang w:eastAsia="en-GB"/>
        </w:rPr>
        <w:t xml:space="preserve"> </w:t>
      </w:r>
      <w:r w:rsidR="001E774A">
        <w:rPr>
          <w:rFonts w:ascii="Trebuchet MS" w:eastAsia="Trebuchet MS" w:hAnsi="Trebuchet MS" w:cs="Trebuchet MS"/>
          <w:color w:val="000000"/>
          <w:sz w:val="20"/>
          <w:szCs w:val="20"/>
          <w:u w:color="000000"/>
          <w:lang w:eastAsia="en-GB"/>
        </w:rPr>
        <w:t>–</w:t>
      </w:r>
      <w:r>
        <w:rPr>
          <w:rFonts w:ascii="Trebuchet MS" w:eastAsia="Trebuchet MS" w:hAnsi="Trebuchet MS" w:cs="Trebuchet MS"/>
          <w:color w:val="000000"/>
          <w:sz w:val="20"/>
          <w:szCs w:val="20"/>
          <w:u w:color="000000"/>
          <w:lang w:eastAsia="en-GB"/>
        </w:rPr>
        <w:t xml:space="preserve"> </w:t>
      </w:r>
      <w:r w:rsidR="00693E39">
        <w:rPr>
          <w:rFonts w:ascii="Trebuchet MS" w:eastAsia="Trebuchet MS" w:hAnsi="Trebuchet MS" w:cs="Trebuchet MS"/>
          <w:color w:val="000000"/>
          <w:sz w:val="20"/>
          <w:szCs w:val="20"/>
          <w:u w:color="000000"/>
          <w:lang w:eastAsia="en-GB"/>
        </w:rPr>
        <w:t>2</w:t>
      </w:r>
      <w:r w:rsidR="003F7917">
        <w:rPr>
          <w:rFonts w:ascii="Trebuchet MS" w:eastAsia="Trebuchet MS" w:hAnsi="Trebuchet MS" w:cs="Trebuchet MS"/>
          <w:color w:val="000000"/>
          <w:sz w:val="20"/>
          <w:szCs w:val="20"/>
          <w:u w:color="000000"/>
          <w:lang w:eastAsia="en-GB"/>
        </w:rPr>
        <w:t>298</w:t>
      </w:r>
    </w:p>
    <w:p w14:paraId="37E394AD" w14:textId="77777777" w:rsidR="00C06571" w:rsidRPr="00E03C4F" w:rsidRDefault="00C06571" w:rsidP="00C06571">
      <w:pPr>
        <w:pStyle w:val="Heading1"/>
        <w:rPr>
          <w:rFonts w:ascii="Trebuchet MS" w:eastAsia="Trebuchet MS" w:hAnsi="Trebuchet MS" w:cs="Trebuchet MS"/>
          <w:color w:val="000000"/>
          <w:sz w:val="20"/>
          <w:szCs w:val="20"/>
          <w:u w:color="000000"/>
          <w:lang w:eastAsia="en-GB"/>
        </w:rPr>
      </w:pPr>
      <w:r w:rsidRPr="001A7666">
        <w:t>Introduction</w:t>
      </w:r>
    </w:p>
    <w:p w14:paraId="30CB807F" w14:textId="3A965E96" w:rsidR="00C06571" w:rsidRDefault="00C06571" w:rsidP="00C06571">
      <w:r>
        <w:t xml:space="preserve">This essay critically compares and contrasts </w:t>
      </w:r>
      <w:r w:rsidR="00C07FEE">
        <w:rPr>
          <w:rFonts w:cstheme="minorHAnsi"/>
        </w:rPr>
        <w:t>É</w:t>
      </w:r>
      <w:r w:rsidR="00C07FEE">
        <w:t xml:space="preserve">mile </w:t>
      </w:r>
      <w:proofErr w:type="spellStart"/>
      <w:r w:rsidR="00C07FEE">
        <w:t>Durkeim’s</w:t>
      </w:r>
      <w:proofErr w:type="spellEnd"/>
      <w:r w:rsidR="00C07FEE">
        <w:t xml:space="preserve"> </w:t>
      </w:r>
      <w:r w:rsidR="003F7FF2">
        <w:t xml:space="preserve">ideas on the sacred from </w:t>
      </w:r>
      <w:r w:rsidR="00BA3059">
        <w:rPr>
          <w:i/>
          <w:iCs/>
        </w:rPr>
        <w:t>The E</w:t>
      </w:r>
      <w:r w:rsidR="003F7FF2">
        <w:rPr>
          <w:i/>
          <w:iCs/>
        </w:rPr>
        <w:t xml:space="preserve">lementary Forms </w:t>
      </w:r>
      <w:r w:rsidR="00BA3059">
        <w:rPr>
          <w:i/>
          <w:iCs/>
        </w:rPr>
        <w:t>of The Religious Life</w:t>
      </w:r>
      <w:r w:rsidRPr="0022518C">
        <w:rPr>
          <w:rStyle w:val="FootnoteReference"/>
        </w:rPr>
        <w:footnoteReference w:id="1"/>
      </w:r>
      <w:r w:rsidRPr="0022518C">
        <w:t xml:space="preserve">, </w:t>
      </w:r>
      <w:r>
        <w:t xml:space="preserve">with </w:t>
      </w:r>
      <w:r w:rsidR="00BA3059">
        <w:t xml:space="preserve">those of Mircea </w:t>
      </w:r>
      <w:r w:rsidR="00AA23BB">
        <w:t xml:space="preserve">Eliade in </w:t>
      </w:r>
      <w:r w:rsidR="00B222DB">
        <w:rPr>
          <w:i/>
          <w:iCs/>
        </w:rPr>
        <w:t xml:space="preserve">The Sacred </w:t>
      </w:r>
      <w:proofErr w:type="gramStart"/>
      <w:r w:rsidR="00B222DB">
        <w:rPr>
          <w:i/>
          <w:iCs/>
        </w:rPr>
        <w:t>And</w:t>
      </w:r>
      <w:proofErr w:type="gramEnd"/>
      <w:r w:rsidR="00B222DB">
        <w:rPr>
          <w:i/>
          <w:iCs/>
        </w:rPr>
        <w:t xml:space="preserve"> The Profane: The Nature Of Religion</w:t>
      </w:r>
      <w:r>
        <w:rPr>
          <w:rStyle w:val="FootnoteReference"/>
        </w:rPr>
        <w:footnoteReference w:id="2"/>
      </w:r>
      <w:r>
        <w:rPr>
          <w:i/>
          <w:iCs/>
        </w:rPr>
        <w:t>.</w:t>
      </w:r>
    </w:p>
    <w:p w14:paraId="0A0D6534" w14:textId="77777777" w:rsidR="00C06571" w:rsidRDefault="00C06571" w:rsidP="00C06571">
      <w:pPr>
        <w:pStyle w:val="Heading1"/>
      </w:pPr>
      <w:r>
        <w:t>Context</w:t>
      </w:r>
    </w:p>
    <w:p w14:paraId="1D05D577" w14:textId="6BE4E819" w:rsidR="00C06571" w:rsidRDefault="002873A5" w:rsidP="00C06571">
      <w:r w:rsidRPr="00D03B75">
        <w:rPr>
          <w:rFonts w:cstheme="minorHAnsi"/>
        </w:rPr>
        <w:t>É</w:t>
      </w:r>
      <w:r w:rsidRPr="00D03B75">
        <w:t xml:space="preserve">mile Durkheim </w:t>
      </w:r>
      <w:r w:rsidR="0080019A">
        <w:t>(</w:t>
      </w:r>
      <w:r w:rsidR="00BB5D5A">
        <w:t xml:space="preserve">1858-1917) </w:t>
      </w:r>
      <w:r w:rsidR="00BE18E0" w:rsidRPr="00D03B75">
        <w:t xml:space="preserve">was a </w:t>
      </w:r>
      <w:r w:rsidR="00D03B75" w:rsidRPr="00D03B75">
        <w:t>tra</w:t>
      </w:r>
      <w:r w:rsidR="00D03B75">
        <w:t>ined philosopher</w:t>
      </w:r>
      <w:r w:rsidR="00D03B75">
        <w:rPr>
          <w:rStyle w:val="FootnoteReference"/>
        </w:rPr>
        <w:footnoteReference w:id="3"/>
      </w:r>
      <w:r w:rsidR="007303AC">
        <w:t xml:space="preserve">, who Bernadette Brady described as </w:t>
      </w:r>
      <w:r w:rsidR="0045493C">
        <w:t>‘</w:t>
      </w:r>
      <w:r w:rsidR="00DD688A">
        <w:t xml:space="preserve">considered to </w:t>
      </w:r>
      <w:r w:rsidR="00E32A7F">
        <w:t>have been</w:t>
      </w:r>
      <w:r w:rsidR="00DD688A">
        <w:t xml:space="preserve"> one of the founders of </w:t>
      </w:r>
      <w:r w:rsidR="00E32A7F">
        <w:t>the discipline of sociology</w:t>
      </w:r>
      <w:r w:rsidR="006C52FA">
        <w:t>.</w:t>
      </w:r>
      <w:r w:rsidR="0045493C">
        <w:t>’</w:t>
      </w:r>
      <w:r w:rsidR="006C52FA">
        <w:rPr>
          <w:rStyle w:val="FootnoteReference"/>
        </w:rPr>
        <w:footnoteReference w:id="4"/>
      </w:r>
      <w:r w:rsidR="00FC1C50">
        <w:t xml:space="preserve">  In </w:t>
      </w:r>
      <w:r w:rsidR="00201A22">
        <w:rPr>
          <w:i/>
          <w:iCs/>
        </w:rPr>
        <w:t>Forms</w:t>
      </w:r>
      <w:r w:rsidR="00201A22">
        <w:t xml:space="preserve"> he set out t</w:t>
      </w:r>
      <w:r w:rsidR="00B255D9">
        <w:t xml:space="preserve">o use ethnographic material </w:t>
      </w:r>
      <w:r w:rsidR="00D5521E">
        <w:t>to present a scientific study</w:t>
      </w:r>
      <w:r w:rsidR="00905E1E">
        <w:t xml:space="preserve"> of a </w:t>
      </w:r>
      <w:r w:rsidR="002613A0">
        <w:t xml:space="preserve">single society </w:t>
      </w:r>
      <w:r w:rsidR="00DB2CCE">
        <w:t>that could</w:t>
      </w:r>
      <w:r w:rsidR="002613A0">
        <w:t xml:space="preserve"> </w:t>
      </w:r>
      <w:r w:rsidR="00D97F9E">
        <w:t xml:space="preserve">be used to </w:t>
      </w:r>
      <w:r w:rsidR="00492C7D">
        <w:t xml:space="preserve">describe the religious life of all societies.  </w:t>
      </w:r>
      <w:r w:rsidR="00A56C3B">
        <w:t xml:space="preserve">As laid out by Sondra </w:t>
      </w:r>
      <w:proofErr w:type="spellStart"/>
      <w:r w:rsidR="00A56C3B">
        <w:t>Hausner</w:t>
      </w:r>
      <w:proofErr w:type="spellEnd"/>
      <w:r w:rsidR="00A56C3B">
        <w:t>, he</w:t>
      </w:r>
      <w:r w:rsidR="00492C7D">
        <w:t xml:space="preserve"> </w:t>
      </w:r>
      <w:r w:rsidR="006321A4">
        <w:t xml:space="preserve">was ‘convinced that at the heart of any social group were its shared </w:t>
      </w:r>
      <w:r w:rsidR="000A740A">
        <w:t>categories, or sets of symbols, that also formed the essence of religious thought.’</w:t>
      </w:r>
      <w:r w:rsidR="000A740A">
        <w:rPr>
          <w:rStyle w:val="FootnoteReference"/>
        </w:rPr>
        <w:footnoteReference w:id="5"/>
      </w:r>
      <w:r w:rsidR="00DA3B9F">
        <w:t xml:space="preserve">  The first publication of </w:t>
      </w:r>
      <w:r w:rsidR="00DA3B9F">
        <w:rPr>
          <w:i/>
          <w:iCs/>
        </w:rPr>
        <w:t>Forms</w:t>
      </w:r>
      <w:r w:rsidR="00DA3B9F">
        <w:t xml:space="preserve"> appeared in 1912</w:t>
      </w:r>
      <w:r w:rsidR="00BC27FB">
        <w:rPr>
          <w:i/>
          <w:iCs/>
        </w:rPr>
        <w:t xml:space="preserve"> </w:t>
      </w:r>
      <w:r w:rsidR="00EF2353">
        <w:t>and it is still an important foundational work</w:t>
      </w:r>
      <w:r w:rsidR="00010A07">
        <w:t xml:space="preserve"> in sociology</w:t>
      </w:r>
      <w:r w:rsidR="00EF2353">
        <w:t xml:space="preserve">, as evidenced by the </w:t>
      </w:r>
      <w:r w:rsidR="000F7C2C">
        <w:t>centenary</w:t>
      </w:r>
      <w:r w:rsidR="00520320">
        <w:t xml:space="preserve"> </w:t>
      </w:r>
      <w:r w:rsidR="00010A07">
        <w:t>anniversary</w:t>
      </w:r>
      <w:r w:rsidR="00520320">
        <w:t xml:space="preserve"> </w:t>
      </w:r>
      <w:r w:rsidR="00D97F9E">
        <w:t xml:space="preserve">publication of a </w:t>
      </w:r>
      <w:r w:rsidR="00520320">
        <w:t xml:space="preserve">volume of articles testing Durkheim’s method in other </w:t>
      </w:r>
      <w:r w:rsidR="007C5EE3">
        <w:t>areas</w:t>
      </w:r>
      <w:r w:rsidR="000F7C2C">
        <w:t xml:space="preserve"> of social interaction</w:t>
      </w:r>
      <w:r w:rsidR="00ED2053">
        <w:t xml:space="preserve"> and exploring</w:t>
      </w:r>
      <w:r w:rsidR="00D97F9E">
        <w:t xml:space="preserve"> the extent of his</w:t>
      </w:r>
      <w:r w:rsidR="00A40B07">
        <w:t xml:space="preserve"> </w:t>
      </w:r>
      <w:r w:rsidR="00ED2053">
        <w:t>legacy</w:t>
      </w:r>
      <w:r w:rsidR="000F7C2C">
        <w:t>.</w:t>
      </w:r>
      <w:r w:rsidR="00057283">
        <w:rPr>
          <w:rStyle w:val="FootnoteReference"/>
        </w:rPr>
        <w:footnoteReference w:id="6"/>
      </w:r>
    </w:p>
    <w:p w14:paraId="6BBCA47D" w14:textId="4B731B26" w:rsidR="00ED2053" w:rsidRPr="005744B0" w:rsidRDefault="00A06CA6" w:rsidP="00C06571">
      <w:r>
        <w:t>Mircea Eliade</w:t>
      </w:r>
      <w:r w:rsidR="00153B87">
        <w:t xml:space="preserve"> was a </w:t>
      </w:r>
      <w:r w:rsidR="00375F5F">
        <w:t xml:space="preserve">Romanian historian of religion and spent much of his career </w:t>
      </w:r>
      <w:r w:rsidR="00A068F6">
        <w:t>focused on the nature of religion</w:t>
      </w:r>
      <w:r w:rsidR="00CD20DE">
        <w:t>.</w:t>
      </w:r>
      <w:r w:rsidR="00CD20DE">
        <w:rPr>
          <w:rStyle w:val="FootnoteReference"/>
        </w:rPr>
        <w:footnoteReference w:id="7"/>
      </w:r>
      <w:r w:rsidR="00CD20DE">
        <w:t xml:space="preserve">  </w:t>
      </w:r>
      <w:r w:rsidR="00086356">
        <w:t>W</w:t>
      </w:r>
      <w:r w:rsidR="00972801">
        <w:t>riting</w:t>
      </w:r>
      <w:r w:rsidR="00086356">
        <w:t xml:space="preserve"> </w:t>
      </w:r>
      <w:r w:rsidR="00086356">
        <w:rPr>
          <w:i/>
          <w:iCs/>
        </w:rPr>
        <w:t>The Sacred And The Profane</w:t>
      </w:r>
      <w:r w:rsidR="00972801">
        <w:t xml:space="preserve"> some 45 years </w:t>
      </w:r>
      <w:r w:rsidR="00086356">
        <w:t xml:space="preserve">after Durkheim’s </w:t>
      </w:r>
      <w:r w:rsidR="00086356">
        <w:rPr>
          <w:i/>
          <w:iCs/>
        </w:rPr>
        <w:t>Forms</w:t>
      </w:r>
      <w:r w:rsidR="00972801">
        <w:t xml:space="preserve">, </w:t>
      </w:r>
      <w:r w:rsidR="00C41ED2">
        <w:t xml:space="preserve">he </w:t>
      </w:r>
      <w:r w:rsidR="00047DAE">
        <w:t xml:space="preserve">noted that he was </w:t>
      </w:r>
      <w:r w:rsidR="00C046DE">
        <w:t>at least partially</w:t>
      </w:r>
      <w:r w:rsidR="00691850">
        <w:rPr>
          <w:i/>
          <w:iCs/>
        </w:rPr>
        <w:t xml:space="preserve"> </w:t>
      </w:r>
      <w:r w:rsidR="00047DAE">
        <w:t>respon</w:t>
      </w:r>
      <w:r w:rsidR="00C41ED2">
        <w:t>ding</w:t>
      </w:r>
      <w:r w:rsidR="00047DAE">
        <w:t xml:space="preserve"> to Hans Otto’s </w:t>
      </w:r>
      <w:r w:rsidR="00047DAE">
        <w:rPr>
          <w:i/>
          <w:iCs/>
        </w:rPr>
        <w:t>The Idea Of The Holy</w:t>
      </w:r>
      <w:r w:rsidR="006A787C">
        <w:rPr>
          <w:i/>
          <w:iCs/>
        </w:rPr>
        <w:t>,</w:t>
      </w:r>
      <w:r w:rsidR="00A56C3B">
        <w:rPr>
          <w:rStyle w:val="FootnoteReference"/>
          <w:i/>
          <w:iCs/>
        </w:rPr>
        <w:footnoteReference w:id="8"/>
      </w:r>
      <w:r w:rsidR="00862C40">
        <w:rPr>
          <w:i/>
          <w:iCs/>
        </w:rPr>
        <w:t xml:space="preserve"> </w:t>
      </w:r>
      <w:r w:rsidR="005744B0">
        <w:t>specifically</w:t>
      </w:r>
      <w:r w:rsidR="005D25BB">
        <w:t xml:space="preserve"> </w:t>
      </w:r>
      <w:r w:rsidR="005B7F2A">
        <w:t>Otto’s</w:t>
      </w:r>
      <w:r w:rsidR="005D25BB">
        <w:t xml:space="preserve"> </w:t>
      </w:r>
      <w:r w:rsidR="005B0137">
        <w:t>focus on the</w:t>
      </w:r>
      <w:r w:rsidR="00951D40">
        <w:t xml:space="preserve"> </w:t>
      </w:r>
      <w:r w:rsidR="005B0137">
        <w:t>‘</w:t>
      </w:r>
      <w:r w:rsidR="00951D40">
        <w:t>irrational</w:t>
      </w:r>
      <w:r w:rsidR="00F47008">
        <w:t xml:space="preserve"> aspect’ of religion.</w:t>
      </w:r>
      <w:r w:rsidR="00747CB4">
        <w:rPr>
          <w:rStyle w:val="FootnoteReference"/>
        </w:rPr>
        <w:footnoteReference w:id="9"/>
      </w:r>
      <w:r w:rsidR="0036345A">
        <w:t xml:space="preserve">  Although </w:t>
      </w:r>
      <w:r w:rsidR="003F73B9">
        <w:t xml:space="preserve">Durkheim’s </w:t>
      </w:r>
      <w:r w:rsidR="003F73B9">
        <w:rPr>
          <w:i/>
          <w:iCs/>
        </w:rPr>
        <w:t xml:space="preserve">Forms </w:t>
      </w:r>
      <w:r w:rsidR="003F73B9">
        <w:t>appeared in the same time period as Otto</w:t>
      </w:r>
      <w:r w:rsidR="00933E7E">
        <w:t xml:space="preserve">’s </w:t>
      </w:r>
      <w:r w:rsidR="00933E7E">
        <w:rPr>
          <w:i/>
          <w:iCs/>
        </w:rPr>
        <w:t>The Idea Of The Holy</w:t>
      </w:r>
      <w:r w:rsidR="003F73B9">
        <w:t>, and Eliade</w:t>
      </w:r>
      <w:r w:rsidR="0036345A">
        <w:t xml:space="preserve"> use</w:t>
      </w:r>
      <w:r w:rsidR="001E63E8">
        <w:t>d</w:t>
      </w:r>
      <w:r w:rsidR="0036345A">
        <w:t xml:space="preserve"> Durkheim’s terminology of ‘sacred’ and ‘profane’</w:t>
      </w:r>
      <w:r w:rsidR="00CF104B">
        <w:t xml:space="preserve"> in the main foundation of his argument</w:t>
      </w:r>
      <w:r w:rsidR="0036345A">
        <w:t xml:space="preserve">, he </w:t>
      </w:r>
      <w:r w:rsidR="003F73B9">
        <w:t>d</w:t>
      </w:r>
      <w:r w:rsidR="00A40B07">
        <w:t>id</w:t>
      </w:r>
      <w:r w:rsidR="003F73B9">
        <w:t xml:space="preserve"> not reference </w:t>
      </w:r>
      <w:r w:rsidR="00CF104B">
        <w:t>Durkheim at all</w:t>
      </w:r>
      <w:r w:rsidR="00885189">
        <w:t xml:space="preserve"> or acknowledge him as the source of th</w:t>
      </w:r>
      <w:r w:rsidR="00800D8A">
        <w:t>os</w:t>
      </w:r>
      <w:r w:rsidR="00885189">
        <w:t>e terms</w:t>
      </w:r>
      <w:r w:rsidR="00CF104B">
        <w:t>.</w:t>
      </w:r>
      <w:r w:rsidR="00D22031">
        <w:rPr>
          <w:rStyle w:val="FootnoteReference"/>
        </w:rPr>
        <w:footnoteReference w:id="10"/>
      </w:r>
    </w:p>
    <w:p w14:paraId="03DAEE35" w14:textId="77777777" w:rsidR="00C06571" w:rsidRPr="00201A22" w:rsidRDefault="00C06571" w:rsidP="00C06571">
      <w:pPr>
        <w:pStyle w:val="Heading1"/>
      </w:pPr>
      <w:r w:rsidRPr="00201A22">
        <w:lastRenderedPageBreak/>
        <w:t>Analysis</w:t>
      </w:r>
    </w:p>
    <w:p w14:paraId="00F10EAC" w14:textId="77777777" w:rsidR="00C06571" w:rsidRDefault="00C06571" w:rsidP="00C06571">
      <w:pPr>
        <w:pStyle w:val="Heading2"/>
      </w:pPr>
      <w:r>
        <w:t>Methodology</w:t>
      </w:r>
    </w:p>
    <w:p w14:paraId="21A7FE43" w14:textId="6C6B9E88" w:rsidR="00853770" w:rsidRDefault="001F2002" w:rsidP="00C06571">
      <w:r>
        <w:t>Durkheim</w:t>
      </w:r>
      <w:r w:rsidR="0018247B">
        <w:t xml:space="preserve"> made his case for his theory of religio</w:t>
      </w:r>
      <w:r w:rsidR="004C0CAD">
        <w:t>us life</w:t>
      </w:r>
      <w:r w:rsidR="0018247B">
        <w:t xml:space="preserve"> by using anthropological information about a</w:t>
      </w:r>
      <w:r w:rsidR="00247A6F">
        <w:t>n</w:t>
      </w:r>
      <w:r w:rsidR="0018247B">
        <w:t xml:space="preserve"> Australian tribe </w:t>
      </w:r>
      <w:r w:rsidR="002D6341">
        <w:t xml:space="preserve">to create </w:t>
      </w:r>
      <w:r w:rsidR="00916D1F">
        <w:t>a</w:t>
      </w:r>
      <w:r w:rsidR="00B15B07">
        <w:t xml:space="preserve"> </w:t>
      </w:r>
      <w:r w:rsidR="00916D1F">
        <w:t xml:space="preserve">case study in </w:t>
      </w:r>
      <w:r w:rsidR="00F35C50">
        <w:t xml:space="preserve">religion </w:t>
      </w:r>
      <w:r w:rsidR="0051473D">
        <w:t>explaining</w:t>
      </w:r>
      <w:r w:rsidR="00F35C50">
        <w:t xml:space="preserve"> how </w:t>
      </w:r>
      <w:r w:rsidR="00CE7621">
        <w:t>the sacred</w:t>
      </w:r>
      <w:r w:rsidR="00F35C50">
        <w:t xml:space="preserve"> is created.  He chose</w:t>
      </w:r>
      <w:r w:rsidR="009464E5">
        <w:t xml:space="preserve"> to make</w:t>
      </w:r>
    </w:p>
    <w:p w14:paraId="70E77412" w14:textId="25C778E4" w:rsidR="00C06571" w:rsidRDefault="009464E5" w:rsidP="00853770">
      <w:pPr>
        <w:ind w:left="720"/>
        <w:rPr>
          <w:sz w:val="20"/>
          <w:szCs w:val="20"/>
        </w:rPr>
      </w:pPr>
      <w:r w:rsidRPr="00853770">
        <w:rPr>
          <w:sz w:val="20"/>
          <w:szCs w:val="20"/>
        </w:rPr>
        <w:t xml:space="preserve">a very archaic religion the subject of </w:t>
      </w:r>
      <w:r w:rsidR="003E7916">
        <w:rPr>
          <w:sz w:val="20"/>
          <w:szCs w:val="20"/>
        </w:rPr>
        <w:t>my</w:t>
      </w:r>
      <w:r w:rsidRPr="00853770">
        <w:rPr>
          <w:sz w:val="20"/>
          <w:szCs w:val="20"/>
        </w:rPr>
        <w:t xml:space="preserve"> research</w:t>
      </w:r>
      <w:r w:rsidR="007830E2" w:rsidRPr="00853770">
        <w:rPr>
          <w:sz w:val="20"/>
          <w:szCs w:val="20"/>
        </w:rPr>
        <w:t xml:space="preserve"> because it seems better suited than any other to help us comprehend </w:t>
      </w:r>
      <w:r w:rsidR="008F316C" w:rsidRPr="00853770">
        <w:rPr>
          <w:sz w:val="20"/>
          <w:szCs w:val="20"/>
        </w:rPr>
        <w:t xml:space="preserve">the religious nature of man, that is, to reveal a fundamental and permanent </w:t>
      </w:r>
      <w:r w:rsidR="00853770" w:rsidRPr="00853770">
        <w:rPr>
          <w:sz w:val="20"/>
          <w:szCs w:val="20"/>
        </w:rPr>
        <w:t>aspect of humanity.</w:t>
      </w:r>
    </w:p>
    <w:p w14:paraId="47580005" w14:textId="025EE232" w:rsidR="00C27CCE" w:rsidRDefault="00E0485C" w:rsidP="00C27CCE">
      <w:r>
        <w:t xml:space="preserve">As Karen Fields noted, </w:t>
      </w:r>
      <w:r w:rsidR="00B25E7C">
        <w:t>his work is a ‘single well-constructed experiment</w:t>
      </w:r>
      <w:r w:rsidR="003D2904">
        <w:t xml:space="preserve"> whose results may be put forward as holding for all cases that can be shown to be of the same kind.</w:t>
      </w:r>
      <w:r w:rsidR="00B25E7C">
        <w:t>’</w:t>
      </w:r>
      <w:r w:rsidR="00AB4444">
        <w:rPr>
          <w:rStyle w:val="FootnoteReference"/>
        </w:rPr>
        <w:footnoteReference w:id="11"/>
      </w:r>
      <w:r w:rsidR="00D56D5F">
        <w:t xml:space="preserve">  </w:t>
      </w:r>
      <w:r w:rsidR="00CE7621">
        <w:t>Additionally</w:t>
      </w:r>
      <w:r w:rsidR="00D56D5F">
        <w:t xml:space="preserve">, </w:t>
      </w:r>
      <w:proofErr w:type="spellStart"/>
      <w:r w:rsidR="00D56D5F">
        <w:t>Hausner</w:t>
      </w:r>
      <w:proofErr w:type="spellEnd"/>
      <w:r w:rsidR="00D56D5F">
        <w:t xml:space="preserve"> </w:t>
      </w:r>
      <w:r w:rsidR="002D5057">
        <w:t xml:space="preserve">pointed out that </w:t>
      </w:r>
      <w:r w:rsidR="007C1386">
        <w:t xml:space="preserve">Durkheim’s </w:t>
      </w:r>
      <w:r w:rsidR="006E14CD">
        <w:t>model</w:t>
      </w:r>
      <w:r w:rsidR="002D5057">
        <w:t xml:space="preserve"> </w:t>
      </w:r>
      <w:r w:rsidR="006E14CD">
        <w:t>is still useful in</w:t>
      </w:r>
      <w:r w:rsidR="002D5057">
        <w:t xml:space="preserve"> explain</w:t>
      </w:r>
      <w:r w:rsidR="006E14CD">
        <w:t>ing</w:t>
      </w:r>
      <w:r w:rsidR="002D5057">
        <w:t xml:space="preserve"> many modern </w:t>
      </w:r>
      <w:r w:rsidR="005B7960">
        <w:t xml:space="preserve">social </w:t>
      </w:r>
      <w:r w:rsidR="002D5057">
        <w:t>phenomena that Durkheim could not have foreseen at the time of his writing</w:t>
      </w:r>
      <w:r w:rsidR="00737808">
        <w:t>,</w:t>
      </w:r>
      <w:r w:rsidR="005B7960">
        <w:rPr>
          <w:rStyle w:val="FootnoteReference"/>
        </w:rPr>
        <w:footnoteReference w:id="12"/>
      </w:r>
      <w:r w:rsidR="00737808">
        <w:t xml:space="preserve"> which explains its continued relevance</w:t>
      </w:r>
      <w:r w:rsidR="00AF3382">
        <w:t xml:space="preserve"> </w:t>
      </w:r>
      <w:r w:rsidR="00D97F9E">
        <w:t xml:space="preserve">and use </w:t>
      </w:r>
      <w:r w:rsidR="00AF3382">
        <w:t>today.</w:t>
      </w:r>
    </w:p>
    <w:p w14:paraId="12368525" w14:textId="196DCA3A" w:rsidR="00702CF7" w:rsidRDefault="00702CF7" w:rsidP="00C27CCE">
      <w:r>
        <w:t xml:space="preserve">In contrast to Durkheim, Eliade’s approach was a philosophical exploration of the nature </w:t>
      </w:r>
      <w:r w:rsidR="00822CF5">
        <w:t xml:space="preserve">of the sacred and its </w:t>
      </w:r>
      <w:r w:rsidR="00A66318">
        <w:t>appearance</w:t>
      </w:r>
      <w:r w:rsidR="00282156">
        <w:t xml:space="preserve"> </w:t>
      </w:r>
      <w:r w:rsidR="00625F08">
        <w:t xml:space="preserve">out of the profane </w:t>
      </w:r>
      <w:r w:rsidR="00D97F9E">
        <w:t xml:space="preserve">in the form of </w:t>
      </w:r>
      <w:r w:rsidR="00282156">
        <w:t xml:space="preserve"> ‘</w:t>
      </w:r>
      <w:proofErr w:type="spellStart"/>
      <w:r w:rsidR="00282156">
        <w:t>hierophan</w:t>
      </w:r>
      <w:r w:rsidR="001A05BA">
        <w:t>ies</w:t>
      </w:r>
      <w:proofErr w:type="spellEnd"/>
      <w:r w:rsidR="00E904BA">
        <w:t xml:space="preserve">’ which </w:t>
      </w:r>
      <w:r w:rsidR="00FF62A7">
        <w:t xml:space="preserve">he defined as when </w:t>
      </w:r>
      <w:r w:rsidR="00705CC3">
        <w:t xml:space="preserve"> </w:t>
      </w:r>
      <w:r w:rsidR="00E904BA">
        <w:t>‘something sacred shows itself to us</w:t>
      </w:r>
      <w:r w:rsidR="00282156">
        <w:t>’</w:t>
      </w:r>
      <w:r w:rsidR="00A66318">
        <w:t>.</w:t>
      </w:r>
      <w:r w:rsidR="00F958F1">
        <w:rPr>
          <w:rStyle w:val="FootnoteReference"/>
        </w:rPr>
        <w:footnoteReference w:id="13"/>
      </w:r>
      <w:r w:rsidR="00A66318">
        <w:t xml:space="preserve">  He did not reference </w:t>
      </w:r>
      <w:r w:rsidR="00144DE3">
        <w:t xml:space="preserve">specific religions </w:t>
      </w:r>
      <w:r w:rsidR="00705CC3">
        <w:t xml:space="preserve">in his study </w:t>
      </w:r>
      <w:r w:rsidR="00144DE3">
        <w:t xml:space="preserve">and although </w:t>
      </w:r>
      <w:r w:rsidR="00451DC0">
        <w:t>Eliade</w:t>
      </w:r>
      <w:r w:rsidR="00144DE3">
        <w:t xml:space="preserve"> classified himself as a </w:t>
      </w:r>
      <w:r w:rsidR="00972C37">
        <w:t xml:space="preserve">religious historian, </w:t>
      </w:r>
      <w:r w:rsidR="00620F06">
        <w:t xml:space="preserve">Randall </w:t>
      </w:r>
      <w:proofErr w:type="spellStart"/>
      <w:r w:rsidR="00620F06">
        <w:t>Studstill</w:t>
      </w:r>
      <w:proofErr w:type="spellEnd"/>
      <w:r w:rsidR="00620F06">
        <w:t xml:space="preserve"> noted that Eliade</w:t>
      </w:r>
      <w:r w:rsidR="00972C37">
        <w:t xml:space="preserve"> </w:t>
      </w:r>
      <w:r w:rsidR="00D52C33">
        <w:t xml:space="preserve">argued ‘historical context is irrelevant </w:t>
      </w:r>
      <w:r w:rsidR="0059203C">
        <w:t>to the extent that one’s focus is on the content and structure of the religious experience itself</w:t>
      </w:r>
      <w:r w:rsidR="00792264">
        <w:t>,</w:t>
      </w:r>
      <w:r w:rsidR="0059203C">
        <w:t>’</w:t>
      </w:r>
      <w:r w:rsidR="0059203C">
        <w:rPr>
          <w:rStyle w:val="FootnoteReference"/>
        </w:rPr>
        <w:footnoteReference w:id="14"/>
      </w:r>
      <w:r w:rsidR="00300211">
        <w:t xml:space="preserve"> </w:t>
      </w:r>
      <w:r w:rsidR="00D97F9E">
        <w:t xml:space="preserve">at least partially </w:t>
      </w:r>
      <w:r w:rsidR="00300211">
        <w:t>explaining the absence of historical examples in his text.</w:t>
      </w:r>
      <w:r w:rsidR="003B6DFB">
        <w:t xml:space="preserve">  In Eliade’s view, a </w:t>
      </w:r>
      <w:proofErr w:type="spellStart"/>
      <w:r w:rsidR="003B6DFB">
        <w:t>hierophany</w:t>
      </w:r>
      <w:proofErr w:type="spellEnd"/>
      <w:r w:rsidR="003B6DFB">
        <w:t xml:space="preserve"> could appear anywhere and in any </w:t>
      </w:r>
      <w:r w:rsidR="002E7666">
        <w:t xml:space="preserve">context and, thus, </w:t>
      </w:r>
      <w:r w:rsidR="00534349">
        <w:t xml:space="preserve">as Jonathan Z. Smith </w:t>
      </w:r>
      <w:r w:rsidR="00A40B07">
        <w:t>remark</w:t>
      </w:r>
      <w:r w:rsidR="006C56DC">
        <w:t xml:space="preserve">ed, </w:t>
      </w:r>
      <w:r w:rsidR="00D94BF1">
        <w:t>Eliade’s</w:t>
      </w:r>
      <w:r w:rsidR="002E7666">
        <w:t xml:space="preserve"> study of religion could include </w:t>
      </w:r>
      <w:r w:rsidR="00D94BF1">
        <w:t xml:space="preserve">any and </w:t>
      </w:r>
      <w:r w:rsidR="00E04CEE">
        <w:t>every</w:t>
      </w:r>
      <w:r w:rsidR="002E7666">
        <w:t xml:space="preserve"> part of lif</w:t>
      </w:r>
      <w:r w:rsidR="00BA13BE">
        <w:t>e, ev</w:t>
      </w:r>
      <w:r w:rsidR="00D13AF6">
        <w:t>en secular life</w:t>
      </w:r>
      <w:r w:rsidR="00BA13BE">
        <w:t>.</w:t>
      </w:r>
      <w:r w:rsidR="00BA13BE">
        <w:rPr>
          <w:rStyle w:val="FootnoteReference"/>
        </w:rPr>
        <w:footnoteReference w:id="15"/>
      </w:r>
    </w:p>
    <w:p w14:paraId="43E7D492" w14:textId="730EC0E8" w:rsidR="00485D63" w:rsidRPr="00C27CCE" w:rsidRDefault="00485D63" w:rsidP="00C27CCE">
      <w:bookmarkStart w:id="5" w:name="_Hlk118917215"/>
      <w:r>
        <w:t xml:space="preserve">Thus, Durkheim and Eliade took markedly different </w:t>
      </w:r>
      <w:r w:rsidR="009D552F">
        <w:t xml:space="preserve">methodological </w:t>
      </w:r>
      <w:r>
        <w:t xml:space="preserve">approaches to their </w:t>
      </w:r>
      <w:r w:rsidR="00CB223C">
        <w:t>discussion</w:t>
      </w:r>
      <w:r w:rsidR="003365FA">
        <w:t xml:space="preserve"> of the sacred:  Durkheim </w:t>
      </w:r>
      <w:r w:rsidR="0058082B">
        <w:t xml:space="preserve">attempting to create a scientific case study, Eliade </w:t>
      </w:r>
      <w:r w:rsidR="002E71DF">
        <w:t>putting forth a philosophical argument.</w:t>
      </w:r>
      <w:r w:rsidR="00633DF2">
        <w:t xml:space="preserve">  </w:t>
      </w:r>
      <w:proofErr w:type="gramStart"/>
      <w:r w:rsidR="00633DF2">
        <w:t>Both of them</w:t>
      </w:r>
      <w:proofErr w:type="gramEnd"/>
      <w:r w:rsidR="00C12139">
        <w:t>, however, argued for the universality of their conclusions.</w:t>
      </w:r>
    </w:p>
    <w:bookmarkEnd w:id="5"/>
    <w:p w14:paraId="7A5CB82B" w14:textId="5E0D1AAB" w:rsidR="00C06571" w:rsidRDefault="008743E9" w:rsidP="00C06571">
      <w:pPr>
        <w:pStyle w:val="Heading2"/>
      </w:pPr>
      <w:r>
        <w:t>The Nature of the Sacred</w:t>
      </w:r>
    </w:p>
    <w:p w14:paraId="1B7A0D10" w14:textId="143AA611" w:rsidR="008743E9" w:rsidRDefault="00D2179B" w:rsidP="008743E9">
      <w:r>
        <w:t xml:space="preserve">Although there are merits to both </w:t>
      </w:r>
      <w:r w:rsidR="00A05B22">
        <w:t>of their viewpoints</w:t>
      </w:r>
      <w:r w:rsidR="001465D9">
        <w:t>, Durkheim and Eliade differ</w:t>
      </w:r>
      <w:r w:rsidR="001F5A8B">
        <w:t>ed</w:t>
      </w:r>
      <w:r w:rsidR="001465D9">
        <w:t xml:space="preserve"> fundamentally in their explanation of how the sacred is formed.  For Durkheim, </w:t>
      </w:r>
      <w:r w:rsidR="00C14793">
        <w:t xml:space="preserve">‘what defines the </w:t>
      </w:r>
      <w:r w:rsidR="009B3A40">
        <w:t>sacred is that the sacred is added to the real</w:t>
      </w:r>
      <w:r w:rsidR="00B62567">
        <w:t>.</w:t>
      </w:r>
      <w:r w:rsidR="009B3A40">
        <w:t>’</w:t>
      </w:r>
      <w:r w:rsidR="00747259">
        <w:rPr>
          <w:rStyle w:val="FootnoteReference"/>
        </w:rPr>
        <w:footnoteReference w:id="16"/>
      </w:r>
      <w:r w:rsidR="00972168">
        <w:t xml:space="preserve">  He argued that th</w:t>
      </w:r>
      <w:r w:rsidR="000B2F74">
        <w:t>is</w:t>
      </w:r>
      <w:r w:rsidR="00972168">
        <w:t xml:space="preserve"> process </w:t>
      </w:r>
      <w:r w:rsidR="000B2F74">
        <w:t>occur</w:t>
      </w:r>
      <w:r w:rsidR="00D97F9E">
        <w:t>r</w:t>
      </w:r>
      <w:r w:rsidR="000B2F74">
        <w:t>ed</w:t>
      </w:r>
      <w:r w:rsidR="00972168">
        <w:t xml:space="preserve"> through society, </w:t>
      </w:r>
      <w:r w:rsidR="00F104E0">
        <w:t xml:space="preserve">and </w:t>
      </w:r>
      <w:r w:rsidR="00972168">
        <w:t xml:space="preserve">that, in fact, </w:t>
      </w:r>
      <w:r w:rsidR="004B1D2C">
        <w:t>‘religion is an eminently social thing</w:t>
      </w:r>
      <w:r w:rsidR="00F104E0">
        <w:t>.</w:t>
      </w:r>
      <w:r w:rsidR="004B1D2C">
        <w:t>’</w:t>
      </w:r>
      <w:r w:rsidR="004B1D2C">
        <w:rPr>
          <w:rStyle w:val="FootnoteReference"/>
        </w:rPr>
        <w:footnoteReference w:id="17"/>
      </w:r>
      <w:r w:rsidR="007C5EFC">
        <w:t xml:space="preserve">  </w:t>
      </w:r>
      <w:r w:rsidR="00C356E4">
        <w:t>A</w:t>
      </w:r>
      <w:r w:rsidR="00FC54EA">
        <w:t>s</w:t>
      </w:r>
      <w:r w:rsidR="00C356E4">
        <w:t xml:space="preserve"> Edward Casey summarized, Immanuel Kant (</w:t>
      </w:r>
      <w:r w:rsidR="00CC0A69">
        <w:t>1724-1804) had</w:t>
      </w:r>
      <w:r w:rsidR="00FC54EA">
        <w:t xml:space="preserve"> philosophized </w:t>
      </w:r>
      <w:r w:rsidR="00EB27BB">
        <w:t xml:space="preserve">in 1768 </w:t>
      </w:r>
      <w:r w:rsidR="00FC54EA">
        <w:t>that ‘things are not oriented in and by themselves</w:t>
      </w:r>
      <w:r w:rsidR="00683881">
        <w:t>; they require ou</w:t>
      </w:r>
      <w:r w:rsidR="00DA6773">
        <w:t>r</w:t>
      </w:r>
      <w:r w:rsidR="00683881">
        <w:t xml:space="preserve"> intervention to </w:t>
      </w:r>
      <w:r w:rsidR="00683881" w:rsidRPr="00EB27BB">
        <w:rPr>
          <w:i/>
          <w:iCs/>
        </w:rPr>
        <w:t>become</w:t>
      </w:r>
      <w:r w:rsidR="00683881">
        <w:t xml:space="preserve"> oriented.’</w:t>
      </w:r>
      <w:r w:rsidR="00EB27BB">
        <w:rPr>
          <w:rStyle w:val="FootnoteReference"/>
        </w:rPr>
        <w:footnoteReference w:id="18"/>
      </w:r>
      <w:r w:rsidR="00EB27BB">
        <w:t xml:space="preserve">  Durkheim </w:t>
      </w:r>
      <w:r w:rsidR="00E64A0A">
        <w:t xml:space="preserve">repeated </w:t>
      </w:r>
      <w:r w:rsidR="007E4391">
        <w:t>Kant’s</w:t>
      </w:r>
      <w:r w:rsidR="00E64A0A">
        <w:t xml:space="preserve"> idea</w:t>
      </w:r>
      <w:r w:rsidR="00087988">
        <w:t>, maintaining that space and time</w:t>
      </w:r>
      <w:r w:rsidR="00665C79">
        <w:t xml:space="preserve"> </w:t>
      </w:r>
      <w:r w:rsidR="00087988">
        <w:t xml:space="preserve">are social </w:t>
      </w:r>
      <w:r w:rsidR="00087988">
        <w:lastRenderedPageBreak/>
        <w:t>constructs</w:t>
      </w:r>
      <w:r w:rsidR="00CA60A6">
        <w:t xml:space="preserve"> that humans create in order to communicate and relate to one another</w:t>
      </w:r>
      <w:r w:rsidR="00665C79">
        <w:t>, an idea he then expand</w:t>
      </w:r>
      <w:r w:rsidR="00AB351E">
        <w:t>ed out</w:t>
      </w:r>
      <w:r w:rsidR="00665C79">
        <w:t xml:space="preserve"> to include re</w:t>
      </w:r>
      <w:r w:rsidR="00255C2E">
        <w:t>ligion.</w:t>
      </w:r>
      <w:r w:rsidR="00255C2E">
        <w:rPr>
          <w:rStyle w:val="FootnoteReference"/>
        </w:rPr>
        <w:footnoteReference w:id="19"/>
      </w:r>
      <w:r w:rsidR="005D00CA">
        <w:t xml:space="preserve">  </w:t>
      </w:r>
      <w:r w:rsidR="003976FF">
        <w:t xml:space="preserve">‘Religious </w:t>
      </w:r>
      <w:r w:rsidR="009364D7">
        <w:t>representations,’ he explained, ‘are collective re</w:t>
      </w:r>
      <w:r w:rsidR="00987374">
        <w:t>presentations that express collective realities.’</w:t>
      </w:r>
      <w:r w:rsidR="00987374">
        <w:rPr>
          <w:rStyle w:val="FootnoteReference"/>
        </w:rPr>
        <w:footnoteReference w:id="20"/>
      </w:r>
      <w:r w:rsidR="00A44059">
        <w:t xml:space="preserve">  </w:t>
      </w:r>
      <w:r w:rsidR="009A45F7">
        <w:t xml:space="preserve">According to </w:t>
      </w:r>
      <w:proofErr w:type="spellStart"/>
      <w:r w:rsidR="009A45F7">
        <w:t>Hausner</w:t>
      </w:r>
      <w:proofErr w:type="spellEnd"/>
      <w:r w:rsidR="009A45F7">
        <w:t xml:space="preserve">, </w:t>
      </w:r>
      <w:r w:rsidR="004A2EB5">
        <w:t xml:space="preserve">with this view, Durkheim made sociality and religion equally significant, a </w:t>
      </w:r>
      <w:r w:rsidR="00DB708C">
        <w:t>position which c</w:t>
      </w:r>
      <w:r w:rsidR="00A520E7">
        <w:t>ontinue</w:t>
      </w:r>
      <w:r w:rsidR="0042273A">
        <w:t>s</w:t>
      </w:r>
      <w:r w:rsidR="00A520E7">
        <w:t xml:space="preserve"> to c</w:t>
      </w:r>
      <w:r w:rsidR="00DB708C">
        <w:t xml:space="preserve">ause issues for theologians and </w:t>
      </w:r>
      <w:r w:rsidR="00313D69">
        <w:t>secularists alike.</w:t>
      </w:r>
      <w:r w:rsidR="00313D69">
        <w:rPr>
          <w:rStyle w:val="FootnoteReference"/>
        </w:rPr>
        <w:footnoteReference w:id="21"/>
      </w:r>
      <w:r w:rsidR="00E8786A">
        <w:t xml:space="preserve">  Theologians, </w:t>
      </w:r>
      <w:proofErr w:type="spellStart"/>
      <w:r w:rsidR="0042273A">
        <w:t>Hausner</w:t>
      </w:r>
      <w:proofErr w:type="spellEnd"/>
      <w:r w:rsidR="00E8786A">
        <w:t xml:space="preserve"> continued, fear that religion loses its meaning when reduced to a social activity, whereas secularists </w:t>
      </w:r>
      <w:r w:rsidR="006A3298">
        <w:t xml:space="preserve">chafe at having </w:t>
      </w:r>
      <w:r w:rsidR="00E45880">
        <w:t>social phenomena given a religious overlay.</w:t>
      </w:r>
      <w:r w:rsidR="00A40B07">
        <w:rPr>
          <w:rStyle w:val="FootnoteReference"/>
        </w:rPr>
        <w:footnoteReference w:id="22"/>
      </w:r>
      <w:r w:rsidR="00E45880">
        <w:t xml:space="preserve">  </w:t>
      </w:r>
      <w:r w:rsidR="00455F02">
        <w:t>In her view, both sides have mis</w:t>
      </w:r>
      <w:r w:rsidR="003309D8">
        <w:t xml:space="preserve">understood Durkheim’s point, which was that ‘religion is primary, and perhaps universal, because it is the mechanism that enables collectives to </w:t>
      </w:r>
      <w:r w:rsidR="00DC5B18">
        <w:t>bind together.’</w:t>
      </w:r>
      <w:r w:rsidR="00DC5B18">
        <w:rPr>
          <w:rStyle w:val="FootnoteReference"/>
        </w:rPr>
        <w:footnoteReference w:id="23"/>
      </w:r>
      <w:r w:rsidR="00DE0AA0">
        <w:t xml:space="preserve">  </w:t>
      </w:r>
      <w:r w:rsidR="003522D0">
        <w:t>As</w:t>
      </w:r>
      <w:r w:rsidR="00DE0AA0">
        <w:t xml:space="preserve"> Durkheim </w:t>
      </w:r>
      <w:r w:rsidR="006F2DCA">
        <w:t>stated</w:t>
      </w:r>
      <w:r w:rsidR="00DE0AA0">
        <w:t>, ‘</w:t>
      </w:r>
      <w:r w:rsidR="00A74E26">
        <w:t xml:space="preserve">There are no religions that are false.  All are true after their own fashion.  All fulfill given conditions of </w:t>
      </w:r>
      <w:r w:rsidR="00C8784A">
        <w:t>human existence</w:t>
      </w:r>
      <w:r w:rsidR="00240E62">
        <w:t>.’</w:t>
      </w:r>
      <w:r w:rsidR="00240E62">
        <w:rPr>
          <w:rStyle w:val="FootnoteReference"/>
        </w:rPr>
        <w:footnoteReference w:id="24"/>
      </w:r>
      <w:r w:rsidR="003522D0">
        <w:t xml:space="preserve">  In short, Durkheim thought the social binding that occurs through religious activity was a necessary aspect of human life.</w:t>
      </w:r>
    </w:p>
    <w:p w14:paraId="25E2BA0D" w14:textId="1BD66D90" w:rsidR="00E61EA0" w:rsidRDefault="00FA35D9" w:rsidP="008743E9">
      <w:r>
        <w:t>In contrast, Eliade, although adopting Durkheim’s terms of ‘sacred’ and ‘profane’</w:t>
      </w:r>
      <w:r w:rsidR="001639F7">
        <w:t xml:space="preserve">, had a view of the sacred that was closer to Otto’s ‘numinous’, which Otto </w:t>
      </w:r>
      <w:r w:rsidR="007A64D4">
        <w:t>described as ‘a felt something…to which the mind turns spontaneously’.</w:t>
      </w:r>
      <w:r w:rsidR="00EA0636">
        <w:rPr>
          <w:rStyle w:val="FootnoteReference"/>
        </w:rPr>
        <w:footnoteReference w:id="25"/>
      </w:r>
      <w:r w:rsidR="00EA0636">
        <w:t xml:space="preserve">  Otto likened this </w:t>
      </w:r>
      <w:r w:rsidR="001772DD">
        <w:t>experience to th</w:t>
      </w:r>
      <w:r w:rsidR="00A40B07">
        <w:t>at</w:t>
      </w:r>
      <w:r w:rsidR="001772DD">
        <w:t xml:space="preserve"> of encountering a ghost</w:t>
      </w:r>
      <w:r w:rsidR="002864BD">
        <w:t xml:space="preserve">, </w:t>
      </w:r>
      <w:r w:rsidR="00420339">
        <w:t xml:space="preserve">which is </w:t>
      </w:r>
    </w:p>
    <w:p w14:paraId="23369EE9" w14:textId="62BF7772" w:rsidR="00FA35D9" w:rsidRDefault="00420339" w:rsidP="00E61EA0">
      <w:pPr>
        <w:ind w:left="720"/>
      </w:pPr>
      <w:r w:rsidRPr="00E61EA0">
        <w:rPr>
          <w:sz w:val="20"/>
          <w:szCs w:val="20"/>
        </w:rPr>
        <w:t xml:space="preserve">a thing that </w:t>
      </w:r>
      <w:r w:rsidR="00E61EA0">
        <w:rPr>
          <w:sz w:val="20"/>
          <w:szCs w:val="20"/>
        </w:rPr>
        <w:t>‘</w:t>
      </w:r>
      <w:r w:rsidRPr="00E61EA0">
        <w:rPr>
          <w:sz w:val="20"/>
          <w:szCs w:val="20"/>
        </w:rPr>
        <w:t>doesn’t really exist at all</w:t>
      </w:r>
      <w:r w:rsidR="00E61EA0">
        <w:rPr>
          <w:sz w:val="20"/>
          <w:szCs w:val="20"/>
        </w:rPr>
        <w:t>’</w:t>
      </w:r>
      <w:r w:rsidR="00F06516" w:rsidRPr="00E61EA0">
        <w:rPr>
          <w:sz w:val="20"/>
          <w:szCs w:val="20"/>
        </w:rPr>
        <w:t xml:space="preserve">, the </w:t>
      </w:r>
      <w:r w:rsidR="00E61EA0">
        <w:rPr>
          <w:sz w:val="20"/>
          <w:szCs w:val="20"/>
        </w:rPr>
        <w:t>‘</w:t>
      </w:r>
      <w:r w:rsidR="00F06516" w:rsidRPr="00E61EA0">
        <w:rPr>
          <w:sz w:val="20"/>
          <w:szCs w:val="20"/>
        </w:rPr>
        <w:t>wholly other</w:t>
      </w:r>
      <w:r w:rsidR="00E61EA0">
        <w:rPr>
          <w:sz w:val="20"/>
          <w:szCs w:val="20"/>
        </w:rPr>
        <w:t>’</w:t>
      </w:r>
      <w:r w:rsidR="00F06516" w:rsidRPr="00E61EA0">
        <w:rPr>
          <w:sz w:val="20"/>
          <w:szCs w:val="20"/>
        </w:rPr>
        <w:t xml:space="preserve">, something which has no place in our scheme of reality but belongs to </w:t>
      </w:r>
      <w:proofErr w:type="gramStart"/>
      <w:r w:rsidR="00F06516" w:rsidRPr="00E61EA0">
        <w:rPr>
          <w:sz w:val="20"/>
          <w:szCs w:val="20"/>
        </w:rPr>
        <w:t>an absolutely different</w:t>
      </w:r>
      <w:proofErr w:type="gramEnd"/>
      <w:r w:rsidR="00F06516" w:rsidRPr="00E61EA0">
        <w:rPr>
          <w:sz w:val="20"/>
          <w:szCs w:val="20"/>
        </w:rPr>
        <w:t xml:space="preserve"> one</w:t>
      </w:r>
      <w:r w:rsidR="00E61EA0" w:rsidRPr="00E61EA0">
        <w:rPr>
          <w:sz w:val="20"/>
          <w:szCs w:val="20"/>
        </w:rPr>
        <w:t>, and which at the same time arouses an irrepressible interest in the mind</w:t>
      </w:r>
      <w:r w:rsidR="00E61EA0">
        <w:t>.</w:t>
      </w:r>
    </w:p>
    <w:p w14:paraId="15B36DDA" w14:textId="13992FF7" w:rsidR="00E61EA0" w:rsidRDefault="00910B26" w:rsidP="00E61EA0">
      <w:r>
        <w:t>For Eliade the whole world was made up of the chaos of the profane</w:t>
      </w:r>
      <w:r w:rsidR="006F2DCA">
        <w:t>, or the non-sacred</w:t>
      </w:r>
      <w:r w:rsidR="00E46A74">
        <w:t xml:space="preserve">, out of which </w:t>
      </w:r>
      <w:r w:rsidR="008D053F">
        <w:t xml:space="preserve">came </w:t>
      </w:r>
      <w:r w:rsidR="0082682B">
        <w:t>‘irruptions of</w:t>
      </w:r>
      <w:r w:rsidR="00AB407C">
        <w:t xml:space="preserve"> </w:t>
      </w:r>
      <w:proofErr w:type="spellStart"/>
      <w:r w:rsidR="00E46A74">
        <w:t>hierophanies</w:t>
      </w:r>
      <w:proofErr w:type="spellEnd"/>
      <w:r w:rsidR="0082682B">
        <w:t xml:space="preserve">, which define </w:t>
      </w:r>
      <w:r w:rsidR="00E46A74">
        <w:t xml:space="preserve">a center point </w:t>
      </w:r>
      <w:r w:rsidR="0082682B">
        <w:t>from</w:t>
      </w:r>
      <w:r w:rsidR="00E46A74">
        <w:t xml:space="preserve"> which man c</w:t>
      </w:r>
      <w:r w:rsidR="0082682B">
        <w:t>an</w:t>
      </w:r>
      <w:r w:rsidR="00E46A74">
        <w:t xml:space="preserve"> orient himself</w:t>
      </w:r>
      <w:r w:rsidR="0082682B">
        <w:t>’</w:t>
      </w:r>
      <w:r w:rsidR="00E46A74">
        <w:t>.</w:t>
      </w:r>
      <w:r w:rsidR="007B0F81">
        <w:rPr>
          <w:rStyle w:val="FootnoteReference"/>
        </w:rPr>
        <w:footnoteReference w:id="26"/>
      </w:r>
      <w:r w:rsidR="00C44CE6">
        <w:t xml:space="preserve">  Th</w:t>
      </w:r>
      <w:r w:rsidR="00AE0464">
        <w:t xml:space="preserve">ese </w:t>
      </w:r>
      <w:proofErr w:type="spellStart"/>
      <w:r w:rsidR="00AE0464">
        <w:t>hierophanie</w:t>
      </w:r>
      <w:r w:rsidR="00C44CE6">
        <w:t>s</w:t>
      </w:r>
      <w:proofErr w:type="spellEnd"/>
      <w:r w:rsidR="00C44CE6">
        <w:t xml:space="preserve"> </w:t>
      </w:r>
      <w:r w:rsidR="00764A4F">
        <w:t>a</w:t>
      </w:r>
      <w:r w:rsidR="00C44CE6">
        <w:t xml:space="preserve">re not </w:t>
      </w:r>
      <w:r w:rsidR="00440997">
        <w:t>the same as</w:t>
      </w:r>
      <w:r w:rsidR="00C44CE6">
        <w:t xml:space="preserve"> the place or object where they </w:t>
      </w:r>
      <w:r w:rsidR="00440997">
        <w:t xml:space="preserve">occur; </w:t>
      </w:r>
      <w:proofErr w:type="gramStart"/>
      <w:r w:rsidR="00440997">
        <w:t>instead</w:t>
      </w:r>
      <w:proofErr w:type="gramEnd"/>
      <w:r w:rsidR="00440997">
        <w:t xml:space="preserve"> they </w:t>
      </w:r>
      <w:r w:rsidR="00764A4F">
        <w:t>a</w:t>
      </w:r>
      <w:r w:rsidR="00440997">
        <w:t xml:space="preserve">re overlayed onto them.  </w:t>
      </w:r>
      <w:r w:rsidR="00AE0464">
        <w:t xml:space="preserve">The rock </w:t>
      </w:r>
      <w:r w:rsidR="00764A4F">
        <w:t>i</w:t>
      </w:r>
      <w:r w:rsidR="00AE0464">
        <w:t>s still a rock</w:t>
      </w:r>
      <w:r w:rsidR="002A4ECC">
        <w:t xml:space="preserve"> and the tree </w:t>
      </w:r>
      <w:r w:rsidR="00764A4F">
        <w:t>i</w:t>
      </w:r>
      <w:r w:rsidR="002A4ECC">
        <w:t>s still a tree, but</w:t>
      </w:r>
      <w:r w:rsidR="0054286B">
        <w:t>, in an echo of Otto’s ghost,</w:t>
      </w:r>
      <w:r w:rsidR="002A4ECC">
        <w:t xml:space="preserve"> ‘they are </w:t>
      </w:r>
      <w:proofErr w:type="spellStart"/>
      <w:r w:rsidR="00764A4F" w:rsidRPr="00D460B0">
        <w:rPr>
          <w:i/>
          <w:iCs/>
        </w:rPr>
        <w:t>hierophanies</w:t>
      </w:r>
      <w:proofErr w:type="spellEnd"/>
      <w:r w:rsidR="00764A4F">
        <w:t xml:space="preserve"> because they show </w:t>
      </w:r>
      <w:r w:rsidR="00C6717B">
        <w:t xml:space="preserve">something that is no longer stone or tree, but the </w:t>
      </w:r>
      <w:r w:rsidR="00C6717B" w:rsidRPr="00D460B0">
        <w:rPr>
          <w:i/>
          <w:iCs/>
        </w:rPr>
        <w:t>sacred</w:t>
      </w:r>
      <w:r w:rsidR="00C6717B">
        <w:t xml:space="preserve">, the </w:t>
      </w:r>
      <w:proofErr w:type="spellStart"/>
      <w:r w:rsidR="0054286B" w:rsidRPr="00D460B0">
        <w:rPr>
          <w:i/>
          <w:iCs/>
        </w:rPr>
        <w:t>ganz</w:t>
      </w:r>
      <w:proofErr w:type="spellEnd"/>
      <w:r w:rsidR="0054286B" w:rsidRPr="00D460B0">
        <w:rPr>
          <w:i/>
          <w:iCs/>
        </w:rPr>
        <w:t xml:space="preserve"> </w:t>
      </w:r>
      <w:proofErr w:type="spellStart"/>
      <w:r w:rsidR="0054286B" w:rsidRPr="00D460B0">
        <w:rPr>
          <w:i/>
          <w:iCs/>
        </w:rPr>
        <w:t>andere</w:t>
      </w:r>
      <w:proofErr w:type="spellEnd"/>
      <w:r w:rsidR="0054286B">
        <w:t>.’</w:t>
      </w:r>
      <w:r w:rsidR="00C75825">
        <w:rPr>
          <w:rStyle w:val="FootnoteReference"/>
        </w:rPr>
        <w:footnoteReference w:id="27"/>
      </w:r>
      <w:r w:rsidR="005841A2">
        <w:t xml:space="preserve">  </w:t>
      </w:r>
      <w:r w:rsidR="00BF6C38">
        <w:t xml:space="preserve">Kim Knott </w:t>
      </w:r>
      <w:r w:rsidR="00072BEB">
        <w:t xml:space="preserve">disagreed </w:t>
      </w:r>
      <w:r w:rsidR="00A40B07">
        <w:t xml:space="preserve">with Eliade’s assertion </w:t>
      </w:r>
      <w:r w:rsidR="00072BEB">
        <w:t xml:space="preserve">that space outside the </w:t>
      </w:r>
      <w:proofErr w:type="spellStart"/>
      <w:r w:rsidR="00072BEB">
        <w:t>hierophany</w:t>
      </w:r>
      <w:proofErr w:type="spellEnd"/>
      <w:r w:rsidR="00072BEB">
        <w:t xml:space="preserve"> is chaos or </w:t>
      </w:r>
      <w:r w:rsidR="0082401A">
        <w:t>u</w:t>
      </w:r>
      <w:r w:rsidR="00072BEB">
        <w:t>ndefined nothingness</w:t>
      </w:r>
      <w:r w:rsidR="0038060A">
        <w:t>.</w:t>
      </w:r>
      <w:r w:rsidR="00CC3E01">
        <w:rPr>
          <w:rStyle w:val="FootnoteReference"/>
        </w:rPr>
        <w:footnoteReference w:id="28"/>
      </w:r>
      <w:r w:rsidR="0038060A">
        <w:t xml:space="preserve">  ‘Space’ she argued, ‘is not an empty container or tabula rasa</w:t>
      </w:r>
      <w:r w:rsidR="0082401A">
        <w:t xml:space="preserve"> in which other things are placed or against which </w:t>
      </w:r>
      <w:r w:rsidR="00781CEE">
        <w:t>they happen.</w:t>
      </w:r>
      <w:r w:rsidR="00CC3E01">
        <w:t>’</w:t>
      </w:r>
      <w:r w:rsidR="006F10D1">
        <w:t xml:space="preserve">  Casey </w:t>
      </w:r>
      <w:r w:rsidR="005D5488">
        <w:t xml:space="preserve">further </w:t>
      </w:r>
      <w:r w:rsidR="009E228E">
        <w:t xml:space="preserve">pointed out </w:t>
      </w:r>
      <w:r w:rsidR="003142BE">
        <w:t>t</w:t>
      </w:r>
      <w:r w:rsidR="00885DBE">
        <w:t xml:space="preserve">hat this </w:t>
      </w:r>
      <w:r w:rsidR="003142BE">
        <w:t xml:space="preserve">idea of </w:t>
      </w:r>
      <w:r w:rsidR="00C516E3">
        <w:t xml:space="preserve">‘space as something infinite and ubiquitous coincided with the spread of Christianity, a religion with universalist </w:t>
      </w:r>
      <w:r w:rsidR="00BC720E">
        <w:t>ambitions.</w:t>
      </w:r>
      <w:r w:rsidR="00801343">
        <w:t>’</w:t>
      </w:r>
      <w:r w:rsidR="00801343">
        <w:rPr>
          <w:rStyle w:val="FootnoteReference"/>
        </w:rPr>
        <w:footnoteReference w:id="29"/>
      </w:r>
      <w:r w:rsidR="00A80D86">
        <w:t xml:space="preserve">  </w:t>
      </w:r>
      <w:r w:rsidR="00A501BA">
        <w:t xml:space="preserve">Indeed, </w:t>
      </w:r>
      <w:r w:rsidR="00A80D86">
        <w:t xml:space="preserve">Eliade </w:t>
      </w:r>
      <w:r w:rsidR="00A501BA">
        <w:t xml:space="preserve">explained </w:t>
      </w:r>
      <w:r w:rsidR="00775499">
        <w:t xml:space="preserve">that </w:t>
      </w:r>
      <w:proofErr w:type="spellStart"/>
      <w:r w:rsidR="00A501BA">
        <w:t>hierophanies</w:t>
      </w:r>
      <w:proofErr w:type="spellEnd"/>
      <w:r w:rsidR="00037163">
        <w:t xml:space="preserve"> are not always recognizable to everyone, but</w:t>
      </w:r>
      <w:r w:rsidR="00775499">
        <w:t xml:space="preserve"> that to </w:t>
      </w:r>
      <w:r w:rsidR="00037163">
        <w:t>religious man</w:t>
      </w:r>
      <w:r w:rsidR="001E4695">
        <w:t xml:space="preserve">, ‘the cosmos in its entirety can become a </w:t>
      </w:r>
      <w:proofErr w:type="spellStart"/>
      <w:r w:rsidR="007B63E2">
        <w:t>hierophany</w:t>
      </w:r>
      <w:proofErr w:type="spellEnd"/>
      <w:r w:rsidR="00037163">
        <w:t>.</w:t>
      </w:r>
      <w:r w:rsidR="007B63E2">
        <w:t>’</w:t>
      </w:r>
      <w:r w:rsidR="00037163">
        <w:rPr>
          <w:rStyle w:val="FootnoteReference"/>
        </w:rPr>
        <w:footnoteReference w:id="30"/>
      </w:r>
    </w:p>
    <w:p w14:paraId="37C9465E" w14:textId="74387610" w:rsidR="00DC5B18" w:rsidRPr="008743E9" w:rsidRDefault="00A120B8" w:rsidP="008743E9">
      <w:r>
        <w:t>In Durkheim’s collective reality</w:t>
      </w:r>
      <w:r w:rsidR="00DE7B99">
        <w:t xml:space="preserve">, the sacred rock or tree </w:t>
      </w:r>
      <w:r w:rsidR="004D61A9">
        <w:t xml:space="preserve">above </w:t>
      </w:r>
      <w:r w:rsidR="00DE7B99">
        <w:t xml:space="preserve">can only become sacred through </w:t>
      </w:r>
      <w:r w:rsidR="00D23BEA">
        <w:t>the force of ritual.</w:t>
      </w:r>
      <w:r w:rsidR="00AF2D45">
        <w:t xml:space="preserve">  </w:t>
      </w:r>
      <w:r w:rsidR="00E41BAF">
        <w:t xml:space="preserve">From his study, he concluded that ‘rites are ways of acting </w:t>
      </w:r>
      <w:r w:rsidR="00076582">
        <w:t xml:space="preserve">that are born only in the midst of </w:t>
      </w:r>
      <w:r w:rsidR="00AF619D">
        <w:t xml:space="preserve">assembled groups </w:t>
      </w:r>
      <w:r w:rsidR="00D55668">
        <w:t>and whose purpose is to evoke, maintain</w:t>
      </w:r>
      <w:r w:rsidR="00D74081">
        <w:t>,</w:t>
      </w:r>
      <w:r w:rsidR="00D55668">
        <w:t xml:space="preserve"> or re</w:t>
      </w:r>
      <w:r w:rsidR="003522D0">
        <w:t>-</w:t>
      </w:r>
      <w:r w:rsidR="00D55668">
        <w:t>create certain mental states of th</w:t>
      </w:r>
      <w:r w:rsidR="00D74081">
        <w:t xml:space="preserve">ose </w:t>
      </w:r>
      <w:r w:rsidR="00D74081">
        <w:lastRenderedPageBreak/>
        <w:t>groups.</w:t>
      </w:r>
      <w:r w:rsidR="00D97F9E">
        <w:t>’</w:t>
      </w:r>
      <w:r w:rsidR="00D74081">
        <w:rPr>
          <w:rStyle w:val="FootnoteReference"/>
        </w:rPr>
        <w:footnoteReference w:id="31"/>
      </w:r>
      <w:r w:rsidR="00AC25F6">
        <w:t xml:space="preserve">  Objects or spaces could be made sacred through these rites and the</w:t>
      </w:r>
      <w:r w:rsidR="003A32C7">
        <w:t xml:space="preserve">n carried the energy </w:t>
      </w:r>
      <w:r w:rsidR="00FF0B6A">
        <w:t xml:space="preserve">or the memory </w:t>
      </w:r>
      <w:r w:rsidR="003A32C7">
        <w:t xml:space="preserve">of the mental state for the group.  </w:t>
      </w:r>
      <w:r w:rsidR="008258CA">
        <w:t xml:space="preserve">Unlike Eliade’s independently occurring </w:t>
      </w:r>
      <w:proofErr w:type="spellStart"/>
      <w:r w:rsidR="008258CA">
        <w:t>hierophanies</w:t>
      </w:r>
      <w:proofErr w:type="spellEnd"/>
      <w:r w:rsidR="008258CA">
        <w:t xml:space="preserve">, though, the sacredness eventually wears off and </w:t>
      </w:r>
      <w:proofErr w:type="gramStart"/>
      <w:r w:rsidR="008258CA">
        <w:t>has to</w:t>
      </w:r>
      <w:proofErr w:type="gramEnd"/>
      <w:r w:rsidR="008258CA">
        <w:t xml:space="preserve"> be </w:t>
      </w:r>
      <w:r w:rsidR="00BA0456">
        <w:t xml:space="preserve">renewed.  As </w:t>
      </w:r>
      <w:r w:rsidR="00555F7C">
        <w:t>Fields</w:t>
      </w:r>
      <w:r w:rsidR="00BA0456">
        <w:t xml:space="preserve"> </w:t>
      </w:r>
      <w:r w:rsidR="000F4E36">
        <w:t>clarified</w:t>
      </w:r>
      <w:r w:rsidR="00BA0456">
        <w:t>, ‘nothing that must be imagined</w:t>
      </w:r>
      <w:r w:rsidR="00F552C5">
        <w:t xml:space="preserve"> “always exists,” but must be continuously reimagined </w:t>
      </w:r>
      <w:r w:rsidR="00C01C86">
        <w:t>through human doing.’</w:t>
      </w:r>
      <w:r w:rsidR="000A1C33">
        <w:rPr>
          <w:rStyle w:val="FootnoteReference"/>
        </w:rPr>
        <w:footnoteReference w:id="32"/>
      </w:r>
      <w:r w:rsidR="004A40E2">
        <w:t xml:space="preserve">  There are certainly echoes of this in Eliade’s descriptions of the construction of sacred space.  </w:t>
      </w:r>
      <w:r w:rsidR="00F12351">
        <w:t xml:space="preserve">As the </w:t>
      </w:r>
      <w:proofErr w:type="spellStart"/>
      <w:r w:rsidR="00F12351">
        <w:t>hierophany</w:t>
      </w:r>
      <w:proofErr w:type="spellEnd"/>
      <w:r w:rsidR="00F12351">
        <w:t xml:space="preserve"> was the center around which to orient, communities </w:t>
      </w:r>
      <w:r w:rsidR="00D87745">
        <w:t xml:space="preserve">built </w:t>
      </w:r>
      <w:r w:rsidR="00D858D4">
        <w:t>sacred spaces</w:t>
      </w:r>
      <w:r w:rsidR="00D87745">
        <w:t xml:space="preserve"> around the </w:t>
      </w:r>
      <w:r w:rsidR="001432CC">
        <w:t xml:space="preserve">perceived </w:t>
      </w:r>
      <w:proofErr w:type="spellStart"/>
      <w:r w:rsidR="00D87745">
        <w:t>hierophany</w:t>
      </w:r>
      <w:proofErr w:type="spellEnd"/>
      <w:r w:rsidR="00D87745">
        <w:t xml:space="preserve">, often leaving a space or an opening in the center, through which to communicate </w:t>
      </w:r>
      <w:r w:rsidR="00530A3E">
        <w:t>with the gods.</w:t>
      </w:r>
      <w:r w:rsidR="00530A3E">
        <w:rPr>
          <w:rStyle w:val="FootnoteReference"/>
        </w:rPr>
        <w:footnoteReference w:id="33"/>
      </w:r>
      <w:r w:rsidR="00DC01A7">
        <w:t xml:space="preserve">  If no </w:t>
      </w:r>
      <w:proofErr w:type="spellStart"/>
      <w:r w:rsidR="00DC01A7">
        <w:t>hierophany</w:t>
      </w:r>
      <w:proofErr w:type="spellEnd"/>
      <w:r w:rsidR="00DC01A7">
        <w:t xml:space="preserve"> appeared, it could be </w:t>
      </w:r>
      <w:r w:rsidR="00A939B1">
        <w:t>‘provoked’ by requesting</w:t>
      </w:r>
      <w:r w:rsidR="000E21CC">
        <w:t xml:space="preserve"> a</w:t>
      </w:r>
      <w:r w:rsidR="00A939B1">
        <w:t xml:space="preserve"> ‘sign’ as to where to build sacred space or the home or the village.</w:t>
      </w:r>
      <w:r w:rsidR="000E21CC">
        <w:rPr>
          <w:rStyle w:val="FootnoteReference"/>
        </w:rPr>
        <w:footnoteReference w:id="34"/>
      </w:r>
      <w:r w:rsidR="00C83F5A">
        <w:t xml:space="preserve">  These places </w:t>
      </w:r>
      <w:r w:rsidR="00681B49">
        <w:t>were then special; there was a threshold that separated them from the surrounding profane space</w:t>
      </w:r>
      <w:r w:rsidR="003D2A22">
        <w:t xml:space="preserve"> a</w:t>
      </w:r>
      <w:r w:rsidR="00BB4F52">
        <w:t xml:space="preserve">nd crossing that threshold in turn allowed humans to </w:t>
      </w:r>
      <w:r w:rsidR="00617B15">
        <w:t>enter the realm of</w:t>
      </w:r>
      <w:r w:rsidR="00BB4F52">
        <w:t xml:space="preserve"> the sacred.</w:t>
      </w:r>
      <w:r w:rsidR="00617B15">
        <w:rPr>
          <w:rStyle w:val="FootnoteReference"/>
        </w:rPr>
        <w:footnoteReference w:id="35"/>
      </w:r>
      <w:r w:rsidR="003D3C3E">
        <w:t xml:space="preserve">   Unlike Durkheim’s </w:t>
      </w:r>
      <w:r w:rsidR="003F6823">
        <w:t xml:space="preserve">sacred places, Eliade’s </w:t>
      </w:r>
      <w:proofErr w:type="spellStart"/>
      <w:r w:rsidR="003F6823">
        <w:t>hierophanies</w:t>
      </w:r>
      <w:proofErr w:type="spellEnd"/>
      <w:r w:rsidR="003F6823">
        <w:t xml:space="preserve"> did not need to be renewed; they existed regardless of whether they were recognized </w:t>
      </w:r>
      <w:r w:rsidR="006C38BE">
        <w:t>and honored or not.</w:t>
      </w:r>
      <w:r w:rsidR="000D5E26">
        <w:t xml:space="preserve">  </w:t>
      </w:r>
      <w:r w:rsidR="00273C20">
        <w:t xml:space="preserve">This </w:t>
      </w:r>
      <w:proofErr w:type="gramStart"/>
      <w:r w:rsidR="00273C20">
        <w:t>is</w:t>
      </w:r>
      <w:r w:rsidR="004A1A81">
        <w:t>,</w:t>
      </w:r>
      <w:proofErr w:type="gramEnd"/>
      <w:r w:rsidR="004A1A81">
        <w:t xml:space="preserve"> however,</w:t>
      </w:r>
      <w:r w:rsidR="00273C20">
        <w:t xml:space="preserve"> not always how </w:t>
      </w:r>
      <w:r w:rsidR="00410664">
        <w:t xml:space="preserve">built sacred places are </w:t>
      </w:r>
      <w:r w:rsidR="007F64AD">
        <w:t>treated</w:t>
      </w:r>
      <w:r w:rsidR="00410664">
        <w:t xml:space="preserve"> tod</w:t>
      </w:r>
      <w:r w:rsidR="00F16A81">
        <w:t>ay</w:t>
      </w:r>
      <w:r w:rsidR="00410664">
        <w:t xml:space="preserve">.  </w:t>
      </w:r>
      <w:r w:rsidR="00AD3B88">
        <w:t>Jane Hubert</w:t>
      </w:r>
      <w:r w:rsidR="003227DA">
        <w:t xml:space="preserve"> used the example of Christian churches </w:t>
      </w:r>
      <w:r w:rsidR="00410664">
        <w:t>to explain</w:t>
      </w:r>
      <w:r w:rsidR="00DD6DA8">
        <w:t xml:space="preserve"> part of </w:t>
      </w:r>
      <w:r w:rsidR="003227DA">
        <w:t>the di</w:t>
      </w:r>
      <w:r w:rsidR="00F16A81">
        <w:t>vergence of</w:t>
      </w:r>
      <w:r w:rsidR="00737A97">
        <w:t xml:space="preserve"> Western </w:t>
      </w:r>
      <w:proofErr w:type="gramStart"/>
      <w:r w:rsidR="00737A97">
        <w:t>society</w:t>
      </w:r>
      <w:r w:rsidR="00F16A81">
        <w:t>’s</w:t>
      </w:r>
      <w:proofErr w:type="gramEnd"/>
      <w:r w:rsidR="00737A97">
        <w:t xml:space="preserve"> and indigenous peoples</w:t>
      </w:r>
      <w:r w:rsidR="00F16A81">
        <w:t>’</w:t>
      </w:r>
      <w:r w:rsidR="00737A97">
        <w:t xml:space="preserve"> </w:t>
      </w:r>
      <w:r w:rsidR="00F16A81">
        <w:t xml:space="preserve">perceptions of sacred sites </w:t>
      </w:r>
      <w:r w:rsidR="007F64AD">
        <w:t>around the world</w:t>
      </w:r>
      <w:r w:rsidR="00F16A81">
        <w:t>.  I</w:t>
      </w:r>
      <w:r w:rsidR="00737A97">
        <w:t xml:space="preserve">n </w:t>
      </w:r>
      <w:r w:rsidR="00577185">
        <w:t>Christianity</w:t>
      </w:r>
      <w:r w:rsidR="00737A97">
        <w:t xml:space="preserve">, </w:t>
      </w:r>
      <w:r w:rsidR="00E12456">
        <w:t xml:space="preserve">‘it is possible to </w:t>
      </w:r>
      <w:r w:rsidR="00737A97">
        <w:t>deconsecrate</w:t>
      </w:r>
      <w:r w:rsidR="00E12456">
        <w:t xml:space="preserve"> sites</w:t>
      </w:r>
      <w:r w:rsidR="003B634E">
        <w:t>. …</w:t>
      </w:r>
      <w:r w:rsidR="00E12456">
        <w:t xml:space="preserve"> </w:t>
      </w:r>
      <w:proofErr w:type="gramStart"/>
      <w:r w:rsidR="005D26EC">
        <w:t>T</w:t>
      </w:r>
      <w:r w:rsidR="00775319">
        <w:t>hus</w:t>
      </w:r>
      <w:proofErr w:type="gramEnd"/>
      <w:r w:rsidR="00775319">
        <w:t xml:space="preserve"> the sacredness of the church is not something that is inherent in the place itself</w:t>
      </w:r>
      <w:r w:rsidR="0068614E">
        <w:t>.</w:t>
      </w:r>
      <w:r w:rsidR="00E12456">
        <w:t>’</w:t>
      </w:r>
      <w:r w:rsidR="00E12456">
        <w:rPr>
          <w:rStyle w:val="FootnoteReference"/>
        </w:rPr>
        <w:footnoteReference w:id="36"/>
      </w:r>
      <w:r w:rsidR="009F3F16">
        <w:t xml:space="preserve"> </w:t>
      </w:r>
      <w:r w:rsidR="0068614E">
        <w:t xml:space="preserve">This reflects </w:t>
      </w:r>
      <w:r w:rsidR="009F3F16">
        <w:t>a more Dur</w:t>
      </w:r>
      <w:r w:rsidR="00F16A81">
        <w:t>k</w:t>
      </w:r>
      <w:r w:rsidR="009F3F16">
        <w:t xml:space="preserve">heimian way of </w:t>
      </w:r>
      <w:r w:rsidR="00CB21B8">
        <w:t>seeing things</w:t>
      </w:r>
      <w:r w:rsidR="0068614E">
        <w:t xml:space="preserve"> in </w:t>
      </w:r>
      <w:r w:rsidR="00F16A81">
        <w:t xml:space="preserve">Christian </w:t>
      </w:r>
      <w:r w:rsidR="0068614E">
        <w:t>practice</w:t>
      </w:r>
      <w:r w:rsidR="00F16A81">
        <w:t xml:space="preserve">.  It also </w:t>
      </w:r>
      <w:r w:rsidR="00684C45">
        <w:t>runs contrary to indigenous worldviews</w:t>
      </w:r>
      <w:r w:rsidR="00F16A81">
        <w:t>, where a site, particularly a natural site</w:t>
      </w:r>
      <w:r w:rsidR="00577185">
        <w:t>,</w:t>
      </w:r>
      <w:r w:rsidR="00F16A81">
        <w:t xml:space="preserve"> is inherently sacred – </w:t>
      </w:r>
      <w:r w:rsidR="00FC3DD2">
        <w:t>humans</w:t>
      </w:r>
      <w:r w:rsidR="00F16A81">
        <w:t xml:space="preserve"> can</w:t>
      </w:r>
      <w:r w:rsidR="00FC3DD2">
        <w:t>not</w:t>
      </w:r>
      <w:r w:rsidR="00F16A81">
        <w:t xml:space="preserve"> remove that status.</w:t>
      </w:r>
    </w:p>
    <w:p w14:paraId="2C093C0F" w14:textId="01CA560E" w:rsidR="00C06571" w:rsidRPr="00557D58" w:rsidRDefault="00684C45" w:rsidP="00C06571">
      <w:bookmarkStart w:id="8" w:name="_Hlk118917230"/>
      <w:r>
        <w:t>In summary</w:t>
      </w:r>
      <w:r w:rsidR="00702623">
        <w:t xml:space="preserve">, Durkheim and Eliade had </w:t>
      </w:r>
      <w:r w:rsidR="006275FA">
        <w:t>opposing</w:t>
      </w:r>
      <w:r w:rsidR="00702623">
        <w:t xml:space="preserve"> views on how the sacred came into being.  For Durkheim, </w:t>
      </w:r>
      <w:r w:rsidR="00FD7AA1">
        <w:t>the sacred was created by humans to re</w:t>
      </w:r>
      <w:r w:rsidR="00577185">
        <w:t>-</w:t>
      </w:r>
      <w:r w:rsidR="00FD7AA1">
        <w:t>create and remember</w:t>
      </w:r>
      <w:r w:rsidR="006046DC">
        <w:t xml:space="preserve"> collective mental states and was</w:t>
      </w:r>
      <w:r w:rsidR="006275FA">
        <w:t xml:space="preserve"> a necessary social construction.  Eliade, on the other hand, </w:t>
      </w:r>
      <w:r w:rsidR="0028005D">
        <w:t xml:space="preserve">believed that the sacred irrupted out of the surrounding profane and created </w:t>
      </w:r>
      <w:r w:rsidR="003A52AA">
        <w:t xml:space="preserve">orientation points for religious man.  Though </w:t>
      </w:r>
      <w:proofErr w:type="gramStart"/>
      <w:r w:rsidR="003A52AA">
        <w:t>both of them</w:t>
      </w:r>
      <w:proofErr w:type="gramEnd"/>
      <w:r w:rsidR="003A52AA">
        <w:t xml:space="preserve"> described how sacred space could be created through ritual and </w:t>
      </w:r>
      <w:r w:rsidR="000E5827">
        <w:t xml:space="preserve">a separation of the space from the profane, Eliade’s religious man was creating a </w:t>
      </w:r>
      <w:r w:rsidR="00ED34F5">
        <w:t>place for divine communication at</w:t>
      </w:r>
      <w:r w:rsidR="000E5827">
        <w:t xml:space="preserve"> an existing </w:t>
      </w:r>
      <w:proofErr w:type="spellStart"/>
      <w:r w:rsidR="000E5827">
        <w:t>hierophany</w:t>
      </w:r>
      <w:proofErr w:type="spellEnd"/>
      <w:r w:rsidR="000E5827">
        <w:t xml:space="preserve">, whereas Durkheim’s was creating and maintaining </w:t>
      </w:r>
      <w:r w:rsidR="00660A05">
        <w:t>sacred space</w:t>
      </w:r>
      <w:r w:rsidR="000E5827">
        <w:t xml:space="preserve"> from scratch.</w:t>
      </w:r>
    </w:p>
    <w:bookmarkEnd w:id="8"/>
    <w:p w14:paraId="7951D76C" w14:textId="26B9AA4B" w:rsidR="00C06571" w:rsidRDefault="002F6544" w:rsidP="00C06571">
      <w:pPr>
        <w:pStyle w:val="Heading2"/>
      </w:pPr>
      <w:r>
        <w:t>Echoes</w:t>
      </w:r>
    </w:p>
    <w:p w14:paraId="60BCB047" w14:textId="4A5899B3" w:rsidR="00C06571" w:rsidRDefault="00140B4A" w:rsidP="00C06571">
      <w:r>
        <w:t xml:space="preserve">Throughout the literature on </w:t>
      </w:r>
      <w:r w:rsidR="008D26E0">
        <w:t>landscape</w:t>
      </w:r>
      <w:r w:rsidR="00D1137A">
        <w:t xml:space="preserve"> and sacred </w:t>
      </w:r>
      <w:r w:rsidR="000E273A">
        <w:t>place, there are echoes of both Durkheim and Eliade, often in combination.  This is</w:t>
      </w:r>
      <w:r w:rsidR="000A3D1B">
        <w:t xml:space="preserve"> </w:t>
      </w:r>
      <w:r w:rsidR="000E273A">
        <w:t xml:space="preserve">evident in Belden Lane’s </w:t>
      </w:r>
      <w:r w:rsidR="000653C7">
        <w:t>first two</w:t>
      </w:r>
      <w:r w:rsidR="004E5656">
        <w:t xml:space="preserve"> axioms.</w:t>
      </w:r>
      <w:r w:rsidR="000127F8">
        <w:rPr>
          <w:rStyle w:val="FootnoteReference"/>
        </w:rPr>
        <w:footnoteReference w:id="37"/>
      </w:r>
      <w:r w:rsidR="00633A84">
        <w:t xml:space="preserve">  The first, ‘</w:t>
      </w:r>
      <w:r w:rsidR="0096759D">
        <w:t>sacred place is not chosen’</w:t>
      </w:r>
      <w:r w:rsidR="00F47C5C">
        <w:rPr>
          <w:rStyle w:val="FootnoteReference"/>
        </w:rPr>
        <w:footnoteReference w:id="38"/>
      </w:r>
      <w:r w:rsidR="0096759D">
        <w:t xml:space="preserve"> is clearly </w:t>
      </w:r>
      <w:proofErr w:type="spellStart"/>
      <w:r w:rsidR="0096759D">
        <w:t>Eliadian</w:t>
      </w:r>
      <w:proofErr w:type="spellEnd"/>
      <w:r w:rsidR="00EE59DF">
        <w:t>, while the second, ‘</w:t>
      </w:r>
      <w:r w:rsidR="003738D8">
        <w:t>sacred place is ordinary place, ritually made extraordinary</w:t>
      </w:r>
      <w:r w:rsidR="00786F23">
        <w:t>,’</w:t>
      </w:r>
      <w:r w:rsidR="00F47C5C" w:rsidRPr="00F47C5C">
        <w:rPr>
          <w:vertAlign w:val="superscript"/>
        </w:rPr>
        <w:footnoteReference w:id="39"/>
      </w:r>
      <w:r w:rsidR="00786F23">
        <w:t xml:space="preserve"> hearkens back to Durkheim.</w:t>
      </w:r>
      <w:r w:rsidR="00F00F9E">
        <w:t xml:space="preserve">  </w:t>
      </w:r>
      <w:r w:rsidR="005E5D47">
        <w:t xml:space="preserve">Lane brought these seemingly disparate viewpoints </w:t>
      </w:r>
      <w:r w:rsidR="007963D6">
        <w:t>together by concluding that</w:t>
      </w:r>
    </w:p>
    <w:p w14:paraId="450D34A6" w14:textId="3C81FD8E" w:rsidR="007963D6" w:rsidRDefault="00FF337D" w:rsidP="007963D6">
      <w:pPr>
        <w:ind w:left="720"/>
        <w:rPr>
          <w:sz w:val="20"/>
          <w:szCs w:val="20"/>
        </w:rPr>
      </w:pPr>
      <w:r>
        <w:rPr>
          <w:sz w:val="20"/>
          <w:szCs w:val="20"/>
        </w:rPr>
        <w:lastRenderedPageBreak/>
        <w:t xml:space="preserve">Sacred place, we have said, seems to have an unaccountable identity distinct and separate from those who </w:t>
      </w:r>
      <w:r w:rsidR="005548E2">
        <w:rPr>
          <w:sz w:val="20"/>
          <w:szCs w:val="20"/>
        </w:rPr>
        <w:t xml:space="preserve">move in and through it.  Indeed, it appears that, from one point of view, place creates people.  But it is equally the case, from another point of view, that people </w:t>
      </w:r>
      <w:r w:rsidR="00E6300C">
        <w:rPr>
          <w:sz w:val="20"/>
          <w:szCs w:val="20"/>
        </w:rPr>
        <w:t xml:space="preserve">create place.  We form significant locales out of our memories, our relationships with others, </w:t>
      </w:r>
      <w:r w:rsidR="00D20DB0">
        <w:rPr>
          <w:sz w:val="20"/>
          <w:szCs w:val="20"/>
        </w:rPr>
        <w:t>a whole network of associations sacred and profane.</w:t>
      </w:r>
      <w:r w:rsidR="00A6640B">
        <w:rPr>
          <w:rStyle w:val="FootnoteReference"/>
          <w:sz w:val="20"/>
          <w:szCs w:val="20"/>
        </w:rPr>
        <w:footnoteReference w:id="40"/>
      </w:r>
    </w:p>
    <w:p w14:paraId="01A0821A" w14:textId="74CB22CA" w:rsidR="00FA29C0" w:rsidRDefault="00FA29C0" w:rsidP="00FA29C0">
      <w:r>
        <w:t xml:space="preserve">Catherine Allerton expressed a similar view when she </w:t>
      </w:r>
      <w:r w:rsidR="001B5658">
        <w:t xml:space="preserve">stated that landscape is neither purely natural or social, but rather </w:t>
      </w:r>
      <w:r w:rsidR="001E452C">
        <w:t xml:space="preserve">‘a historical process of interaction between people and the environment in </w:t>
      </w:r>
      <w:r w:rsidR="00A21142">
        <w:t>which both are shaped.’</w:t>
      </w:r>
      <w:r w:rsidR="00A21142">
        <w:rPr>
          <w:rStyle w:val="FootnoteReference"/>
        </w:rPr>
        <w:footnoteReference w:id="41"/>
      </w:r>
      <w:r w:rsidR="005033BD">
        <w:t xml:space="preserve">  </w:t>
      </w:r>
      <w:r w:rsidR="003B5FD1">
        <w:t>Her des</w:t>
      </w:r>
      <w:r w:rsidR="000248A8">
        <w:t xml:space="preserve">cription of </w:t>
      </w:r>
      <w:r w:rsidR="009843E8">
        <w:t xml:space="preserve">spirit landscapes as </w:t>
      </w:r>
      <w:r w:rsidR="00F75D2F">
        <w:t xml:space="preserve">having ‘mysterious realms </w:t>
      </w:r>
      <w:r w:rsidR="002429DE">
        <w:t>lying beyond, behind or immanent within the visible earth</w:t>
      </w:r>
      <w:r w:rsidR="000248A8">
        <w:t>,’</w:t>
      </w:r>
      <w:r w:rsidR="000248A8">
        <w:rPr>
          <w:rStyle w:val="FootnoteReference"/>
        </w:rPr>
        <w:footnoteReference w:id="42"/>
      </w:r>
      <w:r w:rsidR="000248A8">
        <w:t xml:space="preserve"> is reminiscent of Eliade’s </w:t>
      </w:r>
      <w:proofErr w:type="spellStart"/>
      <w:r w:rsidR="000248A8">
        <w:t>hierophanies</w:t>
      </w:r>
      <w:proofErr w:type="spellEnd"/>
      <w:r w:rsidR="00191E69">
        <w:t xml:space="preserve">, while her admonition that researchers should </w:t>
      </w:r>
      <w:r w:rsidR="0083457A">
        <w:t xml:space="preserve">respect the local people’s claims </w:t>
      </w:r>
      <w:r w:rsidR="00892733">
        <w:t>of agency in relation to their landscapes</w:t>
      </w:r>
      <w:r w:rsidR="009F147C">
        <w:rPr>
          <w:rStyle w:val="FootnoteReference"/>
        </w:rPr>
        <w:footnoteReference w:id="43"/>
      </w:r>
      <w:r w:rsidR="00892733">
        <w:t xml:space="preserve"> is supported by Durkheim’s view that no religion is false.</w:t>
      </w:r>
    </w:p>
    <w:p w14:paraId="77A8B7D2" w14:textId="7FEF466F" w:rsidR="003D47CB" w:rsidRDefault="003D47CB" w:rsidP="003D47CB">
      <w:r>
        <w:t xml:space="preserve">There are, however, some writers who seem to resonate more with Durkheim’s views on the socially driven creation of the sacred, especially his view that </w:t>
      </w:r>
    </w:p>
    <w:p w14:paraId="1EA0FDE9" w14:textId="77777777" w:rsidR="003D47CB" w:rsidRDefault="003D47CB" w:rsidP="003D47CB">
      <w:pPr>
        <w:ind w:left="720"/>
        <w:rPr>
          <w:sz w:val="20"/>
          <w:szCs w:val="20"/>
        </w:rPr>
      </w:pPr>
      <w:r>
        <w:rPr>
          <w:sz w:val="20"/>
          <w:szCs w:val="20"/>
        </w:rPr>
        <w:t xml:space="preserve">Collective representations are the product of an immense cooperation that extends not only through space, but also through time; to make them a multitude of different minds have associated, </w:t>
      </w:r>
      <w:proofErr w:type="gramStart"/>
      <w:r>
        <w:rPr>
          <w:sz w:val="20"/>
          <w:szCs w:val="20"/>
        </w:rPr>
        <w:t>intermixed</w:t>
      </w:r>
      <w:proofErr w:type="gramEnd"/>
      <w:r>
        <w:rPr>
          <w:sz w:val="20"/>
          <w:szCs w:val="20"/>
        </w:rPr>
        <w:t xml:space="preserve"> and combined their ideas and feelings; long generations have accumulated their experience and knowledge.</w:t>
      </w:r>
      <w:r>
        <w:rPr>
          <w:rStyle w:val="FootnoteReference"/>
          <w:sz w:val="20"/>
          <w:szCs w:val="20"/>
        </w:rPr>
        <w:footnoteReference w:id="44"/>
      </w:r>
    </w:p>
    <w:p w14:paraId="2139889F" w14:textId="2FA6DB18" w:rsidR="003D47CB" w:rsidRDefault="003D47CB" w:rsidP="003D47CB">
      <w:r>
        <w:t xml:space="preserve">Robert </w:t>
      </w:r>
      <w:proofErr w:type="spellStart"/>
      <w:r>
        <w:t>Trubshaw</w:t>
      </w:r>
      <w:proofErr w:type="spellEnd"/>
      <w:r>
        <w:t xml:space="preserve"> talked about this layering of memory by pointing out that landscapes derive their importance to us by the meanings we impart to them, not the physical features of the place itself.</w:t>
      </w:r>
      <w:r>
        <w:rPr>
          <w:rStyle w:val="FootnoteReference"/>
        </w:rPr>
        <w:footnoteReference w:id="45"/>
      </w:r>
      <w:r>
        <w:t xml:space="preserve">  As Durkheim described, these meanings can carryover through multiple generations and are layered with myth, feeling and memory.  Simon </w:t>
      </w:r>
      <w:proofErr w:type="spellStart"/>
      <w:r>
        <w:t>Scharma</w:t>
      </w:r>
      <w:proofErr w:type="spellEnd"/>
      <w:r>
        <w:t xml:space="preserve"> illustrated this point by </w:t>
      </w:r>
      <w:r w:rsidR="00D74FB7">
        <w:t>proposing that Western society might not need new nature myths so much as a return to the old ones.</w:t>
      </w:r>
      <w:r w:rsidR="00D74FB7">
        <w:rPr>
          <w:rStyle w:val="FootnoteReference"/>
        </w:rPr>
        <w:footnoteReference w:id="46"/>
      </w:r>
      <w:r w:rsidR="00D74FB7">
        <w:t xml:space="preserve">  Co</w:t>
      </w:r>
      <w:r>
        <w:t xml:space="preserve">ntrary to the common belief that </w:t>
      </w:r>
      <w:r w:rsidR="00D74FB7">
        <w:t>‘</w:t>
      </w:r>
      <w:r>
        <w:t xml:space="preserve">Western society has </w:t>
      </w:r>
      <w:r w:rsidR="00D74FB7">
        <w:t>evolved by sloughing off its nature myths</w:t>
      </w:r>
      <w:r>
        <w:t>,</w:t>
      </w:r>
      <w:r w:rsidR="000E5824">
        <w:t>’ he asserted</w:t>
      </w:r>
      <w:r w:rsidR="00727D8E">
        <w:t>,</w:t>
      </w:r>
      <w:r>
        <w:t xml:space="preserve"> </w:t>
      </w:r>
      <w:r w:rsidR="00727D8E">
        <w:t>‘</w:t>
      </w:r>
      <w:r>
        <w:t xml:space="preserve">they </w:t>
      </w:r>
      <w:r w:rsidR="00D74FB7">
        <w:t xml:space="preserve">have, in fact, never gone away. … </w:t>
      </w:r>
      <w:r>
        <w:t>our entire landscape tradition is the product of shared culture.’</w:t>
      </w:r>
      <w:r>
        <w:rPr>
          <w:rStyle w:val="FootnoteReference"/>
        </w:rPr>
        <w:footnoteReference w:id="47"/>
      </w:r>
      <w:r w:rsidR="003933AE">
        <w:t xml:space="preserve">  By reviving these old myths, Western culture might end up closer to indigenous cultures in its view of sacred space than is currently the case.</w:t>
      </w:r>
    </w:p>
    <w:p w14:paraId="2D36F14E" w14:textId="23B3A2FA" w:rsidR="0039057C" w:rsidRPr="00E23108" w:rsidRDefault="0039057C" w:rsidP="00E23108">
      <w:bookmarkStart w:id="11" w:name="_Hlk118921137"/>
      <w:r>
        <w:t xml:space="preserve">The work of </w:t>
      </w:r>
      <w:r w:rsidR="00145F34">
        <w:t>Durkheim and Eliade continue</w:t>
      </w:r>
      <w:r w:rsidR="004948A9">
        <w:t>s</w:t>
      </w:r>
      <w:r w:rsidR="00145F34">
        <w:t xml:space="preserve"> to inform discussion around sacred place</w:t>
      </w:r>
      <w:r w:rsidR="00D74FB7">
        <w:t xml:space="preserve">s and landscapes </w:t>
      </w:r>
      <w:r w:rsidR="00145F34">
        <w:t xml:space="preserve">and how </w:t>
      </w:r>
      <w:r w:rsidR="00C12FEC">
        <w:t>they are</w:t>
      </w:r>
      <w:r w:rsidR="00145F34">
        <w:t xml:space="preserve"> ex</w:t>
      </w:r>
      <w:r w:rsidR="00C12FEC">
        <w:t xml:space="preserve">perienced or created.  Though they took different approaches to the subject, their ideas </w:t>
      </w:r>
      <w:r w:rsidR="0048771A">
        <w:t xml:space="preserve">can be seen as complementary and are still relevant in the exploration of </w:t>
      </w:r>
      <w:r w:rsidR="002064E0">
        <w:t xml:space="preserve">not only the study of religion, but also the determination of what is sacred, who gets to determine </w:t>
      </w:r>
      <w:r w:rsidR="003933AE">
        <w:t>what is sacred</w:t>
      </w:r>
      <w:r w:rsidR="002064E0">
        <w:t xml:space="preserve"> and how conflicts in perception </w:t>
      </w:r>
      <w:r w:rsidR="003933AE">
        <w:t xml:space="preserve">of sacred space </w:t>
      </w:r>
      <w:r w:rsidR="002064E0">
        <w:t xml:space="preserve">can be </w:t>
      </w:r>
      <w:r w:rsidR="003A4614">
        <w:t>understood</w:t>
      </w:r>
      <w:r w:rsidR="003933AE">
        <w:t xml:space="preserve"> and possibly resolved</w:t>
      </w:r>
      <w:r w:rsidR="003A4614">
        <w:t>.</w:t>
      </w:r>
    </w:p>
    <w:bookmarkEnd w:id="11"/>
    <w:p w14:paraId="41C37068" w14:textId="77777777" w:rsidR="00C06571" w:rsidRDefault="00C06571" w:rsidP="00C06571">
      <w:pPr>
        <w:pStyle w:val="Heading1"/>
      </w:pPr>
      <w:r>
        <w:lastRenderedPageBreak/>
        <w:t>Conclusion</w:t>
      </w:r>
    </w:p>
    <w:p w14:paraId="37BF71F7" w14:textId="0690E1B7" w:rsidR="0079061A" w:rsidRDefault="00B80A50" w:rsidP="0079061A">
      <w:r>
        <w:t xml:space="preserve">Writing about </w:t>
      </w:r>
      <w:r w:rsidR="004948A9">
        <w:t>45</w:t>
      </w:r>
      <w:r>
        <w:t xml:space="preserve"> years apart,</w:t>
      </w:r>
      <w:r w:rsidR="0079061A">
        <w:t xml:space="preserve"> Durkheim and Eliade </w:t>
      </w:r>
      <w:r w:rsidR="004948A9">
        <w:t>present</w:t>
      </w:r>
      <w:r w:rsidR="0079061A">
        <w:t>e</w:t>
      </w:r>
      <w:r>
        <w:t>d</w:t>
      </w:r>
      <w:r w:rsidR="0079061A">
        <w:t xml:space="preserve"> </w:t>
      </w:r>
      <w:r>
        <w:t>their explanation</w:t>
      </w:r>
      <w:r w:rsidR="004948A9">
        <w:t>s</w:t>
      </w:r>
      <w:r w:rsidR="0079061A">
        <w:t xml:space="preserve"> of the sacred</w:t>
      </w:r>
      <w:r>
        <w:t xml:space="preserve"> and the profane quite differently.</w:t>
      </w:r>
      <w:r w:rsidR="0079061A">
        <w:t xml:space="preserve">  Durkheim</w:t>
      </w:r>
      <w:r>
        <w:t xml:space="preserve"> modeled his study on the </w:t>
      </w:r>
      <w:r w:rsidR="0079061A">
        <w:t xml:space="preserve">scientific </w:t>
      </w:r>
      <w:r>
        <w:t xml:space="preserve">method to create a compelling </w:t>
      </w:r>
      <w:r w:rsidR="0079061A">
        <w:t>case</w:t>
      </w:r>
      <w:r>
        <w:t xml:space="preserve"> for how the sacred comes into being while </w:t>
      </w:r>
      <w:r w:rsidR="0079061A">
        <w:t>Eliade put forth a philosophical argument</w:t>
      </w:r>
      <w:r>
        <w:t xml:space="preserve"> on the nature of the sacred itself</w:t>
      </w:r>
      <w:r w:rsidR="0079061A">
        <w:t>.</w:t>
      </w:r>
    </w:p>
    <w:p w14:paraId="6337920A" w14:textId="5F43FBEF" w:rsidR="0079061A" w:rsidRPr="00557D58" w:rsidRDefault="004948A9" w:rsidP="0079061A">
      <w:r>
        <w:t>In addition to methodological differences</w:t>
      </w:r>
      <w:r w:rsidR="0079061A">
        <w:t xml:space="preserve">, Durkheim and Eliade </w:t>
      </w:r>
      <w:r>
        <w:t xml:space="preserve">also diverged </w:t>
      </w:r>
      <w:r w:rsidR="0079061A">
        <w:t xml:space="preserve">on how the sacred </w:t>
      </w:r>
      <w:proofErr w:type="spellStart"/>
      <w:r>
        <w:t>occur</w:t>
      </w:r>
      <w:r w:rsidR="00FC3DD2">
        <w:t>ed</w:t>
      </w:r>
      <w:proofErr w:type="spellEnd"/>
      <w:r w:rsidR="0079061A">
        <w:t>.  Durkheim</w:t>
      </w:r>
      <w:r>
        <w:t xml:space="preserve"> argued that</w:t>
      </w:r>
      <w:r w:rsidR="0079061A">
        <w:t xml:space="preserve"> the sacred </w:t>
      </w:r>
      <w:r w:rsidR="00FC3DD2">
        <w:t>was</w:t>
      </w:r>
      <w:r w:rsidR="0079061A">
        <w:t xml:space="preserve"> created by </w:t>
      </w:r>
      <w:r>
        <w:t xml:space="preserve">humans as a </w:t>
      </w:r>
      <w:r w:rsidR="0079061A">
        <w:t>social construc</w:t>
      </w:r>
      <w:r w:rsidR="003933AE">
        <w:t>t</w:t>
      </w:r>
      <w:r w:rsidR="0079061A">
        <w:t>.  Eliade, on the other hand, believed that the sacred irrupt</w:t>
      </w:r>
      <w:r w:rsidR="00FC3DD2">
        <w:t>ed</w:t>
      </w:r>
      <w:r w:rsidR="0079061A">
        <w:t xml:space="preserve"> out of the profane and creat</w:t>
      </w:r>
      <w:r w:rsidR="00FC3DD2">
        <w:t>ed</w:t>
      </w:r>
      <w:r w:rsidR="0079061A">
        <w:t xml:space="preserve"> </w:t>
      </w:r>
      <w:r>
        <w:t xml:space="preserve">central </w:t>
      </w:r>
      <w:r w:rsidR="0079061A">
        <w:t>points</w:t>
      </w:r>
      <w:r>
        <w:t xml:space="preserve"> of orientation</w:t>
      </w:r>
      <w:r w:rsidR="0079061A">
        <w:t xml:space="preserve">.  Though </w:t>
      </w:r>
      <w:r>
        <w:t>they agreed that</w:t>
      </w:r>
      <w:r w:rsidR="0079061A">
        <w:t xml:space="preserve"> sacred space could be created </w:t>
      </w:r>
      <w:r>
        <w:t xml:space="preserve">and strengthened </w:t>
      </w:r>
      <w:r w:rsidR="0079061A">
        <w:t xml:space="preserve">through ritual, Eliade </w:t>
      </w:r>
      <w:r>
        <w:t>believed the space was built around a</w:t>
      </w:r>
      <w:r w:rsidR="0079061A">
        <w:t xml:space="preserve">n existing </w:t>
      </w:r>
      <w:proofErr w:type="spellStart"/>
      <w:r w:rsidR="0079061A">
        <w:t>hierophany</w:t>
      </w:r>
      <w:proofErr w:type="spellEnd"/>
      <w:r w:rsidR="0079061A">
        <w:t>, whereas Durkheim</w:t>
      </w:r>
      <w:r>
        <w:t xml:space="preserve"> </w:t>
      </w:r>
      <w:r w:rsidR="003933AE">
        <w:t xml:space="preserve">theorized </w:t>
      </w:r>
      <w:r>
        <w:t xml:space="preserve">that it was entirely </w:t>
      </w:r>
      <w:r w:rsidR="0079061A">
        <w:t>creat</w:t>
      </w:r>
      <w:r>
        <w:t>ed by man.</w:t>
      </w:r>
    </w:p>
    <w:p w14:paraId="41E0ECDA" w14:textId="77C4B4A8" w:rsidR="003A4614" w:rsidRPr="00E23108" w:rsidRDefault="003A4614" w:rsidP="003A4614">
      <w:r>
        <w:t>Th</w:t>
      </w:r>
      <w:r w:rsidR="004948A9">
        <w:t>ese opposing views of</w:t>
      </w:r>
      <w:r>
        <w:t xml:space="preserve"> Durkheim and Eliade continue to </w:t>
      </w:r>
      <w:r w:rsidR="004948A9">
        <w:t xml:space="preserve">be relevant and provide context to the creation and recognition of </w:t>
      </w:r>
      <w:r>
        <w:t>sacred place</w:t>
      </w:r>
      <w:r w:rsidR="004948A9">
        <w:t>s</w:t>
      </w:r>
      <w:r>
        <w:t xml:space="preserve"> </w:t>
      </w:r>
      <w:r w:rsidR="004948A9">
        <w:t>today</w:t>
      </w:r>
      <w:r>
        <w:t xml:space="preserve">.  </w:t>
      </w:r>
      <w:r w:rsidR="004948A9">
        <w:t xml:space="preserve">A combination of their ideas, such as Lane’s four axioms can be useful to expand thinking around </w:t>
      </w:r>
      <w:r>
        <w:t>what is sacred</w:t>
      </w:r>
      <w:r w:rsidR="003933AE">
        <w:t>.  It can also</w:t>
      </w:r>
      <w:r w:rsidR="004948A9">
        <w:t xml:space="preserve"> help us </w:t>
      </w:r>
      <w:r w:rsidR="003933AE">
        <w:t xml:space="preserve">to </w:t>
      </w:r>
      <w:r w:rsidR="007B25E3">
        <w:t xml:space="preserve">understand </w:t>
      </w:r>
      <w:r w:rsidR="003933AE">
        <w:t>the</w:t>
      </w:r>
      <w:r w:rsidR="00706007">
        <w:t xml:space="preserve"> </w:t>
      </w:r>
      <w:r w:rsidR="003933AE">
        <w:t>sometimes conflicting</w:t>
      </w:r>
      <w:r w:rsidR="007B25E3">
        <w:t xml:space="preserve"> perceptions of sacred space </w:t>
      </w:r>
      <w:r w:rsidR="003933AE">
        <w:t>between</w:t>
      </w:r>
      <w:r w:rsidR="00693E39">
        <w:t xml:space="preserve"> </w:t>
      </w:r>
      <w:r w:rsidR="003933AE">
        <w:t xml:space="preserve">Western </w:t>
      </w:r>
      <w:r w:rsidR="00693E39">
        <w:t>society</w:t>
      </w:r>
      <w:r w:rsidR="003933AE">
        <w:t xml:space="preserve"> and</w:t>
      </w:r>
      <w:r w:rsidR="00693E39">
        <w:t xml:space="preserve"> </w:t>
      </w:r>
      <w:r w:rsidR="003933AE">
        <w:t xml:space="preserve">indigenous cultures </w:t>
      </w:r>
      <w:r w:rsidR="00904048">
        <w:t>and</w:t>
      </w:r>
      <w:r w:rsidR="003933AE">
        <w:t xml:space="preserve"> creat</w:t>
      </w:r>
      <w:r w:rsidR="007B25E3">
        <w:t xml:space="preserve">e </w:t>
      </w:r>
      <w:r w:rsidR="003933AE">
        <w:t xml:space="preserve">better </w:t>
      </w:r>
      <w:r w:rsidR="007B25E3">
        <w:t>unders</w:t>
      </w:r>
      <w:r w:rsidR="003933AE">
        <w:t>tanding, which</w:t>
      </w:r>
      <w:r w:rsidR="00FC3DD2">
        <w:t>,</w:t>
      </w:r>
      <w:r w:rsidR="003933AE">
        <w:t xml:space="preserve"> in turn</w:t>
      </w:r>
      <w:r w:rsidR="00FC3DD2">
        <w:t>,</w:t>
      </w:r>
      <w:r w:rsidR="003933AE">
        <w:t xml:space="preserve"> could lead to more harmonious re</w:t>
      </w:r>
      <w:r w:rsidR="00693E39">
        <w:t>la</w:t>
      </w:r>
      <w:r w:rsidR="003933AE">
        <w:t>tions and collaborations</w:t>
      </w:r>
      <w:r w:rsidR="007B25E3">
        <w:t>.</w:t>
      </w:r>
      <w:r w:rsidR="003933AE">
        <w:t xml:space="preserve">  </w:t>
      </w:r>
    </w:p>
    <w:p w14:paraId="2209449D" w14:textId="77777777" w:rsidR="0079061A" w:rsidRPr="00C27CCE" w:rsidRDefault="0079061A" w:rsidP="0079061A"/>
    <w:p w14:paraId="01BC0CBE" w14:textId="48052A91" w:rsidR="00C06571" w:rsidRPr="00914F59" w:rsidRDefault="00C06571" w:rsidP="00C06571">
      <w:pPr>
        <w:rPr>
          <w:i/>
          <w:iCs/>
          <w:color w:val="7030A0"/>
        </w:rPr>
      </w:pPr>
      <w:r>
        <w:br w:type="page"/>
      </w:r>
    </w:p>
    <w:p w14:paraId="26418907" w14:textId="77777777" w:rsidR="00C06571" w:rsidRDefault="00C06571" w:rsidP="00C06571">
      <w:pPr>
        <w:pStyle w:val="Heading1"/>
      </w:pPr>
      <w:r>
        <w:lastRenderedPageBreak/>
        <w:t>Resources</w:t>
      </w:r>
    </w:p>
    <w:p w14:paraId="0D3970F0" w14:textId="1EDF0980" w:rsidR="00B0775D" w:rsidRDefault="00BA4CDE" w:rsidP="00C06571">
      <w:bookmarkStart w:id="12" w:name="_Hlk118920446"/>
      <w:r>
        <w:t xml:space="preserve">Allerton, Catherine, ‘Introduction: Spiritual Landscapes </w:t>
      </w:r>
      <w:proofErr w:type="gramStart"/>
      <w:r>
        <w:t>Of</w:t>
      </w:r>
      <w:proofErr w:type="gramEnd"/>
      <w:r>
        <w:t xml:space="preserve"> Southeast Asia</w:t>
      </w:r>
      <w:r w:rsidR="0075562A">
        <w:t xml:space="preserve">’, </w:t>
      </w:r>
      <w:r w:rsidR="0075562A">
        <w:rPr>
          <w:i/>
          <w:iCs/>
        </w:rPr>
        <w:t xml:space="preserve">Anthropological Forum, </w:t>
      </w:r>
      <w:r w:rsidR="0075562A">
        <w:t>19.3 (2009),</w:t>
      </w:r>
      <w:bookmarkEnd w:id="12"/>
      <w:r w:rsidR="0075562A">
        <w:t xml:space="preserve"> </w:t>
      </w:r>
      <w:r w:rsidR="006E1415">
        <w:t>235-251</w:t>
      </w:r>
    </w:p>
    <w:p w14:paraId="5FB6D194" w14:textId="182716F6" w:rsidR="00266E09" w:rsidRPr="0075562A" w:rsidRDefault="00266E09" w:rsidP="00C06571">
      <w:r w:rsidRPr="00266E09">
        <w:t>Brady</w:t>
      </w:r>
      <w:r w:rsidR="00BF022B">
        <w:t>, Bernadette</w:t>
      </w:r>
      <w:r w:rsidRPr="00266E09">
        <w:t xml:space="preserve">, </w:t>
      </w:r>
      <w:r w:rsidRPr="00266E09">
        <w:rPr>
          <w:i/>
          <w:iCs/>
        </w:rPr>
        <w:t>Émile Durkheim and Mi</w:t>
      </w:r>
      <w:r w:rsidR="00BF022B">
        <w:rPr>
          <w:i/>
          <w:iCs/>
        </w:rPr>
        <w:t>r</w:t>
      </w:r>
      <w:r w:rsidRPr="00266E09">
        <w:rPr>
          <w:i/>
          <w:iCs/>
        </w:rPr>
        <w:t xml:space="preserve">cea Eliade </w:t>
      </w:r>
      <w:r w:rsidRPr="00266E09">
        <w:t>[</w:t>
      </w:r>
      <w:r w:rsidRPr="00266E09">
        <w:rPr>
          <w:i/>
          <w:iCs/>
        </w:rPr>
        <w:t xml:space="preserve">PowerPoint </w:t>
      </w:r>
      <w:r w:rsidRPr="00266E09">
        <w:t xml:space="preserve">presentation] </w:t>
      </w:r>
      <w:r w:rsidRPr="00266E09">
        <w:rPr>
          <w:i/>
          <w:iCs/>
        </w:rPr>
        <w:t xml:space="preserve">HPCA7014: Sacred Geography. </w:t>
      </w:r>
      <w:r w:rsidRPr="00266E09">
        <w:t>(University of Wales Trinity Saint David, 2020)</w:t>
      </w:r>
    </w:p>
    <w:p w14:paraId="1C7C359D" w14:textId="61CC12B8" w:rsidR="00C06571" w:rsidRPr="003F2B7B" w:rsidRDefault="00716D87" w:rsidP="00C06571">
      <w:pPr>
        <w:pStyle w:val="FootnoteText"/>
        <w:rPr>
          <w:sz w:val="22"/>
          <w:szCs w:val="22"/>
        </w:rPr>
      </w:pPr>
      <w:bookmarkStart w:id="13" w:name="_Hlk118905883"/>
      <w:r>
        <w:rPr>
          <w:sz w:val="22"/>
          <w:szCs w:val="22"/>
        </w:rPr>
        <w:t xml:space="preserve">Casey, Edward S., </w:t>
      </w:r>
      <w:r>
        <w:rPr>
          <w:i/>
          <w:iCs/>
          <w:sz w:val="22"/>
          <w:szCs w:val="22"/>
        </w:rPr>
        <w:t xml:space="preserve">The Fate </w:t>
      </w:r>
      <w:proofErr w:type="gramStart"/>
      <w:r>
        <w:rPr>
          <w:i/>
          <w:iCs/>
          <w:sz w:val="22"/>
          <w:szCs w:val="22"/>
        </w:rPr>
        <w:t>Of</w:t>
      </w:r>
      <w:proofErr w:type="gramEnd"/>
      <w:r>
        <w:rPr>
          <w:i/>
          <w:iCs/>
          <w:sz w:val="22"/>
          <w:szCs w:val="22"/>
        </w:rPr>
        <w:t xml:space="preserve"> Place: A Philosophical History</w:t>
      </w:r>
      <w:r w:rsidR="00C06571" w:rsidRPr="003F2B7B">
        <w:rPr>
          <w:i/>
          <w:iCs/>
          <w:sz w:val="22"/>
          <w:szCs w:val="22"/>
        </w:rPr>
        <w:t xml:space="preserve"> </w:t>
      </w:r>
      <w:r w:rsidR="00C06571" w:rsidRPr="003F2B7B">
        <w:rPr>
          <w:sz w:val="22"/>
          <w:szCs w:val="22"/>
        </w:rPr>
        <w:t>(</w:t>
      </w:r>
      <w:r>
        <w:rPr>
          <w:sz w:val="22"/>
          <w:szCs w:val="22"/>
        </w:rPr>
        <w:t>Berkeley</w:t>
      </w:r>
      <w:r w:rsidR="00C06571" w:rsidRPr="003F2B7B">
        <w:rPr>
          <w:sz w:val="22"/>
          <w:szCs w:val="22"/>
        </w:rPr>
        <w:t xml:space="preserve">, University of </w:t>
      </w:r>
      <w:r>
        <w:rPr>
          <w:sz w:val="22"/>
          <w:szCs w:val="22"/>
        </w:rPr>
        <w:t>California Press</w:t>
      </w:r>
      <w:r w:rsidR="00C06571" w:rsidRPr="003F2B7B">
        <w:rPr>
          <w:sz w:val="22"/>
          <w:szCs w:val="22"/>
        </w:rPr>
        <w:t>, 19</w:t>
      </w:r>
      <w:r>
        <w:rPr>
          <w:sz w:val="22"/>
          <w:szCs w:val="22"/>
        </w:rPr>
        <w:t>98</w:t>
      </w:r>
      <w:bookmarkEnd w:id="13"/>
      <w:r w:rsidR="00C06571" w:rsidRPr="003F2B7B">
        <w:rPr>
          <w:sz w:val="22"/>
          <w:szCs w:val="22"/>
        </w:rPr>
        <w:t>)</w:t>
      </w:r>
    </w:p>
    <w:p w14:paraId="64218FD1" w14:textId="77777777" w:rsidR="00C06571" w:rsidRDefault="00C06571" w:rsidP="00C06571">
      <w:pPr>
        <w:pStyle w:val="FootnoteText"/>
        <w:rPr>
          <w:sz w:val="22"/>
          <w:szCs w:val="22"/>
        </w:rPr>
      </w:pPr>
    </w:p>
    <w:p w14:paraId="76971F36" w14:textId="58B32AC7" w:rsidR="00C06571" w:rsidRDefault="00716D87" w:rsidP="00C06571">
      <w:pPr>
        <w:pStyle w:val="FootnoteText"/>
        <w:rPr>
          <w:sz w:val="22"/>
          <w:szCs w:val="22"/>
        </w:rPr>
      </w:pPr>
      <w:bookmarkStart w:id="14" w:name="_Hlk118885025"/>
      <w:r>
        <w:rPr>
          <w:sz w:val="22"/>
          <w:szCs w:val="22"/>
        </w:rPr>
        <w:t xml:space="preserve">Durkheim, </w:t>
      </w:r>
      <w:r w:rsidR="000C7982">
        <w:rPr>
          <w:rFonts w:cstheme="minorHAnsi"/>
          <w:sz w:val="22"/>
          <w:szCs w:val="22"/>
        </w:rPr>
        <w:t>É</w:t>
      </w:r>
      <w:r>
        <w:rPr>
          <w:sz w:val="22"/>
          <w:szCs w:val="22"/>
        </w:rPr>
        <w:t>mile</w:t>
      </w:r>
      <w:r w:rsidR="00C06571" w:rsidRPr="00933C83">
        <w:rPr>
          <w:sz w:val="22"/>
          <w:szCs w:val="22"/>
        </w:rPr>
        <w:t xml:space="preserve">, </w:t>
      </w:r>
      <w:r>
        <w:rPr>
          <w:i/>
          <w:iCs/>
          <w:sz w:val="22"/>
          <w:szCs w:val="22"/>
        </w:rPr>
        <w:t xml:space="preserve">The Elementary Forms </w:t>
      </w:r>
      <w:proofErr w:type="gramStart"/>
      <w:r>
        <w:rPr>
          <w:i/>
          <w:iCs/>
          <w:sz w:val="22"/>
          <w:szCs w:val="22"/>
        </w:rPr>
        <w:t>Of</w:t>
      </w:r>
      <w:proofErr w:type="gramEnd"/>
      <w:r>
        <w:rPr>
          <w:i/>
          <w:iCs/>
          <w:sz w:val="22"/>
          <w:szCs w:val="22"/>
        </w:rPr>
        <w:t xml:space="preserve"> Religious Life</w:t>
      </w:r>
      <w:r w:rsidR="00C06571" w:rsidRPr="00933C83">
        <w:rPr>
          <w:sz w:val="22"/>
          <w:szCs w:val="22"/>
        </w:rPr>
        <w:t xml:space="preserve"> (</w:t>
      </w:r>
      <w:r>
        <w:rPr>
          <w:sz w:val="22"/>
          <w:szCs w:val="22"/>
        </w:rPr>
        <w:t>New York</w:t>
      </w:r>
      <w:r w:rsidR="00C06571" w:rsidRPr="00933C83">
        <w:rPr>
          <w:sz w:val="22"/>
          <w:szCs w:val="22"/>
        </w:rPr>
        <w:t xml:space="preserve">: </w:t>
      </w:r>
      <w:r>
        <w:rPr>
          <w:sz w:val="22"/>
          <w:szCs w:val="22"/>
        </w:rPr>
        <w:t>The Free</w:t>
      </w:r>
      <w:r w:rsidR="00C06571" w:rsidRPr="00933C83">
        <w:rPr>
          <w:sz w:val="22"/>
          <w:szCs w:val="22"/>
        </w:rPr>
        <w:t xml:space="preserve"> Press, 1995</w:t>
      </w:r>
      <w:bookmarkEnd w:id="14"/>
      <w:r w:rsidR="00C06571" w:rsidRPr="00933C83">
        <w:rPr>
          <w:sz w:val="22"/>
          <w:szCs w:val="22"/>
        </w:rPr>
        <w:t>)</w:t>
      </w:r>
    </w:p>
    <w:p w14:paraId="1E95561A" w14:textId="77777777" w:rsidR="00C06571" w:rsidRDefault="00C06571" w:rsidP="00C06571">
      <w:pPr>
        <w:pStyle w:val="FootnoteText"/>
        <w:rPr>
          <w:sz w:val="22"/>
          <w:szCs w:val="22"/>
        </w:rPr>
      </w:pPr>
    </w:p>
    <w:p w14:paraId="015A54EE" w14:textId="11101149" w:rsidR="00C06571" w:rsidRPr="00C3482A" w:rsidRDefault="000963D4" w:rsidP="00C06571">
      <w:pPr>
        <w:pStyle w:val="FootnoteText"/>
        <w:rPr>
          <w:sz w:val="22"/>
          <w:szCs w:val="22"/>
        </w:rPr>
      </w:pPr>
      <w:r>
        <w:rPr>
          <w:sz w:val="22"/>
          <w:szCs w:val="22"/>
        </w:rPr>
        <w:t>Fields, Karen E.</w:t>
      </w:r>
      <w:r w:rsidR="00C06571">
        <w:rPr>
          <w:sz w:val="22"/>
          <w:szCs w:val="22"/>
        </w:rPr>
        <w:t>,</w:t>
      </w:r>
      <w:r w:rsidR="00C06571" w:rsidRPr="009024BF">
        <w:rPr>
          <w:sz w:val="22"/>
          <w:szCs w:val="22"/>
        </w:rPr>
        <w:t xml:space="preserve"> </w:t>
      </w:r>
      <w:r>
        <w:rPr>
          <w:sz w:val="22"/>
          <w:szCs w:val="22"/>
        </w:rPr>
        <w:t xml:space="preserve">‘Translator’s Introduction:  Religion </w:t>
      </w:r>
      <w:proofErr w:type="gramStart"/>
      <w:r>
        <w:rPr>
          <w:sz w:val="22"/>
          <w:szCs w:val="22"/>
        </w:rPr>
        <w:t>As</w:t>
      </w:r>
      <w:proofErr w:type="gramEnd"/>
      <w:r>
        <w:rPr>
          <w:sz w:val="22"/>
          <w:szCs w:val="22"/>
        </w:rPr>
        <w:t xml:space="preserve"> An Eminently Social Thing’ in </w:t>
      </w:r>
      <w:r w:rsidRPr="000963D4">
        <w:rPr>
          <w:i/>
          <w:iCs/>
          <w:sz w:val="22"/>
          <w:szCs w:val="22"/>
        </w:rPr>
        <w:t>The Elementary Forms Of Religious Life</w:t>
      </w:r>
      <w:r>
        <w:rPr>
          <w:i/>
          <w:iCs/>
          <w:sz w:val="22"/>
          <w:szCs w:val="22"/>
        </w:rPr>
        <w:t xml:space="preserve"> </w:t>
      </w:r>
      <w:r>
        <w:rPr>
          <w:sz w:val="22"/>
          <w:szCs w:val="22"/>
        </w:rPr>
        <w:t xml:space="preserve">by </w:t>
      </w:r>
      <w:r w:rsidR="000C7982">
        <w:rPr>
          <w:rFonts w:cstheme="minorHAnsi"/>
          <w:sz w:val="22"/>
          <w:szCs w:val="22"/>
        </w:rPr>
        <w:t>É</w:t>
      </w:r>
      <w:r>
        <w:rPr>
          <w:sz w:val="22"/>
          <w:szCs w:val="22"/>
        </w:rPr>
        <w:t>mile Durkheim</w:t>
      </w:r>
      <w:r w:rsidRPr="000963D4">
        <w:rPr>
          <w:i/>
          <w:iCs/>
          <w:sz w:val="22"/>
          <w:szCs w:val="22"/>
        </w:rPr>
        <w:t xml:space="preserve"> </w:t>
      </w:r>
      <w:r w:rsidRPr="00C3482A">
        <w:rPr>
          <w:sz w:val="22"/>
          <w:szCs w:val="22"/>
        </w:rPr>
        <w:t>(New York: The Free Press, 1995</w:t>
      </w:r>
      <w:r w:rsidRPr="000963D4">
        <w:rPr>
          <w:i/>
          <w:iCs/>
          <w:sz w:val="22"/>
          <w:szCs w:val="22"/>
        </w:rPr>
        <w:t>)</w:t>
      </w:r>
      <w:r w:rsidR="00C3482A">
        <w:rPr>
          <w:sz w:val="22"/>
          <w:szCs w:val="22"/>
        </w:rPr>
        <w:t>, xvii-lxxiii</w:t>
      </w:r>
    </w:p>
    <w:p w14:paraId="0178F1E7" w14:textId="77777777" w:rsidR="00C06571" w:rsidRDefault="00C06571" w:rsidP="00C06571">
      <w:pPr>
        <w:pStyle w:val="FootnoteText"/>
        <w:rPr>
          <w:sz w:val="22"/>
          <w:szCs w:val="22"/>
        </w:rPr>
      </w:pPr>
    </w:p>
    <w:p w14:paraId="17E4CA51" w14:textId="7703096D" w:rsidR="00C06571" w:rsidRDefault="00C3482A" w:rsidP="00C06571">
      <w:pPr>
        <w:pStyle w:val="FootnoteText"/>
        <w:rPr>
          <w:sz w:val="22"/>
          <w:szCs w:val="22"/>
        </w:rPr>
      </w:pPr>
      <w:bookmarkStart w:id="15" w:name="_Hlk118885068"/>
      <w:r>
        <w:rPr>
          <w:sz w:val="22"/>
          <w:szCs w:val="22"/>
        </w:rPr>
        <w:t>Eliade</w:t>
      </w:r>
      <w:r w:rsidR="00C06571" w:rsidRPr="002B3E30">
        <w:rPr>
          <w:sz w:val="22"/>
          <w:szCs w:val="22"/>
        </w:rPr>
        <w:t>,</w:t>
      </w:r>
      <w:r w:rsidR="00C06571">
        <w:rPr>
          <w:sz w:val="22"/>
          <w:szCs w:val="22"/>
        </w:rPr>
        <w:t xml:space="preserve"> </w:t>
      </w:r>
      <w:r>
        <w:rPr>
          <w:sz w:val="22"/>
          <w:szCs w:val="22"/>
        </w:rPr>
        <w:t>Mircea</w:t>
      </w:r>
      <w:r w:rsidR="00C06571">
        <w:rPr>
          <w:sz w:val="22"/>
          <w:szCs w:val="22"/>
        </w:rPr>
        <w:t>,</w:t>
      </w:r>
      <w:r w:rsidR="00C06571" w:rsidRPr="002B3E30">
        <w:rPr>
          <w:sz w:val="22"/>
          <w:szCs w:val="22"/>
        </w:rPr>
        <w:t xml:space="preserve"> </w:t>
      </w:r>
      <w:r w:rsidR="00C06571" w:rsidRPr="002B3E30">
        <w:rPr>
          <w:i/>
          <w:iCs/>
          <w:sz w:val="22"/>
          <w:szCs w:val="22"/>
        </w:rPr>
        <w:t>T</w:t>
      </w:r>
      <w:r>
        <w:rPr>
          <w:i/>
          <w:iCs/>
          <w:sz w:val="22"/>
          <w:szCs w:val="22"/>
        </w:rPr>
        <w:t xml:space="preserve">he Sacred </w:t>
      </w:r>
      <w:proofErr w:type="gramStart"/>
      <w:r>
        <w:rPr>
          <w:i/>
          <w:iCs/>
          <w:sz w:val="22"/>
          <w:szCs w:val="22"/>
        </w:rPr>
        <w:t>And</w:t>
      </w:r>
      <w:proofErr w:type="gramEnd"/>
      <w:r>
        <w:rPr>
          <w:i/>
          <w:iCs/>
          <w:sz w:val="22"/>
          <w:szCs w:val="22"/>
        </w:rPr>
        <w:t xml:space="preserve"> The Profane: The Nature Of Religion</w:t>
      </w:r>
      <w:r w:rsidR="00C06571" w:rsidRPr="002B3E30">
        <w:rPr>
          <w:i/>
          <w:iCs/>
          <w:sz w:val="22"/>
          <w:szCs w:val="22"/>
        </w:rPr>
        <w:t xml:space="preserve">, </w:t>
      </w:r>
      <w:r w:rsidR="00C06571" w:rsidRPr="002B3E30">
        <w:rPr>
          <w:sz w:val="22"/>
          <w:szCs w:val="22"/>
        </w:rPr>
        <w:t>(</w:t>
      </w:r>
      <w:r>
        <w:rPr>
          <w:sz w:val="22"/>
          <w:szCs w:val="22"/>
        </w:rPr>
        <w:t>New York</w:t>
      </w:r>
      <w:r w:rsidR="00C06571" w:rsidRPr="002B3E30">
        <w:rPr>
          <w:sz w:val="22"/>
          <w:szCs w:val="22"/>
        </w:rPr>
        <w:t xml:space="preserve">: </w:t>
      </w:r>
      <w:r>
        <w:rPr>
          <w:sz w:val="22"/>
          <w:szCs w:val="22"/>
        </w:rPr>
        <w:t>Harper &amp; Row</w:t>
      </w:r>
      <w:r w:rsidR="00C06571" w:rsidRPr="002B3E30">
        <w:rPr>
          <w:sz w:val="22"/>
          <w:szCs w:val="22"/>
        </w:rPr>
        <w:t>, 19</w:t>
      </w:r>
      <w:r>
        <w:rPr>
          <w:sz w:val="22"/>
          <w:szCs w:val="22"/>
        </w:rPr>
        <w:t>61</w:t>
      </w:r>
      <w:bookmarkEnd w:id="15"/>
      <w:r w:rsidR="00C06571" w:rsidRPr="002B3E30">
        <w:rPr>
          <w:sz w:val="22"/>
          <w:szCs w:val="22"/>
        </w:rPr>
        <w:t>)</w:t>
      </w:r>
    </w:p>
    <w:p w14:paraId="3F324886" w14:textId="77777777" w:rsidR="00C06571" w:rsidRDefault="00C06571" w:rsidP="00C06571">
      <w:pPr>
        <w:pStyle w:val="FootnoteText"/>
        <w:rPr>
          <w:sz w:val="22"/>
          <w:szCs w:val="22"/>
        </w:rPr>
      </w:pPr>
    </w:p>
    <w:p w14:paraId="071505A0" w14:textId="2E577AE6" w:rsidR="00C06571" w:rsidRDefault="00C3482A" w:rsidP="00C06571">
      <w:pPr>
        <w:pStyle w:val="FootnoteText"/>
        <w:rPr>
          <w:sz w:val="22"/>
          <w:szCs w:val="22"/>
        </w:rPr>
      </w:pPr>
      <w:proofErr w:type="spellStart"/>
      <w:r>
        <w:rPr>
          <w:sz w:val="22"/>
          <w:szCs w:val="22"/>
        </w:rPr>
        <w:t>Hausner</w:t>
      </w:r>
      <w:proofErr w:type="spellEnd"/>
      <w:r>
        <w:rPr>
          <w:sz w:val="22"/>
          <w:szCs w:val="22"/>
        </w:rPr>
        <w:t>, Sondra</w:t>
      </w:r>
      <w:r w:rsidR="00C06571">
        <w:rPr>
          <w:sz w:val="22"/>
          <w:szCs w:val="22"/>
        </w:rPr>
        <w:t>,</w:t>
      </w:r>
      <w:r w:rsidR="00C06571" w:rsidRPr="00B01FC1">
        <w:rPr>
          <w:sz w:val="22"/>
          <w:szCs w:val="22"/>
        </w:rPr>
        <w:t xml:space="preserve"> ‘</w:t>
      </w:r>
      <w:r>
        <w:rPr>
          <w:sz w:val="22"/>
          <w:szCs w:val="22"/>
        </w:rPr>
        <w:t xml:space="preserve">Introduction: Durkheim </w:t>
      </w:r>
      <w:proofErr w:type="gramStart"/>
      <w:r>
        <w:rPr>
          <w:sz w:val="22"/>
          <w:szCs w:val="22"/>
        </w:rPr>
        <w:t>In</w:t>
      </w:r>
      <w:proofErr w:type="gramEnd"/>
      <w:r>
        <w:rPr>
          <w:sz w:val="22"/>
          <w:szCs w:val="22"/>
        </w:rPr>
        <w:t xml:space="preserve"> Disciplinary Dialogue</w:t>
      </w:r>
      <w:r w:rsidR="00C06571" w:rsidRPr="00B01FC1">
        <w:rPr>
          <w:sz w:val="22"/>
          <w:szCs w:val="22"/>
        </w:rPr>
        <w:t xml:space="preserve">’, </w:t>
      </w:r>
      <w:r>
        <w:rPr>
          <w:sz w:val="22"/>
          <w:szCs w:val="22"/>
        </w:rPr>
        <w:t xml:space="preserve">in </w:t>
      </w:r>
      <w:r>
        <w:rPr>
          <w:i/>
          <w:iCs/>
          <w:sz w:val="22"/>
          <w:szCs w:val="22"/>
        </w:rPr>
        <w:t xml:space="preserve">Durkheim In Dialogue, </w:t>
      </w:r>
      <w:r>
        <w:rPr>
          <w:sz w:val="22"/>
          <w:szCs w:val="22"/>
        </w:rPr>
        <w:t xml:space="preserve">ed. by Sondra L. </w:t>
      </w:r>
      <w:proofErr w:type="spellStart"/>
      <w:r>
        <w:rPr>
          <w:sz w:val="22"/>
          <w:szCs w:val="22"/>
        </w:rPr>
        <w:t>Hausner</w:t>
      </w:r>
      <w:proofErr w:type="spellEnd"/>
      <w:r w:rsidRPr="00207718">
        <w:rPr>
          <w:sz w:val="22"/>
          <w:szCs w:val="22"/>
        </w:rPr>
        <w:t xml:space="preserve"> (</w:t>
      </w:r>
      <w:r>
        <w:rPr>
          <w:sz w:val="22"/>
          <w:szCs w:val="22"/>
        </w:rPr>
        <w:t xml:space="preserve">New York, </w:t>
      </w:r>
      <w:proofErr w:type="spellStart"/>
      <w:r w:rsidRPr="000963D4">
        <w:rPr>
          <w:sz w:val="22"/>
          <w:szCs w:val="22"/>
        </w:rPr>
        <w:t>Berghahn</w:t>
      </w:r>
      <w:proofErr w:type="spellEnd"/>
      <w:r w:rsidRPr="000963D4">
        <w:rPr>
          <w:sz w:val="22"/>
          <w:szCs w:val="22"/>
        </w:rPr>
        <w:t xml:space="preserve"> Books, 2013</w:t>
      </w:r>
      <w:r>
        <w:rPr>
          <w:sz w:val="22"/>
          <w:szCs w:val="22"/>
        </w:rPr>
        <w:t>)</w:t>
      </w:r>
      <w:r w:rsidRPr="00207718">
        <w:rPr>
          <w:sz w:val="22"/>
          <w:szCs w:val="22"/>
        </w:rPr>
        <w:t>,</w:t>
      </w:r>
      <w:r>
        <w:rPr>
          <w:sz w:val="22"/>
          <w:szCs w:val="22"/>
        </w:rPr>
        <w:t xml:space="preserve"> 1-16</w:t>
      </w:r>
    </w:p>
    <w:p w14:paraId="3EA925CB" w14:textId="77777777" w:rsidR="0071348A" w:rsidRDefault="0071348A" w:rsidP="00C06571">
      <w:pPr>
        <w:pStyle w:val="FootnoteText"/>
        <w:rPr>
          <w:sz w:val="22"/>
          <w:szCs w:val="22"/>
        </w:rPr>
      </w:pPr>
    </w:p>
    <w:p w14:paraId="15E4B6E6" w14:textId="3328782C" w:rsidR="0071348A" w:rsidRPr="00933C83" w:rsidRDefault="0071348A" w:rsidP="00C06571">
      <w:pPr>
        <w:pStyle w:val="FootnoteText"/>
        <w:rPr>
          <w:sz w:val="22"/>
          <w:szCs w:val="22"/>
        </w:rPr>
      </w:pPr>
      <w:r>
        <w:rPr>
          <w:sz w:val="22"/>
          <w:szCs w:val="22"/>
        </w:rPr>
        <w:t xml:space="preserve">Hubert, Jane, ‘Sacred </w:t>
      </w:r>
      <w:r w:rsidR="00400EDA">
        <w:rPr>
          <w:sz w:val="22"/>
          <w:szCs w:val="22"/>
        </w:rPr>
        <w:t xml:space="preserve">Beliefs </w:t>
      </w:r>
      <w:proofErr w:type="gramStart"/>
      <w:r w:rsidR="00400EDA">
        <w:rPr>
          <w:sz w:val="22"/>
          <w:szCs w:val="22"/>
        </w:rPr>
        <w:t>And</w:t>
      </w:r>
      <w:proofErr w:type="gramEnd"/>
      <w:r w:rsidR="00400EDA">
        <w:rPr>
          <w:sz w:val="22"/>
          <w:szCs w:val="22"/>
        </w:rPr>
        <w:t xml:space="preserve"> Beliefs Of Sacredness’, in </w:t>
      </w:r>
      <w:r w:rsidR="00400EDA">
        <w:rPr>
          <w:i/>
          <w:iCs/>
        </w:rPr>
        <w:t xml:space="preserve">Sacred Sites, Sacred Places, </w:t>
      </w:r>
      <w:r w:rsidR="00400EDA" w:rsidRPr="00716D87">
        <w:t>ed. by David Carmichael, Jane Hubert and Brian Reeves</w:t>
      </w:r>
      <w:r w:rsidR="00400EDA" w:rsidRPr="00FE3191">
        <w:t xml:space="preserve"> (</w:t>
      </w:r>
      <w:r w:rsidR="00400EDA">
        <w:t>London</w:t>
      </w:r>
      <w:r w:rsidR="00400EDA" w:rsidRPr="00FE3191">
        <w:t xml:space="preserve">: </w:t>
      </w:r>
      <w:r w:rsidR="00400EDA">
        <w:t>Routledge</w:t>
      </w:r>
      <w:r w:rsidR="00400EDA" w:rsidRPr="00FE3191">
        <w:t xml:space="preserve">, </w:t>
      </w:r>
      <w:r w:rsidR="00400EDA">
        <w:t>1994</w:t>
      </w:r>
      <w:r w:rsidR="00400EDA" w:rsidRPr="00FE3191">
        <w:t>)</w:t>
      </w:r>
    </w:p>
    <w:p w14:paraId="4C858B1D" w14:textId="77777777" w:rsidR="00C06571" w:rsidRDefault="00C06571" w:rsidP="00C06571">
      <w:pPr>
        <w:spacing w:after="0"/>
      </w:pPr>
    </w:p>
    <w:p w14:paraId="00CED48F" w14:textId="2909E018" w:rsidR="00CC3E01" w:rsidRPr="008E0ACE" w:rsidRDefault="00CC3E01" w:rsidP="00C06571">
      <w:pPr>
        <w:spacing w:after="0"/>
      </w:pPr>
      <w:bookmarkStart w:id="16" w:name="_Hlk118912686"/>
      <w:r>
        <w:t>Knott, Kim</w:t>
      </w:r>
      <w:r w:rsidR="00CA3DEE">
        <w:t>, ‘</w:t>
      </w:r>
      <w:r w:rsidR="00FB70D7">
        <w:t xml:space="preserve">Spatial Theory </w:t>
      </w:r>
      <w:proofErr w:type="gramStart"/>
      <w:r w:rsidR="00FB70D7">
        <w:t>And</w:t>
      </w:r>
      <w:proofErr w:type="gramEnd"/>
      <w:r w:rsidR="00FB70D7">
        <w:t xml:space="preserve"> Method For The Study Of Religion’, </w:t>
      </w:r>
      <w:r w:rsidR="00FB70D7">
        <w:rPr>
          <w:i/>
          <w:iCs/>
        </w:rPr>
        <w:t>Temenos</w:t>
      </w:r>
      <w:r w:rsidR="008E0ACE">
        <w:rPr>
          <w:i/>
          <w:iCs/>
        </w:rPr>
        <w:t xml:space="preserve">, </w:t>
      </w:r>
      <w:r w:rsidR="008E0ACE">
        <w:t>41.2 (</w:t>
      </w:r>
      <w:r w:rsidR="00760511">
        <w:t xml:space="preserve">2005), </w:t>
      </w:r>
      <w:bookmarkEnd w:id="16"/>
      <w:r w:rsidR="00760511">
        <w:t>153-184</w:t>
      </w:r>
    </w:p>
    <w:p w14:paraId="5FF1B987" w14:textId="77777777" w:rsidR="00C06571" w:rsidRDefault="00C06571" w:rsidP="00C06571">
      <w:pPr>
        <w:spacing w:after="0"/>
      </w:pPr>
    </w:p>
    <w:p w14:paraId="57675678" w14:textId="1860BE5A" w:rsidR="00C06571" w:rsidRDefault="00C3482A" w:rsidP="00C06571">
      <w:pPr>
        <w:spacing w:after="0"/>
      </w:pPr>
      <w:bookmarkStart w:id="17" w:name="_Hlk118917563"/>
      <w:r>
        <w:t>Lane, Belden C.</w:t>
      </w:r>
      <w:r w:rsidR="00C06571" w:rsidRPr="006D058D">
        <w:t xml:space="preserve">, </w:t>
      </w:r>
      <w:r>
        <w:rPr>
          <w:i/>
          <w:iCs/>
        </w:rPr>
        <w:t xml:space="preserve">Landscapes </w:t>
      </w:r>
      <w:proofErr w:type="gramStart"/>
      <w:r>
        <w:rPr>
          <w:i/>
          <w:iCs/>
        </w:rPr>
        <w:t>Of</w:t>
      </w:r>
      <w:proofErr w:type="gramEnd"/>
      <w:r>
        <w:rPr>
          <w:i/>
          <w:iCs/>
        </w:rPr>
        <w:t xml:space="preserve"> The Sacred: Geography And Narrative In American Spirituality </w:t>
      </w:r>
      <w:r>
        <w:t xml:space="preserve">(Baltimore, The Johns Hopkins University Press, </w:t>
      </w:r>
      <w:r w:rsidR="000C7982">
        <w:t>2002</w:t>
      </w:r>
      <w:bookmarkEnd w:id="17"/>
      <w:r w:rsidR="000C7982">
        <w:t>)</w:t>
      </w:r>
    </w:p>
    <w:p w14:paraId="326D1F0C" w14:textId="77777777" w:rsidR="00C06571" w:rsidRDefault="00C06571" w:rsidP="00C06571">
      <w:pPr>
        <w:spacing w:after="0"/>
      </w:pPr>
    </w:p>
    <w:p w14:paraId="412EE432" w14:textId="6B04525E" w:rsidR="00C06571" w:rsidRDefault="000C7982" w:rsidP="00C06571">
      <w:pPr>
        <w:spacing w:after="0"/>
      </w:pPr>
      <w:bookmarkStart w:id="18" w:name="_Hlk118911081"/>
      <w:r>
        <w:t>Otto, Rudolf</w:t>
      </w:r>
      <w:r w:rsidR="00C06571">
        <w:t>,</w:t>
      </w:r>
      <w:r w:rsidR="00C06571" w:rsidRPr="00D16CDD">
        <w:t xml:space="preserve"> </w:t>
      </w:r>
      <w:r>
        <w:rPr>
          <w:i/>
          <w:iCs/>
        </w:rPr>
        <w:t xml:space="preserve">The Idea </w:t>
      </w:r>
      <w:proofErr w:type="gramStart"/>
      <w:r>
        <w:rPr>
          <w:i/>
          <w:iCs/>
        </w:rPr>
        <w:t>Of</w:t>
      </w:r>
      <w:proofErr w:type="gramEnd"/>
      <w:r>
        <w:rPr>
          <w:i/>
          <w:iCs/>
        </w:rPr>
        <w:t xml:space="preserve"> The Holy</w:t>
      </w:r>
      <w:r w:rsidR="00C06571" w:rsidRPr="00D16CDD">
        <w:t xml:space="preserve"> (</w:t>
      </w:r>
      <w:r>
        <w:t xml:space="preserve">London, Oxford University Press, </w:t>
      </w:r>
      <w:r w:rsidR="00C06571" w:rsidRPr="00D16CDD">
        <w:t>19</w:t>
      </w:r>
      <w:r>
        <w:t>23</w:t>
      </w:r>
      <w:bookmarkEnd w:id="18"/>
      <w:r w:rsidR="00C06571" w:rsidRPr="00D16CDD">
        <w:t>)</w:t>
      </w:r>
    </w:p>
    <w:p w14:paraId="1FD8C527" w14:textId="5A103D50" w:rsidR="003D47CB" w:rsidRDefault="003D47CB" w:rsidP="00C06571">
      <w:pPr>
        <w:spacing w:after="0"/>
      </w:pPr>
    </w:p>
    <w:p w14:paraId="3C0CFF3A" w14:textId="092F68E3" w:rsidR="003D47CB" w:rsidRDefault="003D47CB" w:rsidP="00C06571">
      <w:pPr>
        <w:spacing w:after="0"/>
      </w:pPr>
      <w:bookmarkStart w:id="19" w:name="_Hlk118920747"/>
      <w:r>
        <w:t xml:space="preserve">Schama, Simon, </w:t>
      </w:r>
      <w:r>
        <w:rPr>
          <w:i/>
          <w:iCs/>
        </w:rPr>
        <w:t xml:space="preserve">Landscape </w:t>
      </w:r>
      <w:proofErr w:type="gramStart"/>
      <w:r>
        <w:rPr>
          <w:i/>
          <w:iCs/>
        </w:rPr>
        <w:t>And</w:t>
      </w:r>
      <w:proofErr w:type="gramEnd"/>
      <w:r>
        <w:rPr>
          <w:i/>
          <w:iCs/>
        </w:rPr>
        <w:t xml:space="preserve"> Memory, </w:t>
      </w:r>
      <w:r>
        <w:t>(London, HarperCollins Publishers, 1995</w:t>
      </w:r>
      <w:bookmarkEnd w:id="19"/>
      <w:r>
        <w:t>)</w:t>
      </w:r>
    </w:p>
    <w:p w14:paraId="3EF53B83" w14:textId="77777777" w:rsidR="00C06571" w:rsidRDefault="00C06571" w:rsidP="00C06571">
      <w:pPr>
        <w:spacing w:after="0"/>
      </w:pPr>
    </w:p>
    <w:p w14:paraId="0C2AB66D" w14:textId="522307EC" w:rsidR="006F5ACD" w:rsidRDefault="006F5ACD" w:rsidP="00C06571">
      <w:pPr>
        <w:spacing w:after="0"/>
      </w:pPr>
      <w:bookmarkStart w:id="20" w:name="_Hlk118901203"/>
      <w:r>
        <w:t xml:space="preserve">Smith, </w:t>
      </w:r>
      <w:r w:rsidR="004E31A4">
        <w:t xml:space="preserve">Jonathan Z., ‘Morphology </w:t>
      </w:r>
      <w:proofErr w:type="gramStart"/>
      <w:r w:rsidR="004E31A4">
        <w:t>And</w:t>
      </w:r>
      <w:proofErr w:type="gramEnd"/>
      <w:r w:rsidR="004E31A4">
        <w:t xml:space="preserve"> History In Mircea Eliade’s </w:t>
      </w:r>
      <w:r w:rsidR="00453A31">
        <w:t xml:space="preserve">“Patterns In Comparative Religion” (1949-1999), Part 2: </w:t>
      </w:r>
      <w:r w:rsidR="003634D7">
        <w:t xml:space="preserve">The Texture Of The Work’, </w:t>
      </w:r>
      <w:r w:rsidR="003634D7">
        <w:rPr>
          <w:i/>
          <w:iCs/>
        </w:rPr>
        <w:t>History Of Religions</w:t>
      </w:r>
      <w:r w:rsidR="004A3ABE">
        <w:rPr>
          <w:i/>
          <w:iCs/>
        </w:rPr>
        <w:t xml:space="preserve">, </w:t>
      </w:r>
      <w:r w:rsidR="004A3ABE">
        <w:t>39.4 (2000),</w:t>
      </w:r>
      <w:bookmarkEnd w:id="20"/>
      <w:r w:rsidR="004A3ABE">
        <w:t xml:space="preserve"> </w:t>
      </w:r>
      <w:r w:rsidR="00212085">
        <w:t>332-351</w:t>
      </w:r>
    </w:p>
    <w:p w14:paraId="3506A3E3" w14:textId="77777777" w:rsidR="00212085" w:rsidRDefault="00212085" w:rsidP="00C06571">
      <w:pPr>
        <w:spacing w:after="0"/>
      </w:pPr>
    </w:p>
    <w:p w14:paraId="4949B227" w14:textId="59FC9231" w:rsidR="00FC7D99" w:rsidRDefault="00D675ED" w:rsidP="00C06571">
      <w:pPr>
        <w:spacing w:after="0"/>
      </w:pPr>
      <w:proofErr w:type="spellStart"/>
      <w:r>
        <w:t>Studstill</w:t>
      </w:r>
      <w:proofErr w:type="spellEnd"/>
      <w:r>
        <w:t xml:space="preserve">, Randall, ‘Eliade, Phenomenology </w:t>
      </w:r>
      <w:proofErr w:type="gramStart"/>
      <w:r>
        <w:t>And</w:t>
      </w:r>
      <w:proofErr w:type="gramEnd"/>
      <w:r>
        <w:t xml:space="preserve"> The Sacred’, </w:t>
      </w:r>
      <w:r w:rsidR="001A4D62">
        <w:rPr>
          <w:i/>
          <w:iCs/>
        </w:rPr>
        <w:t xml:space="preserve">Religious Studies, </w:t>
      </w:r>
      <w:r w:rsidR="001A4D62">
        <w:t>36.2 (2000)</w:t>
      </w:r>
      <w:r w:rsidR="008F10FD">
        <w:t>, 177-194</w:t>
      </w:r>
    </w:p>
    <w:p w14:paraId="49815723" w14:textId="01F8C4CB" w:rsidR="003D47CB" w:rsidRDefault="003D47CB" w:rsidP="00C06571">
      <w:pPr>
        <w:spacing w:after="0"/>
      </w:pPr>
    </w:p>
    <w:p w14:paraId="3FA24283" w14:textId="04A87CF7" w:rsidR="003D47CB" w:rsidRDefault="003D47CB" w:rsidP="00C06571">
      <w:pPr>
        <w:spacing w:after="0"/>
      </w:pPr>
      <w:bookmarkStart w:id="21" w:name="_Hlk118920457"/>
      <w:proofErr w:type="spellStart"/>
      <w:r>
        <w:t>Trubshaw</w:t>
      </w:r>
      <w:proofErr w:type="spellEnd"/>
      <w:r>
        <w:t xml:space="preserve">, Robert, </w:t>
      </w:r>
      <w:r>
        <w:rPr>
          <w:i/>
          <w:iCs/>
        </w:rPr>
        <w:t xml:space="preserve">Sacred Places, </w:t>
      </w:r>
      <w:r>
        <w:t xml:space="preserve">(Loughborough, Heart </w:t>
      </w:r>
      <w:proofErr w:type="gramStart"/>
      <w:r>
        <w:t>Of</w:t>
      </w:r>
      <w:proofErr w:type="gramEnd"/>
      <w:r>
        <w:t xml:space="preserve"> Albion Press, 2005</w:t>
      </w:r>
      <w:bookmarkEnd w:id="21"/>
      <w:r>
        <w:t>)</w:t>
      </w:r>
    </w:p>
    <w:p w14:paraId="69A3442B" w14:textId="77777777" w:rsidR="00FC7D99" w:rsidRDefault="00FC7D99" w:rsidP="00C06571">
      <w:pPr>
        <w:spacing w:after="0"/>
      </w:pPr>
    </w:p>
    <w:sectPr w:rsidR="00FC7D9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B6FBE" w14:textId="77777777" w:rsidR="00DA29BE" w:rsidRDefault="00DA29BE" w:rsidP="00C06571">
      <w:pPr>
        <w:spacing w:after="0" w:line="240" w:lineRule="auto"/>
      </w:pPr>
      <w:r>
        <w:separator/>
      </w:r>
    </w:p>
  </w:endnote>
  <w:endnote w:type="continuationSeparator" w:id="0">
    <w:p w14:paraId="2A5E2FD1" w14:textId="77777777" w:rsidR="00DA29BE" w:rsidRDefault="00DA29BE" w:rsidP="00C06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Helvetica Neue">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B39BD" w14:textId="77777777" w:rsidR="00DA29BE" w:rsidRDefault="00DA29BE" w:rsidP="00C06571">
      <w:pPr>
        <w:spacing w:after="0" w:line="240" w:lineRule="auto"/>
      </w:pPr>
      <w:r>
        <w:separator/>
      </w:r>
    </w:p>
  </w:footnote>
  <w:footnote w:type="continuationSeparator" w:id="0">
    <w:p w14:paraId="6CF106A0" w14:textId="77777777" w:rsidR="00DA29BE" w:rsidRDefault="00DA29BE" w:rsidP="00C06571">
      <w:pPr>
        <w:spacing w:after="0" w:line="240" w:lineRule="auto"/>
      </w:pPr>
      <w:r>
        <w:continuationSeparator/>
      </w:r>
    </w:p>
  </w:footnote>
  <w:footnote w:id="1">
    <w:p w14:paraId="67048790" w14:textId="70FDD2D8" w:rsidR="00C06571" w:rsidRPr="003021C3" w:rsidRDefault="00C06571" w:rsidP="00C06571">
      <w:pPr>
        <w:pStyle w:val="FootnoteText"/>
      </w:pPr>
      <w:r>
        <w:rPr>
          <w:rStyle w:val="FootnoteReference"/>
        </w:rPr>
        <w:footnoteRef/>
      </w:r>
      <w:r>
        <w:t xml:space="preserve"> </w:t>
      </w:r>
      <w:bookmarkStart w:id="0" w:name="_Hlk98164665"/>
      <w:r w:rsidR="00B222DB" w:rsidRPr="00B222DB">
        <w:t>Émile</w:t>
      </w:r>
      <w:r w:rsidR="00B222DB">
        <w:t xml:space="preserve"> Durkheim</w:t>
      </w:r>
      <w:r w:rsidR="00B222DB" w:rsidRPr="00B222DB">
        <w:t xml:space="preserve">, </w:t>
      </w:r>
      <w:r w:rsidR="00B222DB" w:rsidRPr="00B222DB">
        <w:rPr>
          <w:i/>
          <w:iCs/>
        </w:rPr>
        <w:t>The Elementary Forms Of Religious Life</w:t>
      </w:r>
      <w:r w:rsidR="00B222DB" w:rsidRPr="00B222DB">
        <w:t xml:space="preserve"> (New York: The Free Press, 1995</w:t>
      </w:r>
      <w:r w:rsidR="00B222DB">
        <w:t>)</w:t>
      </w:r>
      <w:r>
        <w:t>.</w:t>
      </w:r>
    </w:p>
    <w:bookmarkStart w:id="1" w:name="_Hlk98675913"/>
    <w:bookmarkEnd w:id="0"/>
  </w:footnote>
  <w:footnote w:id="2">
    <w:p w14:paraId="33D18451" w14:textId="276FDDE5" w:rsidR="00C06571" w:rsidRPr="004A7EAD" w:rsidRDefault="00C06571" w:rsidP="00C06571">
      <w:pPr>
        <w:pStyle w:val="FootnoteText"/>
      </w:pPr>
      <w:bookmarkStart w:id="2" w:name="_Hlk98675913"/>
      <w:r>
        <w:rPr>
          <w:rStyle w:val="FootnoteReference"/>
        </w:rPr>
        <w:footnoteRef/>
      </w:r>
      <w:r>
        <w:t xml:space="preserve"> </w:t>
      </w:r>
      <w:bookmarkStart w:id="3" w:name="_Hlk98165100"/>
      <w:r w:rsidR="00B222DB" w:rsidRPr="00B222DB">
        <w:t>Mircea</w:t>
      </w:r>
      <w:r w:rsidR="00B222DB">
        <w:t xml:space="preserve"> Eliade</w:t>
      </w:r>
      <w:r w:rsidR="00B222DB" w:rsidRPr="00B222DB">
        <w:t xml:space="preserve">, </w:t>
      </w:r>
      <w:r w:rsidR="00B222DB" w:rsidRPr="00B222DB">
        <w:rPr>
          <w:i/>
          <w:iCs/>
        </w:rPr>
        <w:t xml:space="preserve">The Sacred </w:t>
      </w:r>
      <w:r w:rsidR="00B222DB" w:rsidRPr="00B222DB">
        <w:rPr>
          <w:i/>
          <w:iCs/>
        </w:rPr>
        <w:t xml:space="preserve">And The Profane: The Nature Of Religion, </w:t>
      </w:r>
      <w:r w:rsidR="00B222DB" w:rsidRPr="00B222DB">
        <w:t>(New York: Har</w:t>
      </w:r>
      <w:r w:rsidR="00090DC4">
        <w:t xml:space="preserve">court, Brace </w:t>
      </w:r>
      <w:r w:rsidR="00747CB4">
        <w:t>and</w:t>
      </w:r>
      <w:r w:rsidR="00090DC4">
        <w:t xml:space="preserve"> Company</w:t>
      </w:r>
      <w:r w:rsidR="00B222DB" w:rsidRPr="00B222DB">
        <w:t>, 19</w:t>
      </w:r>
      <w:r w:rsidR="00090DC4">
        <w:t>5</w:t>
      </w:r>
      <w:r w:rsidR="00747CB4">
        <w:t>9</w:t>
      </w:r>
      <w:r w:rsidR="00B222DB">
        <w:t>)</w:t>
      </w:r>
      <w:r>
        <w:t>.</w:t>
      </w:r>
      <w:bookmarkEnd w:id="2"/>
      <w:bookmarkEnd w:id="3"/>
    </w:p>
  </w:footnote>
  <w:footnote w:id="3">
    <w:p w14:paraId="59C69F0A" w14:textId="016D9D82" w:rsidR="00D03B75" w:rsidRDefault="00D03B75">
      <w:pPr>
        <w:pStyle w:val="FootnoteText"/>
      </w:pPr>
      <w:r>
        <w:rPr>
          <w:rStyle w:val="FootnoteReference"/>
        </w:rPr>
        <w:footnoteRef/>
      </w:r>
      <w:r>
        <w:t xml:space="preserve"> </w:t>
      </w:r>
      <w:r w:rsidR="00FF3ED6">
        <w:t xml:space="preserve">Sondra </w:t>
      </w:r>
      <w:r w:rsidR="00FF3ED6" w:rsidRPr="00FF3ED6">
        <w:t xml:space="preserve">Hausner, ‘Introduction: Durkheim </w:t>
      </w:r>
      <w:r w:rsidR="00FF3ED6" w:rsidRPr="00FF3ED6">
        <w:t xml:space="preserve">In Disciplinary Dialogue’, in </w:t>
      </w:r>
      <w:r w:rsidR="00FF3ED6" w:rsidRPr="00FF3ED6">
        <w:rPr>
          <w:i/>
          <w:iCs/>
        </w:rPr>
        <w:t xml:space="preserve">Durkheim In Dialogue, </w:t>
      </w:r>
      <w:r w:rsidR="00FF3ED6" w:rsidRPr="00FF3ED6">
        <w:t xml:space="preserve">ed. by Sondra L. Hausner (New York, Berghahn Books, 2013), </w:t>
      </w:r>
      <w:r w:rsidR="00FF3ED6">
        <w:t>p.</w:t>
      </w:r>
      <w:r w:rsidR="00D97F9E">
        <w:t xml:space="preserve"> </w:t>
      </w:r>
      <w:r w:rsidR="00FF3ED6">
        <w:t>2.</w:t>
      </w:r>
    </w:p>
  </w:footnote>
  <w:footnote w:id="4">
    <w:p w14:paraId="68C46588" w14:textId="2EA8991C" w:rsidR="006C52FA" w:rsidRPr="00266AA0" w:rsidRDefault="006C52FA">
      <w:pPr>
        <w:pStyle w:val="FootnoteText"/>
      </w:pPr>
      <w:r>
        <w:rPr>
          <w:rStyle w:val="FootnoteReference"/>
        </w:rPr>
        <w:footnoteRef/>
      </w:r>
      <w:r w:rsidRPr="00AB6CE3">
        <w:t xml:space="preserve"> </w:t>
      </w:r>
      <w:bookmarkStart w:id="4" w:name="_Hlk118886443"/>
      <w:r w:rsidRPr="00AB6CE3">
        <w:t xml:space="preserve">Bernadette Brady, </w:t>
      </w:r>
      <w:r w:rsidR="003B23C1" w:rsidRPr="00AB6CE3">
        <w:rPr>
          <w:rFonts w:cstheme="minorHAnsi"/>
          <w:i/>
          <w:iCs/>
        </w:rPr>
        <w:t>É</w:t>
      </w:r>
      <w:r w:rsidR="003B23C1" w:rsidRPr="00AB6CE3">
        <w:rPr>
          <w:i/>
          <w:iCs/>
        </w:rPr>
        <w:t>mile Durkheim and Mi</w:t>
      </w:r>
      <w:r w:rsidR="00BF022B">
        <w:rPr>
          <w:i/>
          <w:iCs/>
        </w:rPr>
        <w:t>r</w:t>
      </w:r>
      <w:r w:rsidR="003B23C1" w:rsidRPr="00AB6CE3">
        <w:rPr>
          <w:i/>
          <w:iCs/>
        </w:rPr>
        <w:t>cea Eliade</w:t>
      </w:r>
      <w:r w:rsidR="006F27EF" w:rsidRPr="00AB6CE3">
        <w:rPr>
          <w:i/>
          <w:iCs/>
        </w:rPr>
        <w:t xml:space="preserve"> </w:t>
      </w:r>
      <w:r w:rsidR="006F27EF" w:rsidRPr="00AB6CE3">
        <w:t>[</w:t>
      </w:r>
      <w:r w:rsidR="00AB6CE3" w:rsidRPr="00AB6CE3">
        <w:rPr>
          <w:i/>
          <w:iCs/>
        </w:rPr>
        <w:t>Powe</w:t>
      </w:r>
      <w:r w:rsidR="00AB6CE3">
        <w:rPr>
          <w:i/>
          <w:iCs/>
        </w:rPr>
        <w:t xml:space="preserve">rPoint </w:t>
      </w:r>
      <w:r w:rsidR="00AB6CE3">
        <w:t xml:space="preserve">presentation] </w:t>
      </w:r>
      <w:r w:rsidR="00DF73D2">
        <w:rPr>
          <w:i/>
          <w:iCs/>
        </w:rPr>
        <w:t>HPCA7014</w:t>
      </w:r>
      <w:r w:rsidR="00266AA0">
        <w:rPr>
          <w:i/>
          <w:iCs/>
        </w:rPr>
        <w:t xml:space="preserve">: Sacred Geography. </w:t>
      </w:r>
      <w:r w:rsidR="009765A1">
        <w:t>(</w:t>
      </w:r>
      <w:r w:rsidR="00266AA0">
        <w:t>University of Wales Trinity Saint David</w:t>
      </w:r>
      <w:r w:rsidR="00266E09">
        <w:t>, 2020)</w:t>
      </w:r>
      <w:bookmarkEnd w:id="4"/>
      <w:r w:rsidR="00266E09">
        <w:t>.</w:t>
      </w:r>
    </w:p>
  </w:footnote>
  <w:footnote w:id="5">
    <w:p w14:paraId="1776D6D7" w14:textId="65402D0F" w:rsidR="000A740A" w:rsidRDefault="000A740A">
      <w:pPr>
        <w:pStyle w:val="FootnoteText"/>
      </w:pPr>
      <w:r>
        <w:rPr>
          <w:rStyle w:val="FootnoteReference"/>
        </w:rPr>
        <w:footnoteRef/>
      </w:r>
      <w:r>
        <w:t xml:space="preserve"> </w:t>
      </w:r>
      <w:r w:rsidR="00643B27">
        <w:t>Hausner, ‘Introduction’, p.</w:t>
      </w:r>
      <w:r w:rsidR="00D97F9E">
        <w:t xml:space="preserve"> </w:t>
      </w:r>
      <w:r w:rsidR="00643B27">
        <w:t>2.</w:t>
      </w:r>
    </w:p>
  </w:footnote>
  <w:footnote w:id="6">
    <w:p w14:paraId="6D8A007C" w14:textId="6A0D986D" w:rsidR="00057283" w:rsidRDefault="00057283">
      <w:pPr>
        <w:pStyle w:val="FootnoteText"/>
      </w:pPr>
      <w:r>
        <w:rPr>
          <w:rStyle w:val="FootnoteReference"/>
        </w:rPr>
        <w:footnoteRef/>
      </w:r>
      <w:r>
        <w:t xml:space="preserve"> </w:t>
      </w:r>
      <w:r w:rsidR="00C370C7">
        <w:t xml:space="preserve">Hausner, </w:t>
      </w:r>
      <w:r w:rsidR="004217A6">
        <w:t xml:space="preserve">‘Introduction’, </w:t>
      </w:r>
      <w:r w:rsidR="00514042">
        <w:t>pp.</w:t>
      </w:r>
      <w:r w:rsidR="00D97F9E">
        <w:t xml:space="preserve"> </w:t>
      </w:r>
      <w:r w:rsidR="00514042">
        <w:t>1-2.</w:t>
      </w:r>
    </w:p>
  </w:footnote>
  <w:footnote w:id="7">
    <w:p w14:paraId="29CBA40F" w14:textId="7EB753DA" w:rsidR="00CD20DE" w:rsidRPr="00CD20DE" w:rsidRDefault="00CD20DE">
      <w:pPr>
        <w:pStyle w:val="FootnoteText"/>
        <w:rPr>
          <w:i/>
          <w:iCs/>
        </w:rPr>
      </w:pPr>
      <w:r>
        <w:rPr>
          <w:rStyle w:val="FootnoteReference"/>
        </w:rPr>
        <w:footnoteRef/>
      </w:r>
      <w:r>
        <w:t xml:space="preserve"> Brady, </w:t>
      </w:r>
      <w:r>
        <w:rPr>
          <w:i/>
          <w:iCs/>
        </w:rPr>
        <w:t>Durkheim and Eliade.</w:t>
      </w:r>
    </w:p>
  </w:footnote>
  <w:footnote w:id="8">
    <w:p w14:paraId="37982F27" w14:textId="3A8847A5" w:rsidR="00A56C3B" w:rsidRDefault="00A56C3B">
      <w:pPr>
        <w:pStyle w:val="FootnoteText"/>
      </w:pPr>
      <w:r>
        <w:rPr>
          <w:rStyle w:val="FootnoteReference"/>
        </w:rPr>
        <w:footnoteRef/>
      </w:r>
      <w:r>
        <w:t xml:space="preserve"> </w:t>
      </w:r>
      <w:r w:rsidRPr="00EA0636">
        <w:t>Rudolf</w:t>
      </w:r>
      <w:r>
        <w:t xml:space="preserve"> Otto</w:t>
      </w:r>
      <w:r w:rsidRPr="00EA0636">
        <w:t xml:space="preserve">, </w:t>
      </w:r>
      <w:r w:rsidRPr="00EA0636">
        <w:rPr>
          <w:i/>
          <w:iCs/>
        </w:rPr>
        <w:t xml:space="preserve">The Idea </w:t>
      </w:r>
      <w:r w:rsidRPr="00EA0636">
        <w:rPr>
          <w:i/>
          <w:iCs/>
        </w:rPr>
        <w:t>Of The Holy</w:t>
      </w:r>
      <w:r w:rsidRPr="00EA0636">
        <w:t xml:space="preserve"> (London, Oxford University Press, 1923</w:t>
      </w:r>
      <w:r>
        <w:t>).</w:t>
      </w:r>
    </w:p>
  </w:footnote>
  <w:footnote w:id="9">
    <w:p w14:paraId="6AC411C2" w14:textId="269D7C32" w:rsidR="00747CB4" w:rsidRPr="00D54BB2" w:rsidRDefault="00747CB4">
      <w:pPr>
        <w:pStyle w:val="FootnoteText"/>
      </w:pPr>
      <w:r>
        <w:rPr>
          <w:rStyle w:val="FootnoteReference"/>
        </w:rPr>
        <w:footnoteRef/>
      </w:r>
      <w:r>
        <w:t xml:space="preserve"> Eliade, </w:t>
      </w:r>
      <w:r>
        <w:rPr>
          <w:i/>
          <w:iCs/>
        </w:rPr>
        <w:t>Sacred and Profane</w:t>
      </w:r>
      <w:r w:rsidR="00D54BB2">
        <w:rPr>
          <w:i/>
          <w:iCs/>
        </w:rPr>
        <w:t xml:space="preserve">, </w:t>
      </w:r>
      <w:r w:rsidR="00D54BB2">
        <w:t>p.</w:t>
      </w:r>
      <w:r w:rsidR="00D97F9E">
        <w:t xml:space="preserve"> </w:t>
      </w:r>
      <w:r w:rsidR="00D54BB2">
        <w:t>8.</w:t>
      </w:r>
    </w:p>
  </w:footnote>
  <w:footnote w:id="10">
    <w:p w14:paraId="41579087" w14:textId="2682FA29" w:rsidR="00D22031" w:rsidRPr="00EC6F14" w:rsidRDefault="00D22031">
      <w:pPr>
        <w:pStyle w:val="FootnoteText"/>
        <w:rPr>
          <w:i/>
          <w:iCs/>
        </w:rPr>
      </w:pPr>
      <w:r>
        <w:rPr>
          <w:rStyle w:val="FootnoteReference"/>
        </w:rPr>
        <w:footnoteRef/>
      </w:r>
      <w:r>
        <w:t xml:space="preserve"> </w:t>
      </w:r>
      <w:r w:rsidR="00921BE3">
        <w:t xml:space="preserve">Brady, </w:t>
      </w:r>
      <w:r w:rsidR="00EC6F14">
        <w:rPr>
          <w:i/>
          <w:iCs/>
        </w:rPr>
        <w:t>Durkheim and Eliade.</w:t>
      </w:r>
    </w:p>
  </w:footnote>
  <w:footnote w:id="11">
    <w:p w14:paraId="25DA613A" w14:textId="59FDBB91" w:rsidR="00AB4444" w:rsidRPr="003F06F1" w:rsidRDefault="00AB4444">
      <w:pPr>
        <w:pStyle w:val="FootnoteText"/>
      </w:pPr>
      <w:r>
        <w:rPr>
          <w:rStyle w:val="FootnoteReference"/>
        </w:rPr>
        <w:footnoteRef/>
      </w:r>
      <w:r>
        <w:t xml:space="preserve"> </w:t>
      </w:r>
      <w:r w:rsidR="003F06F1" w:rsidRPr="003F06F1">
        <w:t>Karen E.</w:t>
      </w:r>
      <w:r w:rsidR="003F06F1">
        <w:t xml:space="preserve"> Fields</w:t>
      </w:r>
      <w:r w:rsidR="003F06F1" w:rsidRPr="003F06F1">
        <w:t xml:space="preserve">, ‘Translator’s Introduction:  Religion </w:t>
      </w:r>
      <w:r w:rsidR="003F06F1" w:rsidRPr="003F06F1">
        <w:t xml:space="preserve">As An Eminently Social Thing’ in </w:t>
      </w:r>
      <w:r w:rsidR="003F06F1" w:rsidRPr="003F06F1">
        <w:rPr>
          <w:i/>
          <w:iCs/>
        </w:rPr>
        <w:t xml:space="preserve">The Elementary Forms Of Religious Life </w:t>
      </w:r>
      <w:r w:rsidR="003F06F1" w:rsidRPr="003F06F1">
        <w:t>by Émile Durkheim</w:t>
      </w:r>
      <w:r w:rsidR="003F06F1" w:rsidRPr="003F06F1">
        <w:rPr>
          <w:i/>
          <w:iCs/>
        </w:rPr>
        <w:t xml:space="preserve"> </w:t>
      </w:r>
      <w:r w:rsidR="003F06F1" w:rsidRPr="003F06F1">
        <w:t>(New York: The Free Press, 1995</w:t>
      </w:r>
      <w:r w:rsidR="003F06F1" w:rsidRPr="003F06F1">
        <w:rPr>
          <w:i/>
          <w:iCs/>
        </w:rPr>
        <w:t>)</w:t>
      </w:r>
      <w:r w:rsidR="003F06F1">
        <w:t>, p.</w:t>
      </w:r>
      <w:r w:rsidR="00D97F9E">
        <w:t xml:space="preserve"> </w:t>
      </w:r>
      <w:r w:rsidR="003F06F1">
        <w:t>xxx</w:t>
      </w:r>
      <w:r w:rsidR="00942439">
        <w:t>viii.</w:t>
      </w:r>
    </w:p>
  </w:footnote>
  <w:footnote w:id="12">
    <w:p w14:paraId="2A3D7D83" w14:textId="76117DAB" w:rsidR="005B7960" w:rsidRDefault="005B7960">
      <w:pPr>
        <w:pStyle w:val="FootnoteText"/>
      </w:pPr>
      <w:r>
        <w:rPr>
          <w:rStyle w:val="FootnoteReference"/>
        </w:rPr>
        <w:footnoteRef/>
      </w:r>
      <w:r>
        <w:t xml:space="preserve"> </w:t>
      </w:r>
      <w:r>
        <w:t>Hausner</w:t>
      </w:r>
      <w:r w:rsidR="001A4D8F">
        <w:t>, ‘Introduction’, p</w:t>
      </w:r>
      <w:r w:rsidR="00D97F9E">
        <w:t xml:space="preserve">. </w:t>
      </w:r>
      <w:r w:rsidR="001A4D8F">
        <w:t>3.</w:t>
      </w:r>
    </w:p>
  </w:footnote>
  <w:footnote w:id="13">
    <w:p w14:paraId="0E239E90" w14:textId="180EFAB7" w:rsidR="00F958F1" w:rsidRPr="00F958F1" w:rsidRDefault="00F958F1">
      <w:pPr>
        <w:pStyle w:val="FootnoteText"/>
      </w:pPr>
      <w:r>
        <w:rPr>
          <w:rStyle w:val="FootnoteReference"/>
        </w:rPr>
        <w:footnoteRef/>
      </w:r>
      <w:r>
        <w:t xml:space="preserve"> Eliade, </w:t>
      </w:r>
      <w:r>
        <w:rPr>
          <w:i/>
          <w:iCs/>
        </w:rPr>
        <w:t xml:space="preserve">Sacred and Profane, </w:t>
      </w:r>
      <w:r>
        <w:t>p.</w:t>
      </w:r>
      <w:r w:rsidR="00D97F9E">
        <w:t xml:space="preserve"> </w:t>
      </w:r>
      <w:r w:rsidR="00E371B2">
        <w:t>11.</w:t>
      </w:r>
    </w:p>
  </w:footnote>
  <w:footnote w:id="14">
    <w:p w14:paraId="09BC8C82" w14:textId="11B5000C" w:rsidR="0059203C" w:rsidRDefault="0059203C">
      <w:pPr>
        <w:pStyle w:val="FootnoteText"/>
      </w:pPr>
      <w:r>
        <w:rPr>
          <w:rStyle w:val="FootnoteReference"/>
        </w:rPr>
        <w:footnoteRef/>
      </w:r>
      <w:r>
        <w:t xml:space="preserve"> </w:t>
      </w:r>
      <w:r w:rsidR="00811ED9" w:rsidRPr="00811ED9">
        <w:t>Randall</w:t>
      </w:r>
      <w:r w:rsidR="00811ED9">
        <w:t xml:space="preserve"> </w:t>
      </w:r>
      <w:r w:rsidR="00811ED9">
        <w:t>Studstill</w:t>
      </w:r>
      <w:r w:rsidR="00811ED9" w:rsidRPr="00811ED9">
        <w:t xml:space="preserve">, ‘Eliade, Phenomenology </w:t>
      </w:r>
      <w:r w:rsidR="00811ED9" w:rsidRPr="00811ED9">
        <w:t xml:space="preserve">And The Sacred’, </w:t>
      </w:r>
      <w:r w:rsidR="00811ED9" w:rsidRPr="00811ED9">
        <w:rPr>
          <w:i/>
          <w:iCs/>
        </w:rPr>
        <w:t xml:space="preserve">Religious Studies, </w:t>
      </w:r>
      <w:r w:rsidR="00811ED9" w:rsidRPr="00811ED9">
        <w:t>36.2 (2000),</w:t>
      </w:r>
      <w:r w:rsidR="00811ED9">
        <w:t xml:space="preserve"> p.</w:t>
      </w:r>
      <w:r w:rsidR="00D97F9E">
        <w:t xml:space="preserve"> </w:t>
      </w:r>
      <w:r w:rsidR="00811ED9">
        <w:t>179.</w:t>
      </w:r>
    </w:p>
  </w:footnote>
  <w:footnote w:id="15">
    <w:p w14:paraId="7E0DCE11" w14:textId="67CF7D5C" w:rsidR="00BA13BE" w:rsidRDefault="00BA13BE">
      <w:pPr>
        <w:pStyle w:val="FootnoteText"/>
      </w:pPr>
      <w:r>
        <w:rPr>
          <w:rStyle w:val="FootnoteReference"/>
        </w:rPr>
        <w:footnoteRef/>
      </w:r>
      <w:r>
        <w:t xml:space="preserve"> </w:t>
      </w:r>
      <w:r w:rsidRPr="00BA13BE">
        <w:t xml:space="preserve">Smith, Jonathan Z., ‘Morphology </w:t>
      </w:r>
      <w:r w:rsidRPr="00BA13BE">
        <w:t xml:space="preserve">And History In Mircea Eliade’s “Patterns In Comparative Religion” (1949-1999), Part 2: The Texture Of The Work’, </w:t>
      </w:r>
      <w:r w:rsidRPr="00BA13BE">
        <w:rPr>
          <w:i/>
          <w:iCs/>
        </w:rPr>
        <w:t xml:space="preserve">History Of Religions, </w:t>
      </w:r>
      <w:r w:rsidRPr="00BA13BE">
        <w:t>39.4 (2000),</w:t>
      </w:r>
      <w:r w:rsidR="006C4C54">
        <w:t xml:space="preserve"> p.</w:t>
      </w:r>
      <w:r w:rsidR="00D97F9E">
        <w:t xml:space="preserve"> </w:t>
      </w:r>
      <w:r w:rsidR="006C4C54">
        <w:t>334.</w:t>
      </w:r>
    </w:p>
  </w:footnote>
  <w:footnote w:id="16">
    <w:p w14:paraId="273B5B8E" w14:textId="1E092AAF" w:rsidR="00747259" w:rsidRPr="00747259" w:rsidRDefault="00747259">
      <w:pPr>
        <w:pStyle w:val="FootnoteText"/>
      </w:pPr>
      <w:r>
        <w:rPr>
          <w:rStyle w:val="FootnoteReference"/>
        </w:rPr>
        <w:footnoteRef/>
      </w:r>
      <w:r>
        <w:t xml:space="preserve"> Durkheim, </w:t>
      </w:r>
      <w:r>
        <w:rPr>
          <w:i/>
          <w:iCs/>
        </w:rPr>
        <w:t xml:space="preserve">Forms, </w:t>
      </w:r>
      <w:r>
        <w:t>p.</w:t>
      </w:r>
      <w:r w:rsidR="00D97F9E">
        <w:t xml:space="preserve"> </w:t>
      </w:r>
      <w:r>
        <w:t>424.</w:t>
      </w:r>
    </w:p>
  </w:footnote>
  <w:footnote w:id="17">
    <w:p w14:paraId="43E73BD5" w14:textId="60B74381" w:rsidR="004B1D2C" w:rsidRPr="00DD0921" w:rsidRDefault="004B1D2C">
      <w:pPr>
        <w:pStyle w:val="FootnoteText"/>
      </w:pPr>
      <w:r>
        <w:rPr>
          <w:rStyle w:val="FootnoteReference"/>
        </w:rPr>
        <w:footnoteRef/>
      </w:r>
      <w:r>
        <w:t xml:space="preserve"> </w:t>
      </w:r>
      <w:r w:rsidR="00DD0921">
        <w:t xml:space="preserve">Durkheim, </w:t>
      </w:r>
      <w:r w:rsidR="00DD0921">
        <w:rPr>
          <w:i/>
          <w:iCs/>
        </w:rPr>
        <w:t xml:space="preserve">Forms, </w:t>
      </w:r>
      <w:r w:rsidR="00DD0921">
        <w:t>p.</w:t>
      </w:r>
      <w:r w:rsidR="00D97F9E">
        <w:t xml:space="preserve"> </w:t>
      </w:r>
      <w:r w:rsidR="00DD0921">
        <w:t>9.</w:t>
      </w:r>
    </w:p>
  </w:footnote>
  <w:footnote w:id="18">
    <w:p w14:paraId="65C62A31" w14:textId="71A59416" w:rsidR="00EB27BB" w:rsidRDefault="00EB27BB">
      <w:pPr>
        <w:pStyle w:val="FootnoteText"/>
      </w:pPr>
      <w:r>
        <w:rPr>
          <w:rStyle w:val="FootnoteReference"/>
        </w:rPr>
        <w:footnoteRef/>
      </w:r>
      <w:r>
        <w:t xml:space="preserve"> </w:t>
      </w:r>
      <w:r w:rsidRPr="00EB27BB">
        <w:t>Edward S.</w:t>
      </w:r>
      <w:r>
        <w:t xml:space="preserve"> Casey</w:t>
      </w:r>
      <w:r w:rsidRPr="00EB27BB">
        <w:t xml:space="preserve">, </w:t>
      </w:r>
      <w:r w:rsidRPr="00EB27BB">
        <w:rPr>
          <w:i/>
          <w:iCs/>
        </w:rPr>
        <w:t xml:space="preserve">The Fate </w:t>
      </w:r>
      <w:r w:rsidRPr="00EB27BB">
        <w:rPr>
          <w:i/>
          <w:iCs/>
        </w:rPr>
        <w:t xml:space="preserve">Of Place: A Philosophical History </w:t>
      </w:r>
      <w:r w:rsidRPr="00EB27BB">
        <w:t>(Berkeley, University of California Press, 1998</w:t>
      </w:r>
      <w:r>
        <w:t>), p.</w:t>
      </w:r>
      <w:r w:rsidR="00D97F9E">
        <w:t xml:space="preserve"> </w:t>
      </w:r>
      <w:r>
        <w:t>205.</w:t>
      </w:r>
    </w:p>
  </w:footnote>
  <w:footnote w:id="19">
    <w:p w14:paraId="318669A2" w14:textId="782F033B" w:rsidR="00255C2E" w:rsidRPr="00255C2E" w:rsidRDefault="00255C2E">
      <w:pPr>
        <w:pStyle w:val="FootnoteText"/>
      </w:pPr>
      <w:r>
        <w:rPr>
          <w:rStyle w:val="FootnoteReference"/>
        </w:rPr>
        <w:footnoteRef/>
      </w:r>
      <w:r>
        <w:t xml:space="preserve"> Durkheim, </w:t>
      </w:r>
      <w:r>
        <w:rPr>
          <w:i/>
          <w:iCs/>
        </w:rPr>
        <w:t xml:space="preserve">Forms, </w:t>
      </w:r>
      <w:r>
        <w:t>p</w:t>
      </w:r>
      <w:r w:rsidR="00A40B07">
        <w:t>.</w:t>
      </w:r>
      <w:r w:rsidR="00D97F9E">
        <w:t xml:space="preserve"> </w:t>
      </w:r>
      <w:r w:rsidR="00AB351E">
        <w:t>11.</w:t>
      </w:r>
    </w:p>
  </w:footnote>
  <w:footnote w:id="20">
    <w:p w14:paraId="0B31ED27" w14:textId="3E9BD65C" w:rsidR="00987374" w:rsidRPr="00987374" w:rsidRDefault="00987374">
      <w:pPr>
        <w:pStyle w:val="FootnoteText"/>
      </w:pPr>
      <w:r>
        <w:rPr>
          <w:rStyle w:val="FootnoteReference"/>
        </w:rPr>
        <w:footnoteRef/>
      </w:r>
      <w:r>
        <w:t xml:space="preserve"> Durkheim, </w:t>
      </w:r>
      <w:r>
        <w:rPr>
          <w:i/>
          <w:iCs/>
        </w:rPr>
        <w:t xml:space="preserve">Forms, </w:t>
      </w:r>
      <w:r>
        <w:t>p.</w:t>
      </w:r>
      <w:r w:rsidR="00D97F9E">
        <w:t xml:space="preserve"> </w:t>
      </w:r>
      <w:r>
        <w:t>424.</w:t>
      </w:r>
    </w:p>
  </w:footnote>
  <w:footnote w:id="21">
    <w:p w14:paraId="3EFC2478" w14:textId="3110DBBB" w:rsidR="00313D69" w:rsidRDefault="00313D69">
      <w:pPr>
        <w:pStyle w:val="FootnoteText"/>
      </w:pPr>
      <w:r>
        <w:rPr>
          <w:rStyle w:val="FootnoteReference"/>
        </w:rPr>
        <w:footnoteRef/>
      </w:r>
      <w:r>
        <w:t xml:space="preserve"> </w:t>
      </w:r>
      <w:bookmarkStart w:id="6" w:name="_Hlk119264047"/>
      <w:r>
        <w:t>Hausner, ‘Introduction’, p.</w:t>
      </w:r>
      <w:r w:rsidR="00F16A81">
        <w:t xml:space="preserve"> </w:t>
      </w:r>
      <w:r>
        <w:t>4.</w:t>
      </w:r>
      <w:bookmarkEnd w:id="6"/>
    </w:p>
  </w:footnote>
  <w:footnote w:id="22">
    <w:p w14:paraId="1C15BCD4" w14:textId="6ECA50F3" w:rsidR="00A40B07" w:rsidRDefault="00A40B07">
      <w:pPr>
        <w:pStyle w:val="FootnoteText"/>
      </w:pPr>
      <w:r>
        <w:rPr>
          <w:rStyle w:val="FootnoteReference"/>
        </w:rPr>
        <w:footnoteRef/>
      </w:r>
      <w:r>
        <w:t xml:space="preserve"> </w:t>
      </w:r>
      <w:r>
        <w:t>Hausner, ‘Introduction’, p.</w:t>
      </w:r>
      <w:r w:rsidR="00F16A81">
        <w:t xml:space="preserve"> </w:t>
      </w:r>
      <w:r>
        <w:t>4.</w:t>
      </w:r>
    </w:p>
  </w:footnote>
  <w:footnote w:id="23">
    <w:p w14:paraId="2169E167" w14:textId="62906712" w:rsidR="00DC5B18" w:rsidRDefault="00DC5B18">
      <w:pPr>
        <w:pStyle w:val="FootnoteText"/>
      </w:pPr>
      <w:r>
        <w:rPr>
          <w:rStyle w:val="FootnoteReference"/>
        </w:rPr>
        <w:footnoteRef/>
      </w:r>
      <w:r>
        <w:t xml:space="preserve"> </w:t>
      </w:r>
      <w:r>
        <w:t>Hausner, ‘Introduction’, p.</w:t>
      </w:r>
      <w:r w:rsidR="00F16A81">
        <w:t xml:space="preserve"> </w:t>
      </w:r>
      <w:r>
        <w:t>4.</w:t>
      </w:r>
    </w:p>
  </w:footnote>
  <w:footnote w:id="24">
    <w:p w14:paraId="5A43FC27" w14:textId="58CF13DA" w:rsidR="00240E62" w:rsidRPr="00D7066B" w:rsidRDefault="00240E62">
      <w:pPr>
        <w:pStyle w:val="FootnoteText"/>
      </w:pPr>
      <w:r>
        <w:rPr>
          <w:rStyle w:val="FootnoteReference"/>
        </w:rPr>
        <w:footnoteRef/>
      </w:r>
      <w:r>
        <w:t xml:space="preserve"> </w:t>
      </w:r>
      <w:r w:rsidR="00D7066B">
        <w:t xml:space="preserve">Durkheim, </w:t>
      </w:r>
      <w:r w:rsidR="00D7066B">
        <w:rPr>
          <w:i/>
          <w:iCs/>
        </w:rPr>
        <w:t xml:space="preserve">Forms, </w:t>
      </w:r>
      <w:r w:rsidR="00D7066B">
        <w:t>p.</w:t>
      </w:r>
      <w:r w:rsidR="00F16A81">
        <w:t xml:space="preserve"> </w:t>
      </w:r>
      <w:r w:rsidR="00D7066B">
        <w:t>2.</w:t>
      </w:r>
    </w:p>
  </w:footnote>
  <w:footnote w:id="25">
    <w:p w14:paraId="2A67C099" w14:textId="227ED8B2" w:rsidR="00EA0636" w:rsidRDefault="00EA0636">
      <w:pPr>
        <w:pStyle w:val="FootnoteText"/>
      </w:pPr>
      <w:r>
        <w:rPr>
          <w:rStyle w:val="FootnoteReference"/>
        </w:rPr>
        <w:footnoteRef/>
      </w:r>
      <w:r>
        <w:t xml:space="preserve"> </w:t>
      </w:r>
      <w:bookmarkStart w:id="7" w:name="_Hlk119314378"/>
      <w:r>
        <w:t>Otto</w:t>
      </w:r>
      <w:r w:rsidRPr="00EA0636">
        <w:t xml:space="preserve">, </w:t>
      </w:r>
      <w:r w:rsidRPr="00EA0636">
        <w:rPr>
          <w:i/>
          <w:iCs/>
        </w:rPr>
        <w:t xml:space="preserve">Idea </w:t>
      </w:r>
      <w:r w:rsidRPr="00EA0636">
        <w:rPr>
          <w:i/>
          <w:iCs/>
        </w:rPr>
        <w:t>Of The Holy</w:t>
      </w:r>
      <w:bookmarkEnd w:id="7"/>
      <w:r>
        <w:t>, p.</w:t>
      </w:r>
      <w:r w:rsidR="00F16A81">
        <w:t xml:space="preserve"> </w:t>
      </w:r>
      <w:r>
        <w:t>11.</w:t>
      </w:r>
    </w:p>
  </w:footnote>
  <w:footnote w:id="26">
    <w:p w14:paraId="4B3C686E" w14:textId="03DB937D" w:rsidR="007B0F81" w:rsidRPr="007B0F81" w:rsidRDefault="007B0F81">
      <w:pPr>
        <w:pStyle w:val="FootnoteText"/>
      </w:pPr>
      <w:r>
        <w:rPr>
          <w:rStyle w:val="FootnoteReference"/>
        </w:rPr>
        <w:footnoteRef/>
      </w:r>
      <w:r>
        <w:t xml:space="preserve"> Eliade, </w:t>
      </w:r>
      <w:r>
        <w:rPr>
          <w:i/>
          <w:iCs/>
        </w:rPr>
        <w:t xml:space="preserve">Sacred and Profane, </w:t>
      </w:r>
      <w:r>
        <w:t>p.</w:t>
      </w:r>
      <w:r w:rsidR="00F16A81">
        <w:t xml:space="preserve"> </w:t>
      </w:r>
      <w:r w:rsidR="0082682B">
        <w:t>21</w:t>
      </w:r>
      <w:r>
        <w:t>.</w:t>
      </w:r>
    </w:p>
  </w:footnote>
  <w:footnote w:id="27">
    <w:p w14:paraId="16B81E7B" w14:textId="19B5E58C" w:rsidR="00C75825" w:rsidRPr="00C75825" w:rsidRDefault="00C75825">
      <w:pPr>
        <w:pStyle w:val="FootnoteText"/>
      </w:pPr>
      <w:r>
        <w:rPr>
          <w:rStyle w:val="FootnoteReference"/>
        </w:rPr>
        <w:footnoteRef/>
      </w:r>
      <w:r>
        <w:t xml:space="preserve"> Eliade, </w:t>
      </w:r>
      <w:r>
        <w:rPr>
          <w:i/>
          <w:iCs/>
        </w:rPr>
        <w:t xml:space="preserve">Sacred and Profane, </w:t>
      </w:r>
      <w:r>
        <w:t>p.</w:t>
      </w:r>
      <w:r w:rsidR="00F16A81">
        <w:t xml:space="preserve"> </w:t>
      </w:r>
      <w:r w:rsidR="005841A2">
        <w:t>12.</w:t>
      </w:r>
    </w:p>
  </w:footnote>
  <w:footnote w:id="28">
    <w:p w14:paraId="123AB62E" w14:textId="7233FC1B" w:rsidR="00CC3E01" w:rsidRDefault="00CC3E01">
      <w:pPr>
        <w:pStyle w:val="FootnoteText"/>
      </w:pPr>
      <w:r>
        <w:rPr>
          <w:rStyle w:val="FootnoteReference"/>
        </w:rPr>
        <w:footnoteRef/>
      </w:r>
      <w:r>
        <w:t xml:space="preserve"> </w:t>
      </w:r>
      <w:r w:rsidR="00760511" w:rsidRPr="00760511">
        <w:t>K</w:t>
      </w:r>
      <w:r w:rsidR="00760511">
        <w:t>im K</w:t>
      </w:r>
      <w:r w:rsidR="00760511" w:rsidRPr="00760511">
        <w:t xml:space="preserve">nott, ‘Spatial Theory </w:t>
      </w:r>
      <w:r w:rsidR="00760511" w:rsidRPr="00760511">
        <w:t xml:space="preserve">And Method For The Study Of Religion’, </w:t>
      </w:r>
      <w:r w:rsidR="00760511" w:rsidRPr="00760511">
        <w:rPr>
          <w:i/>
          <w:iCs/>
        </w:rPr>
        <w:t xml:space="preserve">Temenos, </w:t>
      </w:r>
      <w:r w:rsidR="00760511" w:rsidRPr="00760511">
        <w:t>41.2 (2005),</w:t>
      </w:r>
      <w:r w:rsidR="00760511">
        <w:t xml:space="preserve"> p.</w:t>
      </w:r>
      <w:r w:rsidR="00F16A81">
        <w:t xml:space="preserve"> </w:t>
      </w:r>
      <w:r w:rsidR="00563084">
        <w:t>160.</w:t>
      </w:r>
    </w:p>
  </w:footnote>
  <w:footnote w:id="29">
    <w:p w14:paraId="73921E49" w14:textId="260BD5E3" w:rsidR="00801343" w:rsidRPr="00801343" w:rsidRDefault="00801343">
      <w:pPr>
        <w:pStyle w:val="FootnoteText"/>
      </w:pPr>
      <w:r>
        <w:rPr>
          <w:rStyle w:val="FootnoteReference"/>
        </w:rPr>
        <w:footnoteRef/>
      </w:r>
      <w:r>
        <w:t xml:space="preserve"> Casey, </w:t>
      </w:r>
      <w:r>
        <w:rPr>
          <w:i/>
          <w:iCs/>
        </w:rPr>
        <w:t xml:space="preserve">Fate of Place, </w:t>
      </w:r>
      <w:r w:rsidR="00F16A81">
        <w:t>l</w:t>
      </w:r>
      <w:r w:rsidR="009F7D37">
        <w:t>o</w:t>
      </w:r>
      <w:r w:rsidR="004A489E">
        <w:t>c. 143.</w:t>
      </w:r>
    </w:p>
  </w:footnote>
  <w:footnote w:id="30">
    <w:p w14:paraId="39914A0B" w14:textId="4F5B8641" w:rsidR="00037163" w:rsidRPr="00037163" w:rsidRDefault="00037163">
      <w:pPr>
        <w:pStyle w:val="FootnoteText"/>
      </w:pPr>
      <w:r>
        <w:rPr>
          <w:rStyle w:val="FootnoteReference"/>
        </w:rPr>
        <w:footnoteRef/>
      </w:r>
      <w:r>
        <w:t xml:space="preserve"> Eliade, </w:t>
      </w:r>
      <w:r>
        <w:rPr>
          <w:i/>
          <w:iCs/>
        </w:rPr>
        <w:t xml:space="preserve">Sacred and Profane, </w:t>
      </w:r>
      <w:r w:rsidR="00BA36E3">
        <w:t>p.</w:t>
      </w:r>
      <w:r w:rsidR="00F16A81">
        <w:t xml:space="preserve"> </w:t>
      </w:r>
      <w:r w:rsidR="007B63E2">
        <w:t>12.</w:t>
      </w:r>
    </w:p>
  </w:footnote>
  <w:footnote w:id="31">
    <w:p w14:paraId="4C93A9AC" w14:textId="2F191F63" w:rsidR="00D74081" w:rsidRPr="00D74081" w:rsidRDefault="00D74081">
      <w:pPr>
        <w:pStyle w:val="FootnoteText"/>
      </w:pPr>
      <w:r>
        <w:rPr>
          <w:rStyle w:val="FootnoteReference"/>
        </w:rPr>
        <w:footnoteRef/>
      </w:r>
      <w:r>
        <w:t xml:space="preserve"> Durkheim, </w:t>
      </w:r>
      <w:r>
        <w:rPr>
          <w:i/>
          <w:iCs/>
        </w:rPr>
        <w:t xml:space="preserve">Forms, </w:t>
      </w:r>
      <w:r w:rsidR="00AC25F6">
        <w:t>p.</w:t>
      </w:r>
      <w:r w:rsidR="00F16A81">
        <w:t xml:space="preserve"> </w:t>
      </w:r>
      <w:r w:rsidR="00AC25F6">
        <w:t>9.</w:t>
      </w:r>
    </w:p>
  </w:footnote>
  <w:footnote w:id="32">
    <w:p w14:paraId="6394C18C" w14:textId="71D5DC19" w:rsidR="000A1C33" w:rsidRDefault="000A1C33">
      <w:pPr>
        <w:pStyle w:val="FootnoteText"/>
      </w:pPr>
      <w:r>
        <w:rPr>
          <w:rStyle w:val="FootnoteReference"/>
        </w:rPr>
        <w:footnoteRef/>
      </w:r>
      <w:r>
        <w:t xml:space="preserve"> Fields, ‘Translator’s Introduction’, p.</w:t>
      </w:r>
      <w:r w:rsidR="00F16A81">
        <w:t xml:space="preserve"> </w:t>
      </w:r>
      <w:r w:rsidR="00CA0CB4">
        <w:t>xlv.</w:t>
      </w:r>
    </w:p>
  </w:footnote>
  <w:footnote w:id="33">
    <w:p w14:paraId="0A5D73CA" w14:textId="61E8F7EA" w:rsidR="00530A3E" w:rsidRPr="00530A3E" w:rsidRDefault="00530A3E">
      <w:pPr>
        <w:pStyle w:val="FootnoteText"/>
      </w:pPr>
      <w:r>
        <w:rPr>
          <w:rStyle w:val="FootnoteReference"/>
        </w:rPr>
        <w:footnoteRef/>
      </w:r>
      <w:r>
        <w:t xml:space="preserve"> Eliade, </w:t>
      </w:r>
      <w:r>
        <w:rPr>
          <w:i/>
          <w:iCs/>
        </w:rPr>
        <w:t xml:space="preserve">Sacred and Profane, </w:t>
      </w:r>
      <w:r w:rsidR="00DC01A7">
        <w:t>p.</w:t>
      </w:r>
      <w:r w:rsidR="003D47CB">
        <w:t xml:space="preserve"> </w:t>
      </w:r>
      <w:r w:rsidR="00DC01A7">
        <w:t>26.</w:t>
      </w:r>
    </w:p>
  </w:footnote>
  <w:footnote w:id="34">
    <w:p w14:paraId="7BBFF740" w14:textId="417BC937" w:rsidR="000E21CC" w:rsidRPr="000E21CC" w:rsidRDefault="000E21CC">
      <w:pPr>
        <w:pStyle w:val="FootnoteText"/>
      </w:pPr>
      <w:r>
        <w:rPr>
          <w:rStyle w:val="FootnoteReference"/>
        </w:rPr>
        <w:footnoteRef/>
      </w:r>
      <w:r>
        <w:t xml:space="preserve"> Eliade, </w:t>
      </w:r>
      <w:r>
        <w:rPr>
          <w:i/>
          <w:iCs/>
        </w:rPr>
        <w:t xml:space="preserve">Sacred and Profane, </w:t>
      </w:r>
      <w:r>
        <w:t>p.</w:t>
      </w:r>
      <w:r w:rsidR="003D47CB">
        <w:t xml:space="preserve"> </w:t>
      </w:r>
      <w:r>
        <w:t>27.</w:t>
      </w:r>
    </w:p>
  </w:footnote>
  <w:footnote w:id="35">
    <w:p w14:paraId="3A09A51D" w14:textId="44E30A76" w:rsidR="00617B15" w:rsidRPr="00617B15" w:rsidRDefault="00617B15">
      <w:pPr>
        <w:pStyle w:val="FootnoteText"/>
      </w:pPr>
      <w:r>
        <w:rPr>
          <w:rStyle w:val="FootnoteReference"/>
        </w:rPr>
        <w:footnoteRef/>
      </w:r>
      <w:r>
        <w:t xml:space="preserve"> </w:t>
      </w:r>
      <w:r>
        <w:t xml:space="preserve">Elaide, </w:t>
      </w:r>
      <w:r>
        <w:rPr>
          <w:i/>
          <w:iCs/>
        </w:rPr>
        <w:t xml:space="preserve">Sacred and Profane, </w:t>
      </w:r>
      <w:r w:rsidR="001E3747">
        <w:t>p.</w:t>
      </w:r>
      <w:r w:rsidR="003D47CB">
        <w:t xml:space="preserve"> </w:t>
      </w:r>
      <w:r w:rsidR="001E3747">
        <w:t>25.</w:t>
      </w:r>
    </w:p>
  </w:footnote>
  <w:footnote w:id="36">
    <w:p w14:paraId="1EE4A3F4" w14:textId="551535A5" w:rsidR="00E12456" w:rsidRDefault="00E12456">
      <w:pPr>
        <w:pStyle w:val="FootnoteText"/>
      </w:pPr>
      <w:r>
        <w:rPr>
          <w:rStyle w:val="FootnoteReference"/>
        </w:rPr>
        <w:footnoteRef/>
      </w:r>
      <w:r>
        <w:t xml:space="preserve"> </w:t>
      </w:r>
      <w:r w:rsidR="00456FEE" w:rsidRPr="00456FEE">
        <w:t>Jane</w:t>
      </w:r>
      <w:r w:rsidR="00AD3B88">
        <w:t xml:space="preserve"> Hubert</w:t>
      </w:r>
      <w:r w:rsidR="00456FEE" w:rsidRPr="00456FEE">
        <w:t xml:space="preserve">, ‘Sacred Beliefs </w:t>
      </w:r>
      <w:r w:rsidR="00456FEE" w:rsidRPr="00456FEE">
        <w:t xml:space="preserve">And Beliefs Of Sacredness’, in </w:t>
      </w:r>
      <w:r w:rsidR="00456FEE" w:rsidRPr="00456FEE">
        <w:rPr>
          <w:i/>
          <w:iCs/>
        </w:rPr>
        <w:t xml:space="preserve">Sacred Sites, Sacred Places, </w:t>
      </w:r>
      <w:r w:rsidR="00456FEE" w:rsidRPr="00456FEE">
        <w:t>ed. by David Carmichael, Jane Hubert and Brian Reeves (London: Routledge, 1994</w:t>
      </w:r>
      <w:r w:rsidR="00456FEE">
        <w:t xml:space="preserve">), </w:t>
      </w:r>
      <w:r>
        <w:t>p.</w:t>
      </w:r>
      <w:r w:rsidR="003D47CB">
        <w:t xml:space="preserve"> </w:t>
      </w:r>
      <w:r w:rsidR="00456FEE">
        <w:t>14.</w:t>
      </w:r>
    </w:p>
  </w:footnote>
  <w:footnote w:id="37">
    <w:p w14:paraId="6BFDB8CB" w14:textId="29B7E08C" w:rsidR="000127F8" w:rsidRDefault="000127F8">
      <w:pPr>
        <w:pStyle w:val="FootnoteText"/>
      </w:pPr>
      <w:r>
        <w:rPr>
          <w:rStyle w:val="FootnoteReference"/>
        </w:rPr>
        <w:footnoteRef/>
      </w:r>
      <w:r>
        <w:t xml:space="preserve"> </w:t>
      </w:r>
      <w:r w:rsidRPr="000127F8">
        <w:t>Belden C.</w:t>
      </w:r>
      <w:r>
        <w:t xml:space="preserve"> Lane</w:t>
      </w:r>
      <w:r w:rsidRPr="000127F8">
        <w:t xml:space="preserve">, </w:t>
      </w:r>
      <w:r w:rsidRPr="000127F8">
        <w:rPr>
          <w:i/>
          <w:iCs/>
        </w:rPr>
        <w:t xml:space="preserve">Landscapes </w:t>
      </w:r>
      <w:r w:rsidRPr="000127F8">
        <w:rPr>
          <w:i/>
          <w:iCs/>
        </w:rPr>
        <w:t xml:space="preserve">Of The Sacred: Geography And Narrative In American Spirituality </w:t>
      </w:r>
      <w:r w:rsidRPr="000127F8">
        <w:t>(Baltimore, The Johns Hopkins University Press, 2002</w:t>
      </w:r>
      <w:r>
        <w:t>). p.</w:t>
      </w:r>
      <w:r w:rsidR="003D47CB">
        <w:t xml:space="preserve"> </w:t>
      </w:r>
      <w:r>
        <w:t>19.</w:t>
      </w:r>
    </w:p>
  </w:footnote>
  <w:footnote w:id="38">
    <w:p w14:paraId="32F70BEA" w14:textId="0E2E1A07" w:rsidR="00F47C5C" w:rsidRDefault="00F47C5C">
      <w:pPr>
        <w:pStyle w:val="FootnoteText"/>
      </w:pPr>
      <w:r>
        <w:rPr>
          <w:rStyle w:val="FootnoteReference"/>
        </w:rPr>
        <w:footnoteRef/>
      </w:r>
      <w:r>
        <w:t xml:space="preserve"> </w:t>
      </w:r>
      <w:r w:rsidRPr="00F47C5C">
        <w:t xml:space="preserve">Lane, </w:t>
      </w:r>
      <w:r w:rsidRPr="00F47C5C">
        <w:rPr>
          <w:i/>
          <w:iCs/>
        </w:rPr>
        <w:t xml:space="preserve">Landscapes, </w:t>
      </w:r>
      <w:r w:rsidRPr="00F47C5C">
        <w:t>p.</w:t>
      </w:r>
      <w:r w:rsidR="003D47CB">
        <w:t xml:space="preserve"> </w:t>
      </w:r>
      <w:r w:rsidRPr="00F47C5C">
        <w:t>19</w:t>
      </w:r>
      <w:r>
        <w:t>.</w:t>
      </w:r>
    </w:p>
  </w:footnote>
  <w:footnote w:id="39">
    <w:p w14:paraId="76D0A0CD" w14:textId="19A936BE" w:rsidR="00F47C5C" w:rsidRPr="00F47C5C" w:rsidRDefault="00F47C5C" w:rsidP="00F47C5C">
      <w:pPr>
        <w:pStyle w:val="FootnoteText"/>
      </w:pPr>
      <w:r>
        <w:rPr>
          <w:rStyle w:val="FootnoteReference"/>
        </w:rPr>
        <w:footnoteRef/>
      </w:r>
      <w:r>
        <w:t xml:space="preserve"> </w:t>
      </w:r>
      <w:bookmarkStart w:id="9" w:name="_Hlk118917778"/>
      <w:bookmarkStart w:id="10" w:name="_Hlk118918722"/>
      <w:r>
        <w:t xml:space="preserve">Lane, </w:t>
      </w:r>
      <w:r>
        <w:rPr>
          <w:i/>
          <w:iCs/>
        </w:rPr>
        <w:t xml:space="preserve">Landscapes, </w:t>
      </w:r>
      <w:r>
        <w:t>p.</w:t>
      </w:r>
      <w:r w:rsidR="003D47CB">
        <w:t xml:space="preserve"> </w:t>
      </w:r>
      <w:r>
        <w:t>19</w:t>
      </w:r>
      <w:bookmarkEnd w:id="9"/>
      <w:r>
        <w:t>.</w:t>
      </w:r>
      <w:bookmarkEnd w:id="10"/>
    </w:p>
  </w:footnote>
  <w:footnote w:id="40">
    <w:p w14:paraId="2A9B9A00" w14:textId="0BA5D358" w:rsidR="00A6640B" w:rsidRDefault="00A6640B">
      <w:pPr>
        <w:pStyle w:val="FootnoteText"/>
      </w:pPr>
      <w:r>
        <w:rPr>
          <w:rStyle w:val="FootnoteReference"/>
        </w:rPr>
        <w:footnoteRef/>
      </w:r>
      <w:r>
        <w:t xml:space="preserve"> </w:t>
      </w:r>
      <w:r w:rsidRPr="00A6640B">
        <w:t xml:space="preserve">Lane, </w:t>
      </w:r>
      <w:r w:rsidRPr="00A6640B">
        <w:rPr>
          <w:i/>
          <w:iCs/>
        </w:rPr>
        <w:t xml:space="preserve">Landscapes, </w:t>
      </w:r>
      <w:r w:rsidRPr="00A6640B">
        <w:t>p.</w:t>
      </w:r>
      <w:r w:rsidR="003D47CB">
        <w:t xml:space="preserve"> </w:t>
      </w:r>
      <w:r>
        <w:t>24.</w:t>
      </w:r>
    </w:p>
  </w:footnote>
  <w:footnote w:id="41">
    <w:p w14:paraId="1E7B5BCB" w14:textId="196E17F2" w:rsidR="00A21142" w:rsidRDefault="00A21142">
      <w:pPr>
        <w:pStyle w:val="FootnoteText"/>
      </w:pPr>
      <w:r>
        <w:rPr>
          <w:rStyle w:val="FootnoteReference"/>
        </w:rPr>
        <w:footnoteRef/>
      </w:r>
      <w:r>
        <w:t xml:space="preserve"> </w:t>
      </w:r>
      <w:r w:rsidR="00834B5A">
        <w:t xml:space="preserve">Catherine </w:t>
      </w:r>
      <w:r w:rsidR="00834B5A" w:rsidRPr="00834B5A">
        <w:t xml:space="preserve">Allerton, ‘Introduction: Spiritual Landscapes </w:t>
      </w:r>
      <w:r w:rsidR="00834B5A" w:rsidRPr="00834B5A">
        <w:t xml:space="preserve">Of Southeast Asia’, </w:t>
      </w:r>
      <w:r w:rsidR="00834B5A" w:rsidRPr="00834B5A">
        <w:rPr>
          <w:i/>
          <w:iCs/>
        </w:rPr>
        <w:t xml:space="preserve">Anthropological Forum, </w:t>
      </w:r>
      <w:r w:rsidR="00834B5A" w:rsidRPr="00834B5A">
        <w:t>19.3 (2009),</w:t>
      </w:r>
      <w:r w:rsidR="00834B5A">
        <w:t xml:space="preserve"> p.</w:t>
      </w:r>
      <w:r w:rsidR="003D47CB">
        <w:t xml:space="preserve"> </w:t>
      </w:r>
      <w:r w:rsidR="001336FC">
        <w:t>2.</w:t>
      </w:r>
    </w:p>
  </w:footnote>
  <w:footnote w:id="42">
    <w:p w14:paraId="538CAE8A" w14:textId="2F997010" w:rsidR="000248A8" w:rsidRDefault="000248A8">
      <w:pPr>
        <w:pStyle w:val="FootnoteText"/>
      </w:pPr>
      <w:r>
        <w:rPr>
          <w:rStyle w:val="FootnoteReference"/>
        </w:rPr>
        <w:footnoteRef/>
      </w:r>
      <w:r>
        <w:t xml:space="preserve"> </w:t>
      </w:r>
      <w:r w:rsidR="00872AD5">
        <w:t>Allerton, ‘Introduction’, p.</w:t>
      </w:r>
      <w:r w:rsidR="003D47CB">
        <w:t xml:space="preserve"> </w:t>
      </w:r>
      <w:r w:rsidR="00872AD5">
        <w:t>4.</w:t>
      </w:r>
    </w:p>
  </w:footnote>
  <w:footnote w:id="43">
    <w:p w14:paraId="62E7D95E" w14:textId="2C6CE4CA" w:rsidR="009F147C" w:rsidRDefault="009F147C">
      <w:pPr>
        <w:pStyle w:val="FootnoteText"/>
      </w:pPr>
      <w:r>
        <w:rPr>
          <w:rStyle w:val="FootnoteReference"/>
        </w:rPr>
        <w:footnoteRef/>
      </w:r>
      <w:r>
        <w:t xml:space="preserve"> Allerton, ‘Introduction’, p.</w:t>
      </w:r>
      <w:r w:rsidR="003D47CB">
        <w:t xml:space="preserve"> </w:t>
      </w:r>
      <w:r>
        <w:t>12.</w:t>
      </w:r>
    </w:p>
  </w:footnote>
  <w:footnote w:id="44">
    <w:p w14:paraId="373AFF59" w14:textId="6891DE17" w:rsidR="003D47CB" w:rsidRPr="00E23108" w:rsidRDefault="003D47CB" w:rsidP="003D47CB">
      <w:pPr>
        <w:pStyle w:val="FootnoteText"/>
      </w:pPr>
      <w:r>
        <w:rPr>
          <w:rStyle w:val="FootnoteReference"/>
        </w:rPr>
        <w:footnoteRef/>
      </w:r>
      <w:r>
        <w:t xml:space="preserve"> Durkheim, </w:t>
      </w:r>
      <w:r>
        <w:rPr>
          <w:i/>
          <w:iCs/>
        </w:rPr>
        <w:t xml:space="preserve">Forms, </w:t>
      </w:r>
      <w:r>
        <w:t>p. 15.</w:t>
      </w:r>
    </w:p>
  </w:footnote>
  <w:footnote w:id="45">
    <w:p w14:paraId="6D62CD06" w14:textId="3F0207D9" w:rsidR="003D47CB" w:rsidRDefault="003D47CB" w:rsidP="003D47CB">
      <w:pPr>
        <w:pStyle w:val="FootnoteText"/>
      </w:pPr>
      <w:r>
        <w:rPr>
          <w:rStyle w:val="FootnoteReference"/>
        </w:rPr>
        <w:footnoteRef/>
      </w:r>
      <w:r>
        <w:t xml:space="preserve"> Robert </w:t>
      </w:r>
      <w:r w:rsidRPr="000C43EB">
        <w:t xml:space="preserve">Trubshaw, </w:t>
      </w:r>
      <w:r w:rsidRPr="000C43EB">
        <w:rPr>
          <w:i/>
          <w:iCs/>
        </w:rPr>
        <w:t xml:space="preserve">Sacred Places, </w:t>
      </w:r>
      <w:r w:rsidRPr="000C43EB">
        <w:t xml:space="preserve">(Loughborough, Heart </w:t>
      </w:r>
      <w:r w:rsidRPr="000C43EB">
        <w:t>Of Albion Press, 2005</w:t>
      </w:r>
      <w:r>
        <w:t>), p. 3.</w:t>
      </w:r>
    </w:p>
  </w:footnote>
  <w:footnote w:id="46">
    <w:p w14:paraId="4CC91D06" w14:textId="5AE6D1BF" w:rsidR="00D74FB7" w:rsidRDefault="00D74FB7">
      <w:pPr>
        <w:pStyle w:val="FootnoteText"/>
      </w:pPr>
      <w:r>
        <w:rPr>
          <w:rStyle w:val="FootnoteReference"/>
        </w:rPr>
        <w:footnoteRef/>
      </w:r>
      <w:r>
        <w:t xml:space="preserve"> </w:t>
      </w:r>
      <w:r w:rsidRPr="0077300D">
        <w:t>S</w:t>
      </w:r>
      <w:r>
        <w:t>imon S</w:t>
      </w:r>
      <w:r w:rsidRPr="0077300D">
        <w:t xml:space="preserve">chama, </w:t>
      </w:r>
      <w:r w:rsidRPr="0077300D">
        <w:rPr>
          <w:i/>
          <w:iCs/>
        </w:rPr>
        <w:t xml:space="preserve">Landscape </w:t>
      </w:r>
      <w:r w:rsidRPr="0077300D">
        <w:rPr>
          <w:i/>
          <w:iCs/>
        </w:rPr>
        <w:t xml:space="preserve">And Memory, </w:t>
      </w:r>
      <w:r w:rsidRPr="0077300D">
        <w:t>(London, HarperCollins Publishers, 1995</w:t>
      </w:r>
      <w:r>
        <w:t>), p. 14.</w:t>
      </w:r>
    </w:p>
  </w:footnote>
  <w:footnote w:id="47">
    <w:p w14:paraId="02605B44" w14:textId="71D4C59D" w:rsidR="003D47CB" w:rsidRPr="00D74FB7" w:rsidRDefault="003D47CB" w:rsidP="003D47CB">
      <w:pPr>
        <w:pStyle w:val="FootnoteText"/>
      </w:pPr>
      <w:r>
        <w:rPr>
          <w:rStyle w:val="FootnoteReference"/>
        </w:rPr>
        <w:footnoteRef/>
      </w:r>
      <w:r>
        <w:t xml:space="preserve"> </w:t>
      </w:r>
      <w:r w:rsidR="00D74FB7">
        <w:t xml:space="preserve">Scharma, </w:t>
      </w:r>
      <w:r w:rsidR="00D74FB7">
        <w:rPr>
          <w:i/>
          <w:iCs/>
        </w:rPr>
        <w:t xml:space="preserve">Landscape, </w:t>
      </w:r>
      <w:r w:rsidR="00D74FB7">
        <w:t>p. 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F1DAF" w14:textId="77777777" w:rsidR="00B51D36" w:rsidRPr="00B51D36" w:rsidRDefault="00B51D36" w:rsidP="00B51D36">
    <w:pPr>
      <w:tabs>
        <w:tab w:val="center" w:pos="4680"/>
        <w:tab w:val="right" w:pos="9360"/>
      </w:tabs>
      <w:spacing w:after="0" w:line="240" w:lineRule="auto"/>
      <w:rPr>
        <w:rFonts w:ascii="Calibri" w:eastAsia="Calibri" w:hAnsi="Calibri" w:cs="Times New Roman"/>
      </w:rPr>
    </w:pPr>
    <w:r w:rsidRPr="00B51D36">
      <w:rPr>
        <w:rFonts w:ascii="Calibri" w:eastAsia="Calibri" w:hAnsi="Calibri" w:cs="Times New Roman"/>
      </w:rPr>
      <w:t>Kimberly Corrall, #2024486</w:t>
    </w:r>
    <w:r w:rsidRPr="00B51D36">
      <w:rPr>
        <w:rFonts w:ascii="Calibri" w:eastAsia="Calibri" w:hAnsi="Calibri" w:cs="Times New Roman"/>
      </w:rPr>
      <w:tab/>
    </w:r>
    <w:r w:rsidRPr="00B51D36">
      <w:rPr>
        <w:rFonts w:ascii="Calibri" w:eastAsia="Calibri" w:hAnsi="Calibri" w:cs="Times New Roman"/>
      </w:rPr>
      <w:tab/>
    </w:r>
    <w:r w:rsidRPr="00B51D36">
      <w:rPr>
        <w:rFonts w:ascii="Calibri" w:eastAsia="Calibri" w:hAnsi="Calibri" w:cs="Times New Roman"/>
      </w:rPr>
      <w:fldChar w:fldCharType="begin"/>
    </w:r>
    <w:r w:rsidRPr="00B51D36">
      <w:rPr>
        <w:rFonts w:ascii="Calibri" w:eastAsia="Calibri" w:hAnsi="Calibri" w:cs="Times New Roman"/>
      </w:rPr>
      <w:instrText xml:space="preserve"> PAGE   \* MERGEFORMAT </w:instrText>
    </w:r>
    <w:r w:rsidRPr="00B51D36">
      <w:rPr>
        <w:rFonts w:ascii="Calibri" w:eastAsia="Calibri" w:hAnsi="Calibri" w:cs="Times New Roman"/>
      </w:rPr>
      <w:fldChar w:fldCharType="separate"/>
    </w:r>
    <w:r w:rsidRPr="00B51D36">
      <w:rPr>
        <w:rFonts w:ascii="Calibri" w:eastAsia="Calibri" w:hAnsi="Calibri" w:cs="Times New Roman"/>
      </w:rPr>
      <w:t>1</w:t>
    </w:r>
    <w:r w:rsidRPr="00B51D36">
      <w:rPr>
        <w:rFonts w:ascii="Calibri" w:eastAsia="Calibri" w:hAnsi="Calibri" w:cs="Times New Roman"/>
        <w:noProof/>
      </w:rPr>
      <w:fldChar w:fldCharType="end"/>
    </w:r>
  </w:p>
  <w:p w14:paraId="3EADDB9C" w14:textId="77777777" w:rsidR="00B51D36" w:rsidRDefault="00B51D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571"/>
    <w:rsid w:val="00000611"/>
    <w:rsid w:val="00004717"/>
    <w:rsid w:val="0000709C"/>
    <w:rsid w:val="00010A07"/>
    <w:rsid w:val="000127F8"/>
    <w:rsid w:val="00020E68"/>
    <w:rsid w:val="000248A8"/>
    <w:rsid w:val="000367F9"/>
    <w:rsid w:val="00037163"/>
    <w:rsid w:val="00047DAE"/>
    <w:rsid w:val="00052747"/>
    <w:rsid w:val="00057283"/>
    <w:rsid w:val="000653C7"/>
    <w:rsid w:val="00072BEB"/>
    <w:rsid w:val="0007401C"/>
    <w:rsid w:val="00076582"/>
    <w:rsid w:val="00086356"/>
    <w:rsid w:val="00087988"/>
    <w:rsid w:val="00090DC4"/>
    <w:rsid w:val="00092454"/>
    <w:rsid w:val="000963D4"/>
    <w:rsid w:val="000A1C33"/>
    <w:rsid w:val="000A3D1B"/>
    <w:rsid w:val="000A443B"/>
    <w:rsid w:val="000A740A"/>
    <w:rsid w:val="000B2F74"/>
    <w:rsid w:val="000B7945"/>
    <w:rsid w:val="000C43EB"/>
    <w:rsid w:val="000C7982"/>
    <w:rsid w:val="000D5E26"/>
    <w:rsid w:val="000E21CC"/>
    <w:rsid w:val="000E273A"/>
    <w:rsid w:val="000E52DD"/>
    <w:rsid w:val="000E5824"/>
    <w:rsid w:val="000E5827"/>
    <w:rsid w:val="000F4E36"/>
    <w:rsid w:val="000F7C2C"/>
    <w:rsid w:val="001336FC"/>
    <w:rsid w:val="00134AFC"/>
    <w:rsid w:val="00140B4A"/>
    <w:rsid w:val="001432CC"/>
    <w:rsid w:val="00144DE3"/>
    <w:rsid w:val="00145F34"/>
    <w:rsid w:val="001465D9"/>
    <w:rsid w:val="00146B79"/>
    <w:rsid w:val="00153B87"/>
    <w:rsid w:val="001639F7"/>
    <w:rsid w:val="001772DD"/>
    <w:rsid w:val="0018247B"/>
    <w:rsid w:val="00191E69"/>
    <w:rsid w:val="00192C9B"/>
    <w:rsid w:val="001A05BA"/>
    <w:rsid w:val="001A4D62"/>
    <w:rsid w:val="001A4D8F"/>
    <w:rsid w:val="001B5658"/>
    <w:rsid w:val="001B59A7"/>
    <w:rsid w:val="001C72A1"/>
    <w:rsid w:val="001E3747"/>
    <w:rsid w:val="001E452C"/>
    <w:rsid w:val="001E4695"/>
    <w:rsid w:val="001E5C98"/>
    <w:rsid w:val="001E63E8"/>
    <w:rsid w:val="001E774A"/>
    <w:rsid w:val="001F0C07"/>
    <w:rsid w:val="001F2002"/>
    <w:rsid w:val="001F5A8B"/>
    <w:rsid w:val="00201A22"/>
    <w:rsid w:val="002064E0"/>
    <w:rsid w:val="00212085"/>
    <w:rsid w:val="0023273B"/>
    <w:rsid w:val="00240E62"/>
    <w:rsid w:val="002429DE"/>
    <w:rsid w:val="00247A6F"/>
    <w:rsid w:val="00255C2E"/>
    <w:rsid w:val="002613A0"/>
    <w:rsid w:val="00266AA0"/>
    <w:rsid w:val="00266E09"/>
    <w:rsid w:val="00273C20"/>
    <w:rsid w:val="00275C20"/>
    <w:rsid w:val="0028005D"/>
    <w:rsid w:val="00280549"/>
    <w:rsid w:val="00282156"/>
    <w:rsid w:val="002864BD"/>
    <w:rsid w:val="002873A5"/>
    <w:rsid w:val="002A2C50"/>
    <w:rsid w:val="002A4ECC"/>
    <w:rsid w:val="002D5057"/>
    <w:rsid w:val="002D6341"/>
    <w:rsid w:val="002E71DF"/>
    <w:rsid w:val="002E7666"/>
    <w:rsid w:val="002F6544"/>
    <w:rsid w:val="00300211"/>
    <w:rsid w:val="00313D69"/>
    <w:rsid w:val="0031419F"/>
    <w:rsid w:val="003142BE"/>
    <w:rsid w:val="003227DA"/>
    <w:rsid w:val="003309D8"/>
    <w:rsid w:val="003365FA"/>
    <w:rsid w:val="003522D0"/>
    <w:rsid w:val="0036345A"/>
    <w:rsid w:val="003634D7"/>
    <w:rsid w:val="003653DF"/>
    <w:rsid w:val="003738D8"/>
    <w:rsid w:val="00375F5F"/>
    <w:rsid w:val="0038060A"/>
    <w:rsid w:val="003808A3"/>
    <w:rsid w:val="0039057C"/>
    <w:rsid w:val="003933AE"/>
    <w:rsid w:val="003976FF"/>
    <w:rsid w:val="003A32C7"/>
    <w:rsid w:val="003A4614"/>
    <w:rsid w:val="003A52AA"/>
    <w:rsid w:val="003B0964"/>
    <w:rsid w:val="003B23C1"/>
    <w:rsid w:val="003B5FD1"/>
    <w:rsid w:val="003B634E"/>
    <w:rsid w:val="003B6DFB"/>
    <w:rsid w:val="003D2904"/>
    <w:rsid w:val="003D2A22"/>
    <w:rsid w:val="003D3C3E"/>
    <w:rsid w:val="003D47CB"/>
    <w:rsid w:val="003E7916"/>
    <w:rsid w:val="003F06F1"/>
    <w:rsid w:val="003F6823"/>
    <w:rsid w:val="003F73B9"/>
    <w:rsid w:val="003F7917"/>
    <w:rsid w:val="003F7FF2"/>
    <w:rsid w:val="00400EDA"/>
    <w:rsid w:val="00410664"/>
    <w:rsid w:val="00420339"/>
    <w:rsid w:val="004217A6"/>
    <w:rsid w:val="00421BDE"/>
    <w:rsid w:val="0042273A"/>
    <w:rsid w:val="00440997"/>
    <w:rsid w:val="00451DC0"/>
    <w:rsid w:val="00453A31"/>
    <w:rsid w:val="0045493C"/>
    <w:rsid w:val="00455F02"/>
    <w:rsid w:val="00456FEE"/>
    <w:rsid w:val="0047087E"/>
    <w:rsid w:val="00485D63"/>
    <w:rsid w:val="004869B4"/>
    <w:rsid w:val="0048771A"/>
    <w:rsid w:val="00492C7D"/>
    <w:rsid w:val="004948A9"/>
    <w:rsid w:val="004A1A81"/>
    <w:rsid w:val="004A2EB5"/>
    <w:rsid w:val="004A3ABE"/>
    <w:rsid w:val="004A40E2"/>
    <w:rsid w:val="004A489E"/>
    <w:rsid w:val="004B1D2C"/>
    <w:rsid w:val="004C0CAD"/>
    <w:rsid w:val="004D61A9"/>
    <w:rsid w:val="004E31A4"/>
    <w:rsid w:val="004E5656"/>
    <w:rsid w:val="004E634D"/>
    <w:rsid w:val="004F5951"/>
    <w:rsid w:val="005033BD"/>
    <w:rsid w:val="00514042"/>
    <w:rsid w:val="0051473D"/>
    <w:rsid w:val="00520320"/>
    <w:rsid w:val="00530A3E"/>
    <w:rsid w:val="00533F1E"/>
    <w:rsid w:val="00534349"/>
    <w:rsid w:val="0054286B"/>
    <w:rsid w:val="005548E2"/>
    <w:rsid w:val="00555F7C"/>
    <w:rsid w:val="005612E8"/>
    <w:rsid w:val="00563084"/>
    <w:rsid w:val="005744B0"/>
    <w:rsid w:val="00577185"/>
    <w:rsid w:val="0058082B"/>
    <w:rsid w:val="005841A2"/>
    <w:rsid w:val="0059203C"/>
    <w:rsid w:val="005960CB"/>
    <w:rsid w:val="005B0137"/>
    <w:rsid w:val="005B7960"/>
    <w:rsid w:val="005B7F2A"/>
    <w:rsid w:val="005D00CA"/>
    <w:rsid w:val="005D25BB"/>
    <w:rsid w:val="005D26EC"/>
    <w:rsid w:val="005D5488"/>
    <w:rsid w:val="005E5D47"/>
    <w:rsid w:val="005E66B9"/>
    <w:rsid w:val="006046DC"/>
    <w:rsid w:val="00617B15"/>
    <w:rsid w:val="00620F06"/>
    <w:rsid w:val="00625F08"/>
    <w:rsid w:val="006275FA"/>
    <w:rsid w:val="006321A4"/>
    <w:rsid w:val="00633A84"/>
    <w:rsid w:val="00633DF2"/>
    <w:rsid w:val="00643B27"/>
    <w:rsid w:val="00650636"/>
    <w:rsid w:val="00660A05"/>
    <w:rsid w:val="006638E5"/>
    <w:rsid w:val="00665C79"/>
    <w:rsid w:val="00681B49"/>
    <w:rsid w:val="00683881"/>
    <w:rsid w:val="00684C45"/>
    <w:rsid w:val="0068614E"/>
    <w:rsid w:val="00691850"/>
    <w:rsid w:val="00693E39"/>
    <w:rsid w:val="006A132F"/>
    <w:rsid w:val="006A1CEF"/>
    <w:rsid w:val="006A3298"/>
    <w:rsid w:val="006A72EB"/>
    <w:rsid w:val="006A787C"/>
    <w:rsid w:val="006C38BE"/>
    <w:rsid w:val="006C4C54"/>
    <w:rsid w:val="006C52FA"/>
    <w:rsid w:val="006C56DC"/>
    <w:rsid w:val="006C7E30"/>
    <w:rsid w:val="006E1415"/>
    <w:rsid w:val="006E14CD"/>
    <w:rsid w:val="006F10D1"/>
    <w:rsid w:val="006F27EF"/>
    <w:rsid w:val="006F2DCA"/>
    <w:rsid w:val="006F5ACD"/>
    <w:rsid w:val="00702623"/>
    <w:rsid w:val="00702CF7"/>
    <w:rsid w:val="00704EDB"/>
    <w:rsid w:val="00705CC3"/>
    <w:rsid w:val="00706007"/>
    <w:rsid w:val="00711AFC"/>
    <w:rsid w:val="0071348A"/>
    <w:rsid w:val="00716D87"/>
    <w:rsid w:val="007272BD"/>
    <w:rsid w:val="00727D8E"/>
    <w:rsid w:val="007303AC"/>
    <w:rsid w:val="00736B48"/>
    <w:rsid w:val="00737808"/>
    <w:rsid w:val="00737A97"/>
    <w:rsid w:val="00747259"/>
    <w:rsid w:val="00747CB4"/>
    <w:rsid w:val="0075562A"/>
    <w:rsid w:val="00755A04"/>
    <w:rsid w:val="00760511"/>
    <w:rsid w:val="00764A4F"/>
    <w:rsid w:val="0077300D"/>
    <w:rsid w:val="00775319"/>
    <w:rsid w:val="00775499"/>
    <w:rsid w:val="00781CEE"/>
    <w:rsid w:val="007830E2"/>
    <w:rsid w:val="00786F23"/>
    <w:rsid w:val="00787375"/>
    <w:rsid w:val="0079061A"/>
    <w:rsid w:val="00792264"/>
    <w:rsid w:val="007963D6"/>
    <w:rsid w:val="007A64D4"/>
    <w:rsid w:val="007B0F81"/>
    <w:rsid w:val="007B149B"/>
    <w:rsid w:val="007B25E3"/>
    <w:rsid w:val="007B63E2"/>
    <w:rsid w:val="007C1386"/>
    <w:rsid w:val="007C5EE3"/>
    <w:rsid w:val="007C5EFC"/>
    <w:rsid w:val="007E4391"/>
    <w:rsid w:val="007F64AD"/>
    <w:rsid w:val="0080019A"/>
    <w:rsid w:val="00800D8A"/>
    <w:rsid w:val="00801343"/>
    <w:rsid w:val="00811ED9"/>
    <w:rsid w:val="00822CF5"/>
    <w:rsid w:val="0082401A"/>
    <w:rsid w:val="008258CA"/>
    <w:rsid w:val="0082682B"/>
    <w:rsid w:val="0083457A"/>
    <w:rsid w:val="00834B5A"/>
    <w:rsid w:val="00835872"/>
    <w:rsid w:val="00853770"/>
    <w:rsid w:val="00862C40"/>
    <w:rsid w:val="00872AD5"/>
    <w:rsid w:val="008743E9"/>
    <w:rsid w:val="00877D0E"/>
    <w:rsid w:val="00885189"/>
    <w:rsid w:val="00885DBE"/>
    <w:rsid w:val="00892733"/>
    <w:rsid w:val="008A26A9"/>
    <w:rsid w:val="008D053F"/>
    <w:rsid w:val="008D26E0"/>
    <w:rsid w:val="008E0ACE"/>
    <w:rsid w:val="008F10FD"/>
    <w:rsid w:val="008F316C"/>
    <w:rsid w:val="008F6E9C"/>
    <w:rsid w:val="00902390"/>
    <w:rsid w:val="00904048"/>
    <w:rsid w:val="00905E1E"/>
    <w:rsid w:val="00910B26"/>
    <w:rsid w:val="00913E7F"/>
    <w:rsid w:val="00916D1F"/>
    <w:rsid w:val="00921BE3"/>
    <w:rsid w:val="009300C9"/>
    <w:rsid w:val="00933E7E"/>
    <w:rsid w:val="009364D7"/>
    <w:rsid w:val="00942439"/>
    <w:rsid w:val="009464E5"/>
    <w:rsid w:val="00950905"/>
    <w:rsid w:val="00951D40"/>
    <w:rsid w:val="0096759D"/>
    <w:rsid w:val="00972168"/>
    <w:rsid w:val="00972801"/>
    <w:rsid w:val="00972C37"/>
    <w:rsid w:val="009765A1"/>
    <w:rsid w:val="00977C6F"/>
    <w:rsid w:val="009843E8"/>
    <w:rsid w:val="00987374"/>
    <w:rsid w:val="009A45F7"/>
    <w:rsid w:val="009B3A40"/>
    <w:rsid w:val="009B6C7A"/>
    <w:rsid w:val="009C1B24"/>
    <w:rsid w:val="009D17D9"/>
    <w:rsid w:val="009D552F"/>
    <w:rsid w:val="009E0C46"/>
    <w:rsid w:val="009E228E"/>
    <w:rsid w:val="009F147C"/>
    <w:rsid w:val="009F3F16"/>
    <w:rsid w:val="009F7D37"/>
    <w:rsid w:val="00A05B22"/>
    <w:rsid w:val="00A068F6"/>
    <w:rsid w:val="00A06CA6"/>
    <w:rsid w:val="00A120B8"/>
    <w:rsid w:val="00A21142"/>
    <w:rsid w:val="00A40B07"/>
    <w:rsid w:val="00A44059"/>
    <w:rsid w:val="00A50135"/>
    <w:rsid w:val="00A501BA"/>
    <w:rsid w:val="00A520E7"/>
    <w:rsid w:val="00A56C3B"/>
    <w:rsid w:val="00A66318"/>
    <w:rsid w:val="00A6640B"/>
    <w:rsid w:val="00A74E26"/>
    <w:rsid w:val="00A80D86"/>
    <w:rsid w:val="00A939B1"/>
    <w:rsid w:val="00AA23BB"/>
    <w:rsid w:val="00AA5B5A"/>
    <w:rsid w:val="00AB351E"/>
    <w:rsid w:val="00AB407C"/>
    <w:rsid w:val="00AB4444"/>
    <w:rsid w:val="00AB6CE3"/>
    <w:rsid w:val="00AC25F6"/>
    <w:rsid w:val="00AD3B88"/>
    <w:rsid w:val="00AE0464"/>
    <w:rsid w:val="00AE77BF"/>
    <w:rsid w:val="00AF0B65"/>
    <w:rsid w:val="00AF2D45"/>
    <w:rsid w:val="00AF3382"/>
    <w:rsid w:val="00AF619D"/>
    <w:rsid w:val="00B0775D"/>
    <w:rsid w:val="00B10045"/>
    <w:rsid w:val="00B15B07"/>
    <w:rsid w:val="00B222DB"/>
    <w:rsid w:val="00B255D9"/>
    <w:rsid w:val="00B25E7C"/>
    <w:rsid w:val="00B30AFC"/>
    <w:rsid w:val="00B32C6F"/>
    <w:rsid w:val="00B51D36"/>
    <w:rsid w:val="00B523BF"/>
    <w:rsid w:val="00B62567"/>
    <w:rsid w:val="00B80A50"/>
    <w:rsid w:val="00B9200E"/>
    <w:rsid w:val="00BA0456"/>
    <w:rsid w:val="00BA13BE"/>
    <w:rsid w:val="00BA3059"/>
    <w:rsid w:val="00BA36E3"/>
    <w:rsid w:val="00BA4CDE"/>
    <w:rsid w:val="00BA4FBA"/>
    <w:rsid w:val="00BB10A3"/>
    <w:rsid w:val="00BB4F52"/>
    <w:rsid w:val="00BB5D5A"/>
    <w:rsid w:val="00BC105A"/>
    <w:rsid w:val="00BC27FB"/>
    <w:rsid w:val="00BC720E"/>
    <w:rsid w:val="00BE18E0"/>
    <w:rsid w:val="00BF022B"/>
    <w:rsid w:val="00BF2CA1"/>
    <w:rsid w:val="00BF6C38"/>
    <w:rsid w:val="00C01C86"/>
    <w:rsid w:val="00C03BD5"/>
    <w:rsid w:val="00C046DE"/>
    <w:rsid w:val="00C06571"/>
    <w:rsid w:val="00C0713E"/>
    <w:rsid w:val="00C07FEE"/>
    <w:rsid w:val="00C12139"/>
    <w:rsid w:val="00C12FEC"/>
    <w:rsid w:val="00C14793"/>
    <w:rsid w:val="00C27CCE"/>
    <w:rsid w:val="00C3482A"/>
    <w:rsid w:val="00C356E4"/>
    <w:rsid w:val="00C370C7"/>
    <w:rsid w:val="00C41ED2"/>
    <w:rsid w:val="00C44488"/>
    <w:rsid w:val="00C44CE6"/>
    <w:rsid w:val="00C516E3"/>
    <w:rsid w:val="00C534B0"/>
    <w:rsid w:val="00C6717B"/>
    <w:rsid w:val="00C75825"/>
    <w:rsid w:val="00C83F5A"/>
    <w:rsid w:val="00C8784A"/>
    <w:rsid w:val="00CA0CB4"/>
    <w:rsid w:val="00CA3DEE"/>
    <w:rsid w:val="00CA60A6"/>
    <w:rsid w:val="00CB21B8"/>
    <w:rsid w:val="00CB223C"/>
    <w:rsid w:val="00CC0A69"/>
    <w:rsid w:val="00CC3E01"/>
    <w:rsid w:val="00CD20DE"/>
    <w:rsid w:val="00CE7621"/>
    <w:rsid w:val="00CF104B"/>
    <w:rsid w:val="00D03B75"/>
    <w:rsid w:val="00D1137A"/>
    <w:rsid w:val="00D13AF6"/>
    <w:rsid w:val="00D20DB0"/>
    <w:rsid w:val="00D2179B"/>
    <w:rsid w:val="00D22031"/>
    <w:rsid w:val="00D23BEA"/>
    <w:rsid w:val="00D460B0"/>
    <w:rsid w:val="00D52C33"/>
    <w:rsid w:val="00D54BB2"/>
    <w:rsid w:val="00D5521E"/>
    <w:rsid w:val="00D55668"/>
    <w:rsid w:val="00D56D5F"/>
    <w:rsid w:val="00D675ED"/>
    <w:rsid w:val="00D7066B"/>
    <w:rsid w:val="00D74081"/>
    <w:rsid w:val="00D74FB7"/>
    <w:rsid w:val="00D858D4"/>
    <w:rsid w:val="00D87745"/>
    <w:rsid w:val="00D94BF1"/>
    <w:rsid w:val="00D977A5"/>
    <w:rsid w:val="00D97F9E"/>
    <w:rsid w:val="00DA29BE"/>
    <w:rsid w:val="00DA3B9F"/>
    <w:rsid w:val="00DA6773"/>
    <w:rsid w:val="00DB2CCE"/>
    <w:rsid w:val="00DB708C"/>
    <w:rsid w:val="00DC01A7"/>
    <w:rsid w:val="00DC5B18"/>
    <w:rsid w:val="00DD0921"/>
    <w:rsid w:val="00DD688A"/>
    <w:rsid w:val="00DD6DA8"/>
    <w:rsid w:val="00DE0AA0"/>
    <w:rsid w:val="00DE7B99"/>
    <w:rsid w:val="00DF4723"/>
    <w:rsid w:val="00DF73D2"/>
    <w:rsid w:val="00E0485C"/>
    <w:rsid w:val="00E04CEE"/>
    <w:rsid w:val="00E12456"/>
    <w:rsid w:val="00E23108"/>
    <w:rsid w:val="00E261ED"/>
    <w:rsid w:val="00E32A7F"/>
    <w:rsid w:val="00E371B2"/>
    <w:rsid w:val="00E41BAF"/>
    <w:rsid w:val="00E45880"/>
    <w:rsid w:val="00E46A74"/>
    <w:rsid w:val="00E61C85"/>
    <w:rsid w:val="00E61EA0"/>
    <w:rsid w:val="00E6300C"/>
    <w:rsid w:val="00E64A0A"/>
    <w:rsid w:val="00E65B9F"/>
    <w:rsid w:val="00E8786A"/>
    <w:rsid w:val="00E904BA"/>
    <w:rsid w:val="00EA0636"/>
    <w:rsid w:val="00EB27BB"/>
    <w:rsid w:val="00EC6F14"/>
    <w:rsid w:val="00ED2053"/>
    <w:rsid w:val="00ED3184"/>
    <w:rsid w:val="00ED34F5"/>
    <w:rsid w:val="00EE43A0"/>
    <w:rsid w:val="00EE59DF"/>
    <w:rsid w:val="00EF2353"/>
    <w:rsid w:val="00EF546A"/>
    <w:rsid w:val="00EF7244"/>
    <w:rsid w:val="00F00161"/>
    <w:rsid w:val="00F00F9E"/>
    <w:rsid w:val="00F06516"/>
    <w:rsid w:val="00F104E0"/>
    <w:rsid w:val="00F12351"/>
    <w:rsid w:val="00F13E45"/>
    <w:rsid w:val="00F16A81"/>
    <w:rsid w:val="00F31BEF"/>
    <w:rsid w:val="00F35C50"/>
    <w:rsid w:val="00F47008"/>
    <w:rsid w:val="00F47C5C"/>
    <w:rsid w:val="00F552C5"/>
    <w:rsid w:val="00F56C0C"/>
    <w:rsid w:val="00F66E3F"/>
    <w:rsid w:val="00F75D2F"/>
    <w:rsid w:val="00F958F1"/>
    <w:rsid w:val="00FA29C0"/>
    <w:rsid w:val="00FA35D9"/>
    <w:rsid w:val="00FB70D7"/>
    <w:rsid w:val="00FC1C50"/>
    <w:rsid w:val="00FC3DD2"/>
    <w:rsid w:val="00FC54EA"/>
    <w:rsid w:val="00FC7D99"/>
    <w:rsid w:val="00FD20AD"/>
    <w:rsid w:val="00FD7AA1"/>
    <w:rsid w:val="00FF0B6A"/>
    <w:rsid w:val="00FF337D"/>
    <w:rsid w:val="00FF3ED6"/>
    <w:rsid w:val="00FF62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90E1CD"/>
  <w15:chartTrackingRefBased/>
  <w15:docId w15:val="{6AB83B62-D68D-41CC-A734-738D4B51B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571"/>
  </w:style>
  <w:style w:type="paragraph" w:styleId="Heading1">
    <w:name w:val="heading 1"/>
    <w:basedOn w:val="Normal"/>
    <w:next w:val="Normal"/>
    <w:link w:val="Heading1Char"/>
    <w:uiPriority w:val="9"/>
    <w:qFormat/>
    <w:rsid w:val="00C065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65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5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6571"/>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C065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6571"/>
    <w:rPr>
      <w:sz w:val="20"/>
      <w:szCs w:val="20"/>
    </w:rPr>
  </w:style>
  <w:style w:type="character" w:styleId="FootnoteReference">
    <w:name w:val="footnote reference"/>
    <w:basedOn w:val="DefaultParagraphFont"/>
    <w:uiPriority w:val="99"/>
    <w:semiHidden/>
    <w:unhideWhenUsed/>
    <w:rsid w:val="00C06571"/>
    <w:rPr>
      <w:vertAlign w:val="superscript"/>
    </w:rPr>
  </w:style>
  <w:style w:type="paragraph" w:styleId="Header">
    <w:name w:val="header"/>
    <w:basedOn w:val="Normal"/>
    <w:link w:val="HeaderChar"/>
    <w:uiPriority w:val="99"/>
    <w:unhideWhenUsed/>
    <w:rsid w:val="00B51D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1D36"/>
  </w:style>
  <w:style w:type="paragraph" w:styleId="Footer">
    <w:name w:val="footer"/>
    <w:basedOn w:val="Normal"/>
    <w:link w:val="FooterChar"/>
    <w:uiPriority w:val="99"/>
    <w:unhideWhenUsed/>
    <w:rsid w:val="00B51D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1D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13473-8334-42E8-BCEF-CBBB8D94F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2765</Words>
  <Characters>15079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3</cp:revision>
  <cp:lastPrinted>2022-11-14T01:03:00Z</cp:lastPrinted>
  <dcterms:created xsi:type="dcterms:W3CDTF">2022-11-14T19:12:00Z</dcterms:created>
  <dcterms:modified xsi:type="dcterms:W3CDTF">2022-11-14T19:21:00Z</dcterms:modified>
</cp:coreProperties>
</file>